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496"/>
        <w:rPr>
          <w:rFonts w:ascii="Times New Roman"/>
          <w:sz w:val="20"/>
        </w:rPr>
      </w:pPr>
      <w:r>
        <w:rPr>
          <w:rFonts w:ascii="Times New Roman"/>
          <w:sz w:val="20"/>
        </w:rPr>
        <w:drawing>
          <wp:inline distT="0" distB="0" distL="0" distR="0">
            <wp:extent cx="6110558" cy="7632954"/>
            <wp:effectExtent l="0" t="0" r="0" b="0"/>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6110558" cy="7632954"/>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8"/>
        </w:rPr>
      </w:pPr>
    </w:p>
    <w:p>
      <w:pPr>
        <w:tabs>
          <w:tab w:pos="8802" w:val="left" w:leader="none"/>
        </w:tabs>
        <w:spacing w:before="94"/>
        <w:ind w:left="4730" w:right="0" w:firstLine="0"/>
        <w:jc w:val="left"/>
        <w:rPr>
          <w:sz w:val="22"/>
        </w:rPr>
      </w:pPr>
      <w:r>
        <w:rPr/>
        <w:pict>
          <v:rect style="position:absolute;margin-left:481.320007pt;margin-top:4.697864pt;width:6pt;height:12.719971pt;mso-position-horizontal-relative:page;mso-position-vertical-relative:paragraph;z-index:-38070272" id="docshape1" filled="true" fillcolor="#e6e6e6" stroked="false">
            <v:fill type="solid"/>
            <w10:wrap type="none"/>
          </v:rect>
        </w:pict>
      </w:r>
      <w:r>
        <w:rPr>
          <w:sz w:val="16"/>
        </w:rPr>
        <w:t>MAROONDAH</w:t>
      </w:r>
      <w:r>
        <w:rPr>
          <w:spacing w:val="-6"/>
          <w:sz w:val="16"/>
        </w:rPr>
        <w:t> </w:t>
      </w:r>
      <w:r>
        <w:rPr>
          <w:sz w:val="16"/>
        </w:rPr>
        <w:t>CITY</w:t>
      </w:r>
      <w:r>
        <w:rPr>
          <w:spacing w:val="-2"/>
          <w:sz w:val="16"/>
        </w:rPr>
        <w:t> </w:t>
      </w:r>
      <w:r>
        <w:rPr>
          <w:sz w:val="16"/>
        </w:rPr>
        <w:t>COUNCIL</w:t>
      </w:r>
      <w:r>
        <w:rPr>
          <w:spacing w:val="-6"/>
          <w:sz w:val="16"/>
        </w:rPr>
        <w:t> </w:t>
      </w:r>
      <w:r>
        <w:rPr>
          <w:sz w:val="16"/>
        </w:rPr>
        <w:t>–BUDGET</w:t>
      </w:r>
      <w:r>
        <w:rPr>
          <w:spacing w:val="-3"/>
          <w:sz w:val="16"/>
        </w:rPr>
        <w:t> </w:t>
      </w:r>
      <w:r>
        <w:rPr>
          <w:spacing w:val="-2"/>
          <w:sz w:val="16"/>
        </w:rPr>
        <w:t>2024/2025</w:t>
      </w:r>
      <w:r>
        <w:rPr>
          <w:sz w:val="16"/>
        </w:rPr>
        <w:tab/>
      </w:r>
      <w:r>
        <w:rPr>
          <w:sz w:val="22"/>
        </w:rPr>
        <w:t>|</w:t>
      </w:r>
      <w:r>
        <w:rPr>
          <w:spacing w:val="74"/>
          <w:w w:val="150"/>
          <w:sz w:val="22"/>
        </w:rPr>
        <w:t> </w:t>
      </w:r>
      <w:r>
        <w:rPr>
          <w:spacing w:val="-10"/>
          <w:sz w:val="22"/>
        </w:rPr>
        <w:t>1</w:t>
      </w:r>
    </w:p>
    <w:p>
      <w:pPr>
        <w:spacing w:after="0"/>
        <w:jc w:val="left"/>
        <w:rPr>
          <w:sz w:val="22"/>
        </w:rPr>
        <w:sectPr>
          <w:type w:val="continuous"/>
          <w:pgSz w:w="11910" w:h="16840"/>
          <w:pgMar w:top="540" w:bottom="280" w:left="600" w:right="580"/>
        </w:sectPr>
      </w:pPr>
    </w:p>
    <w:p>
      <w:pPr>
        <w:spacing w:before="82"/>
        <w:ind w:left="120" w:right="0" w:firstLine="0"/>
        <w:jc w:val="left"/>
        <w:rPr>
          <w:rFonts w:ascii="Cambria"/>
          <w:sz w:val="32"/>
        </w:rPr>
      </w:pPr>
      <w:r>
        <w:rPr>
          <w:rFonts w:ascii="Cambria"/>
          <w:color w:val="364B80"/>
          <w:spacing w:val="-2"/>
          <w:sz w:val="32"/>
        </w:rPr>
        <w:t>Contents</w:t>
      </w:r>
    </w:p>
    <w:sdt>
      <w:sdtPr>
        <w:docPartObj>
          <w:docPartGallery w:val="Table of Contents"/>
          <w:docPartUnique/>
        </w:docPartObj>
      </w:sdtPr>
      <w:sdtEndPr/>
      <w:sdtContent>
        <w:p>
          <w:pPr>
            <w:pStyle w:val="TOC1"/>
            <w:tabs>
              <w:tab w:pos="10577" w:val="right" w:leader="dot"/>
            </w:tabs>
          </w:pPr>
          <w:hyperlink w:history="true" w:anchor="_TOC_250012">
            <w:r>
              <w:rPr/>
              <w:t>Message</w:t>
            </w:r>
            <w:r>
              <w:rPr>
                <w:spacing w:val="-5"/>
              </w:rPr>
              <w:t> </w:t>
            </w:r>
            <w:r>
              <w:rPr/>
              <w:t>from</w:t>
            </w:r>
            <w:r>
              <w:rPr>
                <w:spacing w:val="-2"/>
              </w:rPr>
              <w:t> </w:t>
            </w:r>
            <w:r>
              <w:rPr/>
              <w:t>the</w:t>
            </w:r>
            <w:r>
              <w:rPr>
                <w:spacing w:val="-3"/>
              </w:rPr>
              <w:t> </w:t>
            </w:r>
            <w:r>
              <w:rPr/>
              <w:t>Mayor</w:t>
            </w:r>
            <w:r>
              <w:rPr>
                <w:spacing w:val="-2"/>
              </w:rPr>
              <w:t> </w:t>
            </w:r>
            <w:r>
              <w:rPr/>
              <w:t>and</w:t>
            </w:r>
            <w:r>
              <w:rPr>
                <w:spacing w:val="-2"/>
              </w:rPr>
              <w:t> </w:t>
            </w:r>
            <w:r>
              <w:rPr/>
              <w:t>Chief</w:t>
            </w:r>
            <w:r>
              <w:rPr>
                <w:spacing w:val="-4"/>
              </w:rPr>
              <w:t> </w:t>
            </w:r>
            <w:r>
              <w:rPr/>
              <w:t>Executive</w:t>
            </w:r>
            <w:r>
              <w:rPr>
                <w:spacing w:val="-4"/>
              </w:rPr>
              <w:t> </w:t>
            </w:r>
            <w:r>
              <w:rPr>
                <w:spacing w:val="-2"/>
              </w:rPr>
              <w:t>Officer</w:t>
            </w:r>
            <w:r>
              <w:rPr>
                <w:rFonts w:ascii="Times New Roman"/>
              </w:rPr>
              <w:tab/>
            </w:r>
            <w:r>
              <w:rPr>
                <w:spacing w:val="-10"/>
              </w:rPr>
              <w:t>3</w:t>
            </w:r>
          </w:hyperlink>
        </w:p>
        <w:p>
          <w:pPr>
            <w:pStyle w:val="TOC2"/>
            <w:tabs>
              <w:tab w:pos="10577" w:val="right" w:leader="dot"/>
            </w:tabs>
            <w:ind w:firstLine="0"/>
          </w:pPr>
          <w:hyperlink w:history="true" w:anchor="_TOC_250011">
            <w:r>
              <w:rPr/>
              <w:t>Budget</w:t>
            </w:r>
            <w:r>
              <w:rPr>
                <w:spacing w:val="-2"/>
              </w:rPr>
              <w:t> influences</w:t>
            </w:r>
            <w:r>
              <w:rPr>
                <w:rFonts w:ascii="Times New Roman"/>
              </w:rPr>
              <w:tab/>
            </w:r>
            <w:r>
              <w:rPr>
                <w:spacing w:val="-10"/>
              </w:rPr>
              <w:t>7</w:t>
            </w:r>
          </w:hyperlink>
        </w:p>
        <w:p>
          <w:pPr>
            <w:pStyle w:val="TOC2"/>
            <w:tabs>
              <w:tab w:pos="10577" w:val="right" w:leader="dot"/>
            </w:tabs>
            <w:spacing w:before="99"/>
            <w:ind w:firstLine="0"/>
          </w:pPr>
          <w:hyperlink w:history="true" w:anchor="_TOC_250010">
            <w:r>
              <w:rPr/>
              <w:t>Budget</w:t>
            </w:r>
            <w:r>
              <w:rPr>
                <w:spacing w:val="-2"/>
              </w:rPr>
              <w:t> implications</w:t>
            </w:r>
            <w:r>
              <w:rPr>
                <w:rFonts w:ascii="Times New Roman"/>
              </w:rPr>
              <w:tab/>
            </w:r>
            <w:r>
              <w:rPr>
                <w:spacing w:val="-10"/>
              </w:rPr>
              <w:t>7</w:t>
            </w:r>
          </w:hyperlink>
        </w:p>
        <w:p>
          <w:pPr>
            <w:pStyle w:val="TOC2"/>
            <w:tabs>
              <w:tab w:pos="10576" w:val="right" w:leader="dot"/>
            </w:tabs>
            <w:ind w:firstLine="0"/>
          </w:pPr>
          <w:hyperlink w:history="true" w:anchor="_TOC_250009">
            <w:r>
              <w:rPr>
                <w:spacing w:val="-2"/>
              </w:rPr>
              <w:t>Influences</w:t>
            </w:r>
            <w:r>
              <w:rPr>
                <w:rFonts w:ascii="Times New Roman"/>
              </w:rPr>
              <w:tab/>
            </w:r>
            <w:r>
              <w:rPr>
                <w:spacing w:val="-10"/>
              </w:rPr>
              <w:t>7</w:t>
            </w:r>
          </w:hyperlink>
        </w:p>
        <w:p>
          <w:pPr>
            <w:pStyle w:val="TOC2"/>
            <w:tabs>
              <w:tab w:pos="10577" w:val="right" w:leader="dot"/>
            </w:tabs>
            <w:ind w:firstLine="0"/>
          </w:pPr>
          <w:hyperlink w:history="true" w:anchor="_TOC_250008">
            <w:r>
              <w:rPr/>
              <w:t>Budget</w:t>
            </w:r>
            <w:r>
              <w:rPr>
                <w:spacing w:val="-2"/>
              </w:rPr>
              <w:t> Principles</w:t>
            </w:r>
            <w:r>
              <w:rPr>
                <w:rFonts w:ascii="Times New Roman"/>
              </w:rPr>
              <w:tab/>
            </w:r>
            <w:r>
              <w:rPr>
                <w:spacing w:val="-10"/>
              </w:rPr>
              <w:t>8</w:t>
            </w:r>
          </w:hyperlink>
        </w:p>
        <w:p>
          <w:pPr>
            <w:pStyle w:val="TOC2"/>
            <w:tabs>
              <w:tab w:pos="10577" w:val="right" w:leader="dot"/>
            </w:tabs>
            <w:ind w:firstLine="0"/>
          </w:pPr>
          <w:hyperlink w:history="true" w:anchor="_TOC_250007">
            <w:r>
              <w:rPr/>
              <w:t>Legislative</w:t>
            </w:r>
            <w:r>
              <w:rPr>
                <w:spacing w:val="-5"/>
              </w:rPr>
              <w:t> </w:t>
            </w:r>
            <w:r>
              <w:rPr>
                <w:spacing w:val="-2"/>
              </w:rPr>
              <w:t>requirements</w:t>
            </w:r>
            <w:r>
              <w:rPr>
                <w:rFonts w:ascii="Times New Roman"/>
              </w:rPr>
              <w:tab/>
            </w:r>
            <w:r>
              <w:rPr>
                <w:spacing w:val="-10"/>
              </w:rPr>
              <w:t>9</w:t>
            </w:r>
          </w:hyperlink>
        </w:p>
        <w:p>
          <w:pPr>
            <w:pStyle w:val="TOC2"/>
            <w:tabs>
              <w:tab w:pos="10576" w:val="right" w:leader="dot"/>
            </w:tabs>
            <w:ind w:firstLine="0"/>
          </w:pPr>
          <w:hyperlink w:history="true" w:anchor="_TOC_250006">
            <w:r>
              <w:rPr/>
              <w:t>Summary</w:t>
            </w:r>
            <w:r>
              <w:rPr>
                <w:spacing w:val="-5"/>
              </w:rPr>
              <w:t> </w:t>
            </w:r>
            <w:r>
              <w:rPr/>
              <w:t>of</w:t>
            </w:r>
            <w:r>
              <w:rPr>
                <w:spacing w:val="-3"/>
              </w:rPr>
              <w:t> </w:t>
            </w:r>
            <w:r>
              <w:rPr/>
              <w:t>financial</w:t>
            </w:r>
            <w:r>
              <w:rPr>
                <w:spacing w:val="-4"/>
              </w:rPr>
              <w:t> </w:t>
            </w:r>
            <w:r>
              <w:rPr>
                <w:spacing w:val="-2"/>
              </w:rPr>
              <w:t>position</w:t>
            </w:r>
            <w:r>
              <w:rPr>
                <w:rFonts w:ascii="Times New Roman"/>
              </w:rPr>
              <w:tab/>
            </w:r>
            <w:r>
              <w:rPr>
                <w:spacing w:val="-5"/>
              </w:rPr>
              <w:t>10</w:t>
            </w:r>
          </w:hyperlink>
        </w:p>
        <w:p>
          <w:pPr>
            <w:pStyle w:val="TOC2"/>
            <w:numPr>
              <w:ilvl w:val="0"/>
              <w:numId w:val="1"/>
            </w:numPr>
            <w:tabs>
              <w:tab w:pos="779" w:val="left" w:leader="none"/>
              <w:tab w:pos="780" w:val="left" w:leader="none"/>
              <w:tab w:pos="10577" w:val="right" w:leader="dot"/>
            </w:tabs>
            <w:spacing w:line="240" w:lineRule="auto" w:before="100" w:after="0"/>
            <w:ind w:left="780" w:right="0" w:hanging="440"/>
            <w:jc w:val="left"/>
          </w:pPr>
          <w:hyperlink w:history="true" w:anchor="_TOC_250005">
            <w:r>
              <w:rPr/>
              <w:t>Link</w:t>
            </w:r>
            <w:r>
              <w:rPr>
                <w:spacing w:val="-4"/>
              </w:rPr>
              <w:t> </w:t>
            </w:r>
            <w:r>
              <w:rPr/>
              <w:t>to</w:t>
            </w:r>
            <w:r>
              <w:rPr>
                <w:spacing w:val="-6"/>
              </w:rPr>
              <w:t> </w:t>
            </w:r>
            <w:r>
              <w:rPr/>
              <w:t>the</w:t>
            </w:r>
            <w:r>
              <w:rPr>
                <w:spacing w:val="-6"/>
              </w:rPr>
              <w:t> </w:t>
            </w:r>
            <w:r>
              <w:rPr/>
              <w:t>Integrated</w:t>
            </w:r>
            <w:r>
              <w:rPr>
                <w:spacing w:val="-2"/>
              </w:rPr>
              <w:t> </w:t>
            </w:r>
            <w:r>
              <w:rPr/>
              <w:t>Strategic</w:t>
            </w:r>
            <w:r>
              <w:rPr>
                <w:spacing w:val="-4"/>
              </w:rPr>
              <w:t> </w:t>
            </w:r>
            <w:r>
              <w:rPr/>
              <w:t>Planning</w:t>
            </w:r>
            <w:r>
              <w:rPr>
                <w:spacing w:val="-3"/>
              </w:rPr>
              <w:t> </w:t>
            </w:r>
            <w:r>
              <w:rPr/>
              <w:t>and</w:t>
            </w:r>
            <w:r>
              <w:rPr>
                <w:spacing w:val="-3"/>
              </w:rPr>
              <w:t> </w:t>
            </w:r>
            <w:r>
              <w:rPr/>
              <w:t>Reporting</w:t>
            </w:r>
            <w:r>
              <w:rPr>
                <w:spacing w:val="-3"/>
              </w:rPr>
              <w:t> </w:t>
            </w:r>
            <w:r>
              <w:rPr>
                <w:spacing w:val="-2"/>
              </w:rPr>
              <w:t>Framework</w:t>
            </w:r>
            <w:r>
              <w:rPr>
                <w:rFonts w:ascii="Times New Roman"/>
              </w:rPr>
              <w:tab/>
            </w:r>
            <w:r>
              <w:rPr>
                <w:spacing w:val="-5"/>
              </w:rPr>
              <w:t>17</w:t>
            </w:r>
          </w:hyperlink>
        </w:p>
        <w:p>
          <w:pPr>
            <w:pStyle w:val="TOC2"/>
            <w:numPr>
              <w:ilvl w:val="0"/>
              <w:numId w:val="1"/>
            </w:numPr>
            <w:tabs>
              <w:tab w:pos="779" w:val="left" w:leader="none"/>
              <w:tab w:pos="780" w:val="left" w:leader="none"/>
              <w:tab w:pos="10577" w:val="right" w:leader="dot"/>
            </w:tabs>
            <w:spacing w:line="240" w:lineRule="auto" w:before="99" w:after="0"/>
            <w:ind w:left="780" w:right="0" w:hanging="440"/>
            <w:jc w:val="left"/>
          </w:pPr>
          <w:hyperlink w:history="true" w:anchor="_TOC_250004">
            <w:r>
              <w:rPr/>
              <w:t>Services</w:t>
            </w:r>
            <w:r>
              <w:rPr>
                <w:spacing w:val="-3"/>
              </w:rPr>
              <w:t> </w:t>
            </w:r>
            <w:r>
              <w:rPr/>
              <w:t>and</w:t>
            </w:r>
            <w:r>
              <w:rPr>
                <w:spacing w:val="-4"/>
              </w:rPr>
              <w:t> </w:t>
            </w:r>
            <w:r>
              <w:rPr/>
              <w:t>service</w:t>
            </w:r>
            <w:r>
              <w:rPr>
                <w:spacing w:val="-5"/>
              </w:rPr>
              <w:t> </w:t>
            </w:r>
            <w:r>
              <w:rPr/>
              <w:t>performance</w:t>
            </w:r>
            <w:r>
              <w:rPr>
                <w:spacing w:val="-1"/>
              </w:rPr>
              <w:t> </w:t>
            </w:r>
            <w:r>
              <w:rPr>
                <w:spacing w:val="-2"/>
              </w:rPr>
              <w:t>indicators</w:t>
            </w:r>
            <w:r>
              <w:rPr>
                <w:rFonts w:ascii="Times New Roman"/>
              </w:rPr>
              <w:tab/>
            </w:r>
            <w:r>
              <w:rPr>
                <w:spacing w:val="-5"/>
              </w:rPr>
              <w:t>21</w:t>
            </w:r>
          </w:hyperlink>
        </w:p>
        <w:p>
          <w:pPr>
            <w:pStyle w:val="TOC2"/>
            <w:numPr>
              <w:ilvl w:val="0"/>
              <w:numId w:val="1"/>
            </w:numPr>
            <w:tabs>
              <w:tab w:pos="779" w:val="left" w:leader="none"/>
              <w:tab w:pos="780" w:val="left" w:leader="none"/>
              <w:tab w:pos="10577" w:val="right" w:leader="dot"/>
            </w:tabs>
            <w:spacing w:line="240" w:lineRule="auto" w:before="100" w:after="0"/>
            <w:ind w:left="780" w:right="0" w:hanging="440"/>
            <w:jc w:val="left"/>
          </w:pPr>
          <w:hyperlink w:history="true" w:anchor="_TOC_250003">
            <w:r>
              <w:rPr/>
              <w:t>Financial</w:t>
            </w:r>
            <w:r>
              <w:rPr>
                <w:spacing w:val="-6"/>
              </w:rPr>
              <w:t> </w:t>
            </w:r>
            <w:r>
              <w:rPr>
                <w:spacing w:val="-2"/>
              </w:rPr>
              <w:t>Statements</w:t>
            </w:r>
            <w:r>
              <w:rPr>
                <w:rFonts w:ascii="Times New Roman"/>
              </w:rPr>
              <w:tab/>
            </w:r>
            <w:r>
              <w:rPr>
                <w:spacing w:val="-5"/>
              </w:rPr>
              <w:t>42</w:t>
            </w:r>
          </w:hyperlink>
        </w:p>
        <w:p>
          <w:pPr>
            <w:pStyle w:val="TOC2"/>
            <w:numPr>
              <w:ilvl w:val="0"/>
              <w:numId w:val="1"/>
            </w:numPr>
            <w:tabs>
              <w:tab w:pos="779" w:val="left" w:leader="none"/>
              <w:tab w:pos="780" w:val="left" w:leader="none"/>
              <w:tab w:pos="10576" w:val="right" w:leader="dot"/>
            </w:tabs>
            <w:spacing w:line="240" w:lineRule="auto" w:before="100" w:after="0"/>
            <w:ind w:left="780" w:right="0" w:hanging="440"/>
            <w:jc w:val="left"/>
          </w:pPr>
          <w:hyperlink w:history="true" w:anchor="_TOC_250002">
            <w:r>
              <w:rPr/>
              <w:t>Notes</w:t>
            </w:r>
            <w:r>
              <w:rPr>
                <w:spacing w:val="-4"/>
              </w:rPr>
              <w:t> </w:t>
            </w:r>
            <w:r>
              <w:rPr/>
              <w:t>to</w:t>
            </w:r>
            <w:r>
              <w:rPr>
                <w:spacing w:val="-4"/>
              </w:rPr>
              <w:t> </w:t>
            </w:r>
            <w:r>
              <w:rPr/>
              <w:t>the</w:t>
            </w:r>
            <w:r>
              <w:rPr>
                <w:spacing w:val="-4"/>
              </w:rPr>
              <w:t> </w:t>
            </w:r>
            <w:r>
              <w:rPr/>
              <w:t>financial</w:t>
            </w:r>
            <w:r>
              <w:rPr>
                <w:spacing w:val="-1"/>
              </w:rPr>
              <w:t> </w:t>
            </w:r>
            <w:r>
              <w:rPr>
                <w:spacing w:val="-2"/>
              </w:rPr>
              <w:t>statements</w:t>
            </w:r>
            <w:r>
              <w:rPr>
                <w:rFonts w:ascii="Times New Roman"/>
              </w:rPr>
              <w:tab/>
            </w:r>
            <w:r>
              <w:rPr>
                <w:spacing w:val="-5"/>
              </w:rPr>
              <w:t>52</w:t>
            </w:r>
          </w:hyperlink>
        </w:p>
        <w:p>
          <w:pPr>
            <w:pStyle w:val="TOC2"/>
            <w:numPr>
              <w:ilvl w:val="0"/>
              <w:numId w:val="1"/>
            </w:numPr>
            <w:tabs>
              <w:tab w:pos="779" w:val="left" w:leader="none"/>
              <w:tab w:pos="780" w:val="left" w:leader="none"/>
              <w:tab w:pos="10576" w:val="right" w:leader="dot"/>
            </w:tabs>
            <w:spacing w:line="240" w:lineRule="auto" w:before="102" w:after="0"/>
            <w:ind w:left="780" w:right="0" w:hanging="440"/>
            <w:jc w:val="left"/>
          </w:pPr>
          <w:hyperlink w:history="true" w:anchor="_TOC_250001">
            <w:r>
              <w:rPr/>
              <w:t>Financial</w:t>
            </w:r>
            <w:r>
              <w:rPr>
                <w:spacing w:val="-5"/>
              </w:rPr>
              <w:t> </w:t>
            </w:r>
            <w:r>
              <w:rPr/>
              <w:t>performance</w:t>
            </w:r>
            <w:r>
              <w:rPr>
                <w:spacing w:val="-5"/>
              </w:rPr>
              <w:t> </w:t>
            </w:r>
            <w:r>
              <w:rPr>
                <w:spacing w:val="-2"/>
              </w:rPr>
              <w:t>indicators</w:t>
            </w:r>
            <w:r>
              <w:rPr>
                <w:rFonts w:ascii="Times New Roman"/>
              </w:rPr>
              <w:tab/>
            </w:r>
            <w:r>
              <w:rPr>
                <w:spacing w:val="-5"/>
              </w:rPr>
              <w:t>83</w:t>
            </w:r>
          </w:hyperlink>
        </w:p>
        <w:p>
          <w:pPr>
            <w:pStyle w:val="TOC2"/>
            <w:numPr>
              <w:ilvl w:val="0"/>
              <w:numId w:val="1"/>
            </w:numPr>
            <w:tabs>
              <w:tab w:pos="779" w:val="left" w:leader="none"/>
              <w:tab w:pos="780" w:val="left" w:leader="none"/>
              <w:tab w:pos="10576" w:val="right" w:leader="dot"/>
            </w:tabs>
            <w:spacing w:line="240" w:lineRule="auto" w:before="100" w:after="0"/>
            <w:ind w:left="780" w:right="0" w:hanging="440"/>
            <w:jc w:val="left"/>
          </w:pPr>
          <w:hyperlink w:history="true" w:anchor="_TOC_250000">
            <w:r>
              <w:rPr/>
              <w:t>Schedule</w:t>
            </w:r>
            <w:r>
              <w:rPr>
                <w:spacing w:val="-5"/>
              </w:rPr>
              <w:t> </w:t>
            </w:r>
            <w:r>
              <w:rPr/>
              <w:t>of</w:t>
            </w:r>
            <w:r>
              <w:rPr>
                <w:spacing w:val="-1"/>
              </w:rPr>
              <w:t> </w:t>
            </w:r>
            <w:r>
              <w:rPr/>
              <w:t>Fees</w:t>
            </w:r>
            <w:r>
              <w:rPr>
                <w:spacing w:val="-2"/>
              </w:rPr>
              <w:t> </w:t>
            </w:r>
            <w:r>
              <w:rPr/>
              <w:t>and</w:t>
            </w:r>
            <w:r>
              <w:rPr>
                <w:spacing w:val="-4"/>
              </w:rPr>
              <w:t> </w:t>
            </w:r>
            <w:r>
              <w:rPr>
                <w:spacing w:val="-2"/>
              </w:rPr>
              <w:t>Charges</w:t>
            </w:r>
            <w:r>
              <w:rPr>
                <w:rFonts w:ascii="Times New Roman"/>
              </w:rPr>
              <w:tab/>
            </w:r>
            <w:r>
              <w:rPr>
                <w:spacing w:val="-5"/>
              </w:rPr>
              <w:t>88</w:t>
            </w:r>
          </w:hyperlink>
        </w:p>
      </w:sdtContent>
    </w:sdt>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6"/>
        </w:rPr>
      </w:pPr>
    </w:p>
    <w:p>
      <w:pPr>
        <w:spacing w:before="0"/>
        <w:ind w:left="1963" w:right="0" w:hanging="1844"/>
        <w:jc w:val="left"/>
        <w:rPr>
          <w:i/>
          <w:sz w:val="20"/>
        </w:rPr>
      </w:pPr>
      <w:r>
        <w:rPr>
          <w:sz w:val="22"/>
        </w:rPr>
        <w:t>Front</w:t>
      </w:r>
      <w:r>
        <w:rPr>
          <w:spacing w:val="-2"/>
          <w:sz w:val="22"/>
        </w:rPr>
        <w:t> </w:t>
      </w:r>
      <w:r>
        <w:rPr>
          <w:sz w:val="22"/>
        </w:rPr>
        <w:t>page</w:t>
      </w:r>
      <w:r>
        <w:rPr>
          <w:spacing w:val="-2"/>
          <w:sz w:val="22"/>
        </w:rPr>
        <w:t> </w:t>
      </w:r>
      <w:r>
        <w:rPr>
          <w:sz w:val="22"/>
        </w:rPr>
        <w:t>image:</w:t>
      </w:r>
      <w:r>
        <w:rPr>
          <w:spacing w:val="-2"/>
          <w:sz w:val="22"/>
        </w:rPr>
        <w:t> </w:t>
      </w:r>
      <w:r>
        <w:rPr>
          <w:i/>
          <w:sz w:val="20"/>
        </w:rPr>
        <w:t>Children</w:t>
      </w:r>
      <w:r>
        <w:rPr>
          <w:i/>
          <w:spacing w:val="-3"/>
          <w:sz w:val="20"/>
        </w:rPr>
        <w:t> </w:t>
      </w:r>
      <w:r>
        <w:rPr>
          <w:i/>
          <w:sz w:val="20"/>
        </w:rPr>
        <w:t>enjoy one</w:t>
      </w:r>
      <w:r>
        <w:rPr>
          <w:i/>
          <w:spacing w:val="-2"/>
          <w:sz w:val="20"/>
        </w:rPr>
        <w:t> </w:t>
      </w:r>
      <w:r>
        <w:rPr>
          <w:i/>
          <w:sz w:val="20"/>
        </w:rPr>
        <w:t>of</w:t>
      </w:r>
      <w:r>
        <w:rPr>
          <w:i/>
          <w:spacing w:val="-3"/>
          <w:sz w:val="20"/>
        </w:rPr>
        <w:t> </w:t>
      </w:r>
      <w:r>
        <w:rPr>
          <w:i/>
          <w:sz w:val="20"/>
        </w:rPr>
        <w:t>the</w:t>
      </w:r>
      <w:r>
        <w:rPr>
          <w:i/>
          <w:spacing w:val="-3"/>
          <w:sz w:val="20"/>
        </w:rPr>
        <w:t> </w:t>
      </w:r>
      <w:r>
        <w:rPr>
          <w:i/>
          <w:sz w:val="20"/>
        </w:rPr>
        <w:t>activities</w:t>
      </w:r>
      <w:r>
        <w:rPr>
          <w:i/>
          <w:spacing w:val="-3"/>
          <w:sz w:val="20"/>
        </w:rPr>
        <w:t> </w:t>
      </w:r>
      <w:r>
        <w:rPr>
          <w:i/>
          <w:sz w:val="20"/>
        </w:rPr>
        <w:t>at</w:t>
      </w:r>
      <w:r>
        <w:rPr>
          <w:i/>
          <w:spacing w:val="-3"/>
          <w:sz w:val="20"/>
        </w:rPr>
        <w:t> </w:t>
      </w:r>
      <w:r>
        <w:rPr>
          <w:i/>
          <w:sz w:val="20"/>
        </w:rPr>
        <w:t>the Celebrate</w:t>
      </w:r>
      <w:r>
        <w:rPr>
          <w:i/>
          <w:spacing w:val="-3"/>
          <w:sz w:val="20"/>
        </w:rPr>
        <w:t> </w:t>
      </w:r>
      <w:r>
        <w:rPr>
          <w:i/>
          <w:sz w:val="20"/>
        </w:rPr>
        <w:t>Maroondah</w:t>
      </w:r>
      <w:r>
        <w:rPr>
          <w:i/>
          <w:spacing w:val="-3"/>
          <w:sz w:val="20"/>
        </w:rPr>
        <w:t> </w:t>
      </w:r>
      <w:r>
        <w:rPr>
          <w:i/>
          <w:sz w:val="20"/>
        </w:rPr>
        <w:t>event</w:t>
      </w:r>
      <w:r>
        <w:rPr>
          <w:i/>
          <w:spacing w:val="-3"/>
          <w:sz w:val="20"/>
        </w:rPr>
        <w:t> </w:t>
      </w:r>
      <w:r>
        <w:rPr>
          <w:i/>
          <w:sz w:val="20"/>
        </w:rPr>
        <w:t>‘Music in</w:t>
      </w:r>
      <w:r>
        <w:rPr>
          <w:i/>
          <w:spacing w:val="-3"/>
          <w:sz w:val="20"/>
        </w:rPr>
        <w:t> </w:t>
      </w:r>
      <w:r>
        <w:rPr>
          <w:i/>
          <w:sz w:val="20"/>
        </w:rPr>
        <w:t>the</w:t>
      </w:r>
      <w:r>
        <w:rPr>
          <w:i/>
          <w:spacing w:val="-2"/>
          <w:sz w:val="20"/>
        </w:rPr>
        <w:t> </w:t>
      </w:r>
      <w:r>
        <w:rPr>
          <w:i/>
          <w:sz w:val="20"/>
        </w:rPr>
        <w:t>Park’</w:t>
      </w:r>
      <w:r>
        <w:rPr>
          <w:i/>
          <w:spacing w:val="-3"/>
          <w:sz w:val="20"/>
        </w:rPr>
        <w:t> </w:t>
      </w:r>
      <w:r>
        <w:rPr>
          <w:i/>
          <w:sz w:val="20"/>
        </w:rPr>
        <w:t>at</w:t>
      </w:r>
      <w:r>
        <w:rPr>
          <w:i/>
          <w:sz w:val="20"/>
        </w:rPr>
        <w:t> Ringwood Lake in February 2024.</w:t>
      </w:r>
    </w:p>
    <w:p>
      <w:pPr>
        <w:spacing w:after="0"/>
        <w:jc w:val="left"/>
        <w:rPr>
          <w:sz w:val="20"/>
        </w:rPr>
        <w:sectPr>
          <w:footerReference w:type="default" r:id="rId6"/>
          <w:pgSz w:w="11910" w:h="16840"/>
          <w:pgMar w:footer="693" w:header="0" w:top="620" w:bottom="880" w:left="600" w:right="580"/>
          <w:pgNumType w:start="2"/>
        </w:sectPr>
      </w:pPr>
    </w:p>
    <w:p>
      <w:pPr>
        <w:pStyle w:val="Heading1"/>
        <w:ind w:firstLine="0"/>
        <w:jc w:val="both"/>
      </w:pPr>
      <w:bookmarkStart w:name="_TOC_250012" w:id="1"/>
      <w:r>
        <w:rPr>
          <w:color w:val="232852"/>
        </w:rPr>
        <w:t>Message</w:t>
      </w:r>
      <w:r>
        <w:rPr>
          <w:color w:val="232852"/>
          <w:spacing w:val="-5"/>
        </w:rPr>
        <w:t> </w:t>
      </w:r>
      <w:r>
        <w:rPr>
          <w:color w:val="232852"/>
        </w:rPr>
        <w:t>from</w:t>
      </w:r>
      <w:r>
        <w:rPr>
          <w:color w:val="232852"/>
          <w:spacing w:val="-8"/>
        </w:rPr>
        <w:t> </w:t>
      </w:r>
      <w:r>
        <w:rPr>
          <w:color w:val="232852"/>
        </w:rPr>
        <w:t>the</w:t>
      </w:r>
      <w:r>
        <w:rPr>
          <w:color w:val="232852"/>
          <w:spacing w:val="-10"/>
        </w:rPr>
        <w:t> </w:t>
      </w:r>
      <w:r>
        <w:rPr>
          <w:color w:val="232852"/>
        </w:rPr>
        <w:t>Mayor</w:t>
      </w:r>
      <w:r>
        <w:rPr>
          <w:color w:val="232852"/>
          <w:spacing w:val="-8"/>
        </w:rPr>
        <w:t> </w:t>
      </w:r>
      <w:r>
        <w:rPr>
          <w:color w:val="232852"/>
        </w:rPr>
        <w:t>and</w:t>
      </w:r>
      <w:r>
        <w:rPr>
          <w:color w:val="232852"/>
          <w:spacing w:val="-11"/>
        </w:rPr>
        <w:t> </w:t>
      </w:r>
      <w:r>
        <w:rPr>
          <w:color w:val="232852"/>
        </w:rPr>
        <w:t>Chief</w:t>
      </w:r>
      <w:r>
        <w:rPr>
          <w:color w:val="232852"/>
          <w:spacing w:val="-8"/>
        </w:rPr>
        <w:t> </w:t>
      </w:r>
      <w:r>
        <w:rPr>
          <w:color w:val="232852"/>
        </w:rPr>
        <w:t>Executive</w:t>
      </w:r>
      <w:r>
        <w:rPr>
          <w:color w:val="232852"/>
          <w:spacing w:val="-5"/>
        </w:rPr>
        <w:t> </w:t>
      </w:r>
      <w:bookmarkEnd w:id="1"/>
      <w:r>
        <w:rPr>
          <w:color w:val="232852"/>
          <w:spacing w:val="-2"/>
        </w:rPr>
        <w:t>Officer</w:t>
      </w:r>
    </w:p>
    <w:p>
      <w:pPr>
        <w:pStyle w:val="BodyText"/>
        <w:spacing w:before="314"/>
        <w:ind w:left="120" w:right="135"/>
        <w:jc w:val="both"/>
      </w:pPr>
      <w:r>
        <w:rPr/>
        <w:drawing>
          <wp:anchor distT="0" distB="0" distL="0" distR="0" allowOverlap="1" layoutInCell="1" locked="0" behindDoc="1" simplePos="0" relativeHeight="465246720">
            <wp:simplePos x="0" y="0"/>
            <wp:positionH relativeFrom="page">
              <wp:posOffset>4800600</wp:posOffset>
            </wp:positionH>
            <wp:positionV relativeFrom="paragraph">
              <wp:posOffset>443202</wp:posOffset>
            </wp:positionV>
            <wp:extent cx="2296667" cy="1603247"/>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7" cstate="print"/>
                    <a:stretch>
                      <a:fillRect/>
                    </a:stretch>
                  </pic:blipFill>
                  <pic:spPr>
                    <a:xfrm>
                      <a:off x="0" y="0"/>
                      <a:ext cx="2296667" cy="1603247"/>
                    </a:xfrm>
                    <a:prstGeom prst="rect">
                      <a:avLst/>
                    </a:prstGeom>
                  </pic:spPr>
                </pic:pic>
              </a:graphicData>
            </a:graphic>
          </wp:anchor>
        </w:drawing>
      </w:r>
      <w:r>
        <w:rPr/>
        <w:t>On behalf of Maroondah City Council, we are pleased to present the 2024/2025 Budget to the Maroondah </w:t>
      </w:r>
      <w:r>
        <w:rPr>
          <w:spacing w:val="-2"/>
        </w:rPr>
        <w:t>community.</w:t>
      </w:r>
    </w:p>
    <w:p>
      <w:pPr>
        <w:pStyle w:val="BodyText"/>
        <w:rPr>
          <w:sz w:val="24"/>
        </w:rPr>
      </w:pPr>
    </w:p>
    <w:p>
      <w:pPr>
        <w:pStyle w:val="BodyText"/>
        <w:spacing w:before="10"/>
        <w:rPr>
          <w:sz w:val="19"/>
        </w:rPr>
      </w:pPr>
    </w:p>
    <w:p>
      <w:pPr>
        <w:pStyle w:val="BodyText"/>
        <w:ind w:left="120" w:right="3939"/>
        <w:jc w:val="both"/>
      </w:pPr>
      <w:r>
        <w:rPr/>
        <w:t>In preparing the 2024/2025 Budget, Council has taken into consideration the rising cost of living facing our community whilst maintaining a strong foundation for the delivery of programs and services.</w:t>
      </w:r>
      <w:r>
        <w:rPr>
          <w:spacing w:val="-2"/>
        </w:rPr>
        <w:t> </w:t>
      </w:r>
      <w:r>
        <w:rPr/>
        <w:t>This</w:t>
      </w:r>
      <w:r>
        <w:rPr>
          <w:spacing w:val="-3"/>
        </w:rPr>
        <w:t> </w:t>
      </w:r>
      <w:r>
        <w:rPr/>
        <w:t>includes</w:t>
      </w:r>
      <w:r>
        <w:rPr>
          <w:spacing w:val="-1"/>
        </w:rPr>
        <w:t> </w:t>
      </w:r>
      <w:r>
        <w:rPr/>
        <w:t>a</w:t>
      </w:r>
      <w:r>
        <w:rPr>
          <w:spacing w:val="-5"/>
        </w:rPr>
        <w:t> </w:t>
      </w:r>
      <w:r>
        <w:rPr/>
        <w:t>review</w:t>
      </w:r>
      <w:r>
        <w:rPr>
          <w:spacing w:val="-3"/>
        </w:rPr>
        <w:t> </w:t>
      </w:r>
      <w:r>
        <w:rPr/>
        <w:t>of</w:t>
      </w:r>
      <w:r>
        <w:rPr>
          <w:spacing w:val="-1"/>
        </w:rPr>
        <w:t> </w:t>
      </w:r>
      <w:r>
        <w:rPr/>
        <w:t>income</w:t>
      </w:r>
      <w:r>
        <w:rPr>
          <w:spacing w:val="-3"/>
        </w:rPr>
        <w:t> </w:t>
      </w:r>
      <w:r>
        <w:rPr/>
        <w:t>and</w:t>
      </w:r>
      <w:r>
        <w:rPr>
          <w:spacing w:val="-3"/>
        </w:rPr>
        <w:t> </w:t>
      </w:r>
      <w:r>
        <w:rPr/>
        <w:t>capital</w:t>
      </w:r>
      <w:r>
        <w:rPr>
          <w:spacing w:val="-3"/>
        </w:rPr>
        <w:t> </w:t>
      </w:r>
      <w:r>
        <w:rPr/>
        <w:t>work</w:t>
      </w:r>
      <w:r>
        <w:rPr>
          <w:spacing w:val="-3"/>
        </w:rPr>
        <w:t> </w:t>
      </w:r>
      <w:r>
        <w:rPr/>
        <w:t>projects, ensuring a sustainable outcome for the year ahead and for the 10 year Long Term Financial Strategy (LTFS).</w:t>
      </w:r>
    </w:p>
    <w:p>
      <w:pPr>
        <w:pStyle w:val="BodyText"/>
        <w:rPr>
          <w:sz w:val="24"/>
        </w:rPr>
      </w:pPr>
    </w:p>
    <w:p>
      <w:pPr>
        <w:pStyle w:val="BodyText"/>
        <w:spacing w:before="2"/>
        <w:rPr>
          <w:sz w:val="20"/>
        </w:rPr>
      </w:pPr>
    </w:p>
    <w:p>
      <w:pPr>
        <w:pStyle w:val="BodyText"/>
        <w:ind w:left="120" w:right="132"/>
        <w:jc w:val="both"/>
      </w:pPr>
      <w:r>
        <w:rPr/>
        <w:t>The LTFS outlines Council’s projected financial position for the next 10 years and provides a guide to the community, Council, and management to assist with decision-making about the future directions and operations of Council.</w:t>
      </w:r>
      <w:r>
        <w:rPr>
          <w:spacing w:val="40"/>
        </w:rPr>
        <w:t> </w:t>
      </w:r>
      <w:r>
        <w:rPr/>
        <w:t>The LTFS demonstrates our long-term financial sustainability and ensures we can continue</w:t>
      </w:r>
      <w:r>
        <w:rPr>
          <w:spacing w:val="-7"/>
        </w:rPr>
        <w:t> </w:t>
      </w:r>
      <w:r>
        <w:rPr/>
        <w:t>to</w:t>
      </w:r>
      <w:r>
        <w:rPr>
          <w:spacing w:val="-7"/>
        </w:rPr>
        <w:t> </w:t>
      </w:r>
      <w:r>
        <w:rPr/>
        <w:t>invest</w:t>
      </w:r>
      <w:r>
        <w:rPr>
          <w:spacing w:val="-5"/>
        </w:rPr>
        <w:t> </w:t>
      </w:r>
      <w:r>
        <w:rPr/>
        <w:t>in</w:t>
      </w:r>
      <w:r>
        <w:rPr>
          <w:spacing w:val="-7"/>
        </w:rPr>
        <w:t> </w:t>
      </w:r>
      <w:r>
        <w:rPr/>
        <w:t>community</w:t>
      </w:r>
      <w:r>
        <w:rPr>
          <w:spacing w:val="-7"/>
        </w:rPr>
        <w:t> </w:t>
      </w:r>
      <w:r>
        <w:rPr/>
        <w:t>facilities</w:t>
      </w:r>
      <w:r>
        <w:rPr>
          <w:spacing w:val="-5"/>
        </w:rPr>
        <w:t> </w:t>
      </w:r>
      <w:r>
        <w:rPr/>
        <w:t>and</w:t>
      </w:r>
      <w:r>
        <w:rPr>
          <w:spacing w:val="-4"/>
        </w:rPr>
        <w:t> </w:t>
      </w:r>
      <w:r>
        <w:rPr/>
        <w:t>services</w:t>
      </w:r>
      <w:r>
        <w:rPr>
          <w:spacing w:val="-5"/>
        </w:rPr>
        <w:t> </w:t>
      </w:r>
      <w:r>
        <w:rPr/>
        <w:t>while</w:t>
      </w:r>
      <w:r>
        <w:rPr>
          <w:spacing w:val="-7"/>
        </w:rPr>
        <w:t> </w:t>
      </w:r>
      <w:r>
        <w:rPr/>
        <w:t>operating</w:t>
      </w:r>
      <w:r>
        <w:rPr>
          <w:spacing w:val="-5"/>
        </w:rPr>
        <w:t> </w:t>
      </w:r>
      <w:r>
        <w:rPr/>
        <w:t>in</w:t>
      </w:r>
      <w:r>
        <w:rPr>
          <w:spacing w:val="-7"/>
        </w:rPr>
        <w:t> </w:t>
      </w:r>
      <w:r>
        <w:rPr/>
        <w:t>a</w:t>
      </w:r>
      <w:r>
        <w:rPr>
          <w:spacing w:val="-7"/>
        </w:rPr>
        <w:t> </w:t>
      </w:r>
      <w:r>
        <w:rPr/>
        <w:t>rate</w:t>
      </w:r>
      <w:r>
        <w:rPr>
          <w:spacing w:val="-5"/>
        </w:rPr>
        <w:t> </w:t>
      </w:r>
      <w:r>
        <w:rPr/>
        <w:t>cap</w:t>
      </w:r>
      <w:r>
        <w:rPr>
          <w:spacing w:val="-5"/>
        </w:rPr>
        <w:t> </w:t>
      </w:r>
      <w:r>
        <w:rPr/>
        <w:t>environment</w:t>
      </w:r>
      <w:r>
        <w:rPr>
          <w:spacing w:val="-3"/>
        </w:rPr>
        <w:t> </w:t>
      </w:r>
      <w:r>
        <w:rPr/>
        <w:t>as</w:t>
      </w:r>
      <w:r>
        <w:rPr>
          <w:spacing w:val="-7"/>
        </w:rPr>
        <w:t> </w:t>
      </w:r>
      <w:r>
        <w:rPr/>
        <w:t>set</w:t>
      </w:r>
      <w:r>
        <w:rPr>
          <w:spacing w:val="-5"/>
        </w:rPr>
        <w:t> </w:t>
      </w:r>
      <w:r>
        <w:rPr/>
        <w:t>out</w:t>
      </w:r>
      <w:r>
        <w:rPr>
          <w:spacing w:val="-7"/>
        </w:rPr>
        <w:t> </w:t>
      </w:r>
      <w:r>
        <w:rPr/>
        <w:t>in the Local Government (Fair Go Rates) Act 2015.</w:t>
      </w:r>
    </w:p>
    <w:p>
      <w:pPr>
        <w:pStyle w:val="BodyText"/>
        <w:spacing w:before="4"/>
        <w:rPr>
          <w:sz w:val="24"/>
        </w:rPr>
      </w:pPr>
    </w:p>
    <w:p>
      <w:pPr>
        <w:pStyle w:val="BodyText"/>
        <w:ind w:left="120" w:right="134"/>
        <w:jc w:val="both"/>
      </w:pPr>
      <w:r>
        <w:rPr/>
        <w:t>Council continues to work towards the community’s vision as outlined in </w:t>
      </w:r>
      <w:r>
        <w:rPr>
          <w:i/>
        </w:rPr>
        <w:t>Maroondah 2040 - Our future</w:t>
      </w:r>
      <w:r>
        <w:rPr>
          <w:i/>
        </w:rPr>
        <w:t> together. </w:t>
      </w:r>
      <w:r>
        <w:rPr/>
        <w:t>The vision was adopted in 2014, with further consultation and amendments made in 2020. It captures community aspirations and priorities, emerging themes and trends. These community aspirations and priorities are grouped into eight broad outcome areas that provide the structure for the four-year Maroondah City Council Plan 2021-2025. Consultation began in late 2023 for the development of our next community vision, </w:t>
      </w:r>
      <w:r>
        <w:rPr>
          <w:i/>
        </w:rPr>
        <w:t>Maroondah 2050</w:t>
      </w:r>
      <w:r>
        <w:rPr/>
        <w:t>. With further community consultation, including a Deliberative Panel, being held in 2024, we look forward to presenting our next community vision and outcome areas to the community later this year.</w:t>
      </w:r>
    </w:p>
    <w:p>
      <w:pPr>
        <w:pStyle w:val="BodyText"/>
        <w:spacing w:before="2"/>
        <w:rPr>
          <w:sz w:val="24"/>
        </w:rPr>
      </w:pPr>
    </w:p>
    <w:p>
      <w:pPr>
        <w:spacing w:before="0"/>
        <w:ind w:left="120" w:right="135" w:firstLine="0"/>
        <w:jc w:val="both"/>
        <w:rPr>
          <w:sz w:val="22"/>
        </w:rPr>
      </w:pPr>
      <w:r>
        <w:rPr>
          <w:sz w:val="22"/>
        </w:rPr>
        <w:t>The Council Plan has been informed by Council’s community engagement activities undertaken for the development and review of the </w:t>
      </w:r>
      <w:r>
        <w:rPr>
          <w:i/>
          <w:sz w:val="22"/>
        </w:rPr>
        <w:t>Maroondah 2040 Community Vision</w:t>
      </w:r>
      <w:r>
        <w:rPr>
          <w:sz w:val="22"/>
        </w:rPr>
        <w:t>; and </w:t>
      </w:r>
      <w:r>
        <w:rPr>
          <w:i/>
          <w:sz w:val="22"/>
        </w:rPr>
        <w:t>Maroondah Liveability, Wellbeing</w:t>
      </w:r>
      <w:r>
        <w:rPr>
          <w:i/>
          <w:sz w:val="22"/>
        </w:rPr>
        <w:t> and Resilience Strategy 2021-2031</w:t>
      </w:r>
      <w:r>
        <w:rPr>
          <w:sz w:val="22"/>
        </w:rPr>
        <w:t>.</w:t>
      </w:r>
    </w:p>
    <w:p>
      <w:pPr>
        <w:pStyle w:val="BodyText"/>
        <w:spacing w:before="1"/>
      </w:pPr>
    </w:p>
    <w:p>
      <w:pPr>
        <w:pStyle w:val="BodyText"/>
        <w:ind w:left="120" w:right="133"/>
        <w:jc w:val="both"/>
      </w:pPr>
      <w:r>
        <w:rPr/>
        <w:t>The Budget for 2024/2025 links to the achievement of the Council Plan as part of Council’s integrated planning framework. The 2024/2025 Budget outlines the provision of financial resources for the next 12 months and details how these resources will be applied to meet the actions and initiatives detailed in the Council Plan, as well as delivering the more than 120 services and the extensive range of programs and activities that Council provides to the Maroondah community.</w:t>
      </w:r>
    </w:p>
    <w:p>
      <w:pPr>
        <w:spacing w:after="0"/>
        <w:jc w:val="both"/>
        <w:sectPr>
          <w:pgSz w:w="11910" w:h="16840"/>
          <w:pgMar w:header="0" w:footer="693" w:top="640" w:bottom="880" w:left="600" w:right="580"/>
        </w:sectPr>
      </w:pPr>
    </w:p>
    <w:p>
      <w:pPr>
        <w:spacing w:before="81"/>
        <w:ind w:left="120" w:right="0" w:firstLine="0"/>
        <w:jc w:val="both"/>
        <w:rPr>
          <w:b/>
          <w:sz w:val="22"/>
        </w:rPr>
      </w:pPr>
      <w:r>
        <w:rPr>
          <w:b/>
          <w:color w:val="1D5D9E"/>
          <w:sz w:val="22"/>
        </w:rPr>
        <w:t>Budget</w:t>
      </w:r>
      <w:r>
        <w:rPr>
          <w:b/>
          <w:color w:val="1D5D9E"/>
          <w:spacing w:val="-4"/>
          <w:sz w:val="22"/>
        </w:rPr>
        <w:t> </w:t>
      </w:r>
      <w:r>
        <w:rPr>
          <w:b/>
          <w:color w:val="1D5D9E"/>
          <w:spacing w:val="-2"/>
          <w:sz w:val="22"/>
        </w:rPr>
        <w:t>Highlights</w:t>
      </w:r>
    </w:p>
    <w:p>
      <w:pPr>
        <w:pStyle w:val="BodyText"/>
        <w:spacing w:before="4"/>
        <w:rPr>
          <w:b/>
          <w:sz w:val="25"/>
        </w:rPr>
      </w:pPr>
    </w:p>
    <w:p>
      <w:pPr>
        <w:pStyle w:val="BodyText"/>
        <w:spacing w:before="1"/>
        <w:ind w:left="120" w:right="133"/>
        <w:jc w:val="both"/>
      </w:pPr>
      <w:r>
        <w:rPr/>
        <w:t>The 2024/2025 Budget contains 40 major initiatives as identified in the Council Plan. These initiatives will contribute to the achievement of the four-year Council Plan key directions and ultimately the outcomes as outlined in Maroondah 2040.</w:t>
      </w:r>
    </w:p>
    <w:p>
      <w:pPr>
        <w:pStyle w:val="BodyText"/>
        <w:spacing w:before="9"/>
        <w:rPr>
          <w:sz w:val="21"/>
        </w:rPr>
      </w:pPr>
    </w:p>
    <w:p>
      <w:pPr>
        <w:pStyle w:val="BodyText"/>
        <w:spacing w:before="1"/>
        <w:ind w:left="120"/>
        <w:jc w:val="both"/>
      </w:pPr>
      <w:r>
        <w:rPr/>
        <w:t>Some</w:t>
      </w:r>
      <w:r>
        <w:rPr>
          <w:spacing w:val="-4"/>
        </w:rPr>
        <w:t> </w:t>
      </w:r>
      <w:r>
        <w:rPr/>
        <w:t>initiatives</w:t>
      </w:r>
      <w:r>
        <w:rPr>
          <w:spacing w:val="-3"/>
        </w:rPr>
        <w:t> </w:t>
      </w:r>
      <w:r>
        <w:rPr>
          <w:spacing w:val="-2"/>
        </w:rPr>
        <w:t>include:</w:t>
      </w:r>
    </w:p>
    <w:p>
      <w:pPr>
        <w:pStyle w:val="BodyText"/>
        <w:spacing w:before="2"/>
      </w:pPr>
    </w:p>
    <w:p>
      <w:pPr>
        <w:pStyle w:val="ListParagraph"/>
        <w:numPr>
          <w:ilvl w:val="0"/>
          <w:numId w:val="2"/>
        </w:numPr>
        <w:tabs>
          <w:tab w:pos="687" w:val="left" w:leader="none"/>
        </w:tabs>
        <w:spacing w:line="259" w:lineRule="auto" w:before="0" w:after="0"/>
        <w:ind w:left="686" w:right="137" w:hanging="567"/>
        <w:jc w:val="both"/>
        <w:rPr>
          <w:rFonts w:ascii="Symbol" w:hAnsi="Symbol"/>
          <w:sz w:val="22"/>
        </w:rPr>
      </w:pPr>
      <w:r>
        <w:rPr>
          <w:sz w:val="22"/>
        </w:rPr>
        <w:t>Develop and implement the </w:t>
      </w:r>
      <w:r>
        <w:rPr>
          <w:i/>
          <w:sz w:val="22"/>
        </w:rPr>
        <w:t>Maroondah Liveability, Wellbeing and Resilience Strategy 2021-2031</w:t>
      </w:r>
      <w:r>
        <w:rPr>
          <w:i/>
          <w:sz w:val="22"/>
        </w:rPr>
        <w:t> </w:t>
      </w:r>
      <w:r>
        <w:rPr>
          <w:sz w:val="22"/>
        </w:rPr>
        <w:t>(including the </w:t>
      </w:r>
      <w:r>
        <w:rPr>
          <w:i/>
          <w:sz w:val="22"/>
        </w:rPr>
        <w:t>Health and Wellbeing Action Plan </w:t>
      </w:r>
      <w:r>
        <w:rPr>
          <w:sz w:val="22"/>
        </w:rPr>
        <w:t>and the </w:t>
      </w:r>
      <w:r>
        <w:rPr>
          <w:i/>
          <w:sz w:val="22"/>
        </w:rPr>
        <w:t>Positive Ageing Framework and Action Plan</w:t>
      </w:r>
      <w:r>
        <w:rPr>
          <w:i/>
          <w:sz w:val="22"/>
        </w:rPr>
        <w:t> </w:t>
      </w:r>
      <w:r>
        <w:rPr>
          <w:i/>
          <w:spacing w:val="-2"/>
          <w:sz w:val="22"/>
        </w:rPr>
        <w:t>2021-2025</w:t>
      </w:r>
      <w:r>
        <w:rPr>
          <w:spacing w:val="-2"/>
          <w:sz w:val="22"/>
        </w:rPr>
        <w:t>).</w:t>
      </w:r>
    </w:p>
    <w:p>
      <w:pPr>
        <w:pStyle w:val="ListParagraph"/>
        <w:numPr>
          <w:ilvl w:val="0"/>
          <w:numId w:val="2"/>
        </w:numPr>
        <w:tabs>
          <w:tab w:pos="687" w:val="left" w:leader="none"/>
        </w:tabs>
        <w:spacing w:line="267" w:lineRule="exact" w:before="0" w:after="0"/>
        <w:ind w:left="686" w:right="0" w:hanging="567"/>
        <w:jc w:val="both"/>
        <w:rPr>
          <w:rFonts w:ascii="Symbol" w:hAnsi="Symbol"/>
          <w:sz w:val="22"/>
        </w:rPr>
      </w:pPr>
      <w:r>
        <w:rPr>
          <w:sz w:val="22"/>
        </w:rPr>
        <w:t>Implement</w:t>
      </w:r>
      <w:r>
        <w:rPr>
          <w:spacing w:val="-5"/>
          <w:sz w:val="22"/>
        </w:rPr>
        <w:t> </w:t>
      </w:r>
      <w:r>
        <w:rPr>
          <w:sz w:val="22"/>
        </w:rPr>
        <w:t>the</w:t>
      </w:r>
      <w:r>
        <w:rPr>
          <w:spacing w:val="-6"/>
          <w:sz w:val="22"/>
        </w:rPr>
        <w:t> </w:t>
      </w:r>
      <w:r>
        <w:rPr>
          <w:i/>
          <w:sz w:val="22"/>
        </w:rPr>
        <w:t>Bayswater</w:t>
      </w:r>
      <w:r>
        <w:rPr>
          <w:i/>
          <w:spacing w:val="-3"/>
          <w:sz w:val="22"/>
        </w:rPr>
        <w:t> </w:t>
      </w:r>
      <w:r>
        <w:rPr>
          <w:i/>
          <w:sz w:val="22"/>
        </w:rPr>
        <w:t>Business</w:t>
      </w:r>
      <w:r>
        <w:rPr>
          <w:i/>
          <w:spacing w:val="-6"/>
          <w:sz w:val="22"/>
        </w:rPr>
        <w:t> </w:t>
      </w:r>
      <w:r>
        <w:rPr>
          <w:i/>
          <w:sz w:val="22"/>
        </w:rPr>
        <w:t>Precinct</w:t>
      </w:r>
      <w:r>
        <w:rPr>
          <w:i/>
          <w:spacing w:val="-6"/>
          <w:sz w:val="22"/>
        </w:rPr>
        <w:t> </w:t>
      </w:r>
      <w:r>
        <w:rPr>
          <w:i/>
          <w:sz w:val="22"/>
        </w:rPr>
        <w:t>Transformation</w:t>
      </w:r>
      <w:r>
        <w:rPr>
          <w:i/>
          <w:spacing w:val="-4"/>
          <w:sz w:val="22"/>
        </w:rPr>
        <w:t> </w:t>
      </w:r>
      <w:r>
        <w:rPr>
          <w:i/>
          <w:spacing w:val="-2"/>
          <w:sz w:val="22"/>
        </w:rPr>
        <w:t>Strategy</w:t>
      </w:r>
      <w:r>
        <w:rPr>
          <w:spacing w:val="-2"/>
          <w:sz w:val="22"/>
        </w:rPr>
        <w:t>.</w:t>
      </w:r>
    </w:p>
    <w:p>
      <w:pPr>
        <w:pStyle w:val="ListParagraph"/>
        <w:numPr>
          <w:ilvl w:val="0"/>
          <w:numId w:val="2"/>
        </w:numPr>
        <w:tabs>
          <w:tab w:pos="687" w:val="left" w:leader="none"/>
        </w:tabs>
        <w:spacing w:line="240" w:lineRule="auto" w:before="16" w:after="0"/>
        <w:ind w:left="686" w:right="0" w:hanging="567"/>
        <w:jc w:val="both"/>
        <w:rPr>
          <w:rFonts w:ascii="Symbol" w:hAnsi="Symbol"/>
          <w:sz w:val="22"/>
        </w:rPr>
      </w:pPr>
      <w:r>
        <w:rPr>
          <w:sz w:val="22"/>
        </w:rPr>
        <w:t>Design</w:t>
      </w:r>
      <w:r>
        <w:rPr>
          <w:spacing w:val="-6"/>
          <w:sz w:val="22"/>
        </w:rPr>
        <w:t> </w:t>
      </w:r>
      <w:r>
        <w:rPr>
          <w:sz w:val="22"/>
        </w:rPr>
        <w:t>the</w:t>
      </w:r>
      <w:r>
        <w:rPr>
          <w:spacing w:val="-4"/>
          <w:sz w:val="22"/>
        </w:rPr>
        <w:t> </w:t>
      </w:r>
      <w:r>
        <w:rPr>
          <w:sz w:val="22"/>
        </w:rPr>
        <w:t>Karralyka</w:t>
      </w:r>
      <w:r>
        <w:rPr>
          <w:spacing w:val="-8"/>
          <w:sz w:val="22"/>
        </w:rPr>
        <w:t> </w:t>
      </w:r>
      <w:r>
        <w:rPr>
          <w:sz w:val="22"/>
        </w:rPr>
        <w:t>redevelopment</w:t>
      </w:r>
      <w:r>
        <w:rPr>
          <w:spacing w:val="-3"/>
          <w:sz w:val="22"/>
        </w:rPr>
        <w:t> </w:t>
      </w:r>
      <w:r>
        <w:rPr>
          <w:sz w:val="22"/>
        </w:rPr>
        <w:t>and</w:t>
      </w:r>
      <w:r>
        <w:rPr>
          <w:spacing w:val="-3"/>
          <w:sz w:val="22"/>
        </w:rPr>
        <w:t> </w:t>
      </w:r>
      <w:r>
        <w:rPr>
          <w:sz w:val="22"/>
        </w:rPr>
        <w:t>undertake</w:t>
      </w:r>
      <w:r>
        <w:rPr>
          <w:spacing w:val="-3"/>
          <w:sz w:val="22"/>
        </w:rPr>
        <w:t> </w:t>
      </w:r>
      <w:r>
        <w:rPr>
          <w:sz w:val="22"/>
        </w:rPr>
        <w:t>staged</w:t>
      </w:r>
      <w:r>
        <w:rPr>
          <w:spacing w:val="-5"/>
          <w:sz w:val="22"/>
        </w:rPr>
        <w:t> </w:t>
      </w:r>
      <w:r>
        <w:rPr>
          <w:spacing w:val="-2"/>
          <w:sz w:val="22"/>
        </w:rPr>
        <w:t>works.</w:t>
      </w:r>
    </w:p>
    <w:p>
      <w:pPr>
        <w:pStyle w:val="ListParagraph"/>
        <w:numPr>
          <w:ilvl w:val="0"/>
          <w:numId w:val="2"/>
        </w:numPr>
        <w:tabs>
          <w:tab w:pos="686" w:val="left" w:leader="none"/>
          <w:tab w:pos="687" w:val="left" w:leader="none"/>
        </w:tabs>
        <w:spacing w:line="256" w:lineRule="auto" w:before="19" w:after="0"/>
        <w:ind w:left="686" w:right="134" w:hanging="567"/>
        <w:jc w:val="left"/>
        <w:rPr>
          <w:rFonts w:ascii="Symbol" w:hAnsi="Symbol"/>
          <w:sz w:val="22"/>
        </w:rPr>
      </w:pPr>
      <w:r>
        <w:rPr>
          <w:sz w:val="22"/>
        </w:rPr>
        <w:t>Review,</w:t>
      </w:r>
      <w:r>
        <w:rPr>
          <w:spacing w:val="-2"/>
          <w:sz w:val="22"/>
        </w:rPr>
        <w:t> </w:t>
      </w:r>
      <w:r>
        <w:rPr>
          <w:sz w:val="22"/>
        </w:rPr>
        <w:t>update</w:t>
      </w:r>
      <w:r>
        <w:rPr>
          <w:spacing w:val="-3"/>
          <w:sz w:val="22"/>
        </w:rPr>
        <w:t> </w:t>
      </w:r>
      <w:r>
        <w:rPr>
          <w:sz w:val="22"/>
        </w:rPr>
        <w:t>and</w:t>
      </w:r>
      <w:r>
        <w:rPr>
          <w:spacing w:val="-3"/>
          <w:sz w:val="22"/>
        </w:rPr>
        <w:t> </w:t>
      </w:r>
      <w:r>
        <w:rPr>
          <w:sz w:val="22"/>
        </w:rPr>
        <w:t>implement</w:t>
      </w:r>
      <w:r>
        <w:rPr>
          <w:spacing w:val="-3"/>
          <w:sz w:val="22"/>
        </w:rPr>
        <w:t> </w:t>
      </w:r>
      <w:r>
        <w:rPr>
          <w:sz w:val="22"/>
        </w:rPr>
        <w:t>Council’s</w:t>
      </w:r>
      <w:r>
        <w:rPr>
          <w:spacing w:val="-1"/>
          <w:sz w:val="22"/>
        </w:rPr>
        <w:t> </w:t>
      </w:r>
      <w:r>
        <w:rPr>
          <w:i/>
          <w:sz w:val="22"/>
        </w:rPr>
        <w:t>Sustainability Strategy</w:t>
      </w:r>
      <w:r>
        <w:rPr>
          <w:i/>
          <w:spacing w:val="-2"/>
          <w:sz w:val="22"/>
        </w:rPr>
        <w:t> </w:t>
      </w:r>
      <w:r>
        <w:rPr>
          <w:i/>
          <w:sz w:val="22"/>
        </w:rPr>
        <w:t>2022-2031</w:t>
      </w:r>
      <w:r>
        <w:rPr>
          <w:sz w:val="22"/>
        </w:rPr>
        <w:t>, including</w:t>
      </w:r>
      <w:r>
        <w:rPr>
          <w:spacing w:val="-2"/>
          <w:sz w:val="22"/>
        </w:rPr>
        <w:t> </w:t>
      </w:r>
      <w:r>
        <w:rPr>
          <w:sz w:val="22"/>
        </w:rPr>
        <w:t>development</w:t>
      </w:r>
      <w:r>
        <w:rPr>
          <w:spacing w:val="-1"/>
          <w:sz w:val="22"/>
        </w:rPr>
        <w:t> </w:t>
      </w:r>
      <w:r>
        <w:rPr>
          <w:sz w:val="22"/>
        </w:rPr>
        <w:t>of a Climate Change Plan.</w:t>
      </w:r>
    </w:p>
    <w:p>
      <w:pPr>
        <w:pStyle w:val="ListParagraph"/>
        <w:numPr>
          <w:ilvl w:val="0"/>
          <w:numId w:val="2"/>
        </w:numPr>
        <w:tabs>
          <w:tab w:pos="686" w:val="left" w:leader="none"/>
          <w:tab w:pos="687" w:val="left" w:leader="none"/>
        </w:tabs>
        <w:spacing w:line="240" w:lineRule="auto" w:before="2" w:after="0"/>
        <w:ind w:left="686" w:right="0" w:hanging="567"/>
        <w:jc w:val="left"/>
        <w:rPr>
          <w:rFonts w:ascii="Symbol" w:hAnsi="Symbol"/>
          <w:sz w:val="22"/>
        </w:rPr>
      </w:pPr>
      <w:r>
        <w:rPr>
          <w:sz w:val="22"/>
        </w:rPr>
        <w:t>Implement</w:t>
      </w:r>
      <w:r>
        <w:rPr>
          <w:spacing w:val="-6"/>
          <w:sz w:val="22"/>
        </w:rPr>
        <w:t> </w:t>
      </w:r>
      <w:r>
        <w:rPr>
          <w:sz w:val="22"/>
        </w:rPr>
        <w:t>Council’s</w:t>
      </w:r>
      <w:r>
        <w:rPr>
          <w:spacing w:val="-4"/>
          <w:sz w:val="22"/>
        </w:rPr>
        <w:t> </w:t>
      </w:r>
      <w:r>
        <w:rPr>
          <w:i/>
          <w:sz w:val="22"/>
        </w:rPr>
        <w:t>Waste,</w:t>
      </w:r>
      <w:r>
        <w:rPr>
          <w:i/>
          <w:spacing w:val="-3"/>
          <w:sz w:val="22"/>
        </w:rPr>
        <w:t> </w:t>
      </w:r>
      <w:r>
        <w:rPr>
          <w:i/>
          <w:sz w:val="22"/>
        </w:rPr>
        <w:t>Litter</w:t>
      </w:r>
      <w:r>
        <w:rPr>
          <w:i/>
          <w:spacing w:val="-3"/>
          <w:sz w:val="22"/>
        </w:rPr>
        <w:t> </w:t>
      </w:r>
      <w:r>
        <w:rPr>
          <w:i/>
          <w:sz w:val="22"/>
        </w:rPr>
        <w:t>&amp;</w:t>
      </w:r>
      <w:r>
        <w:rPr>
          <w:i/>
          <w:spacing w:val="-5"/>
          <w:sz w:val="22"/>
        </w:rPr>
        <w:t> </w:t>
      </w:r>
      <w:r>
        <w:rPr>
          <w:i/>
          <w:sz w:val="22"/>
        </w:rPr>
        <w:t>Resource</w:t>
      </w:r>
      <w:r>
        <w:rPr>
          <w:i/>
          <w:spacing w:val="-6"/>
          <w:sz w:val="22"/>
        </w:rPr>
        <w:t> </w:t>
      </w:r>
      <w:r>
        <w:rPr>
          <w:i/>
          <w:sz w:val="22"/>
        </w:rPr>
        <w:t>Recovery</w:t>
      </w:r>
      <w:r>
        <w:rPr>
          <w:i/>
          <w:spacing w:val="-6"/>
          <w:sz w:val="22"/>
        </w:rPr>
        <w:t> </w:t>
      </w:r>
      <w:r>
        <w:rPr>
          <w:i/>
          <w:sz w:val="22"/>
        </w:rPr>
        <w:t>Strategy</w:t>
      </w:r>
      <w:r>
        <w:rPr>
          <w:i/>
          <w:spacing w:val="-5"/>
          <w:sz w:val="22"/>
        </w:rPr>
        <w:t> </w:t>
      </w:r>
      <w:r>
        <w:rPr>
          <w:i/>
          <w:sz w:val="22"/>
        </w:rPr>
        <w:t>2020-</w:t>
      </w:r>
      <w:r>
        <w:rPr>
          <w:i/>
          <w:spacing w:val="-2"/>
          <w:sz w:val="22"/>
        </w:rPr>
        <w:t>2030</w:t>
      </w:r>
      <w:r>
        <w:rPr>
          <w:spacing w:val="-2"/>
          <w:sz w:val="22"/>
        </w:rPr>
        <w:t>.</w:t>
      </w:r>
    </w:p>
    <w:p>
      <w:pPr>
        <w:pStyle w:val="ListParagraph"/>
        <w:numPr>
          <w:ilvl w:val="0"/>
          <w:numId w:val="2"/>
        </w:numPr>
        <w:tabs>
          <w:tab w:pos="686" w:val="left" w:leader="none"/>
          <w:tab w:pos="687" w:val="left" w:leader="none"/>
        </w:tabs>
        <w:spacing w:line="240" w:lineRule="auto" w:before="19" w:after="0"/>
        <w:ind w:left="686" w:right="0" w:hanging="567"/>
        <w:jc w:val="left"/>
        <w:rPr>
          <w:rFonts w:ascii="Symbol" w:hAnsi="Symbol"/>
          <w:sz w:val="22"/>
        </w:rPr>
      </w:pPr>
      <w:r>
        <w:rPr>
          <w:sz w:val="22"/>
        </w:rPr>
        <w:t>Design</w:t>
      </w:r>
      <w:r>
        <w:rPr>
          <w:spacing w:val="-5"/>
          <w:sz w:val="22"/>
        </w:rPr>
        <w:t> </w:t>
      </w:r>
      <w:r>
        <w:rPr>
          <w:sz w:val="22"/>
        </w:rPr>
        <w:t>and</w:t>
      </w:r>
      <w:r>
        <w:rPr>
          <w:spacing w:val="-2"/>
          <w:sz w:val="22"/>
        </w:rPr>
        <w:t> </w:t>
      </w:r>
      <w:r>
        <w:rPr>
          <w:sz w:val="22"/>
        </w:rPr>
        <w:t>construct an</w:t>
      </w:r>
      <w:r>
        <w:rPr>
          <w:spacing w:val="-8"/>
          <w:sz w:val="22"/>
        </w:rPr>
        <w:t> </w:t>
      </w:r>
      <w:r>
        <w:rPr>
          <w:sz w:val="22"/>
        </w:rPr>
        <w:t>activity</w:t>
      </w:r>
      <w:r>
        <w:rPr>
          <w:spacing w:val="-5"/>
          <w:sz w:val="22"/>
        </w:rPr>
        <w:t> </w:t>
      </w:r>
      <w:r>
        <w:rPr>
          <w:sz w:val="22"/>
        </w:rPr>
        <w:t>centre</w:t>
      </w:r>
      <w:r>
        <w:rPr>
          <w:spacing w:val="-1"/>
          <w:sz w:val="22"/>
        </w:rPr>
        <w:t> </w:t>
      </w:r>
      <w:r>
        <w:rPr>
          <w:sz w:val="22"/>
        </w:rPr>
        <w:t>carpark</w:t>
      </w:r>
      <w:r>
        <w:rPr>
          <w:spacing w:val="-4"/>
          <w:sz w:val="22"/>
        </w:rPr>
        <w:t> </w:t>
      </w:r>
      <w:r>
        <w:rPr>
          <w:sz w:val="22"/>
        </w:rPr>
        <w:t>in</w:t>
      </w:r>
      <w:r>
        <w:rPr>
          <w:spacing w:val="-5"/>
          <w:sz w:val="22"/>
        </w:rPr>
        <w:t> </w:t>
      </w:r>
      <w:r>
        <w:rPr>
          <w:spacing w:val="-2"/>
          <w:sz w:val="22"/>
        </w:rPr>
        <w:t>Ringwood.</w:t>
      </w:r>
    </w:p>
    <w:p>
      <w:pPr>
        <w:pStyle w:val="ListParagraph"/>
        <w:numPr>
          <w:ilvl w:val="0"/>
          <w:numId w:val="2"/>
        </w:numPr>
        <w:tabs>
          <w:tab w:pos="687" w:val="left" w:leader="none"/>
        </w:tabs>
        <w:spacing w:line="259" w:lineRule="auto" w:before="18" w:after="0"/>
        <w:ind w:left="686" w:right="137" w:hanging="567"/>
        <w:jc w:val="both"/>
        <w:rPr>
          <w:rFonts w:ascii="Symbol" w:hAnsi="Symbol"/>
          <w:sz w:val="22"/>
        </w:rPr>
      </w:pPr>
      <w:r>
        <w:rPr>
          <w:sz w:val="22"/>
        </w:rPr>
        <w:t>Work in partnership with</w:t>
      </w:r>
      <w:r>
        <w:rPr>
          <w:spacing w:val="-1"/>
          <w:sz w:val="22"/>
        </w:rPr>
        <w:t> </w:t>
      </w:r>
      <w:r>
        <w:rPr>
          <w:sz w:val="22"/>
        </w:rPr>
        <w:t>the Victorian</w:t>
      </w:r>
      <w:r>
        <w:rPr>
          <w:spacing w:val="-3"/>
          <w:sz w:val="22"/>
        </w:rPr>
        <w:t> </w:t>
      </w:r>
      <w:r>
        <w:rPr>
          <w:sz w:val="22"/>
        </w:rPr>
        <w:t>Government to</w:t>
      </w:r>
      <w:r>
        <w:rPr>
          <w:spacing w:val="-1"/>
          <w:sz w:val="22"/>
        </w:rPr>
        <w:t> </w:t>
      </w:r>
      <w:r>
        <w:rPr>
          <w:sz w:val="22"/>
        </w:rPr>
        <w:t>support the removal</w:t>
      </w:r>
      <w:r>
        <w:rPr>
          <w:spacing w:val="-2"/>
          <w:sz w:val="22"/>
        </w:rPr>
        <w:t> </w:t>
      </w:r>
      <w:r>
        <w:rPr>
          <w:sz w:val="22"/>
        </w:rPr>
        <w:t>of level crossings at Dublin Road,</w:t>
      </w:r>
      <w:r>
        <w:rPr>
          <w:spacing w:val="-7"/>
          <w:sz w:val="22"/>
        </w:rPr>
        <w:t> </w:t>
      </w:r>
      <w:r>
        <w:rPr>
          <w:sz w:val="22"/>
        </w:rPr>
        <w:t>Ringwood</w:t>
      </w:r>
      <w:r>
        <w:rPr>
          <w:spacing w:val="-13"/>
          <w:sz w:val="22"/>
        </w:rPr>
        <w:t> </w:t>
      </w:r>
      <w:r>
        <w:rPr>
          <w:sz w:val="22"/>
        </w:rPr>
        <w:t>East</w:t>
      </w:r>
      <w:r>
        <w:rPr>
          <w:spacing w:val="-9"/>
          <w:sz w:val="22"/>
        </w:rPr>
        <w:t> </w:t>
      </w:r>
      <w:r>
        <w:rPr>
          <w:sz w:val="22"/>
        </w:rPr>
        <w:t>and</w:t>
      </w:r>
      <w:r>
        <w:rPr>
          <w:spacing w:val="-11"/>
          <w:sz w:val="22"/>
        </w:rPr>
        <w:t> </w:t>
      </w:r>
      <w:r>
        <w:rPr>
          <w:sz w:val="22"/>
        </w:rPr>
        <w:t>Coolstore</w:t>
      </w:r>
      <w:r>
        <w:rPr>
          <w:spacing w:val="-13"/>
          <w:sz w:val="22"/>
        </w:rPr>
        <w:t> </w:t>
      </w:r>
      <w:r>
        <w:rPr>
          <w:sz w:val="22"/>
        </w:rPr>
        <w:t>Road,</w:t>
      </w:r>
      <w:r>
        <w:rPr>
          <w:spacing w:val="-11"/>
          <w:sz w:val="22"/>
        </w:rPr>
        <w:t> </w:t>
      </w:r>
      <w:r>
        <w:rPr>
          <w:sz w:val="22"/>
        </w:rPr>
        <w:t>Croydon;</w:t>
      </w:r>
      <w:r>
        <w:rPr>
          <w:spacing w:val="-11"/>
          <w:sz w:val="22"/>
        </w:rPr>
        <w:t> </w:t>
      </w:r>
      <w:r>
        <w:rPr>
          <w:sz w:val="22"/>
        </w:rPr>
        <w:t>and</w:t>
      </w:r>
      <w:r>
        <w:rPr>
          <w:spacing w:val="-11"/>
          <w:sz w:val="22"/>
        </w:rPr>
        <w:t> </w:t>
      </w:r>
      <w:r>
        <w:rPr>
          <w:sz w:val="22"/>
        </w:rPr>
        <w:t>the</w:t>
      </w:r>
      <w:r>
        <w:rPr>
          <w:spacing w:val="-13"/>
          <w:sz w:val="22"/>
        </w:rPr>
        <w:t> </w:t>
      </w:r>
      <w:r>
        <w:rPr>
          <w:sz w:val="22"/>
        </w:rPr>
        <w:t>construction</w:t>
      </w:r>
      <w:r>
        <w:rPr>
          <w:spacing w:val="-13"/>
          <w:sz w:val="22"/>
        </w:rPr>
        <w:t> </w:t>
      </w:r>
      <w:r>
        <w:rPr>
          <w:sz w:val="22"/>
        </w:rPr>
        <w:t>of</w:t>
      </w:r>
      <w:r>
        <w:rPr>
          <w:spacing w:val="-11"/>
          <w:sz w:val="22"/>
        </w:rPr>
        <w:t> </w:t>
      </w:r>
      <w:r>
        <w:rPr>
          <w:sz w:val="22"/>
        </w:rPr>
        <w:t>new</w:t>
      </w:r>
      <w:r>
        <w:rPr>
          <w:spacing w:val="-14"/>
          <w:sz w:val="22"/>
        </w:rPr>
        <w:t> </w:t>
      </w:r>
      <w:r>
        <w:rPr>
          <w:sz w:val="22"/>
        </w:rPr>
        <w:t>stations</w:t>
      </w:r>
      <w:r>
        <w:rPr>
          <w:spacing w:val="-9"/>
          <w:sz w:val="22"/>
        </w:rPr>
        <w:t> </w:t>
      </w:r>
      <w:r>
        <w:rPr>
          <w:sz w:val="22"/>
        </w:rPr>
        <w:t>at</w:t>
      </w:r>
      <w:r>
        <w:rPr>
          <w:spacing w:val="-11"/>
          <w:sz w:val="22"/>
        </w:rPr>
        <w:t> </w:t>
      </w:r>
      <w:r>
        <w:rPr>
          <w:sz w:val="22"/>
        </w:rPr>
        <w:t>Ringwood East and Croydon.</w:t>
      </w:r>
    </w:p>
    <w:p>
      <w:pPr>
        <w:pStyle w:val="ListParagraph"/>
        <w:numPr>
          <w:ilvl w:val="0"/>
          <w:numId w:val="2"/>
        </w:numPr>
        <w:tabs>
          <w:tab w:pos="687" w:val="left" w:leader="none"/>
        </w:tabs>
        <w:spacing w:line="265" w:lineRule="exact" w:before="0" w:after="0"/>
        <w:ind w:left="686" w:right="0" w:hanging="567"/>
        <w:jc w:val="both"/>
        <w:rPr>
          <w:rFonts w:ascii="Symbol" w:hAnsi="Symbol"/>
          <w:sz w:val="22"/>
        </w:rPr>
      </w:pPr>
      <w:r>
        <w:rPr>
          <w:sz w:val="22"/>
        </w:rPr>
        <w:t>Develop</w:t>
      </w:r>
      <w:r>
        <w:rPr>
          <w:spacing w:val="-6"/>
          <w:sz w:val="22"/>
        </w:rPr>
        <w:t> </w:t>
      </w:r>
      <w:r>
        <w:rPr>
          <w:sz w:val="22"/>
        </w:rPr>
        <w:t>a</w:t>
      </w:r>
      <w:r>
        <w:rPr>
          <w:spacing w:val="-2"/>
          <w:sz w:val="22"/>
        </w:rPr>
        <w:t> </w:t>
      </w:r>
      <w:r>
        <w:rPr>
          <w:sz w:val="22"/>
        </w:rPr>
        <w:t>new</w:t>
      </w:r>
      <w:r>
        <w:rPr>
          <w:spacing w:val="-3"/>
          <w:sz w:val="22"/>
        </w:rPr>
        <w:t> </w:t>
      </w:r>
      <w:r>
        <w:rPr>
          <w:sz w:val="22"/>
        </w:rPr>
        <w:t>Croydon</w:t>
      </w:r>
      <w:r>
        <w:rPr>
          <w:spacing w:val="-6"/>
          <w:sz w:val="22"/>
        </w:rPr>
        <w:t> </w:t>
      </w:r>
      <w:r>
        <w:rPr>
          <w:sz w:val="22"/>
        </w:rPr>
        <w:t>Structure</w:t>
      </w:r>
      <w:r>
        <w:rPr>
          <w:spacing w:val="-7"/>
          <w:sz w:val="22"/>
        </w:rPr>
        <w:t> </w:t>
      </w:r>
      <w:r>
        <w:rPr>
          <w:sz w:val="22"/>
        </w:rPr>
        <w:t>Plan</w:t>
      </w:r>
      <w:r>
        <w:rPr>
          <w:spacing w:val="-4"/>
          <w:sz w:val="22"/>
        </w:rPr>
        <w:t> </w:t>
      </w:r>
      <w:r>
        <w:rPr>
          <w:sz w:val="22"/>
        </w:rPr>
        <w:t>(including</w:t>
      </w:r>
      <w:r>
        <w:rPr>
          <w:spacing w:val="-2"/>
          <w:sz w:val="22"/>
        </w:rPr>
        <w:t> </w:t>
      </w:r>
      <w:r>
        <w:rPr>
          <w:sz w:val="22"/>
        </w:rPr>
        <w:t>urban</w:t>
      </w:r>
      <w:r>
        <w:rPr>
          <w:spacing w:val="-7"/>
          <w:sz w:val="22"/>
        </w:rPr>
        <w:t> </w:t>
      </w:r>
      <w:r>
        <w:rPr>
          <w:sz w:val="22"/>
        </w:rPr>
        <w:t>design</w:t>
      </w:r>
      <w:r>
        <w:rPr>
          <w:spacing w:val="-3"/>
          <w:sz w:val="22"/>
        </w:rPr>
        <w:t> </w:t>
      </w:r>
      <w:r>
        <w:rPr>
          <w:spacing w:val="-2"/>
          <w:sz w:val="22"/>
        </w:rPr>
        <w:t>guidelines).</w:t>
      </w:r>
    </w:p>
    <w:p>
      <w:pPr>
        <w:pStyle w:val="ListParagraph"/>
        <w:numPr>
          <w:ilvl w:val="0"/>
          <w:numId w:val="2"/>
        </w:numPr>
        <w:tabs>
          <w:tab w:pos="687" w:val="left" w:leader="none"/>
        </w:tabs>
        <w:spacing w:line="240" w:lineRule="auto" w:before="19" w:after="0"/>
        <w:ind w:left="686" w:right="0" w:hanging="567"/>
        <w:jc w:val="both"/>
        <w:rPr>
          <w:rFonts w:ascii="Symbol" w:hAnsi="Symbol"/>
          <w:sz w:val="22"/>
        </w:rPr>
      </w:pPr>
      <w:r>
        <w:rPr>
          <w:sz w:val="22"/>
        </w:rPr>
        <w:t>Undertake</w:t>
      </w:r>
      <w:r>
        <w:rPr>
          <w:spacing w:val="-8"/>
          <w:sz w:val="22"/>
        </w:rPr>
        <w:t> </w:t>
      </w:r>
      <w:r>
        <w:rPr>
          <w:sz w:val="22"/>
        </w:rPr>
        <w:t>a</w:t>
      </w:r>
      <w:r>
        <w:rPr>
          <w:spacing w:val="-6"/>
          <w:sz w:val="22"/>
        </w:rPr>
        <w:t> </w:t>
      </w:r>
      <w:r>
        <w:rPr>
          <w:sz w:val="22"/>
        </w:rPr>
        <w:t>staged</w:t>
      </w:r>
      <w:r>
        <w:rPr>
          <w:spacing w:val="-3"/>
          <w:sz w:val="22"/>
        </w:rPr>
        <w:t> </w:t>
      </w:r>
      <w:r>
        <w:rPr>
          <w:sz w:val="22"/>
        </w:rPr>
        <w:t>development</w:t>
      </w:r>
      <w:r>
        <w:rPr>
          <w:spacing w:val="-2"/>
          <w:sz w:val="22"/>
        </w:rPr>
        <w:t> </w:t>
      </w:r>
      <w:r>
        <w:rPr>
          <w:sz w:val="22"/>
        </w:rPr>
        <w:t>of</w:t>
      </w:r>
      <w:r>
        <w:rPr>
          <w:spacing w:val="-4"/>
          <w:sz w:val="22"/>
        </w:rPr>
        <w:t> </w:t>
      </w:r>
      <w:r>
        <w:rPr>
          <w:sz w:val="22"/>
        </w:rPr>
        <w:t>the</w:t>
      </w:r>
      <w:r>
        <w:rPr>
          <w:spacing w:val="-6"/>
          <w:sz w:val="22"/>
        </w:rPr>
        <w:t> </w:t>
      </w:r>
      <w:r>
        <w:rPr>
          <w:sz w:val="22"/>
        </w:rPr>
        <w:t>Croydon</w:t>
      </w:r>
      <w:r>
        <w:rPr>
          <w:spacing w:val="-6"/>
          <w:sz w:val="22"/>
        </w:rPr>
        <w:t> </w:t>
      </w:r>
      <w:r>
        <w:rPr>
          <w:sz w:val="22"/>
        </w:rPr>
        <w:t>Community</w:t>
      </w:r>
      <w:r>
        <w:rPr>
          <w:spacing w:val="-6"/>
          <w:sz w:val="22"/>
        </w:rPr>
        <w:t> </w:t>
      </w:r>
      <w:r>
        <w:rPr>
          <w:sz w:val="22"/>
        </w:rPr>
        <w:t>Wellbeing</w:t>
      </w:r>
      <w:r>
        <w:rPr>
          <w:spacing w:val="-4"/>
          <w:sz w:val="22"/>
        </w:rPr>
        <w:t> </w:t>
      </w:r>
      <w:r>
        <w:rPr>
          <w:spacing w:val="-2"/>
          <w:sz w:val="22"/>
        </w:rPr>
        <w:t>Precinct.</w:t>
      </w:r>
    </w:p>
    <w:p>
      <w:pPr>
        <w:pStyle w:val="ListParagraph"/>
        <w:numPr>
          <w:ilvl w:val="0"/>
          <w:numId w:val="2"/>
        </w:numPr>
        <w:tabs>
          <w:tab w:pos="686" w:val="left" w:leader="none"/>
          <w:tab w:pos="687" w:val="left" w:leader="none"/>
        </w:tabs>
        <w:spacing w:line="256" w:lineRule="auto" w:before="18" w:after="0"/>
        <w:ind w:left="686" w:right="138" w:hanging="567"/>
        <w:jc w:val="left"/>
        <w:rPr>
          <w:rFonts w:ascii="Symbol" w:hAnsi="Symbol"/>
          <w:sz w:val="22"/>
        </w:rPr>
      </w:pPr>
      <w:r>
        <w:rPr>
          <w:sz w:val="22"/>
        </w:rPr>
        <w:t>Develop the Customer Service Strategy 2025-2029 to continue to advance Council’s commitment to be highly responsive and customer focused.</w:t>
      </w:r>
    </w:p>
    <w:p>
      <w:pPr>
        <w:pStyle w:val="ListParagraph"/>
        <w:numPr>
          <w:ilvl w:val="0"/>
          <w:numId w:val="2"/>
        </w:numPr>
        <w:tabs>
          <w:tab w:pos="686" w:val="left" w:leader="none"/>
          <w:tab w:pos="687" w:val="left" w:leader="none"/>
        </w:tabs>
        <w:spacing w:line="256" w:lineRule="auto" w:before="3" w:after="0"/>
        <w:ind w:left="686" w:right="138" w:hanging="567"/>
        <w:jc w:val="left"/>
        <w:rPr>
          <w:rFonts w:ascii="Symbol" w:hAnsi="Symbol"/>
          <w:sz w:val="22"/>
        </w:rPr>
      </w:pPr>
      <w:r>
        <w:rPr>
          <w:sz w:val="22"/>
        </w:rPr>
        <w:t>Work</w:t>
      </w:r>
      <w:r>
        <w:rPr>
          <w:spacing w:val="-16"/>
          <w:sz w:val="22"/>
        </w:rPr>
        <w:t> </w:t>
      </w:r>
      <w:r>
        <w:rPr>
          <w:sz w:val="22"/>
        </w:rPr>
        <w:t>in</w:t>
      </w:r>
      <w:r>
        <w:rPr>
          <w:spacing w:val="-14"/>
          <w:sz w:val="22"/>
        </w:rPr>
        <w:t> </w:t>
      </w:r>
      <w:r>
        <w:rPr>
          <w:sz w:val="22"/>
        </w:rPr>
        <w:t>partnership</w:t>
      </w:r>
      <w:r>
        <w:rPr>
          <w:spacing w:val="-14"/>
          <w:sz w:val="22"/>
        </w:rPr>
        <w:t> </w:t>
      </w:r>
      <w:r>
        <w:rPr>
          <w:sz w:val="22"/>
        </w:rPr>
        <w:t>with</w:t>
      </w:r>
      <w:r>
        <w:rPr>
          <w:spacing w:val="-14"/>
          <w:sz w:val="22"/>
        </w:rPr>
        <w:t> </w:t>
      </w:r>
      <w:r>
        <w:rPr>
          <w:sz w:val="22"/>
        </w:rPr>
        <w:t>the</w:t>
      </w:r>
      <w:r>
        <w:rPr>
          <w:spacing w:val="-13"/>
          <w:sz w:val="22"/>
        </w:rPr>
        <w:t> </w:t>
      </w:r>
      <w:r>
        <w:rPr>
          <w:sz w:val="22"/>
        </w:rPr>
        <w:t>Victorian</w:t>
      </w:r>
      <w:r>
        <w:rPr>
          <w:spacing w:val="-14"/>
          <w:sz w:val="22"/>
        </w:rPr>
        <w:t> </w:t>
      </w:r>
      <w:r>
        <w:rPr>
          <w:sz w:val="22"/>
        </w:rPr>
        <w:t>Electoral</w:t>
      </w:r>
      <w:r>
        <w:rPr>
          <w:spacing w:val="-15"/>
          <w:sz w:val="22"/>
        </w:rPr>
        <w:t> </w:t>
      </w:r>
      <w:r>
        <w:rPr>
          <w:sz w:val="22"/>
        </w:rPr>
        <w:t>Commission</w:t>
      </w:r>
      <w:r>
        <w:rPr>
          <w:spacing w:val="-15"/>
          <w:sz w:val="22"/>
        </w:rPr>
        <w:t> </w:t>
      </w:r>
      <w:r>
        <w:rPr>
          <w:sz w:val="22"/>
        </w:rPr>
        <w:t>to</w:t>
      </w:r>
      <w:r>
        <w:rPr>
          <w:spacing w:val="-13"/>
          <w:sz w:val="22"/>
        </w:rPr>
        <w:t> </w:t>
      </w:r>
      <w:r>
        <w:rPr>
          <w:sz w:val="22"/>
        </w:rPr>
        <w:t>coordinate</w:t>
      </w:r>
      <w:r>
        <w:rPr>
          <w:spacing w:val="-16"/>
          <w:sz w:val="22"/>
        </w:rPr>
        <w:t> </w:t>
      </w:r>
      <w:r>
        <w:rPr>
          <w:sz w:val="22"/>
        </w:rPr>
        <w:t>a</w:t>
      </w:r>
      <w:r>
        <w:rPr>
          <w:spacing w:val="-15"/>
          <w:sz w:val="22"/>
        </w:rPr>
        <w:t> </w:t>
      </w:r>
      <w:r>
        <w:rPr>
          <w:sz w:val="22"/>
        </w:rPr>
        <w:t>Council</w:t>
      </w:r>
      <w:r>
        <w:rPr>
          <w:spacing w:val="-15"/>
          <w:sz w:val="22"/>
        </w:rPr>
        <w:t> </w:t>
      </w:r>
      <w:r>
        <w:rPr>
          <w:sz w:val="22"/>
        </w:rPr>
        <w:t>Election</w:t>
      </w:r>
      <w:r>
        <w:rPr>
          <w:spacing w:val="-13"/>
          <w:sz w:val="22"/>
        </w:rPr>
        <w:t> </w:t>
      </w:r>
      <w:r>
        <w:rPr>
          <w:sz w:val="22"/>
        </w:rPr>
        <w:t>in</w:t>
      </w:r>
      <w:r>
        <w:rPr>
          <w:spacing w:val="-14"/>
          <w:sz w:val="22"/>
        </w:rPr>
        <w:t> </w:t>
      </w:r>
      <w:r>
        <w:rPr>
          <w:sz w:val="22"/>
        </w:rPr>
        <w:t>October 2024 for the 2024-2028 period.</w:t>
      </w:r>
    </w:p>
    <w:p>
      <w:pPr>
        <w:pStyle w:val="ListParagraph"/>
        <w:numPr>
          <w:ilvl w:val="0"/>
          <w:numId w:val="2"/>
        </w:numPr>
        <w:tabs>
          <w:tab w:pos="686" w:val="left" w:leader="none"/>
          <w:tab w:pos="687" w:val="left" w:leader="none"/>
        </w:tabs>
        <w:spacing w:line="256" w:lineRule="auto" w:before="2" w:after="0"/>
        <w:ind w:left="686" w:right="138" w:hanging="567"/>
        <w:jc w:val="left"/>
        <w:rPr>
          <w:rFonts w:ascii="Symbol" w:hAnsi="Symbol"/>
          <w:sz w:val="22"/>
        </w:rPr>
      </w:pPr>
      <w:r>
        <w:rPr>
          <w:sz w:val="22"/>
        </w:rPr>
        <w:t>Advocate on key local issues on behalf of the Maroondah community in the lead up to the Australian and Victorian Government elections.</w:t>
      </w:r>
    </w:p>
    <w:p>
      <w:pPr>
        <w:pStyle w:val="BodyText"/>
      </w:pPr>
    </w:p>
    <w:p>
      <w:pPr>
        <w:pStyle w:val="BodyText"/>
        <w:ind w:left="120" w:right="133"/>
        <w:jc w:val="both"/>
      </w:pPr>
      <w:r>
        <w:rPr/>
        <w:t>An extensive Capital Works Program of $65.49 million will be undertaken in 2024/2025. This capital investment</w:t>
      </w:r>
      <w:r>
        <w:rPr>
          <w:spacing w:val="-11"/>
        </w:rPr>
        <w:t> </w:t>
      </w:r>
      <w:r>
        <w:rPr/>
        <w:t>includes</w:t>
      </w:r>
      <w:r>
        <w:rPr>
          <w:spacing w:val="-11"/>
        </w:rPr>
        <w:t> </w:t>
      </w:r>
      <w:r>
        <w:rPr/>
        <w:t>funding</w:t>
      </w:r>
      <w:r>
        <w:rPr>
          <w:spacing w:val="-11"/>
        </w:rPr>
        <w:t> </w:t>
      </w:r>
      <w:r>
        <w:rPr/>
        <w:t>of</w:t>
      </w:r>
      <w:r>
        <w:rPr>
          <w:spacing w:val="-11"/>
        </w:rPr>
        <w:t> </w:t>
      </w:r>
      <w:r>
        <w:rPr/>
        <w:t>$35.74</w:t>
      </w:r>
      <w:r>
        <w:rPr>
          <w:spacing w:val="-12"/>
        </w:rPr>
        <w:t> </w:t>
      </w:r>
      <w:r>
        <w:rPr/>
        <w:t>million</w:t>
      </w:r>
      <w:r>
        <w:rPr>
          <w:spacing w:val="-11"/>
        </w:rPr>
        <w:t> </w:t>
      </w:r>
      <w:r>
        <w:rPr/>
        <w:t>from</w:t>
      </w:r>
      <w:r>
        <w:rPr>
          <w:spacing w:val="-10"/>
        </w:rPr>
        <w:t> </w:t>
      </w:r>
      <w:r>
        <w:rPr/>
        <w:t>Council</w:t>
      </w:r>
      <w:r>
        <w:rPr>
          <w:spacing w:val="-11"/>
        </w:rPr>
        <w:t> </w:t>
      </w:r>
      <w:r>
        <w:rPr/>
        <w:t>operations</w:t>
      </w:r>
      <w:r>
        <w:rPr>
          <w:spacing w:val="-11"/>
        </w:rPr>
        <w:t> </w:t>
      </w:r>
      <w:r>
        <w:rPr/>
        <w:t>and</w:t>
      </w:r>
      <w:r>
        <w:rPr>
          <w:spacing w:val="-11"/>
        </w:rPr>
        <w:t> </w:t>
      </w:r>
      <w:r>
        <w:rPr/>
        <w:t>cash</w:t>
      </w:r>
      <w:r>
        <w:rPr>
          <w:spacing w:val="-11"/>
        </w:rPr>
        <w:t> </w:t>
      </w:r>
      <w:r>
        <w:rPr/>
        <w:t>holdings;</w:t>
      </w:r>
      <w:r>
        <w:rPr>
          <w:spacing w:val="-9"/>
        </w:rPr>
        <w:t> </w:t>
      </w:r>
      <w:r>
        <w:rPr/>
        <w:t>$26.71</w:t>
      </w:r>
      <w:r>
        <w:rPr>
          <w:spacing w:val="-11"/>
        </w:rPr>
        <w:t> </w:t>
      </w:r>
      <w:r>
        <w:rPr/>
        <w:t>million</w:t>
      </w:r>
      <w:r>
        <w:rPr>
          <w:spacing w:val="-9"/>
        </w:rPr>
        <w:t> </w:t>
      </w:r>
      <w:r>
        <w:rPr/>
        <w:t>from external grants; $0.23 million from contributions; and $1.81 million sale of assets.</w:t>
      </w:r>
    </w:p>
    <w:p>
      <w:pPr>
        <w:pStyle w:val="BodyText"/>
        <w:spacing w:before="10"/>
        <w:rPr>
          <w:sz w:val="21"/>
        </w:rPr>
      </w:pPr>
    </w:p>
    <w:p>
      <w:pPr>
        <w:pStyle w:val="BodyText"/>
        <w:ind w:left="120"/>
        <w:jc w:val="both"/>
      </w:pPr>
      <w:r>
        <w:rPr/>
        <w:t>Highlights</w:t>
      </w:r>
      <w:r>
        <w:rPr>
          <w:spacing w:val="-4"/>
        </w:rPr>
        <w:t> </w:t>
      </w:r>
      <w:r>
        <w:rPr/>
        <w:t>of</w:t>
      </w:r>
      <w:r>
        <w:rPr>
          <w:spacing w:val="-3"/>
        </w:rPr>
        <w:t> </w:t>
      </w:r>
      <w:r>
        <w:rPr/>
        <w:t>the</w:t>
      </w:r>
      <w:r>
        <w:rPr>
          <w:spacing w:val="-4"/>
        </w:rPr>
        <w:t> </w:t>
      </w:r>
      <w:r>
        <w:rPr/>
        <w:t>2024/2025</w:t>
      </w:r>
      <w:r>
        <w:rPr>
          <w:spacing w:val="-3"/>
        </w:rPr>
        <w:t> </w:t>
      </w:r>
      <w:r>
        <w:rPr/>
        <w:t>Capital</w:t>
      </w:r>
      <w:r>
        <w:rPr>
          <w:spacing w:val="-4"/>
        </w:rPr>
        <w:t> </w:t>
      </w:r>
      <w:r>
        <w:rPr/>
        <w:t>Works</w:t>
      </w:r>
      <w:r>
        <w:rPr>
          <w:spacing w:val="-5"/>
        </w:rPr>
        <w:t> </w:t>
      </w:r>
      <w:r>
        <w:rPr/>
        <w:t>Program</w:t>
      </w:r>
      <w:r>
        <w:rPr>
          <w:spacing w:val="-2"/>
        </w:rPr>
        <w:t> include:</w:t>
      </w:r>
    </w:p>
    <w:p>
      <w:pPr>
        <w:pStyle w:val="BodyText"/>
      </w:pPr>
    </w:p>
    <w:tbl>
      <w:tblPr>
        <w:tblW w:w="0" w:type="auto"/>
        <w:jc w:val="left"/>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93"/>
        <w:gridCol w:w="1498"/>
        <w:gridCol w:w="6567"/>
      </w:tblGrid>
      <w:tr>
        <w:trPr>
          <w:trHeight w:val="263" w:hRule="atLeast"/>
        </w:trPr>
        <w:tc>
          <w:tcPr>
            <w:tcW w:w="2393" w:type="dxa"/>
            <w:tcBorders>
              <w:bottom w:val="nil"/>
              <w:right w:val="nil"/>
            </w:tcBorders>
            <w:shd w:val="clear" w:color="auto" w:fill="629CD1"/>
          </w:tcPr>
          <w:p>
            <w:pPr>
              <w:pStyle w:val="TableParagraph"/>
              <w:spacing w:line="244" w:lineRule="exact"/>
              <w:ind w:left="107"/>
              <w:rPr>
                <w:b/>
                <w:sz w:val="22"/>
              </w:rPr>
            </w:pPr>
            <w:r>
              <w:rPr>
                <w:b/>
                <w:color w:val="FFFFFF"/>
                <w:spacing w:val="-2"/>
                <w:sz w:val="22"/>
              </w:rPr>
              <w:t>Program</w:t>
            </w:r>
          </w:p>
        </w:tc>
        <w:tc>
          <w:tcPr>
            <w:tcW w:w="1498" w:type="dxa"/>
            <w:tcBorders>
              <w:left w:val="nil"/>
              <w:bottom w:val="nil"/>
              <w:right w:val="nil"/>
            </w:tcBorders>
            <w:shd w:val="clear" w:color="auto" w:fill="629CD1"/>
          </w:tcPr>
          <w:p>
            <w:pPr>
              <w:pStyle w:val="TableParagraph"/>
              <w:spacing w:line="244" w:lineRule="exact"/>
              <w:ind w:left="112"/>
              <w:rPr>
                <w:b/>
                <w:sz w:val="22"/>
              </w:rPr>
            </w:pPr>
            <w:r>
              <w:rPr>
                <w:b/>
                <w:color w:val="FFFFFF"/>
                <w:sz w:val="22"/>
              </w:rPr>
              <w:t>$</w:t>
            </w:r>
            <w:r>
              <w:rPr>
                <w:b/>
                <w:color w:val="FFFFFF"/>
                <w:spacing w:val="1"/>
                <w:sz w:val="22"/>
              </w:rPr>
              <w:t> </w:t>
            </w:r>
            <w:r>
              <w:rPr>
                <w:b/>
                <w:color w:val="FFFFFF"/>
                <w:spacing w:val="-2"/>
                <w:sz w:val="22"/>
              </w:rPr>
              <w:t>(million)</w:t>
            </w:r>
          </w:p>
        </w:tc>
        <w:tc>
          <w:tcPr>
            <w:tcW w:w="6567" w:type="dxa"/>
            <w:tcBorders>
              <w:left w:val="nil"/>
              <w:bottom w:val="nil"/>
            </w:tcBorders>
            <w:shd w:val="clear" w:color="auto" w:fill="629CD1"/>
          </w:tcPr>
          <w:p>
            <w:pPr>
              <w:pStyle w:val="TableParagraph"/>
              <w:spacing w:line="244" w:lineRule="exact"/>
              <w:ind w:left="104"/>
              <w:rPr>
                <w:b/>
                <w:sz w:val="22"/>
              </w:rPr>
            </w:pPr>
            <w:r>
              <w:rPr>
                <w:b/>
                <w:color w:val="FFFFFF"/>
                <w:spacing w:val="-2"/>
                <w:sz w:val="22"/>
              </w:rPr>
              <w:t>Details</w:t>
            </w:r>
          </w:p>
        </w:tc>
      </w:tr>
      <w:tr>
        <w:trPr>
          <w:trHeight w:val="3079" w:hRule="atLeast"/>
        </w:trPr>
        <w:tc>
          <w:tcPr>
            <w:tcW w:w="2393" w:type="dxa"/>
            <w:tcBorders>
              <w:top w:val="nil"/>
              <w:bottom w:val="single" w:sz="4" w:space="0" w:color="A0C3E2"/>
              <w:right w:val="single" w:sz="4" w:space="0" w:color="A0C3E2"/>
            </w:tcBorders>
            <w:shd w:val="clear" w:color="auto" w:fill="DFEBF4"/>
          </w:tcPr>
          <w:p>
            <w:pPr>
              <w:pStyle w:val="TableParagraph"/>
              <w:ind w:left="107"/>
              <w:rPr>
                <w:b/>
                <w:sz w:val="22"/>
              </w:rPr>
            </w:pPr>
            <w:r>
              <w:rPr>
                <w:b/>
                <w:spacing w:val="-2"/>
                <w:sz w:val="22"/>
              </w:rPr>
              <w:t>Buildings</w:t>
            </w:r>
          </w:p>
        </w:tc>
        <w:tc>
          <w:tcPr>
            <w:tcW w:w="1498" w:type="dxa"/>
            <w:tcBorders>
              <w:top w:val="nil"/>
              <w:left w:val="single" w:sz="4" w:space="0" w:color="A0C3E2"/>
              <w:bottom w:val="single" w:sz="4" w:space="0" w:color="A0C3E2"/>
              <w:right w:val="single" w:sz="4" w:space="0" w:color="A0C3E2"/>
            </w:tcBorders>
            <w:shd w:val="clear" w:color="auto" w:fill="DFEBF4"/>
          </w:tcPr>
          <w:p>
            <w:pPr>
              <w:pStyle w:val="TableParagraph"/>
              <w:ind w:right="97"/>
              <w:jc w:val="right"/>
              <w:rPr>
                <w:b/>
                <w:sz w:val="22"/>
              </w:rPr>
            </w:pPr>
            <w:r>
              <w:rPr>
                <w:b/>
                <w:spacing w:val="-2"/>
                <w:sz w:val="22"/>
              </w:rPr>
              <w:t>$43.74</w:t>
            </w:r>
          </w:p>
        </w:tc>
        <w:tc>
          <w:tcPr>
            <w:tcW w:w="6567" w:type="dxa"/>
            <w:tcBorders>
              <w:top w:val="nil"/>
              <w:left w:val="single" w:sz="4" w:space="0" w:color="A0C3E2"/>
              <w:bottom w:val="single" w:sz="4" w:space="0" w:color="A0C3E2"/>
            </w:tcBorders>
            <w:shd w:val="clear" w:color="auto" w:fill="DFEBF4"/>
          </w:tcPr>
          <w:p>
            <w:pPr>
              <w:pStyle w:val="TableParagraph"/>
              <w:numPr>
                <w:ilvl w:val="0"/>
                <w:numId w:val="3"/>
              </w:numPr>
              <w:tabs>
                <w:tab w:pos="851" w:val="left" w:leader="none"/>
                <w:tab w:pos="852" w:val="left" w:leader="none"/>
              </w:tabs>
              <w:spacing w:line="240" w:lineRule="exact" w:before="0" w:after="0"/>
              <w:ind w:left="851" w:right="154" w:hanging="713"/>
              <w:jc w:val="left"/>
              <w:rPr>
                <w:sz w:val="22"/>
              </w:rPr>
            </w:pPr>
            <w:r>
              <w:rPr>
                <w:sz w:val="22"/>
              </w:rPr>
              <w:t>Activity Centre Carpark Development Program - at Ringwood</w:t>
            </w:r>
            <w:r>
              <w:rPr>
                <w:spacing w:val="-5"/>
                <w:sz w:val="22"/>
              </w:rPr>
              <w:t> </w:t>
            </w:r>
            <w:r>
              <w:rPr>
                <w:sz w:val="22"/>
              </w:rPr>
              <w:t>($27.70</w:t>
            </w:r>
            <w:r>
              <w:rPr>
                <w:spacing w:val="-7"/>
                <w:sz w:val="22"/>
              </w:rPr>
              <w:t> </w:t>
            </w:r>
            <w:r>
              <w:rPr>
                <w:sz w:val="22"/>
              </w:rPr>
              <w:t>million)</w:t>
            </w:r>
            <w:r>
              <w:rPr>
                <w:spacing w:val="-4"/>
                <w:sz w:val="22"/>
              </w:rPr>
              <w:t> </w:t>
            </w:r>
            <w:r>
              <w:rPr>
                <w:sz w:val="22"/>
              </w:rPr>
              <w:t>-</w:t>
            </w:r>
            <w:r>
              <w:rPr>
                <w:spacing w:val="-5"/>
                <w:sz w:val="22"/>
              </w:rPr>
              <w:t> </w:t>
            </w:r>
            <w:r>
              <w:rPr>
                <w:sz w:val="22"/>
              </w:rPr>
              <w:t>Consisting</w:t>
            </w:r>
            <w:r>
              <w:rPr>
                <w:spacing w:val="-6"/>
                <w:sz w:val="22"/>
              </w:rPr>
              <w:t> </w:t>
            </w:r>
            <w:r>
              <w:rPr>
                <w:sz w:val="22"/>
              </w:rPr>
              <w:t>of</w:t>
            </w:r>
            <w:r>
              <w:rPr>
                <w:spacing w:val="-7"/>
                <w:sz w:val="22"/>
              </w:rPr>
              <w:t> </w:t>
            </w:r>
            <w:r>
              <w:rPr>
                <w:sz w:val="22"/>
              </w:rPr>
              <w:t>$24.2</w:t>
            </w:r>
            <w:r>
              <w:rPr>
                <w:spacing w:val="-7"/>
                <w:sz w:val="22"/>
              </w:rPr>
              <w:t> </w:t>
            </w:r>
            <w:r>
              <w:rPr>
                <w:sz w:val="22"/>
              </w:rPr>
              <w:t>million</w:t>
            </w:r>
            <w:r>
              <w:rPr>
                <w:spacing w:val="-5"/>
                <w:sz w:val="22"/>
              </w:rPr>
              <w:t> </w:t>
            </w:r>
            <w:r>
              <w:rPr>
                <w:sz w:val="22"/>
              </w:rPr>
              <w:t>of carried forward grant funding for the project.</w:t>
            </w:r>
          </w:p>
          <w:p>
            <w:pPr>
              <w:pStyle w:val="TableParagraph"/>
              <w:numPr>
                <w:ilvl w:val="0"/>
                <w:numId w:val="3"/>
              </w:numPr>
              <w:tabs>
                <w:tab w:pos="850" w:val="left" w:leader="none"/>
                <w:tab w:pos="851" w:val="left" w:leader="none"/>
              </w:tabs>
              <w:spacing w:line="240" w:lineRule="exact" w:before="0" w:after="0"/>
              <w:ind w:left="851" w:right="332" w:hanging="713"/>
              <w:jc w:val="left"/>
              <w:rPr>
                <w:sz w:val="22"/>
              </w:rPr>
            </w:pPr>
            <w:r>
              <w:rPr>
                <w:sz w:val="22"/>
              </w:rPr>
              <w:t>Croydon</w:t>
            </w:r>
            <w:r>
              <w:rPr>
                <w:spacing w:val="-6"/>
                <w:sz w:val="22"/>
              </w:rPr>
              <w:t> </w:t>
            </w:r>
            <w:r>
              <w:rPr>
                <w:sz w:val="22"/>
              </w:rPr>
              <w:t>Community</w:t>
            </w:r>
            <w:r>
              <w:rPr>
                <w:spacing w:val="-6"/>
                <w:sz w:val="22"/>
              </w:rPr>
              <w:t> </w:t>
            </w:r>
            <w:r>
              <w:rPr>
                <w:sz w:val="22"/>
              </w:rPr>
              <w:t>Wellbeing</w:t>
            </w:r>
            <w:r>
              <w:rPr>
                <w:spacing w:val="-6"/>
                <w:sz w:val="22"/>
              </w:rPr>
              <w:t> </w:t>
            </w:r>
            <w:r>
              <w:rPr>
                <w:sz w:val="22"/>
              </w:rPr>
              <w:t>Precinct</w:t>
            </w:r>
            <w:r>
              <w:rPr>
                <w:spacing w:val="-4"/>
                <w:sz w:val="22"/>
              </w:rPr>
              <w:t> </w:t>
            </w:r>
            <w:r>
              <w:rPr>
                <w:sz w:val="22"/>
              </w:rPr>
              <w:t>Hub</w:t>
            </w:r>
            <w:r>
              <w:rPr>
                <w:spacing w:val="-10"/>
                <w:sz w:val="22"/>
              </w:rPr>
              <w:t> </w:t>
            </w:r>
            <w:r>
              <w:rPr>
                <w:sz w:val="22"/>
              </w:rPr>
              <w:t>A</w:t>
            </w:r>
            <w:r>
              <w:rPr>
                <w:spacing w:val="-4"/>
                <w:sz w:val="22"/>
              </w:rPr>
              <w:t> </w:t>
            </w:r>
            <w:r>
              <w:rPr>
                <w:sz w:val="22"/>
              </w:rPr>
              <w:t>($10.85 </w:t>
            </w:r>
            <w:r>
              <w:rPr>
                <w:spacing w:val="-2"/>
                <w:sz w:val="22"/>
              </w:rPr>
              <w:t>million)</w:t>
            </w:r>
          </w:p>
          <w:p>
            <w:pPr>
              <w:pStyle w:val="TableParagraph"/>
              <w:numPr>
                <w:ilvl w:val="0"/>
                <w:numId w:val="3"/>
              </w:numPr>
              <w:tabs>
                <w:tab w:pos="850" w:val="left" w:leader="none"/>
                <w:tab w:pos="851" w:val="left" w:leader="none"/>
              </w:tabs>
              <w:spacing w:line="240" w:lineRule="exact" w:before="0" w:after="0"/>
              <w:ind w:left="851" w:right="738" w:hanging="713"/>
              <w:jc w:val="left"/>
              <w:rPr>
                <w:sz w:val="22"/>
              </w:rPr>
            </w:pPr>
            <w:r>
              <w:rPr>
                <w:sz w:val="22"/>
              </w:rPr>
              <w:t>Community</w:t>
            </w:r>
            <w:r>
              <w:rPr>
                <w:spacing w:val="-10"/>
                <w:sz w:val="22"/>
              </w:rPr>
              <w:t> </w:t>
            </w:r>
            <w:r>
              <w:rPr>
                <w:sz w:val="22"/>
              </w:rPr>
              <w:t>Facilities</w:t>
            </w:r>
            <w:r>
              <w:rPr>
                <w:spacing w:val="-8"/>
                <w:sz w:val="22"/>
              </w:rPr>
              <w:t> </w:t>
            </w:r>
            <w:r>
              <w:rPr>
                <w:sz w:val="22"/>
              </w:rPr>
              <w:t>Improvement</w:t>
            </w:r>
            <w:r>
              <w:rPr>
                <w:spacing w:val="-10"/>
                <w:sz w:val="22"/>
              </w:rPr>
              <w:t> </w:t>
            </w:r>
            <w:r>
              <w:rPr>
                <w:sz w:val="22"/>
              </w:rPr>
              <w:t>Program</w:t>
            </w:r>
            <w:r>
              <w:rPr>
                <w:spacing w:val="-10"/>
                <w:sz w:val="22"/>
              </w:rPr>
              <w:t> </w:t>
            </w:r>
            <w:r>
              <w:rPr>
                <w:sz w:val="22"/>
              </w:rPr>
              <w:t>($3.37 </w:t>
            </w:r>
            <w:r>
              <w:rPr>
                <w:spacing w:val="-2"/>
                <w:sz w:val="22"/>
              </w:rPr>
              <w:t>million)</w:t>
            </w:r>
          </w:p>
          <w:p>
            <w:pPr>
              <w:pStyle w:val="TableParagraph"/>
              <w:numPr>
                <w:ilvl w:val="0"/>
                <w:numId w:val="3"/>
              </w:numPr>
              <w:tabs>
                <w:tab w:pos="850" w:val="left" w:leader="none"/>
                <w:tab w:pos="851" w:val="left" w:leader="none"/>
              </w:tabs>
              <w:spacing w:line="240" w:lineRule="exact" w:before="0" w:after="0"/>
              <w:ind w:left="851" w:right="332" w:hanging="713"/>
              <w:jc w:val="left"/>
              <w:rPr>
                <w:sz w:val="22"/>
              </w:rPr>
            </w:pPr>
            <w:r>
              <w:rPr>
                <w:sz w:val="22"/>
              </w:rPr>
              <w:t>Upgrade</w:t>
            </w:r>
            <w:r>
              <w:rPr>
                <w:spacing w:val="-3"/>
                <w:sz w:val="22"/>
              </w:rPr>
              <w:t> </w:t>
            </w:r>
            <w:r>
              <w:rPr>
                <w:sz w:val="22"/>
              </w:rPr>
              <w:t>and</w:t>
            </w:r>
            <w:r>
              <w:rPr>
                <w:spacing w:val="-7"/>
                <w:sz w:val="22"/>
              </w:rPr>
              <w:t> </w:t>
            </w:r>
            <w:r>
              <w:rPr>
                <w:sz w:val="22"/>
              </w:rPr>
              <w:t>renewal</w:t>
            </w:r>
            <w:r>
              <w:rPr>
                <w:spacing w:val="-5"/>
                <w:sz w:val="22"/>
              </w:rPr>
              <w:t> </w:t>
            </w:r>
            <w:r>
              <w:rPr>
                <w:sz w:val="22"/>
              </w:rPr>
              <w:t>of</w:t>
            </w:r>
            <w:r>
              <w:rPr>
                <w:spacing w:val="-8"/>
                <w:sz w:val="22"/>
              </w:rPr>
              <w:t> </w:t>
            </w:r>
            <w:r>
              <w:rPr>
                <w:sz w:val="22"/>
              </w:rPr>
              <w:t>sporting</w:t>
            </w:r>
            <w:r>
              <w:rPr>
                <w:spacing w:val="-5"/>
                <w:sz w:val="22"/>
              </w:rPr>
              <w:t> </w:t>
            </w:r>
            <w:r>
              <w:rPr>
                <w:sz w:val="22"/>
              </w:rPr>
              <w:t>and</w:t>
            </w:r>
            <w:r>
              <w:rPr>
                <w:spacing w:val="-6"/>
                <w:sz w:val="22"/>
              </w:rPr>
              <w:t> </w:t>
            </w:r>
            <w:r>
              <w:rPr>
                <w:sz w:val="22"/>
              </w:rPr>
              <w:t>community</w:t>
            </w:r>
            <w:r>
              <w:rPr>
                <w:spacing w:val="-5"/>
                <w:sz w:val="22"/>
              </w:rPr>
              <w:t> </w:t>
            </w:r>
            <w:r>
              <w:rPr>
                <w:sz w:val="22"/>
              </w:rPr>
              <w:t>group facilities on Council land ($0.38 million)</w:t>
            </w:r>
          </w:p>
          <w:p>
            <w:pPr>
              <w:pStyle w:val="TableParagraph"/>
              <w:numPr>
                <w:ilvl w:val="0"/>
                <w:numId w:val="3"/>
              </w:numPr>
              <w:tabs>
                <w:tab w:pos="850" w:val="left" w:leader="none"/>
                <w:tab w:pos="851" w:val="left" w:leader="none"/>
              </w:tabs>
              <w:spacing w:line="240" w:lineRule="exact" w:before="0" w:after="0"/>
              <w:ind w:left="851" w:right="233" w:hanging="713"/>
              <w:jc w:val="left"/>
              <w:rPr>
                <w:sz w:val="22"/>
              </w:rPr>
            </w:pPr>
            <w:r>
              <w:rPr>
                <w:sz w:val="22"/>
              </w:rPr>
              <w:t>Community Facilities Access and Public Toilet Improvement</w:t>
            </w:r>
            <w:r>
              <w:rPr>
                <w:spacing w:val="-7"/>
                <w:sz w:val="22"/>
              </w:rPr>
              <w:t> </w:t>
            </w:r>
            <w:r>
              <w:rPr>
                <w:sz w:val="22"/>
              </w:rPr>
              <w:t>($0.54</w:t>
            </w:r>
            <w:r>
              <w:rPr>
                <w:spacing w:val="-16"/>
                <w:sz w:val="22"/>
              </w:rPr>
              <w:t> </w:t>
            </w:r>
            <w:r>
              <w:rPr>
                <w:sz w:val="22"/>
              </w:rPr>
              <w:t>million)</w:t>
            </w:r>
            <w:r>
              <w:rPr>
                <w:spacing w:val="-3"/>
                <w:sz w:val="22"/>
              </w:rPr>
              <w:t> </w:t>
            </w:r>
            <w:r>
              <w:rPr>
                <w:sz w:val="22"/>
              </w:rPr>
              <w:t>–</w:t>
            </w:r>
            <w:r>
              <w:rPr>
                <w:spacing w:val="-6"/>
                <w:sz w:val="22"/>
              </w:rPr>
              <w:t> </w:t>
            </w:r>
            <w:r>
              <w:rPr>
                <w:sz w:val="22"/>
              </w:rPr>
              <w:t>to</w:t>
            </w:r>
            <w:r>
              <w:rPr>
                <w:spacing w:val="-8"/>
                <w:sz w:val="22"/>
              </w:rPr>
              <w:t> </w:t>
            </w:r>
            <w:r>
              <w:rPr>
                <w:sz w:val="22"/>
              </w:rPr>
              <w:t>improve</w:t>
            </w:r>
            <w:r>
              <w:rPr>
                <w:spacing w:val="-4"/>
                <w:sz w:val="22"/>
              </w:rPr>
              <w:t> </w:t>
            </w:r>
            <w:r>
              <w:rPr>
                <w:sz w:val="22"/>
              </w:rPr>
              <w:t>accessibility</w:t>
            </w:r>
            <w:r>
              <w:rPr>
                <w:spacing w:val="-3"/>
                <w:sz w:val="22"/>
              </w:rPr>
              <w:t> </w:t>
            </w:r>
            <w:r>
              <w:rPr>
                <w:sz w:val="22"/>
              </w:rPr>
              <w:t>to Council facilities for people with disabilities</w:t>
            </w:r>
          </w:p>
        </w:tc>
      </w:tr>
      <w:tr>
        <w:trPr>
          <w:trHeight w:val="1161" w:hRule="atLeast"/>
        </w:trPr>
        <w:tc>
          <w:tcPr>
            <w:tcW w:w="2393" w:type="dxa"/>
            <w:tcBorders>
              <w:top w:val="single" w:sz="4" w:space="0" w:color="A0C3E2"/>
              <w:bottom w:val="single" w:sz="4" w:space="0" w:color="A0C3E2"/>
              <w:right w:val="single" w:sz="4" w:space="0" w:color="A0C3E2"/>
            </w:tcBorders>
          </w:tcPr>
          <w:p>
            <w:pPr>
              <w:pStyle w:val="TableParagraph"/>
              <w:ind w:left="107"/>
              <w:rPr>
                <w:b/>
                <w:sz w:val="22"/>
              </w:rPr>
            </w:pPr>
            <w:r>
              <w:rPr>
                <w:b/>
                <w:spacing w:val="-2"/>
                <w:sz w:val="22"/>
              </w:rPr>
              <w:t>Roads</w:t>
            </w:r>
          </w:p>
        </w:tc>
        <w:tc>
          <w:tcPr>
            <w:tcW w:w="1498" w:type="dxa"/>
            <w:tcBorders>
              <w:top w:val="single" w:sz="4" w:space="0" w:color="A0C3E2"/>
              <w:left w:val="single" w:sz="4" w:space="0" w:color="A0C3E2"/>
              <w:bottom w:val="single" w:sz="4" w:space="0" w:color="A0C3E2"/>
              <w:right w:val="single" w:sz="4" w:space="0" w:color="A0C3E2"/>
            </w:tcBorders>
          </w:tcPr>
          <w:p>
            <w:pPr>
              <w:pStyle w:val="TableParagraph"/>
              <w:ind w:right="96"/>
              <w:jc w:val="right"/>
              <w:rPr>
                <w:b/>
                <w:sz w:val="22"/>
              </w:rPr>
            </w:pPr>
            <w:r>
              <w:rPr>
                <w:b/>
                <w:spacing w:val="-2"/>
                <w:sz w:val="22"/>
              </w:rPr>
              <w:t>$4.30</w:t>
            </w:r>
          </w:p>
        </w:tc>
        <w:tc>
          <w:tcPr>
            <w:tcW w:w="6567" w:type="dxa"/>
            <w:tcBorders>
              <w:top w:val="single" w:sz="4" w:space="0" w:color="A0C3E2"/>
              <w:left w:val="single" w:sz="4" w:space="0" w:color="A0C3E2"/>
              <w:bottom w:val="single" w:sz="4" w:space="0" w:color="A0C3E2"/>
            </w:tcBorders>
          </w:tcPr>
          <w:p>
            <w:pPr>
              <w:pStyle w:val="TableParagraph"/>
              <w:numPr>
                <w:ilvl w:val="0"/>
                <w:numId w:val="4"/>
              </w:numPr>
              <w:tabs>
                <w:tab w:pos="851" w:val="left" w:leader="none"/>
                <w:tab w:pos="852" w:val="left" w:leader="none"/>
              </w:tabs>
              <w:spacing w:line="225" w:lineRule="exact" w:before="0" w:after="0"/>
              <w:ind w:left="851" w:right="0" w:hanging="714"/>
              <w:jc w:val="left"/>
              <w:rPr>
                <w:sz w:val="22"/>
              </w:rPr>
            </w:pPr>
            <w:r>
              <w:rPr>
                <w:sz w:val="22"/>
              </w:rPr>
              <w:t>Local</w:t>
            </w:r>
            <w:r>
              <w:rPr>
                <w:spacing w:val="-4"/>
                <w:sz w:val="22"/>
              </w:rPr>
              <w:t> </w:t>
            </w:r>
            <w:r>
              <w:rPr>
                <w:sz w:val="22"/>
              </w:rPr>
              <w:t>road</w:t>
            </w:r>
            <w:r>
              <w:rPr>
                <w:spacing w:val="-6"/>
                <w:sz w:val="22"/>
              </w:rPr>
              <w:t> </w:t>
            </w:r>
            <w:r>
              <w:rPr>
                <w:sz w:val="22"/>
              </w:rPr>
              <w:t>renewal</w:t>
            </w:r>
            <w:r>
              <w:rPr>
                <w:spacing w:val="-3"/>
                <w:sz w:val="22"/>
              </w:rPr>
              <w:t> </w:t>
            </w:r>
            <w:r>
              <w:rPr>
                <w:sz w:val="22"/>
              </w:rPr>
              <w:t>program</w:t>
            </w:r>
            <w:r>
              <w:rPr>
                <w:spacing w:val="-5"/>
                <w:sz w:val="22"/>
              </w:rPr>
              <w:t> </w:t>
            </w:r>
            <w:r>
              <w:rPr>
                <w:color w:val="000000"/>
                <w:sz w:val="22"/>
                <w:shd w:fill="E6E6E6" w:color="auto" w:val="clear"/>
              </w:rPr>
              <w:t>($</w:t>
            </w:r>
            <w:r>
              <w:rPr>
                <w:color w:val="000000"/>
                <w:sz w:val="22"/>
              </w:rPr>
              <w:t>2.20</w:t>
            </w:r>
            <w:r>
              <w:rPr>
                <w:color w:val="000000"/>
                <w:spacing w:val="-5"/>
                <w:sz w:val="22"/>
              </w:rPr>
              <w:t> </w:t>
            </w:r>
            <w:r>
              <w:rPr>
                <w:color w:val="000000"/>
                <w:spacing w:val="-2"/>
                <w:sz w:val="22"/>
              </w:rPr>
              <w:t>million)</w:t>
            </w:r>
          </w:p>
          <w:p>
            <w:pPr>
              <w:pStyle w:val="TableParagraph"/>
              <w:numPr>
                <w:ilvl w:val="0"/>
                <w:numId w:val="4"/>
              </w:numPr>
              <w:tabs>
                <w:tab w:pos="850" w:val="left" w:leader="none"/>
                <w:tab w:pos="851" w:val="left" w:leader="none"/>
              </w:tabs>
              <w:spacing w:line="240" w:lineRule="exact" w:before="0" w:after="0"/>
              <w:ind w:left="850" w:right="0" w:hanging="713"/>
              <w:jc w:val="left"/>
              <w:rPr>
                <w:sz w:val="22"/>
              </w:rPr>
            </w:pPr>
            <w:r>
              <w:rPr>
                <w:sz w:val="22"/>
              </w:rPr>
              <w:t>Local</w:t>
            </w:r>
            <w:r>
              <w:rPr>
                <w:spacing w:val="-5"/>
                <w:sz w:val="22"/>
              </w:rPr>
              <w:t> </w:t>
            </w:r>
            <w:r>
              <w:rPr>
                <w:sz w:val="22"/>
              </w:rPr>
              <w:t>road</w:t>
            </w:r>
            <w:r>
              <w:rPr>
                <w:spacing w:val="-6"/>
                <w:sz w:val="22"/>
              </w:rPr>
              <w:t> </w:t>
            </w:r>
            <w:r>
              <w:rPr>
                <w:sz w:val="22"/>
              </w:rPr>
              <w:t>reconstruction</w:t>
            </w:r>
            <w:r>
              <w:rPr>
                <w:spacing w:val="-6"/>
                <w:sz w:val="22"/>
              </w:rPr>
              <w:t> </w:t>
            </w:r>
            <w:r>
              <w:rPr>
                <w:sz w:val="22"/>
              </w:rPr>
              <w:t>($0.55</w:t>
            </w:r>
            <w:r>
              <w:rPr>
                <w:spacing w:val="-6"/>
                <w:sz w:val="22"/>
              </w:rPr>
              <w:t> </w:t>
            </w:r>
            <w:r>
              <w:rPr>
                <w:spacing w:val="-2"/>
                <w:sz w:val="22"/>
              </w:rPr>
              <w:t>million)</w:t>
            </w:r>
          </w:p>
          <w:p>
            <w:pPr>
              <w:pStyle w:val="TableParagraph"/>
              <w:numPr>
                <w:ilvl w:val="0"/>
                <w:numId w:val="4"/>
              </w:numPr>
              <w:tabs>
                <w:tab w:pos="850" w:val="left" w:leader="none"/>
                <w:tab w:pos="851" w:val="left" w:leader="none"/>
              </w:tabs>
              <w:spacing w:line="240" w:lineRule="exact" w:before="0" w:after="0"/>
              <w:ind w:left="850" w:right="0" w:hanging="713"/>
              <w:jc w:val="left"/>
              <w:rPr>
                <w:sz w:val="22"/>
              </w:rPr>
            </w:pPr>
            <w:r>
              <w:rPr>
                <w:sz w:val="22"/>
              </w:rPr>
              <w:t>Kerb</w:t>
            </w:r>
            <w:r>
              <w:rPr>
                <w:spacing w:val="-3"/>
                <w:sz w:val="22"/>
              </w:rPr>
              <w:t> </w:t>
            </w:r>
            <w:r>
              <w:rPr>
                <w:sz w:val="22"/>
              </w:rPr>
              <w:t>and</w:t>
            </w:r>
            <w:r>
              <w:rPr>
                <w:spacing w:val="-6"/>
                <w:sz w:val="22"/>
              </w:rPr>
              <w:t> </w:t>
            </w:r>
            <w:r>
              <w:rPr>
                <w:sz w:val="22"/>
              </w:rPr>
              <w:t>channel</w:t>
            </w:r>
            <w:r>
              <w:rPr>
                <w:spacing w:val="-3"/>
                <w:sz w:val="22"/>
              </w:rPr>
              <w:t> </w:t>
            </w:r>
            <w:r>
              <w:rPr>
                <w:sz w:val="22"/>
              </w:rPr>
              <w:t>replacement</w:t>
            </w:r>
            <w:r>
              <w:rPr>
                <w:spacing w:val="-3"/>
                <w:sz w:val="22"/>
              </w:rPr>
              <w:t> </w:t>
            </w:r>
            <w:r>
              <w:rPr>
                <w:sz w:val="22"/>
              </w:rPr>
              <w:t>works</w:t>
            </w:r>
            <w:r>
              <w:rPr>
                <w:spacing w:val="-5"/>
                <w:sz w:val="22"/>
              </w:rPr>
              <w:t> </w:t>
            </w:r>
            <w:r>
              <w:rPr>
                <w:sz w:val="22"/>
              </w:rPr>
              <w:t>($0.64</w:t>
            </w:r>
            <w:r>
              <w:rPr>
                <w:spacing w:val="-5"/>
                <w:sz w:val="22"/>
              </w:rPr>
              <w:t> </w:t>
            </w:r>
            <w:r>
              <w:rPr>
                <w:spacing w:val="-2"/>
                <w:sz w:val="22"/>
              </w:rPr>
              <w:t>million)</w:t>
            </w:r>
          </w:p>
          <w:p>
            <w:pPr>
              <w:pStyle w:val="TableParagraph"/>
              <w:numPr>
                <w:ilvl w:val="0"/>
                <w:numId w:val="4"/>
              </w:numPr>
              <w:tabs>
                <w:tab w:pos="850" w:val="left" w:leader="none"/>
                <w:tab w:pos="851" w:val="left" w:leader="none"/>
              </w:tabs>
              <w:spacing w:line="255" w:lineRule="exact" w:before="0" w:after="0"/>
              <w:ind w:left="850" w:right="0" w:hanging="713"/>
              <w:jc w:val="left"/>
              <w:rPr>
                <w:sz w:val="22"/>
              </w:rPr>
            </w:pPr>
            <w:r>
              <w:rPr>
                <w:sz w:val="22"/>
              </w:rPr>
              <w:t>Local</w:t>
            </w:r>
            <w:r>
              <w:rPr>
                <w:spacing w:val="-4"/>
                <w:sz w:val="22"/>
              </w:rPr>
              <w:t> </w:t>
            </w:r>
            <w:r>
              <w:rPr>
                <w:sz w:val="22"/>
              </w:rPr>
              <w:t>area</w:t>
            </w:r>
            <w:r>
              <w:rPr>
                <w:spacing w:val="-5"/>
                <w:sz w:val="22"/>
              </w:rPr>
              <w:t> </w:t>
            </w:r>
            <w:r>
              <w:rPr>
                <w:sz w:val="22"/>
              </w:rPr>
              <w:t>traffic</w:t>
            </w:r>
            <w:r>
              <w:rPr>
                <w:spacing w:val="-5"/>
                <w:sz w:val="22"/>
              </w:rPr>
              <w:t> </w:t>
            </w:r>
            <w:r>
              <w:rPr>
                <w:sz w:val="22"/>
              </w:rPr>
              <w:t>management</w:t>
            </w:r>
            <w:r>
              <w:rPr>
                <w:spacing w:val="-5"/>
                <w:sz w:val="22"/>
              </w:rPr>
              <w:t> </w:t>
            </w:r>
            <w:r>
              <w:rPr>
                <w:sz w:val="22"/>
              </w:rPr>
              <w:t>($0.33</w:t>
            </w:r>
            <w:r>
              <w:rPr>
                <w:spacing w:val="-4"/>
                <w:sz w:val="22"/>
              </w:rPr>
              <w:t> </w:t>
            </w:r>
            <w:r>
              <w:rPr>
                <w:spacing w:val="-2"/>
                <w:sz w:val="22"/>
              </w:rPr>
              <w:t>million)</w:t>
            </w:r>
          </w:p>
        </w:tc>
      </w:tr>
      <w:tr>
        <w:trPr>
          <w:trHeight w:val="918" w:hRule="atLeast"/>
        </w:trPr>
        <w:tc>
          <w:tcPr>
            <w:tcW w:w="2393" w:type="dxa"/>
            <w:tcBorders>
              <w:top w:val="single" w:sz="4" w:space="0" w:color="A0C3E2"/>
              <w:bottom w:val="single" w:sz="4" w:space="0" w:color="A0C3E2"/>
              <w:right w:val="single" w:sz="4" w:space="0" w:color="A0C3E2"/>
            </w:tcBorders>
            <w:shd w:val="clear" w:color="auto" w:fill="DFEBF4"/>
          </w:tcPr>
          <w:p>
            <w:pPr>
              <w:pStyle w:val="TableParagraph"/>
              <w:ind w:left="107" w:right="988"/>
              <w:rPr>
                <w:b/>
                <w:sz w:val="22"/>
              </w:rPr>
            </w:pPr>
            <w:r>
              <w:rPr>
                <w:b/>
                <w:sz w:val="22"/>
              </w:rPr>
              <w:t>Footpaths</w:t>
            </w:r>
            <w:r>
              <w:rPr>
                <w:b/>
                <w:spacing w:val="-16"/>
                <w:sz w:val="22"/>
              </w:rPr>
              <w:t> </w:t>
            </w:r>
            <w:r>
              <w:rPr>
                <w:b/>
                <w:sz w:val="22"/>
              </w:rPr>
              <w:t>&amp; </w:t>
            </w:r>
            <w:r>
              <w:rPr>
                <w:b/>
                <w:spacing w:val="-2"/>
                <w:sz w:val="22"/>
              </w:rPr>
              <w:t>cycleways</w:t>
            </w:r>
          </w:p>
        </w:tc>
        <w:tc>
          <w:tcPr>
            <w:tcW w:w="1498" w:type="dxa"/>
            <w:tcBorders>
              <w:top w:val="single" w:sz="4" w:space="0" w:color="A0C3E2"/>
              <w:left w:val="single" w:sz="4" w:space="0" w:color="A0C3E2"/>
              <w:bottom w:val="single" w:sz="4" w:space="0" w:color="A0C3E2"/>
              <w:right w:val="single" w:sz="4" w:space="0" w:color="A0C3E2"/>
            </w:tcBorders>
            <w:shd w:val="clear" w:color="auto" w:fill="DFEBF4"/>
          </w:tcPr>
          <w:p>
            <w:pPr>
              <w:pStyle w:val="TableParagraph"/>
              <w:ind w:right="96"/>
              <w:jc w:val="right"/>
              <w:rPr>
                <w:b/>
                <w:sz w:val="22"/>
              </w:rPr>
            </w:pPr>
            <w:r>
              <w:rPr>
                <w:b/>
                <w:spacing w:val="-2"/>
                <w:sz w:val="22"/>
              </w:rPr>
              <w:t>$3.29</w:t>
            </w:r>
          </w:p>
        </w:tc>
        <w:tc>
          <w:tcPr>
            <w:tcW w:w="6567" w:type="dxa"/>
            <w:tcBorders>
              <w:top w:val="single" w:sz="4" w:space="0" w:color="A0C3E2"/>
              <w:left w:val="single" w:sz="4" w:space="0" w:color="A0C3E2"/>
              <w:bottom w:val="single" w:sz="4" w:space="0" w:color="A0C3E2"/>
            </w:tcBorders>
            <w:shd w:val="clear" w:color="auto" w:fill="DFEBF4"/>
          </w:tcPr>
          <w:p>
            <w:pPr>
              <w:pStyle w:val="TableParagraph"/>
              <w:numPr>
                <w:ilvl w:val="0"/>
                <w:numId w:val="5"/>
              </w:numPr>
              <w:tabs>
                <w:tab w:pos="851" w:val="left" w:leader="none"/>
                <w:tab w:pos="852" w:val="left" w:leader="none"/>
              </w:tabs>
              <w:spacing w:line="225" w:lineRule="exact" w:before="0" w:after="0"/>
              <w:ind w:left="851" w:right="0" w:hanging="714"/>
              <w:jc w:val="left"/>
              <w:rPr>
                <w:sz w:val="22"/>
              </w:rPr>
            </w:pPr>
            <w:r>
              <w:rPr>
                <w:sz w:val="22"/>
              </w:rPr>
              <w:t>Footpath</w:t>
            </w:r>
            <w:r>
              <w:rPr>
                <w:spacing w:val="-6"/>
                <w:sz w:val="22"/>
              </w:rPr>
              <w:t> </w:t>
            </w:r>
            <w:r>
              <w:rPr>
                <w:sz w:val="22"/>
              </w:rPr>
              <w:t>replacement</w:t>
            </w:r>
            <w:r>
              <w:rPr>
                <w:spacing w:val="-4"/>
                <w:sz w:val="22"/>
              </w:rPr>
              <w:t> </w:t>
            </w:r>
            <w:r>
              <w:rPr>
                <w:sz w:val="22"/>
              </w:rPr>
              <w:t>works</w:t>
            </w:r>
            <w:r>
              <w:rPr>
                <w:spacing w:val="-5"/>
                <w:sz w:val="22"/>
              </w:rPr>
              <w:t> </w:t>
            </w:r>
            <w:r>
              <w:rPr>
                <w:sz w:val="22"/>
              </w:rPr>
              <w:t>($1.08</w:t>
            </w:r>
            <w:r>
              <w:rPr>
                <w:spacing w:val="-6"/>
                <w:sz w:val="22"/>
              </w:rPr>
              <w:t> </w:t>
            </w:r>
            <w:r>
              <w:rPr>
                <w:spacing w:val="-2"/>
                <w:sz w:val="22"/>
              </w:rPr>
              <w:t>million)</w:t>
            </w:r>
          </w:p>
          <w:p>
            <w:pPr>
              <w:pStyle w:val="TableParagraph"/>
              <w:numPr>
                <w:ilvl w:val="0"/>
                <w:numId w:val="5"/>
              </w:numPr>
              <w:tabs>
                <w:tab w:pos="850" w:val="left" w:leader="none"/>
                <w:tab w:pos="851" w:val="left" w:leader="none"/>
              </w:tabs>
              <w:spacing w:line="240" w:lineRule="exact" w:before="0" w:after="0"/>
              <w:ind w:left="850" w:right="0" w:hanging="713"/>
              <w:jc w:val="left"/>
              <w:rPr>
                <w:sz w:val="22"/>
              </w:rPr>
            </w:pPr>
            <w:r>
              <w:rPr>
                <w:sz w:val="22"/>
              </w:rPr>
              <w:t>Footpath</w:t>
            </w:r>
            <w:r>
              <w:rPr>
                <w:spacing w:val="-8"/>
                <w:sz w:val="22"/>
              </w:rPr>
              <w:t> </w:t>
            </w:r>
            <w:r>
              <w:rPr>
                <w:sz w:val="22"/>
              </w:rPr>
              <w:t>construction</w:t>
            </w:r>
            <w:r>
              <w:rPr>
                <w:spacing w:val="-4"/>
                <w:sz w:val="22"/>
              </w:rPr>
              <w:t> </w:t>
            </w:r>
            <w:r>
              <w:rPr>
                <w:sz w:val="22"/>
              </w:rPr>
              <w:t>program</w:t>
            </w:r>
            <w:r>
              <w:rPr>
                <w:spacing w:val="-4"/>
                <w:sz w:val="22"/>
              </w:rPr>
              <w:t> </w:t>
            </w:r>
            <w:r>
              <w:rPr>
                <w:sz w:val="22"/>
              </w:rPr>
              <w:t>($1.49</w:t>
            </w:r>
            <w:r>
              <w:rPr>
                <w:spacing w:val="-5"/>
                <w:sz w:val="22"/>
              </w:rPr>
              <w:t> </w:t>
            </w:r>
            <w:r>
              <w:rPr>
                <w:spacing w:val="-2"/>
                <w:sz w:val="22"/>
              </w:rPr>
              <w:t>million)</w:t>
            </w:r>
          </w:p>
          <w:p>
            <w:pPr>
              <w:pStyle w:val="TableParagraph"/>
              <w:numPr>
                <w:ilvl w:val="0"/>
                <w:numId w:val="5"/>
              </w:numPr>
              <w:tabs>
                <w:tab w:pos="850" w:val="left" w:leader="none"/>
                <w:tab w:pos="851" w:val="left" w:leader="none"/>
              </w:tabs>
              <w:spacing w:line="255" w:lineRule="exact" w:before="0" w:after="0"/>
              <w:ind w:left="850" w:right="0" w:hanging="713"/>
              <w:jc w:val="left"/>
              <w:rPr>
                <w:sz w:val="22"/>
              </w:rPr>
            </w:pPr>
            <w:r>
              <w:rPr>
                <w:sz w:val="22"/>
              </w:rPr>
              <w:t>Accessibility</w:t>
            </w:r>
            <w:r>
              <w:rPr>
                <w:spacing w:val="-5"/>
                <w:sz w:val="22"/>
              </w:rPr>
              <w:t> </w:t>
            </w:r>
            <w:r>
              <w:rPr>
                <w:sz w:val="22"/>
              </w:rPr>
              <w:t>Improvement</w:t>
            </w:r>
            <w:r>
              <w:rPr>
                <w:spacing w:val="-5"/>
                <w:sz w:val="22"/>
              </w:rPr>
              <w:t> </w:t>
            </w:r>
            <w:r>
              <w:rPr>
                <w:sz w:val="22"/>
              </w:rPr>
              <w:t>Program</w:t>
            </w:r>
            <w:r>
              <w:rPr>
                <w:spacing w:val="-7"/>
                <w:sz w:val="22"/>
              </w:rPr>
              <w:t> </w:t>
            </w:r>
            <w:r>
              <w:rPr>
                <w:sz w:val="22"/>
              </w:rPr>
              <w:t>($0.33</w:t>
            </w:r>
            <w:r>
              <w:rPr>
                <w:spacing w:val="-7"/>
                <w:sz w:val="22"/>
              </w:rPr>
              <w:t> </w:t>
            </w:r>
            <w:r>
              <w:rPr>
                <w:spacing w:val="-2"/>
                <w:sz w:val="22"/>
              </w:rPr>
              <w:t>million)</w:t>
            </w:r>
          </w:p>
        </w:tc>
      </w:tr>
    </w:tbl>
    <w:p>
      <w:pPr>
        <w:pStyle w:val="BodyText"/>
        <w:spacing w:before="7"/>
        <w:rPr>
          <w:sz w:val="25"/>
        </w:rPr>
      </w:pPr>
    </w:p>
    <w:p>
      <w:pPr>
        <w:spacing w:before="1"/>
        <w:ind w:left="6482"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10"/>
          <w:sz w:val="16"/>
          <w:shd w:fill="E6E6E6" w:color="auto" w:val="clear"/>
        </w:rPr>
        <w:t>4</w:t>
      </w:r>
    </w:p>
    <w:p>
      <w:pPr>
        <w:spacing w:after="0"/>
        <w:jc w:val="left"/>
        <w:rPr>
          <w:sz w:val="16"/>
        </w:rPr>
        <w:sectPr>
          <w:footerReference w:type="default" r:id="rId8"/>
          <w:pgSz w:w="11910" w:h="16840"/>
          <w:pgMar w:footer="0" w:header="0" w:top="620" w:bottom="280" w:left="600" w:right="580"/>
        </w:sectPr>
      </w:pPr>
    </w:p>
    <w:tbl>
      <w:tblPr>
        <w:tblW w:w="0" w:type="auto"/>
        <w:jc w:val="left"/>
        <w:tblInd w:w="129" w:type="dxa"/>
        <w:tblBorders>
          <w:top w:val="single" w:sz="4" w:space="0" w:color="A0C3E2"/>
          <w:left w:val="single" w:sz="4" w:space="0" w:color="A0C3E2"/>
          <w:bottom w:val="single" w:sz="4" w:space="0" w:color="A0C3E2"/>
          <w:right w:val="single" w:sz="4" w:space="0" w:color="A0C3E2"/>
          <w:insideH w:val="single" w:sz="4" w:space="0" w:color="A0C3E2"/>
          <w:insideV w:val="single" w:sz="4" w:space="0" w:color="A0C3E2"/>
        </w:tblBorders>
        <w:tblLayout w:type="fixed"/>
        <w:tblCellMar>
          <w:top w:w="0" w:type="dxa"/>
          <w:left w:w="0" w:type="dxa"/>
          <w:bottom w:w="0" w:type="dxa"/>
          <w:right w:w="0" w:type="dxa"/>
        </w:tblCellMar>
        <w:tblLook w:val="01E0"/>
      </w:tblPr>
      <w:tblGrid>
        <w:gridCol w:w="2393"/>
        <w:gridCol w:w="1498"/>
        <w:gridCol w:w="6567"/>
      </w:tblGrid>
      <w:tr>
        <w:trPr>
          <w:trHeight w:val="441" w:hRule="atLeast"/>
        </w:trPr>
        <w:tc>
          <w:tcPr>
            <w:tcW w:w="2393" w:type="dxa"/>
            <w:tcBorders>
              <w:left w:val="single" w:sz="4" w:space="0" w:color="000000"/>
            </w:tcBorders>
          </w:tcPr>
          <w:p>
            <w:pPr>
              <w:pStyle w:val="TableParagraph"/>
              <w:ind w:left="107"/>
              <w:rPr>
                <w:b/>
                <w:sz w:val="22"/>
              </w:rPr>
            </w:pPr>
            <w:r>
              <w:rPr>
                <w:b/>
                <w:spacing w:val="-2"/>
                <w:sz w:val="22"/>
              </w:rPr>
              <w:t>Carparks</w:t>
            </w:r>
          </w:p>
        </w:tc>
        <w:tc>
          <w:tcPr>
            <w:tcW w:w="1498" w:type="dxa"/>
          </w:tcPr>
          <w:p>
            <w:pPr>
              <w:pStyle w:val="TableParagraph"/>
              <w:ind w:right="97"/>
              <w:jc w:val="right"/>
              <w:rPr>
                <w:b/>
                <w:sz w:val="22"/>
              </w:rPr>
            </w:pPr>
            <w:r>
              <w:rPr>
                <w:b/>
                <w:spacing w:val="-2"/>
                <w:sz w:val="22"/>
              </w:rPr>
              <w:t>$0.42</w:t>
            </w:r>
          </w:p>
        </w:tc>
        <w:tc>
          <w:tcPr>
            <w:tcW w:w="6567" w:type="dxa"/>
            <w:tcBorders>
              <w:right w:val="single" w:sz="4" w:space="0" w:color="000000"/>
            </w:tcBorders>
          </w:tcPr>
          <w:p>
            <w:pPr>
              <w:pStyle w:val="TableParagraph"/>
              <w:numPr>
                <w:ilvl w:val="0"/>
                <w:numId w:val="6"/>
              </w:numPr>
              <w:tabs>
                <w:tab w:pos="851" w:val="left" w:leader="none"/>
                <w:tab w:pos="852" w:val="left" w:leader="none"/>
              </w:tabs>
              <w:spacing w:line="240" w:lineRule="exact" w:before="0" w:after="0"/>
              <w:ind w:left="851" w:right="0" w:hanging="714"/>
              <w:jc w:val="left"/>
              <w:rPr>
                <w:sz w:val="22"/>
              </w:rPr>
            </w:pPr>
            <w:r>
              <w:rPr>
                <w:sz w:val="22"/>
              </w:rPr>
              <w:t>Carpark</w:t>
            </w:r>
            <w:r>
              <w:rPr>
                <w:spacing w:val="-7"/>
                <w:sz w:val="22"/>
              </w:rPr>
              <w:t> </w:t>
            </w:r>
            <w:r>
              <w:rPr>
                <w:sz w:val="22"/>
              </w:rPr>
              <w:t>improvement</w:t>
            </w:r>
            <w:r>
              <w:rPr>
                <w:spacing w:val="-4"/>
                <w:sz w:val="22"/>
              </w:rPr>
              <w:t> </w:t>
            </w:r>
            <w:r>
              <w:rPr>
                <w:sz w:val="22"/>
              </w:rPr>
              <w:t>program</w:t>
            </w:r>
            <w:r>
              <w:rPr>
                <w:spacing w:val="-6"/>
                <w:sz w:val="22"/>
              </w:rPr>
              <w:t> </w:t>
            </w:r>
            <w:r>
              <w:rPr>
                <w:sz w:val="22"/>
              </w:rPr>
              <w:t>($0.42</w:t>
            </w:r>
            <w:r>
              <w:rPr>
                <w:spacing w:val="-8"/>
                <w:sz w:val="22"/>
              </w:rPr>
              <w:t> </w:t>
            </w:r>
            <w:r>
              <w:rPr>
                <w:spacing w:val="-2"/>
                <w:sz w:val="22"/>
              </w:rPr>
              <w:t>million)</w:t>
            </w:r>
          </w:p>
        </w:tc>
      </w:tr>
      <w:tr>
        <w:trPr>
          <w:trHeight w:val="918" w:hRule="atLeast"/>
        </w:trPr>
        <w:tc>
          <w:tcPr>
            <w:tcW w:w="2393" w:type="dxa"/>
            <w:tcBorders>
              <w:left w:val="single" w:sz="4" w:space="0" w:color="000000"/>
            </w:tcBorders>
            <w:shd w:val="clear" w:color="auto" w:fill="DFEBF4"/>
          </w:tcPr>
          <w:p>
            <w:pPr>
              <w:pStyle w:val="TableParagraph"/>
              <w:ind w:left="107"/>
              <w:rPr>
                <w:b/>
                <w:sz w:val="22"/>
              </w:rPr>
            </w:pPr>
            <w:r>
              <w:rPr>
                <w:b/>
                <w:spacing w:val="-2"/>
                <w:sz w:val="22"/>
              </w:rPr>
              <w:t>Drainage</w:t>
            </w:r>
          </w:p>
        </w:tc>
        <w:tc>
          <w:tcPr>
            <w:tcW w:w="1498" w:type="dxa"/>
            <w:shd w:val="clear" w:color="auto" w:fill="DFEBF4"/>
          </w:tcPr>
          <w:p>
            <w:pPr>
              <w:pStyle w:val="TableParagraph"/>
              <w:ind w:right="96"/>
              <w:jc w:val="right"/>
              <w:rPr>
                <w:b/>
                <w:sz w:val="22"/>
              </w:rPr>
            </w:pPr>
            <w:r>
              <w:rPr>
                <w:b/>
                <w:spacing w:val="-2"/>
                <w:sz w:val="22"/>
              </w:rPr>
              <w:t>$3.79</w:t>
            </w:r>
          </w:p>
        </w:tc>
        <w:tc>
          <w:tcPr>
            <w:tcW w:w="6567" w:type="dxa"/>
            <w:tcBorders>
              <w:right w:val="single" w:sz="4" w:space="0" w:color="000000"/>
            </w:tcBorders>
            <w:shd w:val="clear" w:color="auto" w:fill="DFEBF4"/>
          </w:tcPr>
          <w:p>
            <w:pPr>
              <w:pStyle w:val="TableParagraph"/>
              <w:numPr>
                <w:ilvl w:val="0"/>
                <w:numId w:val="7"/>
              </w:numPr>
              <w:tabs>
                <w:tab w:pos="851" w:val="left" w:leader="none"/>
                <w:tab w:pos="852" w:val="left" w:leader="none"/>
              </w:tabs>
              <w:spacing w:line="225" w:lineRule="exact" w:before="0" w:after="0"/>
              <w:ind w:left="851" w:right="0" w:hanging="714"/>
              <w:jc w:val="left"/>
              <w:rPr>
                <w:sz w:val="22"/>
              </w:rPr>
            </w:pPr>
            <w:r>
              <w:rPr>
                <w:sz w:val="22"/>
              </w:rPr>
              <w:t>Waterways</w:t>
            </w:r>
            <w:r>
              <w:rPr>
                <w:spacing w:val="-7"/>
                <w:sz w:val="22"/>
              </w:rPr>
              <w:t> </w:t>
            </w:r>
            <w:r>
              <w:rPr>
                <w:sz w:val="22"/>
              </w:rPr>
              <w:t>Improvement</w:t>
            </w:r>
            <w:r>
              <w:rPr>
                <w:spacing w:val="-5"/>
                <w:sz w:val="22"/>
              </w:rPr>
              <w:t> </w:t>
            </w:r>
            <w:r>
              <w:rPr>
                <w:sz w:val="22"/>
              </w:rPr>
              <w:t>Program</w:t>
            </w:r>
            <w:r>
              <w:rPr>
                <w:spacing w:val="-5"/>
                <w:sz w:val="22"/>
              </w:rPr>
              <w:t> </w:t>
            </w:r>
            <w:r>
              <w:rPr>
                <w:sz w:val="22"/>
              </w:rPr>
              <w:t>(0.14</w:t>
            </w:r>
            <w:r>
              <w:rPr>
                <w:spacing w:val="-5"/>
                <w:sz w:val="22"/>
              </w:rPr>
              <w:t> </w:t>
            </w:r>
            <w:r>
              <w:rPr>
                <w:spacing w:val="-2"/>
                <w:sz w:val="22"/>
              </w:rPr>
              <w:t>million)</w:t>
            </w:r>
          </w:p>
          <w:p>
            <w:pPr>
              <w:pStyle w:val="TableParagraph"/>
              <w:numPr>
                <w:ilvl w:val="0"/>
                <w:numId w:val="7"/>
              </w:numPr>
              <w:tabs>
                <w:tab w:pos="850" w:val="left" w:leader="none"/>
                <w:tab w:pos="851" w:val="left" w:leader="none"/>
              </w:tabs>
              <w:spacing w:line="240" w:lineRule="exact" w:before="0" w:after="0"/>
              <w:ind w:left="850" w:right="0" w:hanging="713"/>
              <w:jc w:val="left"/>
              <w:rPr>
                <w:sz w:val="22"/>
              </w:rPr>
            </w:pPr>
            <w:r>
              <w:rPr>
                <w:sz w:val="22"/>
              </w:rPr>
              <w:t>Stormwater</w:t>
            </w:r>
            <w:r>
              <w:rPr>
                <w:spacing w:val="-5"/>
                <w:sz w:val="22"/>
              </w:rPr>
              <w:t> </w:t>
            </w:r>
            <w:r>
              <w:rPr>
                <w:sz w:val="22"/>
              </w:rPr>
              <w:t>drainage</w:t>
            </w:r>
            <w:r>
              <w:rPr>
                <w:spacing w:val="-5"/>
                <w:sz w:val="22"/>
              </w:rPr>
              <w:t> </w:t>
            </w:r>
            <w:r>
              <w:rPr>
                <w:sz w:val="22"/>
              </w:rPr>
              <w:t>renewal</w:t>
            </w:r>
            <w:r>
              <w:rPr>
                <w:spacing w:val="-5"/>
                <w:sz w:val="22"/>
              </w:rPr>
              <w:t> </w:t>
            </w:r>
            <w:r>
              <w:rPr>
                <w:sz w:val="22"/>
              </w:rPr>
              <w:t>program</w:t>
            </w:r>
            <w:r>
              <w:rPr>
                <w:spacing w:val="-4"/>
                <w:sz w:val="22"/>
              </w:rPr>
              <w:t> </w:t>
            </w:r>
            <w:r>
              <w:rPr>
                <w:sz w:val="22"/>
              </w:rPr>
              <w:t>(2.95</w:t>
            </w:r>
            <w:r>
              <w:rPr>
                <w:spacing w:val="-6"/>
                <w:sz w:val="22"/>
              </w:rPr>
              <w:t> </w:t>
            </w:r>
            <w:r>
              <w:rPr>
                <w:spacing w:val="-2"/>
                <w:sz w:val="22"/>
              </w:rPr>
              <w:t>million)</w:t>
            </w:r>
          </w:p>
          <w:p>
            <w:pPr>
              <w:pStyle w:val="TableParagraph"/>
              <w:numPr>
                <w:ilvl w:val="0"/>
                <w:numId w:val="7"/>
              </w:numPr>
              <w:tabs>
                <w:tab w:pos="850" w:val="left" w:leader="none"/>
                <w:tab w:pos="851" w:val="left" w:leader="none"/>
              </w:tabs>
              <w:spacing w:line="255" w:lineRule="exact" w:before="0" w:after="0"/>
              <w:ind w:left="850" w:right="0" w:hanging="713"/>
              <w:jc w:val="left"/>
              <w:rPr>
                <w:sz w:val="22"/>
              </w:rPr>
            </w:pPr>
            <w:r>
              <w:rPr>
                <w:sz w:val="22"/>
              </w:rPr>
              <w:t>Ringwood</w:t>
            </w:r>
            <w:r>
              <w:rPr>
                <w:spacing w:val="-2"/>
                <w:sz w:val="22"/>
              </w:rPr>
              <w:t> </w:t>
            </w:r>
            <w:r>
              <w:rPr>
                <w:sz w:val="22"/>
              </w:rPr>
              <w:t>activates</w:t>
            </w:r>
            <w:r>
              <w:rPr>
                <w:spacing w:val="-5"/>
                <w:sz w:val="22"/>
              </w:rPr>
              <w:t> </w:t>
            </w:r>
            <w:r>
              <w:rPr>
                <w:sz w:val="22"/>
              </w:rPr>
              <w:t>area</w:t>
            </w:r>
            <w:r>
              <w:rPr>
                <w:spacing w:val="-6"/>
                <w:sz w:val="22"/>
              </w:rPr>
              <w:t> </w:t>
            </w:r>
            <w:r>
              <w:rPr>
                <w:sz w:val="22"/>
              </w:rPr>
              <w:t>Drainage</w:t>
            </w:r>
            <w:r>
              <w:rPr>
                <w:spacing w:val="-5"/>
                <w:sz w:val="22"/>
              </w:rPr>
              <w:t> </w:t>
            </w:r>
            <w:r>
              <w:rPr>
                <w:sz w:val="22"/>
              </w:rPr>
              <w:t>(0.70</w:t>
            </w:r>
            <w:r>
              <w:rPr>
                <w:spacing w:val="-4"/>
                <w:sz w:val="22"/>
              </w:rPr>
              <w:t> </w:t>
            </w:r>
            <w:r>
              <w:rPr>
                <w:spacing w:val="-2"/>
                <w:sz w:val="22"/>
              </w:rPr>
              <w:t>million)</w:t>
            </w:r>
          </w:p>
        </w:tc>
      </w:tr>
      <w:tr>
        <w:trPr>
          <w:trHeight w:val="1401" w:hRule="atLeast"/>
        </w:trPr>
        <w:tc>
          <w:tcPr>
            <w:tcW w:w="2393" w:type="dxa"/>
            <w:tcBorders>
              <w:left w:val="single" w:sz="4" w:space="0" w:color="000000"/>
            </w:tcBorders>
          </w:tcPr>
          <w:p>
            <w:pPr>
              <w:pStyle w:val="TableParagraph"/>
              <w:ind w:left="107"/>
              <w:rPr>
                <w:b/>
                <w:sz w:val="22"/>
              </w:rPr>
            </w:pPr>
            <w:r>
              <w:rPr>
                <w:b/>
                <w:sz w:val="22"/>
              </w:rPr>
              <w:t>Recreational,</w:t>
            </w:r>
            <w:r>
              <w:rPr>
                <w:b/>
                <w:spacing w:val="-16"/>
                <w:sz w:val="22"/>
              </w:rPr>
              <w:t> </w:t>
            </w:r>
            <w:r>
              <w:rPr>
                <w:b/>
                <w:sz w:val="22"/>
              </w:rPr>
              <w:t>leisure and community </w:t>
            </w:r>
            <w:r>
              <w:rPr>
                <w:b/>
                <w:spacing w:val="-2"/>
                <w:sz w:val="22"/>
              </w:rPr>
              <w:t>facilities</w:t>
            </w:r>
          </w:p>
        </w:tc>
        <w:tc>
          <w:tcPr>
            <w:tcW w:w="1498" w:type="dxa"/>
          </w:tcPr>
          <w:p>
            <w:pPr>
              <w:pStyle w:val="TableParagraph"/>
              <w:ind w:right="96"/>
              <w:jc w:val="right"/>
              <w:rPr>
                <w:b/>
                <w:sz w:val="22"/>
              </w:rPr>
            </w:pPr>
            <w:r>
              <w:rPr>
                <w:b/>
                <w:spacing w:val="-2"/>
                <w:sz w:val="22"/>
              </w:rPr>
              <w:t>$1.97</w:t>
            </w:r>
          </w:p>
        </w:tc>
        <w:tc>
          <w:tcPr>
            <w:tcW w:w="6567" w:type="dxa"/>
            <w:tcBorders>
              <w:right w:val="single" w:sz="4" w:space="0" w:color="000000"/>
            </w:tcBorders>
          </w:tcPr>
          <w:p>
            <w:pPr>
              <w:pStyle w:val="TableParagraph"/>
              <w:numPr>
                <w:ilvl w:val="0"/>
                <w:numId w:val="8"/>
              </w:numPr>
              <w:tabs>
                <w:tab w:pos="851" w:val="left" w:leader="none"/>
                <w:tab w:pos="852" w:val="left" w:leader="none"/>
              </w:tabs>
              <w:spacing w:line="225" w:lineRule="exact" w:before="0" w:after="0"/>
              <w:ind w:left="851" w:right="0" w:hanging="714"/>
              <w:jc w:val="left"/>
              <w:rPr>
                <w:sz w:val="22"/>
              </w:rPr>
            </w:pPr>
            <w:r>
              <w:rPr>
                <w:sz w:val="22"/>
              </w:rPr>
              <w:t>Sports</w:t>
            </w:r>
            <w:r>
              <w:rPr>
                <w:spacing w:val="-6"/>
                <w:sz w:val="22"/>
              </w:rPr>
              <w:t> </w:t>
            </w:r>
            <w:r>
              <w:rPr>
                <w:sz w:val="22"/>
              </w:rPr>
              <w:t>field</w:t>
            </w:r>
            <w:r>
              <w:rPr>
                <w:spacing w:val="-4"/>
                <w:sz w:val="22"/>
              </w:rPr>
              <w:t> </w:t>
            </w:r>
            <w:r>
              <w:rPr>
                <w:sz w:val="22"/>
              </w:rPr>
              <w:t>improvement</w:t>
            </w:r>
            <w:r>
              <w:rPr>
                <w:spacing w:val="-4"/>
                <w:sz w:val="22"/>
              </w:rPr>
              <w:t> </w:t>
            </w:r>
            <w:r>
              <w:rPr>
                <w:sz w:val="22"/>
              </w:rPr>
              <w:t>program</w:t>
            </w:r>
            <w:r>
              <w:rPr>
                <w:spacing w:val="-4"/>
                <w:sz w:val="22"/>
              </w:rPr>
              <w:t> </w:t>
            </w:r>
            <w:r>
              <w:rPr>
                <w:spacing w:val="-2"/>
                <w:sz w:val="22"/>
              </w:rPr>
              <w:t>($0.90)</w:t>
            </w:r>
          </w:p>
          <w:p>
            <w:pPr>
              <w:pStyle w:val="TableParagraph"/>
              <w:numPr>
                <w:ilvl w:val="0"/>
                <w:numId w:val="8"/>
              </w:numPr>
              <w:tabs>
                <w:tab w:pos="850" w:val="left" w:leader="none"/>
                <w:tab w:pos="851" w:val="left" w:leader="none"/>
              </w:tabs>
              <w:spacing w:line="240" w:lineRule="exact" w:before="0" w:after="0"/>
              <w:ind w:left="850" w:right="0" w:hanging="713"/>
              <w:jc w:val="left"/>
              <w:rPr>
                <w:sz w:val="22"/>
              </w:rPr>
            </w:pPr>
            <w:r>
              <w:rPr>
                <w:sz w:val="22"/>
              </w:rPr>
              <w:t>Sports</w:t>
            </w:r>
            <w:r>
              <w:rPr>
                <w:spacing w:val="-7"/>
                <w:sz w:val="22"/>
              </w:rPr>
              <w:t> </w:t>
            </w:r>
            <w:r>
              <w:rPr>
                <w:sz w:val="22"/>
              </w:rPr>
              <w:t>field</w:t>
            </w:r>
            <w:r>
              <w:rPr>
                <w:spacing w:val="-6"/>
                <w:sz w:val="22"/>
              </w:rPr>
              <w:t> </w:t>
            </w:r>
            <w:r>
              <w:rPr>
                <w:sz w:val="22"/>
              </w:rPr>
              <w:t>lighting</w:t>
            </w:r>
            <w:r>
              <w:rPr>
                <w:spacing w:val="-3"/>
                <w:sz w:val="22"/>
              </w:rPr>
              <w:t> </w:t>
            </w:r>
            <w:r>
              <w:rPr>
                <w:sz w:val="22"/>
              </w:rPr>
              <w:t>improvement</w:t>
            </w:r>
            <w:r>
              <w:rPr>
                <w:spacing w:val="-3"/>
                <w:sz w:val="22"/>
              </w:rPr>
              <w:t> </w:t>
            </w:r>
            <w:r>
              <w:rPr>
                <w:sz w:val="22"/>
              </w:rPr>
              <w:t>program</w:t>
            </w:r>
            <w:r>
              <w:rPr>
                <w:spacing w:val="-4"/>
                <w:sz w:val="22"/>
              </w:rPr>
              <w:t> </w:t>
            </w:r>
            <w:r>
              <w:rPr>
                <w:sz w:val="22"/>
              </w:rPr>
              <w:t>($0.18</w:t>
            </w:r>
            <w:r>
              <w:rPr>
                <w:spacing w:val="-6"/>
                <w:sz w:val="22"/>
              </w:rPr>
              <w:t> </w:t>
            </w:r>
            <w:r>
              <w:rPr>
                <w:spacing w:val="-2"/>
                <w:sz w:val="22"/>
              </w:rPr>
              <w:t>million)</w:t>
            </w:r>
          </w:p>
          <w:p>
            <w:pPr>
              <w:pStyle w:val="TableParagraph"/>
              <w:numPr>
                <w:ilvl w:val="0"/>
                <w:numId w:val="8"/>
              </w:numPr>
              <w:tabs>
                <w:tab w:pos="850" w:val="left" w:leader="none"/>
                <w:tab w:pos="851" w:val="left" w:leader="none"/>
              </w:tabs>
              <w:spacing w:line="225" w:lineRule="auto" w:before="0" w:after="0"/>
              <w:ind w:left="851" w:right="727" w:hanging="713"/>
              <w:jc w:val="left"/>
              <w:rPr>
                <w:sz w:val="22"/>
              </w:rPr>
            </w:pPr>
            <w:r>
              <w:rPr>
                <w:sz w:val="22"/>
              </w:rPr>
              <w:t>Sports</w:t>
            </w:r>
            <w:r>
              <w:rPr>
                <w:spacing w:val="-9"/>
                <w:sz w:val="22"/>
              </w:rPr>
              <w:t> </w:t>
            </w:r>
            <w:r>
              <w:rPr>
                <w:sz w:val="22"/>
              </w:rPr>
              <w:t>infrastructure</w:t>
            </w:r>
            <w:r>
              <w:rPr>
                <w:spacing w:val="-10"/>
                <w:sz w:val="22"/>
              </w:rPr>
              <w:t> </w:t>
            </w:r>
            <w:r>
              <w:rPr>
                <w:sz w:val="22"/>
              </w:rPr>
              <w:t>renewal</w:t>
            </w:r>
            <w:r>
              <w:rPr>
                <w:spacing w:val="-8"/>
                <w:sz w:val="22"/>
              </w:rPr>
              <w:t> </w:t>
            </w:r>
            <w:r>
              <w:rPr>
                <w:sz w:val="22"/>
              </w:rPr>
              <w:t>including</w:t>
            </w:r>
            <w:r>
              <w:rPr>
                <w:spacing w:val="-7"/>
                <w:sz w:val="22"/>
              </w:rPr>
              <w:t> </w:t>
            </w:r>
            <w:r>
              <w:rPr>
                <w:sz w:val="22"/>
              </w:rPr>
              <w:t>cricket</w:t>
            </w:r>
            <w:r>
              <w:rPr>
                <w:spacing w:val="-6"/>
                <w:sz w:val="22"/>
              </w:rPr>
              <w:t> </w:t>
            </w:r>
            <w:r>
              <w:rPr>
                <w:sz w:val="22"/>
              </w:rPr>
              <w:t>nets, coach’s boxes and scoreboards ($0.44 million)</w:t>
            </w:r>
          </w:p>
          <w:p>
            <w:pPr>
              <w:pStyle w:val="TableParagraph"/>
              <w:numPr>
                <w:ilvl w:val="0"/>
                <w:numId w:val="8"/>
              </w:numPr>
              <w:tabs>
                <w:tab w:pos="850" w:val="left" w:leader="none"/>
                <w:tab w:pos="851" w:val="left" w:leader="none"/>
              </w:tabs>
              <w:spacing w:line="245" w:lineRule="exact" w:before="0" w:after="0"/>
              <w:ind w:left="850" w:right="0" w:hanging="713"/>
              <w:jc w:val="left"/>
              <w:rPr>
                <w:sz w:val="22"/>
              </w:rPr>
            </w:pPr>
            <w:r>
              <w:rPr>
                <w:sz w:val="22"/>
              </w:rPr>
              <w:t>Golf</w:t>
            </w:r>
            <w:r>
              <w:rPr>
                <w:spacing w:val="-4"/>
                <w:sz w:val="22"/>
              </w:rPr>
              <w:t> </w:t>
            </w:r>
            <w:r>
              <w:rPr>
                <w:sz w:val="22"/>
              </w:rPr>
              <w:t>Course</w:t>
            </w:r>
            <w:r>
              <w:rPr>
                <w:spacing w:val="-5"/>
                <w:sz w:val="22"/>
              </w:rPr>
              <w:t> </w:t>
            </w:r>
            <w:r>
              <w:rPr>
                <w:sz w:val="22"/>
              </w:rPr>
              <w:t>improvement</w:t>
            </w:r>
            <w:r>
              <w:rPr>
                <w:spacing w:val="-4"/>
                <w:sz w:val="22"/>
              </w:rPr>
              <w:t> </w:t>
            </w:r>
            <w:r>
              <w:rPr>
                <w:sz w:val="22"/>
              </w:rPr>
              <w:t>program</w:t>
            </w:r>
            <w:r>
              <w:rPr>
                <w:spacing w:val="-5"/>
                <w:sz w:val="22"/>
              </w:rPr>
              <w:t> </w:t>
            </w:r>
            <w:r>
              <w:rPr>
                <w:sz w:val="22"/>
              </w:rPr>
              <w:t>($0.45</w:t>
            </w:r>
            <w:r>
              <w:rPr>
                <w:spacing w:val="-6"/>
                <w:sz w:val="22"/>
              </w:rPr>
              <w:t> </w:t>
            </w:r>
            <w:r>
              <w:rPr>
                <w:spacing w:val="-2"/>
                <w:sz w:val="22"/>
              </w:rPr>
              <w:t>million)</w:t>
            </w:r>
          </w:p>
        </w:tc>
      </w:tr>
      <w:tr>
        <w:trPr>
          <w:trHeight w:val="1878" w:hRule="atLeast"/>
        </w:trPr>
        <w:tc>
          <w:tcPr>
            <w:tcW w:w="2393" w:type="dxa"/>
            <w:tcBorders>
              <w:left w:val="single" w:sz="4" w:space="0" w:color="000000"/>
              <w:bottom w:val="single" w:sz="4" w:space="0" w:color="000000"/>
              <w:right w:val="single" w:sz="4" w:space="0" w:color="000000"/>
            </w:tcBorders>
            <w:shd w:val="clear" w:color="auto" w:fill="DFEBF4"/>
          </w:tcPr>
          <w:p>
            <w:pPr>
              <w:pStyle w:val="TableParagraph"/>
              <w:ind w:left="107" w:right="74"/>
              <w:rPr>
                <w:b/>
                <w:sz w:val="22"/>
              </w:rPr>
            </w:pPr>
            <w:r>
              <w:rPr>
                <w:b/>
                <w:sz w:val="22"/>
              </w:rPr>
              <w:t>Parks</w:t>
            </w:r>
            <w:r>
              <w:rPr>
                <w:b/>
                <w:spacing w:val="-16"/>
                <w:sz w:val="22"/>
              </w:rPr>
              <w:t> </w:t>
            </w:r>
            <w:r>
              <w:rPr>
                <w:b/>
                <w:sz w:val="22"/>
              </w:rPr>
              <w:t>and</w:t>
            </w:r>
            <w:r>
              <w:rPr>
                <w:b/>
                <w:spacing w:val="-15"/>
                <w:sz w:val="22"/>
              </w:rPr>
              <w:t> </w:t>
            </w:r>
            <w:r>
              <w:rPr>
                <w:b/>
                <w:sz w:val="22"/>
              </w:rPr>
              <w:t>open </w:t>
            </w:r>
            <w:r>
              <w:rPr>
                <w:b/>
                <w:spacing w:val="-2"/>
                <w:sz w:val="22"/>
              </w:rPr>
              <w:t>space</w:t>
            </w:r>
          </w:p>
        </w:tc>
        <w:tc>
          <w:tcPr>
            <w:tcW w:w="1498" w:type="dxa"/>
            <w:tcBorders>
              <w:left w:val="single" w:sz="4" w:space="0" w:color="000000"/>
              <w:bottom w:val="single" w:sz="4" w:space="0" w:color="000000"/>
              <w:right w:val="single" w:sz="4" w:space="0" w:color="000000"/>
            </w:tcBorders>
            <w:shd w:val="clear" w:color="auto" w:fill="DFEBF4"/>
          </w:tcPr>
          <w:p>
            <w:pPr>
              <w:pStyle w:val="TableParagraph"/>
              <w:ind w:right="96"/>
              <w:jc w:val="right"/>
              <w:rPr>
                <w:b/>
                <w:sz w:val="22"/>
              </w:rPr>
            </w:pPr>
            <w:r>
              <w:rPr>
                <w:b/>
                <w:spacing w:val="-2"/>
                <w:sz w:val="22"/>
              </w:rPr>
              <w:t>$2.74</w:t>
            </w:r>
          </w:p>
        </w:tc>
        <w:tc>
          <w:tcPr>
            <w:tcW w:w="6567" w:type="dxa"/>
            <w:tcBorders>
              <w:left w:val="single" w:sz="4" w:space="0" w:color="000000"/>
              <w:bottom w:val="single" w:sz="4" w:space="0" w:color="000000"/>
              <w:right w:val="single" w:sz="4" w:space="0" w:color="000000"/>
            </w:tcBorders>
            <w:shd w:val="clear" w:color="auto" w:fill="DFEBF4"/>
          </w:tcPr>
          <w:p>
            <w:pPr>
              <w:pStyle w:val="TableParagraph"/>
              <w:numPr>
                <w:ilvl w:val="0"/>
                <w:numId w:val="9"/>
              </w:numPr>
              <w:tabs>
                <w:tab w:pos="851" w:val="left" w:leader="none"/>
                <w:tab w:pos="852" w:val="left" w:leader="none"/>
              </w:tabs>
              <w:spacing w:line="240" w:lineRule="exact" w:before="0" w:after="0"/>
              <w:ind w:left="851" w:right="469" w:hanging="713"/>
              <w:jc w:val="left"/>
              <w:rPr>
                <w:sz w:val="22"/>
              </w:rPr>
            </w:pPr>
            <w:r>
              <w:rPr>
                <w:sz w:val="22"/>
              </w:rPr>
              <w:t>Open</w:t>
            </w:r>
            <w:r>
              <w:rPr>
                <w:spacing w:val="-8"/>
                <w:sz w:val="22"/>
              </w:rPr>
              <w:t> </w:t>
            </w:r>
            <w:r>
              <w:rPr>
                <w:sz w:val="22"/>
              </w:rPr>
              <w:t>space</w:t>
            </w:r>
            <w:r>
              <w:rPr>
                <w:spacing w:val="-10"/>
                <w:sz w:val="22"/>
              </w:rPr>
              <w:t> </w:t>
            </w:r>
            <w:r>
              <w:rPr>
                <w:sz w:val="22"/>
              </w:rPr>
              <w:t>playground</w:t>
            </w:r>
            <w:r>
              <w:rPr>
                <w:spacing w:val="-8"/>
                <w:sz w:val="22"/>
              </w:rPr>
              <w:t> </w:t>
            </w:r>
            <w:r>
              <w:rPr>
                <w:sz w:val="22"/>
              </w:rPr>
              <w:t>improvement</w:t>
            </w:r>
            <w:r>
              <w:rPr>
                <w:spacing w:val="-7"/>
                <w:sz w:val="22"/>
              </w:rPr>
              <w:t> </w:t>
            </w:r>
            <w:r>
              <w:rPr>
                <w:sz w:val="22"/>
              </w:rPr>
              <w:t>program</w:t>
            </w:r>
            <w:r>
              <w:rPr>
                <w:spacing w:val="-8"/>
                <w:sz w:val="22"/>
              </w:rPr>
              <w:t> </w:t>
            </w:r>
            <w:r>
              <w:rPr>
                <w:sz w:val="22"/>
              </w:rPr>
              <w:t>($1.01 </w:t>
            </w:r>
            <w:r>
              <w:rPr>
                <w:spacing w:val="-2"/>
                <w:sz w:val="22"/>
              </w:rPr>
              <w:t>million)</w:t>
            </w:r>
          </w:p>
          <w:p>
            <w:pPr>
              <w:pStyle w:val="TableParagraph"/>
              <w:numPr>
                <w:ilvl w:val="0"/>
                <w:numId w:val="9"/>
              </w:numPr>
              <w:tabs>
                <w:tab w:pos="850" w:val="left" w:leader="none"/>
                <w:tab w:pos="851" w:val="left" w:leader="none"/>
              </w:tabs>
              <w:spacing w:line="226" w:lineRule="exact" w:before="0" w:after="0"/>
              <w:ind w:left="850" w:right="0" w:hanging="713"/>
              <w:jc w:val="left"/>
              <w:rPr>
                <w:sz w:val="22"/>
              </w:rPr>
            </w:pPr>
            <w:r>
              <w:rPr>
                <w:sz w:val="22"/>
              </w:rPr>
              <w:t>Open</w:t>
            </w:r>
            <w:r>
              <w:rPr>
                <w:spacing w:val="-5"/>
                <w:sz w:val="22"/>
              </w:rPr>
              <w:t> </w:t>
            </w:r>
            <w:r>
              <w:rPr>
                <w:sz w:val="22"/>
              </w:rPr>
              <w:t>space</w:t>
            </w:r>
            <w:r>
              <w:rPr>
                <w:spacing w:val="-5"/>
                <w:sz w:val="22"/>
              </w:rPr>
              <w:t> </w:t>
            </w:r>
            <w:r>
              <w:rPr>
                <w:sz w:val="22"/>
              </w:rPr>
              <w:t>improvement</w:t>
            </w:r>
            <w:r>
              <w:rPr>
                <w:spacing w:val="-2"/>
                <w:sz w:val="22"/>
              </w:rPr>
              <w:t> </w:t>
            </w:r>
            <w:r>
              <w:rPr>
                <w:sz w:val="22"/>
              </w:rPr>
              <w:t>program</w:t>
            </w:r>
            <w:r>
              <w:rPr>
                <w:spacing w:val="-5"/>
                <w:sz w:val="22"/>
              </w:rPr>
              <w:t> </w:t>
            </w:r>
            <w:r>
              <w:rPr>
                <w:sz w:val="22"/>
              </w:rPr>
              <w:t>($0.34</w:t>
            </w:r>
            <w:r>
              <w:rPr>
                <w:spacing w:val="-6"/>
                <w:sz w:val="22"/>
              </w:rPr>
              <w:t> </w:t>
            </w:r>
            <w:r>
              <w:rPr>
                <w:spacing w:val="-2"/>
                <w:sz w:val="22"/>
              </w:rPr>
              <w:t>million)</w:t>
            </w:r>
          </w:p>
          <w:p>
            <w:pPr>
              <w:pStyle w:val="TableParagraph"/>
              <w:numPr>
                <w:ilvl w:val="0"/>
                <w:numId w:val="9"/>
              </w:numPr>
              <w:tabs>
                <w:tab w:pos="850" w:val="left" w:leader="none"/>
                <w:tab w:pos="851" w:val="left" w:leader="none"/>
              </w:tabs>
              <w:spacing w:line="240" w:lineRule="exact" w:before="0" w:after="0"/>
              <w:ind w:left="850" w:right="0" w:hanging="713"/>
              <w:jc w:val="left"/>
              <w:rPr>
                <w:sz w:val="22"/>
              </w:rPr>
            </w:pPr>
            <w:r>
              <w:rPr>
                <w:sz w:val="22"/>
              </w:rPr>
              <w:t>Open</w:t>
            </w:r>
            <w:r>
              <w:rPr>
                <w:spacing w:val="-6"/>
                <w:sz w:val="22"/>
              </w:rPr>
              <w:t> </w:t>
            </w:r>
            <w:r>
              <w:rPr>
                <w:sz w:val="22"/>
              </w:rPr>
              <w:t>space</w:t>
            </w:r>
            <w:r>
              <w:rPr>
                <w:spacing w:val="-5"/>
                <w:sz w:val="22"/>
              </w:rPr>
              <w:t> </w:t>
            </w:r>
            <w:r>
              <w:rPr>
                <w:sz w:val="22"/>
              </w:rPr>
              <w:t>pathway</w:t>
            </w:r>
            <w:r>
              <w:rPr>
                <w:spacing w:val="-6"/>
                <w:sz w:val="22"/>
              </w:rPr>
              <w:t> </w:t>
            </w:r>
            <w:r>
              <w:rPr>
                <w:sz w:val="22"/>
              </w:rPr>
              <w:t>improvement</w:t>
            </w:r>
            <w:r>
              <w:rPr>
                <w:spacing w:val="-3"/>
                <w:sz w:val="22"/>
              </w:rPr>
              <w:t> </w:t>
            </w:r>
            <w:r>
              <w:rPr>
                <w:sz w:val="22"/>
              </w:rPr>
              <w:t>program</w:t>
            </w:r>
            <w:r>
              <w:rPr>
                <w:spacing w:val="-5"/>
                <w:sz w:val="22"/>
              </w:rPr>
              <w:t> </w:t>
            </w:r>
            <w:r>
              <w:rPr>
                <w:spacing w:val="-2"/>
                <w:sz w:val="22"/>
              </w:rPr>
              <w:t>(0.10million)</w:t>
            </w:r>
          </w:p>
          <w:p>
            <w:pPr>
              <w:pStyle w:val="TableParagraph"/>
              <w:numPr>
                <w:ilvl w:val="0"/>
                <w:numId w:val="9"/>
              </w:numPr>
              <w:tabs>
                <w:tab w:pos="850" w:val="left" w:leader="none"/>
                <w:tab w:pos="851" w:val="left" w:leader="none"/>
              </w:tabs>
              <w:spacing w:line="240" w:lineRule="exact" w:before="0" w:after="0"/>
              <w:ind w:left="850" w:right="0" w:hanging="713"/>
              <w:jc w:val="left"/>
              <w:rPr>
                <w:sz w:val="22"/>
              </w:rPr>
            </w:pPr>
            <w:r>
              <w:rPr>
                <w:sz w:val="22"/>
              </w:rPr>
              <w:t>Tree</w:t>
            </w:r>
            <w:r>
              <w:rPr>
                <w:spacing w:val="-5"/>
                <w:sz w:val="22"/>
              </w:rPr>
              <w:t> </w:t>
            </w:r>
            <w:r>
              <w:rPr>
                <w:sz w:val="22"/>
              </w:rPr>
              <w:t>improvement</w:t>
            </w:r>
            <w:r>
              <w:rPr>
                <w:spacing w:val="-5"/>
                <w:sz w:val="22"/>
              </w:rPr>
              <w:t> </w:t>
            </w:r>
            <w:r>
              <w:rPr>
                <w:sz w:val="22"/>
              </w:rPr>
              <w:t>program</w:t>
            </w:r>
            <w:r>
              <w:rPr>
                <w:spacing w:val="-4"/>
                <w:sz w:val="22"/>
              </w:rPr>
              <w:t> </w:t>
            </w:r>
            <w:r>
              <w:rPr>
                <w:sz w:val="22"/>
              </w:rPr>
              <w:t>($0.92</w:t>
            </w:r>
            <w:r>
              <w:rPr>
                <w:spacing w:val="-5"/>
                <w:sz w:val="22"/>
              </w:rPr>
              <w:t> </w:t>
            </w:r>
            <w:r>
              <w:rPr>
                <w:spacing w:val="-2"/>
                <w:sz w:val="22"/>
              </w:rPr>
              <w:t>million)</w:t>
            </w:r>
          </w:p>
          <w:p>
            <w:pPr>
              <w:pStyle w:val="TableParagraph"/>
              <w:numPr>
                <w:ilvl w:val="0"/>
                <w:numId w:val="9"/>
              </w:numPr>
              <w:tabs>
                <w:tab w:pos="850" w:val="left" w:leader="none"/>
                <w:tab w:pos="851" w:val="left" w:leader="none"/>
              </w:tabs>
              <w:spacing w:line="225" w:lineRule="auto" w:before="0" w:after="0"/>
              <w:ind w:left="851" w:right="652" w:hanging="713"/>
              <w:jc w:val="left"/>
              <w:rPr>
                <w:sz w:val="22"/>
              </w:rPr>
            </w:pPr>
            <w:r>
              <w:rPr>
                <w:sz w:val="22"/>
              </w:rPr>
              <w:t>Open</w:t>
            </w:r>
            <w:r>
              <w:rPr>
                <w:spacing w:val="-7"/>
                <w:sz w:val="22"/>
              </w:rPr>
              <w:t> </w:t>
            </w:r>
            <w:r>
              <w:rPr>
                <w:sz w:val="22"/>
              </w:rPr>
              <w:t>space</w:t>
            </w:r>
            <w:r>
              <w:rPr>
                <w:spacing w:val="-9"/>
                <w:sz w:val="22"/>
              </w:rPr>
              <w:t> </w:t>
            </w:r>
            <w:r>
              <w:rPr>
                <w:sz w:val="22"/>
              </w:rPr>
              <w:t>footbridge</w:t>
            </w:r>
            <w:r>
              <w:rPr>
                <w:spacing w:val="-7"/>
                <w:sz w:val="22"/>
              </w:rPr>
              <w:t> </w:t>
            </w:r>
            <w:r>
              <w:rPr>
                <w:sz w:val="22"/>
              </w:rPr>
              <w:t>and</w:t>
            </w:r>
            <w:r>
              <w:rPr>
                <w:spacing w:val="-7"/>
                <w:sz w:val="22"/>
              </w:rPr>
              <w:t> </w:t>
            </w:r>
            <w:r>
              <w:rPr>
                <w:sz w:val="22"/>
              </w:rPr>
              <w:t>boardwalk</w:t>
            </w:r>
            <w:r>
              <w:rPr>
                <w:spacing w:val="-7"/>
                <w:sz w:val="22"/>
              </w:rPr>
              <w:t> </w:t>
            </w:r>
            <w:r>
              <w:rPr>
                <w:sz w:val="22"/>
              </w:rPr>
              <w:t>improvement program ($0.23 million)</w:t>
            </w:r>
          </w:p>
        </w:tc>
      </w:tr>
    </w:tbl>
    <w:p>
      <w:pPr>
        <w:pStyle w:val="BodyText"/>
        <w:rPr>
          <w:b/>
          <w:sz w:val="20"/>
        </w:rPr>
      </w:pPr>
    </w:p>
    <w:p>
      <w:pPr>
        <w:pStyle w:val="BodyText"/>
        <w:spacing w:before="1"/>
        <w:rPr>
          <w:b/>
          <w:sz w:val="18"/>
        </w:rPr>
      </w:pPr>
    </w:p>
    <w:p>
      <w:pPr>
        <w:spacing w:before="94"/>
        <w:ind w:left="120" w:right="0" w:firstLine="0"/>
        <w:jc w:val="both"/>
        <w:rPr>
          <w:b/>
          <w:sz w:val="22"/>
        </w:rPr>
      </w:pPr>
      <w:r>
        <w:rPr/>
        <w:drawing>
          <wp:anchor distT="0" distB="0" distL="0" distR="0" allowOverlap="1" layoutInCell="1" locked="0" behindDoc="1" simplePos="0" relativeHeight="465247232">
            <wp:simplePos x="0" y="0"/>
            <wp:positionH relativeFrom="page">
              <wp:posOffset>1976627</wp:posOffset>
            </wp:positionH>
            <wp:positionV relativeFrom="paragraph">
              <wp:posOffset>-1462812</wp:posOffset>
            </wp:positionV>
            <wp:extent cx="6099" cy="1200150"/>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10" cstate="print"/>
                    <a:stretch>
                      <a:fillRect/>
                    </a:stretch>
                  </pic:blipFill>
                  <pic:spPr>
                    <a:xfrm>
                      <a:off x="0" y="0"/>
                      <a:ext cx="6099" cy="1200150"/>
                    </a:xfrm>
                    <a:prstGeom prst="rect">
                      <a:avLst/>
                    </a:prstGeom>
                  </pic:spPr>
                </pic:pic>
              </a:graphicData>
            </a:graphic>
          </wp:anchor>
        </w:drawing>
      </w:r>
      <w:r>
        <w:rPr>
          <w:b/>
          <w:color w:val="1D5D9E"/>
          <w:sz w:val="22"/>
        </w:rPr>
        <w:t>The</w:t>
      </w:r>
      <w:r>
        <w:rPr>
          <w:b/>
          <w:color w:val="1D5D9E"/>
          <w:spacing w:val="-4"/>
          <w:sz w:val="22"/>
        </w:rPr>
        <w:t> </w:t>
      </w:r>
      <w:r>
        <w:rPr>
          <w:b/>
          <w:color w:val="1D5D9E"/>
          <w:sz w:val="22"/>
        </w:rPr>
        <w:t>Rate</w:t>
      </w:r>
      <w:r>
        <w:rPr>
          <w:b/>
          <w:color w:val="1D5D9E"/>
          <w:spacing w:val="-2"/>
          <w:sz w:val="22"/>
        </w:rPr>
        <w:t> </w:t>
      </w:r>
      <w:r>
        <w:rPr>
          <w:b/>
          <w:color w:val="1D5D9E"/>
          <w:sz w:val="22"/>
        </w:rPr>
        <w:t>Rise</w:t>
      </w:r>
      <w:r>
        <w:rPr>
          <w:b/>
          <w:color w:val="1D5D9E"/>
          <w:spacing w:val="2"/>
          <w:sz w:val="22"/>
        </w:rPr>
        <w:t> </w:t>
      </w:r>
      <w:r>
        <w:rPr>
          <w:b/>
          <w:color w:val="1D5D9E"/>
          <w:sz w:val="22"/>
        </w:rPr>
        <w:t>&amp;</w:t>
      </w:r>
      <w:r>
        <w:rPr>
          <w:b/>
          <w:color w:val="1D5D9E"/>
          <w:spacing w:val="-5"/>
          <w:sz w:val="22"/>
        </w:rPr>
        <w:t> </w:t>
      </w:r>
      <w:r>
        <w:rPr>
          <w:b/>
          <w:color w:val="1D5D9E"/>
          <w:sz w:val="22"/>
        </w:rPr>
        <w:t>Rate</w:t>
      </w:r>
      <w:r>
        <w:rPr>
          <w:b/>
          <w:color w:val="1D5D9E"/>
          <w:spacing w:val="-1"/>
          <w:sz w:val="22"/>
        </w:rPr>
        <w:t> </w:t>
      </w:r>
      <w:r>
        <w:rPr>
          <w:b/>
          <w:color w:val="1D5D9E"/>
          <w:spacing w:val="-2"/>
          <w:sz w:val="22"/>
        </w:rPr>
        <w:t>Capping</w:t>
      </w:r>
    </w:p>
    <w:p>
      <w:pPr>
        <w:pStyle w:val="BodyText"/>
        <w:spacing w:before="5"/>
        <w:rPr>
          <w:b/>
          <w:sz w:val="27"/>
        </w:rPr>
      </w:pPr>
    </w:p>
    <w:p>
      <w:pPr>
        <w:pStyle w:val="BodyText"/>
        <w:ind w:left="120" w:right="133"/>
        <w:jc w:val="both"/>
      </w:pPr>
      <w:r>
        <w:rPr/>
        <w:t>Councils have the obligation to levy rates and charges under the Local Government Act 2020 to fund and deliver</w:t>
      </w:r>
      <w:r>
        <w:rPr>
          <w:spacing w:val="-7"/>
        </w:rPr>
        <w:t> </w:t>
      </w:r>
      <w:r>
        <w:rPr/>
        <w:t>essential</w:t>
      </w:r>
      <w:r>
        <w:rPr>
          <w:spacing w:val="-8"/>
        </w:rPr>
        <w:t> </w:t>
      </w:r>
      <w:r>
        <w:rPr/>
        <w:t>community</w:t>
      </w:r>
      <w:r>
        <w:rPr>
          <w:spacing w:val="-8"/>
        </w:rPr>
        <w:t> </w:t>
      </w:r>
      <w:r>
        <w:rPr/>
        <w:t>infrastructure</w:t>
      </w:r>
      <w:r>
        <w:rPr>
          <w:spacing w:val="-12"/>
        </w:rPr>
        <w:t> </w:t>
      </w:r>
      <w:r>
        <w:rPr/>
        <w:t>and</w:t>
      </w:r>
      <w:r>
        <w:rPr>
          <w:spacing w:val="-8"/>
        </w:rPr>
        <w:t> </w:t>
      </w:r>
      <w:r>
        <w:rPr/>
        <w:t>services.</w:t>
      </w:r>
      <w:r>
        <w:rPr>
          <w:spacing w:val="-10"/>
        </w:rPr>
        <w:t> </w:t>
      </w:r>
      <w:r>
        <w:rPr/>
        <w:t>The</w:t>
      </w:r>
      <w:r>
        <w:rPr>
          <w:spacing w:val="-11"/>
        </w:rPr>
        <w:t> </w:t>
      </w:r>
      <w:r>
        <w:rPr/>
        <w:t>rates</w:t>
      </w:r>
      <w:r>
        <w:rPr>
          <w:spacing w:val="-8"/>
        </w:rPr>
        <w:t> </w:t>
      </w:r>
      <w:r>
        <w:rPr/>
        <w:t>Councils</w:t>
      </w:r>
      <w:r>
        <w:rPr>
          <w:spacing w:val="-8"/>
        </w:rPr>
        <w:t> </w:t>
      </w:r>
      <w:r>
        <w:rPr/>
        <w:t>collect</w:t>
      </w:r>
      <w:r>
        <w:rPr>
          <w:spacing w:val="-10"/>
        </w:rPr>
        <w:t> </w:t>
      </w:r>
      <w:r>
        <w:rPr/>
        <w:t>are</w:t>
      </w:r>
      <w:r>
        <w:rPr>
          <w:spacing w:val="-12"/>
        </w:rPr>
        <w:t> </w:t>
      </w:r>
      <w:r>
        <w:rPr/>
        <w:t>a</w:t>
      </w:r>
      <w:r>
        <w:rPr>
          <w:spacing w:val="-11"/>
        </w:rPr>
        <w:t> </w:t>
      </w:r>
      <w:r>
        <w:rPr/>
        <w:t>form</w:t>
      </w:r>
      <w:r>
        <w:rPr>
          <w:spacing w:val="-11"/>
        </w:rPr>
        <w:t> </w:t>
      </w:r>
      <w:r>
        <w:rPr/>
        <w:t>of</w:t>
      </w:r>
      <w:r>
        <w:rPr>
          <w:spacing w:val="-10"/>
        </w:rPr>
        <w:t> </w:t>
      </w:r>
      <w:r>
        <w:rPr/>
        <w:t>property</w:t>
      </w:r>
      <w:r>
        <w:rPr>
          <w:spacing w:val="-11"/>
        </w:rPr>
        <w:t> </w:t>
      </w:r>
      <w:r>
        <w:rPr/>
        <w:t>tax. The value of each property is used as the basis for calculating what each property owner will pay.</w:t>
      </w:r>
    </w:p>
    <w:p>
      <w:pPr>
        <w:pStyle w:val="BodyText"/>
        <w:ind w:left="120" w:right="132"/>
        <w:jc w:val="both"/>
      </w:pPr>
      <w:r>
        <w:rPr/>
        <w:t>All of Victoria’s 79 Councils have been operating under rate caps since 1</w:t>
      </w:r>
      <w:r>
        <w:rPr>
          <w:spacing w:val="-3"/>
        </w:rPr>
        <w:t> </w:t>
      </w:r>
      <w:r>
        <w:rPr/>
        <w:t>July 2016. Each year the Minister for Local Government sets a cap on rate increases based on that period’s Consumer Price Index (CPI) and advice from the Essential Services Commission (ESC). The rate cap limits the total amount a Council can increase its</w:t>
      </w:r>
      <w:r>
        <w:rPr>
          <w:spacing w:val="-2"/>
        </w:rPr>
        <w:t> </w:t>
      </w:r>
      <w:r>
        <w:rPr/>
        <w:t>rates each</w:t>
      </w:r>
      <w:r>
        <w:rPr>
          <w:spacing w:val="-1"/>
        </w:rPr>
        <w:t> </w:t>
      </w:r>
      <w:r>
        <w:rPr/>
        <w:t>year based</w:t>
      </w:r>
      <w:r>
        <w:rPr>
          <w:spacing w:val="-1"/>
        </w:rPr>
        <w:t> </w:t>
      </w:r>
      <w:r>
        <w:rPr/>
        <w:t>on</w:t>
      </w:r>
      <w:r>
        <w:rPr>
          <w:spacing w:val="-4"/>
        </w:rPr>
        <w:t> </w:t>
      </w:r>
      <w:r>
        <w:rPr/>
        <w:t>the amount it</w:t>
      </w:r>
      <w:r>
        <w:rPr>
          <w:spacing w:val="-1"/>
        </w:rPr>
        <w:t> </w:t>
      </w:r>
      <w:r>
        <w:rPr/>
        <w:t>levied</w:t>
      </w:r>
      <w:r>
        <w:rPr>
          <w:spacing w:val="-1"/>
        </w:rPr>
        <w:t> </w:t>
      </w:r>
      <w:r>
        <w:rPr/>
        <w:t>in</w:t>
      </w:r>
      <w:r>
        <w:rPr>
          <w:spacing w:val="-1"/>
        </w:rPr>
        <w:t> </w:t>
      </w:r>
      <w:r>
        <w:rPr/>
        <w:t>the</w:t>
      </w:r>
      <w:r>
        <w:rPr>
          <w:spacing w:val="-1"/>
        </w:rPr>
        <w:t> </w:t>
      </w:r>
      <w:r>
        <w:rPr/>
        <w:t>previous</w:t>
      </w:r>
      <w:r>
        <w:rPr>
          <w:spacing w:val="-4"/>
        </w:rPr>
        <w:t> </w:t>
      </w:r>
      <w:r>
        <w:rPr/>
        <w:t>year.</w:t>
      </w:r>
      <w:r>
        <w:rPr>
          <w:spacing w:val="-1"/>
        </w:rPr>
        <w:t> </w:t>
      </w:r>
      <w:r>
        <w:rPr/>
        <w:t>The</w:t>
      </w:r>
      <w:r>
        <w:rPr>
          <w:spacing w:val="-1"/>
        </w:rPr>
        <w:t> </w:t>
      </w:r>
      <w:r>
        <w:rPr/>
        <w:t>decision</w:t>
      </w:r>
      <w:r>
        <w:rPr>
          <w:spacing w:val="-1"/>
        </w:rPr>
        <w:t> </w:t>
      </w:r>
      <w:r>
        <w:rPr/>
        <w:t>must be made by 31 December each year to apply to rates in the following financial year.</w:t>
      </w:r>
    </w:p>
    <w:p>
      <w:pPr>
        <w:pStyle w:val="BodyText"/>
        <w:ind w:left="120" w:right="132"/>
        <w:jc w:val="both"/>
      </w:pPr>
      <w:r>
        <w:rPr/>
        <w:t>For the 2024/2025 financial year, Council’s rate rise has been capped at 2.75%. While Councils may seek approval to increase rates above the rate cap, Council’s 10-year Financial Plan has no intention to do so.</w:t>
      </w:r>
    </w:p>
    <w:p>
      <w:pPr>
        <w:pStyle w:val="BodyText"/>
        <w:ind w:left="120" w:right="132"/>
        <w:jc w:val="both"/>
      </w:pPr>
      <w:r>
        <w:rPr/>
        <w:t>The rate cap applies to the Council’s total rate revenue and not individual properties.</w:t>
      </w:r>
      <w:r>
        <w:rPr>
          <w:spacing w:val="40"/>
        </w:rPr>
        <w:t> </w:t>
      </w:r>
      <w:r>
        <w:rPr/>
        <w:t>In many cases, an individual rates bill may increase or decrease by more (or less) than the capped rise amount.</w:t>
      </w:r>
      <w:r>
        <w:rPr>
          <w:spacing w:val="40"/>
        </w:rPr>
        <w:t> </w:t>
      </w:r>
      <w:r>
        <w:rPr/>
        <w:t>This may happen because:</w:t>
      </w:r>
    </w:p>
    <w:p>
      <w:pPr>
        <w:pStyle w:val="BodyText"/>
        <w:spacing w:before="4"/>
        <w:rPr>
          <w:sz w:val="24"/>
        </w:rPr>
      </w:pPr>
    </w:p>
    <w:p>
      <w:pPr>
        <w:pStyle w:val="ListParagraph"/>
        <w:numPr>
          <w:ilvl w:val="0"/>
          <w:numId w:val="2"/>
        </w:numPr>
        <w:tabs>
          <w:tab w:pos="686" w:val="left" w:leader="none"/>
          <w:tab w:pos="687" w:val="left" w:leader="none"/>
        </w:tabs>
        <w:spacing w:line="240" w:lineRule="auto" w:before="0" w:after="0"/>
        <w:ind w:left="686" w:right="137" w:hanging="567"/>
        <w:jc w:val="left"/>
        <w:rPr>
          <w:rFonts w:ascii="Symbol" w:hAnsi="Symbol"/>
          <w:sz w:val="20"/>
        </w:rPr>
      </w:pPr>
      <w:r>
        <w:rPr>
          <w:sz w:val="22"/>
        </w:rPr>
        <w:t>the value of the property has increased or decreased in relation to</w:t>
      </w:r>
      <w:r>
        <w:rPr>
          <w:spacing w:val="-1"/>
          <w:sz w:val="22"/>
        </w:rPr>
        <w:t> </w:t>
      </w:r>
      <w:r>
        <w:rPr>
          <w:sz w:val="22"/>
        </w:rPr>
        <w:t>the value of other properties in the </w:t>
      </w:r>
      <w:r>
        <w:rPr>
          <w:spacing w:val="-2"/>
          <w:sz w:val="22"/>
        </w:rPr>
        <w:t>Council;</w:t>
      </w:r>
    </w:p>
    <w:p>
      <w:pPr>
        <w:pStyle w:val="ListParagraph"/>
        <w:numPr>
          <w:ilvl w:val="0"/>
          <w:numId w:val="2"/>
        </w:numPr>
        <w:tabs>
          <w:tab w:pos="686" w:val="left" w:leader="none"/>
          <w:tab w:pos="687" w:val="left" w:leader="none"/>
        </w:tabs>
        <w:spacing w:line="240" w:lineRule="auto" w:before="1" w:after="0"/>
        <w:ind w:left="686" w:right="139" w:hanging="567"/>
        <w:jc w:val="left"/>
        <w:rPr>
          <w:rFonts w:ascii="Symbol" w:hAnsi="Symbol"/>
          <w:sz w:val="20"/>
        </w:rPr>
      </w:pPr>
      <w:r>
        <w:rPr>
          <w:sz w:val="22"/>
        </w:rPr>
        <w:t>other</w:t>
      </w:r>
      <w:r>
        <w:rPr>
          <w:spacing w:val="22"/>
          <w:sz w:val="22"/>
        </w:rPr>
        <w:t> </w:t>
      </w:r>
      <w:r>
        <w:rPr>
          <w:sz w:val="22"/>
        </w:rPr>
        <w:t>charges</w:t>
      </w:r>
      <w:r>
        <w:rPr>
          <w:spacing w:val="20"/>
          <w:sz w:val="22"/>
        </w:rPr>
        <w:t> </w:t>
      </w:r>
      <w:r>
        <w:rPr>
          <w:sz w:val="22"/>
        </w:rPr>
        <w:t>and</w:t>
      </w:r>
      <w:r>
        <w:rPr>
          <w:spacing w:val="20"/>
          <w:sz w:val="22"/>
        </w:rPr>
        <w:t> </w:t>
      </w:r>
      <w:r>
        <w:rPr>
          <w:sz w:val="22"/>
        </w:rPr>
        <w:t>levies</w:t>
      </w:r>
      <w:r>
        <w:rPr>
          <w:spacing w:val="20"/>
          <w:sz w:val="22"/>
        </w:rPr>
        <w:t> </w:t>
      </w:r>
      <w:r>
        <w:rPr>
          <w:sz w:val="22"/>
        </w:rPr>
        <w:t>that</w:t>
      </w:r>
      <w:r>
        <w:rPr>
          <w:spacing w:val="20"/>
          <w:sz w:val="22"/>
        </w:rPr>
        <w:t> </w:t>
      </w:r>
      <w:r>
        <w:rPr>
          <w:sz w:val="22"/>
        </w:rPr>
        <w:t>are</w:t>
      </w:r>
      <w:r>
        <w:rPr>
          <w:spacing w:val="20"/>
          <w:sz w:val="22"/>
        </w:rPr>
        <w:t> </w:t>
      </w:r>
      <w:r>
        <w:rPr>
          <w:sz w:val="22"/>
        </w:rPr>
        <w:t>not</w:t>
      </w:r>
      <w:r>
        <w:rPr>
          <w:spacing w:val="21"/>
          <w:sz w:val="22"/>
        </w:rPr>
        <w:t> </w:t>
      </w:r>
      <w:r>
        <w:rPr>
          <w:sz w:val="22"/>
        </w:rPr>
        <w:t>subject</w:t>
      </w:r>
      <w:r>
        <w:rPr>
          <w:spacing w:val="18"/>
          <w:sz w:val="22"/>
        </w:rPr>
        <w:t> </w:t>
      </w:r>
      <w:r>
        <w:rPr>
          <w:sz w:val="22"/>
        </w:rPr>
        <w:t>to</w:t>
      </w:r>
      <w:r>
        <w:rPr>
          <w:spacing w:val="19"/>
          <w:sz w:val="22"/>
        </w:rPr>
        <w:t> </w:t>
      </w:r>
      <w:r>
        <w:rPr>
          <w:sz w:val="22"/>
        </w:rPr>
        <w:t>the</w:t>
      </w:r>
      <w:r>
        <w:rPr>
          <w:spacing w:val="20"/>
          <w:sz w:val="22"/>
        </w:rPr>
        <w:t> </w:t>
      </w:r>
      <w:r>
        <w:rPr>
          <w:sz w:val="22"/>
        </w:rPr>
        <w:t>cap,</w:t>
      </w:r>
      <w:r>
        <w:rPr>
          <w:spacing w:val="19"/>
          <w:sz w:val="22"/>
        </w:rPr>
        <w:t> </w:t>
      </w:r>
      <w:r>
        <w:rPr>
          <w:sz w:val="22"/>
        </w:rPr>
        <w:t>such</w:t>
      </w:r>
      <w:r>
        <w:rPr>
          <w:spacing w:val="20"/>
          <w:sz w:val="22"/>
        </w:rPr>
        <w:t> </w:t>
      </w:r>
      <w:r>
        <w:rPr>
          <w:sz w:val="22"/>
        </w:rPr>
        <w:t>as</w:t>
      </w:r>
      <w:r>
        <w:rPr>
          <w:spacing w:val="18"/>
          <w:sz w:val="22"/>
        </w:rPr>
        <w:t> </w:t>
      </w:r>
      <w:r>
        <w:rPr>
          <w:sz w:val="22"/>
        </w:rPr>
        <w:t>the</w:t>
      </w:r>
      <w:r>
        <w:rPr>
          <w:spacing w:val="20"/>
          <w:sz w:val="22"/>
        </w:rPr>
        <w:t> </w:t>
      </w:r>
      <w:r>
        <w:rPr>
          <w:sz w:val="22"/>
        </w:rPr>
        <w:t>waste</w:t>
      </w:r>
      <w:r>
        <w:rPr>
          <w:spacing w:val="23"/>
          <w:sz w:val="22"/>
        </w:rPr>
        <w:t> </w:t>
      </w:r>
      <w:r>
        <w:rPr>
          <w:sz w:val="22"/>
        </w:rPr>
        <w:t>charge,</w:t>
      </w:r>
      <w:r>
        <w:rPr>
          <w:spacing w:val="23"/>
          <w:sz w:val="22"/>
        </w:rPr>
        <w:t> </w:t>
      </w:r>
      <w:r>
        <w:rPr>
          <w:sz w:val="22"/>
        </w:rPr>
        <w:t>has</w:t>
      </w:r>
      <w:r>
        <w:rPr>
          <w:spacing w:val="18"/>
          <w:sz w:val="22"/>
        </w:rPr>
        <w:t> </w:t>
      </w:r>
      <w:r>
        <w:rPr>
          <w:sz w:val="22"/>
        </w:rPr>
        <w:t>risen.</w:t>
      </w:r>
      <w:r>
        <w:rPr>
          <w:spacing w:val="18"/>
          <w:sz w:val="22"/>
        </w:rPr>
        <w:t> </w:t>
      </w:r>
      <w:r>
        <w:rPr>
          <w:sz w:val="22"/>
        </w:rPr>
        <w:t>The capped increases apply to the general rates only; and</w:t>
      </w:r>
    </w:p>
    <w:p>
      <w:pPr>
        <w:pStyle w:val="ListParagraph"/>
        <w:numPr>
          <w:ilvl w:val="0"/>
          <w:numId w:val="2"/>
        </w:numPr>
        <w:tabs>
          <w:tab w:pos="686" w:val="left" w:leader="none"/>
          <w:tab w:pos="687" w:val="left" w:leader="none"/>
        </w:tabs>
        <w:spacing w:line="240" w:lineRule="auto" w:before="0" w:after="0"/>
        <w:ind w:left="686" w:right="137" w:hanging="567"/>
        <w:jc w:val="left"/>
        <w:rPr>
          <w:rFonts w:ascii="Symbol" w:hAnsi="Symbol"/>
          <w:sz w:val="20"/>
        </w:rPr>
      </w:pPr>
      <w:r>
        <w:rPr>
          <w:sz w:val="22"/>
        </w:rPr>
        <w:t>the</w:t>
      </w:r>
      <w:r>
        <w:rPr>
          <w:spacing w:val="40"/>
          <w:sz w:val="22"/>
        </w:rPr>
        <w:t> </w:t>
      </w:r>
      <w:r>
        <w:rPr>
          <w:sz w:val="22"/>
        </w:rPr>
        <w:t>amount</w:t>
      </w:r>
      <w:r>
        <w:rPr>
          <w:spacing w:val="40"/>
          <w:sz w:val="22"/>
        </w:rPr>
        <w:t> </w:t>
      </w:r>
      <w:r>
        <w:rPr>
          <w:sz w:val="22"/>
        </w:rPr>
        <w:t>of</w:t>
      </w:r>
      <w:r>
        <w:rPr>
          <w:spacing w:val="40"/>
          <w:sz w:val="22"/>
        </w:rPr>
        <w:t> </w:t>
      </w:r>
      <w:r>
        <w:rPr>
          <w:sz w:val="22"/>
        </w:rPr>
        <w:t>rates</w:t>
      </w:r>
      <w:r>
        <w:rPr>
          <w:spacing w:val="40"/>
          <w:sz w:val="22"/>
        </w:rPr>
        <w:t> </w:t>
      </w:r>
      <w:r>
        <w:rPr>
          <w:sz w:val="22"/>
        </w:rPr>
        <w:t>levied</w:t>
      </w:r>
      <w:r>
        <w:rPr>
          <w:spacing w:val="40"/>
          <w:sz w:val="22"/>
        </w:rPr>
        <w:t> </w:t>
      </w:r>
      <w:r>
        <w:rPr>
          <w:sz w:val="22"/>
        </w:rPr>
        <w:t>from</w:t>
      </w:r>
      <w:r>
        <w:rPr>
          <w:spacing w:val="40"/>
          <w:sz w:val="22"/>
        </w:rPr>
        <w:t> </w:t>
      </w:r>
      <w:r>
        <w:rPr>
          <w:sz w:val="22"/>
        </w:rPr>
        <w:t>properties</w:t>
      </w:r>
      <w:r>
        <w:rPr>
          <w:spacing w:val="40"/>
          <w:sz w:val="22"/>
        </w:rPr>
        <w:t> </w:t>
      </w:r>
      <w:r>
        <w:rPr>
          <w:sz w:val="22"/>
        </w:rPr>
        <w:t>of</w:t>
      </w:r>
      <w:r>
        <w:rPr>
          <w:spacing w:val="40"/>
          <w:sz w:val="22"/>
        </w:rPr>
        <w:t> </w:t>
      </w:r>
      <w:r>
        <w:rPr>
          <w:sz w:val="22"/>
        </w:rPr>
        <w:t>that</w:t>
      </w:r>
      <w:r>
        <w:rPr>
          <w:spacing w:val="40"/>
          <w:sz w:val="22"/>
        </w:rPr>
        <w:t> </w:t>
      </w:r>
      <w:r>
        <w:rPr>
          <w:sz w:val="22"/>
        </w:rPr>
        <w:t>type</w:t>
      </w:r>
      <w:r>
        <w:rPr>
          <w:spacing w:val="39"/>
          <w:sz w:val="22"/>
        </w:rPr>
        <w:t> </w:t>
      </w:r>
      <w:r>
        <w:rPr>
          <w:sz w:val="22"/>
        </w:rPr>
        <w:t>(residential,</w:t>
      </w:r>
      <w:r>
        <w:rPr>
          <w:spacing w:val="40"/>
          <w:sz w:val="22"/>
        </w:rPr>
        <w:t> </w:t>
      </w:r>
      <w:r>
        <w:rPr>
          <w:sz w:val="22"/>
        </w:rPr>
        <w:t>commercial</w:t>
      </w:r>
      <w:r>
        <w:rPr>
          <w:spacing w:val="40"/>
          <w:sz w:val="22"/>
        </w:rPr>
        <w:t> </w:t>
      </w:r>
      <w:r>
        <w:rPr>
          <w:sz w:val="22"/>
        </w:rPr>
        <w:t>or</w:t>
      </w:r>
      <w:r>
        <w:rPr>
          <w:spacing w:val="40"/>
          <w:sz w:val="22"/>
        </w:rPr>
        <w:t> </w:t>
      </w:r>
      <w:r>
        <w:rPr>
          <w:sz w:val="22"/>
        </w:rPr>
        <w:t>industrial)</w:t>
      </w:r>
      <w:r>
        <w:rPr>
          <w:spacing w:val="40"/>
          <w:sz w:val="22"/>
        </w:rPr>
        <w:t> </w:t>
      </w:r>
      <w:r>
        <w:rPr>
          <w:sz w:val="22"/>
        </w:rPr>
        <w:t>has changed through the Council’s application of differential rates.</w:t>
      </w:r>
    </w:p>
    <w:p>
      <w:pPr>
        <w:pStyle w:val="BodyText"/>
        <w:spacing w:before="11"/>
        <w:rPr>
          <w:sz w:val="21"/>
        </w:rPr>
      </w:pPr>
    </w:p>
    <w:p>
      <w:pPr>
        <w:pStyle w:val="BodyText"/>
        <w:ind w:left="120" w:right="132"/>
        <w:jc w:val="both"/>
      </w:pPr>
      <w:r>
        <w:rPr/>
        <w:t>Council recognises that some members of the community may have difficulty paying their rates, and has a Rates Financial Hardship Policy, which includes offering payment arrangements based on individual ratepayer circumstances.</w:t>
      </w:r>
    </w:p>
    <w:p>
      <w:pPr>
        <w:pStyle w:val="BodyText"/>
        <w:spacing w:before="2"/>
        <w:rPr>
          <w:sz w:val="25"/>
        </w:rPr>
      </w:pPr>
    </w:p>
    <w:p>
      <w:pPr>
        <w:pStyle w:val="BodyText"/>
        <w:ind w:left="120" w:right="190"/>
      </w:pPr>
      <w:r>
        <w:rPr/>
        <w:t>Further</w:t>
      </w:r>
      <w:r>
        <w:rPr>
          <w:spacing w:val="-2"/>
        </w:rPr>
        <w:t> </w:t>
      </w:r>
      <w:r>
        <w:rPr/>
        <w:t>information</w:t>
      </w:r>
      <w:r>
        <w:rPr>
          <w:spacing w:val="-2"/>
        </w:rPr>
        <w:t> </w:t>
      </w:r>
      <w:r>
        <w:rPr/>
        <w:t>on</w:t>
      </w:r>
      <w:r>
        <w:rPr>
          <w:spacing w:val="-4"/>
        </w:rPr>
        <w:t> </w:t>
      </w:r>
      <w:r>
        <w:rPr/>
        <w:t>Rates and</w:t>
      </w:r>
      <w:r>
        <w:rPr>
          <w:spacing w:val="-3"/>
        </w:rPr>
        <w:t> </w:t>
      </w:r>
      <w:r>
        <w:rPr/>
        <w:t>Charges</w:t>
      </w:r>
      <w:r>
        <w:rPr>
          <w:spacing w:val="-2"/>
        </w:rPr>
        <w:t> </w:t>
      </w:r>
      <w:r>
        <w:rPr/>
        <w:t>can</w:t>
      </w:r>
      <w:r>
        <w:rPr>
          <w:spacing w:val="-3"/>
        </w:rPr>
        <w:t> </w:t>
      </w:r>
      <w:r>
        <w:rPr/>
        <w:t>be</w:t>
      </w:r>
      <w:r>
        <w:rPr>
          <w:spacing w:val="-1"/>
        </w:rPr>
        <w:t> </w:t>
      </w:r>
      <w:r>
        <w:rPr/>
        <w:t>found</w:t>
      </w:r>
      <w:r>
        <w:rPr>
          <w:spacing w:val="-4"/>
        </w:rPr>
        <w:t> </w:t>
      </w:r>
      <w:r>
        <w:rPr/>
        <w:t>in</w:t>
      </w:r>
      <w:r>
        <w:rPr>
          <w:spacing w:val="-4"/>
        </w:rPr>
        <w:t> </w:t>
      </w:r>
      <w:r>
        <w:rPr/>
        <w:t>Section</w:t>
      </w:r>
      <w:r>
        <w:rPr>
          <w:spacing w:val="-4"/>
        </w:rPr>
        <w:t> </w:t>
      </w:r>
      <w:r>
        <w:rPr/>
        <w:t>4.1.1</w:t>
      </w:r>
      <w:r>
        <w:rPr>
          <w:spacing w:val="-4"/>
        </w:rPr>
        <w:t> </w:t>
      </w:r>
      <w:r>
        <w:rPr/>
        <w:t>Notes</w:t>
      </w:r>
      <w:r>
        <w:rPr>
          <w:spacing w:val="-4"/>
        </w:rPr>
        <w:t> </w:t>
      </w:r>
      <w:r>
        <w:rPr/>
        <w:t>to</w:t>
      </w:r>
      <w:r>
        <w:rPr>
          <w:spacing w:val="-2"/>
        </w:rPr>
        <w:t> </w:t>
      </w:r>
      <w:r>
        <w:rPr/>
        <w:t>financial</w:t>
      </w:r>
      <w:r>
        <w:rPr>
          <w:spacing w:val="-2"/>
        </w:rPr>
        <w:t> </w:t>
      </w:r>
      <w:r>
        <w:rPr/>
        <w:t>statements within this document.</w:t>
      </w:r>
    </w:p>
    <w:p>
      <w:pPr>
        <w:spacing w:after="0"/>
        <w:sectPr>
          <w:footerReference w:type="default" r:id="rId9"/>
          <w:pgSz w:w="11910" w:h="16840"/>
          <w:pgMar w:footer="693" w:header="0" w:top="680" w:bottom="880" w:left="600" w:right="580"/>
          <w:pgNumType w:start="5"/>
        </w:sectPr>
      </w:pPr>
    </w:p>
    <w:p>
      <w:pPr>
        <w:spacing w:before="81"/>
        <w:ind w:left="120" w:right="0" w:firstLine="0"/>
        <w:jc w:val="both"/>
        <w:rPr>
          <w:b/>
          <w:sz w:val="22"/>
        </w:rPr>
      </w:pPr>
      <w:r>
        <w:rPr>
          <w:b/>
          <w:color w:val="1D5D9E"/>
          <w:sz w:val="22"/>
        </w:rPr>
        <w:t>Waste</w:t>
      </w:r>
      <w:r>
        <w:rPr>
          <w:b/>
          <w:color w:val="1D5D9E"/>
          <w:spacing w:val="-3"/>
          <w:sz w:val="22"/>
        </w:rPr>
        <w:t> </w:t>
      </w:r>
      <w:r>
        <w:rPr>
          <w:b/>
          <w:color w:val="1D5D9E"/>
          <w:spacing w:val="-2"/>
          <w:sz w:val="22"/>
        </w:rPr>
        <w:t>Management</w:t>
      </w:r>
    </w:p>
    <w:p>
      <w:pPr>
        <w:pStyle w:val="BodyText"/>
        <w:spacing w:before="4"/>
        <w:rPr>
          <w:b/>
          <w:sz w:val="25"/>
        </w:rPr>
      </w:pPr>
    </w:p>
    <w:p>
      <w:pPr>
        <w:pStyle w:val="BodyText"/>
        <w:spacing w:before="1"/>
        <w:ind w:left="120" w:right="132"/>
        <w:jc w:val="both"/>
      </w:pPr>
      <w:r>
        <w:rPr/>
        <w:t>Waste</w:t>
      </w:r>
      <w:r>
        <w:rPr>
          <w:spacing w:val="-5"/>
        </w:rPr>
        <w:t> </w:t>
      </w:r>
      <w:r>
        <w:rPr/>
        <w:t>and</w:t>
      </w:r>
      <w:r>
        <w:rPr>
          <w:spacing w:val="-5"/>
        </w:rPr>
        <w:t> </w:t>
      </w:r>
      <w:r>
        <w:rPr/>
        <w:t>recycling</w:t>
      </w:r>
      <w:r>
        <w:rPr>
          <w:spacing w:val="-4"/>
        </w:rPr>
        <w:t> </w:t>
      </w:r>
      <w:r>
        <w:rPr/>
        <w:t>collection</w:t>
      </w:r>
      <w:r>
        <w:rPr>
          <w:spacing w:val="-4"/>
        </w:rPr>
        <w:t> </w:t>
      </w:r>
      <w:r>
        <w:rPr/>
        <w:t>is</w:t>
      </w:r>
      <w:r>
        <w:rPr>
          <w:spacing w:val="-6"/>
        </w:rPr>
        <w:t> </w:t>
      </w:r>
      <w:r>
        <w:rPr/>
        <w:t>considered</w:t>
      </w:r>
      <w:r>
        <w:rPr>
          <w:spacing w:val="-5"/>
        </w:rPr>
        <w:t> </w:t>
      </w:r>
      <w:r>
        <w:rPr/>
        <w:t>a</w:t>
      </w:r>
      <w:r>
        <w:rPr>
          <w:spacing w:val="-6"/>
        </w:rPr>
        <w:t> </w:t>
      </w:r>
      <w:r>
        <w:rPr/>
        <w:t>critical</w:t>
      </w:r>
      <w:r>
        <w:rPr>
          <w:spacing w:val="-4"/>
        </w:rPr>
        <w:t> </w:t>
      </w:r>
      <w:r>
        <w:rPr/>
        <w:t>service</w:t>
      </w:r>
      <w:r>
        <w:rPr>
          <w:spacing w:val="-4"/>
        </w:rPr>
        <w:t> </w:t>
      </w:r>
      <w:r>
        <w:rPr/>
        <w:t>used</w:t>
      </w:r>
      <w:r>
        <w:rPr>
          <w:spacing w:val="-6"/>
        </w:rPr>
        <w:t> </w:t>
      </w:r>
      <w:r>
        <w:rPr/>
        <w:t>by</w:t>
      </w:r>
      <w:r>
        <w:rPr>
          <w:spacing w:val="-6"/>
        </w:rPr>
        <w:t> </w:t>
      </w:r>
      <w:r>
        <w:rPr/>
        <w:t>all</w:t>
      </w:r>
      <w:r>
        <w:rPr>
          <w:spacing w:val="-9"/>
        </w:rPr>
        <w:t> </w:t>
      </w:r>
      <w:r>
        <w:rPr/>
        <w:t>residents.</w:t>
      </w:r>
      <w:r>
        <w:rPr>
          <w:spacing w:val="-6"/>
        </w:rPr>
        <w:t> </w:t>
      </w:r>
      <w:r>
        <w:rPr/>
        <w:t>As</w:t>
      </w:r>
      <w:r>
        <w:rPr>
          <w:spacing w:val="-6"/>
        </w:rPr>
        <w:t> </w:t>
      </w:r>
      <w:r>
        <w:rPr/>
        <w:t>documented</w:t>
      </w:r>
      <w:r>
        <w:rPr>
          <w:spacing w:val="-4"/>
        </w:rPr>
        <w:t> </w:t>
      </w:r>
      <w:r>
        <w:rPr/>
        <w:t>over</w:t>
      </w:r>
      <w:r>
        <w:rPr>
          <w:spacing w:val="-6"/>
        </w:rPr>
        <w:t> </w:t>
      </w:r>
      <w:r>
        <w:rPr/>
        <w:t>the past few years, the recycling industry has been through some challenging moments and events stemming from issues across the globe. Whilst these challenges are expected to continue into the foreseeable future, Maroondah</w:t>
      </w:r>
      <w:r>
        <w:rPr>
          <w:spacing w:val="-6"/>
        </w:rPr>
        <w:t> </w:t>
      </w:r>
      <w:r>
        <w:rPr/>
        <w:t>will</w:t>
      </w:r>
      <w:r>
        <w:rPr>
          <w:spacing w:val="-8"/>
        </w:rPr>
        <w:t> </w:t>
      </w:r>
      <w:r>
        <w:rPr/>
        <w:t>continue</w:t>
      </w:r>
      <w:r>
        <w:rPr>
          <w:spacing w:val="-8"/>
        </w:rPr>
        <w:t> </w:t>
      </w:r>
      <w:r>
        <w:rPr/>
        <w:t>to</w:t>
      </w:r>
      <w:r>
        <w:rPr>
          <w:spacing w:val="-4"/>
        </w:rPr>
        <w:t> </w:t>
      </w:r>
      <w:r>
        <w:rPr/>
        <w:t>work</w:t>
      </w:r>
      <w:r>
        <w:rPr>
          <w:spacing w:val="-8"/>
        </w:rPr>
        <w:t> </w:t>
      </w:r>
      <w:r>
        <w:rPr/>
        <w:t>towards</w:t>
      </w:r>
      <w:r>
        <w:rPr>
          <w:spacing w:val="-6"/>
        </w:rPr>
        <w:t> </w:t>
      </w:r>
      <w:r>
        <w:rPr/>
        <w:t>a</w:t>
      </w:r>
      <w:r>
        <w:rPr>
          <w:spacing w:val="-8"/>
        </w:rPr>
        <w:t> </w:t>
      </w:r>
      <w:r>
        <w:rPr/>
        <w:t>pathway</w:t>
      </w:r>
      <w:r>
        <w:rPr>
          <w:spacing w:val="-6"/>
        </w:rPr>
        <w:t> </w:t>
      </w:r>
      <w:r>
        <w:rPr/>
        <w:t>that</w:t>
      </w:r>
      <w:r>
        <w:rPr>
          <w:spacing w:val="-8"/>
        </w:rPr>
        <w:t> </w:t>
      </w:r>
      <w:r>
        <w:rPr/>
        <w:t>results</w:t>
      </w:r>
      <w:r>
        <w:rPr>
          <w:spacing w:val="-6"/>
        </w:rPr>
        <w:t> </w:t>
      </w:r>
      <w:r>
        <w:rPr/>
        <w:t>in</w:t>
      </w:r>
      <w:r>
        <w:rPr>
          <w:spacing w:val="-8"/>
        </w:rPr>
        <w:t> </w:t>
      </w:r>
      <w:r>
        <w:rPr/>
        <w:t>an</w:t>
      </w:r>
      <w:r>
        <w:rPr>
          <w:spacing w:val="-6"/>
        </w:rPr>
        <w:t> </w:t>
      </w:r>
      <w:r>
        <w:rPr/>
        <w:t>efficient</w:t>
      </w:r>
      <w:r>
        <w:rPr>
          <w:spacing w:val="-4"/>
        </w:rPr>
        <w:t> </w:t>
      </w:r>
      <w:r>
        <w:rPr/>
        <w:t>and</w:t>
      </w:r>
      <w:r>
        <w:rPr>
          <w:spacing w:val="-6"/>
        </w:rPr>
        <w:t> </w:t>
      </w:r>
      <w:r>
        <w:rPr/>
        <w:t>resilient</w:t>
      </w:r>
      <w:r>
        <w:rPr>
          <w:spacing w:val="-4"/>
        </w:rPr>
        <w:t> </w:t>
      </w:r>
      <w:r>
        <w:rPr/>
        <w:t>recycling</w:t>
      </w:r>
      <w:r>
        <w:rPr>
          <w:spacing w:val="-6"/>
        </w:rPr>
        <w:t> </w:t>
      </w:r>
      <w:r>
        <w:rPr/>
        <w:t>system. This includes:</w:t>
      </w:r>
    </w:p>
    <w:p>
      <w:pPr>
        <w:pStyle w:val="BodyText"/>
        <w:spacing w:before="3"/>
      </w:pPr>
    </w:p>
    <w:p>
      <w:pPr>
        <w:pStyle w:val="ListParagraph"/>
        <w:numPr>
          <w:ilvl w:val="0"/>
          <w:numId w:val="2"/>
        </w:numPr>
        <w:tabs>
          <w:tab w:pos="686" w:val="left" w:leader="none"/>
          <w:tab w:pos="687" w:val="left" w:leader="none"/>
        </w:tabs>
        <w:spacing w:line="237" w:lineRule="auto" w:before="0" w:after="0"/>
        <w:ind w:left="686" w:right="137" w:hanging="567"/>
        <w:jc w:val="left"/>
        <w:rPr>
          <w:rFonts w:ascii="Symbol" w:hAnsi="Symbol"/>
          <w:sz w:val="22"/>
        </w:rPr>
      </w:pPr>
      <w:r>
        <w:rPr>
          <w:sz w:val="22"/>
        </w:rPr>
        <w:t>Investing</w:t>
      </w:r>
      <w:r>
        <w:rPr>
          <w:spacing w:val="-8"/>
          <w:sz w:val="22"/>
        </w:rPr>
        <w:t> </w:t>
      </w:r>
      <w:r>
        <w:rPr>
          <w:sz w:val="22"/>
        </w:rPr>
        <w:t>in</w:t>
      </w:r>
      <w:r>
        <w:rPr>
          <w:spacing w:val="-12"/>
          <w:sz w:val="22"/>
        </w:rPr>
        <w:t> </w:t>
      </w:r>
      <w:r>
        <w:rPr>
          <w:sz w:val="22"/>
        </w:rPr>
        <w:t>the</w:t>
      </w:r>
      <w:r>
        <w:rPr>
          <w:spacing w:val="-8"/>
          <w:sz w:val="22"/>
        </w:rPr>
        <w:t> </w:t>
      </w:r>
      <w:r>
        <w:rPr>
          <w:sz w:val="22"/>
        </w:rPr>
        <w:t>initiatives</w:t>
      </w:r>
      <w:r>
        <w:rPr>
          <w:spacing w:val="-11"/>
          <w:sz w:val="22"/>
        </w:rPr>
        <w:t> </w:t>
      </w:r>
      <w:r>
        <w:rPr>
          <w:sz w:val="22"/>
        </w:rPr>
        <w:t>and</w:t>
      </w:r>
      <w:r>
        <w:rPr>
          <w:spacing w:val="-8"/>
          <w:sz w:val="22"/>
        </w:rPr>
        <w:t> </w:t>
      </w:r>
      <w:r>
        <w:rPr>
          <w:sz w:val="22"/>
        </w:rPr>
        <w:t>the</w:t>
      </w:r>
      <w:r>
        <w:rPr>
          <w:spacing w:val="-8"/>
          <w:sz w:val="22"/>
        </w:rPr>
        <w:t> </w:t>
      </w:r>
      <w:r>
        <w:rPr>
          <w:sz w:val="22"/>
        </w:rPr>
        <w:t>infrastructure</w:t>
      </w:r>
      <w:r>
        <w:rPr>
          <w:spacing w:val="-12"/>
          <w:sz w:val="22"/>
        </w:rPr>
        <w:t> </w:t>
      </w:r>
      <w:r>
        <w:rPr>
          <w:sz w:val="22"/>
        </w:rPr>
        <w:t>required</w:t>
      </w:r>
      <w:r>
        <w:rPr>
          <w:spacing w:val="-10"/>
          <w:sz w:val="22"/>
        </w:rPr>
        <w:t> </w:t>
      </w:r>
      <w:r>
        <w:rPr>
          <w:sz w:val="22"/>
        </w:rPr>
        <w:t>to</w:t>
      </w:r>
      <w:r>
        <w:rPr>
          <w:spacing w:val="-10"/>
          <w:sz w:val="22"/>
        </w:rPr>
        <w:t> </w:t>
      </w:r>
      <w:r>
        <w:rPr>
          <w:sz w:val="22"/>
        </w:rPr>
        <w:t>deliver</w:t>
      </w:r>
      <w:r>
        <w:rPr>
          <w:spacing w:val="-7"/>
          <w:sz w:val="22"/>
        </w:rPr>
        <w:t> </w:t>
      </w:r>
      <w:r>
        <w:rPr>
          <w:sz w:val="22"/>
        </w:rPr>
        <w:t>on</w:t>
      </w:r>
      <w:r>
        <w:rPr>
          <w:spacing w:val="-10"/>
          <w:sz w:val="22"/>
        </w:rPr>
        <w:t> </w:t>
      </w:r>
      <w:r>
        <w:rPr>
          <w:sz w:val="22"/>
        </w:rPr>
        <w:t>the</w:t>
      </w:r>
      <w:r>
        <w:rPr>
          <w:spacing w:val="-10"/>
          <w:sz w:val="22"/>
        </w:rPr>
        <w:t> </w:t>
      </w:r>
      <w:r>
        <w:rPr>
          <w:sz w:val="22"/>
        </w:rPr>
        <w:t>outcomes</w:t>
      </w:r>
      <w:r>
        <w:rPr>
          <w:spacing w:val="-8"/>
          <w:sz w:val="22"/>
        </w:rPr>
        <w:t> </w:t>
      </w:r>
      <w:r>
        <w:rPr>
          <w:sz w:val="22"/>
        </w:rPr>
        <w:t>set</w:t>
      </w:r>
      <w:r>
        <w:rPr>
          <w:spacing w:val="-10"/>
          <w:sz w:val="22"/>
        </w:rPr>
        <w:t> </w:t>
      </w:r>
      <w:r>
        <w:rPr>
          <w:sz w:val="22"/>
        </w:rPr>
        <w:t>out</w:t>
      </w:r>
      <w:r>
        <w:rPr>
          <w:spacing w:val="-8"/>
          <w:sz w:val="22"/>
        </w:rPr>
        <w:t> </w:t>
      </w:r>
      <w:r>
        <w:rPr>
          <w:sz w:val="22"/>
        </w:rPr>
        <w:t>in</w:t>
      </w:r>
      <w:r>
        <w:rPr>
          <w:spacing w:val="-10"/>
          <w:sz w:val="22"/>
        </w:rPr>
        <w:t> </w:t>
      </w:r>
      <w:r>
        <w:rPr>
          <w:sz w:val="22"/>
        </w:rPr>
        <w:t>Council’s 10 Year Waste Strategy over the course of the next decade.</w:t>
      </w:r>
    </w:p>
    <w:p>
      <w:pPr>
        <w:pStyle w:val="ListParagraph"/>
        <w:numPr>
          <w:ilvl w:val="0"/>
          <w:numId w:val="2"/>
        </w:numPr>
        <w:tabs>
          <w:tab w:pos="686" w:val="left" w:leader="none"/>
          <w:tab w:pos="687" w:val="left" w:leader="none"/>
        </w:tabs>
        <w:spacing w:line="268" w:lineRule="exact" w:before="1" w:after="0"/>
        <w:ind w:left="686" w:right="0" w:hanging="567"/>
        <w:jc w:val="left"/>
        <w:rPr>
          <w:rFonts w:ascii="Symbol" w:hAnsi="Symbol"/>
          <w:sz w:val="22"/>
        </w:rPr>
      </w:pPr>
      <w:r>
        <w:rPr>
          <w:sz w:val="22"/>
        </w:rPr>
        <w:t>Driving</w:t>
      </w:r>
      <w:r>
        <w:rPr>
          <w:spacing w:val="-4"/>
          <w:sz w:val="22"/>
        </w:rPr>
        <w:t> </w:t>
      </w:r>
      <w:r>
        <w:rPr>
          <w:sz w:val="22"/>
        </w:rPr>
        <w:t>key</w:t>
      </w:r>
      <w:r>
        <w:rPr>
          <w:spacing w:val="-3"/>
          <w:sz w:val="22"/>
        </w:rPr>
        <w:t> </w:t>
      </w:r>
      <w:r>
        <w:rPr>
          <w:sz w:val="22"/>
        </w:rPr>
        <w:t>initiatives</w:t>
      </w:r>
      <w:r>
        <w:rPr>
          <w:spacing w:val="-4"/>
          <w:sz w:val="22"/>
        </w:rPr>
        <w:t> </w:t>
      </w:r>
      <w:r>
        <w:rPr>
          <w:sz w:val="22"/>
        </w:rPr>
        <w:t>to</w:t>
      </w:r>
      <w:r>
        <w:rPr>
          <w:spacing w:val="-7"/>
          <w:sz w:val="22"/>
        </w:rPr>
        <w:t> </w:t>
      </w:r>
      <w:r>
        <w:rPr>
          <w:sz w:val="22"/>
        </w:rPr>
        <w:t>reduce</w:t>
      </w:r>
      <w:r>
        <w:rPr>
          <w:spacing w:val="-2"/>
          <w:sz w:val="22"/>
        </w:rPr>
        <w:t> </w:t>
      </w:r>
      <w:r>
        <w:rPr>
          <w:sz w:val="22"/>
        </w:rPr>
        <w:t>waste</w:t>
      </w:r>
      <w:r>
        <w:rPr>
          <w:spacing w:val="-7"/>
          <w:sz w:val="22"/>
        </w:rPr>
        <w:t> </w:t>
      </w:r>
      <w:r>
        <w:rPr>
          <w:sz w:val="22"/>
        </w:rPr>
        <w:t>that</w:t>
      </w:r>
      <w:r>
        <w:rPr>
          <w:spacing w:val="-1"/>
          <w:sz w:val="22"/>
        </w:rPr>
        <w:t> </w:t>
      </w:r>
      <w:r>
        <w:rPr>
          <w:sz w:val="22"/>
        </w:rPr>
        <w:t>align</w:t>
      </w:r>
      <w:r>
        <w:rPr>
          <w:spacing w:val="-2"/>
          <w:sz w:val="22"/>
        </w:rPr>
        <w:t> </w:t>
      </w:r>
      <w:r>
        <w:rPr>
          <w:sz w:val="22"/>
        </w:rPr>
        <w:t>with</w:t>
      </w:r>
      <w:r>
        <w:rPr>
          <w:spacing w:val="-3"/>
          <w:sz w:val="22"/>
        </w:rPr>
        <w:t> </w:t>
      </w:r>
      <w:r>
        <w:rPr>
          <w:sz w:val="22"/>
        </w:rPr>
        <w:t>State</w:t>
      </w:r>
      <w:r>
        <w:rPr>
          <w:spacing w:val="-3"/>
          <w:sz w:val="22"/>
        </w:rPr>
        <w:t> </w:t>
      </w:r>
      <w:r>
        <w:rPr>
          <w:sz w:val="22"/>
        </w:rPr>
        <w:t>direction</w:t>
      </w:r>
      <w:r>
        <w:rPr>
          <w:spacing w:val="-2"/>
          <w:sz w:val="22"/>
        </w:rPr>
        <w:t> </w:t>
      </w:r>
      <w:r>
        <w:rPr>
          <w:sz w:val="22"/>
        </w:rPr>
        <w:t>and</w:t>
      </w:r>
      <w:r>
        <w:rPr>
          <w:spacing w:val="-4"/>
          <w:sz w:val="22"/>
        </w:rPr>
        <w:t> </w:t>
      </w:r>
      <w:r>
        <w:rPr>
          <w:sz w:val="22"/>
        </w:rPr>
        <w:t>the</w:t>
      </w:r>
      <w:r>
        <w:rPr>
          <w:spacing w:val="-2"/>
          <w:sz w:val="22"/>
        </w:rPr>
        <w:t> </w:t>
      </w:r>
      <w:r>
        <w:rPr>
          <w:sz w:val="22"/>
        </w:rPr>
        <w:t>State</w:t>
      </w:r>
      <w:r>
        <w:rPr>
          <w:spacing w:val="-6"/>
          <w:sz w:val="22"/>
        </w:rPr>
        <w:t> </w:t>
      </w:r>
      <w:r>
        <w:rPr>
          <w:sz w:val="22"/>
        </w:rPr>
        <w:t>Government</w:t>
      </w:r>
      <w:r>
        <w:rPr>
          <w:spacing w:val="-1"/>
          <w:sz w:val="22"/>
        </w:rPr>
        <w:t> </w:t>
      </w:r>
      <w:r>
        <w:rPr>
          <w:spacing w:val="-2"/>
          <w:sz w:val="22"/>
        </w:rPr>
        <w:t>Policy.</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Ensuring</w:t>
      </w:r>
      <w:r>
        <w:rPr>
          <w:spacing w:val="-5"/>
          <w:sz w:val="22"/>
        </w:rPr>
        <w:t> </w:t>
      </w:r>
      <w:r>
        <w:rPr>
          <w:sz w:val="22"/>
        </w:rPr>
        <w:t>contracts</w:t>
      </w:r>
      <w:r>
        <w:rPr>
          <w:spacing w:val="-1"/>
          <w:sz w:val="22"/>
        </w:rPr>
        <w:t> </w:t>
      </w:r>
      <w:r>
        <w:rPr>
          <w:sz w:val="22"/>
        </w:rPr>
        <w:t>continue</w:t>
      </w:r>
      <w:r>
        <w:rPr>
          <w:spacing w:val="-3"/>
          <w:sz w:val="22"/>
        </w:rPr>
        <w:t> </w:t>
      </w:r>
      <w:r>
        <w:rPr>
          <w:sz w:val="22"/>
        </w:rPr>
        <w:t>to</w:t>
      </w:r>
      <w:r>
        <w:rPr>
          <w:spacing w:val="-7"/>
          <w:sz w:val="22"/>
        </w:rPr>
        <w:t> </w:t>
      </w:r>
      <w:r>
        <w:rPr>
          <w:sz w:val="22"/>
        </w:rPr>
        <w:t>deliver</w:t>
      </w:r>
      <w:r>
        <w:rPr>
          <w:spacing w:val="-3"/>
          <w:sz w:val="22"/>
        </w:rPr>
        <w:t> </w:t>
      </w:r>
      <w:r>
        <w:rPr>
          <w:sz w:val="22"/>
        </w:rPr>
        <w:t>for</w:t>
      </w:r>
      <w:r>
        <w:rPr>
          <w:spacing w:val="-3"/>
          <w:sz w:val="22"/>
        </w:rPr>
        <w:t> </w:t>
      </w:r>
      <w:r>
        <w:rPr>
          <w:sz w:val="22"/>
        </w:rPr>
        <w:t>current</w:t>
      </w:r>
      <w:r>
        <w:rPr>
          <w:spacing w:val="-7"/>
          <w:sz w:val="22"/>
        </w:rPr>
        <w:t> </w:t>
      </w:r>
      <w:r>
        <w:rPr>
          <w:sz w:val="22"/>
        </w:rPr>
        <w:t>and</w:t>
      </w:r>
      <w:r>
        <w:rPr>
          <w:spacing w:val="-3"/>
          <w:sz w:val="22"/>
        </w:rPr>
        <w:t> </w:t>
      </w:r>
      <w:r>
        <w:rPr>
          <w:sz w:val="22"/>
        </w:rPr>
        <w:t>future</w:t>
      </w:r>
      <w:r>
        <w:rPr>
          <w:spacing w:val="-6"/>
          <w:sz w:val="22"/>
        </w:rPr>
        <w:t> </w:t>
      </w:r>
      <w:r>
        <w:rPr>
          <w:spacing w:val="-2"/>
          <w:sz w:val="22"/>
        </w:rPr>
        <w:t>requirements.</w:t>
      </w:r>
    </w:p>
    <w:p>
      <w:pPr>
        <w:pStyle w:val="BodyText"/>
        <w:spacing w:before="10"/>
        <w:rPr>
          <w:sz w:val="21"/>
        </w:rPr>
      </w:pPr>
    </w:p>
    <w:p>
      <w:pPr>
        <w:pStyle w:val="BodyText"/>
        <w:ind w:left="120" w:right="132"/>
        <w:jc w:val="both"/>
      </w:pPr>
      <w:r>
        <w:rPr/>
        <w:t>For waste services to be delivered effectively and efficiently throughout the municipality and particularly recycling, the charge for 2024/2025, incorporating kerbside collection, Food Organics and Green Organics (FOGO) collection and recycling, will increase by 2.75% from the 2023/2024 level. This increase in price, assists the municipality in ensuring a reliable and environmentally friendly waste processing service is </w:t>
      </w:r>
      <w:r>
        <w:rPr>
          <w:spacing w:val="-2"/>
        </w:rPr>
        <w:t>delivered.</w:t>
      </w:r>
    </w:p>
    <w:p>
      <w:pPr>
        <w:pStyle w:val="BodyText"/>
        <w:spacing w:before="11"/>
        <w:rPr>
          <w:sz w:val="21"/>
        </w:rPr>
      </w:pPr>
    </w:p>
    <w:p>
      <w:pPr>
        <w:spacing w:before="0"/>
        <w:ind w:left="120" w:right="0" w:firstLine="0"/>
        <w:jc w:val="both"/>
        <w:rPr>
          <w:b/>
          <w:sz w:val="22"/>
        </w:rPr>
      </w:pPr>
      <w:r>
        <w:rPr>
          <w:b/>
          <w:color w:val="1D5D9E"/>
          <w:sz w:val="22"/>
        </w:rPr>
        <w:t>Other</w:t>
      </w:r>
      <w:r>
        <w:rPr>
          <w:b/>
          <w:color w:val="1D5D9E"/>
          <w:spacing w:val="-1"/>
          <w:sz w:val="22"/>
        </w:rPr>
        <w:t> </w:t>
      </w:r>
      <w:r>
        <w:rPr>
          <w:b/>
          <w:color w:val="1D5D9E"/>
          <w:spacing w:val="-2"/>
          <w:sz w:val="22"/>
        </w:rPr>
        <w:t>Challenges</w:t>
      </w:r>
    </w:p>
    <w:p>
      <w:pPr>
        <w:pStyle w:val="BodyText"/>
        <w:spacing w:before="4"/>
        <w:rPr>
          <w:b/>
          <w:sz w:val="25"/>
        </w:rPr>
      </w:pPr>
    </w:p>
    <w:p>
      <w:pPr>
        <w:pStyle w:val="BodyText"/>
        <w:ind w:left="120"/>
        <w:jc w:val="both"/>
      </w:pPr>
      <w:r>
        <w:rPr/>
        <w:t>Maroondah</w:t>
      </w:r>
      <w:r>
        <w:rPr>
          <w:spacing w:val="-5"/>
        </w:rPr>
        <w:t> </w:t>
      </w:r>
      <w:r>
        <w:rPr/>
        <w:t>also</w:t>
      </w:r>
      <w:r>
        <w:rPr>
          <w:spacing w:val="-7"/>
        </w:rPr>
        <w:t> </w:t>
      </w:r>
      <w:r>
        <w:rPr/>
        <w:t>faces</w:t>
      </w:r>
      <w:r>
        <w:rPr>
          <w:spacing w:val="-4"/>
        </w:rPr>
        <w:t> </w:t>
      </w:r>
      <w:r>
        <w:rPr/>
        <w:t>other</w:t>
      </w:r>
      <w:r>
        <w:rPr>
          <w:spacing w:val="-3"/>
        </w:rPr>
        <w:t> </w:t>
      </w:r>
      <w:r>
        <w:rPr/>
        <w:t>challenges</w:t>
      </w:r>
      <w:r>
        <w:rPr>
          <w:spacing w:val="-4"/>
        </w:rPr>
        <w:t> </w:t>
      </w:r>
      <w:r>
        <w:rPr>
          <w:spacing w:val="-2"/>
        </w:rPr>
        <w:t>including:</w:t>
      </w:r>
    </w:p>
    <w:p>
      <w:pPr>
        <w:pStyle w:val="BodyText"/>
        <w:spacing w:before="3"/>
        <w:rPr>
          <w:sz w:val="24"/>
        </w:rPr>
      </w:pPr>
    </w:p>
    <w:p>
      <w:pPr>
        <w:pStyle w:val="ListParagraph"/>
        <w:numPr>
          <w:ilvl w:val="0"/>
          <w:numId w:val="2"/>
        </w:numPr>
        <w:tabs>
          <w:tab w:pos="686" w:val="left" w:leader="none"/>
          <w:tab w:pos="687" w:val="left" w:leader="none"/>
        </w:tabs>
        <w:spacing w:line="269" w:lineRule="exact" w:before="1" w:after="0"/>
        <w:ind w:left="686" w:right="0" w:hanging="567"/>
        <w:jc w:val="left"/>
        <w:rPr>
          <w:rFonts w:ascii="Symbol" w:hAnsi="Symbol"/>
          <w:sz w:val="22"/>
        </w:rPr>
      </w:pPr>
      <w:r>
        <w:rPr>
          <w:sz w:val="22"/>
        </w:rPr>
        <w:t>Funding</w:t>
      </w:r>
      <w:r>
        <w:rPr>
          <w:spacing w:val="-6"/>
          <w:sz w:val="22"/>
        </w:rPr>
        <w:t> </w:t>
      </w:r>
      <w:r>
        <w:rPr>
          <w:sz w:val="22"/>
        </w:rPr>
        <w:t>renewal</w:t>
      </w:r>
      <w:r>
        <w:rPr>
          <w:spacing w:val="-4"/>
          <w:sz w:val="22"/>
        </w:rPr>
        <w:t> </w:t>
      </w:r>
      <w:r>
        <w:rPr>
          <w:sz w:val="22"/>
        </w:rPr>
        <w:t>and</w:t>
      </w:r>
      <w:r>
        <w:rPr>
          <w:spacing w:val="-6"/>
          <w:sz w:val="22"/>
        </w:rPr>
        <w:t> </w:t>
      </w:r>
      <w:r>
        <w:rPr>
          <w:sz w:val="22"/>
        </w:rPr>
        <w:t>maintenance</w:t>
      </w:r>
      <w:r>
        <w:rPr>
          <w:spacing w:val="-2"/>
          <w:sz w:val="22"/>
        </w:rPr>
        <w:t> </w:t>
      </w:r>
      <w:r>
        <w:rPr>
          <w:sz w:val="22"/>
        </w:rPr>
        <w:t>of</w:t>
      </w:r>
      <w:r>
        <w:rPr>
          <w:spacing w:val="-6"/>
          <w:sz w:val="22"/>
        </w:rPr>
        <w:t> </w:t>
      </w:r>
      <w:r>
        <w:rPr>
          <w:sz w:val="22"/>
        </w:rPr>
        <w:t>infrastructure</w:t>
      </w:r>
      <w:r>
        <w:rPr>
          <w:spacing w:val="-6"/>
          <w:sz w:val="22"/>
        </w:rPr>
        <w:t> </w:t>
      </w:r>
      <w:r>
        <w:rPr>
          <w:sz w:val="22"/>
        </w:rPr>
        <w:t>and</w:t>
      </w:r>
      <w:r>
        <w:rPr>
          <w:spacing w:val="-3"/>
          <w:sz w:val="22"/>
        </w:rPr>
        <w:t> </w:t>
      </w:r>
      <w:r>
        <w:rPr>
          <w:sz w:val="22"/>
        </w:rPr>
        <w:t>community</w:t>
      </w:r>
      <w:r>
        <w:rPr>
          <w:spacing w:val="-3"/>
          <w:sz w:val="22"/>
        </w:rPr>
        <w:t> </w:t>
      </w:r>
      <w:r>
        <w:rPr>
          <w:spacing w:val="-2"/>
          <w:sz w:val="22"/>
        </w:rPr>
        <w:t>assets</w:t>
      </w:r>
    </w:p>
    <w:p>
      <w:pPr>
        <w:pStyle w:val="ListParagraph"/>
        <w:numPr>
          <w:ilvl w:val="0"/>
          <w:numId w:val="2"/>
        </w:numPr>
        <w:tabs>
          <w:tab w:pos="686" w:val="left" w:leader="none"/>
          <w:tab w:pos="687" w:val="left" w:leader="none"/>
        </w:tabs>
        <w:spacing w:line="269" w:lineRule="exact" w:before="0" w:after="0"/>
        <w:ind w:left="686" w:right="0" w:hanging="567"/>
        <w:jc w:val="left"/>
        <w:rPr>
          <w:rFonts w:ascii="Symbol" w:hAnsi="Symbol"/>
          <w:sz w:val="22"/>
        </w:rPr>
      </w:pPr>
      <w:r>
        <w:rPr>
          <w:sz w:val="22"/>
        </w:rPr>
        <w:t>Meeting</w:t>
      </w:r>
      <w:r>
        <w:rPr>
          <w:spacing w:val="-7"/>
          <w:sz w:val="22"/>
        </w:rPr>
        <w:t> </w:t>
      </w:r>
      <w:r>
        <w:rPr>
          <w:sz w:val="22"/>
        </w:rPr>
        <w:t>expectations</w:t>
      </w:r>
      <w:r>
        <w:rPr>
          <w:spacing w:val="-4"/>
          <w:sz w:val="22"/>
        </w:rPr>
        <w:t> </w:t>
      </w:r>
      <w:r>
        <w:rPr>
          <w:sz w:val="22"/>
        </w:rPr>
        <w:t>of</w:t>
      </w:r>
      <w:r>
        <w:rPr>
          <w:spacing w:val="-4"/>
          <w:sz w:val="22"/>
        </w:rPr>
        <w:t> </w:t>
      </w:r>
      <w:r>
        <w:rPr>
          <w:sz w:val="22"/>
        </w:rPr>
        <w:t>delivering</w:t>
      </w:r>
      <w:r>
        <w:rPr>
          <w:spacing w:val="-4"/>
          <w:sz w:val="22"/>
        </w:rPr>
        <w:t> </w:t>
      </w:r>
      <w:r>
        <w:rPr>
          <w:sz w:val="22"/>
        </w:rPr>
        <w:t>new</w:t>
      </w:r>
      <w:r>
        <w:rPr>
          <w:spacing w:val="-4"/>
          <w:sz w:val="22"/>
        </w:rPr>
        <w:t> </w:t>
      </w:r>
      <w:r>
        <w:rPr>
          <w:sz w:val="22"/>
        </w:rPr>
        <w:t>and</w:t>
      </w:r>
      <w:r>
        <w:rPr>
          <w:spacing w:val="-4"/>
          <w:sz w:val="22"/>
        </w:rPr>
        <w:t> </w:t>
      </w:r>
      <w:r>
        <w:rPr>
          <w:sz w:val="22"/>
        </w:rPr>
        <w:t>enhanced</w:t>
      </w:r>
      <w:r>
        <w:rPr>
          <w:spacing w:val="-3"/>
          <w:sz w:val="22"/>
        </w:rPr>
        <w:t> </w:t>
      </w:r>
      <w:r>
        <w:rPr>
          <w:spacing w:val="-2"/>
          <w:sz w:val="22"/>
        </w:rPr>
        <w:t>infrastructure</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Dealing</w:t>
      </w:r>
      <w:r>
        <w:rPr>
          <w:spacing w:val="-5"/>
          <w:sz w:val="22"/>
        </w:rPr>
        <w:t> </w:t>
      </w:r>
      <w:r>
        <w:rPr>
          <w:sz w:val="22"/>
        </w:rPr>
        <w:t>with</w:t>
      </w:r>
      <w:r>
        <w:rPr>
          <w:spacing w:val="-3"/>
          <w:sz w:val="22"/>
        </w:rPr>
        <w:t> </w:t>
      </w:r>
      <w:r>
        <w:rPr>
          <w:sz w:val="22"/>
        </w:rPr>
        <w:t>the</w:t>
      </w:r>
      <w:r>
        <w:rPr>
          <w:spacing w:val="-3"/>
          <w:sz w:val="22"/>
        </w:rPr>
        <w:t> </w:t>
      </w:r>
      <w:r>
        <w:rPr>
          <w:sz w:val="22"/>
        </w:rPr>
        <w:t>increased</w:t>
      </w:r>
      <w:r>
        <w:rPr>
          <w:spacing w:val="-2"/>
          <w:sz w:val="22"/>
        </w:rPr>
        <w:t> </w:t>
      </w:r>
      <w:r>
        <w:rPr>
          <w:sz w:val="22"/>
        </w:rPr>
        <w:t>cost</w:t>
      </w:r>
      <w:r>
        <w:rPr>
          <w:spacing w:val="-2"/>
          <w:sz w:val="22"/>
        </w:rPr>
        <w:t> </w:t>
      </w:r>
      <w:r>
        <w:rPr>
          <w:sz w:val="22"/>
        </w:rPr>
        <w:t>of</w:t>
      </w:r>
      <w:r>
        <w:rPr>
          <w:spacing w:val="-3"/>
          <w:sz w:val="22"/>
        </w:rPr>
        <w:t> </w:t>
      </w:r>
      <w:r>
        <w:rPr>
          <w:sz w:val="22"/>
        </w:rPr>
        <w:t>materials</w:t>
      </w:r>
      <w:r>
        <w:rPr>
          <w:spacing w:val="-3"/>
          <w:sz w:val="22"/>
        </w:rPr>
        <w:t> </w:t>
      </w:r>
      <w:r>
        <w:rPr>
          <w:sz w:val="22"/>
        </w:rPr>
        <w:t>and</w:t>
      </w:r>
      <w:r>
        <w:rPr>
          <w:spacing w:val="-5"/>
          <w:sz w:val="22"/>
        </w:rPr>
        <w:t> </w:t>
      </w:r>
      <w:r>
        <w:rPr>
          <w:sz w:val="22"/>
        </w:rPr>
        <w:t>services</w:t>
      </w:r>
      <w:r>
        <w:rPr>
          <w:spacing w:val="-1"/>
          <w:sz w:val="22"/>
        </w:rPr>
        <w:t> </w:t>
      </w:r>
      <w:r>
        <w:rPr>
          <w:sz w:val="22"/>
        </w:rPr>
        <w:t>well</w:t>
      </w:r>
      <w:r>
        <w:rPr>
          <w:spacing w:val="-3"/>
          <w:sz w:val="22"/>
        </w:rPr>
        <w:t> </w:t>
      </w:r>
      <w:r>
        <w:rPr>
          <w:sz w:val="22"/>
        </w:rPr>
        <w:t>above</w:t>
      </w:r>
      <w:r>
        <w:rPr>
          <w:spacing w:val="-5"/>
          <w:sz w:val="22"/>
        </w:rPr>
        <w:t> </w:t>
      </w:r>
      <w:r>
        <w:rPr>
          <w:sz w:val="22"/>
        </w:rPr>
        <w:t>the</w:t>
      </w:r>
      <w:r>
        <w:rPr>
          <w:spacing w:val="-4"/>
          <w:sz w:val="22"/>
        </w:rPr>
        <w:t> </w:t>
      </w:r>
      <w:r>
        <w:rPr>
          <w:sz w:val="22"/>
        </w:rPr>
        <w:t>rate</w:t>
      </w:r>
      <w:r>
        <w:rPr>
          <w:spacing w:val="-1"/>
          <w:sz w:val="22"/>
        </w:rPr>
        <w:t> </w:t>
      </w:r>
      <w:r>
        <w:rPr>
          <w:spacing w:val="-5"/>
          <w:sz w:val="22"/>
        </w:rPr>
        <w:t>cap</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Constrained</w:t>
      </w:r>
      <w:r>
        <w:rPr>
          <w:spacing w:val="-3"/>
          <w:sz w:val="22"/>
        </w:rPr>
        <w:t> </w:t>
      </w:r>
      <w:r>
        <w:rPr>
          <w:sz w:val="22"/>
        </w:rPr>
        <w:t>ability</w:t>
      </w:r>
      <w:r>
        <w:rPr>
          <w:spacing w:val="-4"/>
          <w:sz w:val="22"/>
        </w:rPr>
        <w:t> </w:t>
      </w:r>
      <w:r>
        <w:rPr>
          <w:sz w:val="22"/>
        </w:rPr>
        <w:t>to</w:t>
      </w:r>
      <w:r>
        <w:rPr>
          <w:spacing w:val="-5"/>
          <w:sz w:val="22"/>
        </w:rPr>
        <w:t> </w:t>
      </w:r>
      <w:r>
        <w:rPr>
          <w:sz w:val="22"/>
        </w:rPr>
        <w:t>fund</w:t>
      </w:r>
      <w:r>
        <w:rPr>
          <w:spacing w:val="-2"/>
          <w:sz w:val="22"/>
        </w:rPr>
        <w:t> </w:t>
      </w:r>
      <w:r>
        <w:rPr>
          <w:sz w:val="22"/>
        </w:rPr>
        <w:t>service</w:t>
      </w:r>
      <w:r>
        <w:rPr>
          <w:spacing w:val="-4"/>
          <w:sz w:val="22"/>
        </w:rPr>
        <w:t> </w:t>
      </w:r>
      <w:r>
        <w:rPr>
          <w:sz w:val="22"/>
        </w:rPr>
        <w:t>delivery</w:t>
      </w:r>
      <w:r>
        <w:rPr>
          <w:spacing w:val="-2"/>
          <w:sz w:val="22"/>
        </w:rPr>
        <w:t> </w:t>
      </w:r>
      <w:r>
        <w:rPr>
          <w:sz w:val="22"/>
        </w:rPr>
        <w:t>due</w:t>
      </w:r>
      <w:r>
        <w:rPr>
          <w:spacing w:val="-3"/>
          <w:sz w:val="22"/>
        </w:rPr>
        <w:t> </w:t>
      </w:r>
      <w:r>
        <w:rPr>
          <w:sz w:val="22"/>
        </w:rPr>
        <w:t>to</w:t>
      </w:r>
      <w:r>
        <w:rPr>
          <w:spacing w:val="-5"/>
          <w:sz w:val="22"/>
        </w:rPr>
        <w:t> </w:t>
      </w:r>
      <w:r>
        <w:rPr>
          <w:sz w:val="22"/>
        </w:rPr>
        <w:t>revenue</w:t>
      </w:r>
      <w:r>
        <w:rPr>
          <w:spacing w:val="-1"/>
          <w:sz w:val="22"/>
        </w:rPr>
        <w:t> </w:t>
      </w:r>
      <w:r>
        <w:rPr>
          <w:spacing w:val="-4"/>
          <w:sz w:val="22"/>
        </w:rPr>
        <w:t>caps</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Delivering</w:t>
      </w:r>
      <w:r>
        <w:rPr>
          <w:spacing w:val="-6"/>
          <w:sz w:val="22"/>
        </w:rPr>
        <w:t> </w:t>
      </w:r>
      <w:r>
        <w:rPr>
          <w:sz w:val="22"/>
        </w:rPr>
        <w:t>services</w:t>
      </w:r>
      <w:r>
        <w:rPr>
          <w:spacing w:val="-5"/>
          <w:sz w:val="22"/>
        </w:rPr>
        <w:t> </w:t>
      </w:r>
      <w:r>
        <w:rPr>
          <w:sz w:val="22"/>
        </w:rPr>
        <w:t>that</w:t>
      </w:r>
      <w:r>
        <w:rPr>
          <w:spacing w:val="-7"/>
          <w:sz w:val="22"/>
        </w:rPr>
        <w:t> </w:t>
      </w:r>
      <w:r>
        <w:rPr>
          <w:sz w:val="22"/>
        </w:rPr>
        <w:t>have</w:t>
      </w:r>
      <w:r>
        <w:rPr>
          <w:spacing w:val="-3"/>
          <w:sz w:val="22"/>
        </w:rPr>
        <w:t> </w:t>
      </w:r>
      <w:r>
        <w:rPr>
          <w:sz w:val="22"/>
        </w:rPr>
        <w:t>shifted</w:t>
      </w:r>
      <w:r>
        <w:rPr>
          <w:spacing w:val="-5"/>
          <w:sz w:val="22"/>
        </w:rPr>
        <w:t> </w:t>
      </w:r>
      <w:r>
        <w:rPr>
          <w:sz w:val="22"/>
        </w:rPr>
        <w:t>from</w:t>
      </w:r>
      <w:r>
        <w:rPr>
          <w:spacing w:val="-3"/>
          <w:sz w:val="22"/>
        </w:rPr>
        <w:t> </w:t>
      </w:r>
      <w:r>
        <w:rPr>
          <w:sz w:val="22"/>
        </w:rPr>
        <w:t>State/Federal</w:t>
      </w:r>
      <w:r>
        <w:rPr>
          <w:spacing w:val="-3"/>
          <w:sz w:val="22"/>
        </w:rPr>
        <w:t> </w:t>
      </w:r>
      <w:r>
        <w:rPr>
          <w:spacing w:val="-2"/>
          <w:sz w:val="22"/>
        </w:rPr>
        <w:t>responsibility.</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Funding</w:t>
      </w:r>
      <w:r>
        <w:rPr>
          <w:spacing w:val="-4"/>
          <w:sz w:val="22"/>
        </w:rPr>
        <w:t> </w:t>
      </w:r>
      <w:r>
        <w:rPr>
          <w:sz w:val="22"/>
        </w:rPr>
        <w:t>not</w:t>
      </w:r>
      <w:r>
        <w:rPr>
          <w:spacing w:val="-3"/>
          <w:sz w:val="22"/>
        </w:rPr>
        <w:t> </w:t>
      </w:r>
      <w:r>
        <w:rPr>
          <w:sz w:val="22"/>
        </w:rPr>
        <w:t>reflecting</w:t>
      </w:r>
      <w:r>
        <w:rPr>
          <w:spacing w:val="-3"/>
          <w:sz w:val="22"/>
        </w:rPr>
        <w:t> </w:t>
      </w:r>
      <w:r>
        <w:rPr>
          <w:sz w:val="22"/>
        </w:rPr>
        <w:t>the</w:t>
      </w:r>
      <w:r>
        <w:rPr>
          <w:spacing w:val="-3"/>
          <w:sz w:val="22"/>
        </w:rPr>
        <w:t> </w:t>
      </w:r>
      <w:r>
        <w:rPr>
          <w:sz w:val="22"/>
        </w:rPr>
        <w:t>real</w:t>
      </w:r>
      <w:r>
        <w:rPr>
          <w:spacing w:val="-4"/>
          <w:sz w:val="22"/>
        </w:rPr>
        <w:t> </w:t>
      </w:r>
      <w:r>
        <w:rPr>
          <w:sz w:val="22"/>
        </w:rPr>
        <w:t>cost</w:t>
      </w:r>
      <w:r>
        <w:rPr>
          <w:spacing w:val="-2"/>
          <w:sz w:val="22"/>
        </w:rPr>
        <w:t> </w:t>
      </w:r>
      <w:r>
        <w:rPr>
          <w:sz w:val="22"/>
        </w:rPr>
        <w:t>of</w:t>
      </w:r>
      <w:r>
        <w:rPr>
          <w:spacing w:val="-2"/>
          <w:sz w:val="22"/>
        </w:rPr>
        <w:t> </w:t>
      </w:r>
      <w:r>
        <w:rPr>
          <w:sz w:val="22"/>
        </w:rPr>
        <w:t>providing</w:t>
      </w:r>
      <w:r>
        <w:rPr>
          <w:spacing w:val="-2"/>
          <w:sz w:val="22"/>
        </w:rPr>
        <w:t> services</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Attracting</w:t>
      </w:r>
      <w:r>
        <w:rPr>
          <w:spacing w:val="-5"/>
          <w:sz w:val="22"/>
        </w:rPr>
        <w:t> </w:t>
      </w:r>
      <w:r>
        <w:rPr>
          <w:sz w:val="22"/>
        </w:rPr>
        <w:t>and</w:t>
      </w:r>
      <w:r>
        <w:rPr>
          <w:spacing w:val="-5"/>
          <w:sz w:val="22"/>
        </w:rPr>
        <w:t> </w:t>
      </w:r>
      <w:r>
        <w:rPr>
          <w:sz w:val="22"/>
        </w:rPr>
        <w:t>retaining</w:t>
      </w:r>
      <w:r>
        <w:rPr>
          <w:spacing w:val="-3"/>
          <w:sz w:val="22"/>
        </w:rPr>
        <w:t> </w:t>
      </w:r>
      <w:r>
        <w:rPr>
          <w:sz w:val="22"/>
        </w:rPr>
        <w:t>skilled</w:t>
      </w:r>
      <w:r>
        <w:rPr>
          <w:spacing w:val="-5"/>
          <w:sz w:val="22"/>
        </w:rPr>
        <w:t> </w:t>
      </w:r>
      <w:r>
        <w:rPr>
          <w:sz w:val="22"/>
        </w:rPr>
        <w:t>personnel</w:t>
      </w:r>
      <w:r>
        <w:rPr>
          <w:spacing w:val="-3"/>
          <w:sz w:val="22"/>
        </w:rPr>
        <w:t> </w:t>
      </w:r>
      <w:r>
        <w:rPr>
          <w:sz w:val="22"/>
        </w:rPr>
        <w:t>in</w:t>
      </w:r>
      <w:r>
        <w:rPr>
          <w:spacing w:val="-5"/>
          <w:sz w:val="22"/>
        </w:rPr>
        <w:t> </w:t>
      </w:r>
      <w:r>
        <w:rPr>
          <w:sz w:val="22"/>
        </w:rPr>
        <w:t>competition</w:t>
      </w:r>
      <w:r>
        <w:rPr>
          <w:spacing w:val="-3"/>
          <w:sz w:val="22"/>
        </w:rPr>
        <w:t> </w:t>
      </w:r>
      <w:r>
        <w:rPr>
          <w:sz w:val="22"/>
        </w:rPr>
        <w:t>with</w:t>
      </w:r>
      <w:r>
        <w:rPr>
          <w:spacing w:val="-5"/>
          <w:sz w:val="22"/>
        </w:rPr>
        <w:t> </w:t>
      </w:r>
      <w:r>
        <w:rPr>
          <w:sz w:val="22"/>
        </w:rPr>
        <w:t>the</w:t>
      </w:r>
      <w:r>
        <w:rPr>
          <w:spacing w:val="-5"/>
          <w:sz w:val="22"/>
        </w:rPr>
        <w:t> </w:t>
      </w:r>
      <w:r>
        <w:rPr>
          <w:sz w:val="22"/>
        </w:rPr>
        <w:t>private</w:t>
      </w:r>
      <w:r>
        <w:rPr>
          <w:spacing w:val="-4"/>
          <w:sz w:val="22"/>
        </w:rPr>
        <w:t> </w:t>
      </w:r>
      <w:r>
        <w:rPr>
          <w:spacing w:val="-2"/>
          <w:sz w:val="22"/>
        </w:rPr>
        <w:t>sector</w:t>
      </w:r>
    </w:p>
    <w:p>
      <w:pPr>
        <w:pStyle w:val="ListParagraph"/>
        <w:numPr>
          <w:ilvl w:val="0"/>
          <w:numId w:val="2"/>
        </w:numPr>
        <w:tabs>
          <w:tab w:pos="686" w:val="left" w:leader="none"/>
          <w:tab w:pos="687" w:val="left" w:leader="none"/>
        </w:tabs>
        <w:spacing w:line="237" w:lineRule="auto" w:before="0" w:after="0"/>
        <w:ind w:left="686" w:right="1476" w:hanging="567"/>
        <w:jc w:val="left"/>
        <w:rPr>
          <w:rFonts w:ascii="Symbol" w:hAnsi="Symbol"/>
          <w:sz w:val="22"/>
        </w:rPr>
      </w:pPr>
      <w:r>
        <w:rPr>
          <w:sz w:val="22"/>
        </w:rPr>
        <w:t>Embracing</w:t>
      </w:r>
      <w:r>
        <w:rPr>
          <w:spacing w:val="-3"/>
          <w:sz w:val="22"/>
        </w:rPr>
        <w:t> </w:t>
      </w:r>
      <w:r>
        <w:rPr>
          <w:sz w:val="22"/>
        </w:rPr>
        <w:t>digital</w:t>
      </w:r>
      <w:r>
        <w:rPr>
          <w:spacing w:val="-4"/>
          <w:sz w:val="22"/>
        </w:rPr>
        <w:t> </w:t>
      </w:r>
      <w:r>
        <w:rPr>
          <w:sz w:val="22"/>
        </w:rPr>
        <w:t>transformation</w:t>
      </w:r>
      <w:r>
        <w:rPr>
          <w:spacing w:val="-3"/>
          <w:sz w:val="22"/>
        </w:rPr>
        <w:t> </w:t>
      </w:r>
      <w:r>
        <w:rPr>
          <w:sz w:val="22"/>
        </w:rPr>
        <w:t>to</w:t>
      </w:r>
      <w:r>
        <w:rPr>
          <w:spacing w:val="-6"/>
          <w:sz w:val="22"/>
        </w:rPr>
        <w:t> </w:t>
      </w:r>
      <w:r>
        <w:rPr>
          <w:sz w:val="22"/>
        </w:rPr>
        <w:t>improve</w:t>
      </w:r>
      <w:r>
        <w:rPr>
          <w:spacing w:val="-4"/>
          <w:sz w:val="22"/>
        </w:rPr>
        <w:t> </w:t>
      </w:r>
      <w:r>
        <w:rPr>
          <w:sz w:val="22"/>
        </w:rPr>
        <w:t>service</w:t>
      </w:r>
      <w:r>
        <w:rPr>
          <w:spacing w:val="-3"/>
          <w:sz w:val="22"/>
        </w:rPr>
        <w:t> </w:t>
      </w:r>
      <w:r>
        <w:rPr>
          <w:sz w:val="22"/>
        </w:rPr>
        <w:t>provision</w:t>
      </w:r>
      <w:r>
        <w:rPr>
          <w:spacing w:val="-3"/>
          <w:sz w:val="22"/>
        </w:rPr>
        <w:t> </w:t>
      </w:r>
      <w:r>
        <w:rPr>
          <w:sz w:val="22"/>
        </w:rPr>
        <w:t>and</w:t>
      </w:r>
      <w:r>
        <w:rPr>
          <w:spacing w:val="-6"/>
          <w:sz w:val="22"/>
        </w:rPr>
        <w:t> </w:t>
      </w:r>
      <w:r>
        <w:rPr>
          <w:sz w:val="22"/>
        </w:rPr>
        <w:t>meet</w:t>
      </w:r>
      <w:r>
        <w:rPr>
          <w:spacing w:val="-3"/>
          <w:sz w:val="22"/>
        </w:rPr>
        <w:t> </w:t>
      </w:r>
      <w:r>
        <w:rPr>
          <w:sz w:val="22"/>
        </w:rPr>
        <w:t>changing</w:t>
      </w:r>
      <w:r>
        <w:rPr>
          <w:spacing w:val="-3"/>
          <w:sz w:val="22"/>
        </w:rPr>
        <w:t> </w:t>
      </w:r>
      <w:r>
        <w:rPr>
          <w:sz w:val="22"/>
        </w:rPr>
        <w:t>citizen </w:t>
      </w:r>
      <w:r>
        <w:rPr>
          <w:spacing w:val="-2"/>
          <w:sz w:val="22"/>
        </w:rPr>
        <w:t>expectations.</w:t>
      </w:r>
    </w:p>
    <w:p>
      <w:pPr>
        <w:pStyle w:val="BodyText"/>
        <w:rPr>
          <w:sz w:val="24"/>
        </w:rPr>
      </w:pPr>
    </w:p>
    <w:p>
      <w:pPr>
        <w:pStyle w:val="BodyText"/>
        <w:spacing w:before="9"/>
        <w:rPr>
          <w:sz w:val="25"/>
        </w:rPr>
      </w:pPr>
    </w:p>
    <w:p>
      <w:pPr>
        <w:pStyle w:val="BodyText"/>
        <w:spacing w:before="1"/>
        <w:ind w:left="120"/>
      </w:pPr>
      <w:r>
        <w:rPr/>
        <w:t>Council has a number of key financial strategies in place designed to maintain its long term financial Sustainability. The Budget has been set using a rigorous process of consultation and review and Council</w:t>
      </w:r>
      <w:r>
        <w:rPr>
          <w:spacing w:val="80"/>
        </w:rPr>
        <w:t> </w:t>
      </w:r>
      <w:r>
        <w:rPr/>
        <w:t>endorses it</w:t>
      </w:r>
      <w:r>
        <w:rPr>
          <w:spacing w:val="-1"/>
        </w:rPr>
        <w:t> </w:t>
      </w:r>
      <w:r>
        <w:rPr/>
        <w:t>as a</w:t>
      </w:r>
      <w:r>
        <w:rPr>
          <w:spacing w:val="-1"/>
        </w:rPr>
        <w:t> </w:t>
      </w:r>
      <w:r>
        <w:rPr/>
        <w:t>balanced, sustainable, and</w:t>
      </w:r>
      <w:r>
        <w:rPr>
          <w:spacing w:val="-2"/>
        </w:rPr>
        <w:t> </w:t>
      </w:r>
      <w:r>
        <w:rPr/>
        <w:t>responsible</w:t>
      </w:r>
      <w:r>
        <w:rPr>
          <w:spacing w:val="-1"/>
        </w:rPr>
        <w:t> </w:t>
      </w:r>
      <w:r>
        <w:rPr/>
        <w:t>platform to</w:t>
      </w:r>
      <w:r>
        <w:rPr>
          <w:spacing w:val="-3"/>
        </w:rPr>
        <w:t> </w:t>
      </w:r>
      <w:r>
        <w:rPr/>
        <w:t>ensure</w:t>
      </w:r>
      <w:r>
        <w:rPr>
          <w:spacing w:val="-1"/>
        </w:rPr>
        <w:t> </w:t>
      </w:r>
      <w:r>
        <w:rPr/>
        <w:t>a strong financial position which will allow Council to deliver its commitments in the Council Plan and will be required to be</w:t>
      </w:r>
    </w:p>
    <w:p>
      <w:pPr>
        <w:pStyle w:val="BodyText"/>
        <w:spacing w:line="251" w:lineRule="exact"/>
        <w:ind w:left="120"/>
      </w:pPr>
      <w:r>
        <w:rPr/>
        <w:t>maintained</w:t>
      </w:r>
      <w:r>
        <w:rPr>
          <w:spacing w:val="-5"/>
        </w:rPr>
        <w:t> </w:t>
      </w:r>
      <w:r>
        <w:rPr/>
        <w:t>in</w:t>
      </w:r>
      <w:r>
        <w:rPr>
          <w:spacing w:val="-2"/>
        </w:rPr>
        <w:t> </w:t>
      </w:r>
      <w:r>
        <w:rPr/>
        <w:t>order</w:t>
      </w:r>
      <w:r>
        <w:rPr>
          <w:spacing w:val="-3"/>
        </w:rPr>
        <w:t> </w:t>
      </w:r>
      <w:r>
        <w:rPr/>
        <w:t>to</w:t>
      </w:r>
      <w:r>
        <w:rPr>
          <w:spacing w:val="-5"/>
        </w:rPr>
        <w:t> </w:t>
      </w:r>
      <w:r>
        <w:rPr/>
        <w:t>enable</w:t>
      </w:r>
      <w:r>
        <w:rPr>
          <w:spacing w:val="-5"/>
        </w:rPr>
        <w:t> </w:t>
      </w:r>
      <w:r>
        <w:rPr/>
        <w:t>Council</w:t>
      </w:r>
      <w:r>
        <w:rPr>
          <w:spacing w:val="-3"/>
        </w:rPr>
        <w:t> </w:t>
      </w:r>
      <w:r>
        <w:rPr/>
        <w:t>to</w:t>
      </w:r>
      <w:r>
        <w:rPr>
          <w:spacing w:val="-4"/>
        </w:rPr>
        <w:t> </w:t>
      </w:r>
      <w:r>
        <w:rPr/>
        <w:t>remain</w:t>
      </w:r>
      <w:r>
        <w:rPr>
          <w:spacing w:val="-6"/>
        </w:rPr>
        <w:t> </w:t>
      </w:r>
      <w:r>
        <w:rPr/>
        <w:t>financially</w:t>
      </w:r>
      <w:r>
        <w:rPr>
          <w:spacing w:val="-3"/>
        </w:rPr>
        <w:t> </w:t>
      </w:r>
      <w:r>
        <w:rPr/>
        <w:t>sustainable</w:t>
      </w:r>
      <w:r>
        <w:rPr>
          <w:spacing w:val="-5"/>
        </w:rPr>
        <w:t> </w:t>
      </w:r>
      <w:r>
        <w:rPr/>
        <w:t>in</w:t>
      </w:r>
      <w:r>
        <w:rPr>
          <w:spacing w:val="-2"/>
        </w:rPr>
        <w:t> </w:t>
      </w:r>
      <w:r>
        <w:rPr/>
        <w:t>the</w:t>
      </w:r>
      <w:r>
        <w:rPr>
          <w:spacing w:val="-3"/>
        </w:rPr>
        <w:t> </w:t>
      </w:r>
      <w:r>
        <w:rPr/>
        <w:t>longer</w:t>
      </w:r>
      <w:r>
        <w:rPr>
          <w:spacing w:val="-2"/>
        </w:rPr>
        <w:t> term.</w:t>
      </w:r>
    </w:p>
    <w:p>
      <w:pPr>
        <w:pStyle w:val="BodyText"/>
        <w:rPr>
          <w:sz w:val="20"/>
        </w:rPr>
      </w:pPr>
    </w:p>
    <w:p>
      <w:pPr>
        <w:pStyle w:val="BodyText"/>
        <w:spacing w:before="4"/>
        <w:rPr>
          <w:sz w:val="24"/>
        </w:rPr>
      </w:pPr>
      <w:r>
        <w:rPr/>
        <w:drawing>
          <wp:anchor distT="0" distB="0" distL="0" distR="0" allowOverlap="1" layoutInCell="1" locked="0" behindDoc="0" simplePos="0" relativeHeight="3">
            <wp:simplePos x="0" y="0"/>
            <wp:positionH relativeFrom="page">
              <wp:posOffset>522940</wp:posOffset>
            </wp:positionH>
            <wp:positionV relativeFrom="paragraph">
              <wp:posOffset>239792</wp:posOffset>
            </wp:positionV>
            <wp:extent cx="817708" cy="458724"/>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11" cstate="print"/>
                    <a:stretch>
                      <a:fillRect/>
                    </a:stretch>
                  </pic:blipFill>
                  <pic:spPr>
                    <a:xfrm>
                      <a:off x="0" y="0"/>
                      <a:ext cx="817708" cy="458724"/>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4572000</wp:posOffset>
            </wp:positionH>
            <wp:positionV relativeFrom="paragraph">
              <wp:posOffset>193147</wp:posOffset>
            </wp:positionV>
            <wp:extent cx="1363806" cy="533400"/>
            <wp:effectExtent l="0" t="0" r="0" b="0"/>
            <wp:wrapTopAndBottom/>
            <wp:docPr id="9" name="image5.png"/>
            <wp:cNvGraphicFramePr>
              <a:graphicFrameLocks noChangeAspect="1"/>
            </wp:cNvGraphicFramePr>
            <a:graphic>
              <a:graphicData uri="http://schemas.openxmlformats.org/drawingml/2006/picture">
                <pic:pic>
                  <pic:nvPicPr>
                    <pic:cNvPr id="10" name="image5.png"/>
                    <pic:cNvPicPr/>
                  </pic:nvPicPr>
                  <pic:blipFill>
                    <a:blip r:embed="rId12" cstate="print"/>
                    <a:stretch>
                      <a:fillRect/>
                    </a:stretch>
                  </pic:blipFill>
                  <pic:spPr>
                    <a:xfrm>
                      <a:off x="0" y="0"/>
                      <a:ext cx="1363806" cy="533400"/>
                    </a:xfrm>
                    <a:prstGeom prst="rect">
                      <a:avLst/>
                    </a:prstGeom>
                  </pic:spPr>
                </pic:pic>
              </a:graphicData>
            </a:graphic>
          </wp:anchor>
        </w:drawing>
      </w:r>
    </w:p>
    <w:p>
      <w:pPr>
        <w:pStyle w:val="BodyText"/>
        <w:rPr>
          <w:sz w:val="20"/>
        </w:rPr>
      </w:pPr>
    </w:p>
    <w:p>
      <w:pPr>
        <w:pStyle w:val="BodyText"/>
        <w:spacing w:before="5"/>
        <w:rPr>
          <w:sz w:val="20"/>
        </w:rPr>
      </w:pPr>
    </w:p>
    <w:p>
      <w:pPr>
        <w:tabs>
          <w:tab w:pos="6661" w:val="left" w:leader="none"/>
        </w:tabs>
        <w:spacing w:line="252" w:lineRule="exact" w:before="94"/>
        <w:ind w:left="120" w:right="0" w:firstLine="0"/>
        <w:jc w:val="left"/>
        <w:rPr>
          <w:b/>
          <w:sz w:val="22"/>
        </w:rPr>
      </w:pPr>
      <w:r>
        <w:rPr>
          <w:b/>
          <w:sz w:val="22"/>
        </w:rPr>
        <w:t>Cr</w:t>
      </w:r>
      <w:r>
        <w:rPr>
          <w:b/>
          <w:spacing w:val="-2"/>
          <w:sz w:val="22"/>
        </w:rPr>
        <w:t> </w:t>
      </w:r>
      <w:r>
        <w:rPr>
          <w:b/>
          <w:sz w:val="22"/>
        </w:rPr>
        <w:t>Kylie</w:t>
      </w:r>
      <w:r>
        <w:rPr>
          <w:b/>
          <w:spacing w:val="-2"/>
          <w:sz w:val="22"/>
        </w:rPr>
        <w:t> Spears</w:t>
      </w:r>
      <w:r>
        <w:rPr>
          <w:b/>
          <w:sz w:val="22"/>
        </w:rPr>
        <w:tab/>
        <w:t>Mr</w:t>
      </w:r>
      <w:r>
        <w:rPr>
          <w:b/>
          <w:spacing w:val="-4"/>
          <w:sz w:val="22"/>
        </w:rPr>
        <w:t> </w:t>
      </w:r>
      <w:r>
        <w:rPr>
          <w:b/>
          <w:sz w:val="22"/>
        </w:rPr>
        <w:t>Steve</w:t>
      </w:r>
      <w:r>
        <w:rPr>
          <w:b/>
          <w:spacing w:val="-2"/>
          <w:sz w:val="22"/>
        </w:rPr>
        <w:t> Kozlowski</w:t>
      </w:r>
    </w:p>
    <w:p>
      <w:pPr>
        <w:tabs>
          <w:tab w:pos="6661" w:val="left" w:leader="none"/>
        </w:tabs>
        <w:spacing w:line="252" w:lineRule="exact" w:before="0"/>
        <w:ind w:left="120" w:right="0" w:firstLine="0"/>
        <w:jc w:val="left"/>
        <w:rPr>
          <w:b/>
          <w:sz w:val="22"/>
        </w:rPr>
      </w:pPr>
      <w:r>
        <w:rPr>
          <w:b/>
          <w:spacing w:val="-4"/>
          <w:sz w:val="22"/>
        </w:rPr>
        <w:t>Mayor</w:t>
      </w:r>
      <w:r>
        <w:rPr>
          <w:b/>
          <w:sz w:val="22"/>
        </w:rPr>
        <w:tab/>
        <w:t>Chief</w:t>
      </w:r>
      <w:r>
        <w:rPr>
          <w:b/>
          <w:spacing w:val="-6"/>
          <w:sz w:val="22"/>
        </w:rPr>
        <w:t> </w:t>
      </w:r>
      <w:r>
        <w:rPr>
          <w:b/>
          <w:sz w:val="22"/>
        </w:rPr>
        <w:t>Executive</w:t>
      </w:r>
      <w:r>
        <w:rPr>
          <w:b/>
          <w:spacing w:val="-4"/>
          <w:sz w:val="22"/>
        </w:rPr>
        <w:t> </w:t>
      </w:r>
      <w:r>
        <w:rPr>
          <w:b/>
          <w:spacing w:val="-2"/>
          <w:sz w:val="22"/>
        </w:rPr>
        <w:t>Officer</w:t>
      </w:r>
    </w:p>
    <w:p>
      <w:pPr>
        <w:spacing w:after="0" w:line="252" w:lineRule="exact"/>
        <w:jc w:val="left"/>
        <w:rPr>
          <w:sz w:val="22"/>
        </w:rPr>
        <w:sectPr>
          <w:pgSz w:w="11910" w:h="16840"/>
          <w:pgMar w:header="0" w:footer="693" w:top="620" w:bottom="880" w:left="600" w:right="580"/>
        </w:sectPr>
      </w:pPr>
    </w:p>
    <w:p>
      <w:pPr>
        <w:pStyle w:val="Heading1"/>
        <w:ind w:firstLine="0"/>
      </w:pPr>
      <w:bookmarkStart w:name="_TOC_250011" w:id="2"/>
      <w:r>
        <w:rPr>
          <w:color w:val="4966AC"/>
        </w:rPr>
        <w:t>Budget</w:t>
      </w:r>
      <w:r>
        <w:rPr>
          <w:color w:val="4966AC"/>
          <w:spacing w:val="-13"/>
        </w:rPr>
        <w:t> </w:t>
      </w:r>
      <w:bookmarkEnd w:id="2"/>
      <w:r>
        <w:rPr>
          <w:color w:val="4966AC"/>
          <w:spacing w:val="-2"/>
        </w:rPr>
        <w:t>influences</w:t>
      </w:r>
    </w:p>
    <w:p>
      <w:pPr>
        <w:pStyle w:val="BodyText"/>
        <w:spacing w:before="254"/>
        <w:ind w:left="120" w:right="134"/>
        <w:jc w:val="both"/>
      </w:pPr>
      <w:r>
        <w:rPr/>
        <w:t>This section sets out the key budget influences arising from the internal and external environment within which the Council operates.</w:t>
      </w:r>
    </w:p>
    <w:p>
      <w:pPr>
        <w:pStyle w:val="BodyText"/>
        <w:rPr>
          <w:sz w:val="26"/>
        </w:rPr>
      </w:pPr>
    </w:p>
    <w:p>
      <w:pPr>
        <w:pStyle w:val="Heading2"/>
        <w:spacing w:before="0"/>
        <w:ind w:left="120"/>
      </w:pPr>
      <w:bookmarkStart w:name="_TOC_250010" w:id="3"/>
      <w:r>
        <w:rPr>
          <w:color w:val="4966AC"/>
        </w:rPr>
        <w:t>Budget</w:t>
      </w:r>
      <w:bookmarkEnd w:id="3"/>
      <w:r>
        <w:rPr>
          <w:color w:val="4966AC"/>
          <w:spacing w:val="-2"/>
        </w:rPr>
        <w:t> implications</w:t>
      </w:r>
    </w:p>
    <w:p>
      <w:pPr>
        <w:pStyle w:val="BodyText"/>
        <w:spacing w:before="253"/>
        <w:ind w:left="120" w:right="135"/>
        <w:jc w:val="both"/>
      </w:pPr>
      <w:r>
        <w:rPr/>
        <w:t>In framing the Budget, Council has not only focussed on its key directions (strategies) and priority actions (major</w:t>
      </w:r>
      <w:r>
        <w:rPr>
          <w:spacing w:val="-14"/>
        </w:rPr>
        <w:t> </w:t>
      </w:r>
      <w:r>
        <w:rPr/>
        <w:t>initiatives)</w:t>
      </w:r>
      <w:r>
        <w:rPr>
          <w:spacing w:val="-14"/>
        </w:rPr>
        <w:t> </w:t>
      </w:r>
      <w:r>
        <w:rPr/>
        <w:t>as</w:t>
      </w:r>
      <w:r>
        <w:rPr>
          <w:spacing w:val="-14"/>
        </w:rPr>
        <w:t> </w:t>
      </w:r>
      <w:r>
        <w:rPr/>
        <w:t>contained</w:t>
      </w:r>
      <w:r>
        <w:rPr>
          <w:spacing w:val="-12"/>
        </w:rPr>
        <w:t> </w:t>
      </w:r>
      <w:r>
        <w:rPr/>
        <w:t>in</w:t>
      </w:r>
      <w:r>
        <w:rPr>
          <w:spacing w:val="-15"/>
        </w:rPr>
        <w:t> </w:t>
      </w:r>
      <w:r>
        <w:rPr/>
        <w:t>the</w:t>
      </w:r>
      <w:r>
        <w:rPr>
          <w:spacing w:val="-13"/>
        </w:rPr>
        <w:t> </w:t>
      </w:r>
      <w:r>
        <w:rPr/>
        <w:t>Council</w:t>
      </w:r>
      <w:r>
        <w:rPr>
          <w:spacing w:val="-14"/>
        </w:rPr>
        <w:t> </w:t>
      </w:r>
      <w:r>
        <w:rPr/>
        <w:t>Plan</w:t>
      </w:r>
      <w:r>
        <w:rPr>
          <w:spacing w:val="-15"/>
        </w:rPr>
        <w:t> </w:t>
      </w:r>
      <w:r>
        <w:rPr/>
        <w:t>but</w:t>
      </w:r>
      <w:r>
        <w:rPr>
          <w:spacing w:val="-12"/>
        </w:rPr>
        <w:t> </w:t>
      </w:r>
      <w:r>
        <w:rPr/>
        <w:t>has</w:t>
      </w:r>
      <w:r>
        <w:rPr>
          <w:spacing w:val="-14"/>
        </w:rPr>
        <w:t> </w:t>
      </w:r>
      <w:r>
        <w:rPr/>
        <w:t>also</w:t>
      </w:r>
      <w:r>
        <w:rPr>
          <w:spacing w:val="-13"/>
        </w:rPr>
        <w:t> </w:t>
      </w:r>
      <w:r>
        <w:rPr/>
        <w:t>accommodated</w:t>
      </w:r>
      <w:r>
        <w:rPr>
          <w:spacing w:val="-15"/>
        </w:rPr>
        <w:t> </w:t>
      </w:r>
      <w:r>
        <w:rPr/>
        <w:t>significant</w:t>
      </w:r>
      <w:r>
        <w:rPr>
          <w:spacing w:val="-13"/>
        </w:rPr>
        <w:t> </w:t>
      </w:r>
      <w:r>
        <w:rPr/>
        <w:t>external</w:t>
      </w:r>
      <w:r>
        <w:rPr>
          <w:spacing w:val="-14"/>
        </w:rPr>
        <w:t> </w:t>
      </w:r>
      <w:r>
        <w:rPr/>
        <w:t>influences on its planned levels of revenue and expenditure. Council operates in a highly regulated environment and decisions by other levels of government and the private sector can have major impacts locally.</w:t>
      </w:r>
    </w:p>
    <w:p>
      <w:pPr>
        <w:pStyle w:val="BodyText"/>
        <w:ind w:left="120" w:right="134"/>
        <w:jc w:val="both"/>
      </w:pPr>
      <w:r>
        <w:rPr/>
        <w:t>Whilst such influences are outside the control of Council, others arise as a result of decisions taken and policies</w:t>
      </w:r>
      <w:r>
        <w:rPr>
          <w:spacing w:val="-1"/>
        </w:rPr>
        <w:t> </w:t>
      </w:r>
      <w:r>
        <w:rPr/>
        <w:t>proposed</w:t>
      </w:r>
      <w:r>
        <w:rPr>
          <w:spacing w:val="-3"/>
        </w:rPr>
        <w:t> </w:t>
      </w:r>
      <w:r>
        <w:rPr/>
        <w:t>in</w:t>
      </w:r>
      <w:r>
        <w:rPr>
          <w:spacing w:val="-5"/>
        </w:rPr>
        <w:t> </w:t>
      </w:r>
      <w:r>
        <w:rPr/>
        <w:t>response</w:t>
      </w:r>
      <w:r>
        <w:rPr>
          <w:spacing w:val="-2"/>
        </w:rPr>
        <w:t> </w:t>
      </w:r>
      <w:r>
        <w:rPr/>
        <w:t>to</w:t>
      </w:r>
      <w:r>
        <w:rPr>
          <w:spacing w:val="-4"/>
        </w:rPr>
        <w:t> </w:t>
      </w:r>
      <w:r>
        <w:rPr/>
        <w:t>community</w:t>
      </w:r>
      <w:r>
        <w:rPr>
          <w:spacing w:val="-1"/>
        </w:rPr>
        <w:t> </w:t>
      </w:r>
      <w:r>
        <w:rPr/>
        <w:t>priorities,</w:t>
      </w:r>
      <w:r>
        <w:rPr>
          <w:spacing w:val="-3"/>
        </w:rPr>
        <w:t> </w:t>
      </w:r>
      <w:r>
        <w:rPr/>
        <w:t>the</w:t>
      </w:r>
      <w:r>
        <w:rPr>
          <w:spacing w:val="-5"/>
        </w:rPr>
        <w:t> </w:t>
      </w:r>
      <w:r>
        <w:rPr/>
        <w:t>drive</w:t>
      </w:r>
      <w:r>
        <w:rPr>
          <w:spacing w:val="-5"/>
        </w:rPr>
        <w:t> </w:t>
      </w:r>
      <w:r>
        <w:rPr/>
        <w:t>for</w:t>
      </w:r>
      <w:r>
        <w:rPr>
          <w:spacing w:val="-2"/>
        </w:rPr>
        <w:t> </w:t>
      </w:r>
      <w:r>
        <w:rPr/>
        <w:t>continuous</w:t>
      </w:r>
      <w:r>
        <w:rPr>
          <w:spacing w:val="-1"/>
        </w:rPr>
        <w:t> </w:t>
      </w:r>
      <w:r>
        <w:rPr/>
        <w:t>improvement,</w:t>
      </w:r>
      <w:r>
        <w:rPr>
          <w:spacing w:val="-2"/>
        </w:rPr>
        <w:t> </w:t>
      </w:r>
      <w:r>
        <w:rPr/>
        <w:t>innovation</w:t>
      </w:r>
      <w:r>
        <w:rPr>
          <w:spacing w:val="-2"/>
        </w:rPr>
        <w:t> </w:t>
      </w:r>
      <w:r>
        <w:rPr/>
        <w:t>and the requirement for ongoing sound financial management.</w:t>
      </w:r>
      <w:r>
        <w:rPr>
          <w:spacing w:val="40"/>
        </w:rPr>
        <w:t> </w:t>
      </w:r>
      <w:r>
        <w:rPr/>
        <w:t>The major influences are listed on the next few </w:t>
      </w:r>
      <w:r>
        <w:rPr>
          <w:spacing w:val="-2"/>
        </w:rPr>
        <w:t>pages.</w:t>
      </w:r>
    </w:p>
    <w:p>
      <w:pPr>
        <w:pStyle w:val="BodyText"/>
        <w:ind w:left="120"/>
        <w:jc w:val="both"/>
      </w:pPr>
      <w:r>
        <w:rPr/>
        <w:t>Not</w:t>
      </w:r>
      <w:r>
        <w:rPr>
          <w:spacing w:val="-5"/>
        </w:rPr>
        <w:t> </w:t>
      </w:r>
      <w:r>
        <w:rPr/>
        <w:t>withstanding</w:t>
      </w:r>
      <w:r>
        <w:rPr>
          <w:spacing w:val="-3"/>
        </w:rPr>
        <w:t> </w:t>
      </w:r>
      <w:r>
        <w:rPr/>
        <w:t>their</w:t>
      </w:r>
      <w:r>
        <w:rPr>
          <w:spacing w:val="-4"/>
        </w:rPr>
        <w:t> </w:t>
      </w:r>
      <w:r>
        <w:rPr/>
        <w:t>effect,</w:t>
      </w:r>
      <w:r>
        <w:rPr>
          <w:spacing w:val="-6"/>
        </w:rPr>
        <w:t> </w:t>
      </w:r>
      <w:r>
        <w:rPr/>
        <w:t>Council’s</w:t>
      </w:r>
      <w:r>
        <w:rPr>
          <w:spacing w:val="-5"/>
        </w:rPr>
        <w:t> </w:t>
      </w:r>
      <w:r>
        <w:rPr/>
        <w:t>Budget</w:t>
      </w:r>
      <w:r>
        <w:rPr>
          <w:spacing w:val="-2"/>
        </w:rPr>
        <w:t> </w:t>
      </w:r>
      <w:r>
        <w:rPr/>
        <w:t>will</w:t>
      </w:r>
      <w:r>
        <w:rPr>
          <w:spacing w:val="-4"/>
        </w:rPr>
        <w:t> </w:t>
      </w:r>
      <w:r>
        <w:rPr/>
        <w:t>deliver</w:t>
      </w:r>
      <w:r>
        <w:rPr>
          <w:spacing w:val="-3"/>
        </w:rPr>
        <w:t> </w:t>
      </w:r>
      <w:r>
        <w:rPr/>
        <w:t>outcomes</w:t>
      </w:r>
      <w:r>
        <w:rPr>
          <w:spacing w:val="-6"/>
        </w:rPr>
        <w:t> </w:t>
      </w:r>
      <w:r>
        <w:rPr>
          <w:spacing w:val="-2"/>
        </w:rPr>
        <w:t>that:</w:t>
      </w:r>
    </w:p>
    <w:p>
      <w:pPr>
        <w:pStyle w:val="ListParagraph"/>
        <w:numPr>
          <w:ilvl w:val="0"/>
          <w:numId w:val="2"/>
        </w:numPr>
        <w:tabs>
          <w:tab w:pos="687" w:val="left" w:leader="none"/>
        </w:tabs>
        <w:spacing w:line="269" w:lineRule="exact" w:before="120" w:after="0"/>
        <w:ind w:left="686" w:right="0" w:hanging="567"/>
        <w:jc w:val="both"/>
        <w:rPr>
          <w:rFonts w:ascii="Symbol" w:hAnsi="Symbol"/>
          <w:sz w:val="22"/>
        </w:rPr>
      </w:pPr>
      <w:r>
        <w:rPr>
          <w:sz w:val="22"/>
        </w:rPr>
        <w:t>Provide</w:t>
      </w:r>
      <w:r>
        <w:rPr>
          <w:spacing w:val="-3"/>
          <w:sz w:val="22"/>
        </w:rPr>
        <w:t> </w:t>
      </w:r>
      <w:r>
        <w:rPr>
          <w:sz w:val="22"/>
        </w:rPr>
        <w:t>for</w:t>
      </w:r>
      <w:r>
        <w:rPr>
          <w:spacing w:val="-2"/>
          <w:sz w:val="22"/>
        </w:rPr>
        <w:t> </w:t>
      </w:r>
      <w:r>
        <w:rPr>
          <w:sz w:val="22"/>
        </w:rPr>
        <w:t>the</w:t>
      </w:r>
      <w:r>
        <w:rPr>
          <w:spacing w:val="-2"/>
          <w:sz w:val="22"/>
        </w:rPr>
        <w:t> </w:t>
      </w:r>
      <w:r>
        <w:rPr>
          <w:sz w:val="22"/>
        </w:rPr>
        <w:t>ongoing</w:t>
      </w:r>
      <w:r>
        <w:rPr>
          <w:spacing w:val="-8"/>
          <w:sz w:val="22"/>
        </w:rPr>
        <w:t> </w:t>
      </w:r>
      <w:r>
        <w:rPr>
          <w:sz w:val="22"/>
        </w:rPr>
        <w:t>provision</w:t>
      </w:r>
      <w:r>
        <w:rPr>
          <w:spacing w:val="-4"/>
          <w:sz w:val="22"/>
        </w:rPr>
        <w:t> </w:t>
      </w:r>
      <w:r>
        <w:rPr>
          <w:sz w:val="22"/>
        </w:rPr>
        <w:t>of</w:t>
      </w:r>
      <w:r>
        <w:rPr>
          <w:spacing w:val="-2"/>
          <w:sz w:val="22"/>
        </w:rPr>
        <w:t> </w:t>
      </w:r>
      <w:r>
        <w:rPr>
          <w:sz w:val="22"/>
        </w:rPr>
        <w:t>its</w:t>
      </w:r>
      <w:r>
        <w:rPr>
          <w:spacing w:val="-2"/>
          <w:sz w:val="22"/>
        </w:rPr>
        <w:t> </w:t>
      </w:r>
      <w:r>
        <w:rPr>
          <w:sz w:val="22"/>
        </w:rPr>
        <w:t>wide</w:t>
      </w:r>
      <w:r>
        <w:rPr>
          <w:spacing w:val="-3"/>
          <w:sz w:val="22"/>
        </w:rPr>
        <w:t> </w:t>
      </w:r>
      <w:r>
        <w:rPr>
          <w:sz w:val="22"/>
        </w:rPr>
        <w:t>range</w:t>
      </w:r>
      <w:r>
        <w:rPr>
          <w:spacing w:val="-1"/>
          <w:sz w:val="22"/>
        </w:rPr>
        <w:t> </w:t>
      </w:r>
      <w:r>
        <w:rPr>
          <w:sz w:val="22"/>
        </w:rPr>
        <w:t>of</w:t>
      </w:r>
      <w:r>
        <w:rPr>
          <w:spacing w:val="-4"/>
          <w:sz w:val="22"/>
        </w:rPr>
        <w:t> </w:t>
      </w:r>
      <w:r>
        <w:rPr>
          <w:sz w:val="22"/>
        </w:rPr>
        <w:t>quality</w:t>
      </w:r>
      <w:r>
        <w:rPr>
          <w:spacing w:val="-2"/>
          <w:sz w:val="22"/>
        </w:rPr>
        <w:t> </w:t>
      </w:r>
      <w:r>
        <w:rPr>
          <w:sz w:val="22"/>
        </w:rPr>
        <w:t>services</w:t>
      </w:r>
      <w:r>
        <w:rPr>
          <w:spacing w:val="-4"/>
          <w:sz w:val="22"/>
        </w:rPr>
        <w:t> </w:t>
      </w:r>
      <w:r>
        <w:rPr>
          <w:sz w:val="22"/>
        </w:rPr>
        <w:t>to</w:t>
      </w:r>
      <w:r>
        <w:rPr>
          <w:spacing w:val="-4"/>
          <w:sz w:val="22"/>
        </w:rPr>
        <w:t> </w:t>
      </w:r>
      <w:r>
        <w:rPr>
          <w:sz w:val="22"/>
        </w:rPr>
        <w:t>the</w:t>
      </w:r>
      <w:r>
        <w:rPr>
          <w:spacing w:val="-2"/>
          <w:sz w:val="22"/>
        </w:rPr>
        <w:t> community;</w:t>
      </w:r>
    </w:p>
    <w:p>
      <w:pPr>
        <w:pStyle w:val="ListParagraph"/>
        <w:numPr>
          <w:ilvl w:val="0"/>
          <w:numId w:val="2"/>
        </w:numPr>
        <w:tabs>
          <w:tab w:pos="687" w:val="left" w:leader="none"/>
        </w:tabs>
        <w:spacing w:line="268" w:lineRule="exact" w:before="0" w:after="0"/>
        <w:ind w:left="686" w:right="0" w:hanging="567"/>
        <w:jc w:val="both"/>
        <w:rPr>
          <w:rFonts w:ascii="Symbol" w:hAnsi="Symbol"/>
          <w:sz w:val="22"/>
        </w:rPr>
      </w:pPr>
      <w:r>
        <w:rPr>
          <w:sz w:val="22"/>
        </w:rPr>
        <w:t>Build</w:t>
      </w:r>
      <w:r>
        <w:rPr>
          <w:spacing w:val="-15"/>
          <w:sz w:val="22"/>
        </w:rPr>
        <w:t> </w:t>
      </w:r>
      <w:r>
        <w:rPr>
          <w:sz w:val="22"/>
        </w:rPr>
        <w:t>on</w:t>
      </w:r>
      <w:r>
        <w:rPr>
          <w:spacing w:val="-12"/>
          <w:sz w:val="22"/>
        </w:rPr>
        <w:t> </w:t>
      </w:r>
      <w:r>
        <w:rPr>
          <w:sz w:val="22"/>
        </w:rPr>
        <w:t>its</w:t>
      </w:r>
      <w:r>
        <w:rPr>
          <w:spacing w:val="-12"/>
          <w:sz w:val="22"/>
        </w:rPr>
        <w:t> </w:t>
      </w:r>
      <w:r>
        <w:rPr>
          <w:sz w:val="22"/>
        </w:rPr>
        <w:t>existing</w:t>
      </w:r>
      <w:r>
        <w:rPr>
          <w:spacing w:val="-13"/>
          <w:sz w:val="22"/>
        </w:rPr>
        <w:t> </w:t>
      </w:r>
      <w:r>
        <w:rPr>
          <w:sz w:val="22"/>
        </w:rPr>
        <w:t>firm</w:t>
      </w:r>
      <w:r>
        <w:rPr>
          <w:spacing w:val="-12"/>
          <w:sz w:val="22"/>
        </w:rPr>
        <w:t> </w:t>
      </w:r>
      <w:r>
        <w:rPr>
          <w:sz w:val="22"/>
        </w:rPr>
        <w:t>financial</w:t>
      </w:r>
      <w:r>
        <w:rPr>
          <w:spacing w:val="-14"/>
          <w:sz w:val="22"/>
        </w:rPr>
        <w:t> </w:t>
      </w:r>
      <w:r>
        <w:rPr>
          <w:sz w:val="22"/>
        </w:rPr>
        <w:t>base</w:t>
      </w:r>
      <w:r>
        <w:rPr>
          <w:spacing w:val="-13"/>
          <w:sz w:val="22"/>
        </w:rPr>
        <w:t> </w:t>
      </w:r>
      <w:r>
        <w:rPr>
          <w:sz w:val="22"/>
        </w:rPr>
        <w:t>to</w:t>
      </w:r>
      <w:r>
        <w:rPr>
          <w:spacing w:val="-15"/>
          <w:sz w:val="22"/>
        </w:rPr>
        <w:t> </w:t>
      </w:r>
      <w:r>
        <w:rPr>
          <w:sz w:val="22"/>
        </w:rPr>
        <w:t>continue</w:t>
      </w:r>
      <w:r>
        <w:rPr>
          <w:spacing w:val="-13"/>
          <w:sz w:val="22"/>
        </w:rPr>
        <w:t> </w:t>
      </w:r>
      <w:r>
        <w:rPr>
          <w:sz w:val="22"/>
        </w:rPr>
        <w:t>its</w:t>
      </w:r>
      <w:r>
        <w:rPr>
          <w:spacing w:val="-12"/>
          <w:sz w:val="22"/>
        </w:rPr>
        <w:t> </w:t>
      </w:r>
      <w:r>
        <w:rPr>
          <w:sz w:val="22"/>
        </w:rPr>
        <w:t>strategy</w:t>
      </w:r>
      <w:r>
        <w:rPr>
          <w:spacing w:val="-14"/>
          <w:sz w:val="22"/>
        </w:rPr>
        <w:t> </w:t>
      </w:r>
      <w:r>
        <w:rPr>
          <w:sz w:val="22"/>
        </w:rPr>
        <w:t>to</w:t>
      </w:r>
      <w:r>
        <w:rPr>
          <w:spacing w:val="-13"/>
          <w:sz w:val="22"/>
        </w:rPr>
        <w:t> </w:t>
      </w:r>
      <w:r>
        <w:rPr>
          <w:sz w:val="22"/>
        </w:rPr>
        <w:t>improve</w:t>
      </w:r>
      <w:r>
        <w:rPr>
          <w:spacing w:val="-12"/>
          <w:sz w:val="22"/>
        </w:rPr>
        <w:t> </w:t>
      </w:r>
      <w:r>
        <w:rPr>
          <w:sz w:val="22"/>
        </w:rPr>
        <w:t>its</w:t>
      </w:r>
      <w:r>
        <w:rPr>
          <w:spacing w:val="-14"/>
          <w:sz w:val="22"/>
        </w:rPr>
        <w:t> </w:t>
      </w:r>
      <w:r>
        <w:rPr>
          <w:sz w:val="22"/>
        </w:rPr>
        <w:t>long-term</w:t>
      </w:r>
      <w:r>
        <w:rPr>
          <w:spacing w:val="-14"/>
          <w:sz w:val="22"/>
        </w:rPr>
        <w:t> </w:t>
      </w:r>
      <w:r>
        <w:rPr>
          <w:sz w:val="22"/>
        </w:rPr>
        <w:t>financial</w:t>
      </w:r>
      <w:r>
        <w:rPr>
          <w:spacing w:val="-12"/>
          <w:sz w:val="22"/>
        </w:rPr>
        <w:t> </w:t>
      </w:r>
      <w:r>
        <w:rPr>
          <w:spacing w:val="-2"/>
          <w:sz w:val="22"/>
        </w:rPr>
        <w:t>viability;</w:t>
      </w:r>
    </w:p>
    <w:p>
      <w:pPr>
        <w:pStyle w:val="ListParagraph"/>
        <w:numPr>
          <w:ilvl w:val="0"/>
          <w:numId w:val="2"/>
        </w:numPr>
        <w:tabs>
          <w:tab w:pos="687" w:val="left" w:leader="none"/>
        </w:tabs>
        <w:spacing w:line="237" w:lineRule="auto" w:before="1" w:after="0"/>
        <w:ind w:left="686" w:right="135" w:hanging="567"/>
        <w:jc w:val="both"/>
        <w:rPr>
          <w:rFonts w:ascii="Symbol" w:hAnsi="Symbol"/>
          <w:sz w:val="22"/>
        </w:rPr>
      </w:pPr>
      <w:r>
        <w:rPr>
          <w:sz w:val="22"/>
        </w:rPr>
        <w:t>Strike an appropriate balance between todays and future generations in respect of the funding of its operations and the development, renewal, and maintenance of its long-term assets; and</w:t>
      </w:r>
    </w:p>
    <w:p>
      <w:pPr>
        <w:pStyle w:val="ListParagraph"/>
        <w:numPr>
          <w:ilvl w:val="0"/>
          <w:numId w:val="2"/>
        </w:numPr>
        <w:tabs>
          <w:tab w:pos="687" w:val="left" w:leader="none"/>
        </w:tabs>
        <w:spacing w:line="240" w:lineRule="auto" w:before="1" w:after="0"/>
        <w:ind w:left="686" w:right="140" w:hanging="567"/>
        <w:jc w:val="both"/>
        <w:rPr>
          <w:rFonts w:ascii="Symbol" w:hAnsi="Symbol"/>
          <w:sz w:val="22"/>
        </w:rPr>
      </w:pPr>
      <w:r>
        <w:rPr>
          <w:sz w:val="22"/>
        </w:rPr>
        <w:t>Support</w:t>
      </w:r>
      <w:r>
        <w:rPr>
          <w:spacing w:val="-11"/>
          <w:sz w:val="22"/>
        </w:rPr>
        <w:t> </w:t>
      </w:r>
      <w:r>
        <w:rPr>
          <w:sz w:val="22"/>
        </w:rPr>
        <w:t>an</w:t>
      </w:r>
      <w:r>
        <w:rPr>
          <w:spacing w:val="-14"/>
          <w:sz w:val="22"/>
        </w:rPr>
        <w:t> </w:t>
      </w:r>
      <w:r>
        <w:rPr>
          <w:sz w:val="22"/>
        </w:rPr>
        <w:t>organisational</w:t>
      </w:r>
      <w:r>
        <w:rPr>
          <w:spacing w:val="-11"/>
          <w:sz w:val="22"/>
        </w:rPr>
        <w:t> </w:t>
      </w:r>
      <w:r>
        <w:rPr>
          <w:sz w:val="22"/>
        </w:rPr>
        <w:t>and</w:t>
      </w:r>
      <w:r>
        <w:rPr>
          <w:spacing w:val="-12"/>
          <w:sz w:val="22"/>
        </w:rPr>
        <w:t> </w:t>
      </w:r>
      <w:r>
        <w:rPr>
          <w:sz w:val="22"/>
        </w:rPr>
        <w:t>administrative</w:t>
      </w:r>
      <w:r>
        <w:rPr>
          <w:spacing w:val="-11"/>
          <w:sz w:val="22"/>
        </w:rPr>
        <w:t> </w:t>
      </w:r>
      <w:r>
        <w:rPr>
          <w:sz w:val="22"/>
        </w:rPr>
        <w:t>framework</w:t>
      </w:r>
      <w:r>
        <w:rPr>
          <w:spacing w:val="-11"/>
          <w:sz w:val="22"/>
        </w:rPr>
        <w:t> </w:t>
      </w:r>
      <w:r>
        <w:rPr>
          <w:sz w:val="22"/>
        </w:rPr>
        <w:t>that</w:t>
      </w:r>
      <w:r>
        <w:rPr>
          <w:spacing w:val="-11"/>
          <w:sz w:val="22"/>
        </w:rPr>
        <w:t> </w:t>
      </w:r>
      <w:r>
        <w:rPr>
          <w:sz w:val="22"/>
        </w:rPr>
        <w:t>will</w:t>
      </w:r>
      <w:r>
        <w:rPr>
          <w:spacing w:val="-13"/>
          <w:sz w:val="22"/>
        </w:rPr>
        <w:t> </w:t>
      </w:r>
      <w:r>
        <w:rPr>
          <w:sz w:val="22"/>
        </w:rPr>
        <w:t>help</w:t>
      </w:r>
      <w:r>
        <w:rPr>
          <w:spacing w:val="-12"/>
          <w:sz w:val="22"/>
        </w:rPr>
        <w:t> </w:t>
      </w:r>
      <w:r>
        <w:rPr>
          <w:sz w:val="22"/>
        </w:rPr>
        <w:t>ensure</w:t>
      </w:r>
      <w:r>
        <w:rPr>
          <w:spacing w:val="-12"/>
          <w:sz w:val="22"/>
        </w:rPr>
        <w:t> </w:t>
      </w:r>
      <w:r>
        <w:rPr>
          <w:sz w:val="22"/>
        </w:rPr>
        <w:t>the</w:t>
      </w:r>
      <w:r>
        <w:rPr>
          <w:spacing w:val="-12"/>
          <w:sz w:val="22"/>
        </w:rPr>
        <w:t> </w:t>
      </w:r>
      <w:r>
        <w:rPr>
          <w:sz w:val="22"/>
        </w:rPr>
        <w:t>provision</w:t>
      </w:r>
      <w:r>
        <w:rPr>
          <w:spacing w:val="-12"/>
          <w:sz w:val="22"/>
        </w:rPr>
        <w:t> </w:t>
      </w:r>
      <w:r>
        <w:rPr>
          <w:sz w:val="22"/>
        </w:rPr>
        <w:t>of</w:t>
      </w:r>
      <w:r>
        <w:rPr>
          <w:spacing w:val="-11"/>
          <w:sz w:val="22"/>
        </w:rPr>
        <w:t> </w:t>
      </w:r>
      <w:r>
        <w:rPr>
          <w:sz w:val="22"/>
        </w:rPr>
        <w:t>continued good governance.</w:t>
      </w:r>
    </w:p>
    <w:p>
      <w:pPr>
        <w:pStyle w:val="Heading2"/>
        <w:spacing w:before="200"/>
        <w:ind w:left="120"/>
      </w:pPr>
      <w:bookmarkStart w:name="_TOC_250009" w:id="4"/>
      <w:bookmarkEnd w:id="4"/>
      <w:r>
        <w:rPr>
          <w:color w:val="4966AC"/>
          <w:spacing w:val="-2"/>
        </w:rPr>
        <w:t>Influences</w:t>
      </w:r>
    </w:p>
    <w:p>
      <w:pPr>
        <w:pStyle w:val="BodyText"/>
        <w:spacing w:before="250"/>
        <w:ind w:left="120" w:right="135"/>
        <w:jc w:val="both"/>
      </w:pPr>
      <w:r>
        <w:rPr/>
        <w:t>In preparing the 2024/2025 budget, a number of external influences have been taken into consideration, because they will impact significantly on the services delivered by Council in the budget period when compared to the 2023/2024 budget. These include:</w:t>
      </w:r>
    </w:p>
    <w:p>
      <w:pPr>
        <w:pStyle w:val="ListParagraph"/>
        <w:numPr>
          <w:ilvl w:val="0"/>
          <w:numId w:val="2"/>
        </w:numPr>
        <w:tabs>
          <w:tab w:pos="687" w:val="left" w:leader="none"/>
        </w:tabs>
        <w:spacing w:line="237" w:lineRule="auto" w:before="4" w:after="0"/>
        <w:ind w:left="686" w:right="137" w:hanging="567"/>
        <w:jc w:val="both"/>
        <w:rPr>
          <w:rFonts w:ascii="Symbol" w:hAnsi="Symbol"/>
          <w:sz w:val="22"/>
        </w:rPr>
      </w:pPr>
      <w:r>
        <w:rPr>
          <w:sz w:val="22"/>
        </w:rPr>
        <w:t>The Victorian State Government introduced a cap on rate increases from 2016/17. The cap for 2023/2024 has been set at 2.75%;</w:t>
      </w:r>
    </w:p>
    <w:p>
      <w:pPr>
        <w:pStyle w:val="ListParagraph"/>
        <w:numPr>
          <w:ilvl w:val="0"/>
          <w:numId w:val="2"/>
        </w:numPr>
        <w:tabs>
          <w:tab w:pos="687" w:val="left" w:leader="none"/>
        </w:tabs>
        <w:spacing w:line="240" w:lineRule="auto" w:before="1" w:after="0"/>
        <w:ind w:left="686" w:right="135" w:hanging="567"/>
        <w:jc w:val="both"/>
        <w:rPr>
          <w:rFonts w:ascii="Symbol" w:hAnsi="Symbol"/>
          <w:sz w:val="22"/>
        </w:rPr>
      </w:pPr>
      <w:r>
        <w:rPr>
          <w:sz w:val="22"/>
        </w:rPr>
        <w:t>Consumer Price Index – (CPI) All groups Consumer Price Index rose 0.6% in the December 2023 quarter and 4.1% annually. Melbourne Index rose 0.6% in the December 2023 quarter and 3.8% annually (ABS). CPI is forecast to decrease to 3.3% by June 2024 before decreasing to 3.1% by the end of the 2024/2025 year (RBA Economic Outlook February 2024).</w:t>
      </w:r>
    </w:p>
    <w:p>
      <w:pPr>
        <w:pStyle w:val="ListParagraph"/>
        <w:numPr>
          <w:ilvl w:val="0"/>
          <w:numId w:val="2"/>
        </w:numPr>
        <w:tabs>
          <w:tab w:pos="687" w:val="left" w:leader="none"/>
        </w:tabs>
        <w:spacing w:line="237" w:lineRule="auto" w:before="1" w:after="0"/>
        <w:ind w:left="686" w:right="137" w:hanging="567"/>
        <w:jc w:val="both"/>
        <w:rPr>
          <w:rFonts w:ascii="Symbol" w:hAnsi="Symbol"/>
          <w:sz w:val="22"/>
        </w:rPr>
      </w:pPr>
      <w:r>
        <w:rPr>
          <w:sz w:val="22"/>
        </w:rPr>
        <w:t>The</w:t>
      </w:r>
      <w:r>
        <w:rPr>
          <w:spacing w:val="-16"/>
          <w:sz w:val="22"/>
        </w:rPr>
        <w:t> </w:t>
      </w:r>
      <w:r>
        <w:rPr>
          <w:sz w:val="22"/>
        </w:rPr>
        <w:t>largest</w:t>
      </w:r>
      <w:r>
        <w:rPr>
          <w:spacing w:val="-15"/>
          <w:sz w:val="22"/>
        </w:rPr>
        <w:t> </w:t>
      </w:r>
      <w:r>
        <w:rPr>
          <w:sz w:val="22"/>
        </w:rPr>
        <w:t>source</w:t>
      </w:r>
      <w:r>
        <w:rPr>
          <w:spacing w:val="-15"/>
          <w:sz w:val="22"/>
        </w:rPr>
        <w:t> </w:t>
      </w:r>
      <w:r>
        <w:rPr>
          <w:sz w:val="22"/>
        </w:rPr>
        <w:t>of</w:t>
      </w:r>
      <w:r>
        <w:rPr>
          <w:spacing w:val="-16"/>
          <w:sz w:val="22"/>
        </w:rPr>
        <w:t> </w:t>
      </w:r>
      <w:r>
        <w:rPr>
          <w:sz w:val="22"/>
        </w:rPr>
        <w:t>government</w:t>
      </w:r>
      <w:r>
        <w:rPr>
          <w:spacing w:val="-15"/>
          <w:sz w:val="22"/>
        </w:rPr>
        <w:t> </w:t>
      </w:r>
      <w:r>
        <w:rPr>
          <w:sz w:val="22"/>
        </w:rPr>
        <w:t>funding</w:t>
      </w:r>
      <w:r>
        <w:rPr>
          <w:spacing w:val="-15"/>
          <w:sz w:val="22"/>
        </w:rPr>
        <w:t> </w:t>
      </w:r>
      <w:r>
        <w:rPr>
          <w:sz w:val="22"/>
        </w:rPr>
        <w:t>to</w:t>
      </w:r>
      <w:r>
        <w:rPr>
          <w:spacing w:val="-15"/>
          <w:sz w:val="22"/>
        </w:rPr>
        <w:t> </w:t>
      </w:r>
      <w:r>
        <w:rPr>
          <w:sz w:val="22"/>
        </w:rPr>
        <w:t>council</w:t>
      </w:r>
      <w:r>
        <w:rPr>
          <w:spacing w:val="-16"/>
          <w:sz w:val="22"/>
        </w:rPr>
        <w:t> </w:t>
      </w:r>
      <w:r>
        <w:rPr>
          <w:sz w:val="22"/>
        </w:rPr>
        <w:t>is</w:t>
      </w:r>
      <w:r>
        <w:rPr>
          <w:spacing w:val="-15"/>
          <w:sz w:val="22"/>
        </w:rPr>
        <w:t> </w:t>
      </w:r>
      <w:r>
        <w:rPr>
          <w:sz w:val="22"/>
        </w:rPr>
        <w:t>through</w:t>
      </w:r>
      <w:r>
        <w:rPr>
          <w:spacing w:val="-15"/>
          <w:sz w:val="22"/>
        </w:rPr>
        <w:t> </w:t>
      </w:r>
      <w:r>
        <w:rPr>
          <w:sz w:val="22"/>
        </w:rPr>
        <w:t>the</w:t>
      </w:r>
      <w:r>
        <w:rPr>
          <w:spacing w:val="-16"/>
          <w:sz w:val="22"/>
        </w:rPr>
        <w:t> </w:t>
      </w:r>
      <w:r>
        <w:rPr>
          <w:sz w:val="22"/>
        </w:rPr>
        <w:t>annual</w:t>
      </w:r>
      <w:r>
        <w:rPr>
          <w:spacing w:val="-15"/>
          <w:sz w:val="22"/>
        </w:rPr>
        <w:t> </w:t>
      </w:r>
      <w:r>
        <w:rPr>
          <w:sz w:val="22"/>
        </w:rPr>
        <w:t>Victorian</w:t>
      </w:r>
      <w:r>
        <w:rPr>
          <w:spacing w:val="-15"/>
          <w:sz w:val="22"/>
        </w:rPr>
        <w:t> </w:t>
      </w:r>
      <w:r>
        <w:rPr>
          <w:sz w:val="22"/>
        </w:rPr>
        <w:t>Grants</w:t>
      </w:r>
      <w:r>
        <w:rPr>
          <w:spacing w:val="-15"/>
          <w:sz w:val="22"/>
        </w:rPr>
        <w:t> </w:t>
      </w:r>
      <w:r>
        <w:rPr>
          <w:sz w:val="22"/>
        </w:rPr>
        <w:t>Commission allocation. The overall state allocation is determined by the Federal Assistance grant;</w:t>
      </w:r>
    </w:p>
    <w:p>
      <w:pPr>
        <w:pStyle w:val="ListParagraph"/>
        <w:numPr>
          <w:ilvl w:val="0"/>
          <w:numId w:val="2"/>
        </w:numPr>
        <w:tabs>
          <w:tab w:pos="687" w:val="left" w:leader="none"/>
        </w:tabs>
        <w:spacing w:line="240" w:lineRule="auto" w:before="1" w:after="0"/>
        <w:ind w:left="686" w:right="137" w:hanging="567"/>
        <w:jc w:val="both"/>
        <w:rPr>
          <w:rFonts w:ascii="Symbol" w:hAnsi="Symbol"/>
          <w:sz w:val="22"/>
        </w:rPr>
      </w:pPr>
      <w:r>
        <w:rPr>
          <w:sz w:val="22"/>
        </w:rPr>
        <w:t>Cost Shifting occurs where Local Government provides a service to the community on behalf of the State and</w:t>
      </w:r>
      <w:r>
        <w:rPr>
          <w:spacing w:val="-4"/>
          <w:sz w:val="22"/>
        </w:rPr>
        <w:t> </w:t>
      </w:r>
      <w:r>
        <w:rPr>
          <w:sz w:val="22"/>
        </w:rPr>
        <w:t>Federal</w:t>
      </w:r>
      <w:r>
        <w:rPr>
          <w:spacing w:val="-4"/>
          <w:sz w:val="22"/>
        </w:rPr>
        <w:t> </w:t>
      </w:r>
      <w:r>
        <w:rPr>
          <w:sz w:val="22"/>
        </w:rPr>
        <w:t>Government.</w:t>
      </w:r>
      <w:r>
        <w:rPr>
          <w:spacing w:val="-2"/>
          <w:sz w:val="22"/>
        </w:rPr>
        <w:t> </w:t>
      </w:r>
      <w:r>
        <w:rPr>
          <w:sz w:val="22"/>
        </w:rPr>
        <w:t>Over</w:t>
      </w:r>
      <w:r>
        <w:rPr>
          <w:spacing w:val="-2"/>
          <w:sz w:val="22"/>
        </w:rPr>
        <w:t> </w:t>
      </w:r>
      <w:r>
        <w:rPr>
          <w:sz w:val="22"/>
        </w:rPr>
        <w:t>time</w:t>
      </w:r>
      <w:r>
        <w:rPr>
          <w:spacing w:val="-5"/>
          <w:sz w:val="22"/>
        </w:rPr>
        <w:t> </w:t>
      </w:r>
      <w:r>
        <w:rPr>
          <w:sz w:val="22"/>
        </w:rPr>
        <w:t>the</w:t>
      </w:r>
      <w:r>
        <w:rPr>
          <w:spacing w:val="-2"/>
          <w:sz w:val="22"/>
        </w:rPr>
        <w:t> </w:t>
      </w:r>
      <w:r>
        <w:rPr>
          <w:sz w:val="22"/>
        </w:rPr>
        <w:t>funds</w:t>
      </w:r>
      <w:r>
        <w:rPr>
          <w:spacing w:val="-2"/>
          <w:sz w:val="22"/>
        </w:rPr>
        <w:t> </w:t>
      </w:r>
      <w:r>
        <w:rPr>
          <w:sz w:val="22"/>
        </w:rPr>
        <w:t>received</w:t>
      </w:r>
      <w:r>
        <w:rPr>
          <w:spacing w:val="-2"/>
          <w:sz w:val="22"/>
        </w:rPr>
        <w:t> </w:t>
      </w:r>
      <w:r>
        <w:rPr>
          <w:sz w:val="22"/>
        </w:rPr>
        <w:t>by</w:t>
      </w:r>
      <w:r>
        <w:rPr>
          <w:spacing w:val="-2"/>
          <w:sz w:val="22"/>
        </w:rPr>
        <w:t> </w:t>
      </w:r>
      <w:r>
        <w:rPr>
          <w:sz w:val="22"/>
        </w:rPr>
        <w:t>local</w:t>
      </w:r>
      <w:r>
        <w:rPr>
          <w:spacing w:val="-2"/>
          <w:sz w:val="22"/>
        </w:rPr>
        <w:t> </w:t>
      </w:r>
      <w:r>
        <w:rPr>
          <w:sz w:val="22"/>
        </w:rPr>
        <w:t>governments do</w:t>
      </w:r>
      <w:r>
        <w:rPr>
          <w:spacing w:val="-3"/>
          <w:sz w:val="22"/>
        </w:rPr>
        <w:t> </w:t>
      </w:r>
      <w:r>
        <w:rPr>
          <w:sz w:val="22"/>
        </w:rPr>
        <w:t>not</w:t>
      </w:r>
      <w:r>
        <w:rPr>
          <w:spacing w:val="-2"/>
          <w:sz w:val="22"/>
        </w:rPr>
        <w:t> </w:t>
      </w:r>
      <w:r>
        <w:rPr>
          <w:sz w:val="22"/>
        </w:rPr>
        <w:t>increase</w:t>
      </w:r>
      <w:r>
        <w:rPr>
          <w:spacing w:val="-2"/>
          <w:sz w:val="22"/>
        </w:rPr>
        <w:t> </w:t>
      </w:r>
      <w:r>
        <w:rPr>
          <w:sz w:val="22"/>
        </w:rPr>
        <w:t>in line with the</w:t>
      </w:r>
      <w:r>
        <w:rPr>
          <w:spacing w:val="-2"/>
          <w:sz w:val="22"/>
        </w:rPr>
        <w:t> </w:t>
      </w:r>
      <w:r>
        <w:rPr>
          <w:sz w:val="22"/>
        </w:rPr>
        <w:t>real cost increases, Examples of services that are</w:t>
      </w:r>
      <w:r>
        <w:rPr>
          <w:spacing w:val="-2"/>
          <w:sz w:val="22"/>
        </w:rPr>
        <w:t> </w:t>
      </w:r>
      <w:r>
        <w:rPr>
          <w:sz w:val="22"/>
        </w:rPr>
        <w:t>subject to</w:t>
      </w:r>
      <w:r>
        <w:rPr>
          <w:spacing w:val="-2"/>
          <w:sz w:val="22"/>
        </w:rPr>
        <w:t> </w:t>
      </w:r>
      <w:r>
        <w:rPr>
          <w:sz w:val="22"/>
        </w:rPr>
        <w:t>Cost Shifting include school crossing and Library services. In all these services the level of payment received by Council from the State Government does not reflect the real cost of providing the service to the community;</w:t>
      </w:r>
    </w:p>
    <w:p>
      <w:pPr>
        <w:pStyle w:val="ListParagraph"/>
        <w:numPr>
          <w:ilvl w:val="0"/>
          <w:numId w:val="2"/>
        </w:numPr>
        <w:tabs>
          <w:tab w:pos="687" w:val="left" w:leader="none"/>
        </w:tabs>
        <w:spacing w:line="237" w:lineRule="auto" w:before="0" w:after="0"/>
        <w:ind w:left="686" w:right="139" w:hanging="567"/>
        <w:jc w:val="both"/>
        <w:rPr>
          <w:rFonts w:ascii="Symbol" w:hAnsi="Symbol"/>
          <w:sz w:val="22"/>
        </w:rPr>
      </w:pPr>
      <w:r>
        <w:rPr>
          <w:sz w:val="22"/>
        </w:rPr>
        <w:t>The Australian Federal Government Superannuation Guarantee rate is increasing to 11.50% from 11.00%, effective 1 July 2024 and will then continue to increase until it reaches 12% on 1 July 2025.</w:t>
      </w:r>
    </w:p>
    <w:p>
      <w:pPr>
        <w:pStyle w:val="ListParagraph"/>
        <w:numPr>
          <w:ilvl w:val="0"/>
          <w:numId w:val="2"/>
        </w:numPr>
        <w:tabs>
          <w:tab w:pos="687" w:val="left" w:leader="none"/>
        </w:tabs>
        <w:spacing w:line="240" w:lineRule="auto" w:before="1" w:after="0"/>
        <w:ind w:left="686" w:right="138" w:hanging="567"/>
        <w:jc w:val="both"/>
        <w:rPr>
          <w:rFonts w:ascii="Symbol" w:hAnsi="Symbol"/>
          <w:sz w:val="22"/>
        </w:rPr>
      </w:pPr>
      <w:r>
        <w:rPr>
          <w:sz w:val="22"/>
        </w:rPr>
        <w:t>The Fire Services Property Levy will continue to be collected by Council on behalf of the State Government</w:t>
      </w:r>
      <w:r>
        <w:rPr>
          <w:spacing w:val="-4"/>
          <w:sz w:val="22"/>
        </w:rPr>
        <w:t> </w:t>
      </w:r>
      <w:r>
        <w:rPr>
          <w:sz w:val="22"/>
        </w:rPr>
        <w:t>with</w:t>
      </w:r>
      <w:r>
        <w:rPr>
          <w:spacing w:val="-6"/>
          <w:sz w:val="22"/>
        </w:rPr>
        <w:t> </w:t>
      </w:r>
      <w:r>
        <w:rPr>
          <w:sz w:val="22"/>
        </w:rPr>
        <w:t>the</w:t>
      </w:r>
      <w:r>
        <w:rPr>
          <w:spacing w:val="-4"/>
          <w:sz w:val="22"/>
        </w:rPr>
        <w:t> </w:t>
      </w:r>
      <w:r>
        <w:rPr>
          <w:sz w:val="22"/>
        </w:rPr>
        <w:t>introduction</w:t>
      </w:r>
      <w:r>
        <w:rPr>
          <w:spacing w:val="-2"/>
          <w:sz w:val="22"/>
        </w:rPr>
        <w:t> </w:t>
      </w:r>
      <w:r>
        <w:rPr>
          <w:sz w:val="22"/>
        </w:rPr>
        <w:t>of</w:t>
      </w:r>
      <w:r>
        <w:rPr>
          <w:spacing w:val="-4"/>
          <w:sz w:val="22"/>
        </w:rPr>
        <w:t> </w:t>
      </w:r>
      <w:r>
        <w:rPr>
          <w:sz w:val="22"/>
        </w:rPr>
        <w:t>the</w:t>
      </w:r>
      <w:r>
        <w:rPr>
          <w:spacing w:val="-4"/>
          <w:sz w:val="22"/>
        </w:rPr>
        <w:t> </w:t>
      </w:r>
      <w:r>
        <w:rPr>
          <w:sz w:val="22"/>
        </w:rPr>
        <w:t>Fire</w:t>
      </w:r>
      <w:r>
        <w:rPr>
          <w:spacing w:val="-6"/>
          <w:sz w:val="22"/>
        </w:rPr>
        <w:t> </w:t>
      </w:r>
      <w:r>
        <w:rPr>
          <w:sz w:val="22"/>
        </w:rPr>
        <w:t>Services</w:t>
      </w:r>
      <w:r>
        <w:rPr>
          <w:spacing w:val="-2"/>
          <w:sz w:val="22"/>
        </w:rPr>
        <w:t> </w:t>
      </w:r>
      <w:r>
        <w:rPr>
          <w:sz w:val="22"/>
        </w:rPr>
        <w:t>Levy</w:t>
      </w:r>
      <w:r>
        <w:rPr>
          <w:spacing w:val="-4"/>
          <w:sz w:val="22"/>
        </w:rPr>
        <w:t> </w:t>
      </w:r>
      <w:r>
        <w:rPr>
          <w:sz w:val="22"/>
        </w:rPr>
        <w:t>Act</w:t>
      </w:r>
      <w:r>
        <w:rPr>
          <w:spacing w:val="-2"/>
          <w:sz w:val="22"/>
        </w:rPr>
        <w:t> </w:t>
      </w:r>
      <w:r>
        <w:rPr>
          <w:sz w:val="22"/>
        </w:rPr>
        <w:t>2012</w:t>
      </w:r>
      <w:r>
        <w:rPr>
          <w:spacing w:val="-4"/>
          <w:sz w:val="22"/>
        </w:rPr>
        <w:t> </w:t>
      </w:r>
      <w:r>
        <w:rPr>
          <w:sz w:val="22"/>
        </w:rPr>
        <w:t>which</w:t>
      </w:r>
      <w:r>
        <w:rPr>
          <w:spacing w:val="-6"/>
          <w:sz w:val="22"/>
        </w:rPr>
        <w:t> </w:t>
      </w:r>
      <w:r>
        <w:rPr>
          <w:sz w:val="22"/>
        </w:rPr>
        <w:t>is</w:t>
      </w:r>
      <w:r>
        <w:rPr>
          <w:spacing w:val="-4"/>
          <w:sz w:val="22"/>
        </w:rPr>
        <w:t> </w:t>
      </w:r>
      <w:r>
        <w:rPr>
          <w:sz w:val="22"/>
        </w:rPr>
        <w:t>not</w:t>
      </w:r>
      <w:r>
        <w:rPr>
          <w:spacing w:val="-1"/>
          <w:sz w:val="22"/>
        </w:rPr>
        <w:t> </w:t>
      </w:r>
      <w:r>
        <w:rPr>
          <w:sz w:val="22"/>
        </w:rPr>
        <w:t>included</w:t>
      </w:r>
      <w:r>
        <w:rPr>
          <w:spacing w:val="-4"/>
          <w:sz w:val="22"/>
        </w:rPr>
        <w:t> </w:t>
      </w:r>
      <w:r>
        <w:rPr>
          <w:sz w:val="22"/>
        </w:rPr>
        <w:t>in</w:t>
      </w:r>
      <w:r>
        <w:rPr>
          <w:spacing w:val="-6"/>
          <w:sz w:val="22"/>
        </w:rPr>
        <w:t> </w:t>
      </w:r>
      <w:r>
        <w:rPr>
          <w:sz w:val="22"/>
        </w:rPr>
        <w:t>Council’s </w:t>
      </w:r>
      <w:r>
        <w:rPr>
          <w:spacing w:val="-2"/>
          <w:sz w:val="22"/>
        </w:rPr>
        <w:t>budget;</w:t>
      </w:r>
    </w:p>
    <w:p>
      <w:pPr>
        <w:pStyle w:val="ListParagraph"/>
        <w:numPr>
          <w:ilvl w:val="0"/>
          <w:numId w:val="2"/>
        </w:numPr>
        <w:tabs>
          <w:tab w:pos="687" w:val="left" w:leader="none"/>
        </w:tabs>
        <w:spacing w:line="240" w:lineRule="auto" w:before="0" w:after="0"/>
        <w:ind w:left="686" w:right="136" w:hanging="567"/>
        <w:jc w:val="both"/>
        <w:rPr>
          <w:rFonts w:ascii="Symbol" w:hAnsi="Symbol"/>
          <w:sz w:val="22"/>
        </w:rPr>
      </w:pPr>
      <w:r>
        <w:rPr>
          <w:sz w:val="22"/>
        </w:rPr>
        <w:t>Council manages community assets valued at $2.1 billion in accordance with community needs and local, state and national plans, policies, legislation and standards. This represents a significant investment</w:t>
      </w:r>
      <w:r>
        <w:rPr>
          <w:spacing w:val="-13"/>
          <w:sz w:val="22"/>
        </w:rPr>
        <w:t> </w:t>
      </w:r>
      <w:r>
        <w:rPr>
          <w:sz w:val="22"/>
        </w:rPr>
        <w:t>made</w:t>
      </w:r>
      <w:r>
        <w:rPr>
          <w:spacing w:val="-11"/>
          <w:sz w:val="22"/>
        </w:rPr>
        <w:t> </w:t>
      </w:r>
      <w:r>
        <w:rPr>
          <w:sz w:val="22"/>
        </w:rPr>
        <w:t>over</w:t>
      </w:r>
      <w:r>
        <w:rPr>
          <w:spacing w:val="-13"/>
          <w:sz w:val="22"/>
        </w:rPr>
        <w:t> </w:t>
      </w:r>
      <w:r>
        <w:rPr>
          <w:sz w:val="22"/>
        </w:rPr>
        <w:t>many</w:t>
      </w:r>
      <w:r>
        <w:rPr>
          <w:spacing w:val="-11"/>
          <w:sz w:val="22"/>
        </w:rPr>
        <w:t> </w:t>
      </w:r>
      <w:r>
        <w:rPr>
          <w:sz w:val="22"/>
        </w:rPr>
        <w:t>generations,</w:t>
      </w:r>
      <w:r>
        <w:rPr>
          <w:spacing w:val="-11"/>
          <w:sz w:val="22"/>
        </w:rPr>
        <w:t> </w:t>
      </w:r>
      <w:r>
        <w:rPr>
          <w:sz w:val="22"/>
        </w:rPr>
        <w:t>and</w:t>
      </w:r>
      <w:r>
        <w:rPr>
          <w:spacing w:val="-12"/>
          <w:sz w:val="22"/>
        </w:rPr>
        <w:t> </w:t>
      </w:r>
      <w:r>
        <w:rPr>
          <w:sz w:val="22"/>
        </w:rPr>
        <w:t>hence,</w:t>
      </w:r>
      <w:r>
        <w:rPr>
          <w:spacing w:val="-11"/>
          <w:sz w:val="22"/>
        </w:rPr>
        <w:t> </w:t>
      </w:r>
      <w:r>
        <w:rPr>
          <w:sz w:val="22"/>
        </w:rPr>
        <w:t>prudent</w:t>
      </w:r>
      <w:r>
        <w:rPr>
          <w:spacing w:val="-10"/>
          <w:sz w:val="22"/>
        </w:rPr>
        <w:t> </w:t>
      </w:r>
      <w:r>
        <w:rPr>
          <w:sz w:val="22"/>
        </w:rPr>
        <w:t>management</w:t>
      </w:r>
      <w:r>
        <w:rPr>
          <w:spacing w:val="-11"/>
          <w:sz w:val="22"/>
        </w:rPr>
        <w:t> </w:t>
      </w:r>
      <w:r>
        <w:rPr>
          <w:sz w:val="22"/>
        </w:rPr>
        <w:t>of</w:t>
      </w:r>
      <w:r>
        <w:rPr>
          <w:spacing w:val="-12"/>
          <w:sz w:val="22"/>
        </w:rPr>
        <w:t> </w:t>
      </w:r>
      <w:r>
        <w:rPr>
          <w:sz w:val="22"/>
        </w:rPr>
        <w:t>these</w:t>
      </w:r>
      <w:r>
        <w:rPr>
          <w:spacing w:val="-12"/>
          <w:sz w:val="22"/>
        </w:rPr>
        <w:t> </w:t>
      </w:r>
      <w:r>
        <w:rPr>
          <w:sz w:val="22"/>
        </w:rPr>
        <w:t>community</w:t>
      </w:r>
      <w:r>
        <w:rPr>
          <w:spacing w:val="-11"/>
          <w:sz w:val="22"/>
        </w:rPr>
        <w:t> </w:t>
      </w:r>
      <w:r>
        <w:rPr>
          <w:sz w:val="22"/>
        </w:rPr>
        <w:t>assets is a core Council function to ensure long-term sustainability and the continuity of service provision to the community</w:t>
      </w:r>
    </w:p>
    <w:p>
      <w:pPr>
        <w:pStyle w:val="ListParagraph"/>
        <w:numPr>
          <w:ilvl w:val="0"/>
          <w:numId w:val="2"/>
        </w:numPr>
        <w:tabs>
          <w:tab w:pos="687" w:val="left" w:leader="none"/>
        </w:tabs>
        <w:spacing w:line="237" w:lineRule="auto" w:before="0" w:after="0"/>
        <w:ind w:left="686" w:right="137" w:hanging="567"/>
        <w:jc w:val="both"/>
        <w:rPr>
          <w:rFonts w:ascii="Symbol" w:hAnsi="Symbol"/>
          <w:sz w:val="22"/>
        </w:rPr>
      </w:pPr>
      <w:r>
        <w:rPr>
          <w:sz w:val="22"/>
        </w:rPr>
        <w:t>Depreciation</w:t>
      </w:r>
      <w:r>
        <w:rPr>
          <w:spacing w:val="-15"/>
          <w:sz w:val="22"/>
        </w:rPr>
        <w:t> </w:t>
      </w:r>
      <w:r>
        <w:rPr>
          <w:sz w:val="22"/>
        </w:rPr>
        <w:t>of</w:t>
      </w:r>
      <w:r>
        <w:rPr>
          <w:spacing w:val="-12"/>
          <w:sz w:val="22"/>
        </w:rPr>
        <w:t> </w:t>
      </w:r>
      <w:r>
        <w:rPr>
          <w:sz w:val="22"/>
        </w:rPr>
        <w:t>Council’s</w:t>
      </w:r>
      <w:r>
        <w:rPr>
          <w:spacing w:val="-14"/>
          <w:sz w:val="22"/>
        </w:rPr>
        <w:t> </w:t>
      </w:r>
      <w:r>
        <w:rPr>
          <w:sz w:val="22"/>
        </w:rPr>
        <w:t>core</w:t>
      </w:r>
      <w:r>
        <w:rPr>
          <w:spacing w:val="-14"/>
          <w:sz w:val="22"/>
        </w:rPr>
        <w:t> </w:t>
      </w:r>
      <w:r>
        <w:rPr>
          <w:sz w:val="22"/>
        </w:rPr>
        <w:t>asset</w:t>
      </w:r>
      <w:r>
        <w:rPr>
          <w:spacing w:val="-11"/>
          <w:sz w:val="22"/>
        </w:rPr>
        <w:t> </w:t>
      </w:r>
      <w:r>
        <w:rPr>
          <w:sz w:val="22"/>
        </w:rPr>
        <w:t>infrastructure</w:t>
      </w:r>
      <w:r>
        <w:rPr>
          <w:spacing w:val="-16"/>
          <w:sz w:val="22"/>
        </w:rPr>
        <w:t> </w:t>
      </w:r>
      <w:r>
        <w:rPr>
          <w:sz w:val="22"/>
        </w:rPr>
        <w:t>for</w:t>
      </w:r>
      <w:r>
        <w:rPr>
          <w:spacing w:val="-11"/>
          <w:sz w:val="22"/>
        </w:rPr>
        <w:t> </w:t>
      </w:r>
      <w:r>
        <w:rPr>
          <w:sz w:val="22"/>
        </w:rPr>
        <w:t>2024/2025</w:t>
      </w:r>
      <w:r>
        <w:rPr>
          <w:spacing w:val="-14"/>
          <w:sz w:val="22"/>
        </w:rPr>
        <w:t> </w:t>
      </w:r>
      <w:r>
        <w:rPr>
          <w:sz w:val="22"/>
        </w:rPr>
        <w:t>is</w:t>
      </w:r>
      <w:r>
        <w:rPr>
          <w:spacing w:val="-16"/>
          <w:sz w:val="22"/>
        </w:rPr>
        <w:t> </w:t>
      </w:r>
      <w:r>
        <w:rPr>
          <w:sz w:val="22"/>
        </w:rPr>
        <w:t>$30.44</w:t>
      </w:r>
      <w:r>
        <w:rPr>
          <w:spacing w:val="-15"/>
          <w:sz w:val="22"/>
        </w:rPr>
        <w:t> </w:t>
      </w:r>
      <w:r>
        <w:rPr>
          <w:sz w:val="22"/>
        </w:rPr>
        <w:t>million.</w:t>
      </w:r>
      <w:r>
        <w:rPr>
          <w:spacing w:val="-13"/>
          <w:sz w:val="22"/>
        </w:rPr>
        <w:t> </w:t>
      </w:r>
      <w:r>
        <w:rPr>
          <w:sz w:val="22"/>
        </w:rPr>
        <w:t>Council</w:t>
      </w:r>
      <w:r>
        <w:rPr>
          <w:spacing w:val="-16"/>
          <w:sz w:val="22"/>
        </w:rPr>
        <w:t> </w:t>
      </w:r>
      <w:r>
        <w:rPr>
          <w:sz w:val="22"/>
        </w:rPr>
        <w:t>must</w:t>
      </w:r>
      <w:r>
        <w:rPr>
          <w:spacing w:val="-12"/>
          <w:sz w:val="22"/>
        </w:rPr>
        <w:t> </w:t>
      </w:r>
      <w:r>
        <w:rPr>
          <w:sz w:val="22"/>
        </w:rPr>
        <w:t>ensure its capital renewal program at minimum keeps pace with this figure to ensure adequate maintenance of Council’s $2.1 billion infrastructure;</w:t>
      </w:r>
    </w:p>
    <w:p>
      <w:pPr>
        <w:pStyle w:val="ListParagraph"/>
        <w:numPr>
          <w:ilvl w:val="0"/>
          <w:numId w:val="2"/>
        </w:numPr>
        <w:tabs>
          <w:tab w:pos="687" w:val="left" w:leader="none"/>
        </w:tabs>
        <w:spacing w:line="269" w:lineRule="exact" w:before="3" w:after="0"/>
        <w:ind w:left="686" w:right="0" w:hanging="567"/>
        <w:jc w:val="both"/>
        <w:rPr>
          <w:rFonts w:ascii="Symbol" w:hAnsi="Symbol"/>
          <w:sz w:val="22"/>
        </w:rPr>
      </w:pPr>
      <w:r>
        <w:rPr>
          <w:sz w:val="22"/>
        </w:rPr>
        <w:t>Salaries</w:t>
      </w:r>
      <w:r>
        <w:rPr>
          <w:spacing w:val="-7"/>
          <w:sz w:val="22"/>
        </w:rPr>
        <w:t> </w:t>
      </w:r>
      <w:r>
        <w:rPr>
          <w:sz w:val="22"/>
        </w:rPr>
        <w:t>increased</w:t>
      </w:r>
      <w:r>
        <w:rPr>
          <w:spacing w:val="-5"/>
          <w:sz w:val="22"/>
        </w:rPr>
        <w:t> </w:t>
      </w:r>
      <w:r>
        <w:rPr>
          <w:sz w:val="22"/>
        </w:rPr>
        <w:t>in</w:t>
      </w:r>
      <w:r>
        <w:rPr>
          <w:spacing w:val="-6"/>
          <w:sz w:val="22"/>
        </w:rPr>
        <w:t> </w:t>
      </w:r>
      <w:r>
        <w:rPr>
          <w:sz w:val="22"/>
        </w:rPr>
        <w:t>accordance</w:t>
      </w:r>
      <w:r>
        <w:rPr>
          <w:spacing w:val="-4"/>
          <w:sz w:val="22"/>
        </w:rPr>
        <w:t> </w:t>
      </w:r>
      <w:r>
        <w:rPr>
          <w:sz w:val="22"/>
        </w:rPr>
        <w:t>with</w:t>
      </w:r>
      <w:r>
        <w:rPr>
          <w:spacing w:val="-7"/>
          <w:sz w:val="22"/>
        </w:rPr>
        <w:t> </w:t>
      </w:r>
      <w:r>
        <w:rPr>
          <w:sz w:val="22"/>
        </w:rPr>
        <w:t>Council</w:t>
      </w:r>
      <w:r>
        <w:rPr>
          <w:spacing w:val="-4"/>
          <w:sz w:val="22"/>
        </w:rPr>
        <w:t> </w:t>
      </w:r>
      <w:r>
        <w:rPr>
          <w:sz w:val="22"/>
        </w:rPr>
        <w:t>Enterprise</w:t>
      </w:r>
      <w:r>
        <w:rPr>
          <w:spacing w:val="-5"/>
          <w:sz w:val="22"/>
        </w:rPr>
        <w:t> </w:t>
      </w:r>
      <w:r>
        <w:rPr>
          <w:sz w:val="22"/>
        </w:rPr>
        <w:t>Bargaining</w:t>
      </w:r>
      <w:r>
        <w:rPr>
          <w:spacing w:val="-4"/>
          <w:sz w:val="22"/>
        </w:rPr>
        <w:t> </w:t>
      </w:r>
      <w:r>
        <w:rPr>
          <w:spacing w:val="-2"/>
          <w:sz w:val="22"/>
        </w:rPr>
        <w:t>agreement;</w:t>
      </w:r>
    </w:p>
    <w:p>
      <w:pPr>
        <w:pStyle w:val="ListParagraph"/>
        <w:numPr>
          <w:ilvl w:val="0"/>
          <w:numId w:val="2"/>
        </w:numPr>
        <w:tabs>
          <w:tab w:pos="687" w:val="left" w:leader="none"/>
        </w:tabs>
        <w:spacing w:line="237" w:lineRule="auto" w:before="2" w:after="0"/>
        <w:ind w:left="686" w:right="138" w:hanging="567"/>
        <w:jc w:val="both"/>
        <w:rPr>
          <w:rFonts w:ascii="Symbol" w:hAnsi="Symbol"/>
          <w:sz w:val="22"/>
        </w:rPr>
      </w:pPr>
      <w:r>
        <w:rPr>
          <w:sz w:val="22"/>
        </w:rPr>
        <w:t>$0.22 million increase in insurance premiums which represents a 13.38% increase reflecting current market conditions;</w:t>
      </w:r>
    </w:p>
    <w:p>
      <w:pPr>
        <w:spacing w:after="0" w:line="237" w:lineRule="auto"/>
        <w:jc w:val="both"/>
        <w:rPr>
          <w:rFonts w:ascii="Symbol" w:hAnsi="Symbol"/>
          <w:sz w:val="22"/>
        </w:rPr>
        <w:sectPr>
          <w:pgSz w:w="11910" w:h="16840"/>
          <w:pgMar w:header="0" w:footer="693" w:top="640" w:bottom="880" w:left="600" w:right="580"/>
        </w:sectPr>
      </w:pPr>
    </w:p>
    <w:p>
      <w:pPr>
        <w:pStyle w:val="ListParagraph"/>
        <w:numPr>
          <w:ilvl w:val="0"/>
          <w:numId w:val="2"/>
        </w:numPr>
        <w:tabs>
          <w:tab w:pos="687" w:val="left" w:leader="none"/>
        </w:tabs>
        <w:spacing w:line="237" w:lineRule="auto" w:before="86" w:after="0"/>
        <w:ind w:left="686" w:right="140" w:hanging="567"/>
        <w:jc w:val="both"/>
        <w:rPr>
          <w:rFonts w:ascii="Symbol" w:hAnsi="Symbol"/>
          <w:sz w:val="22"/>
        </w:rPr>
      </w:pPr>
      <w:r>
        <w:rPr>
          <w:sz w:val="22"/>
        </w:rPr>
        <w:t>Continued objective of meeting financial sustainability objectives and targets, such as the underlying result, liquidity, indebtedness, and renewal/upgrade ratios;</w:t>
      </w:r>
    </w:p>
    <w:p>
      <w:pPr>
        <w:pStyle w:val="ListParagraph"/>
        <w:numPr>
          <w:ilvl w:val="0"/>
          <w:numId w:val="2"/>
        </w:numPr>
        <w:tabs>
          <w:tab w:pos="687" w:val="left" w:leader="none"/>
        </w:tabs>
        <w:spacing w:line="240" w:lineRule="auto" w:before="1" w:after="0"/>
        <w:ind w:left="686" w:right="137" w:hanging="567"/>
        <w:jc w:val="both"/>
        <w:rPr>
          <w:rFonts w:ascii="Symbol" w:hAnsi="Symbol"/>
          <w:sz w:val="22"/>
        </w:rPr>
      </w:pPr>
      <w:r>
        <w:rPr>
          <w:sz w:val="22"/>
        </w:rPr>
        <w:t>The</w:t>
      </w:r>
      <w:r>
        <w:rPr>
          <w:spacing w:val="-7"/>
          <w:sz w:val="22"/>
        </w:rPr>
        <w:t> </w:t>
      </w:r>
      <w:r>
        <w:rPr>
          <w:sz w:val="22"/>
        </w:rPr>
        <w:t>inclusion</w:t>
      </w:r>
      <w:r>
        <w:rPr>
          <w:spacing w:val="-9"/>
          <w:sz w:val="22"/>
        </w:rPr>
        <w:t> </w:t>
      </w:r>
      <w:r>
        <w:rPr>
          <w:sz w:val="22"/>
        </w:rPr>
        <w:t>of</w:t>
      </w:r>
      <w:r>
        <w:rPr>
          <w:spacing w:val="-9"/>
          <w:sz w:val="22"/>
        </w:rPr>
        <w:t> </w:t>
      </w:r>
      <w:r>
        <w:rPr>
          <w:sz w:val="22"/>
        </w:rPr>
        <w:t>40</w:t>
      </w:r>
      <w:r>
        <w:rPr>
          <w:spacing w:val="-7"/>
          <w:sz w:val="22"/>
        </w:rPr>
        <w:t> </w:t>
      </w:r>
      <w:r>
        <w:rPr>
          <w:sz w:val="22"/>
        </w:rPr>
        <w:t>Council</w:t>
      </w:r>
      <w:r>
        <w:rPr>
          <w:spacing w:val="-9"/>
          <w:sz w:val="22"/>
        </w:rPr>
        <w:t> </w:t>
      </w:r>
      <w:r>
        <w:rPr>
          <w:sz w:val="22"/>
        </w:rPr>
        <w:t>Plan</w:t>
      </w:r>
      <w:r>
        <w:rPr>
          <w:spacing w:val="-6"/>
          <w:sz w:val="22"/>
        </w:rPr>
        <w:t> </w:t>
      </w:r>
      <w:r>
        <w:rPr>
          <w:sz w:val="22"/>
        </w:rPr>
        <w:t>Priority</w:t>
      </w:r>
      <w:r>
        <w:rPr>
          <w:spacing w:val="-7"/>
          <w:sz w:val="22"/>
        </w:rPr>
        <w:t> </w:t>
      </w:r>
      <w:r>
        <w:rPr>
          <w:sz w:val="22"/>
        </w:rPr>
        <w:t>Actions</w:t>
      </w:r>
      <w:r>
        <w:rPr>
          <w:spacing w:val="-9"/>
          <w:sz w:val="22"/>
        </w:rPr>
        <w:t> </w:t>
      </w:r>
      <w:r>
        <w:rPr>
          <w:sz w:val="22"/>
        </w:rPr>
        <w:t>(Major</w:t>
      </w:r>
      <w:r>
        <w:rPr>
          <w:spacing w:val="-6"/>
          <w:sz w:val="22"/>
        </w:rPr>
        <w:t> </w:t>
      </w:r>
      <w:r>
        <w:rPr>
          <w:sz w:val="22"/>
        </w:rPr>
        <w:t>initiatives)</w:t>
      </w:r>
      <w:r>
        <w:rPr>
          <w:spacing w:val="-8"/>
          <w:sz w:val="22"/>
        </w:rPr>
        <w:t> </w:t>
      </w:r>
      <w:r>
        <w:rPr>
          <w:sz w:val="22"/>
        </w:rPr>
        <w:t>that</w:t>
      </w:r>
      <w:r>
        <w:rPr>
          <w:spacing w:val="-9"/>
          <w:sz w:val="22"/>
        </w:rPr>
        <w:t> </w:t>
      </w:r>
      <w:r>
        <w:rPr>
          <w:sz w:val="22"/>
        </w:rPr>
        <w:t>will</w:t>
      </w:r>
      <w:r>
        <w:rPr>
          <w:spacing w:val="-7"/>
          <w:sz w:val="22"/>
        </w:rPr>
        <w:t> </w:t>
      </w:r>
      <w:r>
        <w:rPr>
          <w:sz w:val="22"/>
        </w:rPr>
        <w:t>be</w:t>
      </w:r>
      <w:r>
        <w:rPr>
          <w:spacing w:val="-6"/>
          <w:sz w:val="22"/>
        </w:rPr>
        <w:t> </w:t>
      </w:r>
      <w:r>
        <w:rPr>
          <w:sz w:val="22"/>
        </w:rPr>
        <w:t>undertaken</w:t>
      </w:r>
      <w:r>
        <w:rPr>
          <w:spacing w:val="-7"/>
          <w:sz w:val="22"/>
        </w:rPr>
        <w:t> </w:t>
      </w:r>
      <w:r>
        <w:rPr>
          <w:sz w:val="22"/>
        </w:rPr>
        <w:t>by</w:t>
      </w:r>
      <w:r>
        <w:rPr>
          <w:spacing w:val="-7"/>
          <w:sz w:val="22"/>
        </w:rPr>
        <w:t> </w:t>
      </w:r>
      <w:r>
        <w:rPr>
          <w:sz w:val="22"/>
        </w:rPr>
        <w:t>Council</w:t>
      </w:r>
      <w:r>
        <w:rPr>
          <w:spacing w:val="-10"/>
          <w:sz w:val="22"/>
        </w:rPr>
        <w:t> </w:t>
      </w:r>
      <w:r>
        <w:rPr>
          <w:sz w:val="22"/>
        </w:rPr>
        <w:t>in 2024/2025 that will contribute to the achievement of preferred community outcomes outlined in Maroondah 2040: </w:t>
      </w:r>
      <w:r>
        <w:rPr>
          <w:i/>
          <w:sz w:val="22"/>
        </w:rPr>
        <w:t>Our future together</w:t>
      </w:r>
      <w:r>
        <w:rPr>
          <w:sz w:val="22"/>
        </w:rPr>
        <w:t>. For a full list of all initiatives refer to Section 2.</w:t>
      </w:r>
    </w:p>
    <w:p>
      <w:pPr>
        <w:pStyle w:val="Heading2"/>
        <w:spacing w:before="198"/>
        <w:ind w:left="120"/>
        <w:jc w:val="both"/>
      </w:pPr>
      <w:bookmarkStart w:name="_TOC_250008" w:id="5"/>
      <w:r>
        <w:rPr>
          <w:color w:val="4966AC"/>
        </w:rPr>
        <w:t>Budget</w:t>
      </w:r>
      <w:bookmarkEnd w:id="5"/>
      <w:r>
        <w:rPr>
          <w:color w:val="4966AC"/>
          <w:spacing w:val="-2"/>
        </w:rPr>
        <w:t> Principles</w:t>
      </w:r>
    </w:p>
    <w:p>
      <w:pPr>
        <w:pStyle w:val="BodyText"/>
        <w:spacing w:before="250"/>
        <w:ind w:left="120" w:right="134"/>
        <w:jc w:val="both"/>
      </w:pPr>
      <w:r>
        <w:rPr/>
        <w:t>In response to these influences, guidelines were prepared and distributed to all Council employees with budget</w:t>
      </w:r>
      <w:r>
        <w:rPr>
          <w:spacing w:val="-1"/>
        </w:rPr>
        <w:t> </w:t>
      </w:r>
      <w:r>
        <w:rPr/>
        <w:t>responsibilities. The</w:t>
      </w:r>
      <w:r>
        <w:rPr>
          <w:spacing w:val="-1"/>
        </w:rPr>
        <w:t> </w:t>
      </w:r>
      <w:r>
        <w:rPr/>
        <w:t>guidelines set out</w:t>
      </w:r>
      <w:r>
        <w:rPr>
          <w:spacing w:val="-2"/>
        </w:rPr>
        <w:t> </w:t>
      </w:r>
      <w:r>
        <w:rPr/>
        <w:t>the</w:t>
      </w:r>
      <w:r>
        <w:rPr>
          <w:spacing w:val="-2"/>
        </w:rPr>
        <w:t> </w:t>
      </w:r>
      <w:r>
        <w:rPr/>
        <w:t>key</w:t>
      </w:r>
      <w:r>
        <w:rPr>
          <w:spacing w:val="-1"/>
        </w:rPr>
        <w:t> </w:t>
      </w:r>
      <w:r>
        <w:rPr/>
        <w:t>budget</w:t>
      </w:r>
      <w:r>
        <w:rPr>
          <w:spacing w:val="-2"/>
        </w:rPr>
        <w:t> </w:t>
      </w:r>
      <w:r>
        <w:rPr/>
        <w:t>principles upon</w:t>
      </w:r>
      <w:r>
        <w:rPr>
          <w:spacing w:val="-1"/>
        </w:rPr>
        <w:t> </w:t>
      </w:r>
      <w:r>
        <w:rPr/>
        <w:t>which the</w:t>
      </w:r>
      <w:r>
        <w:rPr>
          <w:spacing w:val="-2"/>
        </w:rPr>
        <w:t> </w:t>
      </w:r>
      <w:r>
        <w:rPr/>
        <w:t>employees</w:t>
      </w:r>
      <w:r>
        <w:rPr>
          <w:spacing w:val="-4"/>
        </w:rPr>
        <w:t> </w:t>
      </w:r>
      <w:r>
        <w:rPr/>
        <w:t>prepare their budgets.</w:t>
      </w:r>
    </w:p>
    <w:p>
      <w:pPr>
        <w:pStyle w:val="BodyText"/>
        <w:spacing w:before="1"/>
      </w:pPr>
    </w:p>
    <w:p>
      <w:pPr>
        <w:pStyle w:val="BodyText"/>
        <w:ind w:left="120"/>
        <w:jc w:val="both"/>
      </w:pPr>
      <w:r>
        <w:rPr/>
        <w:t>The</w:t>
      </w:r>
      <w:r>
        <w:rPr>
          <w:spacing w:val="-4"/>
        </w:rPr>
        <w:t> </w:t>
      </w:r>
      <w:r>
        <w:rPr/>
        <w:t>principles</w:t>
      </w:r>
      <w:r>
        <w:rPr>
          <w:spacing w:val="-3"/>
        </w:rPr>
        <w:t> </w:t>
      </w:r>
      <w:r>
        <w:rPr>
          <w:spacing w:val="-2"/>
        </w:rPr>
        <w:t>included:</w:t>
      </w:r>
    </w:p>
    <w:p>
      <w:pPr>
        <w:pStyle w:val="ListParagraph"/>
        <w:numPr>
          <w:ilvl w:val="0"/>
          <w:numId w:val="2"/>
        </w:numPr>
        <w:tabs>
          <w:tab w:pos="687" w:val="left" w:leader="none"/>
        </w:tabs>
        <w:spacing w:line="237" w:lineRule="auto" w:before="4" w:after="0"/>
        <w:ind w:left="686" w:right="138" w:hanging="567"/>
        <w:jc w:val="both"/>
        <w:rPr>
          <w:rFonts w:ascii="Symbol" w:hAnsi="Symbol"/>
          <w:sz w:val="22"/>
        </w:rPr>
      </w:pPr>
      <w:r>
        <w:rPr>
          <w:sz w:val="22"/>
        </w:rPr>
        <w:t>The outcomes of Councils’ Financial Plan will drive the 2024/2025 budget process. The primary direction for</w:t>
      </w:r>
      <w:r>
        <w:rPr>
          <w:spacing w:val="-1"/>
          <w:sz w:val="22"/>
        </w:rPr>
        <w:t> </w:t>
      </w:r>
      <w:r>
        <w:rPr>
          <w:sz w:val="22"/>
        </w:rPr>
        <w:t>the Budget is to ensure Council’s continued long-term financial sustainability and that the requirements of the State Government in relation to Rate Capping are met;</w:t>
      </w:r>
    </w:p>
    <w:p>
      <w:pPr>
        <w:pStyle w:val="ListParagraph"/>
        <w:numPr>
          <w:ilvl w:val="0"/>
          <w:numId w:val="2"/>
        </w:numPr>
        <w:tabs>
          <w:tab w:pos="687" w:val="left" w:leader="none"/>
        </w:tabs>
        <w:spacing w:line="237" w:lineRule="auto" w:before="5" w:after="0"/>
        <w:ind w:left="686" w:right="135" w:hanging="567"/>
        <w:jc w:val="both"/>
        <w:rPr>
          <w:rFonts w:ascii="Symbol" w:hAnsi="Symbol"/>
          <w:sz w:val="22"/>
        </w:rPr>
      </w:pPr>
      <w:r>
        <w:rPr>
          <w:sz w:val="22"/>
        </w:rPr>
        <w:t>Service levels to be maintained at 2023/2024 levels with the aim to use fewer resources with an emphasis on innovation, productivity, and efficiency enhancements;</w:t>
      </w:r>
    </w:p>
    <w:p>
      <w:pPr>
        <w:pStyle w:val="ListParagraph"/>
        <w:numPr>
          <w:ilvl w:val="0"/>
          <w:numId w:val="2"/>
        </w:numPr>
        <w:tabs>
          <w:tab w:pos="686" w:val="left" w:leader="none"/>
          <w:tab w:pos="687" w:val="left" w:leader="none"/>
        </w:tabs>
        <w:spacing w:line="269" w:lineRule="exact" w:before="1" w:after="0"/>
        <w:ind w:left="686" w:right="0" w:hanging="567"/>
        <w:jc w:val="left"/>
        <w:rPr>
          <w:rFonts w:ascii="Symbol" w:hAnsi="Symbol"/>
          <w:sz w:val="22"/>
        </w:rPr>
      </w:pPr>
      <w:r>
        <w:rPr>
          <w:sz w:val="22"/>
        </w:rPr>
        <w:t>Grants</w:t>
      </w:r>
      <w:r>
        <w:rPr>
          <w:spacing w:val="-4"/>
          <w:sz w:val="22"/>
        </w:rPr>
        <w:t> </w:t>
      </w:r>
      <w:r>
        <w:rPr>
          <w:sz w:val="22"/>
        </w:rPr>
        <w:t>to</w:t>
      </w:r>
      <w:r>
        <w:rPr>
          <w:spacing w:val="-5"/>
          <w:sz w:val="22"/>
        </w:rPr>
        <w:t> </w:t>
      </w:r>
      <w:r>
        <w:rPr>
          <w:sz w:val="22"/>
        </w:rPr>
        <w:t>be</w:t>
      </w:r>
      <w:r>
        <w:rPr>
          <w:spacing w:val="-2"/>
          <w:sz w:val="22"/>
        </w:rPr>
        <w:t> </w:t>
      </w:r>
      <w:r>
        <w:rPr>
          <w:sz w:val="22"/>
        </w:rPr>
        <w:t>based</w:t>
      </w:r>
      <w:r>
        <w:rPr>
          <w:spacing w:val="-3"/>
          <w:sz w:val="22"/>
        </w:rPr>
        <w:t> </w:t>
      </w:r>
      <w:r>
        <w:rPr>
          <w:sz w:val="22"/>
        </w:rPr>
        <w:t>on</w:t>
      </w:r>
      <w:r>
        <w:rPr>
          <w:spacing w:val="-4"/>
          <w:sz w:val="22"/>
        </w:rPr>
        <w:t> </w:t>
      </w:r>
      <w:r>
        <w:rPr>
          <w:sz w:val="22"/>
        </w:rPr>
        <w:t>confirmed</w:t>
      </w:r>
      <w:r>
        <w:rPr>
          <w:spacing w:val="-4"/>
          <w:sz w:val="22"/>
        </w:rPr>
        <w:t> </w:t>
      </w:r>
      <w:r>
        <w:rPr>
          <w:sz w:val="22"/>
        </w:rPr>
        <w:t>funding</w:t>
      </w:r>
      <w:r>
        <w:rPr>
          <w:spacing w:val="-3"/>
          <w:sz w:val="22"/>
        </w:rPr>
        <w:t> </w:t>
      </w:r>
      <w:r>
        <w:rPr>
          <w:spacing w:val="-2"/>
          <w:sz w:val="22"/>
        </w:rPr>
        <w:t>levels;</w:t>
      </w:r>
    </w:p>
    <w:p>
      <w:pPr>
        <w:pStyle w:val="ListParagraph"/>
        <w:numPr>
          <w:ilvl w:val="0"/>
          <w:numId w:val="2"/>
        </w:numPr>
        <w:tabs>
          <w:tab w:pos="686" w:val="left" w:leader="none"/>
          <w:tab w:pos="687" w:val="left" w:leader="none"/>
        </w:tabs>
        <w:spacing w:line="268" w:lineRule="exact" w:before="0" w:after="0"/>
        <w:ind w:left="686" w:right="0" w:hanging="567"/>
        <w:jc w:val="left"/>
        <w:rPr>
          <w:rFonts w:ascii="Symbol" w:hAnsi="Symbol"/>
          <w:sz w:val="22"/>
        </w:rPr>
      </w:pPr>
      <w:r>
        <w:rPr>
          <w:sz w:val="22"/>
        </w:rPr>
        <w:t>New</w:t>
      </w:r>
      <w:r>
        <w:rPr>
          <w:spacing w:val="-5"/>
          <w:sz w:val="22"/>
        </w:rPr>
        <w:t> </w:t>
      </w:r>
      <w:r>
        <w:rPr>
          <w:sz w:val="22"/>
        </w:rPr>
        <w:t>initiatives</w:t>
      </w:r>
      <w:r>
        <w:rPr>
          <w:spacing w:val="-2"/>
          <w:sz w:val="22"/>
        </w:rPr>
        <w:t> </w:t>
      </w:r>
      <w:r>
        <w:rPr>
          <w:sz w:val="22"/>
        </w:rPr>
        <w:t>which are</w:t>
      </w:r>
      <w:r>
        <w:rPr>
          <w:spacing w:val="-6"/>
          <w:sz w:val="22"/>
        </w:rPr>
        <w:t> </w:t>
      </w:r>
      <w:r>
        <w:rPr>
          <w:sz w:val="22"/>
        </w:rPr>
        <w:t>not</w:t>
      </w:r>
      <w:r>
        <w:rPr>
          <w:spacing w:val="-1"/>
          <w:sz w:val="22"/>
        </w:rPr>
        <w:t> </w:t>
      </w:r>
      <w:r>
        <w:rPr>
          <w:sz w:val="22"/>
        </w:rPr>
        <w:t>cost</w:t>
      </w:r>
      <w:r>
        <w:rPr>
          <w:spacing w:val="-5"/>
          <w:sz w:val="22"/>
        </w:rPr>
        <w:t> </w:t>
      </w:r>
      <w:r>
        <w:rPr>
          <w:sz w:val="22"/>
        </w:rPr>
        <w:t>neutral</w:t>
      </w:r>
      <w:r>
        <w:rPr>
          <w:spacing w:val="-4"/>
          <w:sz w:val="22"/>
        </w:rPr>
        <w:t> </w:t>
      </w:r>
      <w:r>
        <w:rPr>
          <w:sz w:val="22"/>
        </w:rPr>
        <w:t>to be</w:t>
      </w:r>
      <w:r>
        <w:rPr>
          <w:spacing w:val="-8"/>
          <w:sz w:val="22"/>
        </w:rPr>
        <w:t> </w:t>
      </w:r>
      <w:r>
        <w:rPr>
          <w:sz w:val="22"/>
        </w:rPr>
        <w:t>justified</w:t>
      </w:r>
      <w:r>
        <w:rPr>
          <w:spacing w:val="-4"/>
          <w:sz w:val="22"/>
        </w:rPr>
        <w:t> </w:t>
      </w:r>
      <w:r>
        <w:rPr>
          <w:sz w:val="22"/>
        </w:rPr>
        <w:t>through</w:t>
      </w:r>
      <w:r>
        <w:rPr>
          <w:spacing w:val="-3"/>
          <w:sz w:val="22"/>
        </w:rPr>
        <w:t> </w:t>
      </w:r>
      <w:r>
        <w:rPr>
          <w:sz w:val="22"/>
        </w:rPr>
        <w:t>a</w:t>
      </w:r>
      <w:r>
        <w:rPr>
          <w:spacing w:val="-4"/>
          <w:sz w:val="22"/>
        </w:rPr>
        <w:t> </w:t>
      </w:r>
      <w:r>
        <w:rPr>
          <w:sz w:val="22"/>
        </w:rPr>
        <w:t>business</w:t>
      </w:r>
      <w:r>
        <w:rPr>
          <w:spacing w:val="-2"/>
          <w:sz w:val="22"/>
        </w:rPr>
        <w:t> case;</w:t>
      </w:r>
    </w:p>
    <w:p>
      <w:pPr>
        <w:pStyle w:val="ListParagraph"/>
        <w:numPr>
          <w:ilvl w:val="0"/>
          <w:numId w:val="2"/>
        </w:numPr>
        <w:tabs>
          <w:tab w:pos="686" w:val="left" w:leader="none"/>
          <w:tab w:pos="687" w:val="left" w:leader="none"/>
        </w:tabs>
        <w:spacing w:line="266" w:lineRule="exact" w:before="0" w:after="0"/>
        <w:ind w:left="686" w:right="0" w:hanging="567"/>
        <w:jc w:val="left"/>
        <w:rPr>
          <w:rFonts w:ascii="Symbol" w:hAnsi="Symbol"/>
          <w:sz w:val="22"/>
        </w:rPr>
      </w:pPr>
      <w:r>
        <w:rPr>
          <w:sz w:val="22"/>
        </w:rPr>
        <w:t>Existing</w:t>
      </w:r>
      <w:r>
        <w:rPr>
          <w:spacing w:val="-5"/>
          <w:sz w:val="22"/>
        </w:rPr>
        <w:t> </w:t>
      </w:r>
      <w:r>
        <w:rPr>
          <w:sz w:val="22"/>
        </w:rPr>
        <w:t>fees</w:t>
      </w:r>
      <w:r>
        <w:rPr>
          <w:spacing w:val="-5"/>
          <w:sz w:val="22"/>
        </w:rPr>
        <w:t> </w:t>
      </w:r>
      <w:r>
        <w:rPr>
          <w:sz w:val="22"/>
        </w:rPr>
        <w:t>and</w:t>
      </w:r>
      <w:r>
        <w:rPr>
          <w:spacing w:val="-5"/>
          <w:sz w:val="22"/>
        </w:rPr>
        <w:t> </w:t>
      </w:r>
      <w:r>
        <w:rPr>
          <w:sz w:val="22"/>
        </w:rPr>
        <w:t>charges</w:t>
      </w:r>
      <w:r>
        <w:rPr>
          <w:spacing w:val="-2"/>
          <w:sz w:val="22"/>
        </w:rPr>
        <w:t> </w:t>
      </w:r>
      <w:r>
        <w:rPr>
          <w:sz w:val="22"/>
        </w:rPr>
        <w:t>to</w:t>
      </w:r>
      <w:r>
        <w:rPr>
          <w:spacing w:val="-5"/>
          <w:sz w:val="22"/>
        </w:rPr>
        <w:t> </w:t>
      </w:r>
      <w:r>
        <w:rPr>
          <w:sz w:val="22"/>
        </w:rPr>
        <w:t>be</w:t>
      </w:r>
      <w:r>
        <w:rPr>
          <w:spacing w:val="-3"/>
          <w:sz w:val="22"/>
        </w:rPr>
        <w:t> </w:t>
      </w:r>
      <w:r>
        <w:rPr>
          <w:sz w:val="22"/>
        </w:rPr>
        <w:t>increased</w:t>
      </w:r>
      <w:r>
        <w:rPr>
          <w:spacing w:val="-1"/>
          <w:sz w:val="22"/>
        </w:rPr>
        <w:t> </w:t>
      </w:r>
      <w:r>
        <w:rPr>
          <w:sz w:val="22"/>
        </w:rPr>
        <w:t>at</w:t>
      </w:r>
      <w:r>
        <w:rPr>
          <w:spacing w:val="-3"/>
          <w:sz w:val="22"/>
        </w:rPr>
        <w:t> </w:t>
      </w:r>
      <w:r>
        <w:rPr>
          <w:sz w:val="22"/>
        </w:rPr>
        <w:t>market</w:t>
      </w:r>
      <w:r>
        <w:rPr>
          <w:spacing w:val="-1"/>
          <w:sz w:val="22"/>
        </w:rPr>
        <w:t> </w:t>
      </w:r>
      <w:r>
        <w:rPr>
          <w:sz w:val="22"/>
        </w:rPr>
        <w:t>levels</w:t>
      </w:r>
      <w:r>
        <w:rPr>
          <w:spacing w:val="-5"/>
          <w:sz w:val="22"/>
        </w:rPr>
        <w:t> </w:t>
      </w:r>
      <w:r>
        <w:rPr>
          <w:sz w:val="22"/>
        </w:rPr>
        <w:t>for</w:t>
      </w:r>
      <w:r>
        <w:rPr>
          <w:spacing w:val="-2"/>
          <w:sz w:val="22"/>
        </w:rPr>
        <w:t> </w:t>
      </w:r>
      <w:r>
        <w:rPr>
          <w:sz w:val="22"/>
        </w:rPr>
        <w:t>unit</w:t>
      </w:r>
      <w:r>
        <w:rPr>
          <w:spacing w:val="-5"/>
          <w:sz w:val="22"/>
        </w:rPr>
        <w:t> </w:t>
      </w:r>
      <w:r>
        <w:rPr>
          <w:sz w:val="22"/>
        </w:rPr>
        <w:t>costs</w:t>
      </w:r>
      <w:r>
        <w:rPr>
          <w:spacing w:val="-1"/>
          <w:sz w:val="22"/>
        </w:rPr>
        <w:t> </w:t>
      </w:r>
      <w:r>
        <w:rPr>
          <w:sz w:val="22"/>
        </w:rPr>
        <w:t>and</w:t>
      </w:r>
      <w:r>
        <w:rPr>
          <w:spacing w:val="-2"/>
          <w:sz w:val="22"/>
        </w:rPr>
        <w:t> volume;</w:t>
      </w:r>
    </w:p>
    <w:p>
      <w:pPr>
        <w:pStyle w:val="ListParagraph"/>
        <w:numPr>
          <w:ilvl w:val="0"/>
          <w:numId w:val="2"/>
        </w:numPr>
        <w:tabs>
          <w:tab w:pos="686" w:val="left" w:leader="none"/>
          <w:tab w:pos="687" w:val="left" w:leader="none"/>
        </w:tabs>
        <w:spacing w:line="279" w:lineRule="exact" w:before="0" w:after="0"/>
        <w:ind w:left="686" w:right="0" w:hanging="567"/>
        <w:jc w:val="left"/>
        <w:rPr>
          <w:rFonts w:ascii="Symbol" w:hAnsi="Symbol"/>
          <w:sz w:val="22"/>
        </w:rPr>
      </w:pPr>
      <w:r>
        <w:rPr>
          <w:sz w:val="22"/>
        </w:rPr>
        <w:t>New</w:t>
      </w:r>
      <w:r>
        <w:rPr>
          <w:spacing w:val="-3"/>
          <w:sz w:val="22"/>
        </w:rPr>
        <w:t> </w:t>
      </w:r>
      <w:r>
        <w:rPr>
          <w:sz w:val="22"/>
        </w:rPr>
        <w:t>revenue</w:t>
      </w:r>
      <w:r>
        <w:rPr>
          <w:spacing w:val="-5"/>
          <w:sz w:val="22"/>
        </w:rPr>
        <w:t> </w:t>
      </w:r>
      <w:r>
        <w:rPr>
          <w:sz w:val="22"/>
        </w:rPr>
        <w:t>sources</w:t>
      </w:r>
      <w:r>
        <w:rPr>
          <w:spacing w:val="-5"/>
          <w:sz w:val="22"/>
        </w:rPr>
        <w:t> </w:t>
      </w:r>
      <w:r>
        <w:rPr>
          <w:sz w:val="22"/>
        </w:rPr>
        <w:t>such</w:t>
      </w:r>
      <w:r>
        <w:rPr>
          <w:spacing w:val="-2"/>
          <w:sz w:val="22"/>
        </w:rPr>
        <w:t> </w:t>
      </w:r>
      <w:r>
        <w:rPr>
          <w:sz w:val="22"/>
        </w:rPr>
        <w:t>as</w:t>
      </w:r>
      <w:r>
        <w:rPr>
          <w:spacing w:val="-3"/>
          <w:sz w:val="22"/>
        </w:rPr>
        <w:t> </w:t>
      </w:r>
      <w:r>
        <w:rPr>
          <w:sz w:val="22"/>
        </w:rPr>
        <w:t>partnerships</w:t>
      </w:r>
      <w:r>
        <w:rPr>
          <w:spacing w:val="-3"/>
          <w:sz w:val="22"/>
        </w:rPr>
        <w:t> </w:t>
      </w:r>
      <w:r>
        <w:rPr>
          <w:sz w:val="22"/>
        </w:rPr>
        <w:t>and</w:t>
      </w:r>
      <w:r>
        <w:rPr>
          <w:spacing w:val="-3"/>
          <w:sz w:val="22"/>
        </w:rPr>
        <w:t> </w:t>
      </w:r>
      <w:r>
        <w:rPr>
          <w:sz w:val="22"/>
        </w:rPr>
        <w:t>shared</w:t>
      </w:r>
      <w:r>
        <w:rPr>
          <w:spacing w:val="-3"/>
          <w:sz w:val="22"/>
        </w:rPr>
        <w:t> </w:t>
      </w:r>
      <w:r>
        <w:rPr>
          <w:sz w:val="22"/>
        </w:rPr>
        <w:t>services</w:t>
      </w:r>
      <w:r>
        <w:rPr>
          <w:spacing w:val="-5"/>
          <w:sz w:val="22"/>
        </w:rPr>
        <w:t> </w:t>
      </w:r>
      <w:r>
        <w:rPr>
          <w:sz w:val="22"/>
        </w:rPr>
        <w:t>to</w:t>
      </w:r>
      <w:r>
        <w:rPr>
          <w:spacing w:val="-5"/>
          <w:sz w:val="22"/>
        </w:rPr>
        <w:t> </w:t>
      </w:r>
      <w:r>
        <w:rPr>
          <w:sz w:val="22"/>
        </w:rPr>
        <w:t>be</w:t>
      </w:r>
      <w:r>
        <w:rPr>
          <w:spacing w:val="-5"/>
          <w:sz w:val="22"/>
        </w:rPr>
        <w:t> </w:t>
      </w:r>
      <w:r>
        <w:rPr>
          <w:sz w:val="22"/>
        </w:rPr>
        <w:t>identified</w:t>
      </w:r>
      <w:r>
        <w:rPr>
          <w:spacing w:val="-3"/>
          <w:sz w:val="22"/>
        </w:rPr>
        <w:t> </w:t>
      </w:r>
      <w:r>
        <w:rPr>
          <w:sz w:val="22"/>
        </w:rPr>
        <w:t>where</w:t>
      </w:r>
      <w:r>
        <w:rPr>
          <w:spacing w:val="-7"/>
          <w:sz w:val="22"/>
        </w:rPr>
        <w:t> </w:t>
      </w:r>
      <w:r>
        <w:rPr>
          <w:sz w:val="22"/>
        </w:rPr>
        <w:t>possible;</w:t>
      </w:r>
      <w:r>
        <w:rPr>
          <w:spacing w:val="-12"/>
          <w:sz w:val="22"/>
        </w:rPr>
        <w:t> </w:t>
      </w:r>
      <w:r>
        <w:rPr>
          <w:rFonts w:ascii="Calibri" w:hAnsi="Calibri"/>
          <w:spacing w:val="-5"/>
          <w:sz w:val="22"/>
        </w:rPr>
        <w:t>and</w:t>
      </w:r>
    </w:p>
    <w:p>
      <w:pPr>
        <w:pStyle w:val="ListParagraph"/>
        <w:numPr>
          <w:ilvl w:val="0"/>
          <w:numId w:val="2"/>
        </w:numPr>
        <w:tabs>
          <w:tab w:pos="686" w:val="left" w:leader="none"/>
          <w:tab w:pos="687" w:val="left" w:leader="none"/>
        </w:tabs>
        <w:spacing w:line="240" w:lineRule="auto" w:before="3" w:after="0"/>
        <w:ind w:left="686" w:right="0" w:hanging="567"/>
        <w:jc w:val="left"/>
        <w:rPr>
          <w:rFonts w:ascii="Symbol" w:hAnsi="Symbol"/>
          <w:sz w:val="22"/>
        </w:rPr>
      </w:pPr>
      <w:r>
        <w:rPr>
          <w:sz w:val="22"/>
        </w:rPr>
        <w:t>Operating</w:t>
      </w:r>
      <w:r>
        <w:rPr>
          <w:spacing w:val="-5"/>
          <w:sz w:val="22"/>
        </w:rPr>
        <w:t> </w:t>
      </w:r>
      <w:r>
        <w:rPr>
          <w:sz w:val="22"/>
        </w:rPr>
        <w:t>revenue</w:t>
      </w:r>
      <w:r>
        <w:rPr>
          <w:spacing w:val="-4"/>
          <w:sz w:val="22"/>
        </w:rPr>
        <w:t> </w:t>
      </w:r>
      <w:r>
        <w:rPr>
          <w:sz w:val="22"/>
        </w:rPr>
        <w:t>and</w:t>
      </w:r>
      <w:r>
        <w:rPr>
          <w:spacing w:val="-7"/>
          <w:sz w:val="22"/>
        </w:rPr>
        <w:t> </w:t>
      </w:r>
      <w:r>
        <w:rPr>
          <w:sz w:val="22"/>
        </w:rPr>
        <w:t>expenses</w:t>
      </w:r>
      <w:r>
        <w:rPr>
          <w:spacing w:val="-2"/>
          <w:sz w:val="22"/>
        </w:rPr>
        <w:t> </w:t>
      </w:r>
      <w:r>
        <w:rPr>
          <w:sz w:val="22"/>
        </w:rPr>
        <w:t>arising</w:t>
      </w:r>
      <w:r>
        <w:rPr>
          <w:spacing w:val="-4"/>
          <w:sz w:val="22"/>
        </w:rPr>
        <w:t> </w:t>
      </w:r>
      <w:r>
        <w:rPr>
          <w:sz w:val="22"/>
        </w:rPr>
        <w:t>from</w:t>
      </w:r>
      <w:r>
        <w:rPr>
          <w:spacing w:val="-5"/>
          <w:sz w:val="22"/>
        </w:rPr>
        <w:t> </w:t>
      </w:r>
      <w:r>
        <w:rPr>
          <w:sz w:val="22"/>
        </w:rPr>
        <w:t>completed</w:t>
      </w:r>
      <w:r>
        <w:rPr>
          <w:spacing w:val="-3"/>
          <w:sz w:val="22"/>
        </w:rPr>
        <w:t> </w:t>
      </w:r>
      <w:r>
        <w:rPr>
          <w:sz w:val="22"/>
        </w:rPr>
        <w:t>2023/2024</w:t>
      </w:r>
      <w:r>
        <w:rPr>
          <w:spacing w:val="-6"/>
          <w:sz w:val="22"/>
        </w:rPr>
        <w:t> </w:t>
      </w:r>
      <w:r>
        <w:rPr>
          <w:sz w:val="22"/>
        </w:rPr>
        <w:t>capital</w:t>
      </w:r>
      <w:r>
        <w:rPr>
          <w:spacing w:val="-5"/>
          <w:sz w:val="22"/>
        </w:rPr>
        <w:t> </w:t>
      </w:r>
      <w:r>
        <w:rPr>
          <w:sz w:val="22"/>
        </w:rPr>
        <w:t>projects</w:t>
      </w:r>
      <w:r>
        <w:rPr>
          <w:spacing w:val="-4"/>
          <w:sz w:val="22"/>
        </w:rPr>
        <w:t> </w:t>
      </w:r>
      <w:r>
        <w:rPr>
          <w:sz w:val="22"/>
        </w:rPr>
        <w:t>to</w:t>
      </w:r>
      <w:r>
        <w:rPr>
          <w:spacing w:val="-6"/>
          <w:sz w:val="22"/>
        </w:rPr>
        <w:t> </w:t>
      </w:r>
      <w:r>
        <w:rPr>
          <w:sz w:val="22"/>
        </w:rPr>
        <w:t>be</w:t>
      </w:r>
      <w:r>
        <w:rPr>
          <w:spacing w:val="-4"/>
          <w:sz w:val="22"/>
        </w:rPr>
        <w:t> </w:t>
      </w:r>
      <w:r>
        <w:rPr>
          <w:spacing w:val="-2"/>
          <w:sz w:val="22"/>
        </w:rPr>
        <w:t>included.</w:t>
      </w:r>
    </w:p>
    <w:p>
      <w:pPr>
        <w:spacing w:after="0" w:line="240" w:lineRule="auto"/>
        <w:jc w:val="left"/>
        <w:rPr>
          <w:rFonts w:ascii="Symbol" w:hAnsi="Symbol"/>
          <w:sz w:val="22"/>
        </w:rPr>
        <w:sectPr>
          <w:pgSz w:w="11910" w:h="16840"/>
          <w:pgMar w:header="0" w:footer="693" w:top="620" w:bottom="880" w:left="600" w:right="580"/>
        </w:sectPr>
      </w:pPr>
    </w:p>
    <w:p>
      <w:pPr>
        <w:pStyle w:val="Heading2"/>
        <w:spacing w:before="63"/>
        <w:ind w:left="120"/>
      </w:pPr>
      <w:bookmarkStart w:name="_TOC_250007" w:id="6"/>
      <w:r>
        <w:rPr>
          <w:color w:val="4966AC"/>
        </w:rPr>
        <w:t>Legislative</w:t>
      </w:r>
      <w:r>
        <w:rPr>
          <w:color w:val="4966AC"/>
          <w:spacing w:val="-5"/>
        </w:rPr>
        <w:t> </w:t>
      </w:r>
      <w:bookmarkEnd w:id="6"/>
      <w:r>
        <w:rPr>
          <w:color w:val="4966AC"/>
          <w:spacing w:val="-2"/>
        </w:rPr>
        <w:t>requirements</w:t>
      </w:r>
    </w:p>
    <w:p>
      <w:pPr>
        <w:pStyle w:val="BodyText"/>
        <w:spacing w:before="252"/>
        <w:ind w:left="120"/>
      </w:pPr>
      <w:r>
        <w:rPr/>
        <w:t>Under</w:t>
      </w:r>
      <w:r>
        <w:rPr>
          <w:spacing w:val="-1"/>
        </w:rPr>
        <w:t> </w:t>
      </w:r>
      <w:r>
        <w:rPr/>
        <w:t>Division</w:t>
      </w:r>
      <w:r>
        <w:rPr>
          <w:spacing w:val="-1"/>
        </w:rPr>
        <w:t> </w:t>
      </w:r>
      <w:r>
        <w:rPr/>
        <w:t>2</w:t>
      </w:r>
      <w:r>
        <w:rPr>
          <w:spacing w:val="-4"/>
        </w:rPr>
        <w:t> </w:t>
      </w:r>
      <w:r>
        <w:rPr/>
        <w:t>-</w:t>
      </w:r>
      <w:r>
        <w:rPr>
          <w:spacing w:val="-2"/>
        </w:rPr>
        <w:t> </w:t>
      </w:r>
      <w:r>
        <w:rPr/>
        <w:t>Budget Process</w:t>
      </w:r>
      <w:r>
        <w:rPr>
          <w:spacing w:val="-2"/>
        </w:rPr>
        <w:t> </w:t>
      </w:r>
      <w:r>
        <w:rPr/>
        <w:t>Section 94</w:t>
      </w:r>
      <w:r>
        <w:rPr>
          <w:spacing w:val="-3"/>
        </w:rPr>
        <w:t> </w:t>
      </w:r>
      <w:r>
        <w:rPr/>
        <w:t>of</w:t>
      </w:r>
      <w:r>
        <w:rPr>
          <w:spacing w:val="-4"/>
        </w:rPr>
        <w:t> </w:t>
      </w:r>
      <w:r>
        <w:rPr/>
        <w:t>the Local</w:t>
      </w:r>
      <w:r>
        <w:rPr>
          <w:spacing w:val="-4"/>
        </w:rPr>
        <w:t> </w:t>
      </w:r>
      <w:r>
        <w:rPr/>
        <w:t>Government</w:t>
      </w:r>
      <w:r>
        <w:rPr>
          <w:spacing w:val="-2"/>
        </w:rPr>
        <w:t> </w:t>
      </w:r>
      <w:r>
        <w:rPr/>
        <w:t>Act 2020, Council</w:t>
      </w:r>
      <w:r>
        <w:rPr>
          <w:spacing w:val="-4"/>
        </w:rPr>
        <w:t> </w:t>
      </w:r>
      <w:r>
        <w:rPr/>
        <w:t>must</w:t>
      </w:r>
      <w:r>
        <w:rPr>
          <w:spacing w:val="-2"/>
        </w:rPr>
        <w:t> </w:t>
      </w:r>
      <w:r>
        <w:rPr/>
        <w:t>prepare</w:t>
      </w:r>
      <w:r>
        <w:rPr>
          <w:spacing w:val="-2"/>
        </w:rPr>
        <w:t> </w:t>
      </w:r>
      <w:r>
        <w:rPr/>
        <w:t>a budget for each financial year and the subsequent 3 financial years:</w:t>
      </w:r>
    </w:p>
    <w:p>
      <w:pPr>
        <w:pStyle w:val="ListParagraph"/>
        <w:numPr>
          <w:ilvl w:val="1"/>
          <w:numId w:val="1"/>
        </w:numPr>
        <w:tabs>
          <w:tab w:pos="840" w:val="left" w:leader="none"/>
        </w:tabs>
        <w:spacing w:line="240" w:lineRule="auto" w:before="118" w:after="0"/>
        <w:ind w:left="840" w:right="366" w:hanging="360"/>
        <w:jc w:val="left"/>
        <w:rPr>
          <w:sz w:val="22"/>
        </w:rPr>
      </w:pPr>
      <w:r>
        <w:rPr>
          <w:sz w:val="22"/>
        </w:rPr>
        <w:t>A</w:t>
      </w:r>
      <w:r>
        <w:rPr>
          <w:spacing w:val="-1"/>
          <w:sz w:val="22"/>
        </w:rPr>
        <w:t> </w:t>
      </w:r>
      <w:r>
        <w:rPr>
          <w:sz w:val="22"/>
        </w:rPr>
        <w:t>Council</w:t>
      </w:r>
      <w:r>
        <w:rPr>
          <w:spacing w:val="-2"/>
          <w:sz w:val="22"/>
        </w:rPr>
        <w:t> </w:t>
      </w:r>
      <w:r>
        <w:rPr>
          <w:sz w:val="22"/>
        </w:rPr>
        <w:t>must prepare</w:t>
      </w:r>
      <w:r>
        <w:rPr>
          <w:spacing w:val="-6"/>
          <w:sz w:val="22"/>
        </w:rPr>
        <w:t> </w:t>
      </w:r>
      <w:r>
        <w:rPr>
          <w:sz w:val="22"/>
        </w:rPr>
        <w:t>and</w:t>
      </w:r>
      <w:r>
        <w:rPr>
          <w:spacing w:val="-2"/>
          <w:sz w:val="22"/>
        </w:rPr>
        <w:t> </w:t>
      </w:r>
      <w:r>
        <w:rPr>
          <w:sz w:val="22"/>
        </w:rPr>
        <w:t>adopt</w:t>
      </w:r>
      <w:r>
        <w:rPr>
          <w:spacing w:val="-1"/>
          <w:sz w:val="22"/>
        </w:rPr>
        <w:t> </w:t>
      </w:r>
      <w:r>
        <w:rPr>
          <w:sz w:val="22"/>
        </w:rPr>
        <w:t>a</w:t>
      </w:r>
      <w:r>
        <w:rPr>
          <w:spacing w:val="-4"/>
          <w:sz w:val="22"/>
        </w:rPr>
        <w:t> </w:t>
      </w:r>
      <w:r>
        <w:rPr>
          <w:sz w:val="22"/>
        </w:rPr>
        <w:t>budget</w:t>
      </w:r>
      <w:r>
        <w:rPr>
          <w:spacing w:val="-1"/>
          <w:sz w:val="22"/>
        </w:rPr>
        <w:t> </w:t>
      </w:r>
      <w:r>
        <w:rPr>
          <w:sz w:val="22"/>
        </w:rPr>
        <w:t>for</w:t>
      </w:r>
      <w:r>
        <w:rPr>
          <w:spacing w:val="-2"/>
          <w:sz w:val="22"/>
        </w:rPr>
        <w:t> </w:t>
      </w:r>
      <w:r>
        <w:rPr>
          <w:sz w:val="22"/>
        </w:rPr>
        <w:t>each</w:t>
      </w:r>
      <w:r>
        <w:rPr>
          <w:spacing w:val="-1"/>
          <w:sz w:val="22"/>
        </w:rPr>
        <w:t> </w:t>
      </w:r>
      <w:r>
        <w:rPr>
          <w:sz w:val="22"/>
        </w:rPr>
        <w:t>financial</w:t>
      </w:r>
      <w:r>
        <w:rPr>
          <w:spacing w:val="-2"/>
          <w:sz w:val="22"/>
        </w:rPr>
        <w:t> </w:t>
      </w:r>
      <w:r>
        <w:rPr>
          <w:sz w:val="22"/>
        </w:rPr>
        <w:t>year</w:t>
      </w:r>
      <w:r>
        <w:rPr>
          <w:spacing w:val="-1"/>
          <w:sz w:val="22"/>
        </w:rPr>
        <w:t> </w:t>
      </w:r>
      <w:r>
        <w:rPr>
          <w:sz w:val="22"/>
        </w:rPr>
        <w:t>and</w:t>
      </w:r>
      <w:r>
        <w:rPr>
          <w:spacing w:val="-4"/>
          <w:sz w:val="22"/>
        </w:rPr>
        <w:t> </w:t>
      </w:r>
      <w:r>
        <w:rPr>
          <w:sz w:val="22"/>
        </w:rPr>
        <w:t>the</w:t>
      </w:r>
      <w:r>
        <w:rPr>
          <w:spacing w:val="-1"/>
          <w:sz w:val="22"/>
        </w:rPr>
        <w:t> </w:t>
      </w:r>
      <w:r>
        <w:rPr>
          <w:sz w:val="22"/>
        </w:rPr>
        <w:t>subsequent</w:t>
      </w:r>
      <w:r>
        <w:rPr>
          <w:spacing w:val="-2"/>
          <w:sz w:val="22"/>
        </w:rPr>
        <w:t> </w:t>
      </w:r>
      <w:r>
        <w:rPr>
          <w:sz w:val="22"/>
        </w:rPr>
        <w:t>3</w:t>
      </w:r>
      <w:r>
        <w:rPr>
          <w:spacing w:val="-4"/>
          <w:sz w:val="22"/>
        </w:rPr>
        <w:t> </w:t>
      </w:r>
      <w:r>
        <w:rPr>
          <w:sz w:val="22"/>
        </w:rPr>
        <w:t>financial years by—</w:t>
      </w:r>
    </w:p>
    <w:p>
      <w:pPr>
        <w:pStyle w:val="ListParagraph"/>
        <w:numPr>
          <w:ilvl w:val="2"/>
          <w:numId w:val="1"/>
        </w:numPr>
        <w:tabs>
          <w:tab w:pos="1200" w:val="left" w:leader="none"/>
        </w:tabs>
        <w:spacing w:line="240" w:lineRule="auto" w:before="121" w:after="0"/>
        <w:ind w:left="1199" w:right="0" w:hanging="360"/>
        <w:jc w:val="left"/>
        <w:rPr>
          <w:sz w:val="22"/>
        </w:rPr>
      </w:pPr>
      <w:r>
        <w:rPr>
          <w:sz w:val="22"/>
        </w:rPr>
        <w:t>30</w:t>
      </w:r>
      <w:r>
        <w:rPr>
          <w:spacing w:val="-2"/>
          <w:sz w:val="22"/>
        </w:rPr>
        <w:t> </w:t>
      </w:r>
      <w:r>
        <w:rPr>
          <w:sz w:val="22"/>
        </w:rPr>
        <w:t>June</w:t>
      </w:r>
      <w:r>
        <w:rPr>
          <w:spacing w:val="-3"/>
          <w:sz w:val="22"/>
        </w:rPr>
        <w:t> </w:t>
      </w:r>
      <w:r>
        <w:rPr>
          <w:sz w:val="22"/>
        </w:rPr>
        <w:t>each</w:t>
      </w:r>
      <w:r>
        <w:rPr>
          <w:spacing w:val="-3"/>
          <w:sz w:val="22"/>
        </w:rPr>
        <w:t> </w:t>
      </w:r>
      <w:r>
        <w:rPr>
          <w:sz w:val="22"/>
        </w:rPr>
        <w:t>year;</w:t>
      </w:r>
      <w:r>
        <w:rPr>
          <w:spacing w:val="-4"/>
          <w:sz w:val="22"/>
        </w:rPr>
        <w:t> </w:t>
      </w:r>
      <w:r>
        <w:rPr>
          <w:spacing w:val="-5"/>
          <w:sz w:val="22"/>
        </w:rPr>
        <w:t>or</w:t>
      </w:r>
    </w:p>
    <w:p>
      <w:pPr>
        <w:pStyle w:val="ListParagraph"/>
        <w:numPr>
          <w:ilvl w:val="2"/>
          <w:numId w:val="1"/>
        </w:numPr>
        <w:tabs>
          <w:tab w:pos="1200" w:val="left" w:leader="none"/>
        </w:tabs>
        <w:spacing w:line="240" w:lineRule="auto" w:before="121" w:after="0"/>
        <w:ind w:left="1199" w:right="0" w:hanging="360"/>
        <w:jc w:val="left"/>
        <w:rPr>
          <w:sz w:val="22"/>
        </w:rPr>
      </w:pPr>
      <w:r>
        <w:rPr>
          <w:sz w:val="22"/>
        </w:rPr>
        <w:t>any</w:t>
      </w:r>
      <w:r>
        <w:rPr>
          <w:spacing w:val="-4"/>
          <w:sz w:val="22"/>
        </w:rPr>
        <w:t> </w:t>
      </w:r>
      <w:r>
        <w:rPr>
          <w:sz w:val="22"/>
        </w:rPr>
        <w:t>other</w:t>
      </w:r>
      <w:r>
        <w:rPr>
          <w:spacing w:val="-3"/>
          <w:sz w:val="22"/>
        </w:rPr>
        <w:t> </w:t>
      </w:r>
      <w:r>
        <w:rPr>
          <w:sz w:val="22"/>
        </w:rPr>
        <w:t>date</w:t>
      </w:r>
      <w:r>
        <w:rPr>
          <w:spacing w:val="-5"/>
          <w:sz w:val="22"/>
        </w:rPr>
        <w:t> </w:t>
      </w:r>
      <w:r>
        <w:rPr>
          <w:sz w:val="22"/>
        </w:rPr>
        <w:t>fixed</w:t>
      </w:r>
      <w:r>
        <w:rPr>
          <w:spacing w:val="-2"/>
          <w:sz w:val="22"/>
        </w:rPr>
        <w:t> </w:t>
      </w:r>
      <w:r>
        <w:rPr>
          <w:sz w:val="22"/>
        </w:rPr>
        <w:t>by</w:t>
      </w:r>
      <w:r>
        <w:rPr>
          <w:spacing w:val="-7"/>
          <w:sz w:val="22"/>
        </w:rPr>
        <w:t> </w:t>
      </w:r>
      <w:r>
        <w:rPr>
          <w:sz w:val="22"/>
        </w:rPr>
        <w:t>the</w:t>
      </w:r>
      <w:r>
        <w:rPr>
          <w:spacing w:val="-3"/>
          <w:sz w:val="22"/>
        </w:rPr>
        <w:t> </w:t>
      </w:r>
      <w:r>
        <w:rPr>
          <w:sz w:val="22"/>
        </w:rPr>
        <w:t>Minister</w:t>
      </w:r>
      <w:r>
        <w:rPr>
          <w:spacing w:val="-2"/>
          <w:sz w:val="22"/>
        </w:rPr>
        <w:t> </w:t>
      </w:r>
      <w:r>
        <w:rPr>
          <w:sz w:val="22"/>
        </w:rPr>
        <w:t>by</w:t>
      </w:r>
      <w:r>
        <w:rPr>
          <w:spacing w:val="-3"/>
          <w:sz w:val="22"/>
        </w:rPr>
        <w:t> </w:t>
      </w:r>
      <w:r>
        <w:rPr>
          <w:sz w:val="22"/>
        </w:rPr>
        <w:t>notice</w:t>
      </w:r>
      <w:r>
        <w:rPr>
          <w:spacing w:val="-5"/>
          <w:sz w:val="22"/>
        </w:rPr>
        <w:t> </w:t>
      </w:r>
      <w:r>
        <w:rPr>
          <w:sz w:val="22"/>
        </w:rPr>
        <w:t>published</w:t>
      </w:r>
      <w:r>
        <w:rPr>
          <w:spacing w:val="-2"/>
          <w:sz w:val="22"/>
        </w:rPr>
        <w:t> </w:t>
      </w:r>
      <w:r>
        <w:rPr>
          <w:sz w:val="22"/>
        </w:rPr>
        <w:t>in</w:t>
      </w:r>
      <w:r>
        <w:rPr>
          <w:spacing w:val="-3"/>
          <w:sz w:val="22"/>
        </w:rPr>
        <w:t> </w:t>
      </w:r>
      <w:r>
        <w:rPr>
          <w:sz w:val="22"/>
        </w:rPr>
        <w:t>the</w:t>
      </w:r>
      <w:r>
        <w:rPr>
          <w:spacing w:val="-5"/>
          <w:sz w:val="22"/>
        </w:rPr>
        <w:t> </w:t>
      </w:r>
      <w:r>
        <w:rPr>
          <w:sz w:val="22"/>
        </w:rPr>
        <w:t>Government</w:t>
      </w:r>
      <w:r>
        <w:rPr>
          <w:spacing w:val="-3"/>
          <w:sz w:val="22"/>
        </w:rPr>
        <w:t> </w:t>
      </w:r>
      <w:r>
        <w:rPr>
          <w:spacing w:val="-2"/>
          <w:sz w:val="22"/>
        </w:rPr>
        <w:t>Gazette.</w:t>
      </w:r>
    </w:p>
    <w:p>
      <w:pPr>
        <w:pStyle w:val="ListParagraph"/>
        <w:numPr>
          <w:ilvl w:val="1"/>
          <w:numId w:val="1"/>
        </w:numPr>
        <w:tabs>
          <w:tab w:pos="840" w:val="left" w:leader="none"/>
        </w:tabs>
        <w:spacing w:line="240" w:lineRule="auto" w:before="119" w:after="0"/>
        <w:ind w:left="839" w:right="0" w:hanging="360"/>
        <w:jc w:val="left"/>
        <w:rPr>
          <w:sz w:val="22"/>
        </w:rPr>
      </w:pPr>
      <w:r>
        <w:rPr>
          <w:sz w:val="22"/>
        </w:rPr>
        <w:t>A</w:t>
      </w:r>
      <w:r>
        <w:rPr>
          <w:spacing w:val="-4"/>
          <w:sz w:val="22"/>
        </w:rPr>
        <w:t> </w:t>
      </w:r>
      <w:r>
        <w:rPr>
          <w:sz w:val="22"/>
        </w:rPr>
        <w:t>Council</w:t>
      </w:r>
      <w:r>
        <w:rPr>
          <w:spacing w:val="-3"/>
          <w:sz w:val="22"/>
        </w:rPr>
        <w:t> </w:t>
      </w:r>
      <w:r>
        <w:rPr>
          <w:sz w:val="22"/>
        </w:rPr>
        <w:t>must ensure</w:t>
      </w:r>
      <w:r>
        <w:rPr>
          <w:spacing w:val="-5"/>
          <w:sz w:val="22"/>
        </w:rPr>
        <w:t> </w:t>
      </w:r>
      <w:r>
        <w:rPr>
          <w:sz w:val="22"/>
        </w:rPr>
        <w:t>that</w:t>
      </w:r>
      <w:r>
        <w:rPr>
          <w:spacing w:val="-1"/>
          <w:sz w:val="22"/>
        </w:rPr>
        <w:t> </w:t>
      </w:r>
      <w:r>
        <w:rPr>
          <w:sz w:val="22"/>
        </w:rPr>
        <w:t>the</w:t>
      </w:r>
      <w:r>
        <w:rPr>
          <w:spacing w:val="-2"/>
          <w:sz w:val="22"/>
        </w:rPr>
        <w:t> </w:t>
      </w:r>
      <w:r>
        <w:rPr>
          <w:sz w:val="22"/>
        </w:rPr>
        <w:t>budget</w:t>
      </w:r>
      <w:r>
        <w:rPr>
          <w:spacing w:val="-3"/>
          <w:sz w:val="22"/>
        </w:rPr>
        <w:t> </w:t>
      </w:r>
      <w:r>
        <w:rPr>
          <w:sz w:val="22"/>
        </w:rPr>
        <w:t>gives</w:t>
      </w:r>
      <w:r>
        <w:rPr>
          <w:spacing w:val="-4"/>
          <w:sz w:val="22"/>
        </w:rPr>
        <w:t> </w:t>
      </w:r>
      <w:r>
        <w:rPr>
          <w:sz w:val="22"/>
        </w:rPr>
        <w:t>effect</w:t>
      </w:r>
      <w:r>
        <w:rPr>
          <w:spacing w:val="-5"/>
          <w:sz w:val="22"/>
        </w:rPr>
        <w:t> </w:t>
      </w:r>
      <w:r>
        <w:rPr>
          <w:sz w:val="22"/>
        </w:rPr>
        <w:t>to</w:t>
      </w:r>
      <w:r>
        <w:rPr>
          <w:spacing w:val="-5"/>
          <w:sz w:val="22"/>
        </w:rPr>
        <w:t> </w:t>
      </w:r>
      <w:r>
        <w:rPr>
          <w:sz w:val="22"/>
        </w:rPr>
        <w:t>the</w:t>
      </w:r>
      <w:r>
        <w:rPr>
          <w:spacing w:val="-1"/>
          <w:sz w:val="22"/>
        </w:rPr>
        <w:t> </w:t>
      </w:r>
      <w:r>
        <w:rPr>
          <w:sz w:val="22"/>
        </w:rPr>
        <w:t>Council</w:t>
      </w:r>
      <w:r>
        <w:rPr>
          <w:spacing w:val="-2"/>
          <w:sz w:val="22"/>
        </w:rPr>
        <w:t> </w:t>
      </w:r>
      <w:r>
        <w:rPr>
          <w:sz w:val="22"/>
        </w:rPr>
        <w:t>Plan</w:t>
      </w:r>
      <w:r>
        <w:rPr>
          <w:spacing w:val="-3"/>
          <w:sz w:val="22"/>
        </w:rPr>
        <w:t> </w:t>
      </w:r>
      <w:r>
        <w:rPr>
          <w:sz w:val="22"/>
        </w:rPr>
        <w:t>and</w:t>
      </w:r>
      <w:r>
        <w:rPr>
          <w:spacing w:val="-4"/>
          <w:sz w:val="22"/>
        </w:rPr>
        <w:t> </w:t>
      </w:r>
      <w:r>
        <w:rPr>
          <w:sz w:val="22"/>
        </w:rPr>
        <w:t>contains</w:t>
      </w:r>
      <w:r>
        <w:rPr>
          <w:spacing w:val="-5"/>
          <w:sz w:val="22"/>
        </w:rPr>
        <w:t> </w:t>
      </w:r>
      <w:r>
        <w:rPr>
          <w:sz w:val="22"/>
        </w:rPr>
        <w:t>the</w:t>
      </w:r>
      <w:r>
        <w:rPr>
          <w:spacing w:val="-3"/>
          <w:sz w:val="22"/>
        </w:rPr>
        <w:t> </w:t>
      </w:r>
      <w:r>
        <w:rPr>
          <w:spacing w:val="-2"/>
          <w:sz w:val="22"/>
        </w:rPr>
        <w:t>following—</w:t>
      </w:r>
    </w:p>
    <w:p>
      <w:pPr>
        <w:pStyle w:val="ListParagraph"/>
        <w:numPr>
          <w:ilvl w:val="2"/>
          <w:numId w:val="1"/>
        </w:numPr>
        <w:tabs>
          <w:tab w:pos="1200" w:val="left" w:leader="none"/>
        </w:tabs>
        <w:spacing w:line="240" w:lineRule="auto" w:before="119" w:after="0"/>
        <w:ind w:left="1199" w:right="0" w:hanging="360"/>
        <w:jc w:val="left"/>
        <w:rPr>
          <w:sz w:val="22"/>
        </w:rPr>
      </w:pPr>
      <w:r>
        <w:rPr>
          <w:sz w:val="22"/>
        </w:rPr>
        <w:t>financial</w:t>
      </w:r>
      <w:r>
        <w:rPr>
          <w:spacing w:val="-6"/>
          <w:sz w:val="22"/>
        </w:rPr>
        <w:t> </w:t>
      </w:r>
      <w:r>
        <w:rPr>
          <w:sz w:val="22"/>
        </w:rPr>
        <w:t>statements</w:t>
      </w:r>
      <w:r>
        <w:rPr>
          <w:spacing w:val="-3"/>
          <w:sz w:val="22"/>
        </w:rPr>
        <w:t> </w:t>
      </w:r>
      <w:r>
        <w:rPr>
          <w:sz w:val="22"/>
        </w:rPr>
        <w:t>in</w:t>
      </w:r>
      <w:r>
        <w:rPr>
          <w:spacing w:val="-7"/>
          <w:sz w:val="22"/>
        </w:rPr>
        <w:t> </w:t>
      </w:r>
      <w:r>
        <w:rPr>
          <w:sz w:val="22"/>
        </w:rPr>
        <w:t>the</w:t>
      </w:r>
      <w:r>
        <w:rPr>
          <w:spacing w:val="-3"/>
          <w:sz w:val="22"/>
        </w:rPr>
        <w:t> </w:t>
      </w:r>
      <w:r>
        <w:rPr>
          <w:sz w:val="22"/>
        </w:rPr>
        <w:t>form</w:t>
      </w:r>
      <w:r>
        <w:rPr>
          <w:spacing w:val="-4"/>
          <w:sz w:val="22"/>
        </w:rPr>
        <w:t> </w:t>
      </w:r>
      <w:r>
        <w:rPr>
          <w:sz w:val="22"/>
        </w:rPr>
        <w:t>and</w:t>
      </w:r>
      <w:r>
        <w:rPr>
          <w:spacing w:val="-1"/>
          <w:sz w:val="22"/>
        </w:rPr>
        <w:t> </w:t>
      </w:r>
      <w:r>
        <w:rPr>
          <w:sz w:val="22"/>
        </w:rPr>
        <w:t>containing</w:t>
      </w:r>
      <w:r>
        <w:rPr>
          <w:spacing w:val="-2"/>
          <w:sz w:val="22"/>
        </w:rPr>
        <w:t> </w:t>
      </w:r>
      <w:r>
        <w:rPr>
          <w:sz w:val="22"/>
        </w:rPr>
        <w:t>the</w:t>
      </w:r>
      <w:r>
        <w:rPr>
          <w:spacing w:val="-2"/>
          <w:sz w:val="22"/>
        </w:rPr>
        <w:t> </w:t>
      </w:r>
      <w:r>
        <w:rPr>
          <w:sz w:val="22"/>
        </w:rPr>
        <w:t>information</w:t>
      </w:r>
      <w:r>
        <w:rPr>
          <w:spacing w:val="-5"/>
          <w:sz w:val="22"/>
        </w:rPr>
        <w:t> </w:t>
      </w:r>
      <w:r>
        <w:rPr>
          <w:sz w:val="22"/>
        </w:rPr>
        <w:t>required</w:t>
      </w:r>
      <w:r>
        <w:rPr>
          <w:spacing w:val="-5"/>
          <w:sz w:val="22"/>
        </w:rPr>
        <w:t> </w:t>
      </w:r>
      <w:r>
        <w:rPr>
          <w:sz w:val="22"/>
        </w:rPr>
        <w:t>by</w:t>
      </w:r>
      <w:r>
        <w:rPr>
          <w:spacing w:val="-5"/>
          <w:sz w:val="22"/>
        </w:rPr>
        <w:t> </w:t>
      </w:r>
      <w:r>
        <w:rPr>
          <w:sz w:val="22"/>
        </w:rPr>
        <w:t>the</w:t>
      </w:r>
      <w:r>
        <w:rPr>
          <w:spacing w:val="-4"/>
          <w:sz w:val="22"/>
        </w:rPr>
        <w:t> </w:t>
      </w:r>
      <w:r>
        <w:rPr>
          <w:spacing w:val="-2"/>
          <w:sz w:val="22"/>
        </w:rPr>
        <w:t>regulations;</w:t>
      </w:r>
    </w:p>
    <w:p>
      <w:pPr>
        <w:pStyle w:val="ListParagraph"/>
        <w:numPr>
          <w:ilvl w:val="2"/>
          <w:numId w:val="1"/>
        </w:numPr>
        <w:tabs>
          <w:tab w:pos="1200" w:val="left" w:leader="none"/>
        </w:tabs>
        <w:spacing w:line="240" w:lineRule="auto" w:before="122" w:after="0"/>
        <w:ind w:left="1199" w:right="0" w:hanging="360"/>
        <w:jc w:val="left"/>
        <w:rPr>
          <w:sz w:val="22"/>
        </w:rPr>
      </w:pPr>
      <w:r>
        <w:rPr>
          <w:sz w:val="22"/>
        </w:rPr>
        <w:t>a</w:t>
      </w:r>
      <w:r>
        <w:rPr>
          <w:spacing w:val="-4"/>
          <w:sz w:val="22"/>
        </w:rPr>
        <w:t> </w:t>
      </w:r>
      <w:r>
        <w:rPr>
          <w:sz w:val="22"/>
        </w:rPr>
        <w:t>general</w:t>
      </w:r>
      <w:r>
        <w:rPr>
          <w:spacing w:val="-2"/>
          <w:sz w:val="22"/>
        </w:rPr>
        <w:t> </w:t>
      </w:r>
      <w:r>
        <w:rPr>
          <w:sz w:val="22"/>
        </w:rPr>
        <w:t>description</w:t>
      </w:r>
      <w:r>
        <w:rPr>
          <w:spacing w:val="-1"/>
          <w:sz w:val="22"/>
        </w:rPr>
        <w:t> </w:t>
      </w:r>
      <w:r>
        <w:rPr>
          <w:sz w:val="22"/>
        </w:rPr>
        <w:t>of</w:t>
      </w:r>
      <w:r>
        <w:rPr>
          <w:spacing w:val="-4"/>
          <w:sz w:val="22"/>
        </w:rPr>
        <w:t> </w:t>
      </w:r>
      <w:r>
        <w:rPr>
          <w:sz w:val="22"/>
        </w:rPr>
        <w:t>the services</w:t>
      </w:r>
      <w:r>
        <w:rPr>
          <w:spacing w:val="-4"/>
          <w:sz w:val="22"/>
        </w:rPr>
        <w:t> </w:t>
      </w:r>
      <w:r>
        <w:rPr>
          <w:sz w:val="22"/>
        </w:rPr>
        <w:t>and</w:t>
      </w:r>
      <w:r>
        <w:rPr>
          <w:spacing w:val="-3"/>
          <w:sz w:val="22"/>
        </w:rPr>
        <w:t> </w:t>
      </w:r>
      <w:r>
        <w:rPr>
          <w:sz w:val="22"/>
        </w:rPr>
        <w:t>initiatives</w:t>
      </w:r>
      <w:r>
        <w:rPr>
          <w:spacing w:val="-2"/>
          <w:sz w:val="22"/>
        </w:rPr>
        <w:t> </w:t>
      </w:r>
      <w:r>
        <w:rPr>
          <w:sz w:val="22"/>
        </w:rPr>
        <w:t>to</w:t>
      </w:r>
      <w:r>
        <w:rPr>
          <w:spacing w:val="-3"/>
          <w:sz w:val="22"/>
        </w:rPr>
        <w:t> </w:t>
      </w:r>
      <w:r>
        <w:rPr>
          <w:sz w:val="22"/>
        </w:rPr>
        <w:t>be</w:t>
      </w:r>
      <w:r>
        <w:rPr>
          <w:spacing w:val="-4"/>
          <w:sz w:val="22"/>
        </w:rPr>
        <w:t> </w:t>
      </w:r>
      <w:r>
        <w:rPr>
          <w:sz w:val="22"/>
        </w:rPr>
        <w:t>funded</w:t>
      </w:r>
      <w:r>
        <w:rPr>
          <w:spacing w:val="-2"/>
          <w:sz w:val="22"/>
        </w:rPr>
        <w:t> </w:t>
      </w:r>
      <w:r>
        <w:rPr>
          <w:sz w:val="22"/>
        </w:rPr>
        <w:t>in</w:t>
      </w:r>
      <w:r>
        <w:rPr>
          <w:spacing w:val="-3"/>
          <w:sz w:val="22"/>
        </w:rPr>
        <w:t> </w:t>
      </w:r>
      <w:r>
        <w:rPr>
          <w:sz w:val="22"/>
        </w:rPr>
        <w:t>the</w:t>
      </w:r>
      <w:r>
        <w:rPr>
          <w:spacing w:val="-3"/>
          <w:sz w:val="22"/>
        </w:rPr>
        <w:t> </w:t>
      </w:r>
      <w:r>
        <w:rPr>
          <w:spacing w:val="-2"/>
          <w:sz w:val="22"/>
        </w:rPr>
        <w:t>budget;</w:t>
      </w:r>
    </w:p>
    <w:p>
      <w:pPr>
        <w:pStyle w:val="ListParagraph"/>
        <w:numPr>
          <w:ilvl w:val="2"/>
          <w:numId w:val="1"/>
        </w:numPr>
        <w:tabs>
          <w:tab w:pos="1201" w:val="left" w:leader="none"/>
        </w:tabs>
        <w:spacing w:line="240" w:lineRule="auto" w:before="119" w:after="0"/>
        <w:ind w:left="1200" w:right="752" w:hanging="360"/>
        <w:jc w:val="left"/>
        <w:rPr>
          <w:sz w:val="22"/>
        </w:rPr>
      </w:pPr>
      <w:r>
        <w:rPr>
          <w:sz w:val="22"/>
        </w:rPr>
        <w:t>major</w:t>
      </w:r>
      <w:r>
        <w:rPr>
          <w:spacing w:val="-2"/>
          <w:sz w:val="22"/>
        </w:rPr>
        <w:t> </w:t>
      </w:r>
      <w:r>
        <w:rPr>
          <w:sz w:val="22"/>
        </w:rPr>
        <w:t>initiatives</w:t>
      </w:r>
      <w:r>
        <w:rPr>
          <w:spacing w:val="-4"/>
          <w:sz w:val="22"/>
        </w:rPr>
        <w:t> </w:t>
      </w:r>
      <w:r>
        <w:rPr>
          <w:sz w:val="22"/>
        </w:rPr>
        <w:t>identified</w:t>
      </w:r>
      <w:r>
        <w:rPr>
          <w:spacing w:val="-3"/>
          <w:sz w:val="22"/>
        </w:rPr>
        <w:t> </w:t>
      </w:r>
      <w:r>
        <w:rPr>
          <w:sz w:val="22"/>
        </w:rPr>
        <w:t>by</w:t>
      </w:r>
      <w:r>
        <w:rPr>
          <w:spacing w:val="-3"/>
          <w:sz w:val="22"/>
        </w:rPr>
        <w:t> </w:t>
      </w:r>
      <w:r>
        <w:rPr>
          <w:sz w:val="22"/>
        </w:rPr>
        <w:t>the</w:t>
      </w:r>
      <w:r>
        <w:rPr>
          <w:spacing w:val="-3"/>
          <w:sz w:val="22"/>
        </w:rPr>
        <w:t> </w:t>
      </w:r>
      <w:r>
        <w:rPr>
          <w:sz w:val="22"/>
        </w:rPr>
        <w:t>Council</w:t>
      </w:r>
      <w:r>
        <w:rPr>
          <w:spacing w:val="-3"/>
          <w:sz w:val="22"/>
        </w:rPr>
        <w:t> </w:t>
      </w:r>
      <w:r>
        <w:rPr>
          <w:sz w:val="22"/>
        </w:rPr>
        <w:t>as</w:t>
      </w:r>
      <w:r>
        <w:rPr>
          <w:spacing w:val="-4"/>
          <w:sz w:val="22"/>
        </w:rPr>
        <w:t> </w:t>
      </w:r>
      <w:r>
        <w:rPr>
          <w:sz w:val="22"/>
        </w:rPr>
        <w:t>priorities</w:t>
      </w:r>
      <w:r>
        <w:rPr>
          <w:spacing w:val="-3"/>
          <w:sz w:val="22"/>
        </w:rPr>
        <w:t> </w:t>
      </w:r>
      <w:r>
        <w:rPr>
          <w:sz w:val="22"/>
        </w:rPr>
        <w:t>in</w:t>
      </w:r>
      <w:r>
        <w:rPr>
          <w:spacing w:val="-4"/>
          <w:sz w:val="22"/>
        </w:rPr>
        <w:t> </w:t>
      </w:r>
      <w:r>
        <w:rPr>
          <w:sz w:val="22"/>
        </w:rPr>
        <w:t>the</w:t>
      </w:r>
      <w:r>
        <w:rPr>
          <w:spacing w:val="-3"/>
          <w:sz w:val="22"/>
        </w:rPr>
        <w:t> </w:t>
      </w:r>
      <w:r>
        <w:rPr>
          <w:sz w:val="22"/>
        </w:rPr>
        <w:t>Council</w:t>
      </w:r>
      <w:r>
        <w:rPr>
          <w:spacing w:val="-3"/>
          <w:sz w:val="22"/>
        </w:rPr>
        <w:t> </w:t>
      </w:r>
      <w:r>
        <w:rPr>
          <w:sz w:val="22"/>
        </w:rPr>
        <w:t>Plan,</w:t>
      </w:r>
      <w:r>
        <w:rPr>
          <w:spacing w:val="-2"/>
          <w:sz w:val="22"/>
        </w:rPr>
        <w:t> </w:t>
      </w:r>
      <w:r>
        <w:rPr>
          <w:sz w:val="22"/>
        </w:rPr>
        <w:t>to</w:t>
      </w:r>
      <w:r>
        <w:rPr>
          <w:spacing w:val="-2"/>
          <w:sz w:val="22"/>
        </w:rPr>
        <w:t> </w:t>
      </w:r>
      <w:r>
        <w:rPr>
          <w:sz w:val="22"/>
        </w:rPr>
        <w:t>be</w:t>
      </w:r>
      <w:r>
        <w:rPr>
          <w:spacing w:val="-2"/>
          <w:sz w:val="22"/>
        </w:rPr>
        <w:t> </w:t>
      </w:r>
      <w:r>
        <w:rPr>
          <w:sz w:val="22"/>
        </w:rPr>
        <w:t>undertaken during each financial year;</w:t>
      </w:r>
    </w:p>
    <w:p>
      <w:pPr>
        <w:pStyle w:val="ListParagraph"/>
        <w:numPr>
          <w:ilvl w:val="2"/>
          <w:numId w:val="1"/>
        </w:numPr>
        <w:tabs>
          <w:tab w:pos="1200" w:val="left" w:leader="none"/>
        </w:tabs>
        <w:spacing w:line="240" w:lineRule="auto" w:before="120" w:after="0"/>
        <w:ind w:left="1200" w:right="803" w:hanging="360"/>
        <w:jc w:val="left"/>
        <w:rPr>
          <w:sz w:val="22"/>
        </w:rPr>
      </w:pPr>
      <w:r>
        <w:rPr>
          <w:sz w:val="22"/>
        </w:rPr>
        <w:t>for</w:t>
      </w:r>
      <w:r>
        <w:rPr>
          <w:spacing w:val="-2"/>
          <w:sz w:val="22"/>
        </w:rPr>
        <w:t> </w:t>
      </w:r>
      <w:r>
        <w:rPr>
          <w:sz w:val="22"/>
        </w:rPr>
        <w:t>services</w:t>
      </w:r>
      <w:r>
        <w:rPr>
          <w:spacing w:val="-4"/>
          <w:sz w:val="22"/>
        </w:rPr>
        <w:t> </w:t>
      </w:r>
      <w:r>
        <w:rPr>
          <w:sz w:val="22"/>
        </w:rPr>
        <w:t>to</w:t>
      </w:r>
      <w:r>
        <w:rPr>
          <w:spacing w:val="-6"/>
          <w:sz w:val="22"/>
        </w:rPr>
        <w:t> </w:t>
      </w:r>
      <w:r>
        <w:rPr>
          <w:sz w:val="22"/>
        </w:rPr>
        <w:t>be</w:t>
      </w:r>
      <w:r>
        <w:rPr>
          <w:spacing w:val="-4"/>
          <w:sz w:val="22"/>
        </w:rPr>
        <w:t> </w:t>
      </w:r>
      <w:r>
        <w:rPr>
          <w:sz w:val="22"/>
        </w:rPr>
        <w:t>funded</w:t>
      </w:r>
      <w:r>
        <w:rPr>
          <w:spacing w:val="-3"/>
          <w:sz w:val="22"/>
        </w:rPr>
        <w:t> </w:t>
      </w:r>
      <w:r>
        <w:rPr>
          <w:sz w:val="22"/>
        </w:rPr>
        <w:t>in</w:t>
      </w:r>
      <w:r>
        <w:rPr>
          <w:spacing w:val="-2"/>
          <w:sz w:val="22"/>
        </w:rPr>
        <w:t> </w:t>
      </w:r>
      <w:r>
        <w:rPr>
          <w:sz w:val="22"/>
        </w:rPr>
        <w:t>the</w:t>
      </w:r>
      <w:r>
        <w:rPr>
          <w:spacing w:val="-4"/>
          <w:sz w:val="22"/>
        </w:rPr>
        <w:t> </w:t>
      </w:r>
      <w:r>
        <w:rPr>
          <w:sz w:val="22"/>
        </w:rPr>
        <w:t>budget,</w:t>
      </w:r>
      <w:r>
        <w:rPr>
          <w:spacing w:val="-2"/>
          <w:sz w:val="22"/>
        </w:rPr>
        <w:t> </w:t>
      </w:r>
      <w:r>
        <w:rPr>
          <w:sz w:val="22"/>
        </w:rPr>
        <w:t>the</w:t>
      </w:r>
      <w:r>
        <w:rPr>
          <w:spacing w:val="-4"/>
          <w:sz w:val="22"/>
        </w:rPr>
        <w:t> </w:t>
      </w:r>
      <w:r>
        <w:rPr>
          <w:sz w:val="22"/>
        </w:rPr>
        <w:t>prescribed</w:t>
      </w:r>
      <w:r>
        <w:rPr>
          <w:spacing w:val="-2"/>
          <w:sz w:val="22"/>
        </w:rPr>
        <w:t> </w:t>
      </w:r>
      <w:r>
        <w:rPr>
          <w:sz w:val="22"/>
        </w:rPr>
        <w:t>indicators</w:t>
      </w:r>
      <w:r>
        <w:rPr>
          <w:spacing w:val="-2"/>
          <w:sz w:val="22"/>
        </w:rPr>
        <w:t> </w:t>
      </w:r>
      <w:r>
        <w:rPr>
          <w:sz w:val="22"/>
        </w:rPr>
        <w:t>and</w:t>
      </w:r>
      <w:r>
        <w:rPr>
          <w:spacing w:val="-5"/>
          <w:sz w:val="22"/>
        </w:rPr>
        <w:t> </w:t>
      </w:r>
      <w:r>
        <w:rPr>
          <w:sz w:val="22"/>
        </w:rPr>
        <w:t>measures of service performance that are required to be reported against by this Act;</w:t>
      </w:r>
    </w:p>
    <w:p>
      <w:pPr>
        <w:pStyle w:val="ListParagraph"/>
        <w:numPr>
          <w:ilvl w:val="2"/>
          <w:numId w:val="1"/>
        </w:numPr>
        <w:tabs>
          <w:tab w:pos="1200" w:val="left" w:leader="none"/>
        </w:tabs>
        <w:spacing w:line="240" w:lineRule="auto" w:before="121" w:after="0"/>
        <w:ind w:left="1199" w:right="0" w:hanging="360"/>
        <w:jc w:val="left"/>
        <w:rPr>
          <w:sz w:val="22"/>
        </w:rPr>
      </w:pPr>
      <w:r>
        <w:rPr>
          <w:sz w:val="22"/>
        </w:rPr>
        <w:t>the</w:t>
      </w:r>
      <w:r>
        <w:rPr>
          <w:spacing w:val="-6"/>
          <w:sz w:val="22"/>
        </w:rPr>
        <w:t> </w:t>
      </w:r>
      <w:r>
        <w:rPr>
          <w:sz w:val="22"/>
        </w:rPr>
        <w:t>total</w:t>
      </w:r>
      <w:r>
        <w:rPr>
          <w:spacing w:val="-1"/>
          <w:sz w:val="22"/>
        </w:rPr>
        <w:t> </w:t>
      </w:r>
      <w:r>
        <w:rPr>
          <w:sz w:val="22"/>
        </w:rPr>
        <w:t>amount</w:t>
      </w:r>
      <w:r>
        <w:rPr>
          <w:spacing w:val="-3"/>
          <w:sz w:val="22"/>
        </w:rPr>
        <w:t> </w:t>
      </w:r>
      <w:r>
        <w:rPr>
          <w:sz w:val="22"/>
        </w:rPr>
        <w:t>that</w:t>
      </w:r>
      <w:r>
        <w:rPr>
          <w:spacing w:val="-1"/>
          <w:sz w:val="22"/>
        </w:rPr>
        <w:t> </w:t>
      </w:r>
      <w:r>
        <w:rPr>
          <w:sz w:val="22"/>
        </w:rPr>
        <w:t>the</w:t>
      </w:r>
      <w:r>
        <w:rPr>
          <w:spacing w:val="-5"/>
          <w:sz w:val="22"/>
        </w:rPr>
        <w:t> </w:t>
      </w:r>
      <w:r>
        <w:rPr>
          <w:sz w:val="22"/>
        </w:rPr>
        <w:t>Council</w:t>
      </w:r>
      <w:r>
        <w:rPr>
          <w:spacing w:val="-4"/>
          <w:sz w:val="22"/>
        </w:rPr>
        <w:t> </w:t>
      </w:r>
      <w:r>
        <w:rPr>
          <w:sz w:val="22"/>
        </w:rPr>
        <w:t>intends</w:t>
      </w:r>
      <w:r>
        <w:rPr>
          <w:spacing w:val="-2"/>
          <w:sz w:val="22"/>
        </w:rPr>
        <w:t> </w:t>
      </w:r>
      <w:r>
        <w:rPr>
          <w:sz w:val="22"/>
        </w:rPr>
        <w:t>to</w:t>
      </w:r>
      <w:r>
        <w:rPr>
          <w:spacing w:val="-5"/>
          <w:sz w:val="22"/>
        </w:rPr>
        <w:t> </w:t>
      </w:r>
      <w:r>
        <w:rPr>
          <w:sz w:val="22"/>
        </w:rPr>
        <w:t>raise</w:t>
      </w:r>
      <w:r>
        <w:rPr>
          <w:spacing w:val="-7"/>
          <w:sz w:val="22"/>
        </w:rPr>
        <w:t> </w:t>
      </w:r>
      <w:r>
        <w:rPr>
          <w:sz w:val="22"/>
        </w:rPr>
        <w:t>by</w:t>
      </w:r>
      <w:r>
        <w:rPr>
          <w:spacing w:val="1"/>
          <w:sz w:val="22"/>
        </w:rPr>
        <w:t> </w:t>
      </w:r>
      <w:r>
        <w:rPr>
          <w:sz w:val="22"/>
        </w:rPr>
        <w:t>rates</w:t>
      </w:r>
      <w:r>
        <w:rPr>
          <w:spacing w:val="-1"/>
          <w:sz w:val="22"/>
        </w:rPr>
        <w:t> </w:t>
      </w:r>
      <w:r>
        <w:rPr>
          <w:sz w:val="22"/>
        </w:rPr>
        <w:t>and</w:t>
      </w:r>
      <w:r>
        <w:rPr>
          <w:spacing w:val="-3"/>
          <w:sz w:val="22"/>
        </w:rPr>
        <w:t> </w:t>
      </w:r>
      <w:r>
        <w:rPr>
          <w:spacing w:val="-2"/>
          <w:sz w:val="22"/>
        </w:rPr>
        <w:t>charges;</w:t>
      </w:r>
    </w:p>
    <w:p>
      <w:pPr>
        <w:pStyle w:val="ListParagraph"/>
        <w:numPr>
          <w:ilvl w:val="2"/>
          <w:numId w:val="1"/>
        </w:numPr>
        <w:tabs>
          <w:tab w:pos="1200" w:val="left" w:leader="none"/>
          <w:tab w:pos="1201" w:val="left" w:leader="none"/>
        </w:tabs>
        <w:spacing w:line="240" w:lineRule="auto" w:before="119" w:after="0"/>
        <w:ind w:left="1200" w:right="862" w:hanging="360"/>
        <w:jc w:val="left"/>
        <w:rPr>
          <w:sz w:val="22"/>
        </w:rPr>
      </w:pPr>
      <w:r>
        <w:rPr>
          <w:sz w:val="22"/>
        </w:rPr>
        <w:t>a</w:t>
      </w:r>
      <w:r>
        <w:rPr>
          <w:spacing w:val="-1"/>
          <w:sz w:val="22"/>
        </w:rPr>
        <w:t> </w:t>
      </w:r>
      <w:r>
        <w:rPr>
          <w:sz w:val="22"/>
        </w:rPr>
        <w:t>statement</w:t>
      </w:r>
      <w:r>
        <w:rPr>
          <w:spacing w:val="-4"/>
          <w:sz w:val="22"/>
        </w:rPr>
        <w:t> </w:t>
      </w:r>
      <w:r>
        <w:rPr>
          <w:sz w:val="22"/>
        </w:rPr>
        <w:t>as</w:t>
      </w:r>
      <w:r>
        <w:rPr>
          <w:spacing w:val="-4"/>
          <w:sz w:val="22"/>
        </w:rPr>
        <w:t> </w:t>
      </w:r>
      <w:r>
        <w:rPr>
          <w:sz w:val="22"/>
        </w:rPr>
        <w:t>to</w:t>
      </w:r>
      <w:r>
        <w:rPr>
          <w:spacing w:val="-4"/>
          <w:sz w:val="22"/>
        </w:rPr>
        <w:t> </w:t>
      </w:r>
      <w:r>
        <w:rPr>
          <w:sz w:val="22"/>
        </w:rPr>
        <w:t>whether</w:t>
      </w:r>
      <w:r>
        <w:rPr>
          <w:spacing w:val="-2"/>
          <w:sz w:val="22"/>
        </w:rPr>
        <w:t> </w:t>
      </w:r>
      <w:r>
        <w:rPr>
          <w:sz w:val="22"/>
        </w:rPr>
        <w:t>the</w:t>
      </w:r>
      <w:r>
        <w:rPr>
          <w:spacing w:val="-4"/>
          <w:sz w:val="22"/>
        </w:rPr>
        <w:t> </w:t>
      </w:r>
      <w:r>
        <w:rPr>
          <w:sz w:val="22"/>
        </w:rPr>
        <w:t>rates</w:t>
      </w:r>
      <w:r>
        <w:rPr>
          <w:spacing w:val="-4"/>
          <w:sz w:val="22"/>
        </w:rPr>
        <w:t> </w:t>
      </w:r>
      <w:r>
        <w:rPr>
          <w:sz w:val="22"/>
        </w:rPr>
        <w:t>will</w:t>
      </w:r>
      <w:r>
        <w:rPr>
          <w:spacing w:val="-2"/>
          <w:sz w:val="22"/>
        </w:rPr>
        <w:t> </w:t>
      </w:r>
      <w:r>
        <w:rPr>
          <w:sz w:val="22"/>
        </w:rPr>
        <w:t>be</w:t>
      </w:r>
      <w:r>
        <w:rPr>
          <w:spacing w:val="-1"/>
          <w:sz w:val="22"/>
        </w:rPr>
        <w:t> </w:t>
      </w:r>
      <w:r>
        <w:rPr>
          <w:sz w:val="22"/>
        </w:rPr>
        <w:t>raised</w:t>
      </w:r>
      <w:r>
        <w:rPr>
          <w:spacing w:val="-4"/>
          <w:sz w:val="22"/>
        </w:rPr>
        <w:t> </w:t>
      </w:r>
      <w:r>
        <w:rPr>
          <w:sz w:val="22"/>
        </w:rPr>
        <w:t>by</w:t>
      </w:r>
      <w:r>
        <w:rPr>
          <w:spacing w:val="-4"/>
          <w:sz w:val="22"/>
        </w:rPr>
        <w:t> </w:t>
      </w:r>
      <w:r>
        <w:rPr>
          <w:sz w:val="22"/>
        </w:rPr>
        <w:t>the</w:t>
      </w:r>
      <w:r>
        <w:rPr>
          <w:spacing w:val="-1"/>
          <w:sz w:val="22"/>
        </w:rPr>
        <w:t> </w:t>
      </w:r>
      <w:r>
        <w:rPr>
          <w:sz w:val="22"/>
        </w:rPr>
        <w:t>application</w:t>
      </w:r>
      <w:r>
        <w:rPr>
          <w:spacing w:val="-3"/>
          <w:sz w:val="22"/>
        </w:rPr>
        <w:t> </w:t>
      </w:r>
      <w:r>
        <w:rPr>
          <w:sz w:val="22"/>
        </w:rPr>
        <w:t>of</w:t>
      </w:r>
      <w:r>
        <w:rPr>
          <w:spacing w:val="-4"/>
          <w:sz w:val="22"/>
        </w:rPr>
        <w:t> </w:t>
      </w:r>
      <w:r>
        <w:rPr>
          <w:sz w:val="22"/>
        </w:rPr>
        <w:t>a uniform</w:t>
      </w:r>
      <w:r>
        <w:rPr>
          <w:spacing w:val="-2"/>
          <w:sz w:val="22"/>
        </w:rPr>
        <w:t> </w:t>
      </w:r>
      <w:r>
        <w:rPr>
          <w:sz w:val="22"/>
        </w:rPr>
        <w:t>rate</w:t>
      </w:r>
      <w:r>
        <w:rPr>
          <w:spacing w:val="-2"/>
          <w:sz w:val="22"/>
        </w:rPr>
        <w:t> </w:t>
      </w:r>
      <w:r>
        <w:rPr>
          <w:sz w:val="22"/>
        </w:rPr>
        <w:t>or</w:t>
      </w:r>
      <w:r>
        <w:rPr>
          <w:spacing w:val="-1"/>
          <w:sz w:val="22"/>
        </w:rPr>
        <w:t> </w:t>
      </w:r>
      <w:r>
        <w:rPr>
          <w:sz w:val="22"/>
        </w:rPr>
        <w:t>a differential rate;</w:t>
      </w:r>
    </w:p>
    <w:p>
      <w:pPr>
        <w:pStyle w:val="ListParagraph"/>
        <w:numPr>
          <w:ilvl w:val="2"/>
          <w:numId w:val="1"/>
        </w:numPr>
        <w:tabs>
          <w:tab w:pos="1200" w:val="left" w:leader="none"/>
        </w:tabs>
        <w:spacing w:line="240" w:lineRule="auto" w:before="120" w:after="0"/>
        <w:ind w:left="1199" w:right="0" w:hanging="360"/>
        <w:jc w:val="left"/>
        <w:rPr>
          <w:sz w:val="22"/>
        </w:rPr>
      </w:pPr>
      <w:r>
        <w:rPr>
          <w:sz w:val="22"/>
        </w:rPr>
        <w:t>a</w:t>
      </w:r>
      <w:r>
        <w:rPr>
          <w:spacing w:val="-2"/>
          <w:sz w:val="22"/>
        </w:rPr>
        <w:t> </w:t>
      </w:r>
      <w:r>
        <w:rPr>
          <w:sz w:val="22"/>
        </w:rPr>
        <w:t>description</w:t>
      </w:r>
      <w:r>
        <w:rPr>
          <w:spacing w:val="-3"/>
          <w:sz w:val="22"/>
        </w:rPr>
        <w:t> </w:t>
      </w:r>
      <w:r>
        <w:rPr>
          <w:sz w:val="22"/>
        </w:rPr>
        <w:t>of</w:t>
      </w:r>
      <w:r>
        <w:rPr>
          <w:spacing w:val="-1"/>
          <w:sz w:val="22"/>
        </w:rPr>
        <w:t> </w:t>
      </w:r>
      <w:r>
        <w:rPr>
          <w:sz w:val="22"/>
        </w:rPr>
        <w:t>any</w:t>
      </w:r>
      <w:r>
        <w:rPr>
          <w:spacing w:val="-5"/>
          <w:sz w:val="22"/>
        </w:rPr>
        <w:t> </w:t>
      </w:r>
      <w:r>
        <w:rPr>
          <w:sz w:val="22"/>
        </w:rPr>
        <w:t>fixed</w:t>
      </w:r>
      <w:r>
        <w:rPr>
          <w:spacing w:val="-4"/>
          <w:sz w:val="22"/>
        </w:rPr>
        <w:t> </w:t>
      </w:r>
      <w:r>
        <w:rPr>
          <w:sz w:val="22"/>
        </w:rPr>
        <w:t>component</w:t>
      </w:r>
      <w:r>
        <w:rPr>
          <w:spacing w:val="-1"/>
          <w:sz w:val="22"/>
        </w:rPr>
        <w:t> </w:t>
      </w:r>
      <w:r>
        <w:rPr>
          <w:sz w:val="22"/>
        </w:rPr>
        <w:t>of</w:t>
      </w:r>
      <w:r>
        <w:rPr>
          <w:spacing w:val="-3"/>
          <w:sz w:val="22"/>
        </w:rPr>
        <w:t> </w:t>
      </w:r>
      <w:r>
        <w:rPr>
          <w:sz w:val="22"/>
        </w:rPr>
        <w:t>the</w:t>
      </w:r>
      <w:r>
        <w:rPr>
          <w:spacing w:val="-3"/>
          <w:sz w:val="22"/>
        </w:rPr>
        <w:t> </w:t>
      </w:r>
      <w:r>
        <w:rPr>
          <w:sz w:val="22"/>
        </w:rPr>
        <w:t>rates,</w:t>
      </w:r>
      <w:r>
        <w:rPr>
          <w:spacing w:val="-7"/>
          <w:sz w:val="22"/>
        </w:rPr>
        <w:t> </w:t>
      </w:r>
      <w:r>
        <w:rPr>
          <w:sz w:val="22"/>
        </w:rPr>
        <w:t>if </w:t>
      </w:r>
      <w:r>
        <w:rPr>
          <w:spacing w:val="-2"/>
          <w:sz w:val="22"/>
        </w:rPr>
        <w:t>applicable;</w:t>
      </w:r>
    </w:p>
    <w:p>
      <w:pPr>
        <w:pStyle w:val="ListParagraph"/>
        <w:numPr>
          <w:ilvl w:val="2"/>
          <w:numId w:val="1"/>
        </w:numPr>
        <w:tabs>
          <w:tab w:pos="1200" w:val="left" w:leader="none"/>
        </w:tabs>
        <w:spacing w:line="240" w:lineRule="auto" w:before="119" w:after="0"/>
        <w:ind w:left="1200" w:right="656" w:hanging="360"/>
        <w:jc w:val="left"/>
        <w:rPr>
          <w:sz w:val="22"/>
        </w:rPr>
      </w:pPr>
      <w:r>
        <w:rPr>
          <w:sz w:val="22"/>
        </w:rPr>
        <w:t>if</w:t>
      </w:r>
      <w:r>
        <w:rPr>
          <w:spacing w:val="-2"/>
          <w:sz w:val="22"/>
        </w:rPr>
        <w:t> </w:t>
      </w:r>
      <w:r>
        <w:rPr>
          <w:sz w:val="22"/>
        </w:rPr>
        <w:t>the</w:t>
      </w:r>
      <w:r>
        <w:rPr>
          <w:spacing w:val="-4"/>
          <w:sz w:val="22"/>
        </w:rPr>
        <w:t> </w:t>
      </w:r>
      <w:r>
        <w:rPr>
          <w:sz w:val="22"/>
        </w:rPr>
        <w:t>Council</w:t>
      </w:r>
      <w:r>
        <w:rPr>
          <w:spacing w:val="-2"/>
          <w:sz w:val="22"/>
        </w:rPr>
        <w:t> </w:t>
      </w:r>
      <w:r>
        <w:rPr>
          <w:sz w:val="22"/>
        </w:rPr>
        <w:t>proposes</w:t>
      </w:r>
      <w:r>
        <w:rPr>
          <w:spacing w:val="-6"/>
          <w:sz w:val="22"/>
        </w:rPr>
        <w:t> </w:t>
      </w:r>
      <w:r>
        <w:rPr>
          <w:sz w:val="22"/>
        </w:rPr>
        <w:t>to</w:t>
      </w:r>
      <w:r>
        <w:rPr>
          <w:spacing w:val="-1"/>
          <w:sz w:val="22"/>
        </w:rPr>
        <w:t> </w:t>
      </w:r>
      <w:r>
        <w:rPr>
          <w:sz w:val="22"/>
        </w:rPr>
        <w:t>declare</w:t>
      </w:r>
      <w:r>
        <w:rPr>
          <w:spacing w:val="-2"/>
          <w:sz w:val="22"/>
        </w:rPr>
        <w:t> </w:t>
      </w:r>
      <w:r>
        <w:rPr>
          <w:sz w:val="22"/>
        </w:rPr>
        <w:t>a</w:t>
      </w:r>
      <w:r>
        <w:rPr>
          <w:spacing w:val="-4"/>
          <w:sz w:val="22"/>
        </w:rPr>
        <w:t> </w:t>
      </w:r>
      <w:r>
        <w:rPr>
          <w:sz w:val="22"/>
        </w:rPr>
        <w:t>uniform</w:t>
      </w:r>
      <w:r>
        <w:rPr>
          <w:spacing w:val="-2"/>
          <w:sz w:val="22"/>
        </w:rPr>
        <w:t> </w:t>
      </w:r>
      <w:r>
        <w:rPr>
          <w:sz w:val="22"/>
        </w:rPr>
        <w:t>rate,</w:t>
      </w:r>
      <w:r>
        <w:rPr>
          <w:spacing w:val="-4"/>
          <w:sz w:val="22"/>
        </w:rPr>
        <w:t> </w:t>
      </w:r>
      <w:r>
        <w:rPr>
          <w:sz w:val="22"/>
        </w:rPr>
        <w:t>the</w:t>
      </w:r>
      <w:r>
        <w:rPr>
          <w:spacing w:val="-4"/>
          <w:sz w:val="22"/>
        </w:rPr>
        <w:t> </w:t>
      </w:r>
      <w:r>
        <w:rPr>
          <w:sz w:val="22"/>
        </w:rPr>
        <w:t>matters</w:t>
      </w:r>
      <w:r>
        <w:rPr>
          <w:spacing w:val="-4"/>
          <w:sz w:val="22"/>
        </w:rPr>
        <w:t> </w:t>
      </w:r>
      <w:r>
        <w:rPr>
          <w:sz w:val="22"/>
        </w:rPr>
        <w:t>specified</w:t>
      </w:r>
      <w:r>
        <w:rPr>
          <w:spacing w:val="-1"/>
          <w:sz w:val="22"/>
        </w:rPr>
        <w:t> </w:t>
      </w:r>
      <w:r>
        <w:rPr>
          <w:sz w:val="22"/>
        </w:rPr>
        <w:t>in</w:t>
      </w:r>
      <w:r>
        <w:rPr>
          <w:spacing w:val="-2"/>
          <w:sz w:val="22"/>
        </w:rPr>
        <w:t> </w:t>
      </w:r>
      <w:r>
        <w:rPr>
          <w:sz w:val="22"/>
        </w:rPr>
        <w:t>section 160</w:t>
      </w:r>
      <w:r>
        <w:rPr>
          <w:spacing w:val="-2"/>
          <w:sz w:val="22"/>
        </w:rPr>
        <w:t> </w:t>
      </w:r>
      <w:r>
        <w:rPr>
          <w:sz w:val="22"/>
        </w:rPr>
        <w:t>of</w:t>
      </w:r>
      <w:r>
        <w:rPr>
          <w:spacing w:val="-4"/>
          <w:sz w:val="22"/>
        </w:rPr>
        <w:t> </w:t>
      </w:r>
      <w:r>
        <w:rPr>
          <w:sz w:val="22"/>
        </w:rPr>
        <w:t>the Local Government Act 1989;</w:t>
      </w:r>
    </w:p>
    <w:p>
      <w:pPr>
        <w:pStyle w:val="ListParagraph"/>
        <w:numPr>
          <w:ilvl w:val="2"/>
          <w:numId w:val="1"/>
        </w:numPr>
        <w:tabs>
          <w:tab w:pos="1200" w:val="left" w:leader="none"/>
          <w:tab w:pos="1202" w:val="left" w:leader="none"/>
        </w:tabs>
        <w:spacing w:line="240" w:lineRule="auto" w:before="121" w:after="0"/>
        <w:ind w:left="1200" w:right="204" w:hanging="360"/>
        <w:jc w:val="left"/>
        <w:rPr>
          <w:sz w:val="22"/>
        </w:rPr>
      </w:pPr>
      <w:r>
        <w:rPr>
          <w:sz w:val="22"/>
        </w:rPr>
        <w:t>if the</w:t>
      </w:r>
      <w:r>
        <w:rPr>
          <w:spacing w:val="-4"/>
          <w:sz w:val="22"/>
        </w:rPr>
        <w:t> </w:t>
      </w:r>
      <w:r>
        <w:rPr>
          <w:sz w:val="22"/>
        </w:rPr>
        <w:t>Council</w:t>
      </w:r>
      <w:r>
        <w:rPr>
          <w:spacing w:val="-2"/>
          <w:sz w:val="22"/>
        </w:rPr>
        <w:t> </w:t>
      </w:r>
      <w:r>
        <w:rPr>
          <w:sz w:val="22"/>
        </w:rPr>
        <w:t>proposes</w:t>
      </w:r>
      <w:r>
        <w:rPr>
          <w:spacing w:val="-4"/>
          <w:sz w:val="22"/>
        </w:rPr>
        <w:t> </w:t>
      </w:r>
      <w:r>
        <w:rPr>
          <w:sz w:val="22"/>
        </w:rPr>
        <w:t>to</w:t>
      </w:r>
      <w:r>
        <w:rPr>
          <w:spacing w:val="-1"/>
          <w:sz w:val="22"/>
        </w:rPr>
        <w:t> </w:t>
      </w:r>
      <w:r>
        <w:rPr>
          <w:sz w:val="22"/>
        </w:rPr>
        <w:t>declare</w:t>
      </w:r>
      <w:r>
        <w:rPr>
          <w:spacing w:val="-4"/>
          <w:sz w:val="22"/>
        </w:rPr>
        <w:t> </w:t>
      </w:r>
      <w:r>
        <w:rPr>
          <w:sz w:val="22"/>
        </w:rPr>
        <w:t>a</w:t>
      </w:r>
      <w:r>
        <w:rPr>
          <w:spacing w:val="-4"/>
          <w:sz w:val="22"/>
        </w:rPr>
        <w:t> </w:t>
      </w:r>
      <w:r>
        <w:rPr>
          <w:sz w:val="22"/>
        </w:rPr>
        <w:t>differential</w:t>
      </w:r>
      <w:r>
        <w:rPr>
          <w:spacing w:val="-2"/>
          <w:sz w:val="22"/>
        </w:rPr>
        <w:t> </w:t>
      </w:r>
      <w:r>
        <w:rPr>
          <w:sz w:val="22"/>
        </w:rPr>
        <w:t>rate</w:t>
      </w:r>
      <w:r>
        <w:rPr>
          <w:spacing w:val="-2"/>
          <w:sz w:val="22"/>
        </w:rPr>
        <w:t> </w:t>
      </w:r>
      <w:r>
        <w:rPr>
          <w:sz w:val="22"/>
        </w:rPr>
        <w:t>for</w:t>
      </w:r>
      <w:r>
        <w:rPr>
          <w:spacing w:val="-2"/>
          <w:sz w:val="22"/>
        </w:rPr>
        <w:t> </w:t>
      </w:r>
      <w:r>
        <w:rPr>
          <w:sz w:val="22"/>
        </w:rPr>
        <w:t>any</w:t>
      </w:r>
      <w:r>
        <w:rPr>
          <w:spacing w:val="-2"/>
          <w:sz w:val="22"/>
        </w:rPr>
        <w:t> </w:t>
      </w:r>
      <w:r>
        <w:rPr>
          <w:sz w:val="22"/>
        </w:rPr>
        <w:t>land,</w:t>
      </w:r>
      <w:r>
        <w:rPr>
          <w:spacing w:val="-4"/>
          <w:sz w:val="22"/>
        </w:rPr>
        <w:t> </w:t>
      </w:r>
      <w:r>
        <w:rPr>
          <w:sz w:val="22"/>
        </w:rPr>
        <w:t>the</w:t>
      </w:r>
      <w:r>
        <w:rPr>
          <w:spacing w:val="-4"/>
          <w:sz w:val="22"/>
        </w:rPr>
        <w:t> </w:t>
      </w:r>
      <w:r>
        <w:rPr>
          <w:sz w:val="22"/>
        </w:rPr>
        <w:t>matters</w:t>
      </w:r>
      <w:r>
        <w:rPr>
          <w:spacing w:val="-2"/>
          <w:sz w:val="22"/>
        </w:rPr>
        <w:t> </w:t>
      </w:r>
      <w:r>
        <w:rPr>
          <w:sz w:val="22"/>
        </w:rPr>
        <w:t>specified</w:t>
      </w:r>
      <w:r>
        <w:rPr>
          <w:spacing w:val="-2"/>
          <w:sz w:val="22"/>
        </w:rPr>
        <w:t> </w:t>
      </w:r>
      <w:r>
        <w:rPr>
          <w:sz w:val="22"/>
        </w:rPr>
        <w:t>in</w:t>
      </w:r>
      <w:r>
        <w:rPr>
          <w:spacing w:val="-1"/>
          <w:sz w:val="22"/>
        </w:rPr>
        <w:t> </w:t>
      </w:r>
      <w:r>
        <w:rPr>
          <w:sz w:val="22"/>
        </w:rPr>
        <w:t>section 161(2) of the Local Government Act 1989;</w:t>
      </w:r>
    </w:p>
    <w:p>
      <w:pPr>
        <w:pStyle w:val="ListParagraph"/>
        <w:numPr>
          <w:ilvl w:val="2"/>
          <w:numId w:val="1"/>
        </w:numPr>
        <w:tabs>
          <w:tab w:pos="1199" w:val="left" w:leader="none"/>
          <w:tab w:pos="1200" w:val="left" w:leader="none"/>
        </w:tabs>
        <w:spacing w:line="240" w:lineRule="auto" w:before="120" w:after="0"/>
        <w:ind w:left="1199" w:right="0" w:hanging="360"/>
        <w:jc w:val="left"/>
        <w:rPr>
          <w:sz w:val="22"/>
        </w:rPr>
      </w:pPr>
      <w:r>
        <w:rPr>
          <w:sz w:val="22"/>
        </w:rPr>
        <w:t>any</w:t>
      </w:r>
      <w:r>
        <w:rPr>
          <w:spacing w:val="-2"/>
          <w:sz w:val="22"/>
        </w:rPr>
        <w:t> </w:t>
      </w:r>
      <w:r>
        <w:rPr>
          <w:sz w:val="22"/>
        </w:rPr>
        <w:t>other</w:t>
      </w:r>
      <w:r>
        <w:rPr>
          <w:spacing w:val="-4"/>
          <w:sz w:val="22"/>
        </w:rPr>
        <w:t> </w:t>
      </w:r>
      <w:r>
        <w:rPr>
          <w:sz w:val="22"/>
        </w:rPr>
        <w:t>information</w:t>
      </w:r>
      <w:r>
        <w:rPr>
          <w:spacing w:val="-3"/>
          <w:sz w:val="22"/>
        </w:rPr>
        <w:t> </w:t>
      </w:r>
      <w:r>
        <w:rPr>
          <w:sz w:val="22"/>
        </w:rPr>
        <w:t>prescribed</w:t>
      </w:r>
      <w:r>
        <w:rPr>
          <w:spacing w:val="-3"/>
          <w:sz w:val="22"/>
        </w:rPr>
        <w:t> </w:t>
      </w:r>
      <w:r>
        <w:rPr>
          <w:sz w:val="22"/>
        </w:rPr>
        <w:t>by</w:t>
      </w:r>
      <w:r>
        <w:rPr>
          <w:spacing w:val="-6"/>
          <w:sz w:val="22"/>
        </w:rPr>
        <w:t> </w:t>
      </w:r>
      <w:r>
        <w:rPr>
          <w:sz w:val="22"/>
        </w:rPr>
        <w:t>the</w:t>
      </w:r>
      <w:r>
        <w:rPr>
          <w:spacing w:val="-5"/>
          <w:sz w:val="22"/>
        </w:rPr>
        <w:t> </w:t>
      </w:r>
      <w:r>
        <w:rPr>
          <w:spacing w:val="-2"/>
          <w:sz w:val="22"/>
        </w:rPr>
        <w:t>regulations.</w:t>
      </w:r>
    </w:p>
    <w:p>
      <w:pPr>
        <w:pStyle w:val="ListParagraph"/>
        <w:numPr>
          <w:ilvl w:val="1"/>
          <w:numId w:val="1"/>
        </w:numPr>
        <w:tabs>
          <w:tab w:pos="840" w:val="left" w:leader="none"/>
        </w:tabs>
        <w:spacing w:line="240" w:lineRule="auto" w:before="121" w:after="0"/>
        <w:ind w:left="839" w:right="0" w:hanging="360"/>
        <w:jc w:val="left"/>
        <w:rPr>
          <w:sz w:val="22"/>
        </w:rPr>
      </w:pPr>
      <w:r>
        <w:rPr>
          <w:sz w:val="22"/>
        </w:rPr>
        <w:t>The</w:t>
      </w:r>
      <w:r>
        <w:rPr>
          <w:spacing w:val="-5"/>
          <w:sz w:val="22"/>
        </w:rPr>
        <w:t> </w:t>
      </w:r>
      <w:r>
        <w:rPr>
          <w:sz w:val="22"/>
        </w:rPr>
        <w:t>Council</w:t>
      </w:r>
      <w:r>
        <w:rPr>
          <w:spacing w:val="-3"/>
          <w:sz w:val="22"/>
        </w:rPr>
        <w:t> </w:t>
      </w:r>
      <w:r>
        <w:rPr>
          <w:sz w:val="22"/>
        </w:rPr>
        <w:t>must</w:t>
      </w:r>
      <w:r>
        <w:rPr>
          <w:spacing w:val="-2"/>
          <w:sz w:val="22"/>
        </w:rPr>
        <w:t> </w:t>
      </w:r>
      <w:r>
        <w:rPr>
          <w:sz w:val="22"/>
        </w:rPr>
        <w:t>ensure</w:t>
      </w:r>
      <w:r>
        <w:rPr>
          <w:spacing w:val="-4"/>
          <w:sz w:val="22"/>
        </w:rPr>
        <w:t> </w:t>
      </w:r>
      <w:r>
        <w:rPr>
          <w:sz w:val="22"/>
        </w:rPr>
        <w:t>that,</w:t>
      </w:r>
      <w:r>
        <w:rPr>
          <w:spacing w:val="-4"/>
          <w:sz w:val="22"/>
        </w:rPr>
        <w:t> </w:t>
      </w:r>
      <w:r>
        <w:rPr>
          <w:sz w:val="22"/>
        </w:rPr>
        <w:t>if</w:t>
      </w:r>
      <w:r>
        <w:rPr>
          <w:spacing w:val="-2"/>
          <w:sz w:val="22"/>
        </w:rPr>
        <w:t> </w:t>
      </w:r>
      <w:r>
        <w:rPr>
          <w:sz w:val="22"/>
        </w:rPr>
        <w:t>applicable,</w:t>
      </w:r>
      <w:r>
        <w:rPr>
          <w:spacing w:val="-2"/>
          <w:sz w:val="22"/>
        </w:rPr>
        <w:t> </w:t>
      </w:r>
      <w:r>
        <w:rPr>
          <w:sz w:val="22"/>
        </w:rPr>
        <w:t>the</w:t>
      </w:r>
      <w:r>
        <w:rPr>
          <w:spacing w:val="-5"/>
          <w:sz w:val="22"/>
        </w:rPr>
        <w:t> </w:t>
      </w:r>
      <w:r>
        <w:rPr>
          <w:sz w:val="22"/>
        </w:rPr>
        <w:t>budget</w:t>
      </w:r>
      <w:r>
        <w:rPr>
          <w:spacing w:val="-1"/>
          <w:sz w:val="22"/>
        </w:rPr>
        <w:t> </w:t>
      </w:r>
      <w:r>
        <w:rPr>
          <w:sz w:val="22"/>
        </w:rPr>
        <w:t>also</w:t>
      </w:r>
      <w:r>
        <w:rPr>
          <w:spacing w:val="-5"/>
          <w:sz w:val="22"/>
        </w:rPr>
        <w:t> </w:t>
      </w:r>
      <w:r>
        <w:rPr>
          <w:sz w:val="22"/>
        </w:rPr>
        <w:t>contains</w:t>
      </w:r>
      <w:r>
        <w:rPr>
          <w:spacing w:val="-5"/>
          <w:sz w:val="22"/>
        </w:rPr>
        <w:t> </w:t>
      </w:r>
      <w:r>
        <w:rPr>
          <w:sz w:val="22"/>
        </w:rPr>
        <w:t>a</w:t>
      </w:r>
      <w:r>
        <w:rPr>
          <w:spacing w:val="-1"/>
          <w:sz w:val="22"/>
        </w:rPr>
        <w:t> </w:t>
      </w:r>
      <w:r>
        <w:rPr>
          <w:spacing w:val="-2"/>
          <w:sz w:val="22"/>
        </w:rPr>
        <w:t>statement—</w:t>
      </w:r>
    </w:p>
    <w:p>
      <w:pPr>
        <w:pStyle w:val="ListParagraph"/>
        <w:numPr>
          <w:ilvl w:val="2"/>
          <w:numId w:val="1"/>
        </w:numPr>
        <w:tabs>
          <w:tab w:pos="1200" w:val="left" w:leader="none"/>
        </w:tabs>
        <w:spacing w:line="240" w:lineRule="auto" w:before="119" w:after="0"/>
        <w:ind w:left="1200" w:right="356" w:hanging="360"/>
        <w:jc w:val="left"/>
        <w:rPr>
          <w:sz w:val="22"/>
        </w:rPr>
      </w:pPr>
      <w:r>
        <w:rPr>
          <w:sz w:val="22"/>
        </w:rPr>
        <w:t>that</w:t>
      </w:r>
      <w:r>
        <w:rPr>
          <w:spacing w:val="-1"/>
          <w:sz w:val="22"/>
        </w:rPr>
        <w:t> </w:t>
      </w:r>
      <w:r>
        <w:rPr>
          <w:sz w:val="22"/>
        </w:rPr>
        <w:t>the</w:t>
      </w:r>
      <w:r>
        <w:rPr>
          <w:spacing w:val="-4"/>
          <w:sz w:val="22"/>
        </w:rPr>
        <w:t> </w:t>
      </w:r>
      <w:r>
        <w:rPr>
          <w:sz w:val="22"/>
        </w:rPr>
        <w:t>Council</w:t>
      </w:r>
      <w:r>
        <w:rPr>
          <w:spacing w:val="-5"/>
          <w:sz w:val="22"/>
        </w:rPr>
        <w:t> </w:t>
      </w:r>
      <w:r>
        <w:rPr>
          <w:sz w:val="22"/>
        </w:rPr>
        <w:t>intends</w:t>
      </w:r>
      <w:r>
        <w:rPr>
          <w:spacing w:val="-4"/>
          <w:sz w:val="22"/>
        </w:rPr>
        <w:t> </w:t>
      </w:r>
      <w:r>
        <w:rPr>
          <w:sz w:val="22"/>
        </w:rPr>
        <w:t>to</w:t>
      </w:r>
      <w:r>
        <w:rPr>
          <w:spacing w:val="-2"/>
          <w:sz w:val="22"/>
        </w:rPr>
        <w:t> </w:t>
      </w:r>
      <w:r>
        <w:rPr>
          <w:sz w:val="22"/>
        </w:rPr>
        <w:t>apply</w:t>
      </w:r>
      <w:r>
        <w:rPr>
          <w:spacing w:val="-2"/>
          <w:sz w:val="22"/>
        </w:rPr>
        <w:t> </w:t>
      </w:r>
      <w:r>
        <w:rPr>
          <w:sz w:val="22"/>
        </w:rPr>
        <w:t>for</w:t>
      </w:r>
      <w:r>
        <w:rPr>
          <w:spacing w:val="-1"/>
          <w:sz w:val="22"/>
        </w:rPr>
        <w:t> </w:t>
      </w:r>
      <w:r>
        <w:rPr>
          <w:sz w:val="22"/>
        </w:rPr>
        <w:t>a</w:t>
      </w:r>
      <w:r>
        <w:rPr>
          <w:spacing w:val="-3"/>
          <w:sz w:val="22"/>
        </w:rPr>
        <w:t> </w:t>
      </w:r>
      <w:r>
        <w:rPr>
          <w:sz w:val="22"/>
        </w:rPr>
        <w:t>special</w:t>
      </w:r>
      <w:r>
        <w:rPr>
          <w:spacing w:val="-4"/>
          <w:sz w:val="22"/>
        </w:rPr>
        <w:t> </w:t>
      </w:r>
      <w:r>
        <w:rPr>
          <w:sz w:val="22"/>
        </w:rPr>
        <w:t>Order</w:t>
      </w:r>
      <w:r>
        <w:rPr>
          <w:spacing w:val="-2"/>
          <w:sz w:val="22"/>
        </w:rPr>
        <w:t> </w:t>
      </w:r>
      <w:r>
        <w:rPr>
          <w:sz w:val="22"/>
        </w:rPr>
        <w:t>to increase</w:t>
      </w:r>
      <w:r>
        <w:rPr>
          <w:spacing w:val="-5"/>
          <w:sz w:val="22"/>
        </w:rPr>
        <w:t> </w:t>
      </w:r>
      <w:r>
        <w:rPr>
          <w:sz w:val="22"/>
        </w:rPr>
        <w:t>the Council's</w:t>
      </w:r>
      <w:r>
        <w:rPr>
          <w:spacing w:val="-2"/>
          <w:sz w:val="22"/>
        </w:rPr>
        <w:t> </w:t>
      </w:r>
      <w:r>
        <w:rPr>
          <w:sz w:val="22"/>
        </w:rPr>
        <w:t>average</w:t>
      </w:r>
      <w:r>
        <w:rPr>
          <w:spacing w:val="-4"/>
          <w:sz w:val="22"/>
        </w:rPr>
        <w:t> </w:t>
      </w:r>
      <w:r>
        <w:rPr>
          <w:sz w:val="22"/>
        </w:rPr>
        <w:t>rate</w:t>
      </w:r>
      <w:r>
        <w:rPr>
          <w:spacing w:val="-6"/>
          <w:sz w:val="22"/>
        </w:rPr>
        <w:t> </w:t>
      </w:r>
      <w:r>
        <w:rPr>
          <w:sz w:val="22"/>
        </w:rPr>
        <w:t>cap for the financial year or any other financial year; or</w:t>
      </w:r>
    </w:p>
    <w:p>
      <w:pPr>
        <w:pStyle w:val="ListParagraph"/>
        <w:numPr>
          <w:ilvl w:val="2"/>
          <w:numId w:val="1"/>
        </w:numPr>
        <w:tabs>
          <w:tab w:pos="1200" w:val="left" w:leader="none"/>
        </w:tabs>
        <w:spacing w:line="240" w:lineRule="auto" w:before="121" w:after="0"/>
        <w:ind w:left="1200" w:right="470" w:hanging="360"/>
        <w:jc w:val="left"/>
        <w:rPr>
          <w:sz w:val="22"/>
        </w:rPr>
      </w:pPr>
      <w:r>
        <w:rPr>
          <w:sz w:val="22"/>
        </w:rPr>
        <w:t>that</w:t>
      </w:r>
      <w:r>
        <w:rPr>
          <w:spacing w:val="-1"/>
          <w:sz w:val="22"/>
        </w:rPr>
        <w:t> </w:t>
      </w:r>
      <w:r>
        <w:rPr>
          <w:sz w:val="22"/>
        </w:rPr>
        <w:t>the</w:t>
      </w:r>
      <w:r>
        <w:rPr>
          <w:spacing w:val="-4"/>
          <w:sz w:val="22"/>
        </w:rPr>
        <w:t> </w:t>
      </w:r>
      <w:r>
        <w:rPr>
          <w:sz w:val="22"/>
        </w:rPr>
        <w:t>Council</w:t>
      </w:r>
      <w:r>
        <w:rPr>
          <w:spacing w:val="-5"/>
          <w:sz w:val="22"/>
        </w:rPr>
        <w:t> </w:t>
      </w:r>
      <w:r>
        <w:rPr>
          <w:sz w:val="22"/>
        </w:rPr>
        <w:t>has</w:t>
      </w:r>
      <w:r>
        <w:rPr>
          <w:spacing w:val="-4"/>
          <w:sz w:val="22"/>
        </w:rPr>
        <w:t> </w:t>
      </w:r>
      <w:r>
        <w:rPr>
          <w:sz w:val="22"/>
        </w:rPr>
        <w:t>made</w:t>
      </w:r>
      <w:r>
        <w:rPr>
          <w:spacing w:val="-2"/>
          <w:sz w:val="22"/>
        </w:rPr>
        <w:t> </w:t>
      </w:r>
      <w:r>
        <w:rPr>
          <w:sz w:val="22"/>
        </w:rPr>
        <w:t>an application</w:t>
      </w:r>
      <w:r>
        <w:rPr>
          <w:spacing w:val="-4"/>
          <w:sz w:val="22"/>
        </w:rPr>
        <w:t> </w:t>
      </w:r>
      <w:r>
        <w:rPr>
          <w:sz w:val="22"/>
        </w:rPr>
        <w:t>to</w:t>
      </w:r>
      <w:r>
        <w:rPr>
          <w:spacing w:val="-2"/>
          <w:sz w:val="22"/>
        </w:rPr>
        <w:t> </w:t>
      </w:r>
      <w:r>
        <w:rPr>
          <w:sz w:val="22"/>
        </w:rPr>
        <w:t>the</w:t>
      </w:r>
      <w:r>
        <w:rPr>
          <w:spacing w:val="-2"/>
          <w:sz w:val="22"/>
        </w:rPr>
        <w:t> </w:t>
      </w:r>
      <w:r>
        <w:rPr>
          <w:sz w:val="22"/>
        </w:rPr>
        <w:t>ESC</w:t>
      </w:r>
      <w:r>
        <w:rPr>
          <w:spacing w:val="-2"/>
          <w:sz w:val="22"/>
        </w:rPr>
        <w:t> </w:t>
      </w:r>
      <w:r>
        <w:rPr>
          <w:sz w:val="22"/>
        </w:rPr>
        <w:t>for</w:t>
      </w:r>
      <w:r>
        <w:rPr>
          <w:spacing w:val="-2"/>
          <w:sz w:val="22"/>
        </w:rPr>
        <w:t> </w:t>
      </w:r>
      <w:r>
        <w:rPr>
          <w:sz w:val="22"/>
        </w:rPr>
        <w:t>a</w:t>
      </w:r>
      <w:r>
        <w:rPr>
          <w:spacing w:val="-1"/>
          <w:sz w:val="22"/>
        </w:rPr>
        <w:t> </w:t>
      </w:r>
      <w:r>
        <w:rPr>
          <w:sz w:val="22"/>
        </w:rPr>
        <w:t>special</w:t>
      </w:r>
      <w:r>
        <w:rPr>
          <w:spacing w:val="-2"/>
          <w:sz w:val="22"/>
        </w:rPr>
        <w:t> </w:t>
      </w:r>
      <w:r>
        <w:rPr>
          <w:sz w:val="22"/>
        </w:rPr>
        <w:t>Order</w:t>
      </w:r>
      <w:r>
        <w:rPr>
          <w:spacing w:val="-2"/>
          <w:sz w:val="22"/>
        </w:rPr>
        <w:t> </w:t>
      </w:r>
      <w:r>
        <w:rPr>
          <w:sz w:val="22"/>
        </w:rPr>
        <w:t>and</w:t>
      </w:r>
      <w:r>
        <w:rPr>
          <w:spacing w:val="-1"/>
          <w:sz w:val="22"/>
        </w:rPr>
        <w:t> </w:t>
      </w:r>
      <w:r>
        <w:rPr>
          <w:sz w:val="22"/>
        </w:rPr>
        <w:t>is waiting</w:t>
      </w:r>
      <w:r>
        <w:rPr>
          <w:spacing w:val="-4"/>
          <w:sz w:val="22"/>
        </w:rPr>
        <w:t> </w:t>
      </w:r>
      <w:r>
        <w:rPr>
          <w:sz w:val="22"/>
        </w:rPr>
        <w:t>for</w:t>
      </w:r>
      <w:r>
        <w:rPr>
          <w:spacing w:val="-2"/>
          <w:sz w:val="22"/>
        </w:rPr>
        <w:t> </w:t>
      </w:r>
      <w:r>
        <w:rPr>
          <w:sz w:val="22"/>
        </w:rPr>
        <w:t>the outcome of the application; or</w:t>
      </w:r>
    </w:p>
    <w:p>
      <w:pPr>
        <w:pStyle w:val="ListParagraph"/>
        <w:numPr>
          <w:ilvl w:val="2"/>
          <w:numId w:val="1"/>
        </w:numPr>
        <w:tabs>
          <w:tab w:pos="1201" w:val="left" w:leader="none"/>
        </w:tabs>
        <w:spacing w:line="240" w:lineRule="auto" w:before="120" w:after="0"/>
        <w:ind w:left="1200" w:right="471" w:hanging="360"/>
        <w:jc w:val="left"/>
        <w:rPr>
          <w:sz w:val="22"/>
        </w:rPr>
      </w:pPr>
      <w:r>
        <w:rPr>
          <w:sz w:val="22"/>
        </w:rPr>
        <w:t>that</w:t>
      </w:r>
      <w:r>
        <w:rPr>
          <w:spacing w:val="-1"/>
          <w:sz w:val="22"/>
        </w:rPr>
        <w:t> </w:t>
      </w:r>
      <w:r>
        <w:rPr>
          <w:sz w:val="22"/>
        </w:rPr>
        <w:t>a</w:t>
      </w:r>
      <w:r>
        <w:rPr>
          <w:spacing w:val="-1"/>
          <w:sz w:val="22"/>
        </w:rPr>
        <w:t> </w:t>
      </w:r>
      <w:r>
        <w:rPr>
          <w:sz w:val="22"/>
        </w:rPr>
        <w:t>special</w:t>
      </w:r>
      <w:r>
        <w:rPr>
          <w:spacing w:val="-1"/>
          <w:sz w:val="22"/>
        </w:rPr>
        <w:t> </w:t>
      </w:r>
      <w:r>
        <w:rPr>
          <w:sz w:val="22"/>
        </w:rPr>
        <w:t>Order</w:t>
      </w:r>
      <w:r>
        <w:rPr>
          <w:spacing w:val="-1"/>
          <w:sz w:val="22"/>
        </w:rPr>
        <w:t> </w:t>
      </w:r>
      <w:r>
        <w:rPr>
          <w:sz w:val="22"/>
        </w:rPr>
        <w:t>has</w:t>
      </w:r>
      <w:r>
        <w:rPr>
          <w:spacing w:val="-3"/>
          <w:sz w:val="22"/>
        </w:rPr>
        <w:t> </w:t>
      </w:r>
      <w:r>
        <w:rPr>
          <w:sz w:val="22"/>
        </w:rPr>
        <w:t>been</w:t>
      </w:r>
      <w:r>
        <w:rPr>
          <w:spacing w:val="-1"/>
          <w:sz w:val="22"/>
        </w:rPr>
        <w:t> </w:t>
      </w:r>
      <w:r>
        <w:rPr>
          <w:sz w:val="22"/>
        </w:rPr>
        <w:t>made</w:t>
      </w:r>
      <w:r>
        <w:rPr>
          <w:spacing w:val="-3"/>
          <w:sz w:val="22"/>
        </w:rPr>
        <w:t> </w:t>
      </w:r>
      <w:r>
        <w:rPr>
          <w:sz w:val="22"/>
        </w:rPr>
        <w:t>in</w:t>
      </w:r>
      <w:r>
        <w:rPr>
          <w:spacing w:val="-3"/>
          <w:sz w:val="22"/>
        </w:rPr>
        <w:t> </w:t>
      </w:r>
      <w:r>
        <w:rPr>
          <w:sz w:val="22"/>
        </w:rPr>
        <w:t>respect</w:t>
      </w:r>
      <w:r>
        <w:rPr>
          <w:spacing w:val="-3"/>
          <w:sz w:val="22"/>
        </w:rPr>
        <w:t> </w:t>
      </w:r>
      <w:r>
        <w:rPr>
          <w:sz w:val="22"/>
        </w:rPr>
        <w:t>of</w:t>
      </w:r>
      <w:r>
        <w:rPr>
          <w:spacing w:val="-3"/>
          <w:sz w:val="22"/>
        </w:rPr>
        <w:t> </w:t>
      </w:r>
      <w:r>
        <w:rPr>
          <w:sz w:val="22"/>
        </w:rPr>
        <w:t>the</w:t>
      </w:r>
      <w:r>
        <w:rPr>
          <w:spacing w:val="-1"/>
          <w:sz w:val="22"/>
        </w:rPr>
        <w:t> </w:t>
      </w:r>
      <w:r>
        <w:rPr>
          <w:sz w:val="22"/>
        </w:rPr>
        <w:t>Council</w:t>
      </w:r>
      <w:r>
        <w:rPr>
          <w:spacing w:val="-1"/>
          <w:sz w:val="22"/>
        </w:rPr>
        <w:t> </w:t>
      </w:r>
      <w:r>
        <w:rPr>
          <w:sz w:val="22"/>
        </w:rPr>
        <w:t>and</w:t>
      </w:r>
      <w:r>
        <w:rPr>
          <w:spacing w:val="-3"/>
          <w:sz w:val="22"/>
        </w:rPr>
        <w:t> </w:t>
      </w:r>
      <w:r>
        <w:rPr>
          <w:sz w:val="22"/>
        </w:rPr>
        <w:t>specifying the</w:t>
      </w:r>
      <w:r>
        <w:rPr>
          <w:spacing w:val="-3"/>
          <w:sz w:val="22"/>
        </w:rPr>
        <w:t> </w:t>
      </w:r>
      <w:r>
        <w:rPr>
          <w:sz w:val="22"/>
        </w:rPr>
        <w:t>average</w:t>
      </w:r>
      <w:r>
        <w:rPr>
          <w:spacing w:val="-5"/>
          <w:sz w:val="22"/>
        </w:rPr>
        <w:t> </w:t>
      </w:r>
      <w:r>
        <w:rPr>
          <w:sz w:val="22"/>
        </w:rPr>
        <w:t>rate cap that applies for the financial year or any other financial year.</w:t>
      </w:r>
    </w:p>
    <w:p>
      <w:pPr>
        <w:pStyle w:val="BodyText"/>
      </w:pPr>
    </w:p>
    <w:p>
      <w:pPr>
        <w:pStyle w:val="BodyText"/>
        <w:ind w:left="120"/>
      </w:pPr>
      <w:r>
        <w:rPr/>
        <w:t>Council</w:t>
      </w:r>
      <w:r>
        <w:rPr>
          <w:spacing w:val="-2"/>
        </w:rPr>
        <w:t> </w:t>
      </w:r>
      <w:r>
        <w:rPr/>
        <w:t>must</w:t>
      </w:r>
      <w:r>
        <w:rPr>
          <w:spacing w:val="-4"/>
        </w:rPr>
        <w:t> </w:t>
      </w:r>
      <w:r>
        <w:rPr/>
        <w:t>ensure</w:t>
      </w:r>
      <w:r>
        <w:rPr>
          <w:spacing w:val="-5"/>
        </w:rPr>
        <w:t> </w:t>
      </w:r>
      <w:r>
        <w:rPr/>
        <w:t>that</w:t>
      </w:r>
      <w:r>
        <w:rPr>
          <w:spacing w:val="-4"/>
        </w:rPr>
        <w:t> </w:t>
      </w:r>
      <w:r>
        <w:rPr/>
        <w:t>the</w:t>
      </w:r>
      <w:r>
        <w:rPr>
          <w:spacing w:val="-3"/>
        </w:rPr>
        <w:t> </w:t>
      </w:r>
      <w:r>
        <w:rPr/>
        <w:t>budget</w:t>
      </w:r>
      <w:r>
        <w:rPr>
          <w:spacing w:val="-2"/>
        </w:rPr>
        <w:t> </w:t>
      </w:r>
      <w:r>
        <w:rPr/>
        <w:t>contains</w:t>
      </w:r>
      <w:r>
        <w:rPr>
          <w:spacing w:val="-4"/>
        </w:rPr>
        <w:t> </w:t>
      </w:r>
      <w:r>
        <w:rPr/>
        <w:t>information</w:t>
      </w:r>
      <w:r>
        <w:rPr>
          <w:spacing w:val="-1"/>
        </w:rPr>
        <w:t> </w:t>
      </w:r>
      <w:r>
        <w:rPr/>
        <w:t>as</w:t>
      </w:r>
      <w:r>
        <w:rPr>
          <w:spacing w:val="-4"/>
        </w:rPr>
        <w:t> </w:t>
      </w:r>
      <w:r>
        <w:rPr/>
        <w:t>detailed</w:t>
      </w:r>
      <w:r>
        <w:rPr>
          <w:spacing w:val="-1"/>
        </w:rPr>
        <w:t> </w:t>
      </w:r>
      <w:r>
        <w:rPr/>
        <w:t>in</w:t>
      </w:r>
      <w:r>
        <w:rPr>
          <w:spacing w:val="-4"/>
        </w:rPr>
        <w:t> </w:t>
      </w:r>
      <w:r>
        <w:rPr/>
        <w:t>the</w:t>
      </w:r>
      <w:r>
        <w:rPr>
          <w:spacing w:val="-1"/>
        </w:rPr>
        <w:t> </w:t>
      </w:r>
      <w:r>
        <w:rPr/>
        <w:t>Act</w:t>
      </w:r>
      <w:r>
        <w:rPr>
          <w:spacing w:val="-4"/>
        </w:rPr>
        <w:t> </w:t>
      </w:r>
      <w:r>
        <w:rPr/>
        <w:t>and</w:t>
      </w:r>
      <w:r>
        <w:rPr>
          <w:spacing w:val="-4"/>
        </w:rPr>
        <w:t> </w:t>
      </w:r>
      <w:r>
        <w:rPr/>
        <w:t>the</w:t>
      </w:r>
      <w:r>
        <w:rPr>
          <w:spacing w:val="-1"/>
        </w:rPr>
        <w:t> </w:t>
      </w:r>
      <w:r>
        <w:rPr/>
        <w:t>Local</w:t>
      </w:r>
      <w:r>
        <w:rPr>
          <w:spacing w:val="-5"/>
        </w:rPr>
        <w:t> </w:t>
      </w:r>
      <w:r>
        <w:rPr/>
        <w:t>Government (Planning and Reporting) Regulations 2020:</w:t>
      </w:r>
    </w:p>
    <w:p>
      <w:pPr>
        <w:pStyle w:val="BodyText"/>
        <w:spacing w:before="4"/>
        <w:rPr>
          <w:sz w:val="32"/>
        </w:rPr>
      </w:pPr>
    </w:p>
    <w:p>
      <w:pPr>
        <w:pStyle w:val="ListParagraph"/>
        <w:numPr>
          <w:ilvl w:val="0"/>
          <w:numId w:val="10"/>
        </w:numPr>
        <w:tabs>
          <w:tab w:pos="840" w:val="left" w:leader="none"/>
        </w:tabs>
        <w:spacing w:line="240" w:lineRule="auto" w:before="0" w:after="0"/>
        <w:ind w:left="840" w:right="918" w:hanging="360"/>
        <w:jc w:val="left"/>
        <w:rPr>
          <w:sz w:val="22"/>
        </w:rPr>
      </w:pPr>
      <w:r>
        <w:rPr>
          <w:sz w:val="22"/>
        </w:rPr>
        <w:t>For</w:t>
      </w:r>
      <w:r>
        <w:rPr>
          <w:spacing w:val="-2"/>
          <w:sz w:val="22"/>
        </w:rPr>
        <w:t> </w:t>
      </w:r>
      <w:r>
        <w:rPr>
          <w:sz w:val="22"/>
        </w:rPr>
        <w:t>the</w:t>
      </w:r>
      <w:r>
        <w:rPr>
          <w:spacing w:val="-2"/>
          <w:sz w:val="22"/>
        </w:rPr>
        <w:t> </w:t>
      </w:r>
      <w:r>
        <w:rPr>
          <w:sz w:val="22"/>
        </w:rPr>
        <w:t>purposes</w:t>
      </w:r>
      <w:r>
        <w:rPr>
          <w:spacing w:val="-4"/>
          <w:sz w:val="22"/>
        </w:rPr>
        <w:t> </w:t>
      </w:r>
      <w:r>
        <w:rPr>
          <w:sz w:val="22"/>
        </w:rPr>
        <w:t>of</w:t>
      </w:r>
      <w:r>
        <w:rPr>
          <w:spacing w:val="-2"/>
          <w:sz w:val="22"/>
        </w:rPr>
        <w:t> </w:t>
      </w:r>
      <w:r>
        <w:rPr>
          <w:sz w:val="22"/>
        </w:rPr>
        <w:t>section</w:t>
      </w:r>
      <w:r>
        <w:rPr>
          <w:spacing w:val="-2"/>
          <w:sz w:val="22"/>
        </w:rPr>
        <w:t> </w:t>
      </w:r>
      <w:r>
        <w:rPr>
          <w:sz w:val="22"/>
        </w:rPr>
        <w:t>94(2)(a)</w:t>
      </w:r>
      <w:r>
        <w:rPr>
          <w:spacing w:val="-2"/>
          <w:sz w:val="22"/>
        </w:rPr>
        <w:t> </w:t>
      </w:r>
      <w:r>
        <w:rPr>
          <w:sz w:val="22"/>
        </w:rPr>
        <w:t>of</w:t>
      </w:r>
      <w:r>
        <w:rPr>
          <w:spacing w:val="-4"/>
          <w:sz w:val="22"/>
        </w:rPr>
        <w:t> </w:t>
      </w:r>
      <w:r>
        <w:rPr>
          <w:sz w:val="22"/>
        </w:rPr>
        <w:t>the</w:t>
      </w:r>
      <w:r>
        <w:rPr>
          <w:spacing w:val="-2"/>
          <w:sz w:val="22"/>
        </w:rPr>
        <w:t> </w:t>
      </w:r>
      <w:r>
        <w:rPr>
          <w:sz w:val="22"/>
        </w:rPr>
        <w:t>Act,</w:t>
      </w:r>
      <w:r>
        <w:rPr>
          <w:spacing w:val="-2"/>
          <w:sz w:val="22"/>
        </w:rPr>
        <w:t> </w:t>
      </w:r>
      <w:r>
        <w:rPr>
          <w:sz w:val="22"/>
        </w:rPr>
        <w:t>the</w:t>
      </w:r>
      <w:r>
        <w:rPr>
          <w:spacing w:val="-1"/>
          <w:sz w:val="22"/>
        </w:rPr>
        <w:t> </w:t>
      </w:r>
      <w:r>
        <w:rPr>
          <w:sz w:val="22"/>
        </w:rPr>
        <w:t>financial</w:t>
      </w:r>
      <w:r>
        <w:rPr>
          <w:spacing w:val="-2"/>
          <w:sz w:val="22"/>
        </w:rPr>
        <w:t> </w:t>
      </w:r>
      <w:r>
        <w:rPr>
          <w:sz w:val="22"/>
        </w:rPr>
        <w:t>statements</w:t>
      </w:r>
      <w:r>
        <w:rPr>
          <w:spacing w:val="-4"/>
          <w:sz w:val="22"/>
        </w:rPr>
        <w:t> </w:t>
      </w:r>
      <w:r>
        <w:rPr>
          <w:sz w:val="22"/>
        </w:rPr>
        <w:t>included</w:t>
      </w:r>
      <w:r>
        <w:rPr>
          <w:spacing w:val="-2"/>
          <w:sz w:val="22"/>
        </w:rPr>
        <w:t> </w:t>
      </w:r>
      <w:r>
        <w:rPr>
          <w:sz w:val="22"/>
        </w:rPr>
        <w:t>in</w:t>
      </w:r>
      <w:r>
        <w:rPr>
          <w:spacing w:val="-1"/>
          <w:sz w:val="22"/>
        </w:rPr>
        <w:t> </w:t>
      </w:r>
      <w:r>
        <w:rPr>
          <w:sz w:val="22"/>
        </w:rPr>
        <w:t>a</w:t>
      </w:r>
      <w:r>
        <w:rPr>
          <w:spacing w:val="-4"/>
          <w:sz w:val="22"/>
        </w:rPr>
        <w:t> </w:t>
      </w:r>
      <w:r>
        <w:rPr>
          <w:sz w:val="22"/>
        </w:rPr>
        <w:t>budget </w:t>
      </w:r>
      <w:r>
        <w:rPr>
          <w:spacing w:val="-2"/>
          <w:sz w:val="22"/>
        </w:rPr>
        <w:t>must—</w:t>
      </w:r>
    </w:p>
    <w:p>
      <w:pPr>
        <w:pStyle w:val="ListParagraph"/>
        <w:numPr>
          <w:ilvl w:val="1"/>
          <w:numId w:val="10"/>
        </w:numPr>
        <w:tabs>
          <w:tab w:pos="1200" w:val="left" w:leader="none"/>
        </w:tabs>
        <w:spacing w:line="240" w:lineRule="auto" w:before="121" w:after="0"/>
        <w:ind w:left="1199" w:right="0" w:hanging="360"/>
        <w:jc w:val="left"/>
        <w:rPr>
          <w:sz w:val="22"/>
        </w:rPr>
      </w:pPr>
      <w:r>
        <w:rPr>
          <w:sz w:val="22"/>
        </w:rPr>
        <w:t>contain</w:t>
      </w:r>
      <w:r>
        <w:rPr>
          <w:spacing w:val="-7"/>
          <w:sz w:val="22"/>
        </w:rPr>
        <w:t> </w:t>
      </w:r>
      <w:r>
        <w:rPr>
          <w:sz w:val="22"/>
        </w:rPr>
        <w:t>a</w:t>
      </w:r>
      <w:r>
        <w:rPr>
          <w:spacing w:val="-5"/>
          <w:sz w:val="22"/>
        </w:rPr>
        <w:t> </w:t>
      </w:r>
      <w:r>
        <w:rPr>
          <w:sz w:val="22"/>
        </w:rPr>
        <w:t>statement</w:t>
      </w:r>
      <w:r>
        <w:rPr>
          <w:spacing w:val="-1"/>
          <w:sz w:val="22"/>
        </w:rPr>
        <w:t> </w:t>
      </w:r>
      <w:r>
        <w:rPr>
          <w:sz w:val="22"/>
        </w:rPr>
        <w:t>of</w:t>
      </w:r>
      <w:r>
        <w:rPr>
          <w:spacing w:val="-5"/>
          <w:sz w:val="22"/>
        </w:rPr>
        <w:t> </w:t>
      </w:r>
      <w:r>
        <w:rPr>
          <w:sz w:val="22"/>
        </w:rPr>
        <w:t>capital</w:t>
      </w:r>
      <w:r>
        <w:rPr>
          <w:spacing w:val="-2"/>
          <w:sz w:val="22"/>
        </w:rPr>
        <w:t> </w:t>
      </w:r>
      <w:r>
        <w:rPr>
          <w:sz w:val="22"/>
        </w:rPr>
        <w:t>works</w:t>
      </w:r>
      <w:r>
        <w:rPr>
          <w:spacing w:val="-5"/>
          <w:sz w:val="22"/>
        </w:rPr>
        <w:t> </w:t>
      </w:r>
      <w:r>
        <w:rPr>
          <w:sz w:val="22"/>
        </w:rPr>
        <w:t>for</w:t>
      </w:r>
      <w:r>
        <w:rPr>
          <w:spacing w:val="-3"/>
          <w:sz w:val="22"/>
        </w:rPr>
        <w:t> </w:t>
      </w:r>
      <w:r>
        <w:rPr>
          <w:sz w:val="22"/>
        </w:rPr>
        <w:t>the</w:t>
      </w:r>
      <w:r>
        <w:rPr>
          <w:spacing w:val="-3"/>
          <w:sz w:val="22"/>
        </w:rPr>
        <w:t> </w:t>
      </w:r>
      <w:r>
        <w:rPr>
          <w:sz w:val="22"/>
        </w:rPr>
        <w:t>budget</w:t>
      </w:r>
      <w:r>
        <w:rPr>
          <w:spacing w:val="-1"/>
          <w:sz w:val="22"/>
        </w:rPr>
        <w:t> </w:t>
      </w:r>
      <w:r>
        <w:rPr>
          <w:sz w:val="22"/>
        </w:rPr>
        <w:t>year</w:t>
      </w:r>
      <w:r>
        <w:rPr>
          <w:spacing w:val="-3"/>
          <w:sz w:val="22"/>
        </w:rPr>
        <w:t> </w:t>
      </w:r>
      <w:r>
        <w:rPr>
          <w:sz w:val="22"/>
        </w:rPr>
        <w:t>and</w:t>
      </w:r>
      <w:r>
        <w:rPr>
          <w:spacing w:val="-4"/>
          <w:sz w:val="22"/>
        </w:rPr>
        <w:t> </w:t>
      </w:r>
      <w:r>
        <w:rPr>
          <w:sz w:val="22"/>
        </w:rPr>
        <w:t>subsequent</w:t>
      </w:r>
      <w:r>
        <w:rPr>
          <w:spacing w:val="-5"/>
          <w:sz w:val="22"/>
        </w:rPr>
        <w:t> </w:t>
      </w:r>
      <w:r>
        <w:rPr>
          <w:sz w:val="22"/>
        </w:rPr>
        <w:t>3</w:t>
      </w:r>
      <w:r>
        <w:rPr>
          <w:spacing w:val="-3"/>
          <w:sz w:val="22"/>
        </w:rPr>
        <w:t> </w:t>
      </w:r>
      <w:r>
        <w:rPr>
          <w:sz w:val="22"/>
        </w:rPr>
        <w:t>financial</w:t>
      </w:r>
      <w:r>
        <w:rPr>
          <w:spacing w:val="-3"/>
          <w:sz w:val="22"/>
        </w:rPr>
        <w:t> </w:t>
      </w:r>
      <w:r>
        <w:rPr>
          <w:sz w:val="22"/>
        </w:rPr>
        <w:t>years;</w:t>
      </w:r>
      <w:r>
        <w:rPr>
          <w:spacing w:val="-2"/>
          <w:sz w:val="22"/>
        </w:rPr>
        <w:t> </w:t>
      </w:r>
      <w:r>
        <w:rPr>
          <w:spacing w:val="-5"/>
          <w:sz w:val="22"/>
        </w:rPr>
        <w:t>and</w:t>
      </w:r>
    </w:p>
    <w:p>
      <w:pPr>
        <w:pStyle w:val="ListParagraph"/>
        <w:numPr>
          <w:ilvl w:val="1"/>
          <w:numId w:val="10"/>
        </w:numPr>
        <w:tabs>
          <w:tab w:pos="1200" w:val="left" w:leader="none"/>
        </w:tabs>
        <w:spacing w:line="240" w:lineRule="auto" w:before="119" w:after="0"/>
        <w:ind w:left="1199" w:right="0" w:hanging="360"/>
        <w:jc w:val="left"/>
        <w:rPr>
          <w:sz w:val="22"/>
        </w:rPr>
      </w:pPr>
      <w:r>
        <w:rPr>
          <w:sz w:val="22"/>
        </w:rPr>
        <w:t>be</w:t>
      </w:r>
      <w:r>
        <w:rPr>
          <w:spacing w:val="-4"/>
          <w:sz w:val="22"/>
        </w:rPr>
        <w:t> </w:t>
      </w:r>
      <w:r>
        <w:rPr>
          <w:sz w:val="22"/>
        </w:rPr>
        <w:t>in</w:t>
      </w:r>
      <w:r>
        <w:rPr>
          <w:spacing w:val="-2"/>
          <w:sz w:val="22"/>
        </w:rPr>
        <w:t> </w:t>
      </w:r>
      <w:r>
        <w:rPr>
          <w:sz w:val="22"/>
        </w:rPr>
        <w:t>the</w:t>
      </w:r>
      <w:r>
        <w:rPr>
          <w:spacing w:val="-5"/>
          <w:sz w:val="22"/>
        </w:rPr>
        <w:t> </w:t>
      </w:r>
      <w:r>
        <w:rPr>
          <w:sz w:val="22"/>
        </w:rPr>
        <w:t>form</w:t>
      </w:r>
      <w:r>
        <w:rPr>
          <w:spacing w:val="-6"/>
          <w:sz w:val="22"/>
        </w:rPr>
        <w:t> </w:t>
      </w:r>
      <w:r>
        <w:rPr>
          <w:sz w:val="22"/>
        </w:rPr>
        <w:t>set</w:t>
      </w:r>
      <w:r>
        <w:rPr>
          <w:spacing w:val="-1"/>
          <w:sz w:val="22"/>
        </w:rPr>
        <w:t> </w:t>
      </w:r>
      <w:r>
        <w:rPr>
          <w:sz w:val="22"/>
        </w:rPr>
        <w:t>out</w:t>
      </w:r>
      <w:r>
        <w:rPr>
          <w:spacing w:val="-3"/>
          <w:sz w:val="22"/>
        </w:rPr>
        <w:t> </w:t>
      </w:r>
      <w:r>
        <w:rPr>
          <w:sz w:val="22"/>
        </w:rPr>
        <w:t>in</w:t>
      </w:r>
      <w:r>
        <w:rPr>
          <w:spacing w:val="-4"/>
          <w:sz w:val="22"/>
        </w:rPr>
        <w:t> </w:t>
      </w:r>
      <w:r>
        <w:rPr>
          <w:sz w:val="22"/>
        </w:rPr>
        <w:t>the</w:t>
      </w:r>
      <w:r>
        <w:rPr>
          <w:spacing w:val="-3"/>
          <w:sz w:val="22"/>
        </w:rPr>
        <w:t> </w:t>
      </w:r>
      <w:r>
        <w:rPr>
          <w:sz w:val="22"/>
        </w:rPr>
        <w:t>Local</w:t>
      </w:r>
      <w:r>
        <w:rPr>
          <w:spacing w:val="-5"/>
          <w:sz w:val="22"/>
        </w:rPr>
        <w:t> </w:t>
      </w:r>
      <w:r>
        <w:rPr>
          <w:sz w:val="22"/>
        </w:rPr>
        <w:t>Government</w:t>
      </w:r>
      <w:r>
        <w:rPr>
          <w:spacing w:val="-2"/>
          <w:sz w:val="22"/>
        </w:rPr>
        <w:t> </w:t>
      </w:r>
      <w:r>
        <w:rPr>
          <w:sz w:val="22"/>
        </w:rPr>
        <w:t>Model</w:t>
      </w:r>
      <w:r>
        <w:rPr>
          <w:spacing w:val="-3"/>
          <w:sz w:val="22"/>
        </w:rPr>
        <w:t> </w:t>
      </w:r>
      <w:r>
        <w:rPr>
          <w:sz w:val="22"/>
        </w:rPr>
        <w:t>Financial</w:t>
      </w:r>
      <w:r>
        <w:rPr>
          <w:spacing w:val="-2"/>
          <w:sz w:val="22"/>
        </w:rPr>
        <w:t> Report.</w:t>
      </w:r>
    </w:p>
    <w:p>
      <w:pPr>
        <w:spacing w:after="0" w:line="240" w:lineRule="auto"/>
        <w:jc w:val="left"/>
        <w:rPr>
          <w:sz w:val="22"/>
        </w:rPr>
        <w:sectPr>
          <w:pgSz w:w="11910" w:h="16840"/>
          <w:pgMar w:header="0" w:footer="693" w:top="640" w:bottom="880" w:left="600" w:right="580"/>
        </w:sectPr>
      </w:pPr>
    </w:p>
    <w:p>
      <w:pPr>
        <w:pStyle w:val="Heading2"/>
        <w:spacing w:before="63"/>
        <w:ind w:left="120"/>
        <w:jc w:val="both"/>
      </w:pPr>
      <w:bookmarkStart w:name="_TOC_250006" w:id="7"/>
      <w:r>
        <w:rPr>
          <w:color w:val="4966AC"/>
        </w:rPr>
        <w:t>Summary</w:t>
      </w:r>
      <w:r>
        <w:rPr>
          <w:color w:val="4966AC"/>
          <w:spacing w:val="-8"/>
        </w:rPr>
        <w:t> </w:t>
      </w:r>
      <w:r>
        <w:rPr>
          <w:color w:val="4966AC"/>
        </w:rPr>
        <w:t>of</w:t>
      </w:r>
      <w:r>
        <w:rPr>
          <w:color w:val="4966AC"/>
          <w:spacing w:val="-1"/>
        </w:rPr>
        <w:t> </w:t>
      </w:r>
      <w:r>
        <w:rPr>
          <w:color w:val="4966AC"/>
        </w:rPr>
        <w:t>financial</w:t>
      </w:r>
      <w:r>
        <w:rPr>
          <w:color w:val="4966AC"/>
          <w:spacing w:val="-4"/>
        </w:rPr>
        <w:t> </w:t>
      </w:r>
      <w:bookmarkEnd w:id="7"/>
      <w:r>
        <w:rPr>
          <w:color w:val="4966AC"/>
          <w:spacing w:val="-2"/>
        </w:rPr>
        <w:t>position</w:t>
      </w:r>
    </w:p>
    <w:p>
      <w:pPr>
        <w:pStyle w:val="BodyText"/>
        <w:spacing w:before="252"/>
        <w:ind w:left="120" w:right="135"/>
        <w:jc w:val="both"/>
      </w:pPr>
      <w:r>
        <w:rPr/>
        <w:t>This section considers</w:t>
      </w:r>
      <w:r>
        <w:rPr>
          <w:spacing w:val="-1"/>
        </w:rPr>
        <w:t> </w:t>
      </w:r>
      <w:r>
        <w:rPr/>
        <w:t>the long-term financial projections of the Council. The Act and Regulations require a Financial Plan to be prepared covering both financial and non-financial resources and including financial performance</w:t>
      </w:r>
      <w:r>
        <w:rPr>
          <w:spacing w:val="-8"/>
        </w:rPr>
        <w:t> </w:t>
      </w:r>
      <w:r>
        <w:rPr/>
        <w:t>indicators</w:t>
      </w:r>
      <w:r>
        <w:rPr>
          <w:spacing w:val="-11"/>
        </w:rPr>
        <w:t> </w:t>
      </w:r>
      <w:r>
        <w:rPr/>
        <w:t>for</w:t>
      </w:r>
      <w:r>
        <w:rPr>
          <w:spacing w:val="-7"/>
        </w:rPr>
        <w:t> </w:t>
      </w:r>
      <w:r>
        <w:rPr/>
        <w:t>at</w:t>
      </w:r>
      <w:r>
        <w:rPr>
          <w:spacing w:val="-8"/>
        </w:rPr>
        <w:t> </w:t>
      </w:r>
      <w:r>
        <w:rPr/>
        <w:t>least</w:t>
      </w:r>
      <w:r>
        <w:rPr>
          <w:spacing w:val="-6"/>
        </w:rPr>
        <w:t> </w:t>
      </w:r>
      <w:r>
        <w:rPr/>
        <w:t>the</w:t>
      </w:r>
      <w:r>
        <w:rPr>
          <w:spacing w:val="-10"/>
        </w:rPr>
        <w:t> </w:t>
      </w:r>
      <w:r>
        <w:rPr/>
        <w:t>next</w:t>
      </w:r>
      <w:r>
        <w:rPr>
          <w:spacing w:val="-11"/>
        </w:rPr>
        <w:t> </w:t>
      </w:r>
      <w:r>
        <w:rPr/>
        <w:t>four</w:t>
      </w:r>
      <w:r>
        <w:rPr>
          <w:spacing w:val="-9"/>
        </w:rPr>
        <w:t> </w:t>
      </w:r>
      <w:r>
        <w:rPr/>
        <w:t>financial</w:t>
      </w:r>
      <w:r>
        <w:rPr>
          <w:spacing w:val="-8"/>
        </w:rPr>
        <w:t> </w:t>
      </w:r>
      <w:r>
        <w:rPr/>
        <w:t>years</w:t>
      </w:r>
      <w:r>
        <w:rPr>
          <w:spacing w:val="-8"/>
        </w:rPr>
        <w:t> </w:t>
      </w:r>
      <w:r>
        <w:rPr/>
        <w:t>to</w:t>
      </w:r>
      <w:r>
        <w:rPr>
          <w:spacing w:val="-8"/>
        </w:rPr>
        <w:t> </w:t>
      </w:r>
      <w:r>
        <w:rPr/>
        <w:t>support</w:t>
      </w:r>
      <w:r>
        <w:rPr>
          <w:spacing w:val="-10"/>
        </w:rPr>
        <w:t> </w:t>
      </w:r>
      <w:r>
        <w:rPr/>
        <w:t>the</w:t>
      </w:r>
      <w:r>
        <w:rPr>
          <w:spacing w:val="-8"/>
        </w:rPr>
        <w:t> </w:t>
      </w:r>
      <w:r>
        <w:rPr/>
        <w:t>Council</w:t>
      </w:r>
      <w:r>
        <w:rPr>
          <w:spacing w:val="-11"/>
        </w:rPr>
        <w:t> </w:t>
      </w:r>
      <w:r>
        <w:rPr/>
        <w:t>Plan.</w:t>
      </w:r>
      <w:r>
        <w:rPr>
          <w:spacing w:val="-6"/>
        </w:rPr>
        <w:t> </w:t>
      </w:r>
      <w:r>
        <w:rPr/>
        <w:t>Council</w:t>
      </w:r>
      <w:r>
        <w:rPr>
          <w:spacing w:val="-6"/>
        </w:rPr>
        <w:t> </w:t>
      </w:r>
      <w:r>
        <w:rPr/>
        <w:t>prepares the Financial Plan for the next ten years from which the financial statements are derived.</w:t>
      </w:r>
    </w:p>
    <w:p>
      <w:pPr>
        <w:pStyle w:val="BodyText"/>
      </w:pPr>
    </w:p>
    <w:p>
      <w:pPr>
        <w:pStyle w:val="BodyText"/>
        <w:ind w:left="120" w:right="134"/>
        <w:jc w:val="both"/>
      </w:pPr>
      <w:r>
        <w:rPr/>
        <w:t>Key budget information is provided below about the rate and charges; comprehensive result; cash and </w:t>
      </w:r>
      <w:r>
        <w:rPr>
          <w:spacing w:val="-2"/>
        </w:rPr>
        <w:t>investments;</w:t>
      </w:r>
      <w:r>
        <w:rPr>
          <w:spacing w:val="-3"/>
        </w:rPr>
        <w:t> </w:t>
      </w:r>
      <w:r>
        <w:rPr>
          <w:spacing w:val="-2"/>
        </w:rPr>
        <w:t>capital</w:t>
      </w:r>
      <w:r>
        <w:rPr>
          <w:spacing w:val="-6"/>
        </w:rPr>
        <w:t> </w:t>
      </w:r>
      <w:r>
        <w:rPr>
          <w:spacing w:val="-2"/>
        </w:rPr>
        <w:t>expenditure; financial</w:t>
      </w:r>
      <w:r>
        <w:rPr>
          <w:spacing w:val="-3"/>
        </w:rPr>
        <w:t> </w:t>
      </w:r>
      <w:r>
        <w:rPr>
          <w:spacing w:val="-2"/>
        </w:rPr>
        <w:t>position</w:t>
      </w:r>
      <w:r>
        <w:rPr>
          <w:spacing w:val="-8"/>
        </w:rPr>
        <w:t> </w:t>
      </w:r>
      <w:r>
        <w:rPr>
          <w:spacing w:val="-2"/>
        </w:rPr>
        <w:t>(working capital)</w:t>
      </w:r>
      <w:r>
        <w:rPr/>
        <w:t> </w:t>
      </w:r>
      <w:r>
        <w:rPr>
          <w:spacing w:val="-2"/>
        </w:rPr>
        <w:t>and</w:t>
      </w:r>
      <w:r>
        <w:rPr>
          <w:spacing w:val="-5"/>
        </w:rPr>
        <w:t> </w:t>
      </w:r>
      <w:r>
        <w:rPr>
          <w:spacing w:val="-2"/>
        </w:rPr>
        <w:t>financial</w:t>
      </w:r>
      <w:r>
        <w:rPr>
          <w:spacing w:val="-3"/>
        </w:rPr>
        <w:t> </w:t>
      </w:r>
      <w:r>
        <w:rPr>
          <w:spacing w:val="-2"/>
        </w:rPr>
        <w:t>sustainability</w:t>
      </w:r>
      <w:r>
        <w:rPr/>
        <w:t> </w:t>
      </w:r>
      <w:r>
        <w:rPr>
          <w:spacing w:val="-2"/>
        </w:rPr>
        <w:t>of</w:t>
      </w:r>
      <w:r>
        <w:rPr>
          <w:spacing w:val="-1"/>
        </w:rPr>
        <w:t> </w:t>
      </w:r>
      <w:r>
        <w:rPr>
          <w:spacing w:val="-2"/>
        </w:rPr>
        <w:t>the</w:t>
      </w:r>
      <w:r>
        <w:rPr>
          <w:spacing w:val="-7"/>
        </w:rPr>
        <w:t> </w:t>
      </w:r>
      <w:r>
        <w:rPr>
          <w:spacing w:val="-2"/>
        </w:rPr>
        <w:t>Council.</w:t>
      </w:r>
    </w:p>
    <w:p>
      <w:pPr>
        <w:pStyle w:val="BodyText"/>
        <w:rPr>
          <w:sz w:val="24"/>
        </w:rPr>
      </w:pPr>
    </w:p>
    <w:p>
      <w:pPr>
        <w:pStyle w:val="Heading4"/>
        <w:spacing w:before="215"/>
        <w:ind w:left="120" w:firstLine="0"/>
        <w:jc w:val="both"/>
      </w:pPr>
      <w:r>
        <w:rPr>
          <w:color w:val="4966AC"/>
        </w:rPr>
        <w:t>Total Rates</w:t>
      </w:r>
      <w:r>
        <w:rPr>
          <w:color w:val="4966AC"/>
          <w:spacing w:val="2"/>
        </w:rPr>
        <w:t> </w:t>
      </w:r>
      <w:r>
        <w:rPr>
          <w:color w:val="4966AC"/>
        </w:rPr>
        <w:t>&amp;</w:t>
      </w:r>
      <w:r>
        <w:rPr>
          <w:color w:val="4966AC"/>
          <w:spacing w:val="-2"/>
        </w:rPr>
        <w:t> Charges</w:t>
      </w:r>
    </w:p>
    <w:p>
      <w:pPr>
        <w:pStyle w:val="BodyText"/>
        <w:rPr>
          <w:b/>
          <w:sz w:val="26"/>
        </w:rPr>
      </w:pPr>
      <w:r>
        <w:rPr/>
        <w:drawing>
          <wp:anchor distT="0" distB="0" distL="0" distR="0" allowOverlap="1" layoutInCell="1" locked="0" behindDoc="0" simplePos="0" relativeHeight="5">
            <wp:simplePos x="0" y="0"/>
            <wp:positionH relativeFrom="page">
              <wp:posOffset>454151</wp:posOffset>
            </wp:positionH>
            <wp:positionV relativeFrom="paragraph">
              <wp:posOffset>205501</wp:posOffset>
            </wp:positionV>
            <wp:extent cx="6632448" cy="2612136"/>
            <wp:effectExtent l="0" t="0" r="0" b="0"/>
            <wp:wrapTopAndBottom/>
            <wp:docPr id="11" name="image6.jpeg"/>
            <wp:cNvGraphicFramePr>
              <a:graphicFrameLocks noChangeAspect="1"/>
            </wp:cNvGraphicFramePr>
            <a:graphic>
              <a:graphicData uri="http://schemas.openxmlformats.org/drawingml/2006/picture">
                <pic:pic>
                  <pic:nvPicPr>
                    <pic:cNvPr id="12" name="image6.jpeg"/>
                    <pic:cNvPicPr/>
                  </pic:nvPicPr>
                  <pic:blipFill>
                    <a:blip r:embed="rId14" cstate="print"/>
                    <a:stretch>
                      <a:fillRect/>
                    </a:stretch>
                  </pic:blipFill>
                  <pic:spPr>
                    <a:xfrm>
                      <a:off x="0" y="0"/>
                      <a:ext cx="6632448" cy="2612136"/>
                    </a:xfrm>
                    <a:prstGeom prst="rect">
                      <a:avLst/>
                    </a:prstGeom>
                  </pic:spPr>
                </pic:pic>
              </a:graphicData>
            </a:graphic>
          </wp:anchor>
        </w:drawing>
      </w:r>
    </w:p>
    <w:p>
      <w:pPr>
        <w:pStyle w:val="BodyText"/>
        <w:rPr>
          <w:b/>
          <w:sz w:val="20"/>
        </w:rPr>
      </w:pPr>
    </w:p>
    <w:p>
      <w:pPr>
        <w:pStyle w:val="BodyText"/>
        <w:spacing w:before="8"/>
        <w:rPr>
          <w:b/>
          <w:sz w:val="24"/>
        </w:rPr>
      </w:pPr>
    </w:p>
    <w:p>
      <w:pPr>
        <w:spacing w:line="206" w:lineRule="exact" w:before="99"/>
        <w:ind w:left="2998" w:right="3110" w:firstLine="0"/>
        <w:jc w:val="center"/>
        <w:rPr>
          <w:rFonts w:ascii="Arial Narrow"/>
          <w:sz w:val="18"/>
        </w:rPr>
      </w:pPr>
      <w:r>
        <w:rPr>
          <w:rFonts w:ascii="Arial Narrow"/>
          <w:sz w:val="18"/>
        </w:rPr>
        <w:t>A</w:t>
      </w:r>
      <w:r>
        <w:rPr>
          <w:rFonts w:ascii="Arial Narrow"/>
          <w:spacing w:val="-1"/>
          <w:sz w:val="18"/>
        </w:rPr>
        <w:t> </w:t>
      </w:r>
      <w:r>
        <w:rPr>
          <w:rFonts w:ascii="Arial Narrow"/>
          <w:sz w:val="18"/>
        </w:rPr>
        <w:t>= Actual</w:t>
      </w:r>
      <w:r>
        <w:rPr>
          <w:rFonts w:ascii="Arial Narrow"/>
          <w:spacing w:val="59"/>
          <w:w w:val="150"/>
          <w:sz w:val="18"/>
        </w:rPr>
        <w:t> </w:t>
      </w:r>
      <w:r>
        <w:rPr>
          <w:rFonts w:ascii="Arial Narrow"/>
          <w:sz w:val="18"/>
        </w:rPr>
        <w:t>F =</w:t>
      </w:r>
      <w:r>
        <w:rPr>
          <w:rFonts w:ascii="Arial Narrow"/>
          <w:spacing w:val="-1"/>
          <w:sz w:val="18"/>
        </w:rPr>
        <w:t> </w:t>
      </w:r>
      <w:r>
        <w:rPr>
          <w:rFonts w:ascii="Arial Narrow"/>
          <w:sz w:val="18"/>
        </w:rPr>
        <w:t>Forecast</w:t>
      </w:r>
      <w:r>
        <w:rPr>
          <w:rFonts w:ascii="Arial Narrow"/>
          <w:spacing w:val="39"/>
          <w:sz w:val="18"/>
        </w:rPr>
        <w:t>  </w:t>
      </w:r>
      <w:r>
        <w:rPr>
          <w:rFonts w:ascii="Arial Narrow"/>
          <w:sz w:val="18"/>
        </w:rPr>
        <w:t>B = Budget</w:t>
      </w:r>
      <w:r>
        <w:rPr>
          <w:rFonts w:ascii="Arial Narrow"/>
          <w:spacing w:val="60"/>
          <w:w w:val="150"/>
          <w:sz w:val="18"/>
        </w:rPr>
        <w:t> </w:t>
      </w:r>
      <w:r>
        <w:rPr>
          <w:rFonts w:ascii="Arial Narrow"/>
          <w:sz w:val="18"/>
        </w:rPr>
        <w:t>FP =</w:t>
      </w:r>
      <w:r>
        <w:rPr>
          <w:rFonts w:ascii="Arial Narrow"/>
          <w:spacing w:val="-1"/>
          <w:sz w:val="18"/>
        </w:rPr>
        <w:t> </w:t>
      </w:r>
      <w:r>
        <w:rPr>
          <w:rFonts w:ascii="Arial Narrow"/>
          <w:sz w:val="18"/>
        </w:rPr>
        <w:t>Financial</w:t>
      </w:r>
      <w:r>
        <w:rPr>
          <w:rFonts w:ascii="Arial Narrow"/>
          <w:spacing w:val="1"/>
          <w:sz w:val="18"/>
        </w:rPr>
        <w:t> </w:t>
      </w:r>
      <w:r>
        <w:rPr>
          <w:rFonts w:ascii="Arial Narrow"/>
          <w:sz w:val="18"/>
        </w:rPr>
        <w:t>Plan</w:t>
      </w:r>
      <w:r>
        <w:rPr>
          <w:rFonts w:ascii="Arial Narrow"/>
          <w:spacing w:val="-2"/>
          <w:sz w:val="18"/>
        </w:rPr>
        <w:t> estimates</w:t>
      </w:r>
    </w:p>
    <w:p>
      <w:pPr>
        <w:spacing w:before="0"/>
        <w:ind w:left="120" w:right="0" w:firstLine="0"/>
        <w:jc w:val="left"/>
        <w:rPr>
          <w:sz w:val="18"/>
        </w:rPr>
      </w:pPr>
      <w:r>
        <w:rPr>
          <w:sz w:val="18"/>
        </w:rPr>
        <w:t>Source: Section</w:t>
      </w:r>
      <w:r>
        <w:rPr>
          <w:spacing w:val="-2"/>
          <w:sz w:val="18"/>
        </w:rPr>
        <w:t> </w:t>
      </w:r>
      <w:r>
        <w:rPr>
          <w:spacing w:val="-10"/>
          <w:sz w:val="18"/>
        </w:rPr>
        <w:t>3</w:t>
      </w:r>
    </w:p>
    <w:p>
      <w:pPr>
        <w:pStyle w:val="BodyText"/>
        <w:rPr>
          <w:sz w:val="20"/>
        </w:rPr>
      </w:pPr>
    </w:p>
    <w:p>
      <w:pPr>
        <w:pStyle w:val="BodyText"/>
        <w:spacing w:before="11"/>
        <w:rPr>
          <w:sz w:val="15"/>
        </w:rPr>
      </w:pPr>
    </w:p>
    <w:p>
      <w:pPr>
        <w:pStyle w:val="BodyText"/>
        <w:spacing w:before="94"/>
        <w:ind w:left="120" w:right="134"/>
        <w:jc w:val="both"/>
      </w:pPr>
      <w:r>
        <w:rPr/>
        <w:t>Rates will increase by 2.75% (as applied to the Base Average Property Rate in accordance with ESC formulae) and waste charges to increase by 2.75% in 2024/2025 year in line with contract obligations and planning the implementation of Victoria’s Recycling Policy. Total rates and charges of $111.7 million, which includes</w:t>
      </w:r>
      <w:r>
        <w:rPr>
          <w:spacing w:val="-2"/>
        </w:rPr>
        <w:t> </w:t>
      </w:r>
      <w:r>
        <w:rPr/>
        <w:t>$0.59</w:t>
      </w:r>
      <w:r>
        <w:rPr>
          <w:spacing w:val="-1"/>
        </w:rPr>
        <w:t> </w:t>
      </w:r>
      <w:r>
        <w:rPr/>
        <w:t>million</w:t>
      </w:r>
      <w:r>
        <w:rPr>
          <w:spacing w:val="-4"/>
        </w:rPr>
        <w:t> </w:t>
      </w:r>
      <w:r>
        <w:rPr/>
        <w:t>generated</w:t>
      </w:r>
      <w:r>
        <w:rPr>
          <w:spacing w:val="-4"/>
        </w:rPr>
        <w:t> </w:t>
      </w:r>
      <w:r>
        <w:rPr/>
        <w:t>from</w:t>
      </w:r>
      <w:r>
        <w:rPr>
          <w:spacing w:val="-1"/>
        </w:rPr>
        <w:t> </w:t>
      </w:r>
      <w:r>
        <w:rPr/>
        <w:t>supplementary</w:t>
      </w:r>
      <w:r>
        <w:rPr>
          <w:spacing w:val="-2"/>
        </w:rPr>
        <w:t> </w:t>
      </w:r>
      <w:r>
        <w:rPr/>
        <w:t>rates. This</w:t>
      </w:r>
      <w:r>
        <w:rPr>
          <w:spacing w:val="-2"/>
        </w:rPr>
        <w:t> </w:t>
      </w:r>
      <w:r>
        <w:rPr/>
        <w:t>rate</w:t>
      </w:r>
      <w:r>
        <w:rPr>
          <w:spacing w:val="-4"/>
        </w:rPr>
        <w:t> </w:t>
      </w:r>
      <w:r>
        <w:rPr/>
        <w:t>increase</w:t>
      </w:r>
      <w:r>
        <w:rPr>
          <w:spacing w:val="-1"/>
        </w:rPr>
        <w:t> </w:t>
      </w:r>
      <w:r>
        <w:rPr/>
        <w:t>is in</w:t>
      </w:r>
      <w:r>
        <w:rPr>
          <w:spacing w:val="-2"/>
        </w:rPr>
        <w:t> </w:t>
      </w:r>
      <w:r>
        <w:rPr/>
        <w:t>line</w:t>
      </w:r>
      <w:r>
        <w:rPr>
          <w:spacing w:val="-2"/>
        </w:rPr>
        <w:t> </w:t>
      </w:r>
      <w:r>
        <w:rPr/>
        <w:t>with</w:t>
      </w:r>
      <w:r>
        <w:rPr>
          <w:spacing w:val="-1"/>
        </w:rPr>
        <w:t> </w:t>
      </w:r>
      <w:r>
        <w:rPr/>
        <w:t>Council’s rating </w:t>
      </w:r>
      <w:r>
        <w:rPr>
          <w:spacing w:val="-2"/>
        </w:rPr>
        <w:t>strategy.</w:t>
      </w:r>
    </w:p>
    <w:p>
      <w:pPr>
        <w:pStyle w:val="BodyText"/>
        <w:spacing w:before="1"/>
      </w:pPr>
    </w:p>
    <w:p>
      <w:pPr>
        <w:pStyle w:val="BodyText"/>
        <w:ind w:left="120" w:right="132"/>
        <w:jc w:val="both"/>
        <w:rPr>
          <w:i/>
        </w:rPr>
      </w:pPr>
      <w:r>
        <w:rPr/>
        <w:t>Future</w:t>
      </w:r>
      <w:r>
        <w:rPr>
          <w:spacing w:val="-1"/>
        </w:rPr>
        <w:t> </w:t>
      </w:r>
      <w:r>
        <w:rPr/>
        <w:t>rate increases are tied to</w:t>
      </w:r>
      <w:r>
        <w:rPr>
          <w:spacing w:val="-1"/>
        </w:rPr>
        <w:t> </w:t>
      </w:r>
      <w:r>
        <w:rPr/>
        <w:t>the assumed rate cap each year based on predicted annual CPI increases (as applied to the Base Average Property Rate in accordance with ESC formulae). Waste charges are estimated to increase by 2.75% in 2024/2025, 4.45% in 2025/2026, 4.00% in 2026/2027 and by 5.00% in 2027/2028. The</w:t>
      </w:r>
      <w:r>
        <w:rPr>
          <w:spacing w:val="-7"/>
        </w:rPr>
        <w:t> </w:t>
      </w:r>
      <w:r>
        <w:rPr/>
        <w:t>increase</w:t>
      </w:r>
      <w:r>
        <w:rPr>
          <w:spacing w:val="-4"/>
        </w:rPr>
        <w:t> </w:t>
      </w:r>
      <w:r>
        <w:rPr/>
        <w:t>in</w:t>
      </w:r>
      <w:r>
        <w:rPr>
          <w:spacing w:val="-4"/>
        </w:rPr>
        <w:t> </w:t>
      </w:r>
      <w:r>
        <w:rPr/>
        <w:t>the</w:t>
      </w:r>
      <w:r>
        <w:rPr>
          <w:spacing w:val="-3"/>
        </w:rPr>
        <w:t> </w:t>
      </w:r>
      <w:r>
        <w:rPr/>
        <w:t>waste</w:t>
      </w:r>
      <w:r>
        <w:rPr>
          <w:spacing w:val="-4"/>
        </w:rPr>
        <w:t> </w:t>
      </w:r>
      <w:r>
        <w:rPr/>
        <w:t>charge</w:t>
      </w:r>
      <w:r>
        <w:rPr>
          <w:spacing w:val="-5"/>
        </w:rPr>
        <w:t> </w:t>
      </w:r>
      <w:r>
        <w:rPr/>
        <w:t>is</w:t>
      </w:r>
      <w:r>
        <w:rPr>
          <w:spacing w:val="-1"/>
        </w:rPr>
        <w:t> </w:t>
      </w:r>
      <w:r>
        <w:rPr/>
        <w:t>to</w:t>
      </w:r>
      <w:r>
        <w:rPr>
          <w:spacing w:val="-4"/>
        </w:rPr>
        <w:t> </w:t>
      </w:r>
      <w:r>
        <w:rPr/>
        <w:t>anticipate</w:t>
      </w:r>
      <w:r>
        <w:rPr>
          <w:spacing w:val="-7"/>
        </w:rPr>
        <w:t> </w:t>
      </w:r>
      <w:r>
        <w:rPr/>
        <w:t>the</w:t>
      </w:r>
      <w:r>
        <w:rPr>
          <w:spacing w:val="-3"/>
        </w:rPr>
        <w:t> </w:t>
      </w:r>
      <w:r>
        <w:rPr/>
        <w:t>State</w:t>
      </w:r>
      <w:r>
        <w:rPr>
          <w:spacing w:val="-3"/>
        </w:rPr>
        <w:t> </w:t>
      </w:r>
      <w:r>
        <w:rPr/>
        <w:t>requirements</w:t>
      </w:r>
      <w:r>
        <w:rPr>
          <w:spacing w:val="-5"/>
        </w:rPr>
        <w:t> </w:t>
      </w:r>
      <w:r>
        <w:rPr/>
        <w:t>of</w:t>
      </w:r>
      <w:r>
        <w:rPr>
          <w:spacing w:val="-3"/>
        </w:rPr>
        <w:t> </w:t>
      </w:r>
      <w:r>
        <w:rPr/>
        <w:t>the</w:t>
      </w:r>
      <w:r>
        <w:rPr>
          <w:spacing w:val="-3"/>
        </w:rPr>
        <w:t> </w:t>
      </w:r>
      <w:r>
        <w:rPr/>
        <w:t>circular</w:t>
      </w:r>
      <w:r>
        <w:rPr>
          <w:spacing w:val="-1"/>
        </w:rPr>
        <w:t> </w:t>
      </w:r>
      <w:r>
        <w:rPr/>
        <w:t>economy and ensuring Council meets the required outcomes of the State Government’s Policy Paper </w:t>
      </w:r>
      <w:r>
        <w:rPr>
          <w:i/>
        </w:rPr>
        <w:t>‘Transforming</w:t>
      </w:r>
      <w:r>
        <w:rPr>
          <w:i/>
        </w:rPr>
        <w:t> Recycling in Victoria’.</w:t>
      </w:r>
    </w:p>
    <w:p>
      <w:pPr>
        <w:spacing w:after="0"/>
        <w:jc w:val="both"/>
        <w:sectPr>
          <w:footerReference w:type="default" r:id="rId13"/>
          <w:pgSz w:w="11910" w:h="16840"/>
          <w:pgMar w:footer="687" w:header="0" w:top="640" w:bottom="880" w:left="600" w:right="580"/>
        </w:sectPr>
      </w:pPr>
    </w:p>
    <w:p>
      <w:pPr>
        <w:pStyle w:val="Heading4"/>
        <w:spacing w:before="82"/>
        <w:ind w:left="120" w:firstLine="0"/>
        <w:jc w:val="both"/>
      </w:pPr>
      <w:r>
        <w:rPr>
          <w:color w:val="4966AC"/>
        </w:rPr>
        <w:t>Comprehensive </w:t>
      </w:r>
      <w:r>
        <w:rPr>
          <w:color w:val="4966AC"/>
          <w:spacing w:val="-2"/>
        </w:rPr>
        <w:t>result</w:t>
      </w:r>
    </w:p>
    <w:p>
      <w:pPr>
        <w:pStyle w:val="BodyText"/>
        <w:rPr>
          <w:b/>
          <w:sz w:val="26"/>
        </w:rPr>
      </w:pPr>
      <w:r>
        <w:rPr/>
        <w:drawing>
          <wp:anchor distT="0" distB="0" distL="0" distR="0" allowOverlap="1" layoutInCell="1" locked="0" behindDoc="0" simplePos="0" relativeHeight="6">
            <wp:simplePos x="0" y="0"/>
            <wp:positionH relativeFrom="page">
              <wp:posOffset>454151</wp:posOffset>
            </wp:positionH>
            <wp:positionV relativeFrom="paragraph">
              <wp:posOffset>205500</wp:posOffset>
            </wp:positionV>
            <wp:extent cx="6635496" cy="2709672"/>
            <wp:effectExtent l="0" t="0" r="0" b="0"/>
            <wp:wrapTopAndBottom/>
            <wp:docPr id="13" name="image7.jpeg"/>
            <wp:cNvGraphicFramePr>
              <a:graphicFrameLocks noChangeAspect="1"/>
            </wp:cNvGraphicFramePr>
            <a:graphic>
              <a:graphicData uri="http://schemas.openxmlformats.org/drawingml/2006/picture">
                <pic:pic>
                  <pic:nvPicPr>
                    <pic:cNvPr id="14" name="image7.jpeg"/>
                    <pic:cNvPicPr/>
                  </pic:nvPicPr>
                  <pic:blipFill>
                    <a:blip r:embed="rId15" cstate="print"/>
                    <a:stretch>
                      <a:fillRect/>
                    </a:stretch>
                  </pic:blipFill>
                  <pic:spPr>
                    <a:xfrm>
                      <a:off x="0" y="0"/>
                      <a:ext cx="6635496" cy="2709672"/>
                    </a:xfrm>
                    <a:prstGeom prst="rect">
                      <a:avLst/>
                    </a:prstGeom>
                  </pic:spPr>
                </pic:pic>
              </a:graphicData>
            </a:graphic>
          </wp:anchor>
        </w:drawing>
      </w:r>
    </w:p>
    <w:p>
      <w:pPr>
        <w:spacing w:before="30"/>
        <w:ind w:left="175" w:right="0" w:firstLine="0"/>
        <w:jc w:val="both"/>
        <w:rPr>
          <w:sz w:val="18"/>
        </w:rPr>
      </w:pPr>
      <w:r>
        <w:rPr>
          <w:sz w:val="18"/>
        </w:rPr>
        <w:t>Source:</w:t>
      </w:r>
      <w:r>
        <w:rPr>
          <w:spacing w:val="-2"/>
          <w:sz w:val="18"/>
        </w:rPr>
        <w:t> </w:t>
      </w:r>
      <w:r>
        <w:rPr>
          <w:sz w:val="18"/>
        </w:rPr>
        <w:t>Section</w:t>
      </w:r>
      <w:r>
        <w:rPr>
          <w:spacing w:val="-2"/>
          <w:sz w:val="18"/>
        </w:rPr>
        <w:t> </w:t>
      </w:r>
      <w:r>
        <w:rPr>
          <w:spacing w:val="-10"/>
          <w:sz w:val="18"/>
        </w:rPr>
        <w:t>3</w:t>
      </w:r>
    </w:p>
    <w:p>
      <w:pPr>
        <w:pStyle w:val="BodyText"/>
        <w:spacing w:before="2"/>
      </w:pPr>
    </w:p>
    <w:p>
      <w:pPr>
        <w:pStyle w:val="BodyText"/>
        <w:ind w:left="120" w:right="134"/>
        <w:jc w:val="both"/>
      </w:pPr>
      <w:r>
        <w:rPr/>
        <w:t>The</w:t>
      </w:r>
      <w:r>
        <w:rPr>
          <w:spacing w:val="-16"/>
        </w:rPr>
        <w:t> </w:t>
      </w:r>
      <w:r>
        <w:rPr/>
        <w:t>expected</w:t>
      </w:r>
      <w:r>
        <w:rPr>
          <w:spacing w:val="-15"/>
        </w:rPr>
        <w:t> </w:t>
      </w:r>
      <w:r>
        <w:rPr/>
        <w:t>comprehensive</w:t>
      </w:r>
      <w:r>
        <w:rPr>
          <w:spacing w:val="-15"/>
        </w:rPr>
        <w:t> </w:t>
      </w:r>
      <w:r>
        <w:rPr/>
        <w:t>result</w:t>
      </w:r>
      <w:r>
        <w:rPr>
          <w:spacing w:val="-16"/>
        </w:rPr>
        <w:t> </w:t>
      </w:r>
      <w:r>
        <w:rPr/>
        <w:t>for</w:t>
      </w:r>
      <w:r>
        <w:rPr>
          <w:spacing w:val="-15"/>
        </w:rPr>
        <w:t> </w:t>
      </w:r>
      <w:r>
        <w:rPr/>
        <w:t>the</w:t>
      </w:r>
      <w:r>
        <w:rPr>
          <w:spacing w:val="-15"/>
        </w:rPr>
        <w:t> </w:t>
      </w:r>
      <w:r>
        <w:rPr/>
        <w:t>2024/2025</w:t>
      </w:r>
      <w:r>
        <w:rPr>
          <w:spacing w:val="-15"/>
        </w:rPr>
        <w:t> </w:t>
      </w:r>
      <w:r>
        <w:rPr/>
        <w:t>year</w:t>
      </w:r>
      <w:r>
        <w:rPr>
          <w:spacing w:val="-16"/>
        </w:rPr>
        <w:t> </w:t>
      </w:r>
      <w:r>
        <w:rPr/>
        <w:t>is</w:t>
      </w:r>
      <w:r>
        <w:rPr>
          <w:spacing w:val="-15"/>
        </w:rPr>
        <w:t> </w:t>
      </w:r>
      <w:r>
        <w:rPr/>
        <w:t>a</w:t>
      </w:r>
      <w:r>
        <w:rPr>
          <w:spacing w:val="-15"/>
        </w:rPr>
        <w:t> </w:t>
      </w:r>
      <w:r>
        <w:rPr/>
        <w:t>surplus</w:t>
      </w:r>
      <w:r>
        <w:rPr>
          <w:spacing w:val="-16"/>
        </w:rPr>
        <w:t> </w:t>
      </w:r>
      <w:r>
        <w:rPr/>
        <w:t>of</w:t>
      </w:r>
      <w:r>
        <w:rPr>
          <w:spacing w:val="-15"/>
        </w:rPr>
        <w:t> </w:t>
      </w:r>
      <w:r>
        <w:rPr/>
        <w:t>$30.13</w:t>
      </w:r>
      <w:r>
        <w:rPr>
          <w:spacing w:val="-15"/>
        </w:rPr>
        <w:t> </w:t>
      </w:r>
      <w:r>
        <w:rPr/>
        <w:t>million,</w:t>
      </w:r>
      <w:r>
        <w:rPr>
          <w:spacing w:val="-15"/>
        </w:rPr>
        <w:t> </w:t>
      </w:r>
      <w:r>
        <w:rPr/>
        <w:t>which</w:t>
      </w:r>
      <w:r>
        <w:rPr>
          <w:spacing w:val="-16"/>
        </w:rPr>
        <w:t> </w:t>
      </w:r>
      <w:r>
        <w:rPr/>
        <w:t>is</w:t>
      </w:r>
      <w:r>
        <w:rPr>
          <w:spacing w:val="-15"/>
        </w:rPr>
        <w:t> </w:t>
      </w:r>
      <w:r>
        <w:rPr/>
        <w:t>an</w:t>
      </w:r>
      <w:r>
        <w:rPr>
          <w:spacing w:val="-15"/>
        </w:rPr>
        <w:t> </w:t>
      </w:r>
      <w:r>
        <w:rPr/>
        <w:t>increase of $18.52</w:t>
      </w:r>
      <w:r>
        <w:rPr>
          <w:spacing w:val="-1"/>
        </w:rPr>
        <w:t> </w:t>
      </w:r>
      <w:r>
        <w:rPr/>
        <w:t>million over the 2023/2024 Forecast Budget. It is anticipated</w:t>
      </w:r>
      <w:r>
        <w:rPr>
          <w:spacing w:val="-2"/>
        </w:rPr>
        <w:t> </w:t>
      </w:r>
      <w:r>
        <w:rPr/>
        <w:t>that a</w:t>
      </w:r>
      <w:r>
        <w:rPr>
          <w:spacing w:val="-1"/>
        </w:rPr>
        <w:t> </w:t>
      </w:r>
      <w:r>
        <w:rPr/>
        <w:t>surplus</w:t>
      </w:r>
      <w:r>
        <w:rPr>
          <w:spacing w:val="-2"/>
        </w:rPr>
        <w:t> </w:t>
      </w:r>
      <w:r>
        <w:rPr/>
        <w:t>result will be</w:t>
      </w:r>
      <w:r>
        <w:rPr>
          <w:spacing w:val="-1"/>
        </w:rPr>
        <w:t> </w:t>
      </w:r>
      <w:r>
        <w:rPr/>
        <w:t>achieved throughout</w:t>
      </w:r>
      <w:r>
        <w:rPr>
          <w:spacing w:val="-3"/>
        </w:rPr>
        <w:t> </w:t>
      </w:r>
      <w:r>
        <w:rPr/>
        <w:t>the</w:t>
      </w:r>
      <w:r>
        <w:rPr>
          <w:spacing w:val="-2"/>
        </w:rPr>
        <w:t> </w:t>
      </w:r>
      <w:r>
        <w:rPr/>
        <w:t>Financial</w:t>
      </w:r>
      <w:r>
        <w:rPr>
          <w:spacing w:val="-3"/>
        </w:rPr>
        <w:t> </w:t>
      </w:r>
      <w:r>
        <w:rPr/>
        <w:t>Plan period.</w:t>
      </w:r>
      <w:r>
        <w:rPr>
          <w:spacing w:val="-3"/>
        </w:rPr>
        <w:t> </w:t>
      </w:r>
      <w:r>
        <w:rPr/>
        <w:t>The</w:t>
      </w:r>
      <w:r>
        <w:rPr>
          <w:spacing w:val="-7"/>
        </w:rPr>
        <w:t> </w:t>
      </w:r>
      <w:r>
        <w:rPr/>
        <w:t>forecast</w:t>
      </w:r>
      <w:r>
        <w:rPr>
          <w:spacing w:val="-3"/>
        </w:rPr>
        <w:t> </w:t>
      </w:r>
      <w:r>
        <w:rPr/>
        <w:t>comprehensive</w:t>
      </w:r>
      <w:r>
        <w:rPr>
          <w:spacing w:val="-7"/>
        </w:rPr>
        <w:t> </w:t>
      </w:r>
      <w:r>
        <w:rPr/>
        <w:t>result</w:t>
      </w:r>
      <w:r>
        <w:rPr>
          <w:spacing w:val="-3"/>
        </w:rPr>
        <w:t> </w:t>
      </w:r>
      <w:r>
        <w:rPr/>
        <w:t>for</w:t>
      </w:r>
      <w:r>
        <w:rPr>
          <w:spacing w:val="-1"/>
        </w:rPr>
        <w:t> </w:t>
      </w:r>
      <w:r>
        <w:rPr/>
        <w:t>the</w:t>
      </w:r>
      <w:r>
        <w:rPr>
          <w:spacing w:val="-3"/>
        </w:rPr>
        <w:t> </w:t>
      </w:r>
      <w:r>
        <w:rPr/>
        <w:t>2023/2024</w:t>
      </w:r>
      <w:r>
        <w:rPr>
          <w:spacing w:val="-3"/>
        </w:rPr>
        <w:t> </w:t>
      </w:r>
      <w:r>
        <w:rPr/>
        <w:t>year</w:t>
      </w:r>
      <w:r>
        <w:rPr>
          <w:spacing w:val="-1"/>
        </w:rPr>
        <w:t> </w:t>
      </w:r>
      <w:r>
        <w:rPr/>
        <w:t>is</w:t>
      </w:r>
      <w:r>
        <w:rPr>
          <w:spacing w:val="-6"/>
        </w:rPr>
        <w:t> </w:t>
      </w:r>
      <w:r>
        <w:rPr/>
        <w:t>a</w:t>
      </w:r>
      <w:r>
        <w:rPr>
          <w:spacing w:val="-3"/>
        </w:rPr>
        <w:t> </w:t>
      </w:r>
      <w:r>
        <w:rPr/>
        <w:t>surplus of $11.61</w:t>
      </w:r>
      <w:r>
        <w:rPr>
          <w:spacing w:val="-1"/>
        </w:rPr>
        <w:t> </w:t>
      </w:r>
      <w:r>
        <w:rPr/>
        <w:t>million which is lower than</w:t>
      </w:r>
      <w:r>
        <w:rPr>
          <w:spacing w:val="-1"/>
        </w:rPr>
        <w:t> </w:t>
      </w:r>
      <w:r>
        <w:rPr/>
        <w:t>the adopted budget by $24.8</w:t>
      </w:r>
      <w:r>
        <w:rPr>
          <w:spacing w:val="-3"/>
        </w:rPr>
        <w:t> </w:t>
      </w:r>
      <w:r>
        <w:rPr/>
        <w:t>million. This is due to income recognition of Capital grants previously expected in 2023/2024 (including $24.2 million for the Ringwood multi-level carpark) being deferred</w:t>
      </w:r>
      <w:r>
        <w:rPr>
          <w:spacing w:val="-2"/>
        </w:rPr>
        <w:t> </w:t>
      </w:r>
      <w:r>
        <w:rPr/>
        <w:t>to 2024/2025</w:t>
      </w:r>
      <w:r>
        <w:rPr>
          <w:spacing w:val="-1"/>
        </w:rPr>
        <w:t> </w:t>
      </w:r>
      <w:r>
        <w:rPr/>
        <w:t>in</w:t>
      </w:r>
      <w:r>
        <w:rPr>
          <w:spacing w:val="-3"/>
        </w:rPr>
        <w:t> </w:t>
      </w:r>
      <w:r>
        <w:rPr/>
        <w:t>line with</w:t>
      </w:r>
      <w:r>
        <w:rPr>
          <w:spacing w:val="-6"/>
        </w:rPr>
        <w:t> </w:t>
      </w:r>
      <w:r>
        <w:rPr/>
        <w:t>accounting</w:t>
      </w:r>
      <w:r>
        <w:rPr>
          <w:spacing w:val="-2"/>
        </w:rPr>
        <w:t> </w:t>
      </w:r>
      <w:r>
        <w:rPr/>
        <w:t>standards. However,</w:t>
      </w:r>
      <w:r>
        <w:rPr>
          <w:spacing w:val="-1"/>
        </w:rPr>
        <w:t> </w:t>
      </w:r>
      <w:r>
        <w:rPr/>
        <w:t>the</w:t>
      </w:r>
      <w:r>
        <w:rPr>
          <w:spacing w:val="-1"/>
        </w:rPr>
        <w:t> </w:t>
      </w:r>
      <w:r>
        <w:rPr/>
        <w:t>comprehensive result is not the only measure that identifies Council’s position in ensuring financial sustainability and delivering services, given that it comprises of income of a capital nature and grants. Hence, Council continues to measure the underlying result as well as the comprehensive result, when considering particular decisions.</w:t>
      </w:r>
    </w:p>
    <w:p>
      <w:pPr>
        <w:pStyle w:val="BodyText"/>
      </w:pPr>
    </w:p>
    <w:p>
      <w:pPr>
        <w:pStyle w:val="Heading4"/>
        <w:ind w:left="120" w:firstLine="0"/>
        <w:jc w:val="both"/>
      </w:pPr>
      <w:r>
        <w:rPr>
          <w:color w:val="4966AC"/>
        </w:rPr>
        <w:t>Cash</w:t>
      </w:r>
      <w:r>
        <w:rPr>
          <w:color w:val="4966AC"/>
          <w:spacing w:val="2"/>
        </w:rPr>
        <w:t> </w:t>
      </w:r>
      <w:r>
        <w:rPr>
          <w:color w:val="4966AC"/>
        </w:rPr>
        <w:t>and </w:t>
      </w:r>
      <w:r>
        <w:rPr>
          <w:color w:val="4966AC"/>
          <w:spacing w:val="-2"/>
        </w:rPr>
        <w:t>investments</w:t>
      </w:r>
    </w:p>
    <w:p>
      <w:pPr>
        <w:pStyle w:val="BodyText"/>
        <w:rPr>
          <w:b/>
          <w:sz w:val="20"/>
        </w:rPr>
      </w:pPr>
    </w:p>
    <w:p>
      <w:pPr>
        <w:pStyle w:val="BodyText"/>
        <w:spacing w:before="2"/>
        <w:rPr>
          <w:b/>
          <w:sz w:val="24"/>
        </w:rPr>
      </w:pPr>
      <w:r>
        <w:rPr/>
        <w:drawing>
          <wp:anchor distT="0" distB="0" distL="0" distR="0" allowOverlap="1" layoutInCell="1" locked="0" behindDoc="0" simplePos="0" relativeHeight="7">
            <wp:simplePos x="0" y="0"/>
            <wp:positionH relativeFrom="page">
              <wp:posOffset>454151</wp:posOffset>
            </wp:positionH>
            <wp:positionV relativeFrom="paragraph">
              <wp:posOffset>191807</wp:posOffset>
            </wp:positionV>
            <wp:extent cx="6632448" cy="2407920"/>
            <wp:effectExtent l="0" t="0" r="0" b="0"/>
            <wp:wrapTopAndBottom/>
            <wp:docPr id="15" name="image8.jpeg"/>
            <wp:cNvGraphicFramePr>
              <a:graphicFrameLocks noChangeAspect="1"/>
            </wp:cNvGraphicFramePr>
            <a:graphic>
              <a:graphicData uri="http://schemas.openxmlformats.org/drawingml/2006/picture">
                <pic:pic>
                  <pic:nvPicPr>
                    <pic:cNvPr id="16" name="image8.jpeg"/>
                    <pic:cNvPicPr/>
                  </pic:nvPicPr>
                  <pic:blipFill>
                    <a:blip r:embed="rId16" cstate="print"/>
                    <a:stretch>
                      <a:fillRect/>
                    </a:stretch>
                  </pic:blipFill>
                  <pic:spPr>
                    <a:xfrm>
                      <a:off x="0" y="0"/>
                      <a:ext cx="6632448" cy="2407920"/>
                    </a:xfrm>
                    <a:prstGeom prst="rect">
                      <a:avLst/>
                    </a:prstGeom>
                  </pic:spPr>
                </pic:pic>
              </a:graphicData>
            </a:graphic>
          </wp:anchor>
        </w:drawing>
      </w:r>
    </w:p>
    <w:p>
      <w:pPr>
        <w:spacing w:before="0"/>
        <w:ind w:left="120" w:right="0" w:firstLine="0"/>
        <w:jc w:val="both"/>
        <w:rPr>
          <w:sz w:val="18"/>
        </w:rPr>
      </w:pPr>
      <w:r>
        <w:rPr>
          <w:sz w:val="18"/>
        </w:rPr>
        <w:t>Source: Section</w:t>
      </w:r>
      <w:r>
        <w:rPr>
          <w:spacing w:val="-2"/>
          <w:sz w:val="18"/>
        </w:rPr>
        <w:t> </w:t>
      </w:r>
      <w:r>
        <w:rPr>
          <w:spacing w:val="-10"/>
          <w:sz w:val="18"/>
        </w:rPr>
        <w:t>3</w:t>
      </w:r>
    </w:p>
    <w:p>
      <w:pPr>
        <w:pStyle w:val="BodyText"/>
        <w:spacing w:before="8"/>
        <w:rPr>
          <w:sz w:val="21"/>
        </w:rPr>
      </w:pPr>
    </w:p>
    <w:p>
      <w:pPr>
        <w:pStyle w:val="BodyText"/>
        <w:ind w:left="120" w:right="132"/>
        <w:jc w:val="both"/>
      </w:pPr>
      <w:r>
        <w:rPr/>
        <w:t>Cash and investments are expected to decrease by $21.76 million during the year to $39.62 million (Cash and</w:t>
      </w:r>
      <w:r>
        <w:rPr>
          <w:spacing w:val="-2"/>
        </w:rPr>
        <w:t> </w:t>
      </w:r>
      <w:r>
        <w:rPr/>
        <w:t>cash</w:t>
      </w:r>
      <w:r>
        <w:rPr>
          <w:spacing w:val="-3"/>
        </w:rPr>
        <w:t> </w:t>
      </w:r>
      <w:r>
        <w:rPr/>
        <w:t>equivalents $24.05</w:t>
      </w:r>
      <w:r>
        <w:rPr>
          <w:spacing w:val="-4"/>
        </w:rPr>
        <w:t> </w:t>
      </w:r>
      <w:r>
        <w:rPr/>
        <w:t>million</w:t>
      </w:r>
      <w:r>
        <w:rPr>
          <w:spacing w:val="-2"/>
        </w:rPr>
        <w:t> </w:t>
      </w:r>
      <w:r>
        <w:rPr/>
        <w:t>and</w:t>
      </w:r>
      <w:r>
        <w:rPr>
          <w:spacing w:val="-2"/>
        </w:rPr>
        <w:t> </w:t>
      </w:r>
      <w:r>
        <w:rPr/>
        <w:t>Financial</w:t>
      </w:r>
      <w:r>
        <w:rPr>
          <w:spacing w:val="-2"/>
        </w:rPr>
        <w:t> </w:t>
      </w:r>
      <w:r>
        <w:rPr/>
        <w:t>Assets</w:t>
      </w:r>
      <w:r>
        <w:rPr>
          <w:spacing w:val="-4"/>
        </w:rPr>
        <w:t> </w:t>
      </w:r>
      <w:r>
        <w:rPr/>
        <w:t>$15.57</w:t>
      </w:r>
      <w:r>
        <w:rPr>
          <w:spacing w:val="-5"/>
        </w:rPr>
        <w:t> </w:t>
      </w:r>
      <w:r>
        <w:rPr/>
        <w:t>million)</w:t>
      </w:r>
      <w:r>
        <w:rPr>
          <w:spacing w:val="-1"/>
        </w:rPr>
        <w:t> </w:t>
      </w:r>
      <w:r>
        <w:rPr/>
        <w:t>as at</w:t>
      </w:r>
      <w:r>
        <w:rPr>
          <w:spacing w:val="-1"/>
        </w:rPr>
        <w:t> </w:t>
      </w:r>
      <w:r>
        <w:rPr/>
        <w:t>30</w:t>
      </w:r>
      <w:r>
        <w:rPr>
          <w:spacing w:val="-3"/>
        </w:rPr>
        <w:t> </w:t>
      </w:r>
      <w:r>
        <w:rPr/>
        <w:t>June</w:t>
      </w:r>
      <w:r>
        <w:rPr>
          <w:spacing w:val="-1"/>
        </w:rPr>
        <w:t> </w:t>
      </w:r>
      <w:r>
        <w:rPr/>
        <w:t>2025.</w:t>
      </w:r>
      <w:r>
        <w:rPr>
          <w:spacing w:val="-4"/>
        </w:rPr>
        <w:t> </w:t>
      </w:r>
      <w:r>
        <w:rPr/>
        <w:t>The decrease in</w:t>
      </w:r>
      <w:r>
        <w:rPr>
          <w:spacing w:val="-5"/>
        </w:rPr>
        <w:t> </w:t>
      </w:r>
      <w:r>
        <w:rPr/>
        <w:t>cash</w:t>
      </w:r>
      <w:r>
        <w:rPr>
          <w:spacing w:val="-4"/>
        </w:rPr>
        <w:t> </w:t>
      </w:r>
      <w:r>
        <w:rPr/>
        <w:t>and</w:t>
      </w:r>
      <w:r>
        <w:rPr>
          <w:spacing w:val="-4"/>
        </w:rPr>
        <w:t> </w:t>
      </w:r>
      <w:r>
        <w:rPr/>
        <w:t>investments</w:t>
      </w:r>
      <w:r>
        <w:rPr>
          <w:spacing w:val="-6"/>
        </w:rPr>
        <w:t> </w:t>
      </w:r>
      <w:r>
        <w:rPr/>
        <w:t>is</w:t>
      </w:r>
      <w:r>
        <w:rPr>
          <w:spacing w:val="-2"/>
        </w:rPr>
        <w:t> </w:t>
      </w:r>
      <w:r>
        <w:rPr/>
        <w:t>in</w:t>
      </w:r>
      <w:r>
        <w:rPr>
          <w:spacing w:val="-4"/>
        </w:rPr>
        <w:t> </w:t>
      </w:r>
      <w:r>
        <w:rPr/>
        <w:t>line</w:t>
      </w:r>
      <w:r>
        <w:rPr>
          <w:spacing w:val="-4"/>
        </w:rPr>
        <w:t> </w:t>
      </w:r>
      <w:r>
        <w:rPr/>
        <w:t>with</w:t>
      </w:r>
      <w:r>
        <w:rPr>
          <w:spacing w:val="-2"/>
        </w:rPr>
        <w:t> </w:t>
      </w:r>
      <w:r>
        <w:rPr/>
        <w:t>Council's</w:t>
      </w:r>
      <w:r>
        <w:rPr>
          <w:spacing w:val="-4"/>
        </w:rPr>
        <w:t> </w:t>
      </w:r>
      <w:r>
        <w:rPr/>
        <w:t>Financial</w:t>
      </w:r>
      <w:r>
        <w:rPr>
          <w:spacing w:val="-4"/>
        </w:rPr>
        <w:t> </w:t>
      </w:r>
      <w:r>
        <w:rPr/>
        <w:t>Plan.</w:t>
      </w:r>
      <w:r>
        <w:rPr>
          <w:spacing w:val="-2"/>
        </w:rPr>
        <w:t> </w:t>
      </w:r>
      <w:r>
        <w:rPr/>
        <w:t>The</w:t>
      </w:r>
      <w:r>
        <w:rPr>
          <w:spacing w:val="-4"/>
        </w:rPr>
        <w:t> </w:t>
      </w:r>
      <w:r>
        <w:rPr/>
        <w:t>higher</w:t>
      </w:r>
      <w:r>
        <w:rPr>
          <w:spacing w:val="-5"/>
        </w:rPr>
        <w:t> </w:t>
      </w:r>
      <w:r>
        <w:rPr/>
        <w:t>level</w:t>
      </w:r>
      <w:r>
        <w:rPr>
          <w:spacing w:val="-4"/>
        </w:rPr>
        <w:t> </w:t>
      </w:r>
      <w:r>
        <w:rPr/>
        <w:t>of</w:t>
      </w:r>
      <w:r>
        <w:rPr>
          <w:spacing w:val="-2"/>
        </w:rPr>
        <w:t> </w:t>
      </w:r>
      <w:r>
        <w:rPr/>
        <w:t>cash</w:t>
      </w:r>
      <w:r>
        <w:rPr>
          <w:spacing w:val="-4"/>
        </w:rPr>
        <w:t> </w:t>
      </w:r>
      <w:r>
        <w:rPr/>
        <w:t>and</w:t>
      </w:r>
      <w:r>
        <w:rPr>
          <w:spacing w:val="-4"/>
        </w:rPr>
        <w:t> </w:t>
      </w:r>
      <w:r>
        <w:rPr/>
        <w:t>investments</w:t>
      </w:r>
      <w:r>
        <w:rPr>
          <w:spacing w:val="-4"/>
        </w:rPr>
        <w:t> </w:t>
      </w:r>
      <w:r>
        <w:rPr/>
        <w:t>for 2023/2024 relates to the receipt of capital grant relating to Ringwood multi-level carpark.</w:t>
      </w:r>
      <w:r>
        <w:rPr>
          <w:spacing w:val="40"/>
        </w:rPr>
        <w:t> </w:t>
      </w:r>
      <w:r>
        <w:rPr/>
        <w:t>Cash and investments are</w:t>
      </w:r>
      <w:r>
        <w:rPr>
          <w:spacing w:val="-2"/>
        </w:rPr>
        <w:t> </w:t>
      </w:r>
      <w:r>
        <w:rPr/>
        <w:t>forecast to be $61.38 million as</w:t>
      </w:r>
      <w:r>
        <w:rPr>
          <w:spacing w:val="-1"/>
        </w:rPr>
        <w:t> </w:t>
      </w:r>
      <w:r>
        <w:rPr/>
        <w:t>at 30 June 2024. A strong cash position will be maintained over the term of the Council's Long Term Financial Plan.</w:t>
      </w:r>
    </w:p>
    <w:p>
      <w:pPr>
        <w:spacing w:after="0"/>
        <w:jc w:val="both"/>
        <w:sectPr>
          <w:pgSz w:w="11910" w:h="16840"/>
          <w:pgMar w:header="0" w:footer="687" w:top="620" w:bottom="880" w:left="600" w:right="580"/>
        </w:sectPr>
      </w:pPr>
    </w:p>
    <w:p>
      <w:pPr>
        <w:pStyle w:val="Heading4"/>
        <w:spacing w:before="82"/>
        <w:ind w:left="120" w:firstLine="0"/>
      </w:pPr>
      <w:r>
        <w:rPr>
          <w:color w:val="4966AC"/>
        </w:rPr>
        <w:t>Capital</w:t>
      </w:r>
      <w:r>
        <w:rPr>
          <w:color w:val="4966AC"/>
          <w:spacing w:val="2"/>
        </w:rPr>
        <w:t> </w:t>
      </w:r>
      <w:r>
        <w:rPr>
          <w:color w:val="4966AC"/>
          <w:spacing w:val="-2"/>
        </w:rPr>
        <w:t>expenditure</w:t>
      </w:r>
    </w:p>
    <w:p>
      <w:pPr>
        <w:pStyle w:val="BodyText"/>
        <w:rPr>
          <w:b/>
          <w:sz w:val="21"/>
        </w:rPr>
      </w:pPr>
      <w:r>
        <w:rPr/>
        <w:drawing>
          <wp:anchor distT="0" distB="0" distL="0" distR="0" allowOverlap="1" layoutInCell="1" locked="0" behindDoc="0" simplePos="0" relativeHeight="8">
            <wp:simplePos x="0" y="0"/>
            <wp:positionH relativeFrom="page">
              <wp:posOffset>487680</wp:posOffset>
            </wp:positionH>
            <wp:positionV relativeFrom="paragraph">
              <wp:posOffset>168924</wp:posOffset>
            </wp:positionV>
            <wp:extent cx="6391656" cy="3014472"/>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17" cstate="print"/>
                    <a:stretch>
                      <a:fillRect/>
                    </a:stretch>
                  </pic:blipFill>
                  <pic:spPr>
                    <a:xfrm>
                      <a:off x="0" y="0"/>
                      <a:ext cx="6391656" cy="3014472"/>
                    </a:xfrm>
                    <a:prstGeom prst="rect">
                      <a:avLst/>
                    </a:prstGeom>
                  </pic:spPr>
                </pic:pic>
              </a:graphicData>
            </a:graphic>
          </wp:anchor>
        </w:drawing>
      </w:r>
    </w:p>
    <w:p>
      <w:pPr>
        <w:spacing w:before="11"/>
        <w:ind w:left="120" w:right="0" w:firstLine="0"/>
        <w:jc w:val="left"/>
        <w:rPr>
          <w:sz w:val="18"/>
        </w:rPr>
      </w:pPr>
      <w:r>
        <w:rPr>
          <w:sz w:val="18"/>
        </w:rPr>
        <w:t>Source: Section</w:t>
      </w:r>
      <w:r>
        <w:rPr>
          <w:spacing w:val="-2"/>
          <w:sz w:val="18"/>
        </w:rPr>
        <w:t> </w:t>
      </w:r>
      <w:r>
        <w:rPr>
          <w:spacing w:val="-10"/>
          <w:sz w:val="18"/>
        </w:rPr>
        <w:t>5</w:t>
      </w:r>
    </w:p>
    <w:p>
      <w:pPr>
        <w:pStyle w:val="BodyText"/>
        <w:spacing w:before="1"/>
      </w:pPr>
    </w:p>
    <w:p>
      <w:pPr>
        <w:pStyle w:val="BodyText"/>
        <w:spacing w:before="1"/>
        <w:ind w:left="120" w:right="190"/>
      </w:pPr>
      <w:r>
        <w:rPr/>
        <w:t>The capital works program for the 2024/2025 year is expected to be $65.49 million of which $26.71 million will come from external grants including $24.2 million of carried forward funding for the Activity Centre Carpark</w:t>
      </w:r>
      <w:r>
        <w:rPr>
          <w:spacing w:val="-2"/>
        </w:rPr>
        <w:t> </w:t>
      </w:r>
      <w:r>
        <w:rPr/>
        <w:t>Development</w:t>
      </w:r>
      <w:r>
        <w:rPr>
          <w:spacing w:val="-2"/>
        </w:rPr>
        <w:t> </w:t>
      </w:r>
      <w:r>
        <w:rPr/>
        <w:t>Program,</w:t>
      </w:r>
      <w:r>
        <w:rPr>
          <w:spacing w:val="-2"/>
        </w:rPr>
        <w:t> </w:t>
      </w:r>
      <w:r>
        <w:rPr/>
        <w:t>$0.23</w:t>
      </w:r>
      <w:r>
        <w:rPr>
          <w:spacing w:val="-4"/>
        </w:rPr>
        <w:t> </w:t>
      </w:r>
      <w:r>
        <w:rPr/>
        <w:t>million</w:t>
      </w:r>
      <w:r>
        <w:rPr>
          <w:spacing w:val="-2"/>
        </w:rPr>
        <w:t> </w:t>
      </w:r>
      <w:r>
        <w:rPr/>
        <w:t>from</w:t>
      </w:r>
      <w:r>
        <w:rPr>
          <w:spacing w:val="-2"/>
        </w:rPr>
        <w:t> </w:t>
      </w:r>
      <w:r>
        <w:rPr/>
        <w:t>contributions,</w:t>
      </w:r>
      <w:r>
        <w:rPr>
          <w:spacing w:val="-1"/>
        </w:rPr>
        <w:t> </w:t>
      </w:r>
      <w:r>
        <w:rPr/>
        <w:t>and</w:t>
      </w:r>
      <w:r>
        <w:rPr>
          <w:spacing w:val="-3"/>
        </w:rPr>
        <w:t> </w:t>
      </w:r>
      <w:r>
        <w:rPr/>
        <w:t>$1.81</w:t>
      </w:r>
      <w:r>
        <w:rPr>
          <w:spacing w:val="-2"/>
        </w:rPr>
        <w:t> </w:t>
      </w:r>
      <w:r>
        <w:rPr/>
        <w:t>million</w:t>
      </w:r>
      <w:r>
        <w:rPr>
          <w:spacing w:val="-2"/>
        </w:rPr>
        <w:t> </w:t>
      </w:r>
      <w:r>
        <w:rPr/>
        <w:t>will</w:t>
      </w:r>
      <w:r>
        <w:rPr>
          <w:spacing w:val="-5"/>
        </w:rPr>
        <w:t> </w:t>
      </w:r>
      <w:r>
        <w:rPr/>
        <w:t>be</w:t>
      </w:r>
      <w:r>
        <w:rPr>
          <w:spacing w:val="-1"/>
        </w:rPr>
        <w:t> </w:t>
      </w:r>
      <w:r>
        <w:rPr/>
        <w:t>funded</w:t>
      </w:r>
      <w:r>
        <w:rPr>
          <w:spacing w:val="-4"/>
        </w:rPr>
        <w:t> </w:t>
      </w:r>
      <w:r>
        <w:rPr/>
        <w:t>by</w:t>
      </w:r>
      <w:r>
        <w:rPr>
          <w:spacing w:val="-2"/>
        </w:rPr>
        <w:t> </w:t>
      </w:r>
      <w:r>
        <w:rPr/>
        <w:t>sale</w:t>
      </w:r>
      <w:r>
        <w:rPr>
          <w:spacing w:val="-4"/>
        </w:rPr>
        <w:t> </w:t>
      </w:r>
      <w:r>
        <w:rPr/>
        <w:t>of assets</w:t>
      </w:r>
      <w:r>
        <w:rPr>
          <w:spacing w:val="-2"/>
        </w:rPr>
        <w:t> </w:t>
      </w:r>
      <w:r>
        <w:rPr/>
        <w:t>and</w:t>
      </w:r>
      <w:r>
        <w:rPr>
          <w:spacing w:val="-2"/>
        </w:rPr>
        <w:t> </w:t>
      </w:r>
      <w:r>
        <w:rPr/>
        <w:t>the balance</w:t>
      </w:r>
      <w:r>
        <w:rPr>
          <w:spacing w:val="-2"/>
        </w:rPr>
        <w:t> </w:t>
      </w:r>
      <w:r>
        <w:rPr/>
        <w:t>$36.74</w:t>
      </w:r>
      <w:r>
        <w:rPr>
          <w:spacing w:val="-2"/>
        </w:rPr>
        <w:t> </w:t>
      </w:r>
      <w:r>
        <w:rPr/>
        <w:t>million internally through general rates</w:t>
      </w:r>
      <w:r>
        <w:rPr>
          <w:spacing w:val="-2"/>
        </w:rPr>
        <w:t> </w:t>
      </w:r>
      <w:r>
        <w:rPr/>
        <w:t>and</w:t>
      </w:r>
      <w:r>
        <w:rPr>
          <w:spacing w:val="-2"/>
        </w:rPr>
        <w:t> </w:t>
      </w:r>
      <w:r>
        <w:rPr/>
        <w:t>cash holdings.</w:t>
      </w:r>
      <w:r>
        <w:rPr>
          <w:spacing w:val="40"/>
        </w:rPr>
        <w:t> </w:t>
      </w:r>
      <w:r>
        <w:rPr/>
        <w:t>The</w:t>
      </w:r>
      <w:r>
        <w:rPr>
          <w:spacing w:val="-2"/>
        </w:rPr>
        <w:t> </w:t>
      </w:r>
      <w:r>
        <w:rPr/>
        <w:t>priorities for the capital</w:t>
      </w:r>
      <w:r>
        <w:rPr>
          <w:spacing w:val="-2"/>
        </w:rPr>
        <w:t> </w:t>
      </w:r>
      <w:r>
        <w:rPr/>
        <w:t>expenditure program have</w:t>
      </w:r>
      <w:r>
        <w:rPr>
          <w:spacing w:val="-1"/>
        </w:rPr>
        <w:t> </w:t>
      </w:r>
      <w:r>
        <w:rPr/>
        <w:t>been</w:t>
      </w:r>
      <w:r>
        <w:rPr>
          <w:spacing w:val="-1"/>
        </w:rPr>
        <w:t> </w:t>
      </w:r>
      <w:r>
        <w:rPr/>
        <w:t>established through</w:t>
      </w:r>
      <w:r>
        <w:rPr>
          <w:spacing w:val="-1"/>
        </w:rPr>
        <w:t> </w:t>
      </w:r>
      <w:r>
        <w:rPr/>
        <w:t>a rigorous</w:t>
      </w:r>
      <w:r>
        <w:rPr>
          <w:spacing w:val="-1"/>
        </w:rPr>
        <w:t> </w:t>
      </w:r>
      <w:r>
        <w:rPr/>
        <w:t>process</w:t>
      </w:r>
      <w:r>
        <w:rPr>
          <w:spacing w:val="-1"/>
        </w:rPr>
        <w:t> </w:t>
      </w:r>
      <w:r>
        <w:rPr/>
        <w:t>of consultation that has enabled Council to assess community needs and develop sound business cases for each project. Refer Section 3 for the Statement of Capital Works and Section 4.5 for details of the capital works program.</w:t>
      </w:r>
    </w:p>
    <w:p>
      <w:pPr>
        <w:pStyle w:val="BodyText"/>
        <w:spacing w:before="11"/>
        <w:rPr>
          <w:sz w:val="21"/>
        </w:rPr>
      </w:pPr>
    </w:p>
    <w:p>
      <w:pPr>
        <w:pStyle w:val="Heading4"/>
        <w:ind w:left="120" w:firstLine="0"/>
      </w:pPr>
      <w:r>
        <w:rPr>
          <w:color w:val="4966AC"/>
        </w:rPr>
        <w:t>Financial</w:t>
      </w:r>
      <w:r>
        <w:rPr>
          <w:color w:val="4966AC"/>
          <w:spacing w:val="-1"/>
        </w:rPr>
        <w:t> </w:t>
      </w:r>
      <w:r>
        <w:rPr>
          <w:color w:val="4966AC"/>
        </w:rPr>
        <w:t>Position</w:t>
      </w:r>
      <w:r>
        <w:rPr>
          <w:color w:val="4966AC"/>
          <w:spacing w:val="-1"/>
        </w:rPr>
        <w:t> </w:t>
      </w:r>
      <w:r>
        <w:rPr>
          <w:color w:val="4966AC"/>
        </w:rPr>
        <w:t>(Working</w:t>
      </w:r>
      <w:r>
        <w:rPr>
          <w:color w:val="4966AC"/>
          <w:spacing w:val="-2"/>
        </w:rPr>
        <w:t> Capital)</w:t>
      </w:r>
    </w:p>
    <w:p>
      <w:pPr>
        <w:pStyle w:val="BodyText"/>
        <w:rPr>
          <w:b/>
          <w:sz w:val="21"/>
        </w:rPr>
      </w:pPr>
      <w:r>
        <w:rPr/>
        <w:drawing>
          <wp:anchor distT="0" distB="0" distL="0" distR="0" allowOverlap="1" layoutInCell="1" locked="0" behindDoc="0" simplePos="0" relativeHeight="9">
            <wp:simplePos x="0" y="0"/>
            <wp:positionH relativeFrom="page">
              <wp:posOffset>454151</wp:posOffset>
            </wp:positionH>
            <wp:positionV relativeFrom="paragraph">
              <wp:posOffset>168994</wp:posOffset>
            </wp:positionV>
            <wp:extent cx="6586727" cy="2898648"/>
            <wp:effectExtent l="0" t="0" r="0" b="0"/>
            <wp:wrapTopAndBottom/>
            <wp:docPr id="19" name="image10.jpeg"/>
            <wp:cNvGraphicFramePr>
              <a:graphicFrameLocks noChangeAspect="1"/>
            </wp:cNvGraphicFramePr>
            <a:graphic>
              <a:graphicData uri="http://schemas.openxmlformats.org/drawingml/2006/picture">
                <pic:pic>
                  <pic:nvPicPr>
                    <pic:cNvPr id="20" name="image10.jpeg"/>
                    <pic:cNvPicPr/>
                  </pic:nvPicPr>
                  <pic:blipFill>
                    <a:blip r:embed="rId18" cstate="print"/>
                    <a:stretch>
                      <a:fillRect/>
                    </a:stretch>
                  </pic:blipFill>
                  <pic:spPr>
                    <a:xfrm>
                      <a:off x="0" y="0"/>
                      <a:ext cx="6586727" cy="2898648"/>
                    </a:xfrm>
                    <a:prstGeom prst="rect">
                      <a:avLst/>
                    </a:prstGeom>
                  </pic:spPr>
                </pic:pic>
              </a:graphicData>
            </a:graphic>
          </wp:anchor>
        </w:drawing>
      </w:r>
    </w:p>
    <w:p>
      <w:pPr>
        <w:spacing w:before="11"/>
        <w:ind w:left="120" w:right="0" w:firstLine="0"/>
        <w:jc w:val="left"/>
        <w:rPr>
          <w:sz w:val="18"/>
        </w:rPr>
      </w:pPr>
      <w:r>
        <w:rPr>
          <w:sz w:val="18"/>
        </w:rPr>
        <w:t>Source: Section</w:t>
      </w:r>
      <w:r>
        <w:rPr>
          <w:spacing w:val="-2"/>
          <w:sz w:val="18"/>
        </w:rPr>
        <w:t> </w:t>
      </w:r>
      <w:r>
        <w:rPr>
          <w:spacing w:val="-10"/>
          <w:sz w:val="18"/>
        </w:rPr>
        <w:t>3</w:t>
      </w:r>
    </w:p>
    <w:p>
      <w:pPr>
        <w:pStyle w:val="BodyText"/>
        <w:spacing w:before="1"/>
      </w:pPr>
    </w:p>
    <w:p>
      <w:pPr>
        <w:pStyle w:val="BodyText"/>
        <w:spacing w:before="1"/>
        <w:ind w:left="120" w:right="131"/>
        <w:jc w:val="both"/>
      </w:pPr>
      <w:r>
        <w:rPr/>
        <w:t>The working capital ratio calculated as Current Assets divided by Current Liabilities is a key indicator to assess</w:t>
      </w:r>
      <w:r>
        <w:rPr>
          <w:spacing w:val="11"/>
        </w:rPr>
        <w:t> </w:t>
      </w:r>
      <w:r>
        <w:rPr/>
        <w:t>Council’s</w:t>
      </w:r>
      <w:r>
        <w:rPr>
          <w:spacing w:val="12"/>
        </w:rPr>
        <w:t> </w:t>
      </w:r>
      <w:r>
        <w:rPr/>
        <w:t>ability</w:t>
      </w:r>
      <w:r>
        <w:rPr>
          <w:spacing w:val="9"/>
        </w:rPr>
        <w:t> </w:t>
      </w:r>
      <w:r>
        <w:rPr/>
        <w:t>to</w:t>
      </w:r>
      <w:r>
        <w:rPr>
          <w:spacing w:val="11"/>
        </w:rPr>
        <w:t> </w:t>
      </w:r>
      <w:r>
        <w:rPr/>
        <w:t>meet</w:t>
      </w:r>
      <w:r>
        <w:rPr>
          <w:spacing w:val="12"/>
        </w:rPr>
        <w:t> </w:t>
      </w:r>
      <w:r>
        <w:rPr/>
        <w:t>current</w:t>
      </w:r>
      <w:r>
        <w:rPr>
          <w:spacing w:val="10"/>
        </w:rPr>
        <w:t> </w:t>
      </w:r>
      <w:r>
        <w:rPr/>
        <w:t>commitments.</w:t>
      </w:r>
      <w:r>
        <w:rPr>
          <w:spacing w:val="10"/>
        </w:rPr>
        <w:t> </w:t>
      </w:r>
      <w:r>
        <w:rPr/>
        <w:t>The</w:t>
      </w:r>
      <w:r>
        <w:rPr>
          <w:spacing w:val="8"/>
        </w:rPr>
        <w:t> </w:t>
      </w:r>
      <w:r>
        <w:rPr/>
        <w:t>expected</w:t>
      </w:r>
      <w:r>
        <w:rPr>
          <w:spacing w:val="9"/>
        </w:rPr>
        <w:t> </w:t>
      </w:r>
      <w:r>
        <w:rPr/>
        <w:t>working</w:t>
      </w:r>
      <w:r>
        <w:rPr>
          <w:spacing w:val="12"/>
        </w:rPr>
        <w:t> </w:t>
      </w:r>
      <w:r>
        <w:rPr/>
        <w:t>capital</w:t>
      </w:r>
      <w:r>
        <w:rPr>
          <w:spacing w:val="7"/>
        </w:rPr>
        <w:t> </w:t>
      </w:r>
      <w:r>
        <w:rPr/>
        <w:t>ratio</w:t>
      </w:r>
      <w:r>
        <w:rPr>
          <w:spacing w:val="8"/>
        </w:rPr>
        <w:t> </w:t>
      </w:r>
      <w:r>
        <w:rPr/>
        <w:t>for</w:t>
      </w:r>
      <w:r>
        <w:rPr>
          <w:spacing w:val="11"/>
        </w:rPr>
        <w:t> </w:t>
      </w:r>
      <w:r>
        <w:rPr/>
        <w:t>2024/2025</w:t>
      </w:r>
      <w:r>
        <w:rPr>
          <w:spacing w:val="12"/>
        </w:rPr>
        <w:t> </w:t>
      </w:r>
      <w:r>
        <w:rPr>
          <w:spacing w:val="-5"/>
        </w:rPr>
        <w:t>is</w:t>
      </w:r>
    </w:p>
    <w:p>
      <w:pPr>
        <w:pStyle w:val="BodyText"/>
        <w:ind w:left="120" w:right="136"/>
        <w:jc w:val="both"/>
      </w:pPr>
      <w:r>
        <w:rPr/>
        <w:t>1.38 which means that Council can meet its short-term obligations and has sufficient cash or operating liquidity remaining to meet fluctuating cash levels during the year. Future years (2025/2026 to 2027/2028) are expected to remain relatively steady and positive.</w:t>
      </w:r>
    </w:p>
    <w:p>
      <w:pPr>
        <w:spacing w:after="0"/>
        <w:jc w:val="both"/>
        <w:sectPr>
          <w:pgSz w:w="11910" w:h="16840"/>
          <w:pgMar w:header="0" w:footer="687" w:top="620" w:bottom="880" w:left="600" w:right="580"/>
        </w:sectPr>
      </w:pPr>
    </w:p>
    <w:p>
      <w:pPr>
        <w:pStyle w:val="Heading4"/>
        <w:spacing w:before="82"/>
        <w:ind w:left="120" w:firstLine="0"/>
        <w:jc w:val="both"/>
      </w:pPr>
      <w:r>
        <w:rPr>
          <w:color w:val="4966AC"/>
        </w:rPr>
        <w:t>Financial </w:t>
      </w:r>
      <w:r>
        <w:rPr>
          <w:color w:val="4966AC"/>
          <w:spacing w:val="-2"/>
        </w:rPr>
        <w:t>Sustainability</w:t>
      </w:r>
    </w:p>
    <w:p>
      <w:pPr>
        <w:pStyle w:val="BodyText"/>
        <w:rPr>
          <w:b/>
          <w:sz w:val="20"/>
        </w:rPr>
      </w:pPr>
    </w:p>
    <w:p>
      <w:pPr>
        <w:pStyle w:val="BodyText"/>
        <w:rPr>
          <w:b/>
          <w:sz w:val="20"/>
        </w:rPr>
      </w:pPr>
    </w:p>
    <w:p>
      <w:pPr>
        <w:pStyle w:val="BodyText"/>
        <w:spacing w:before="7"/>
        <w:rPr>
          <w:b/>
          <w:sz w:val="28"/>
        </w:rPr>
      </w:pPr>
      <w:r>
        <w:rPr/>
        <w:drawing>
          <wp:anchor distT="0" distB="0" distL="0" distR="0" allowOverlap="1" layoutInCell="1" locked="0" behindDoc="0" simplePos="0" relativeHeight="10">
            <wp:simplePos x="0" y="0"/>
            <wp:positionH relativeFrom="page">
              <wp:posOffset>454151</wp:posOffset>
            </wp:positionH>
            <wp:positionV relativeFrom="paragraph">
              <wp:posOffset>224321</wp:posOffset>
            </wp:positionV>
            <wp:extent cx="6672072" cy="3319272"/>
            <wp:effectExtent l="0" t="0" r="0" b="0"/>
            <wp:wrapTopAndBottom/>
            <wp:docPr id="21" name="image11.jpeg"/>
            <wp:cNvGraphicFramePr>
              <a:graphicFrameLocks noChangeAspect="1"/>
            </wp:cNvGraphicFramePr>
            <a:graphic>
              <a:graphicData uri="http://schemas.openxmlformats.org/drawingml/2006/picture">
                <pic:pic>
                  <pic:nvPicPr>
                    <pic:cNvPr id="22" name="image11.jpeg"/>
                    <pic:cNvPicPr/>
                  </pic:nvPicPr>
                  <pic:blipFill>
                    <a:blip r:embed="rId19" cstate="print"/>
                    <a:stretch>
                      <a:fillRect/>
                    </a:stretch>
                  </pic:blipFill>
                  <pic:spPr>
                    <a:xfrm>
                      <a:off x="0" y="0"/>
                      <a:ext cx="6672072" cy="3319272"/>
                    </a:xfrm>
                    <a:prstGeom prst="rect">
                      <a:avLst/>
                    </a:prstGeom>
                  </pic:spPr>
                </pic:pic>
              </a:graphicData>
            </a:graphic>
          </wp:anchor>
        </w:drawing>
      </w:r>
    </w:p>
    <w:p>
      <w:pPr>
        <w:spacing w:before="0"/>
        <w:ind w:left="120" w:right="0" w:firstLine="0"/>
        <w:jc w:val="both"/>
        <w:rPr>
          <w:sz w:val="18"/>
        </w:rPr>
      </w:pPr>
      <w:r>
        <w:rPr>
          <w:sz w:val="18"/>
        </w:rPr>
        <w:t>Source: Section</w:t>
      </w:r>
      <w:r>
        <w:rPr>
          <w:spacing w:val="-2"/>
          <w:sz w:val="18"/>
        </w:rPr>
        <w:t> </w:t>
      </w:r>
      <w:r>
        <w:rPr>
          <w:spacing w:val="-10"/>
          <w:sz w:val="18"/>
        </w:rPr>
        <w:t>3</w:t>
      </w:r>
    </w:p>
    <w:p>
      <w:pPr>
        <w:pStyle w:val="BodyText"/>
        <w:spacing w:before="9"/>
        <w:rPr>
          <w:sz w:val="21"/>
        </w:rPr>
      </w:pPr>
    </w:p>
    <w:p>
      <w:pPr>
        <w:pStyle w:val="BodyText"/>
        <w:spacing w:before="1"/>
        <w:ind w:left="120" w:right="135"/>
        <w:jc w:val="both"/>
      </w:pPr>
      <w:r>
        <w:rPr/>
        <w:t>The underlying result is the net surplus adjusted for non-recurrent capital grants, non-monetary asset contributions, and capital contributions from other sources. It is a measure of financial sustainability and Council’s</w:t>
      </w:r>
      <w:r>
        <w:rPr>
          <w:spacing w:val="-2"/>
        </w:rPr>
        <w:t> </w:t>
      </w:r>
      <w:r>
        <w:rPr/>
        <w:t>ability</w:t>
      </w:r>
      <w:r>
        <w:rPr>
          <w:spacing w:val="-2"/>
        </w:rPr>
        <w:t> </w:t>
      </w:r>
      <w:r>
        <w:rPr/>
        <w:t>to</w:t>
      </w:r>
      <w:r>
        <w:rPr>
          <w:spacing w:val="-1"/>
        </w:rPr>
        <w:t> </w:t>
      </w:r>
      <w:r>
        <w:rPr/>
        <w:t>achieve</w:t>
      </w:r>
      <w:r>
        <w:rPr>
          <w:spacing w:val="-4"/>
        </w:rPr>
        <w:t> </w:t>
      </w:r>
      <w:r>
        <w:rPr/>
        <w:t>its service delivery</w:t>
      </w:r>
      <w:r>
        <w:rPr>
          <w:spacing w:val="-2"/>
        </w:rPr>
        <w:t> </w:t>
      </w:r>
      <w:r>
        <w:rPr/>
        <w:t>objectives</w:t>
      </w:r>
      <w:r>
        <w:rPr>
          <w:spacing w:val="-2"/>
        </w:rPr>
        <w:t> </w:t>
      </w:r>
      <w:r>
        <w:rPr/>
        <w:t>as it is</w:t>
      </w:r>
      <w:r>
        <w:rPr>
          <w:spacing w:val="-2"/>
        </w:rPr>
        <w:t> </w:t>
      </w:r>
      <w:r>
        <w:rPr/>
        <w:t>not</w:t>
      </w:r>
      <w:r>
        <w:rPr>
          <w:spacing w:val="-4"/>
        </w:rPr>
        <w:t> </w:t>
      </w:r>
      <w:r>
        <w:rPr/>
        <w:t>impacted</w:t>
      </w:r>
      <w:r>
        <w:rPr>
          <w:spacing w:val="-1"/>
        </w:rPr>
        <w:t> </w:t>
      </w:r>
      <w:r>
        <w:rPr/>
        <w:t>by</w:t>
      </w:r>
      <w:r>
        <w:rPr>
          <w:spacing w:val="-2"/>
        </w:rPr>
        <w:t> </w:t>
      </w:r>
      <w:r>
        <w:rPr/>
        <w:t>capital</w:t>
      </w:r>
      <w:r>
        <w:rPr>
          <w:spacing w:val="-2"/>
        </w:rPr>
        <w:t> </w:t>
      </w:r>
      <w:r>
        <w:rPr/>
        <w:t>income</w:t>
      </w:r>
      <w:r>
        <w:rPr>
          <w:spacing w:val="-6"/>
        </w:rPr>
        <w:t> </w:t>
      </w:r>
      <w:r>
        <w:rPr/>
        <w:t>items</w:t>
      </w:r>
      <w:r>
        <w:rPr>
          <w:spacing w:val="-2"/>
        </w:rPr>
        <w:t> </w:t>
      </w:r>
      <w:r>
        <w:rPr/>
        <w:t>which can often mask the operating result.</w:t>
      </w:r>
    </w:p>
    <w:p>
      <w:pPr>
        <w:pStyle w:val="BodyText"/>
        <w:spacing w:before="11"/>
        <w:rPr>
          <w:sz w:val="21"/>
        </w:rPr>
      </w:pPr>
    </w:p>
    <w:p>
      <w:pPr>
        <w:pStyle w:val="BodyText"/>
        <w:ind w:left="120" w:right="134"/>
        <w:jc w:val="both"/>
      </w:pPr>
      <w:r>
        <w:rPr/>
        <w:t>A Financial Plan for the years 2024/2025 to 2033/2034 has been developed to assist Council in adopting a budget within</w:t>
      </w:r>
      <w:r>
        <w:rPr>
          <w:spacing w:val="-1"/>
        </w:rPr>
        <w:t> </w:t>
      </w:r>
      <w:r>
        <w:rPr/>
        <w:t>a longer term prudent financial framework. The key objective of the Financial Plan is financial sustainability in the medium to longer term, while still achieving Council’s future outcome areas (strategic objectives) as specified in the Council Plan. The adjusted surplus result, which is a measure of financial sustainability, portrays positive outcomes in terms of net surplus comprehensive results for the entire ten- year</w:t>
      </w:r>
      <w:r>
        <w:rPr>
          <w:spacing w:val="-5"/>
        </w:rPr>
        <w:t> </w:t>
      </w:r>
      <w:r>
        <w:rPr/>
        <w:t>period</w:t>
      </w:r>
      <w:r>
        <w:rPr>
          <w:spacing w:val="-5"/>
        </w:rPr>
        <w:t> </w:t>
      </w:r>
      <w:r>
        <w:rPr/>
        <w:t>outlook</w:t>
      </w:r>
      <w:r>
        <w:rPr>
          <w:spacing w:val="-8"/>
        </w:rPr>
        <w:t> </w:t>
      </w:r>
      <w:r>
        <w:rPr/>
        <w:t>(2024/2025</w:t>
      </w:r>
      <w:r>
        <w:rPr>
          <w:spacing w:val="-10"/>
        </w:rPr>
        <w:t> </w:t>
      </w:r>
      <w:r>
        <w:rPr/>
        <w:t>to</w:t>
      </w:r>
      <w:r>
        <w:rPr>
          <w:spacing w:val="-8"/>
        </w:rPr>
        <w:t> </w:t>
      </w:r>
      <w:r>
        <w:rPr/>
        <w:t>2033/2034).</w:t>
      </w:r>
      <w:r>
        <w:rPr>
          <w:spacing w:val="-8"/>
        </w:rPr>
        <w:t> </w:t>
      </w:r>
      <w:r>
        <w:rPr/>
        <w:t>This</w:t>
      </w:r>
      <w:r>
        <w:rPr>
          <w:spacing w:val="-6"/>
        </w:rPr>
        <w:t> </w:t>
      </w:r>
      <w:r>
        <w:rPr/>
        <w:t>can</w:t>
      </w:r>
      <w:r>
        <w:rPr>
          <w:spacing w:val="-6"/>
        </w:rPr>
        <w:t> </w:t>
      </w:r>
      <w:r>
        <w:rPr/>
        <w:t>be</w:t>
      </w:r>
      <w:r>
        <w:rPr>
          <w:spacing w:val="-8"/>
        </w:rPr>
        <w:t> </w:t>
      </w:r>
      <w:r>
        <w:rPr/>
        <w:t>achieved</w:t>
      </w:r>
      <w:r>
        <w:rPr>
          <w:spacing w:val="-8"/>
        </w:rPr>
        <w:t> </w:t>
      </w:r>
      <w:r>
        <w:rPr/>
        <w:t>after</w:t>
      </w:r>
      <w:r>
        <w:rPr>
          <w:spacing w:val="-11"/>
        </w:rPr>
        <w:t> </w:t>
      </w:r>
      <w:r>
        <w:rPr/>
        <w:t>absorbing</w:t>
      </w:r>
      <w:r>
        <w:rPr>
          <w:spacing w:val="-8"/>
        </w:rPr>
        <w:t> </w:t>
      </w:r>
      <w:r>
        <w:rPr/>
        <w:t>the</w:t>
      </w:r>
      <w:r>
        <w:rPr>
          <w:spacing w:val="-8"/>
        </w:rPr>
        <w:t> </w:t>
      </w:r>
      <w:r>
        <w:rPr/>
        <w:t>impact</w:t>
      </w:r>
      <w:r>
        <w:rPr>
          <w:spacing w:val="-8"/>
        </w:rPr>
        <w:t> </w:t>
      </w:r>
      <w:r>
        <w:rPr/>
        <w:t>of</w:t>
      </w:r>
      <w:r>
        <w:rPr>
          <w:spacing w:val="-6"/>
        </w:rPr>
        <w:t> </w:t>
      </w:r>
      <w:r>
        <w:rPr/>
        <w:t>borrowing and the graduated increase in the superannuation guarantee by the Federal Government.</w:t>
      </w:r>
    </w:p>
    <w:p>
      <w:pPr>
        <w:spacing w:after="0"/>
        <w:jc w:val="both"/>
        <w:sectPr>
          <w:pgSz w:w="11910" w:h="16840"/>
          <w:pgMar w:header="0" w:footer="687" w:top="620" w:bottom="880" w:left="600" w:right="580"/>
        </w:sectPr>
      </w:pPr>
    </w:p>
    <w:p>
      <w:pPr>
        <w:pStyle w:val="BodyText"/>
        <w:spacing w:before="73"/>
        <w:ind w:left="120" w:right="115"/>
        <w:jc w:val="both"/>
      </w:pPr>
      <w:r>
        <w:rPr/>
        <w:pict>
          <v:rect style="position:absolute;margin-left:282.600006pt;margin-top:145.007858pt;width:58.080001pt;height:23.040012pt;mso-position-horizontal-relative:page;mso-position-vertical-relative:paragraph;z-index:-38064640" id="docshape7" filled="true" fillcolor="#ffff00" stroked="false">
            <v:fill type="solid"/>
            <w10:wrap type="none"/>
          </v:rect>
        </w:pict>
      </w:r>
      <w:r>
        <w:rPr/>
        <w:t>Further indicators of the long-term financial sustainability of Councils are the financial sustainability risk indicators as defined by Victorian Auditor General’s Office</w:t>
      </w:r>
      <w:r>
        <w:rPr>
          <w:spacing w:val="-9"/>
        </w:rPr>
        <w:t> </w:t>
      </w:r>
      <w:r>
        <w:rPr/>
        <w:t>(VAGO).</w:t>
      </w:r>
      <w:r>
        <w:rPr>
          <w:spacing w:val="-5"/>
        </w:rPr>
        <w:t> </w:t>
      </w:r>
      <w:r>
        <w:rPr/>
        <w:t>Council</w:t>
      </w:r>
      <w:r>
        <w:rPr>
          <w:spacing w:val="-8"/>
        </w:rPr>
        <w:t> </w:t>
      </w:r>
      <w:r>
        <w:rPr/>
        <w:t>is</w:t>
      </w:r>
      <w:r>
        <w:rPr>
          <w:spacing w:val="-5"/>
        </w:rPr>
        <w:t> </w:t>
      </w:r>
      <w:r>
        <w:rPr/>
        <w:t>in</w:t>
      </w:r>
      <w:r>
        <w:rPr>
          <w:spacing w:val="-7"/>
        </w:rPr>
        <w:t> </w:t>
      </w:r>
      <w:r>
        <w:rPr/>
        <w:t>a</w:t>
      </w:r>
      <w:r>
        <w:rPr>
          <w:spacing w:val="-7"/>
        </w:rPr>
        <w:t> </w:t>
      </w:r>
      <w:r>
        <w:rPr/>
        <w:t>sound</w:t>
      </w:r>
      <w:r>
        <w:rPr>
          <w:spacing w:val="-5"/>
        </w:rPr>
        <w:t> </w:t>
      </w:r>
      <w:r>
        <w:rPr/>
        <w:t>position</w:t>
      </w:r>
      <w:r>
        <w:rPr>
          <w:spacing w:val="-7"/>
        </w:rPr>
        <w:t> </w:t>
      </w:r>
      <w:r>
        <w:rPr/>
        <w:t>financially</w:t>
      </w:r>
      <w:r>
        <w:rPr>
          <w:spacing w:val="-3"/>
        </w:rPr>
        <w:t> </w:t>
      </w:r>
      <w:r>
        <w:rPr/>
        <w:t>with</w:t>
      </w:r>
      <w:r>
        <w:rPr>
          <w:spacing w:val="-5"/>
        </w:rPr>
        <w:t> </w:t>
      </w:r>
      <w:r>
        <w:rPr/>
        <w:t>all</w:t>
      </w:r>
      <w:r>
        <w:rPr>
          <w:spacing w:val="-8"/>
        </w:rPr>
        <w:t> </w:t>
      </w:r>
      <w:r>
        <w:rPr/>
        <w:t>indicators</w:t>
      </w:r>
      <w:r>
        <w:rPr>
          <w:spacing w:val="-10"/>
        </w:rPr>
        <w:t> </w:t>
      </w:r>
      <w:r>
        <w:rPr/>
        <w:t>showing</w:t>
      </w:r>
      <w:r>
        <w:rPr>
          <w:spacing w:val="-7"/>
        </w:rPr>
        <w:t> </w:t>
      </w:r>
      <w:r>
        <w:rPr/>
        <w:t>results</w:t>
      </w:r>
      <w:r>
        <w:rPr>
          <w:spacing w:val="-7"/>
        </w:rPr>
        <w:t> </w:t>
      </w:r>
      <w:r>
        <w:rPr/>
        <w:t>within</w:t>
      </w:r>
      <w:r>
        <w:rPr>
          <w:spacing w:val="-7"/>
        </w:rPr>
        <w:t> </w:t>
      </w:r>
      <w:r>
        <w:rPr/>
        <w:t>acceptable</w:t>
      </w:r>
      <w:r>
        <w:rPr>
          <w:spacing w:val="-7"/>
        </w:rPr>
        <w:t> </w:t>
      </w:r>
      <w:r>
        <w:rPr/>
        <w:t>low</w:t>
      </w:r>
      <w:r>
        <w:rPr>
          <w:spacing w:val="-7"/>
        </w:rPr>
        <w:t> </w:t>
      </w:r>
      <w:r>
        <w:rPr/>
        <w:t>to</w:t>
      </w:r>
      <w:r>
        <w:rPr>
          <w:spacing w:val="-7"/>
        </w:rPr>
        <w:t> </w:t>
      </w:r>
      <w:r>
        <w:rPr/>
        <w:t>medium</w:t>
      </w:r>
      <w:r>
        <w:rPr>
          <w:spacing w:val="-7"/>
        </w:rPr>
        <w:t> </w:t>
      </w:r>
      <w:r>
        <w:rPr/>
        <w:t>risk</w:t>
      </w:r>
      <w:r>
        <w:rPr>
          <w:spacing w:val="-5"/>
        </w:rPr>
        <w:t> </w:t>
      </w:r>
      <w:r>
        <w:rPr/>
        <w:t>levels.</w:t>
      </w:r>
      <w:r>
        <w:rPr>
          <w:spacing w:val="-5"/>
        </w:rPr>
        <w:t> </w:t>
      </w:r>
      <w:r>
        <w:rPr/>
        <w:t>The</w:t>
      </w:r>
      <w:r>
        <w:rPr>
          <w:spacing w:val="-9"/>
        </w:rPr>
        <w:t> </w:t>
      </w:r>
      <w:r>
        <w:rPr/>
        <w:t>following</w:t>
      </w:r>
      <w:r>
        <w:rPr>
          <w:spacing w:val="-5"/>
        </w:rPr>
        <w:t> </w:t>
      </w:r>
      <w:r>
        <w:rPr/>
        <w:t>table</w:t>
      </w:r>
      <w:r>
        <w:rPr>
          <w:spacing w:val="-7"/>
        </w:rPr>
        <w:t> </w:t>
      </w:r>
      <w:r>
        <w:rPr/>
        <w:t>show these indicators over the ten-year period, shading green for low risk and yellow for medium risk.</w:t>
      </w:r>
    </w:p>
    <w:p>
      <w:pPr>
        <w:pStyle w:val="BodyText"/>
        <w:spacing w:before="1"/>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8"/>
        <w:gridCol w:w="1113"/>
        <w:gridCol w:w="1161"/>
        <w:gridCol w:w="1163"/>
        <w:gridCol w:w="1161"/>
        <w:gridCol w:w="2323"/>
        <w:gridCol w:w="1062"/>
        <w:gridCol w:w="100"/>
        <w:gridCol w:w="1164"/>
        <w:gridCol w:w="99"/>
        <w:gridCol w:w="3391"/>
        <w:gridCol w:w="1162"/>
      </w:tblGrid>
      <w:tr>
        <w:trPr>
          <w:trHeight w:val="1000" w:hRule="atLeast"/>
        </w:trPr>
        <w:tc>
          <w:tcPr>
            <w:tcW w:w="1488" w:type="dxa"/>
            <w:tcBorders>
              <w:top w:val="single" w:sz="4" w:space="0" w:color="000000"/>
              <w:left w:val="single" w:sz="4" w:space="0" w:color="000000"/>
            </w:tcBorders>
            <w:shd w:val="clear" w:color="auto" w:fill="629CD1"/>
          </w:tcPr>
          <w:p>
            <w:pPr>
              <w:pStyle w:val="TableParagraph"/>
              <w:rPr>
                <w:sz w:val="22"/>
              </w:rPr>
            </w:pPr>
          </w:p>
          <w:p>
            <w:pPr>
              <w:pStyle w:val="TableParagraph"/>
              <w:rPr>
                <w:sz w:val="22"/>
              </w:rPr>
            </w:pPr>
          </w:p>
          <w:p>
            <w:pPr>
              <w:pStyle w:val="TableParagraph"/>
              <w:spacing w:before="177"/>
              <w:ind w:left="107"/>
              <w:rPr>
                <w:b/>
                <w:sz w:val="20"/>
              </w:rPr>
            </w:pPr>
            <w:r>
              <w:rPr>
                <w:b/>
                <w:color w:val="FFFFFF"/>
                <w:spacing w:val="-2"/>
                <w:sz w:val="20"/>
              </w:rPr>
              <w:t>Indicator</w:t>
            </w:r>
          </w:p>
        </w:tc>
        <w:tc>
          <w:tcPr>
            <w:tcW w:w="1113" w:type="dxa"/>
            <w:tcBorders>
              <w:top w:val="single" w:sz="4" w:space="0" w:color="000000"/>
            </w:tcBorders>
            <w:shd w:val="clear" w:color="auto" w:fill="629CD1"/>
          </w:tcPr>
          <w:p>
            <w:pPr>
              <w:pStyle w:val="TableParagraph"/>
              <w:spacing w:before="11"/>
              <w:rPr>
                <w:sz w:val="28"/>
              </w:rPr>
            </w:pPr>
          </w:p>
          <w:p>
            <w:pPr>
              <w:pStyle w:val="TableParagraph"/>
              <w:ind w:left="117" w:right="92"/>
              <w:jc w:val="center"/>
              <w:rPr>
                <w:sz w:val="20"/>
              </w:rPr>
            </w:pPr>
            <w:r>
              <w:rPr>
                <w:color w:val="FFFFFF"/>
                <w:spacing w:val="-2"/>
                <w:sz w:val="20"/>
              </w:rPr>
              <w:t>Measures</w:t>
            </w:r>
          </w:p>
        </w:tc>
        <w:tc>
          <w:tcPr>
            <w:tcW w:w="1161" w:type="dxa"/>
            <w:tcBorders>
              <w:top w:val="single" w:sz="4" w:space="0" w:color="000000"/>
            </w:tcBorders>
            <w:shd w:val="clear" w:color="auto" w:fill="629CD1"/>
          </w:tcPr>
          <w:p>
            <w:pPr>
              <w:pStyle w:val="TableParagraph"/>
              <w:spacing w:line="312" w:lineRule="auto" w:before="33"/>
              <w:ind w:left="447" w:right="100" w:hanging="221"/>
              <w:jc w:val="right"/>
              <w:rPr>
                <w:b/>
                <w:sz w:val="20"/>
              </w:rPr>
            </w:pPr>
            <w:r>
              <w:rPr>
                <w:b/>
                <w:color w:val="FFFFFF"/>
                <w:spacing w:val="-2"/>
                <w:sz w:val="20"/>
              </w:rPr>
              <w:t>Forecast Actual</w:t>
            </w:r>
          </w:p>
          <w:p>
            <w:pPr>
              <w:pStyle w:val="TableParagraph"/>
              <w:spacing w:before="52"/>
              <w:ind w:right="102"/>
              <w:jc w:val="right"/>
              <w:rPr>
                <w:b/>
                <w:sz w:val="20"/>
              </w:rPr>
            </w:pPr>
            <w:r>
              <w:rPr>
                <w:b/>
                <w:color w:val="FFFFFF"/>
                <w:spacing w:val="-2"/>
                <w:sz w:val="20"/>
              </w:rPr>
              <w:t>2023/2024</w:t>
            </w:r>
          </w:p>
        </w:tc>
        <w:tc>
          <w:tcPr>
            <w:tcW w:w="1163" w:type="dxa"/>
            <w:tcBorders>
              <w:top w:val="single" w:sz="4" w:space="0" w:color="000000"/>
            </w:tcBorders>
            <w:shd w:val="clear" w:color="auto" w:fill="629CD1"/>
          </w:tcPr>
          <w:p>
            <w:pPr>
              <w:pStyle w:val="TableParagraph"/>
              <w:spacing w:before="184"/>
              <w:ind w:right="102"/>
              <w:jc w:val="right"/>
              <w:rPr>
                <w:b/>
                <w:sz w:val="20"/>
              </w:rPr>
            </w:pPr>
            <w:r>
              <w:rPr>
                <w:b/>
                <w:color w:val="FFFFFF"/>
                <w:spacing w:val="-2"/>
                <w:sz w:val="20"/>
              </w:rPr>
              <w:t>Budget</w:t>
            </w:r>
          </w:p>
          <w:p>
            <w:pPr>
              <w:pStyle w:val="TableParagraph"/>
              <w:spacing w:before="4"/>
              <w:rPr>
                <w:sz w:val="23"/>
              </w:rPr>
            </w:pPr>
          </w:p>
          <w:p>
            <w:pPr>
              <w:pStyle w:val="TableParagraph"/>
              <w:spacing w:before="1"/>
              <w:ind w:right="103"/>
              <w:jc w:val="right"/>
              <w:rPr>
                <w:b/>
                <w:sz w:val="20"/>
              </w:rPr>
            </w:pPr>
            <w:r>
              <w:rPr>
                <w:b/>
                <w:color w:val="FFFFFF"/>
                <w:spacing w:val="-2"/>
                <w:sz w:val="20"/>
              </w:rPr>
              <w:t>2024/2025</w:t>
            </w:r>
          </w:p>
        </w:tc>
        <w:tc>
          <w:tcPr>
            <w:tcW w:w="1161" w:type="dxa"/>
            <w:tcBorders>
              <w:top w:val="single" w:sz="4" w:space="0" w:color="000000"/>
            </w:tcBorders>
            <w:shd w:val="clear" w:color="auto" w:fill="629CD1"/>
          </w:tcPr>
          <w:p>
            <w:pPr>
              <w:pStyle w:val="TableParagraph"/>
              <w:rPr>
                <w:sz w:val="22"/>
              </w:rPr>
            </w:pPr>
          </w:p>
          <w:p>
            <w:pPr>
              <w:pStyle w:val="TableParagraph"/>
              <w:rPr>
                <w:sz w:val="22"/>
              </w:rPr>
            </w:pPr>
          </w:p>
          <w:p>
            <w:pPr>
              <w:pStyle w:val="TableParagraph"/>
              <w:spacing w:before="177"/>
              <w:ind w:right="100"/>
              <w:jc w:val="right"/>
              <w:rPr>
                <w:b/>
                <w:sz w:val="20"/>
              </w:rPr>
            </w:pPr>
            <w:r>
              <w:rPr>
                <w:b/>
                <w:color w:val="FFFFFF"/>
                <w:spacing w:val="-2"/>
                <w:sz w:val="20"/>
              </w:rPr>
              <w:t>2025/2026</w:t>
            </w:r>
          </w:p>
        </w:tc>
        <w:tc>
          <w:tcPr>
            <w:tcW w:w="2323" w:type="dxa"/>
            <w:tcBorders>
              <w:top w:val="single" w:sz="4" w:space="0" w:color="000000"/>
            </w:tcBorders>
            <w:shd w:val="clear" w:color="auto" w:fill="629CD1"/>
          </w:tcPr>
          <w:p>
            <w:pPr>
              <w:pStyle w:val="TableParagraph"/>
              <w:rPr>
                <w:sz w:val="22"/>
              </w:rPr>
            </w:pPr>
          </w:p>
          <w:p>
            <w:pPr>
              <w:pStyle w:val="TableParagraph"/>
              <w:rPr>
                <w:sz w:val="22"/>
              </w:rPr>
            </w:pPr>
          </w:p>
          <w:p>
            <w:pPr>
              <w:pStyle w:val="TableParagraph"/>
              <w:tabs>
                <w:tab w:pos="1161" w:val="left" w:leader="none"/>
              </w:tabs>
              <w:spacing w:before="177"/>
              <w:ind w:right="100"/>
              <w:jc w:val="right"/>
              <w:rPr>
                <w:b/>
                <w:sz w:val="20"/>
              </w:rPr>
            </w:pPr>
            <w:r>
              <w:rPr>
                <w:b/>
                <w:color w:val="FFFFFF"/>
                <w:spacing w:val="-2"/>
                <w:sz w:val="20"/>
              </w:rPr>
              <w:t>2026/2027</w:t>
            </w:r>
            <w:r>
              <w:rPr>
                <w:b/>
                <w:color w:val="FFFFFF"/>
                <w:sz w:val="20"/>
              </w:rPr>
              <w:tab/>
            </w:r>
            <w:r>
              <w:rPr>
                <w:b/>
                <w:color w:val="FFFFFF"/>
                <w:spacing w:val="-2"/>
                <w:sz w:val="20"/>
              </w:rPr>
              <w:t>2027/2028</w:t>
            </w:r>
          </w:p>
        </w:tc>
        <w:tc>
          <w:tcPr>
            <w:tcW w:w="1062" w:type="dxa"/>
            <w:tcBorders>
              <w:top w:val="single" w:sz="4" w:space="0" w:color="000000"/>
            </w:tcBorders>
            <w:shd w:val="clear" w:color="auto" w:fill="629CD1"/>
          </w:tcPr>
          <w:p>
            <w:pPr>
              <w:pStyle w:val="TableParagraph"/>
              <w:rPr>
                <w:sz w:val="22"/>
              </w:rPr>
            </w:pPr>
          </w:p>
          <w:p>
            <w:pPr>
              <w:pStyle w:val="TableParagraph"/>
              <w:rPr>
                <w:sz w:val="22"/>
              </w:rPr>
            </w:pPr>
          </w:p>
          <w:p>
            <w:pPr>
              <w:pStyle w:val="TableParagraph"/>
              <w:spacing w:before="177"/>
              <w:ind w:right="1"/>
              <w:jc w:val="right"/>
              <w:rPr>
                <w:b/>
                <w:sz w:val="20"/>
              </w:rPr>
            </w:pPr>
            <w:r>
              <w:rPr>
                <w:b/>
                <w:color w:val="FFFFFF"/>
                <w:spacing w:val="-2"/>
                <w:sz w:val="20"/>
              </w:rPr>
              <w:t>2028/2029</w:t>
            </w:r>
          </w:p>
        </w:tc>
        <w:tc>
          <w:tcPr>
            <w:tcW w:w="1363" w:type="dxa"/>
            <w:gridSpan w:val="3"/>
            <w:tcBorders>
              <w:top w:val="single" w:sz="4" w:space="0" w:color="000000"/>
            </w:tcBorders>
            <w:shd w:val="clear" w:color="auto" w:fill="629CD1"/>
          </w:tcPr>
          <w:p>
            <w:pPr>
              <w:pStyle w:val="TableParagraph"/>
              <w:spacing w:line="312" w:lineRule="auto" w:before="33"/>
              <w:ind w:left="18" w:right="2"/>
              <w:jc w:val="center"/>
              <w:rPr>
                <w:b/>
                <w:sz w:val="20"/>
              </w:rPr>
            </w:pPr>
            <w:r>
              <w:rPr>
                <w:b/>
                <w:color w:val="FFFFFF"/>
                <w:sz w:val="20"/>
              </w:rPr>
              <w:t>Financial</w:t>
            </w:r>
            <w:r>
              <w:rPr>
                <w:b/>
                <w:color w:val="FFFFFF"/>
                <w:spacing w:val="-14"/>
                <w:sz w:val="20"/>
              </w:rPr>
              <w:t> </w:t>
            </w:r>
            <w:r>
              <w:rPr>
                <w:b/>
                <w:color w:val="FFFFFF"/>
                <w:sz w:val="20"/>
              </w:rPr>
              <w:t>Plan </w:t>
            </w:r>
            <w:r>
              <w:rPr>
                <w:b/>
                <w:color w:val="FFFFFF"/>
                <w:spacing w:val="-2"/>
                <w:sz w:val="20"/>
              </w:rPr>
              <w:t>Projections</w:t>
            </w:r>
          </w:p>
          <w:p>
            <w:pPr>
              <w:pStyle w:val="TableParagraph"/>
              <w:spacing w:before="52"/>
              <w:ind w:left="17" w:right="2"/>
              <w:jc w:val="center"/>
              <w:rPr>
                <w:b/>
                <w:sz w:val="20"/>
              </w:rPr>
            </w:pPr>
            <w:r>
              <w:rPr>
                <w:b/>
                <w:color w:val="FFFFFF"/>
                <w:spacing w:val="-2"/>
                <w:sz w:val="20"/>
              </w:rPr>
              <w:t>2029/2030</w:t>
            </w:r>
          </w:p>
        </w:tc>
        <w:tc>
          <w:tcPr>
            <w:tcW w:w="3391" w:type="dxa"/>
            <w:tcBorders>
              <w:top w:val="single" w:sz="4" w:space="0" w:color="000000"/>
            </w:tcBorders>
            <w:shd w:val="clear" w:color="auto" w:fill="629CD1"/>
          </w:tcPr>
          <w:p>
            <w:pPr>
              <w:pStyle w:val="TableParagraph"/>
              <w:rPr>
                <w:sz w:val="22"/>
              </w:rPr>
            </w:pPr>
          </w:p>
          <w:p>
            <w:pPr>
              <w:pStyle w:val="TableParagraph"/>
              <w:rPr>
                <w:sz w:val="22"/>
              </w:rPr>
            </w:pPr>
          </w:p>
          <w:p>
            <w:pPr>
              <w:pStyle w:val="TableParagraph"/>
              <w:tabs>
                <w:tab w:pos="1161" w:val="left" w:leader="none"/>
                <w:tab w:pos="2325" w:val="left" w:leader="none"/>
              </w:tabs>
              <w:spacing w:before="177"/>
              <w:ind w:right="101"/>
              <w:jc w:val="right"/>
              <w:rPr>
                <w:b/>
                <w:sz w:val="20"/>
              </w:rPr>
            </w:pPr>
            <w:r>
              <w:rPr>
                <w:b/>
                <w:color w:val="FFFFFF"/>
                <w:spacing w:val="-2"/>
                <w:sz w:val="20"/>
              </w:rPr>
              <w:t>2030/2031</w:t>
            </w:r>
            <w:r>
              <w:rPr>
                <w:b/>
                <w:color w:val="FFFFFF"/>
                <w:sz w:val="20"/>
              </w:rPr>
              <w:tab/>
            </w:r>
            <w:r>
              <w:rPr>
                <w:b/>
                <w:color w:val="FFFFFF"/>
                <w:spacing w:val="-2"/>
                <w:sz w:val="20"/>
              </w:rPr>
              <w:t>2031/2032</w:t>
            </w:r>
            <w:r>
              <w:rPr>
                <w:b/>
                <w:color w:val="FFFFFF"/>
                <w:sz w:val="20"/>
              </w:rPr>
              <w:tab/>
            </w:r>
            <w:r>
              <w:rPr>
                <w:b/>
                <w:color w:val="FFFFFF"/>
                <w:spacing w:val="-2"/>
                <w:sz w:val="20"/>
              </w:rPr>
              <w:t>2032/2033</w:t>
            </w:r>
          </w:p>
        </w:tc>
        <w:tc>
          <w:tcPr>
            <w:tcW w:w="1162" w:type="dxa"/>
            <w:tcBorders>
              <w:top w:val="single" w:sz="4" w:space="0" w:color="000000"/>
              <w:right w:val="single" w:sz="4" w:space="0" w:color="000000"/>
            </w:tcBorders>
            <w:shd w:val="clear" w:color="auto" w:fill="629CD1"/>
          </w:tcPr>
          <w:p>
            <w:pPr>
              <w:pStyle w:val="TableParagraph"/>
              <w:rPr>
                <w:sz w:val="22"/>
              </w:rPr>
            </w:pPr>
          </w:p>
          <w:p>
            <w:pPr>
              <w:pStyle w:val="TableParagraph"/>
              <w:rPr>
                <w:sz w:val="22"/>
              </w:rPr>
            </w:pPr>
          </w:p>
          <w:p>
            <w:pPr>
              <w:pStyle w:val="TableParagraph"/>
              <w:spacing w:before="177"/>
              <w:ind w:right="96"/>
              <w:jc w:val="right"/>
              <w:rPr>
                <w:b/>
                <w:sz w:val="20"/>
              </w:rPr>
            </w:pPr>
            <w:r>
              <w:rPr>
                <w:b/>
                <w:color w:val="FFFFFF"/>
                <w:spacing w:val="-2"/>
                <w:sz w:val="20"/>
              </w:rPr>
              <w:t>2033/2034</w:t>
            </w:r>
          </w:p>
        </w:tc>
      </w:tr>
      <w:tr>
        <w:trPr>
          <w:trHeight w:val="404" w:hRule="atLeast"/>
        </w:trPr>
        <w:tc>
          <w:tcPr>
            <w:tcW w:w="1488" w:type="dxa"/>
            <w:tcBorders>
              <w:left w:val="single" w:sz="4" w:space="0" w:color="000000"/>
            </w:tcBorders>
          </w:tcPr>
          <w:p>
            <w:pPr>
              <w:pStyle w:val="TableParagraph"/>
              <w:spacing w:before="86"/>
              <w:ind w:left="107"/>
              <w:rPr>
                <w:sz w:val="20"/>
              </w:rPr>
            </w:pPr>
            <w:r>
              <w:rPr>
                <w:sz w:val="20"/>
              </w:rPr>
              <w:t>Net</w:t>
            </w:r>
            <w:r>
              <w:rPr>
                <w:spacing w:val="-6"/>
                <w:sz w:val="20"/>
              </w:rPr>
              <w:t> </w:t>
            </w:r>
            <w:r>
              <w:rPr>
                <w:sz w:val="20"/>
              </w:rPr>
              <w:t>Result</w:t>
            </w:r>
            <w:r>
              <w:rPr>
                <w:spacing w:val="-6"/>
                <w:sz w:val="20"/>
              </w:rPr>
              <w:t> </w:t>
            </w:r>
            <w:r>
              <w:rPr>
                <w:spacing w:val="-10"/>
                <w:sz w:val="20"/>
              </w:rPr>
              <w:t>%</w:t>
            </w:r>
          </w:p>
        </w:tc>
        <w:tc>
          <w:tcPr>
            <w:tcW w:w="1113" w:type="dxa"/>
          </w:tcPr>
          <w:p>
            <w:pPr>
              <w:pStyle w:val="TableParagraph"/>
              <w:spacing w:before="86"/>
              <w:ind w:left="117" w:right="89"/>
              <w:jc w:val="center"/>
              <w:rPr>
                <w:b/>
                <w:sz w:val="20"/>
              </w:rPr>
            </w:pPr>
            <w:r>
              <w:rPr>
                <w:b/>
                <w:sz w:val="20"/>
              </w:rPr>
              <w:t>&gt;</w:t>
            </w:r>
            <w:r>
              <w:rPr>
                <w:b/>
                <w:spacing w:val="-2"/>
                <w:sz w:val="20"/>
              </w:rPr>
              <w:t> </w:t>
            </w:r>
            <w:r>
              <w:rPr>
                <w:b/>
                <w:spacing w:val="-5"/>
                <w:sz w:val="20"/>
              </w:rPr>
              <w:t>0%</w:t>
            </w:r>
          </w:p>
        </w:tc>
        <w:tc>
          <w:tcPr>
            <w:tcW w:w="1161" w:type="dxa"/>
          </w:tcPr>
          <w:p>
            <w:pPr>
              <w:pStyle w:val="TableParagraph"/>
              <w:spacing w:before="86"/>
              <w:ind w:right="100"/>
              <w:jc w:val="right"/>
              <w:rPr>
                <w:b/>
                <w:sz w:val="20"/>
              </w:rPr>
            </w:pPr>
            <w:r>
              <w:rPr>
                <w:b/>
                <w:spacing w:val="-4"/>
                <w:sz w:val="20"/>
              </w:rPr>
              <w:t>7.0%</w:t>
            </w:r>
          </w:p>
        </w:tc>
        <w:tc>
          <w:tcPr>
            <w:tcW w:w="1163" w:type="dxa"/>
          </w:tcPr>
          <w:p>
            <w:pPr>
              <w:pStyle w:val="TableParagraph"/>
              <w:spacing w:before="86"/>
              <w:ind w:right="104"/>
              <w:jc w:val="right"/>
              <w:rPr>
                <w:sz w:val="20"/>
              </w:rPr>
            </w:pPr>
            <w:r>
              <w:rPr>
                <w:spacing w:val="-2"/>
                <w:sz w:val="20"/>
              </w:rPr>
              <w:t>17.3%</w:t>
            </w:r>
          </w:p>
        </w:tc>
        <w:tc>
          <w:tcPr>
            <w:tcW w:w="1161" w:type="dxa"/>
          </w:tcPr>
          <w:p>
            <w:pPr>
              <w:pStyle w:val="TableParagraph"/>
              <w:spacing w:before="86"/>
              <w:ind w:right="101"/>
              <w:jc w:val="right"/>
              <w:rPr>
                <w:sz w:val="20"/>
              </w:rPr>
            </w:pPr>
            <w:r>
              <w:rPr>
                <w:spacing w:val="-4"/>
                <w:sz w:val="20"/>
              </w:rPr>
              <w:t>6.6%</w:t>
            </w:r>
          </w:p>
        </w:tc>
        <w:tc>
          <w:tcPr>
            <w:tcW w:w="2323" w:type="dxa"/>
          </w:tcPr>
          <w:p>
            <w:pPr>
              <w:pStyle w:val="TableParagraph"/>
              <w:tabs>
                <w:tab w:pos="1051" w:val="left" w:leader="none"/>
              </w:tabs>
              <w:spacing w:before="86"/>
              <w:ind w:right="101"/>
              <w:jc w:val="right"/>
              <w:rPr>
                <w:sz w:val="20"/>
              </w:rPr>
            </w:pPr>
            <w:r>
              <w:rPr>
                <w:spacing w:val="-4"/>
                <w:sz w:val="20"/>
              </w:rPr>
              <w:t>8.3%</w:t>
            </w:r>
            <w:r>
              <w:rPr>
                <w:sz w:val="20"/>
              </w:rPr>
              <w:tab/>
            </w:r>
            <w:r>
              <w:rPr>
                <w:spacing w:val="-2"/>
                <w:sz w:val="20"/>
              </w:rPr>
              <w:t>15.2%</w:t>
            </w:r>
          </w:p>
        </w:tc>
        <w:tc>
          <w:tcPr>
            <w:tcW w:w="1062" w:type="dxa"/>
          </w:tcPr>
          <w:p>
            <w:pPr>
              <w:pStyle w:val="TableParagraph"/>
              <w:spacing w:before="86"/>
              <w:ind w:right="1"/>
              <w:jc w:val="right"/>
              <w:rPr>
                <w:sz w:val="20"/>
              </w:rPr>
            </w:pPr>
            <w:r>
              <w:rPr>
                <w:spacing w:val="-2"/>
                <w:sz w:val="20"/>
              </w:rPr>
              <w:t>10.9%</w:t>
            </w:r>
          </w:p>
        </w:tc>
        <w:tc>
          <w:tcPr>
            <w:tcW w:w="1363" w:type="dxa"/>
            <w:gridSpan w:val="3"/>
          </w:tcPr>
          <w:p>
            <w:pPr>
              <w:pStyle w:val="TableParagraph"/>
              <w:spacing w:before="86"/>
              <w:ind w:left="597"/>
              <w:rPr>
                <w:sz w:val="20"/>
              </w:rPr>
            </w:pPr>
            <w:r>
              <w:rPr>
                <w:spacing w:val="-2"/>
                <w:sz w:val="20"/>
              </w:rPr>
              <w:t>11.8%</w:t>
            </w:r>
          </w:p>
        </w:tc>
        <w:tc>
          <w:tcPr>
            <w:tcW w:w="3391" w:type="dxa"/>
          </w:tcPr>
          <w:p>
            <w:pPr>
              <w:pStyle w:val="TableParagraph"/>
              <w:tabs>
                <w:tab w:pos="1161" w:val="left" w:leader="none"/>
                <w:tab w:pos="2325" w:val="left" w:leader="none"/>
              </w:tabs>
              <w:spacing w:before="86"/>
              <w:ind w:right="102"/>
              <w:jc w:val="right"/>
              <w:rPr>
                <w:sz w:val="20"/>
              </w:rPr>
            </w:pPr>
            <w:r>
              <w:rPr>
                <w:spacing w:val="-4"/>
                <w:sz w:val="20"/>
              </w:rPr>
              <w:t>7.6%</w:t>
            </w:r>
            <w:r>
              <w:rPr>
                <w:sz w:val="20"/>
              </w:rPr>
              <w:tab/>
            </w:r>
            <w:r>
              <w:rPr>
                <w:spacing w:val="-4"/>
                <w:sz w:val="20"/>
              </w:rPr>
              <w:t>8.0%</w:t>
            </w:r>
            <w:r>
              <w:rPr>
                <w:sz w:val="20"/>
              </w:rPr>
              <w:tab/>
            </w:r>
            <w:r>
              <w:rPr>
                <w:spacing w:val="-4"/>
                <w:sz w:val="20"/>
              </w:rPr>
              <w:t>8.4%</w:t>
            </w:r>
          </w:p>
        </w:tc>
        <w:tc>
          <w:tcPr>
            <w:tcW w:w="1162" w:type="dxa"/>
            <w:tcBorders>
              <w:right w:val="single" w:sz="4" w:space="0" w:color="000000"/>
            </w:tcBorders>
          </w:tcPr>
          <w:p>
            <w:pPr>
              <w:pStyle w:val="TableParagraph"/>
              <w:spacing w:before="86"/>
              <w:ind w:right="97"/>
              <w:jc w:val="right"/>
              <w:rPr>
                <w:sz w:val="20"/>
              </w:rPr>
            </w:pPr>
            <w:r>
              <w:rPr>
                <w:spacing w:val="-2"/>
                <w:sz w:val="20"/>
              </w:rPr>
              <w:t>13.4%</w:t>
            </w:r>
          </w:p>
        </w:tc>
      </w:tr>
      <w:tr>
        <w:trPr>
          <w:trHeight w:val="358" w:hRule="atLeast"/>
        </w:trPr>
        <w:tc>
          <w:tcPr>
            <w:tcW w:w="1488" w:type="dxa"/>
            <w:tcBorders>
              <w:left w:val="single" w:sz="4" w:space="0" w:color="000000"/>
            </w:tcBorders>
          </w:tcPr>
          <w:p>
            <w:pPr>
              <w:pStyle w:val="TableParagraph"/>
              <w:spacing w:before="82"/>
              <w:ind w:left="107"/>
              <w:rPr>
                <w:sz w:val="20"/>
              </w:rPr>
            </w:pPr>
            <w:r>
              <w:rPr>
                <w:sz w:val="20"/>
              </w:rPr>
              <w:t>Liquidity</w:t>
            </w:r>
            <w:r>
              <w:rPr>
                <w:spacing w:val="-11"/>
                <w:sz w:val="20"/>
              </w:rPr>
              <w:t> </w:t>
            </w:r>
            <w:r>
              <w:rPr>
                <w:spacing w:val="-2"/>
                <w:sz w:val="20"/>
              </w:rPr>
              <w:t>Ratio</w:t>
            </w:r>
          </w:p>
        </w:tc>
        <w:tc>
          <w:tcPr>
            <w:tcW w:w="1113" w:type="dxa"/>
          </w:tcPr>
          <w:p>
            <w:pPr>
              <w:pStyle w:val="TableParagraph"/>
              <w:spacing w:before="82"/>
              <w:ind w:left="117" w:right="91"/>
              <w:jc w:val="center"/>
              <w:rPr>
                <w:b/>
                <w:sz w:val="20"/>
              </w:rPr>
            </w:pPr>
            <w:r>
              <w:rPr>
                <w:b/>
                <w:sz w:val="20"/>
              </w:rPr>
              <w:t>&gt;</w:t>
            </w:r>
            <w:r>
              <w:rPr>
                <w:b/>
                <w:spacing w:val="-2"/>
                <w:sz w:val="20"/>
              </w:rPr>
              <w:t> </w:t>
            </w:r>
            <w:r>
              <w:rPr>
                <w:b/>
                <w:spacing w:val="-5"/>
                <w:sz w:val="20"/>
              </w:rPr>
              <w:t>1.0</w:t>
            </w:r>
          </w:p>
        </w:tc>
        <w:tc>
          <w:tcPr>
            <w:tcW w:w="1161" w:type="dxa"/>
          </w:tcPr>
          <w:p>
            <w:pPr>
              <w:pStyle w:val="TableParagraph"/>
              <w:spacing w:before="82"/>
              <w:ind w:right="102"/>
              <w:jc w:val="right"/>
              <w:rPr>
                <w:b/>
                <w:sz w:val="20"/>
              </w:rPr>
            </w:pPr>
            <w:r>
              <w:rPr>
                <w:b/>
                <w:spacing w:val="-4"/>
                <w:sz w:val="20"/>
              </w:rPr>
              <w:t>2.14</w:t>
            </w:r>
          </w:p>
        </w:tc>
        <w:tc>
          <w:tcPr>
            <w:tcW w:w="1163" w:type="dxa"/>
          </w:tcPr>
          <w:p>
            <w:pPr>
              <w:pStyle w:val="TableParagraph"/>
              <w:spacing w:before="82"/>
              <w:ind w:right="103"/>
              <w:jc w:val="right"/>
              <w:rPr>
                <w:sz w:val="20"/>
              </w:rPr>
            </w:pPr>
            <w:r>
              <w:rPr>
                <w:spacing w:val="-4"/>
                <w:sz w:val="20"/>
              </w:rPr>
              <w:t>1.38</w:t>
            </w:r>
          </w:p>
        </w:tc>
        <w:tc>
          <w:tcPr>
            <w:tcW w:w="1161" w:type="dxa"/>
          </w:tcPr>
          <w:p>
            <w:pPr>
              <w:pStyle w:val="TableParagraph"/>
              <w:spacing w:before="82"/>
              <w:ind w:right="100"/>
              <w:jc w:val="right"/>
              <w:rPr>
                <w:sz w:val="20"/>
              </w:rPr>
            </w:pPr>
            <w:r>
              <w:rPr>
                <w:spacing w:val="-4"/>
                <w:sz w:val="20"/>
              </w:rPr>
              <w:t>1.90</w:t>
            </w:r>
          </w:p>
        </w:tc>
        <w:tc>
          <w:tcPr>
            <w:tcW w:w="2323" w:type="dxa"/>
          </w:tcPr>
          <w:p>
            <w:pPr>
              <w:pStyle w:val="TableParagraph"/>
              <w:tabs>
                <w:tab w:pos="1161" w:val="left" w:leader="none"/>
              </w:tabs>
              <w:spacing w:before="82"/>
              <w:ind w:right="100"/>
              <w:jc w:val="right"/>
              <w:rPr>
                <w:sz w:val="20"/>
              </w:rPr>
            </w:pPr>
            <w:r>
              <w:rPr>
                <w:spacing w:val="-4"/>
                <w:sz w:val="20"/>
              </w:rPr>
              <w:t>1.64</w:t>
            </w:r>
            <w:r>
              <w:rPr>
                <w:sz w:val="20"/>
              </w:rPr>
              <w:tab/>
            </w:r>
            <w:r>
              <w:rPr>
                <w:spacing w:val="-4"/>
                <w:sz w:val="20"/>
              </w:rPr>
              <w:t>1.47</w:t>
            </w:r>
          </w:p>
        </w:tc>
        <w:tc>
          <w:tcPr>
            <w:tcW w:w="1062" w:type="dxa"/>
          </w:tcPr>
          <w:p>
            <w:pPr>
              <w:pStyle w:val="TableParagraph"/>
              <w:spacing w:before="82"/>
              <w:jc w:val="right"/>
              <w:rPr>
                <w:sz w:val="20"/>
              </w:rPr>
            </w:pPr>
            <w:r>
              <w:rPr>
                <w:spacing w:val="-4"/>
                <w:sz w:val="20"/>
              </w:rPr>
              <w:t>1.61</w:t>
            </w:r>
          </w:p>
        </w:tc>
        <w:tc>
          <w:tcPr>
            <w:tcW w:w="1363" w:type="dxa"/>
            <w:gridSpan w:val="3"/>
          </w:tcPr>
          <w:p>
            <w:pPr>
              <w:pStyle w:val="TableParagraph"/>
              <w:spacing w:before="82"/>
              <w:ind w:left="774"/>
              <w:rPr>
                <w:sz w:val="20"/>
              </w:rPr>
            </w:pPr>
            <w:r>
              <w:rPr>
                <w:spacing w:val="-4"/>
                <w:sz w:val="20"/>
              </w:rPr>
              <w:t>1.80</w:t>
            </w:r>
          </w:p>
        </w:tc>
        <w:tc>
          <w:tcPr>
            <w:tcW w:w="3391" w:type="dxa"/>
          </w:tcPr>
          <w:p>
            <w:pPr>
              <w:pStyle w:val="TableParagraph"/>
              <w:tabs>
                <w:tab w:pos="1161" w:val="left" w:leader="none"/>
                <w:tab w:pos="2325" w:val="left" w:leader="none"/>
              </w:tabs>
              <w:spacing w:before="82"/>
              <w:ind w:right="101"/>
              <w:jc w:val="right"/>
              <w:rPr>
                <w:sz w:val="20"/>
              </w:rPr>
            </w:pPr>
            <w:r>
              <w:rPr>
                <w:spacing w:val="-4"/>
                <w:sz w:val="20"/>
              </w:rPr>
              <w:t>2.04</w:t>
            </w:r>
            <w:r>
              <w:rPr>
                <w:sz w:val="20"/>
              </w:rPr>
              <w:tab/>
            </w:r>
            <w:r>
              <w:rPr>
                <w:spacing w:val="-4"/>
                <w:sz w:val="20"/>
              </w:rPr>
              <w:t>2.25</w:t>
            </w:r>
            <w:r>
              <w:rPr>
                <w:sz w:val="20"/>
              </w:rPr>
              <w:tab/>
            </w:r>
            <w:r>
              <w:rPr>
                <w:spacing w:val="-4"/>
                <w:sz w:val="20"/>
              </w:rPr>
              <w:t>2.49</w:t>
            </w:r>
          </w:p>
        </w:tc>
        <w:tc>
          <w:tcPr>
            <w:tcW w:w="1162" w:type="dxa"/>
            <w:tcBorders>
              <w:right w:val="single" w:sz="4" w:space="0" w:color="000000"/>
            </w:tcBorders>
          </w:tcPr>
          <w:p>
            <w:pPr>
              <w:pStyle w:val="TableParagraph"/>
              <w:spacing w:before="82"/>
              <w:ind w:right="96"/>
              <w:jc w:val="right"/>
              <w:rPr>
                <w:sz w:val="20"/>
              </w:rPr>
            </w:pPr>
            <w:r>
              <w:rPr>
                <w:spacing w:val="-4"/>
                <w:sz w:val="20"/>
              </w:rPr>
              <w:t>2.54</w:t>
            </w:r>
          </w:p>
        </w:tc>
      </w:tr>
      <w:tr>
        <w:trPr>
          <w:trHeight w:val="503" w:hRule="atLeast"/>
        </w:trPr>
        <w:tc>
          <w:tcPr>
            <w:tcW w:w="1488" w:type="dxa"/>
            <w:tcBorders>
              <w:left w:val="single" w:sz="4" w:space="0" w:color="000000"/>
            </w:tcBorders>
          </w:tcPr>
          <w:p>
            <w:pPr>
              <w:pStyle w:val="TableParagraph"/>
              <w:spacing w:line="230" w:lineRule="atLeast" w:before="24"/>
              <w:ind w:left="107" w:right="336"/>
              <w:rPr>
                <w:sz w:val="20"/>
              </w:rPr>
            </w:pPr>
            <w:r>
              <w:rPr>
                <w:spacing w:val="-2"/>
                <w:sz w:val="20"/>
              </w:rPr>
              <w:t>Internal </w:t>
            </w:r>
            <w:r>
              <w:rPr>
                <w:sz w:val="20"/>
              </w:rPr>
              <w:t>financing</w:t>
            </w:r>
            <w:r>
              <w:rPr>
                <w:spacing w:val="-14"/>
                <w:sz w:val="20"/>
              </w:rPr>
              <w:t> </w:t>
            </w:r>
            <w:r>
              <w:rPr>
                <w:sz w:val="20"/>
              </w:rPr>
              <w:t>%</w:t>
            </w:r>
          </w:p>
        </w:tc>
        <w:tc>
          <w:tcPr>
            <w:tcW w:w="1113" w:type="dxa"/>
          </w:tcPr>
          <w:p>
            <w:pPr>
              <w:pStyle w:val="TableParagraph"/>
              <w:spacing w:before="155"/>
              <w:ind w:left="117" w:right="91"/>
              <w:jc w:val="center"/>
              <w:rPr>
                <w:b/>
                <w:sz w:val="20"/>
              </w:rPr>
            </w:pPr>
            <w:r>
              <w:rPr>
                <w:b/>
                <w:sz w:val="20"/>
              </w:rPr>
              <w:t>&gt;</w:t>
            </w:r>
            <w:r>
              <w:rPr>
                <w:b/>
                <w:spacing w:val="-2"/>
                <w:sz w:val="20"/>
              </w:rPr>
              <w:t> </w:t>
            </w:r>
            <w:r>
              <w:rPr>
                <w:b/>
                <w:spacing w:val="-4"/>
                <w:sz w:val="20"/>
              </w:rPr>
              <w:t>100%</w:t>
            </w:r>
          </w:p>
        </w:tc>
        <w:tc>
          <w:tcPr>
            <w:tcW w:w="1161" w:type="dxa"/>
          </w:tcPr>
          <w:p>
            <w:pPr>
              <w:pStyle w:val="TableParagraph"/>
              <w:spacing w:before="155"/>
              <w:ind w:right="99"/>
              <w:jc w:val="right"/>
              <w:rPr>
                <w:b/>
                <w:sz w:val="20"/>
              </w:rPr>
            </w:pPr>
            <w:r>
              <w:rPr>
                <w:b/>
                <w:spacing w:val="-2"/>
                <w:sz w:val="20"/>
              </w:rPr>
              <w:t>110.1%</w:t>
            </w:r>
          </w:p>
        </w:tc>
        <w:tc>
          <w:tcPr>
            <w:tcW w:w="1163" w:type="dxa"/>
          </w:tcPr>
          <w:p>
            <w:pPr>
              <w:pStyle w:val="TableParagraph"/>
              <w:spacing w:before="155"/>
              <w:ind w:right="105"/>
              <w:jc w:val="right"/>
              <w:rPr>
                <w:sz w:val="20"/>
              </w:rPr>
            </w:pPr>
            <w:r>
              <w:rPr>
                <w:spacing w:val="-2"/>
                <w:sz w:val="20"/>
              </w:rPr>
              <w:t>121.4%</w:t>
            </w:r>
          </w:p>
        </w:tc>
        <w:tc>
          <w:tcPr>
            <w:tcW w:w="1161" w:type="dxa"/>
          </w:tcPr>
          <w:p>
            <w:pPr>
              <w:pStyle w:val="TableParagraph"/>
              <w:spacing w:before="155"/>
              <w:ind w:right="101"/>
              <w:jc w:val="right"/>
              <w:rPr>
                <w:sz w:val="20"/>
              </w:rPr>
            </w:pPr>
            <w:r>
              <w:rPr>
                <w:spacing w:val="-2"/>
                <w:sz w:val="20"/>
              </w:rPr>
              <w:t>98.7%</w:t>
            </w:r>
          </w:p>
        </w:tc>
        <w:tc>
          <w:tcPr>
            <w:tcW w:w="2323" w:type="dxa"/>
          </w:tcPr>
          <w:p>
            <w:pPr>
              <w:pStyle w:val="TableParagraph"/>
              <w:tabs>
                <w:tab w:pos="1161" w:val="left" w:leader="none"/>
              </w:tabs>
              <w:spacing w:before="155"/>
              <w:ind w:right="101"/>
              <w:jc w:val="right"/>
              <w:rPr>
                <w:sz w:val="20"/>
              </w:rPr>
            </w:pPr>
            <w:r>
              <w:rPr>
                <w:spacing w:val="-2"/>
                <w:sz w:val="20"/>
              </w:rPr>
              <w:t>113.3%</w:t>
            </w:r>
            <w:r>
              <w:rPr>
                <w:sz w:val="20"/>
              </w:rPr>
              <w:tab/>
            </w:r>
            <w:r>
              <w:rPr>
                <w:spacing w:val="-2"/>
                <w:sz w:val="20"/>
              </w:rPr>
              <w:t>138.6%</w:t>
            </w:r>
          </w:p>
        </w:tc>
        <w:tc>
          <w:tcPr>
            <w:tcW w:w="1062" w:type="dxa"/>
          </w:tcPr>
          <w:p>
            <w:pPr>
              <w:pStyle w:val="TableParagraph"/>
              <w:spacing w:before="155"/>
              <w:ind w:right="2"/>
              <w:jc w:val="right"/>
              <w:rPr>
                <w:sz w:val="20"/>
              </w:rPr>
            </w:pPr>
            <w:r>
              <w:rPr>
                <w:spacing w:val="-2"/>
                <w:sz w:val="20"/>
              </w:rPr>
              <w:t>148.2%</w:t>
            </w:r>
          </w:p>
        </w:tc>
        <w:tc>
          <w:tcPr>
            <w:tcW w:w="1363" w:type="dxa"/>
            <w:gridSpan w:val="3"/>
          </w:tcPr>
          <w:p>
            <w:pPr>
              <w:pStyle w:val="TableParagraph"/>
              <w:spacing w:before="155"/>
              <w:ind w:left="484"/>
              <w:rPr>
                <w:sz w:val="20"/>
              </w:rPr>
            </w:pPr>
            <w:r>
              <w:rPr>
                <w:spacing w:val="-2"/>
                <w:sz w:val="20"/>
              </w:rPr>
              <w:t>142.1%</w:t>
            </w:r>
          </w:p>
        </w:tc>
        <w:tc>
          <w:tcPr>
            <w:tcW w:w="3391" w:type="dxa"/>
          </w:tcPr>
          <w:p>
            <w:pPr>
              <w:pStyle w:val="TableParagraph"/>
              <w:tabs>
                <w:tab w:pos="1161" w:val="left" w:leader="none"/>
                <w:tab w:pos="2325" w:val="left" w:leader="none"/>
              </w:tabs>
              <w:spacing w:before="155"/>
              <w:ind w:right="102"/>
              <w:jc w:val="right"/>
              <w:rPr>
                <w:sz w:val="20"/>
              </w:rPr>
            </w:pPr>
            <w:r>
              <w:rPr>
                <w:spacing w:val="-2"/>
                <w:sz w:val="20"/>
              </w:rPr>
              <w:t>129.0%</w:t>
            </w:r>
            <w:r>
              <w:rPr>
                <w:sz w:val="20"/>
              </w:rPr>
              <w:tab/>
            </w:r>
            <w:r>
              <w:rPr>
                <w:spacing w:val="-2"/>
                <w:sz w:val="20"/>
              </w:rPr>
              <w:t>129.1%</w:t>
            </w:r>
            <w:r>
              <w:rPr>
                <w:sz w:val="20"/>
              </w:rPr>
              <w:tab/>
            </w:r>
            <w:r>
              <w:rPr>
                <w:spacing w:val="-2"/>
                <w:sz w:val="20"/>
              </w:rPr>
              <w:t>131.9%</w:t>
            </w:r>
          </w:p>
        </w:tc>
        <w:tc>
          <w:tcPr>
            <w:tcW w:w="1162" w:type="dxa"/>
            <w:tcBorders>
              <w:right w:val="single" w:sz="4" w:space="0" w:color="000000"/>
            </w:tcBorders>
          </w:tcPr>
          <w:p>
            <w:pPr>
              <w:pStyle w:val="TableParagraph"/>
              <w:spacing w:before="155"/>
              <w:ind w:right="98"/>
              <w:jc w:val="right"/>
              <w:rPr>
                <w:sz w:val="20"/>
              </w:rPr>
            </w:pPr>
            <w:r>
              <w:rPr>
                <w:spacing w:val="-2"/>
                <w:sz w:val="20"/>
              </w:rPr>
              <w:t>138.1%</w:t>
            </w:r>
          </w:p>
        </w:tc>
      </w:tr>
      <w:tr>
        <w:trPr>
          <w:trHeight w:val="457" w:hRule="atLeast"/>
        </w:trPr>
        <w:tc>
          <w:tcPr>
            <w:tcW w:w="1488" w:type="dxa"/>
            <w:tcBorders>
              <w:left w:val="single" w:sz="4" w:space="0" w:color="000000"/>
            </w:tcBorders>
          </w:tcPr>
          <w:p>
            <w:pPr>
              <w:pStyle w:val="TableParagraph"/>
              <w:spacing w:line="227" w:lineRule="exact"/>
              <w:ind w:left="107"/>
              <w:rPr>
                <w:sz w:val="20"/>
              </w:rPr>
            </w:pPr>
            <w:r>
              <w:rPr>
                <w:spacing w:val="-2"/>
                <w:sz w:val="20"/>
              </w:rPr>
              <w:t>Indebtedness</w:t>
            </w:r>
          </w:p>
          <w:p>
            <w:pPr>
              <w:pStyle w:val="TableParagraph"/>
              <w:spacing w:line="211" w:lineRule="exact"/>
              <w:ind w:left="107"/>
              <w:rPr>
                <w:sz w:val="20"/>
              </w:rPr>
            </w:pPr>
            <w:r>
              <w:rPr>
                <w:w w:val="99"/>
                <w:sz w:val="20"/>
              </w:rPr>
              <w:t>%</w:t>
            </w:r>
          </w:p>
        </w:tc>
        <w:tc>
          <w:tcPr>
            <w:tcW w:w="1113" w:type="dxa"/>
          </w:tcPr>
          <w:p>
            <w:pPr>
              <w:pStyle w:val="TableParagraph"/>
              <w:spacing w:before="112"/>
              <w:ind w:left="117" w:right="88"/>
              <w:jc w:val="center"/>
              <w:rPr>
                <w:b/>
                <w:sz w:val="20"/>
              </w:rPr>
            </w:pPr>
            <w:r>
              <w:rPr>
                <w:b/>
                <w:sz w:val="20"/>
              </w:rPr>
              <w:t>≤</w:t>
            </w:r>
            <w:r>
              <w:rPr>
                <w:b/>
                <w:spacing w:val="-3"/>
                <w:sz w:val="20"/>
              </w:rPr>
              <w:t> </w:t>
            </w:r>
            <w:r>
              <w:rPr>
                <w:b/>
                <w:spacing w:val="-5"/>
                <w:sz w:val="20"/>
              </w:rPr>
              <w:t>40%</w:t>
            </w:r>
          </w:p>
        </w:tc>
        <w:tc>
          <w:tcPr>
            <w:tcW w:w="1161" w:type="dxa"/>
          </w:tcPr>
          <w:p>
            <w:pPr>
              <w:pStyle w:val="TableParagraph"/>
              <w:spacing w:before="112"/>
              <w:ind w:right="100"/>
              <w:jc w:val="right"/>
              <w:rPr>
                <w:b/>
                <w:sz w:val="20"/>
              </w:rPr>
            </w:pPr>
            <w:r>
              <w:rPr>
                <w:b/>
                <w:spacing w:val="-2"/>
                <w:sz w:val="20"/>
              </w:rPr>
              <w:t>24.4%</w:t>
            </w:r>
          </w:p>
        </w:tc>
        <w:tc>
          <w:tcPr>
            <w:tcW w:w="1163" w:type="dxa"/>
          </w:tcPr>
          <w:p>
            <w:pPr>
              <w:pStyle w:val="TableParagraph"/>
              <w:spacing w:before="112"/>
              <w:ind w:right="104"/>
              <w:jc w:val="right"/>
              <w:rPr>
                <w:sz w:val="20"/>
              </w:rPr>
            </w:pPr>
            <w:r>
              <w:rPr>
                <w:spacing w:val="-2"/>
                <w:sz w:val="20"/>
              </w:rPr>
              <w:t>12.5%</w:t>
            </w:r>
          </w:p>
        </w:tc>
        <w:tc>
          <w:tcPr>
            <w:tcW w:w="1161" w:type="dxa"/>
          </w:tcPr>
          <w:p>
            <w:pPr>
              <w:pStyle w:val="TableParagraph"/>
              <w:spacing w:before="112"/>
              <w:ind w:right="101"/>
              <w:jc w:val="right"/>
              <w:rPr>
                <w:sz w:val="20"/>
              </w:rPr>
            </w:pPr>
            <w:r>
              <w:rPr>
                <w:spacing w:val="-2"/>
                <w:sz w:val="20"/>
              </w:rPr>
              <w:t>18.0%</w:t>
            </w:r>
          </w:p>
        </w:tc>
        <w:tc>
          <w:tcPr>
            <w:tcW w:w="2323" w:type="dxa"/>
          </w:tcPr>
          <w:p>
            <w:pPr>
              <w:pStyle w:val="TableParagraph"/>
              <w:tabs>
                <w:tab w:pos="1161" w:val="left" w:leader="none"/>
              </w:tabs>
              <w:spacing w:before="112"/>
              <w:ind w:right="101"/>
              <w:jc w:val="right"/>
              <w:rPr>
                <w:sz w:val="20"/>
              </w:rPr>
            </w:pPr>
            <w:r>
              <w:rPr>
                <w:spacing w:val="-2"/>
                <w:sz w:val="20"/>
              </w:rPr>
              <w:t>16.5%</w:t>
            </w:r>
            <w:r>
              <w:rPr>
                <w:sz w:val="20"/>
              </w:rPr>
              <w:tab/>
            </w:r>
            <w:r>
              <w:rPr>
                <w:spacing w:val="-2"/>
                <w:sz w:val="20"/>
              </w:rPr>
              <w:t>12.5%</w:t>
            </w:r>
          </w:p>
        </w:tc>
        <w:tc>
          <w:tcPr>
            <w:tcW w:w="1062" w:type="dxa"/>
          </w:tcPr>
          <w:p>
            <w:pPr>
              <w:pStyle w:val="TableParagraph"/>
              <w:spacing w:before="112"/>
              <w:ind w:right="1"/>
              <w:jc w:val="right"/>
              <w:rPr>
                <w:sz w:val="20"/>
              </w:rPr>
            </w:pPr>
            <w:r>
              <w:rPr>
                <w:spacing w:val="-4"/>
                <w:sz w:val="20"/>
              </w:rPr>
              <w:t>9.2%</w:t>
            </w:r>
          </w:p>
        </w:tc>
        <w:tc>
          <w:tcPr>
            <w:tcW w:w="1363" w:type="dxa"/>
            <w:gridSpan w:val="3"/>
          </w:tcPr>
          <w:p>
            <w:pPr>
              <w:pStyle w:val="TableParagraph"/>
              <w:spacing w:before="112"/>
              <w:ind w:left="707"/>
              <w:rPr>
                <w:sz w:val="20"/>
              </w:rPr>
            </w:pPr>
            <w:r>
              <w:rPr>
                <w:spacing w:val="-4"/>
                <w:sz w:val="20"/>
              </w:rPr>
              <w:t>9.4%</w:t>
            </w:r>
          </w:p>
        </w:tc>
        <w:tc>
          <w:tcPr>
            <w:tcW w:w="3391" w:type="dxa"/>
          </w:tcPr>
          <w:p>
            <w:pPr>
              <w:pStyle w:val="TableParagraph"/>
              <w:tabs>
                <w:tab w:pos="1161" w:val="left" w:leader="none"/>
                <w:tab w:pos="2325" w:val="left" w:leader="none"/>
              </w:tabs>
              <w:spacing w:before="112"/>
              <w:ind w:right="102"/>
              <w:jc w:val="right"/>
              <w:rPr>
                <w:sz w:val="20"/>
              </w:rPr>
            </w:pPr>
            <w:r>
              <w:rPr>
                <w:spacing w:val="-4"/>
                <w:sz w:val="20"/>
              </w:rPr>
              <w:t>7.4%</w:t>
            </w:r>
            <w:r>
              <w:rPr>
                <w:sz w:val="20"/>
              </w:rPr>
              <w:tab/>
            </w:r>
            <w:r>
              <w:rPr>
                <w:spacing w:val="-4"/>
                <w:sz w:val="20"/>
              </w:rPr>
              <w:t>6.2%</w:t>
            </w:r>
            <w:r>
              <w:rPr>
                <w:sz w:val="20"/>
              </w:rPr>
              <w:tab/>
            </w:r>
            <w:r>
              <w:rPr>
                <w:spacing w:val="-4"/>
                <w:sz w:val="20"/>
              </w:rPr>
              <w:t>6.0%</w:t>
            </w:r>
          </w:p>
        </w:tc>
        <w:tc>
          <w:tcPr>
            <w:tcW w:w="1162" w:type="dxa"/>
            <w:tcBorders>
              <w:right w:val="single" w:sz="4" w:space="0" w:color="000000"/>
            </w:tcBorders>
          </w:tcPr>
          <w:p>
            <w:pPr>
              <w:pStyle w:val="TableParagraph"/>
              <w:spacing w:before="112"/>
              <w:ind w:right="97"/>
              <w:jc w:val="right"/>
              <w:rPr>
                <w:sz w:val="20"/>
              </w:rPr>
            </w:pPr>
            <w:r>
              <w:rPr>
                <w:spacing w:val="-4"/>
                <w:sz w:val="20"/>
              </w:rPr>
              <w:t>4.8%</w:t>
            </w:r>
          </w:p>
        </w:tc>
      </w:tr>
      <w:tr>
        <w:trPr>
          <w:trHeight w:val="230" w:hRule="atLeast"/>
        </w:trPr>
        <w:tc>
          <w:tcPr>
            <w:tcW w:w="1488" w:type="dxa"/>
            <w:tcBorders>
              <w:left w:val="single" w:sz="4" w:space="0" w:color="000000"/>
            </w:tcBorders>
          </w:tcPr>
          <w:p>
            <w:pPr>
              <w:pStyle w:val="TableParagraph"/>
              <w:spacing w:line="211" w:lineRule="exact"/>
              <w:ind w:left="107"/>
              <w:rPr>
                <w:sz w:val="20"/>
              </w:rPr>
            </w:pPr>
            <w:r>
              <w:rPr>
                <w:spacing w:val="-2"/>
                <w:sz w:val="20"/>
              </w:rPr>
              <w:t>Capital</w:t>
            </w:r>
          </w:p>
        </w:tc>
        <w:tc>
          <w:tcPr>
            <w:tcW w:w="1113" w:type="dxa"/>
          </w:tcPr>
          <w:p>
            <w:pPr>
              <w:pStyle w:val="TableParagraph"/>
              <w:rPr>
                <w:rFonts w:ascii="Times New Roman"/>
                <w:sz w:val="16"/>
              </w:rPr>
            </w:pPr>
          </w:p>
        </w:tc>
        <w:tc>
          <w:tcPr>
            <w:tcW w:w="1161" w:type="dxa"/>
            <w:shd w:val="clear" w:color="auto" w:fill="FFFF00"/>
          </w:tcPr>
          <w:p>
            <w:pPr>
              <w:pStyle w:val="TableParagraph"/>
              <w:rPr>
                <w:rFonts w:ascii="Times New Roman"/>
                <w:sz w:val="16"/>
              </w:rPr>
            </w:pPr>
          </w:p>
        </w:tc>
        <w:tc>
          <w:tcPr>
            <w:tcW w:w="1163" w:type="dxa"/>
            <w:shd w:val="clear" w:color="auto" w:fill="91CF50"/>
          </w:tcPr>
          <w:p>
            <w:pPr>
              <w:pStyle w:val="TableParagraph"/>
              <w:rPr>
                <w:rFonts w:ascii="Times New Roman"/>
                <w:sz w:val="16"/>
              </w:rPr>
            </w:pPr>
          </w:p>
        </w:tc>
        <w:tc>
          <w:tcPr>
            <w:tcW w:w="1161" w:type="dxa"/>
            <w:shd w:val="clear" w:color="auto" w:fill="FFFF00"/>
          </w:tcPr>
          <w:p>
            <w:pPr>
              <w:pStyle w:val="TableParagraph"/>
              <w:rPr>
                <w:rFonts w:ascii="Times New Roman"/>
                <w:sz w:val="16"/>
              </w:rPr>
            </w:pPr>
          </w:p>
        </w:tc>
        <w:tc>
          <w:tcPr>
            <w:tcW w:w="2323" w:type="dxa"/>
            <w:shd w:val="clear" w:color="auto" w:fill="91CF50"/>
          </w:tcPr>
          <w:p>
            <w:pPr>
              <w:pStyle w:val="TableParagraph"/>
              <w:rPr>
                <w:rFonts w:ascii="Times New Roman"/>
                <w:sz w:val="16"/>
              </w:rPr>
            </w:pPr>
          </w:p>
        </w:tc>
        <w:tc>
          <w:tcPr>
            <w:tcW w:w="1162" w:type="dxa"/>
            <w:gridSpan w:val="2"/>
            <w:shd w:val="clear" w:color="auto" w:fill="FFFF00"/>
          </w:tcPr>
          <w:p>
            <w:pPr>
              <w:pStyle w:val="TableParagraph"/>
              <w:rPr>
                <w:rFonts w:ascii="Times New Roman"/>
                <w:sz w:val="16"/>
              </w:rPr>
            </w:pPr>
          </w:p>
        </w:tc>
        <w:tc>
          <w:tcPr>
            <w:tcW w:w="1164" w:type="dxa"/>
            <w:shd w:val="clear" w:color="auto" w:fill="91CF50"/>
          </w:tcPr>
          <w:p>
            <w:pPr>
              <w:pStyle w:val="TableParagraph"/>
              <w:rPr>
                <w:rFonts w:ascii="Times New Roman"/>
                <w:sz w:val="16"/>
              </w:rPr>
            </w:pPr>
          </w:p>
        </w:tc>
        <w:tc>
          <w:tcPr>
            <w:tcW w:w="3490" w:type="dxa"/>
            <w:gridSpan w:val="2"/>
            <w:shd w:val="clear" w:color="auto" w:fill="FFFF00"/>
          </w:tcPr>
          <w:p>
            <w:pPr>
              <w:pStyle w:val="TableParagraph"/>
              <w:rPr>
                <w:rFonts w:ascii="Times New Roman"/>
                <w:sz w:val="16"/>
              </w:rPr>
            </w:pPr>
          </w:p>
        </w:tc>
        <w:tc>
          <w:tcPr>
            <w:tcW w:w="1162" w:type="dxa"/>
            <w:tcBorders>
              <w:right w:val="single" w:sz="4" w:space="0" w:color="000000"/>
            </w:tcBorders>
            <w:shd w:val="clear" w:color="auto" w:fill="91CF50"/>
          </w:tcPr>
          <w:p>
            <w:pPr>
              <w:pStyle w:val="TableParagraph"/>
              <w:rPr>
                <w:rFonts w:ascii="Times New Roman"/>
                <w:sz w:val="16"/>
              </w:rPr>
            </w:pPr>
          </w:p>
        </w:tc>
      </w:tr>
      <w:tr>
        <w:trPr>
          <w:trHeight w:val="230" w:hRule="atLeast"/>
        </w:trPr>
        <w:tc>
          <w:tcPr>
            <w:tcW w:w="1488" w:type="dxa"/>
            <w:tcBorders>
              <w:left w:val="single" w:sz="4" w:space="0" w:color="000000"/>
            </w:tcBorders>
          </w:tcPr>
          <w:p>
            <w:pPr>
              <w:pStyle w:val="TableParagraph"/>
              <w:spacing w:line="210" w:lineRule="exact"/>
              <w:ind w:left="107"/>
              <w:rPr>
                <w:sz w:val="20"/>
              </w:rPr>
            </w:pPr>
            <w:r>
              <w:rPr>
                <w:spacing w:val="-2"/>
                <w:sz w:val="20"/>
              </w:rPr>
              <w:t>replacement</w:t>
            </w:r>
          </w:p>
        </w:tc>
        <w:tc>
          <w:tcPr>
            <w:tcW w:w="1113" w:type="dxa"/>
          </w:tcPr>
          <w:p>
            <w:pPr>
              <w:pStyle w:val="TableParagraph"/>
              <w:spacing w:line="210" w:lineRule="exact"/>
              <w:ind w:left="117" w:right="91"/>
              <w:jc w:val="center"/>
              <w:rPr>
                <w:b/>
                <w:sz w:val="20"/>
              </w:rPr>
            </w:pPr>
            <w:r>
              <w:rPr>
                <w:b/>
                <w:sz w:val="20"/>
              </w:rPr>
              <w:t>&gt;</w:t>
            </w:r>
            <w:r>
              <w:rPr>
                <w:b/>
                <w:spacing w:val="-2"/>
                <w:sz w:val="20"/>
              </w:rPr>
              <w:t> </w:t>
            </w:r>
            <w:r>
              <w:rPr>
                <w:b/>
                <w:spacing w:val="-5"/>
                <w:sz w:val="20"/>
              </w:rPr>
              <w:t>1.5</w:t>
            </w:r>
          </w:p>
        </w:tc>
        <w:tc>
          <w:tcPr>
            <w:tcW w:w="1161" w:type="dxa"/>
            <w:shd w:val="clear" w:color="auto" w:fill="FFFF00"/>
          </w:tcPr>
          <w:p>
            <w:pPr>
              <w:pStyle w:val="TableParagraph"/>
              <w:spacing w:line="210" w:lineRule="exact"/>
              <w:ind w:right="102"/>
              <w:jc w:val="right"/>
              <w:rPr>
                <w:b/>
                <w:sz w:val="20"/>
              </w:rPr>
            </w:pPr>
            <w:r>
              <w:rPr>
                <w:b/>
                <w:spacing w:val="-4"/>
                <w:sz w:val="20"/>
              </w:rPr>
              <w:t>1.36</w:t>
            </w:r>
          </w:p>
        </w:tc>
        <w:tc>
          <w:tcPr>
            <w:tcW w:w="1163" w:type="dxa"/>
            <w:shd w:val="clear" w:color="auto" w:fill="91CF50"/>
          </w:tcPr>
          <w:p>
            <w:pPr>
              <w:pStyle w:val="TableParagraph"/>
              <w:spacing w:line="210" w:lineRule="exact"/>
              <w:ind w:right="103"/>
              <w:jc w:val="right"/>
              <w:rPr>
                <w:sz w:val="20"/>
              </w:rPr>
            </w:pPr>
            <w:r>
              <w:rPr>
                <w:spacing w:val="-4"/>
                <w:sz w:val="20"/>
              </w:rPr>
              <w:t>2.15</w:t>
            </w:r>
          </w:p>
        </w:tc>
        <w:tc>
          <w:tcPr>
            <w:tcW w:w="1161" w:type="dxa"/>
            <w:shd w:val="clear" w:color="auto" w:fill="FFFF00"/>
          </w:tcPr>
          <w:p>
            <w:pPr>
              <w:pStyle w:val="TableParagraph"/>
              <w:spacing w:line="210" w:lineRule="exact"/>
              <w:ind w:right="100"/>
              <w:jc w:val="right"/>
              <w:rPr>
                <w:sz w:val="20"/>
              </w:rPr>
            </w:pPr>
            <w:r>
              <w:rPr>
                <w:spacing w:val="-4"/>
                <w:sz w:val="20"/>
              </w:rPr>
              <w:t>1.33</w:t>
            </w:r>
          </w:p>
        </w:tc>
        <w:tc>
          <w:tcPr>
            <w:tcW w:w="2323" w:type="dxa"/>
            <w:shd w:val="clear" w:color="auto" w:fill="91CF50"/>
          </w:tcPr>
          <w:p>
            <w:pPr>
              <w:pStyle w:val="TableParagraph"/>
              <w:tabs>
                <w:tab w:pos="1161" w:val="left" w:leader="none"/>
              </w:tabs>
              <w:spacing w:line="210" w:lineRule="exact"/>
              <w:ind w:right="100"/>
              <w:jc w:val="right"/>
              <w:rPr>
                <w:sz w:val="20"/>
              </w:rPr>
            </w:pPr>
            <w:r>
              <w:rPr>
                <w:spacing w:val="-4"/>
                <w:sz w:val="20"/>
              </w:rPr>
              <w:t>1.62</w:t>
            </w:r>
            <w:r>
              <w:rPr>
                <w:sz w:val="20"/>
              </w:rPr>
              <w:tab/>
            </w:r>
            <w:r>
              <w:rPr>
                <w:spacing w:val="-4"/>
                <w:sz w:val="20"/>
              </w:rPr>
              <w:t>2.01</w:t>
            </w:r>
          </w:p>
        </w:tc>
        <w:tc>
          <w:tcPr>
            <w:tcW w:w="1162" w:type="dxa"/>
            <w:gridSpan w:val="2"/>
            <w:shd w:val="clear" w:color="auto" w:fill="FFFF00"/>
          </w:tcPr>
          <w:p>
            <w:pPr>
              <w:pStyle w:val="TableParagraph"/>
              <w:spacing w:line="210" w:lineRule="exact"/>
              <w:ind w:left="672"/>
              <w:rPr>
                <w:sz w:val="20"/>
              </w:rPr>
            </w:pPr>
            <w:r>
              <w:rPr>
                <w:spacing w:val="-4"/>
                <w:sz w:val="20"/>
              </w:rPr>
              <w:t>1.41</w:t>
            </w:r>
          </w:p>
        </w:tc>
        <w:tc>
          <w:tcPr>
            <w:tcW w:w="1164" w:type="dxa"/>
            <w:shd w:val="clear" w:color="auto" w:fill="91CF50"/>
          </w:tcPr>
          <w:p>
            <w:pPr>
              <w:pStyle w:val="TableParagraph"/>
              <w:spacing w:line="210" w:lineRule="exact"/>
              <w:ind w:left="674"/>
              <w:rPr>
                <w:sz w:val="20"/>
              </w:rPr>
            </w:pPr>
            <w:r>
              <w:rPr>
                <w:spacing w:val="-4"/>
                <w:sz w:val="20"/>
              </w:rPr>
              <w:t>1.52</w:t>
            </w:r>
          </w:p>
        </w:tc>
        <w:tc>
          <w:tcPr>
            <w:tcW w:w="3490" w:type="dxa"/>
            <w:gridSpan w:val="2"/>
            <w:shd w:val="clear" w:color="auto" w:fill="FFFF00"/>
          </w:tcPr>
          <w:p>
            <w:pPr>
              <w:pStyle w:val="TableParagraph"/>
              <w:tabs>
                <w:tab w:pos="1836" w:val="left" w:leader="none"/>
                <w:tab w:pos="3000" w:val="left" w:leader="none"/>
              </w:tabs>
              <w:spacing w:line="210" w:lineRule="exact"/>
              <w:ind w:left="674"/>
              <w:rPr>
                <w:sz w:val="20"/>
              </w:rPr>
            </w:pPr>
            <w:r>
              <w:rPr>
                <w:spacing w:val="-4"/>
                <w:sz w:val="20"/>
              </w:rPr>
              <w:t>1.15</w:t>
            </w:r>
            <w:r>
              <w:rPr>
                <w:sz w:val="20"/>
              </w:rPr>
              <w:tab/>
            </w:r>
            <w:r>
              <w:rPr>
                <w:spacing w:val="-4"/>
                <w:sz w:val="20"/>
              </w:rPr>
              <w:t>1.19</w:t>
            </w:r>
            <w:r>
              <w:rPr>
                <w:sz w:val="20"/>
              </w:rPr>
              <w:tab/>
            </w:r>
            <w:r>
              <w:rPr>
                <w:spacing w:val="-4"/>
                <w:sz w:val="20"/>
              </w:rPr>
              <w:t>1.18</w:t>
            </w:r>
          </w:p>
        </w:tc>
        <w:tc>
          <w:tcPr>
            <w:tcW w:w="1162" w:type="dxa"/>
            <w:tcBorders>
              <w:right w:val="single" w:sz="4" w:space="0" w:color="000000"/>
            </w:tcBorders>
            <w:shd w:val="clear" w:color="auto" w:fill="91CF50"/>
          </w:tcPr>
          <w:p>
            <w:pPr>
              <w:pStyle w:val="TableParagraph"/>
              <w:spacing w:line="210" w:lineRule="exact"/>
              <w:ind w:right="96"/>
              <w:jc w:val="right"/>
              <w:rPr>
                <w:sz w:val="20"/>
              </w:rPr>
            </w:pPr>
            <w:r>
              <w:rPr>
                <w:spacing w:val="-4"/>
                <w:sz w:val="20"/>
              </w:rPr>
              <w:t>1.60</w:t>
            </w:r>
          </w:p>
        </w:tc>
      </w:tr>
      <w:tr>
        <w:trPr>
          <w:trHeight w:val="227" w:hRule="atLeast"/>
        </w:trPr>
        <w:tc>
          <w:tcPr>
            <w:tcW w:w="1488" w:type="dxa"/>
            <w:tcBorders>
              <w:left w:val="single" w:sz="4" w:space="0" w:color="000000"/>
            </w:tcBorders>
          </w:tcPr>
          <w:p>
            <w:pPr>
              <w:pStyle w:val="TableParagraph"/>
              <w:spacing w:line="207" w:lineRule="exact"/>
              <w:ind w:left="107"/>
              <w:rPr>
                <w:sz w:val="20"/>
              </w:rPr>
            </w:pPr>
            <w:r>
              <w:rPr>
                <w:spacing w:val="-2"/>
                <w:sz w:val="20"/>
              </w:rPr>
              <w:t>ratio</w:t>
            </w:r>
          </w:p>
        </w:tc>
        <w:tc>
          <w:tcPr>
            <w:tcW w:w="1113" w:type="dxa"/>
          </w:tcPr>
          <w:p>
            <w:pPr>
              <w:pStyle w:val="TableParagraph"/>
              <w:rPr>
                <w:rFonts w:ascii="Times New Roman"/>
                <w:sz w:val="16"/>
              </w:rPr>
            </w:pPr>
          </w:p>
        </w:tc>
        <w:tc>
          <w:tcPr>
            <w:tcW w:w="1161" w:type="dxa"/>
            <w:shd w:val="clear" w:color="auto" w:fill="FFFF00"/>
          </w:tcPr>
          <w:p>
            <w:pPr>
              <w:pStyle w:val="TableParagraph"/>
              <w:rPr>
                <w:rFonts w:ascii="Times New Roman"/>
                <w:sz w:val="16"/>
              </w:rPr>
            </w:pPr>
          </w:p>
        </w:tc>
        <w:tc>
          <w:tcPr>
            <w:tcW w:w="1163" w:type="dxa"/>
            <w:shd w:val="clear" w:color="auto" w:fill="91CF50"/>
          </w:tcPr>
          <w:p>
            <w:pPr>
              <w:pStyle w:val="TableParagraph"/>
              <w:rPr>
                <w:rFonts w:ascii="Times New Roman"/>
                <w:sz w:val="16"/>
              </w:rPr>
            </w:pPr>
          </w:p>
        </w:tc>
        <w:tc>
          <w:tcPr>
            <w:tcW w:w="1161" w:type="dxa"/>
            <w:shd w:val="clear" w:color="auto" w:fill="FFFF00"/>
          </w:tcPr>
          <w:p>
            <w:pPr>
              <w:pStyle w:val="TableParagraph"/>
              <w:rPr>
                <w:rFonts w:ascii="Times New Roman"/>
                <w:sz w:val="16"/>
              </w:rPr>
            </w:pPr>
          </w:p>
        </w:tc>
        <w:tc>
          <w:tcPr>
            <w:tcW w:w="2323" w:type="dxa"/>
            <w:shd w:val="clear" w:color="auto" w:fill="91CF50"/>
          </w:tcPr>
          <w:p>
            <w:pPr>
              <w:pStyle w:val="TableParagraph"/>
              <w:rPr>
                <w:rFonts w:ascii="Times New Roman"/>
                <w:sz w:val="16"/>
              </w:rPr>
            </w:pPr>
          </w:p>
        </w:tc>
        <w:tc>
          <w:tcPr>
            <w:tcW w:w="1162" w:type="dxa"/>
            <w:gridSpan w:val="2"/>
            <w:shd w:val="clear" w:color="auto" w:fill="FFFF00"/>
          </w:tcPr>
          <w:p>
            <w:pPr>
              <w:pStyle w:val="TableParagraph"/>
              <w:rPr>
                <w:rFonts w:ascii="Times New Roman"/>
                <w:sz w:val="16"/>
              </w:rPr>
            </w:pPr>
          </w:p>
        </w:tc>
        <w:tc>
          <w:tcPr>
            <w:tcW w:w="1164" w:type="dxa"/>
            <w:shd w:val="clear" w:color="auto" w:fill="91CF50"/>
          </w:tcPr>
          <w:p>
            <w:pPr>
              <w:pStyle w:val="TableParagraph"/>
              <w:rPr>
                <w:rFonts w:ascii="Times New Roman"/>
                <w:sz w:val="16"/>
              </w:rPr>
            </w:pPr>
          </w:p>
        </w:tc>
        <w:tc>
          <w:tcPr>
            <w:tcW w:w="3490" w:type="dxa"/>
            <w:gridSpan w:val="2"/>
            <w:shd w:val="clear" w:color="auto" w:fill="FFFF00"/>
          </w:tcPr>
          <w:p>
            <w:pPr>
              <w:pStyle w:val="TableParagraph"/>
              <w:rPr>
                <w:rFonts w:ascii="Times New Roman"/>
                <w:sz w:val="16"/>
              </w:rPr>
            </w:pPr>
          </w:p>
        </w:tc>
        <w:tc>
          <w:tcPr>
            <w:tcW w:w="1162" w:type="dxa"/>
            <w:tcBorders>
              <w:right w:val="single" w:sz="4" w:space="0" w:color="000000"/>
            </w:tcBorders>
            <w:shd w:val="clear" w:color="auto" w:fill="91CF50"/>
          </w:tcPr>
          <w:p>
            <w:pPr>
              <w:pStyle w:val="TableParagraph"/>
              <w:rPr>
                <w:rFonts w:ascii="Times New Roman"/>
                <w:sz w:val="16"/>
              </w:rPr>
            </w:pPr>
          </w:p>
        </w:tc>
      </w:tr>
      <w:tr>
        <w:trPr>
          <w:trHeight w:val="228" w:hRule="atLeast"/>
        </w:trPr>
        <w:tc>
          <w:tcPr>
            <w:tcW w:w="1488" w:type="dxa"/>
            <w:tcBorders>
              <w:left w:val="single" w:sz="4" w:space="0" w:color="000000"/>
            </w:tcBorders>
          </w:tcPr>
          <w:p>
            <w:pPr>
              <w:pStyle w:val="TableParagraph"/>
              <w:spacing w:line="208" w:lineRule="exact"/>
              <w:ind w:left="107"/>
              <w:rPr>
                <w:sz w:val="20"/>
              </w:rPr>
            </w:pPr>
            <w:r>
              <w:rPr>
                <w:sz w:val="20"/>
              </w:rPr>
              <w:t>Renewal</w:t>
            </w:r>
            <w:r>
              <w:rPr>
                <w:spacing w:val="-10"/>
                <w:sz w:val="20"/>
              </w:rPr>
              <w:t> </w:t>
            </w:r>
            <w:r>
              <w:rPr>
                <w:spacing w:val="-5"/>
                <w:sz w:val="20"/>
              </w:rPr>
              <w:t>gap</w:t>
            </w:r>
          </w:p>
        </w:tc>
        <w:tc>
          <w:tcPr>
            <w:tcW w:w="1113" w:type="dxa"/>
          </w:tcPr>
          <w:p>
            <w:pPr>
              <w:pStyle w:val="TableParagraph"/>
              <w:spacing w:line="94" w:lineRule="exact" w:before="115"/>
              <w:ind w:left="117" w:right="91"/>
              <w:jc w:val="center"/>
              <w:rPr>
                <w:b/>
                <w:sz w:val="20"/>
              </w:rPr>
            </w:pPr>
            <w:r>
              <w:rPr>
                <w:b/>
                <w:sz w:val="20"/>
              </w:rPr>
              <w:t>&gt;</w:t>
            </w:r>
            <w:r>
              <w:rPr>
                <w:b/>
                <w:spacing w:val="-2"/>
                <w:sz w:val="20"/>
              </w:rPr>
              <w:t> </w:t>
            </w:r>
            <w:r>
              <w:rPr>
                <w:b/>
                <w:spacing w:val="-5"/>
                <w:sz w:val="20"/>
              </w:rPr>
              <w:t>1.0</w:t>
            </w:r>
          </w:p>
        </w:tc>
        <w:tc>
          <w:tcPr>
            <w:tcW w:w="1161" w:type="dxa"/>
            <w:vMerge w:val="restart"/>
            <w:tcBorders>
              <w:bottom w:val="single" w:sz="4" w:space="0" w:color="000000"/>
            </w:tcBorders>
            <w:shd w:val="clear" w:color="auto" w:fill="91CF50"/>
          </w:tcPr>
          <w:p>
            <w:pPr>
              <w:pStyle w:val="TableParagraph"/>
              <w:spacing w:before="115"/>
              <w:ind w:left="670"/>
              <w:rPr>
                <w:b/>
                <w:sz w:val="20"/>
              </w:rPr>
            </w:pPr>
            <w:r>
              <w:rPr>
                <w:b/>
                <w:spacing w:val="-4"/>
                <w:sz w:val="20"/>
              </w:rPr>
              <w:t>1.02</w:t>
            </w:r>
          </w:p>
        </w:tc>
        <w:tc>
          <w:tcPr>
            <w:tcW w:w="1163" w:type="dxa"/>
            <w:vMerge w:val="restart"/>
            <w:tcBorders>
              <w:bottom w:val="single" w:sz="4" w:space="0" w:color="000000"/>
            </w:tcBorders>
            <w:shd w:val="clear" w:color="auto" w:fill="91CF50"/>
          </w:tcPr>
          <w:p>
            <w:pPr>
              <w:pStyle w:val="TableParagraph"/>
              <w:spacing w:before="115"/>
              <w:ind w:left="670"/>
              <w:rPr>
                <w:sz w:val="20"/>
              </w:rPr>
            </w:pPr>
            <w:r>
              <w:rPr>
                <w:spacing w:val="-4"/>
                <w:sz w:val="20"/>
              </w:rPr>
              <w:t>1.14</w:t>
            </w:r>
          </w:p>
        </w:tc>
        <w:tc>
          <w:tcPr>
            <w:tcW w:w="1161" w:type="dxa"/>
            <w:vMerge w:val="restart"/>
            <w:tcBorders>
              <w:bottom w:val="single" w:sz="4" w:space="0" w:color="000000"/>
            </w:tcBorders>
            <w:shd w:val="clear" w:color="auto" w:fill="91CF50"/>
          </w:tcPr>
          <w:p>
            <w:pPr>
              <w:pStyle w:val="TableParagraph"/>
              <w:spacing w:before="115"/>
              <w:ind w:left="671"/>
              <w:rPr>
                <w:sz w:val="20"/>
              </w:rPr>
            </w:pPr>
            <w:r>
              <w:rPr>
                <w:spacing w:val="-4"/>
                <w:sz w:val="20"/>
              </w:rPr>
              <w:t>1.11</w:t>
            </w:r>
          </w:p>
        </w:tc>
        <w:tc>
          <w:tcPr>
            <w:tcW w:w="2323" w:type="dxa"/>
            <w:vMerge w:val="restart"/>
            <w:tcBorders>
              <w:bottom w:val="single" w:sz="4" w:space="0" w:color="000000"/>
            </w:tcBorders>
            <w:shd w:val="clear" w:color="auto" w:fill="91CF50"/>
          </w:tcPr>
          <w:p>
            <w:pPr>
              <w:pStyle w:val="TableParagraph"/>
              <w:tabs>
                <w:tab w:pos="1833" w:val="left" w:leader="none"/>
              </w:tabs>
              <w:spacing w:before="115"/>
              <w:ind w:left="672"/>
              <w:rPr>
                <w:sz w:val="20"/>
              </w:rPr>
            </w:pPr>
            <w:r>
              <w:rPr>
                <w:spacing w:val="-4"/>
                <w:sz w:val="20"/>
              </w:rPr>
              <w:t>1.39</w:t>
            </w:r>
            <w:r>
              <w:rPr>
                <w:sz w:val="20"/>
              </w:rPr>
              <w:tab/>
            </w:r>
            <w:r>
              <w:rPr>
                <w:spacing w:val="-4"/>
                <w:sz w:val="20"/>
              </w:rPr>
              <w:t>1.87</w:t>
            </w:r>
          </w:p>
        </w:tc>
        <w:tc>
          <w:tcPr>
            <w:tcW w:w="1062" w:type="dxa"/>
            <w:vMerge w:val="restart"/>
            <w:tcBorders>
              <w:bottom w:val="single" w:sz="4" w:space="0" w:color="000000"/>
            </w:tcBorders>
            <w:shd w:val="clear" w:color="auto" w:fill="91CF50"/>
          </w:tcPr>
          <w:p>
            <w:pPr>
              <w:pStyle w:val="TableParagraph"/>
              <w:spacing w:before="115"/>
              <w:ind w:left="672"/>
              <w:rPr>
                <w:sz w:val="20"/>
              </w:rPr>
            </w:pPr>
            <w:r>
              <w:rPr>
                <w:spacing w:val="-4"/>
                <w:sz w:val="20"/>
              </w:rPr>
              <w:t>1.29</w:t>
            </w:r>
          </w:p>
        </w:tc>
        <w:tc>
          <w:tcPr>
            <w:tcW w:w="1363" w:type="dxa"/>
            <w:gridSpan w:val="3"/>
            <w:vMerge w:val="restart"/>
            <w:tcBorders>
              <w:bottom w:val="single" w:sz="4" w:space="0" w:color="000000"/>
            </w:tcBorders>
            <w:shd w:val="clear" w:color="auto" w:fill="91CF50"/>
          </w:tcPr>
          <w:p>
            <w:pPr>
              <w:pStyle w:val="TableParagraph"/>
              <w:spacing w:before="115"/>
              <w:ind w:left="774"/>
              <w:rPr>
                <w:sz w:val="20"/>
              </w:rPr>
            </w:pPr>
            <w:r>
              <w:rPr>
                <w:spacing w:val="-4"/>
                <w:sz w:val="20"/>
              </w:rPr>
              <w:t>1.41</w:t>
            </w:r>
          </w:p>
        </w:tc>
        <w:tc>
          <w:tcPr>
            <w:tcW w:w="3391" w:type="dxa"/>
            <w:vMerge w:val="restart"/>
            <w:tcBorders>
              <w:bottom w:val="single" w:sz="4" w:space="0" w:color="000000"/>
            </w:tcBorders>
            <w:shd w:val="clear" w:color="auto" w:fill="91CF50"/>
          </w:tcPr>
          <w:p>
            <w:pPr>
              <w:pStyle w:val="TableParagraph"/>
              <w:tabs>
                <w:tab w:pos="1737" w:val="left" w:leader="none"/>
                <w:tab w:pos="2901" w:val="left" w:leader="none"/>
              </w:tabs>
              <w:spacing w:before="115"/>
              <w:ind w:left="575"/>
              <w:rPr>
                <w:sz w:val="20"/>
              </w:rPr>
            </w:pPr>
            <w:r>
              <w:rPr>
                <w:spacing w:val="-4"/>
                <w:sz w:val="20"/>
              </w:rPr>
              <w:t>1.02</w:t>
            </w:r>
            <w:r>
              <w:rPr>
                <w:sz w:val="20"/>
              </w:rPr>
              <w:tab/>
            </w:r>
            <w:r>
              <w:rPr>
                <w:spacing w:val="-4"/>
                <w:sz w:val="20"/>
              </w:rPr>
              <w:t>1.05</w:t>
            </w:r>
            <w:r>
              <w:rPr>
                <w:sz w:val="20"/>
              </w:rPr>
              <w:tab/>
            </w:r>
            <w:r>
              <w:rPr>
                <w:spacing w:val="-4"/>
                <w:sz w:val="20"/>
              </w:rPr>
              <w:t>1.03</w:t>
            </w:r>
          </w:p>
        </w:tc>
        <w:tc>
          <w:tcPr>
            <w:tcW w:w="1162" w:type="dxa"/>
            <w:vMerge w:val="restart"/>
            <w:tcBorders>
              <w:bottom w:val="single" w:sz="4" w:space="0" w:color="000000"/>
              <w:right w:val="single" w:sz="4" w:space="0" w:color="000000"/>
            </w:tcBorders>
            <w:shd w:val="clear" w:color="auto" w:fill="91CF50"/>
          </w:tcPr>
          <w:p>
            <w:pPr>
              <w:pStyle w:val="TableParagraph"/>
              <w:spacing w:before="115"/>
              <w:ind w:left="666"/>
              <w:rPr>
                <w:sz w:val="20"/>
              </w:rPr>
            </w:pPr>
            <w:r>
              <w:rPr>
                <w:spacing w:val="-4"/>
                <w:sz w:val="20"/>
              </w:rPr>
              <w:t>1.45</w:t>
            </w:r>
          </w:p>
        </w:tc>
      </w:tr>
      <w:tr>
        <w:trPr>
          <w:trHeight w:val="222" w:hRule="atLeast"/>
        </w:trPr>
        <w:tc>
          <w:tcPr>
            <w:tcW w:w="1488" w:type="dxa"/>
            <w:tcBorders>
              <w:left w:val="single" w:sz="4" w:space="0" w:color="000000"/>
              <w:bottom w:val="single" w:sz="4" w:space="0" w:color="000000"/>
            </w:tcBorders>
          </w:tcPr>
          <w:p>
            <w:pPr>
              <w:pStyle w:val="TableParagraph"/>
              <w:spacing w:line="202" w:lineRule="exact"/>
              <w:ind w:left="107"/>
              <w:rPr>
                <w:sz w:val="20"/>
              </w:rPr>
            </w:pPr>
            <w:r>
              <w:rPr>
                <w:spacing w:val="-2"/>
                <w:sz w:val="20"/>
              </w:rPr>
              <w:t>ratio</w:t>
            </w:r>
          </w:p>
        </w:tc>
        <w:tc>
          <w:tcPr>
            <w:tcW w:w="1113" w:type="dxa"/>
            <w:tcBorders>
              <w:bottom w:val="single" w:sz="4" w:space="0" w:color="000000"/>
            </w:tcBorders>
          </w:tcPr>
          <w:p>
            <w:pPr>
              <w:pStyle w:val="TableParagraph"/>
              <w:rPr>
                <w:rFonts w:ascii="Times New Roman"/>
                <w:sz w:val="14"/>
              </w:rPr>
            </w:pPr>
          </w:p>
        </w:tc>
        <w:tc>
          <w:tcPr>
            <w:tcW w:w="1161" w:type="dxa"/>
            <w:vMerge/>
            <w:tcBorders>
              <w:top w:val="nil"/>
              <w:bottom w:val="single" w:sz="4" w:space="0" w:color="000000"/>
            </w:tcBorders>
            <w:shd w:val="clear" w:color="auto" w:fill="91CF50"/>
          </w:tcPr>
          <w:p>
            <w:pPr>
              <w:rPr>
                <w:sz w:val="2"/>
                <w:szCs w:val="2"/>
              </w:rPr>
            </w:pPr>
          </w:p>
        </w:tc>
        <w:tc>
          <w:tcPr>
            <w:tcW w:w="1163" w:type="dxa"/>
            <w:vMerge/>
            <w:tcBorders>
              <w:top w:val="nil"/>
              <w:bottom w:val="single" w:sz="4" w:space="0" w:color="000000"/>
            </w:tcBorders>
            <w:shd w:val="clear" w:color="auto" w:fill="91CF50"/>
          </w:tcPr>
          <w:p>
            <w:pPr>
              <w:rPr>
                <w:sz w:val="2"/>
                <w:szCs w:val="2"/>
              </w:rPr>
            </w:pPr>
          </w:p>
        </w:tc>
        <w:tc>
          <w:tcPr>
            <w:tcW w:w="1161" w:type="dxa"/>
            <w:vMerge/>
            <w:tcBorders>
              <w:top w:val="nil"/>
              <w:bottom w:val="single" w:sz="4" w:space="0" w:color="000000"/>
            </w:tcBorders>
            <w:shd w:val="clear" w:color="auto" w:fill="91CF50"/>
          </w:tcPr>
          <w:p>
            <w:pPr>
              <w:rPr>
                <w:sz w:val="2"/>
                <w:szCs w:val="2"/>
              </w:rPr>
            </w:pPr>
          </w:p>
        </w:tc>
        <w:tc>
          <w:tcPr>
            <w:tcW w:w="2323" w:type="dxa"/>
            <w:vMerge/>
            <w:tcBorders>
              <w:top w:val="nil"/>
              <w:bottom w:val="single" w:sz="4" w:space="0" w:color="000000"/>
            </w:tcBorders>
            <w:shd w:val="clear" w:color="auto" w:fill="91CF50"/>
          </w:tcPr>
          <w:p>
            <w:pPr>
              <w:rPr>
                <w:sz w:val="2"/>
                <w:szCs w:val="2"/>
              </w:rPr>
            </w:pPr>
          </w:p>
        </w:tc>
        <w:tc>
          <w:tcPr>
            <w:tcW w:w="1062" w:type="dxa"/>
            <w:vMerge/>
            <w:tcBorders>
              <w:top w:val="nil"/>
              <w:bottom w:val="single" w:sz="4" w:space="0" w:color="000000"/>
            </w:tcBorders>
            <w:shd w:val="clear" w:color="auto" w:fill="91CF50"/>
          </w:tcPr>
          <w:p>
            <w:pPr>
              <w:rPr>
                <w:sz w:val="2"/>
                <w:szCs w:val="2"/>
              </w:rPr>
            </w:pPr>
          </w:p>
        </w:tc>
        <w:tc>
          <w:tcPr>
            <w:tcW w:w="1363" w:type="dxa"/>
            <w:gridSpan w:val="3"/>
            <w:vMerge/>
            <w:tcBorders>
              <w:top w:val="nil"/>
              <w:bottom w:val="single" w:sz="4" w:space="0" w:color="000000"/>
            </w:tcBorders>
            <w:shd w:val="clear" w:color="auto" w:fill="91CF50"/>
          </w:tcPr>
          <w:p>
            <w:pPr>
              <w:rPr>
                <w:sz w:val="2"/>
                <w:szCs w:val="2"/>
              </w:rPr>
            </w:pPr>
          </w:p>
        </w:tc>
        <w:tc>
          <w:tcPr>
            <w:tcW w:w="3391" w:type="dxa"/>
            <w:vMerge/>
            <w:tcBorders>
              <w:top w:val="nil"/>
              <w:bottom w:val="single" w:sz="4" w:space="0" w:color="000000"/>
            </w:tcBorders>
            <w:shd w:val="clear" w:color="auto" w:fill="91CF50"/>
          </w:tcPr>
          <w:p>
            <w:pPr>
              <w:rPr>
                <w:sz w:val="2"/>
                <w:szCs w:val="2"/>
              </w:rPr>
            </w:pPr>
          </w:p>
        </w:tc>
        <w:tc>
          <w:tcPr>
            <w:tcW w:w="1162" w:type="dxa"/>
            <w:vMerge/>
            <w:tcBorders>
              <w:top w:val="nil"/>
              <w:bottom w:val="single" w:sz="4" w:space="0" w:color="000000"/>
              <w:right w:val="single" w:sz="4" w:space="0" w:color="000000"/>
            </w:tcBorders>
            <w:shd w:val="clear" w:color="auto" w:fill="91CF50"/>
          </w:tcPr>
          <w:p>
            <w:pPr>
              <w:rPr>
                <w:sz w:val="2"/>
                <w:szCs w:val="2"/>
              </w:rPr>
            </w:pPr>
          </w:p>
        </w:tc>
      </w:tr>
    </w:tbl>
    <w:p>
      <w:pPr>
        <w:pStyle w:val="BodyText"/>
        <w:spacing w:before="5"/>
      </w:pPr>
    </w:p>
    <w:p>
      <w:pPr>
        <w:pStyle w:val="BodyText"/>
        <w:ind w:left="120" w:right="115"/>
        <w:jc w:val="both"/>
      </w:pPr>
      <w:r>
        <w:rPr/>
        <w:t>The</w:t>
      </w:r>
      <w:r>
        <w:rPr>
          <w:spacing w:val="-2"/>
        </w:rPr>
        <w:t> </w:t>
      </w:r>
      <w:r>
        <w:rPr/>
        <w:t>ratios</w:t>
      </w:r>
      <w:r>
        <w:rPr>
          <w:spacing w:val="-4"/>
        </w:rPr>
        <w:t> </w:t>
      </w:r>
      <w:r>
        <w:rPr/>
        <w:t>are</w:t>
      </w:r>
      <w:r>
        <w:rPr>
          <w:spacing w:val="-3"/>
        </w:rPr>
        <w:t> </w:t>
      </w:r>
      <w:r>
        <w:rPr/>
        <w:t>benchmarked</w:t>
      </w:r>
      <w:r>
        <w:rPr>
          <w:spacing w:val="-2"/>
        </w:rPr>
        <w:t> </w:t>
      </w:r>
      <w:r>
        <w:rPr/>
        <w:t>against</w:t>
      </w:r>
      <w:r>
        <w:rPr>
          <w:spacing w:val="-4"/>
        </w:rPr>
        <w:t> </w:t>
      </w:r>
      <w:r>
        <w:rPr/>
        <w:t>the</w:t>
      </w:r>
      <w:r>
        <w:rPr>
          <w:spacing w:val="-3"/>
        </w:rPr>
        <w:t> </w:t>
      </w:r>
      <w:r>
        <w:rPr/>
        <w:t>VAGO</w:t>
      </w:r>
      <w:r>
        <w:rPr>
          <w:spacing w:val="-4"/>
        </w:rPr>
        <w:t> </w:t>
      </w:r>
      <w:r>
        <w:rPr/>
        <w:t>indicators</w:t>
      </w:r>
      <w:r>
        <w:rPr>
          <w:spacing w:val="-4"/>
        </w:rPr>
        <w:t> </w:t>
      </w:r>
      <w:r>
        <w:rPr/>
        <w:t>which</w:t>
      </w:r>
      <w:r>
        <w:rPr>
          <w:spacing w:val="-4"/>
        </w:rPr>
        <w:t> </w:t>
      </w:r>
      <w:r>
        <w:rPr/>
        <w:t>assesses</w:t>
      </w:r>
      <w:r>
        <w:rPr>
          <w:spacing w:val="-4"/>
        </w:rPr>
        <w:t> </w:t>
      </w:r>
      <w:r>
        <w:rPr/>
        <w:t>medium</w:t>
      </w:r>
      <w:r>
        <w:rPr>
          <w:spacing w:val="-2"/>
        </w:rPr>
        <w:t> </w:t>
      </w:r>
      <w:r>
        <w:rPr/>
        <w:t>(yellow)</w:t>
      </w:r>
      <w:r>
        <w:rPr>
          <w:spacing w:val="-1"/>
        </w:rPr>
        <w:t> </w:t>
      </w:r>
      <w:r>
        <w:rPr/>
        <w:t>level</w:t>
      </w:r>
      <w:r>
        <w:rPr>
          <w:spacing w:val="-4"/>
        </w:rPr>
        <w:t> </w:t>
      </w:r>
      <w:r>
        <w:rPr/>
        <w:t>risks namely</w:t>
      </w:r>
      <w:r>
        <w:rPr>
          <w:spacing w:val="-4"/>
        </w:rPr>
        <w:t> </w:t>
      </w:r>
      <w:r>
        <w:rPr/>
        <w:t>the</w:t>
      </w:r>
      <w:r>
        <w:rPr>
          <w:spacing w:val="-3"/>
        </w:rPr>
        <w:t> </w:t>
      </w:r>
      <w:r>
        <w:rPr/>
        <w:t>Capital</w:t>
      </w:r>
      <w:r>
        <w:rPr>
          <w:spacing w:val="-5"/>
        </w:rPr>
        <w:t> </w:t>
      </w:r>
      <w:r>
        <w:rPr/>
        <w:t>replacement</w:t>
      </w:r>
      <w:r>
        <w:rPr>
          <w:spacing w:val="-1"/>
        </w:rPr>
        <w:t> </w:t>
      </w:r>
      <w:r>
        <w:rPr/>
        <w:t>ratio</w:t>
      </w:r>
      <w:r>
        <w:rPr>
          <w:spacing w:val="-4"/>
        </w:rPr>
        <w:t> </w:t>
      </w:r>
      <w:r>
        <w:rPr/>
        <w:t>as</w:t>
      </w:r>
      <w:r>
        <w:rPr>
          <w:spacing w:val="-4"/>
        </w:rPr>
        <w:t> </w:t>
      </w:r>
      <w:r>
        <w:rPr/>
        <w:t>still</w:t>
      </w:r>
      <w:r>
        <w:rPr>
          <w:spacing w:val="-2"/>
        </w:rPr>
        <w:t> </w:t>
      </w:r>
      <w:r>
        <w:rPr/>
        <w:t>being</w:t>
      </w:r>
      <w:r>
        <w:rPr>
          <w:spacing w:val="-2"/>
        </w:rPr>
        <w:t> </w:t>
      </w:r>
      <w:r>
        <w:rPr/>
        <w:t>within acceptable levels since it is greater than 1. Council has still been able to maintain levels of risk in low and medium risk ratings once benchmarked against the VAGO measure.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0"/>
        <w:ind w:left="0" w:right="117" w:firstLine="0"/>
        <w:jc w:val="right"/>
        <w:rPr>
          <w:sz w:val="16"/>
        </w:rPr>
      </w:pPr>
      <w:r>
        <w:rPr>
          <w:sz w:val="16"/>
        </w:rPr>
        <w:t>MAROONDAH</w:t>
      </w:r>
      <w:r>
        <w:rPr>
          <w:spacing w:val="-4"/>
          <w:sz w:val="16"/>
        </w:rPr>
        <w:t> </w:t>
      </w:r>
      <w:r>
        <w:rPr>
          <w:sz w:val="16"/>
        </w:rPr>
        <w:t>CITY COUNCIL</w:t>
      </w:r>
      <w:r>
        <w:rPr>
          <w:spacing w:val="-4"/>
          <w:sz w:val="16"/>
        </w:rPr>
        <w:t> </w:t>
      </w:r>
      <w:r>
        <w:rPr>
          <w:sz w:val="16"/>
        </w:rPr>
        <w:t>–BUDGET</w:t>
      </w:r>
      <w:r>
        <w:rPr>
          <w:spacing w:val="-2"/>
          <w:sz w:val="16"/>
        </w:rPr>
        <w:t> </w:t>
      </w:r>
      <w:r>
        <w:rPr>
          <w:sz w:val="16"/>
        </w:rPr>
        <w:t>2024/2025</w:t>
      </w:r>
      <w:r>
        <w:rPr>
          <w:spacing w:val="41"/>
          <w:sz w:val="16"/>
        </w:rPr>
        <w:t>  </w:t>
      </w:r>
      <w:r>
        <w:rPr>
          <w:sz w:val="16"/>
        </w:rPr>
        <w:t>|</w:t>
      </w:r>
      <w:r>
        <w:rPr>
          <w:spacing w:val="59"/>
          <w:w w:val="150"/>
          <w:sz w:val="16"/>
        </w:rPr>
        <w:t> </w:t>
      </w:r>
      <w:r>
        <w:rPr>
          <w:color w:val="2A569A"/>
          <w:spacing w:val="-5"/>
          <w:sz w:val="16"/>
          <w:shd w:fill="E6E6E6" w:color="auto" w:val="clear"/>
        </w:rPr>
        <w:t>14</w:t>
      </w:r>
    </w:p>
    <w:p>
      <w:pPr>
        <w:spacing w:after="0"/>
        <w:jc w:val="right"/>
        <w:rPr>
          <w:sz w:val="16"/>
        </w:rPr>
        <w:sectPr>
          <w:footerReference w:type="default" r:id="rId20"/>
          <w:pgSz w:w="16840" w:h="11910" w:orient="landscape"/>
          <w:pgMar w:footer="0" w:header="0" w:top="640" w:bottom="280" w:left="600" w:right="600"/>
        </w:sectPr>
      </w:pPr>
    </w:p>
    <w:p>
      <w:pPr>
        <w:pStyle w:val="Heading4"/>
        <w:spacing w:before="67"/>
        <w:ind w:left="391" w:firstLine="0"/>
        <w:jc w:val="both"/>
      </w:pPr>
      <w:r>
        <w:rPr>
          <w:color w:val="4966AC"/>
        </w:rPr>
        <w:t>Strategic</w:t>
      </w:r>
      <w:r>
        <w:rPr>
          <w:color w:val="4966AC"/>
          <w:spacing w:val="2"/>
        </w:rPr>
        <w:t> </w:t>
      </w:r>
      <w:r>
        <w:rPr>
          <w:color w:val="4966AC"/>
          <w:spacing w:val="-2"/>
        </w:rPr>
        <w:t>objectives</w:t>
      </w:r>
    </w:p>
    <w:p>
      <w:pPr>
        <w:pStyle w:val="BodyText"/>
        <w:rPr>
          <w:b/>
        </w:rPr>
      </w:pPr>
    </w:p>
    <w:p>
      <w:pPr>
        <w:pStyle w:val="BodyText"/>
        <w:spacing w:before="1"/>
        <w:ind w:left="391" w:right="401"/>
        <w:jc w:val="both"/>
      </w:pPr>
      <w:r>
        <w:rPr/>
        <w:pict>
          <v:group style="position:absolute;margin-left:46.560001pt;margin-top:54.767853pt;width:525.4pt;height:347.05pt;mso-position-horizontal-relative:page;mso-position-vertical-relative:paragraph;z-index:-38063616" id="docshapegroup9" coordorigin="931,1095" coordsize="10508,6941">
            <v:shape style="position:absolute;left:931;top:1095;width:10508;height:6941" type="#_x0000_t75" id="docshape10" stroked="false">
              <v:imagedata r:id="rId22" o:title=""/>
            </v:shape>
            <v:rect style="position:absolute;left:2222;top:2290;width:8187;height:4100" id="docshape11" filled="true" fillcolor="#ffffff" stroked="false">
              <v:fill type="solid"/>
            </v:rect>
            <v:shape style="position:absolute;left:2222;top:2873;width:8187;height:2928" id="docshape12" coordorigin="2222,2874" coordsize="8187,2928" path="m2222,5802l5510,5802m6094,5802l6535,5802m7118,5802l8580,5802m8873,5802l9605,5802m10188,5802l10409,5802m2222,5216l5510,5216m6094,5216l9605,5216m10188,5216l10409,5216m2222,4631l5510,4631m6094,4631l9605,4631m10188,4631l10409,4631m2222,4045l5510,4045m6094,4045l9605,4045m10188,4045l10409,4045m2222,3459l5510,3459m6094,3459l9895,3459m10188,3459l10409,3459m2222,2874l5510,2874m6094,2874l10409,2874e" filled="false" stroked="true" strokeweight=".72pt" strokecolor="#bfbfbf">
              <v:path arrowok="t"/>
              <v:stroke dashstyle="solid"/>
            </v:shape>
            <v:line style="position:absolute" from="2222,2291" to="10409,2291" stroked="true" strokeweight=".72pt" strokecolor="#bfbfbf">
              <v:stroke dashstyle="solid"/>
            </v:line>
            <v:shape style="position:absolute;left:2433;top:5924;width:303;height:471" type="#_x0000_t75" id="docshape13" stroked="false">
              <v:imagedata r:id="rId23" o:title=""/>
            </v:shape>
            <v:shape style="position:absolute;left:3460;top:5852;width:303;height:543" type="#_x0000_t75" id="docshape14" stroked="false">
              <v:imagedata r:id="rId24" o:title=""/>
            </v:shape>
            <v:shape style="position:absolute;left:4483;top:6221;width:303;height:173" type="#_x0000_t75" id="docshape15" stroked="false">
              <v:imagedata r:id="rId25" o:title=""/>
            </v:shape>
            <v:shape style="position:absolute;left:5505;top:2847;width:303;height:3548" type="#_x0000_t75" id="docshape16" stroked="false">
              <v:imagedata r:id="rId26" o:title=""/>
            </v:shape>
            <v:shape style="position:absolute;left:6528;top:5309;width:303;height:1085" type="#_x0000_t75" id="docshape17" stroked="false">
              <v:imagedata r:id="rId27" o:title=""/>
            </v:shape>
            <v:shape style="position:absolute;left:7550;top:5967;width:303;height:428" type="#_x0000_t75" id="docshape18" stroked="false">
              <v:imagedata r:id="rId28" o:title=""/>
            </v:shape>
            <v:shape style="position:absolute;left:8572;top:5784;width:303;height:610" type="#_x0000_t75" id="docshape19" stroked="false">
              <v:imagedata r:id="rId29" o:title=""/>
            </v:shape>
            <v:shape style="position:absolute;left:9600;top:3888;width:298;height:2506" type="#_x0000_t75" id="docshape20" stroked="false">
              <v:imagedata r:id="rId30" o:title=""/>
            </v:shape>
            <v:shape style="position:absolute;left:2733;top:2568;width:7455;height:3821" id="docshape21" coordorigin="2734,2569" coordsize="7455,3821" path="m3026,5886l2734,5886,2734,6390,3026,6390,3026,5886xm4049,5819l3756,5819,3756,6390,4049,6390,4049,5819xm5071,6236l4778,6236,4778,6390,5071,6390,5071,6236xm6094,2569l5803,2569,5803,6390,6094,6390,6094,2569xm7118,5279l6826,5279,6826,6390,7118,6390,7118,5279xm8141,5967l7848,5967,7848,6390,8141,6390,8141,5967xm9163,5833l8873,5833,8873,6390,9163,6390,9163,5833xm10188,3419l9895,3419,9895,6390,10188,6390,10188,3419xe" filled="true" fillcolor="#93a8cf" stroked="false">
              <v:path arrowok="t"/>
              <v:fill type="solid"/>
            </v:shape>
            <v:shape style="position:absolute;left:2731;top:2564;width:7460;height:3831" type="#_x0000_t75" id="docshape22" stroked="false">
              <v:imagedata r:id="rId31" o:title=""/>
            </v:shape>
            <v:line style="position:absolute" from="2222,6390" to="2222,2291" stroked="true" strokeweight=".72pt" strokecolor="#bfbfbf">
              <v:stroke dashstyle="solid"/>
            </v:line>
            <v:shape style="position:absolute;left:2167;top:2290;width:56;height:4100" id="docshape23" coordorigin="2167,2291" coordsize="56,4100" path="m2167,6390l2222,6390m2167,5802l2222,5802m2167,5216l2222,5216m2167,4631l2222,4631m2167,4045l2222,4045m2167,3459l2222,3459m2167,2874l2222,2874m2167,2291l2222,2291e" filled="false" stroked="true" strokeweight=".72pt" strokecolor="#bfbfbf">
              <v:path arrowok="t"/>
              <v:stroke dashstyle="solid"/>
            </v:shape>
            <v:line style="position:absolute" from="2222,6390" to="10409,6390" stroked="true" strokeweight=".72pt" strokecolor="#858585">
              <v:stroke dashstyle="solid"/>
            </v:line>
            <v:shape style="position:absolute;left:2222;top:6389;width:8187;height:56" id="docshape24" coordorigin="2222,6390" coordsize="8187,56" path="m2222,6390l2222,6445m3245,6390l3245,6445m4267,6390l4267,6445m5292,6390l5292,6445m6314,6390l6314,6445m7337,6390l7337,6445m8359,6390l8359,6445m9384,6390l9384,6445m10409,6390l10409,6445e" filled="false" stroked="true" strokeweight=".72pt" strokecolor="#858585">
              <v:path arrowok="t"/>
              <v:stroke dashstyle="solid"/>
            </v:shape>
            <v:shape style="position:absolute;left:5203;top:7695;width:101;height:101" type="#_x0000_t75" id="docshape25" stroked="false">
              <v:imagedata r:id="rId32" o:title=""/>
            </v:shape>
            <v:shape style="position:absolute;left:6302;top:7695;width:101;height:101" type="#_x0000_t75" id="docshape26" stroked="false">
              <v:imagedata r:id="rId33" o:title=""/>
            </v:shape>
            <v:shape style="position:absolute;left:933;top:1095;width:10505;height:6939" type="#_x0000_t75" id="docshape27" stroked="false">
              <v:imagedata r:id="rId34" o:title=""/>
            </v:shape>
            <w10:wrap type="none"/>
          </v:group>
        </w:pict>
      </w:r>
      <w:r>
        <w:rPr/>
        <w:pict>
          <v:shape style="position:absolute;margin-left:57.420753pt;margin-top:169.447647pt;width:12.35pt;height:44.6pt;mso-position-horizontal-relative:page;mso-position-vertical-relative:paragraph;z-index:15735808" type="#_x0000_t202" id="docshape28" filled="false" stroked="false">
            <v:textbox inset="0,0,0,0" style="layout-flow:vertical;mso-layout-flow-alt:bottom-to-top">
              <w:txbxContent>
                <w:p>
                  <w:pPr>
                    <w:spacing w:before="19"/>
                    <w:ind w:left="20" w:right="0" w:firstLine="0"/>
                    <w:jc w:val="left"/>
                    <w:rPr>
                      <w:rFonts w:ascii="Arial Narrow"/>
                      <w:b/>
                      <w:sz w:val="18"/>
                    </w:rPr>
                  </w:pPr>
                  <w:r>
                    <w:rPr>
                      <w:rFonts w:ascii="Arial Narrow"/>
                      <w:b/>
                      <w:sz w:val="18"/>
                    </w:rPr>
                    <w:t>Net</w:t>
                  </w:r>
                  <w:r>
                    <w:rPr>
                      <w:rFonts w:ascii="Arial Narrow"/>
                      <w:b/>
                      <w:spacing w:val="-3"/>
                      <w:sz w:val="18"/>
                    </w:rPr>
                    <w:t> </w:t>
                  </w:r>
                  <w:r>
                    <w:rPr>
                      <w:rFonts w:ascii="Arial Narrow"/>
                      <w:b/>
                      <w:sz w:val="18"/>
                    </w:rPr>
                    <w:t>Cost</w:t>
                  </w:r>
                  <w:r>
                    <w:rPr>
                      <w:rFonts w:ascii="Arial Narrow"/>
                      <w:b/>
                      <w:spacing w:val="-2"/>
                      <w:sz w:val="18"/>
                    </w:rPr>
                    <w:t> </w:t>
                  </w:r>
                  <w:r>
                    <w:rPr>
                      <w:rFonts w:ascii="Arial Narrow"/>
                      <w:b/>
                      <w:spacing w:val="-5"/>
                      <w:sz w:val="18"/>
                    </w:rPr>
                    <w:t>$M</w:t>
                  </w:r>
                </w:p>
              </w:txbxContent>
            </v:textbox>
            <w10:wrap type="none"/>
          </v:shape>
        </w:pict>
      </w:r>
      <w:r>
        <w:rPr/>
        <w:t>The Budget includes a range of services and initiatives to be funded that will contribute to achieving the strategic</w:t>
      </w:r>
      <w:r>
        <w:rPr>
          <w:spacing w:val="-8"/>
        </w:rPr>
        <w:t> </w:t>
      </w:r>
      <w:r>
        <w:rPr/>
        <w:t>objectives</w:t>
      </w:r>
      <w:r>
        <w:rPr>
          <w:spacing w:val="-8"/>
        </w:rPr>
        <w:t> </w:t>
      </w:r>
      <w:r>
        <w:rPr/>
        <w:t>specified</w:t>
      </w:r>
      <w:r>
        <w:rPr>
          <w:spacing w:val="-6"/>
        </w:rPr>
        <w:t> </w:t>
      </w:r>
      <w:r>
        <w:rPr/>
        <w:t>in</w:t>
      </w:r>
      <w:r>
        <w:rPr>
          <w:spacing w:val="-10"/>
        </w:rPr>
        <w:t> </w:t>
      </w:r>
      <w:r>
        <w:rPr/>
        <w:t>the</w:t>
      </w:r>
      <w:r>
        <w:rPr>
          <w:spacing w:val="-8"/>
        </w:rPr>
        <w:t> </w:t>
      </w:r>
      <w:r>
        <w:rPr/>
        <w:t>Council</w:t>
      </w:r>
      <w:r>
        <w:rPr>
          <w:spacing w:val="-11"/>
        </w:rPr>
        <w:t> </w:t>
      </w:r>
      <w:r>
        <w:rPr/>
        <w:t>Plan.</w:t>
      </w:r>
      <w:r>
        <w:rPr>
          <w:spacing w:val="-8"/>
        </w:rPr>
        <w:t> </w:t>
      </w:r>
      <w:r>
        <w:rPr/>
        <w:t>The</w:t>
      </w:r>
      <w:r>
        <w:rPr>
          <w:spacing w:val="-5"/>
        </w:rPr>
        <w:t> </w:t>
      </w:r>
      <w:r>
        <w:rPr/>
        <w:t>below</w:t>
      </w:r>
      <w:r>
        <w:rPr>
          <w:spacing w:val="-9"/>
        </w:rPr>
        <w:t> </w:t>
      </w:r>
      <w:r>
        <w:rPr/>
        <w:t>graph</w:t>
      </w:r>
      <w:r>
        <w:rPr>
          <w:spacing w:val="-8"/>
        </w:rPr>
        <w:t> </w:t>
      </w:r>
      <w:r>
        <w:rPr/>
        <w:t>shows</w:t>
      </w:r>
      <w:r>
        <w:rPr>
          <w:spacing w:val="-11"/>
        </w:rPr>
        <w:t> </w:t>
      </w:r>
      <w:r>
        <w:rPr/>
        <w:t>the</w:t>
      </w:r>
      <w:r>
        <w:rPr>
          <w:spacing w:val="-6"/>
        </w:rPr>
        <w:t> </w:t>
      </w:r>
      <w:r>
        <w:rPr/>
        <w:t>level</w:t>
      </w:r>
      <w:r>
        <w:rPr>
          <w:spacing w:val="-9"/>
        </w:rPr>
        <w:t> </w:t>
      </w:r>
      <w:r>
        <w:rPr/>
        <w:t>of</w:t>
      </w:r>
      <w:r>
        <w:rPr>
          <w:spacing w:val="-10"/>
        </w:rPr>
        <w:t> </w:t>
      </w:r>
      <w:r>
        <w:rPr/>
        <w:t>funding</w:t>
      </w:r>
      <w:r>
        <w:rPr>
          <w:spacing w:val="-6"/>
        </w:rPr>
        <w:t> </w:t>
      </w:r>
      <w:r>
        <w:rPr/>
        <w:t>allocated</w:t>
      </w:r>
      <w:r>
        <w:rPr>
          <w:spacing w:val="-10"/>
        </w:rPr>
        <w:t> </w:t>
      </w:r>
      <w:r>
        <w:rPr/>
        <w:t>in</w:t>
      </w:r>
      <w:r>
        <w:rPr>
          <w:spacing w:val="-10"/>
        </w:rPr>
        <w:t> </w:t>
      </w:r>
      <w:r>
        <w:rPr/>
        <w:t>the budget to achieve the strategic objectives as set out in the Council Plan for the 2024/2025 year.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r>
        <w:rPr/>
        <w:pict>
          <v:group style="position:absolute;margin-left:84.721947pt;margin-top:13.490098pt;width:433.65pt;height:283pt;mso-position-horizontal-relative:page;mso-position-vertical-relative:paragraph;z-index:-15722496;mso-wrap-distance-left:0;mso-wrap-distance-right:0" id="docshapegroup29" coordorigin="1694,270" coordsize="8673,5660">
            <v:shape style="position:absolute;left:1694;top:269;width:391;height:790" type="#_x0000_t202" id="docshape30" filled="false" stroked="false">
              <v:textbox inset="0,0,0,0">
                <w:txbxContent>
                  <w:p>
                    <w:pPr>
                      <w:spacing w:line="206" w:lineRule="exact" w:before="0"/>
                      <w:ind w:left="0" w:right="0" w:firstLine="0"/>
                      <w:jc w:val="left"/>
                      <w:rPr>
                        <w:rFonts w:ascii="Arial Narrow"/>
                        <w:sz w:val="18"/>
                      </w:rPr>
                    </w:pPr>
                    <w:r>
                      <w:rPr>
                        <w:rFonts w:ascii="Arial Narrow"/>
                        <w:spacing w:val="-2"/>
                        <w:sz w:val="18"/>
                      </w:rPr>
                      <w:t>35.00</w:t>
                    </w:r>
                  </w:p>
                  <w:p>
                    <w:pPr>
                      <w:spacing w:line="240" w:lineRule="auto" w:before="0"/>
                      <w:rPr>
                        <w:rFonts w:ascii="Arial Narrow"/>
                        <w:sz w:val="20"/>
                      </w:rPr>
                    </w:pPr>
                  </w:p>
                  <w:p>
                    <w:pPr>
                      <w:spacing w:before="147"/>
                      <w:ind w:left="0" w:right="0" w:firstLine="0"/>
                      <w:jc w:val="left"/>
                      <w:rPr>
                        <w:rFonts w:ascii="Arial Narrow"/>
                        <w:sz w:val="18"/>
                      </w:rPr>
                    </w:pPr>
                    <w:r>
                      <w:rPr>
                        <w:rFonts w:ascii="Arial Narrow"/>
                        <w:spacing w:val="-2"/>
                        <w:sz w:val="18"/>
                      </w:rPr>
                      <w:t>30.00</w:t>
                    </w:r>
                  </w:p>
                </w:txbxContent>
              </v:textbox>
              <w10:wrap type="none"/>
            </v:shape>
            <v:shape style="position:absolute;left:5488;top:748;width:646;height:466" type="#_x0000_t202" id="docshape31" filled="false" stroked="false">
              <v:textbox inset="0,0,0,0">
                <w:txbxContent>
                  <w:p>
                    <w:pPr>
                      <w:spacing w:before="0"/>
                      <w:ind w:left="292" w:right="0" w:firstLine="0"/>
                      <w:jc w:val="left"/>
                      <w:rPr>
                        <w:rFonts w:ascii="Arial Narrow"/>
                        <w:sz w:val="16"/>
                      </w:rPr>
                    </w:pPr>
                    <w:r>
                      <w:rPr>
                        <w:rFonts w:ascii="Arial Narrow"/>
                        <w:spacing w:val="-2"/>
                        <w:sz w:val="16"/>
                      </w:rPr>
                      <w:t>32.61</w:t>
                    </w:r>
                  </w:p>
                  <w:p>
                    <w:pPr>
                      <w:spacing w:before="97"/>
                      <w:ind w:left="0" w:right="0" w:firstLine="0"/>
                      <w:jc w:val="left"/>
                      <w:rPr>
                        <w:rFonts w:ascii="Arial Narrow"/>
                        <w:sz w:val="16"/>
                      </w:rPr>
                    </w:pPr>
                    <w:r>
                      <w:rPr>
                        <w:rFonts w:ascii="Arial Narrow"/>
                        <w:spacing w:val="-2"/>
                        <w:sz w:val="16"/>
                      </w:rPr>
                      <w:t>30.21</w:t>
                    </w:r>
                  </w:p>
                </w:txbxContent>
              </v:textbox>
              <w10:wrap type="none"/>
            </v:shape>
            <v:shape style="position:absolute;left:1694;top:1438;width:391;height:207" type="#_x0000_t202" id="docshape32" filled="false" stroked="false">
              <v:textbox inset="0,0,0,0">
                <w:txbxContent>
                  <w:p>
                    <w:pPr>
                      <w:spacing w:line="206" w:lineRule="exact" w:before="0"/>
                      <w:ind w:left="0" w:right="0" w:firstLine="0"/>
                      <w:jc w:val="left"/>
                      <w:rPr>
                        <w:rFonts w:ascii="Arial Narrow"/>
                        <w:sz w:val="18"/>
                      </w:rPr>
                    </w:pPr>
                    <w:r>
                      <w:rPr>
                        <w:rFonts w:ascii="Arial Narrow"/>
                        <w:spacing w:val="-2"/>
                        <w:sz w:val="18"/>
                      </w:rPr>
                      <w:t>25.00</w:t>
                    </w:r>
                  </w:p>
                </w:txbxContent>
              </v:textbox>
              <w10:wrap type="none"/>
            </v:shape>
            <v:shape style="position:absolute;left:9873;top:1598;width:353;height:185" type="#_x0000_t202" id="docshape33" filled="false" stroked="false">
              <v:textbox inset="0,0,0,0">
                <w:txbxContent>
                  <w:p>
                    <w:pPr>
                      <w:spacing w:before="0"/>
                      <w:ind w:left="0" w:right="0" w:firstLine="0"/>
                      <w:jc w:val="left"/>
                      <w:rPr>
                        <w:rFonts w:ascii="Arial Narrow"/>
                        <w:sz w:val="16"/>
                      </w:rPr>
                    </w:pPr>
                    <w:r>
                      <w:rPr>
                        <w:rFonts w:ascii="Arial Narrow"/>
                        <w:spacing w:val="-2"/>
                        <w:sz w:val="16"/>
                      </w:rPr>
                      <w:t>25.35</w:t>
                    </w:r>
                  </w:p>
                </w:txbxContent>
              </v:textbox>
              <w10:wrap type="none"/>
            </v:shape>
            <v:shape style="position:absolute;left:1694;top:2024;width:391;height:207" type="#_x0000_t202" id="docshape34" filled="false" stroked="false">
              <v:textbox inset="0,0,0,0">
                <w:txbxContent>
                  <w:p>
                    <w:pPr>
                      <w:spacing w:line="206" w:lineRule="exact" w:before="0"/>
                      <w:ind w:left="0" w:right="0" w:firstLine="0"/>
                      <w:jc w:val="left"/>
                      <w:rPr>
                        <w:rFonts w:ascii="Arial Narrow"/>
                        <w:sz w:val="18"/>
                      </w:rPr>
                    </w:pPr>
                    <w:r>
                      <w:rPr>
                        <w:rFonts w:ascii="Arial Narrow"/>
                        <w:spacing w:val="-2"/>
                        <w:sz w:val="18"/>
                      </w:rPr>
                      <w:t>20.00</w:t>
                    </w:r>
                  </w:p>
                </w:txbxContent>
              </v:textbox>
              <w10:wrap type="none"/>
            </v:shape>
            <v:shape style="position:absolute;left:9580;top:2073;width:353;height:185" type="#_x0000_t202" id="docshape35" filled="false" stroked="false">
              <v:textbox inset="0,0,0,0">
                <w:txbxContent>
                  <w:p>
                    <w:pPr>
                      <w:spacing w:before="0"/>
                      <w:ind w:left="0" w:right="0" w:firstLine="0"/>
                      <w:jc w:val="left"/>
                      <w:rPr>
                        <w:rFonts w:ascii="Arial Narrow"/>
                        <w:sz w:val="16"/>
                      </w:rPr>
                    </w:pPr>
                    <w:r>
                      <w:rPr>
                        <w:rFonts w:ascii="Arial Narrow"/>
                        <w:spacing w:val="-2"/>
                        <w:sz w:val="16"/>
                      </w:rPr>
                      <w:t>21.29</w:t>
                    </w:r>
                  </w:p>
                </w:txbxContent>
              </v:textbox>
              <w10:wrap type="none"/>
            </v:shape>
            <v:shape style="position:absolute;left:1694;top:2609;width:391;height:793" type="#_x0000_t202" id="docshape36" filled="false" stroked="false">
              <v:textbox inset="0,0,0,0">
                <w:txbxContent>
                  <w:p>
                    <w:pPr>
                      <w:spacing w:line="206" w:lineRule="exact" w:before="0"/>
                      <w:ind w:left="0" w:right="0" w:firstLine="0"/>
                      <w:jc w:val="left"/>
                      <w:rPr>
                        <w:rFonts w:ascii="Arial Narrow"/>
                        <w:sz w:val="18"/>
                      </w:rPr>
                    </w:pPr>
                    <w:r>
                      <w:rPr>
                        <w:rFonts w:ascii="Arial Narrow"/>
                        <w:spacing w:val="-2"/>
                        <w:sz w:val="18"/>
                      </w:rPr>
                      <w:t>15.00</w:t>
                    </w:r>
                  </w:p>
                  <w:p>
                    <w:pPr>
                      <w:spacing w:line="240" w:lineRule="auto" w:before="0"/>
                      <w:rPr>
                        <w:rFonts w:ascii="Arial Narrow"/>
                        <w:sz w:val="20"/>
                      </w:rPr>
                    </w:pPr>
                  </w:p>
                  <w:p>
                    <w:pPr>
                      <w:spacing w:before="149"/>
                      <w:ind w:left="0" w:right="0" w:firstLine="0"/>
                      <w:jc w:val="left"/>
                      <w:rPr>
                        <w:rFonts w:ascii="Arial Narrow"/>
                        <w:sz w:val="18"/>
                      </w:rPr>
                    </w:pPr>
                    <w:r>
                      <w:rPr>
                        <w:rFonts w:ascii="Arial Narrow"/>
                        <w:spacing w:val="-2"/>
                        <w:sz w:val="18"/>
                      </w:rPr>
                      <w:t>10.00</w:t>
                    </w:r>
                  </w:p>
                </w:txbxContent>
              </v:textbox>
              <w10:wrap type="none"/>
            </v:shape>
            <v:shape style="position:absolute;left:6549;top:3458;width:572;height:219" type="#_x0000_t202" id="docshape37" filled="false" stroked="false">
              <v:textbox inset="0,0,0,0">
                <w:txbxContent>
                  <w:p>
                    <w:pPr>
                      <w:spacing w:before="0"/>
                      <w:ind w:left="0" w:right="0" w:firstLine="0"/>
                      <w:jc w:val="left"/>
                      <w:rPr>
                        <w:rFonts w:ascii="Arial Narrow"/>
                        <w:sz w:val="16"/>
                      </w:rPr>
                    </w:pPr>
                    <w:r>
                      <w:rPr>
                        <w:rFonts w:ascii="Arial Narrow"/>
                        <w:position w:val="-2"/>
                        <w:sz w:val="16"/>
                      </w:rPr>
                      <w:t>9.18</w:t>
                    </w:r>
                    <w:r>
                      <w:rPr>
                        <w:rFonts w:ascii="Arial Narrow"/>
                        <w:spacing w:val="-2"/>
                        <w:position w:val="-2"/>
                        <w:sz w:val="16"/>
                      </w:rPr>
                      <w:t> </w:t>
                    </w:r>
                    <w:r>
                      <w:rPr>
                        <w:rFonts w:ascii="Arial Narrow"/>
                        <w:spacing w:val="-4"/>
                        <w:sz w:val="16"/>
                      </w:rPr>
                      <w:t>9.46</w:t>
                    </w:r>
                  </w:p>
                </w:txbxContent>
              </v:textbox>
              <w10:wrap type="none"/>
            </v:shape>
            <v:shape style="position:absolute;left:1776;top:3781;width:310;height:207" type="#_x0000_t202" id="docshape38" filled="false" stroked="false">
              <v:textbox inset="0,0,0,0">
                <w:txbxContent>
                  <w:p>
                    <w:pPr>
                      <w:spacing w:line="206" w:lineRule="exact" w:before="0"/>
                      <w:ind w:left="0" w:right="0" w:firstLine="0"/>
                      <w:jc w:val="left"/>
                      <w:rPr>
                        <w:rFonts w:ascii="Arial Narrow"/>
                        <w:sz w:val="18"/>
                      </w:rPr>
                    </w:pPr>
                    <w:r>
                      <w:rPr>
                        <w:rFonts w:ascii="Arial Narrow"/>
                        <w:spacing w:val="-4"/>
                        <w:sz w:val="18"/>
                      </w:rPr>
                      <w:t>5.00</w:t>
                    </w:r>
                  </w:p>
                </w:txbxContent>
              </v:textbox>
              <w10:wrap type="none"/>
            </v:shape>
            <v:shape style="position:absolute;left:2457;top:4065;width:572;height:226" type="#_x0000_t202" id="docshape39" filled="false" stroked="false">
              <v:textbox inset="0,0,0,0">
                <w:txbxContent>
                  <w:p>
                    <w:pPr>
                      <w:spacing w:before="0"/>
                      <w:ind w:left="0" w:right="0" w:firstLine="0"/>
                      <w:jc w:val="left"/>
                      <w:rPr>
                        <w:rFonts w:ascii="Arial Narrow"/>
                        <w:sz w:val="16"/>
                      </w:rPr>
                    </w:pPr>
                    <w:r>
                      <w:rPr>
                        <w:rFonts w:ascii="Arial Narrow"/>
                        <w:position w:val="-3"/>
                        <w:sz w:val="16"/>
                      </w:rPr>
                      <w:t>3.93</w:t>
                    </w:r>
                    <w:r>
                      <w:rPr>
                        <w:rFonts w:ascii="Arial Narrow"/>
                        <w:spacing w:val="-2"/>
                        <w:position w:val="-3"/>
                        <w:sz w:val="16"/>
                      </w:rPr>
                      <w:t> </w:t>
                    </w:r>
                    <w:r>
                      <w:rPr>
                        <w:rFonts w:ascii="Arial Narrow"/>
                        <w:spacing w:val="-4"/>
                        <w:sz w:val="16"/>
                      </w:rPr>
                      <w:t>4.28</w:t>
                    </w:r>
                  </w:p>
                </w:txbxContent>
              </v:textbox>
              <w10:wrap type="none"/>
            </v:shape>
            <v:shape style="position:absolute;left:3479;top:3995;width:572;height:223" type="#_x0000_t202" id="docshape40" filled="false" stroked="false">
              <v:textbox inset="0,0,0,0">
                <w:txbxContent>
                  <w:p>
                    <w:pPr>
                      <w:spacing w:line="222" w:lineRule="exact" w:before="0"/>
                      <w:ind w:left="0" w:right="0" w:firstLine="0"/>
                      <w:jc w:val="left"/>
                      <w:rPr>
                        <w:rFonts w:ascii="Arial Narrow"/>
                        <w:sz w:val="16"/>
                      </w:rPr>
                    </w:pPr>
                    <w:r>
                      <w:rPr>
                        <w:rFonts w:ascii="Arial Narrow"/>
                        <w:position w:val="-3"/>
                        <w:sz w:val="16"/>
                      </w:rPr>
                      <w:t>4.55</w:t>
                    </w:r>
                    <w:r>
                      <w:rPr>
                        <w:rFonts w:ascii="Arial Narrow"/>
                        <w:spacing w:val="-2"/>
                        <w:position w:val="-3"/>
                        <w:sz w:val="16"/>
                      </w:rPr>
                      <w:t> </w:t>
                    </w:r>
                    <w:r>
                      <w:rPr>
                        <w:rFonts w:ascii="Arial Narrow"/>
                        <w:spacing w:val="-4"/>
                        <w:sz w:val="16"/>
                      </w:rPr>
                      <w:t>4.87</w:t>
                    </w:r>
                  </w:p>
                </w:txbxContent>
              </v:textbox>
              <w10:wrap type="none"/>
            </v:shape>
            <v:shape style="position:absolute;left:8596;top:3969;width:572;height:228" type="#_x0000_t202" id="docshape41" filled="false" stroked="false">
              <v:textbox inset="0,0,0,0">
                <w:txbxContent>
                  <w:p>
                    <w:pPr>
                      <w:spacing w:before="0"/>
                      <w:ind w:left="0" w:right="0" w:firstLine="0"/>
                      <w:jc w:val="left"/>
                      <w:rPr>
                        <w:rFonts w:ascii="Arial Narrow"/>
                        <w:sz w:val="16"/>
                      </w:rPr>
                    </w:pPr>
                    <w:r>
                      <w:rPr>
                        <w:rFonts w:ascii="Arial Narrow"/>
                        <w:sz w:val="16"/>
                      </w:rPr>
                      <w:t>5.09</w:t>
                    </w:r>
                    <w:r>
                      <w:rPr>
                        <w:rFonts w:ascii="Arial Narrow"/>
                        <w:spacing w:val="-2"/>
                        <w:sz w:val="16"/>
                      </w:rPr>
                      <w:t> </w:t>
                    </w:r>
                    <w:r>
                      <w:rPr>
                        <w:rFonts w:ascii="Arial Narrow"/>
                        <w:spacing w:val="-4"/>
                        <w:position w:val="-3"/>
                        <w:sz w:val="16"/>
                      </w:rPr>
                      <w:t>4.73</w:t>
                    </w:r>
                  </w:p>
                </w:txbxContent>
              </v:textbox>
              <w10:wrap type="none"/>
            </v:shape>
            <v:shape style="position:absolute;left:4502;top:4202;width:572;height:185" type="#_x0000_t202" id="docshape42" filled="false" stroked="false">
              <v:textbox inset="0,0,0,0">
                <w:txbxContent>
                  <w:p>
                    <w:pPr>
                      <w:spacing w:before="0"/>
                      <w:ind w:left="0" w:right="0" w:firstLine="0"/>
                      <w:jc w:val="left"/>
                      <w:rPr>
                        <w:rFonts w:ascii="Arial Narrow"/>
                        <w:sz w:val="16"/>
                      </w:rPr>
                    </w:pPr>
                    <w:r>
                      <w:rPr>
                        <w:rFonts w:ascii="Arial Narrow"/>
                        <w:sz w:val="16"/>
                      </w:rPr>
                      <w:t>1.36</w:t>
                    </w:r>
                    <w:r>
                      <w:rPr>
                        <w:rFonts w:ascii="Arial Narrow"/>
                        <w:spacing w:val="-2"/>
                        <w:sz w:val="16"/>
                      </w:rPr>
                      <w:t> </w:t>
                    </w:r>
                    <w:r>
                      <w:rPr>
                        <w:rFonts w:ascii="Arial Narrow"/>
                        <w:spacing w:val="-4"/>
                        <w:sz w:val="16"/>
                      </w:rPr>
                      <w:t>1.30</w:t>
                    </w:r>
                  </w:p>
                </w:txbxContent>
              </v:textbox>
              <w10:wrap type="none"/>
            </v:shape>
            <v:shape style="position:absolute;left:7571;top:4146;width:572;height:190" type="#_x0000_t202" id="docshape43" filled="false" stroked="false">
              <v:textbox inset="0,0,0,0">
                <w:txbxContent>
                  <w:p>
                    <w:pPr>
                      <w:spacing w:before="5"/>
                      <w:ind w:left="0" w:right="0" w:firstLine="0"/>
                      <w:jc w:val="left"/>
                      <w:rPr>
                        <w:rFonts w:ascii="Arial Narrow"/>
                        <w:sz w:val="16"/>
                      </w:rPr>
                    </w:pPr>
                    <w:r>
                      <w:rPr>
                        <w:rFonts w:ascii="Arial Narrow"/>
                        <w:sz w:val="16"/>
                      </w:rPr>
                      <w:t>3.55</w:t>
                    </w:r>
                    <w:r>
                      <w:rPr>
                        <w:rFonts w:ascii="Arial Narrow"/>
                        <w:spacing w:val="-2"/>
                        <w:sz w:val="16"/>
                      </w:rPr>
                      <w:t> </w:t>
                    </w:r>
                    <w:r>
                      <w:rPr>
                        <w:rFonts w:ascii="Arial Narrow"/>
                        <w:spacing w:val="-4"/>
                        <w:sz w:val="16"/>
                      </w:rPr>
                      <w:t>3.59</w:t>
                    </w:r>
                  </w:p>
                </w:txbxContent>
              </v:textbox>
              <w10:wrap type="none"/>
            </v:shape>
            <v:shape style="position:absolute;left:1776;top:4366;width:310;height:207" type="#_x0000_t202" id="docshape44" filled="false" stroked="false">
              <v:textbox inset="0,0,0,0">
                <w:txbxContent>
                  <w:p>
                    <w:pPr>
                      <w:spacing w:line="206" w:lineRule="exact" w:before="0"/>
                      <w:ind w:left="0" w:right="0" w:firstLine="0"/>
                      <w:jc w:val="left"/>
                      <w:rPr>
                        <w:rFonts w:ascii="Arial Narrow"/>
                        <w:sz w:val="18"/>
                      </w:rPr>
                    </w:pPr>
                    <w:r>
                      <w:rPr>
                        <w:rFonts w:ascii="Arial Narrow"/>
                        <w:spacing w:val="-4"/>
                        <w:sz w:val="18"/>
                      </w:rPr>
                      <w:t>0.00</w:t>
                    </w:r>
                  </w:p>
                </w:txbxContent>
              </v:textbox>
              <w10:wrap type="none"/>
            </v:shape>
            <v:shape style="position:absolute;left:2244;top:4584;width:8123;height:1345" type="#_x0000_t202" id="docshape45" filled="false" stroked="false">
              <v:textbox inset="0,0,0,0">
                <w:txbxContent>
                  <w:p>
                    <w:pPr>
                      <w:tabs>
                        <w:tab w:pos="1084" w:val="left" w:leader="none"/>
                        <w:tab w:pos="1154" w:val="left" w:leader="none"/>
                        <w:tab w:pos="2179" w:val="left" w:leader="none"/>
                        <w:tab w:pos="3184" w:val="left" w:leader="none"/>
                        <w:tab w:pos="3412" w:val="left" w:leader="none"/>
                        <w:tab w:pos="4075" w:val="left" w:leader="none"/>
                        <w:tab w:pos="4223" w:val="left" w:leader="none"/>
                        <w:tab w:pos="5320" w:val="left" w:leader="none"/>
                        <w:tab w:pos="6225" w:val="left" w:leader="none"/>
                        <w:tab w:pos="6271" w:val="left" w:leader="none"/>
                        <w:tab w:pos="7264" w:val="left" w:leader="none"/>
                        <w:tab w:pos="7454" w:val="left" w:leader="none"/>
                      </w:tabs>
                      <w:spacing w:before="0"/>
                      <w:ind w:left="132" w:right="18" w:hanging="133"/>
                      <w:jc w:val="left"/>
                      <w:rPr>
                        <w:rFonts w:ascii="Arial Narrow"/>
                        <w:sz w:val="18"/>
                      </w:rPr>
                    </w:pPr>
                    <w:r>
                      <w:rPr>
                        <w:rFonts w:ascii="Arial Narrow"/>
                        <w:sz w:val="18"/>
                      </w:rPr>
                      <w:t>A safe, healthy</w:t>
                    </w:r>
                    <w:r>
                      <w:rPr>
                        <w:rFonts w:ascii="Arial Narrow"/>
                        <w:spacing w:val="40"/>
                        <w:sz w:val="18"/>
                      </w:rPr>
                      <w:t> </w:t>
                    </w:r>
                    <w:r>
                      <w:rPr>
                        <w:rFonts w:ascii="Arial Narrow"/>
                        <w:sz w:val="18"/>
                      </w:rPr>
                      <w:t>A prosperous</w:t>
                    </w:r>
                    <w:r>
                      <w:rPr>
                        <w:rFonts w:ascii="Arial Narrow"/>
                        <w:spacing w:val="80"/>
                        <w:sz w:val="18"/>
                      </w:rPr>
                      <w:t> </w:t>
                    </w:r>
                    <w:r>
                      <w:rPr>
                        <w:rFonts w:ascii="Arial Narrow"/>
                        <w:sz w:val="18"/>
                      </w:rPr>
                      <w:t>A vibrant and</w:t>
                    </w:r>
                    <w:r>
                      <w:rPr>
                        <w:rFonts w:ascii="Arial Narrow"/>
                        <w:spacing w:val="40"/>
                        <w:sz w:val="18"/>
                      </w:rPr>
                      <w:t> </w:t>
                    </w:r>
                    <w:r>
                      <w:rPr>
                        <w:rFonts w:ascii="Arial Narrow"/>
                        <w:sz w:val="18"/>
                      </w:rPr>
                      <w:t>A clean, green</w:t>
                    </w:r>
                    <w:r>
                      <w:rPr>
                        <w:rFonts w:ascii="Arial Narrow"/>
                        <w:spacing w:val="40"/>
                        <w:sz w:val="18"/>
                      </w:rPr>
                      <w:t> </w:t>
                    </w:r>
                    <w:r>
                      <w:rPr>
                        <w:rFonts w:ascii="Arial Narrow"/>
                        <w:sz w:val="18"/>
                      </w:rPr>
                      <w:t>An accessible</w:t>
                    </w:r>
                    <w:r>
                      <w:rPr>
                        <w:rFonts w:ascii="Arial Narrow"/>
                        <w:spacing w:val="80"/>
                        <w:sz w:val="18"/>
                      </w:rPr>
                      <w:t> </w:t>
                    </w:r>
                    <w:r>
                      <w:rPr>
                        <w:rFonts w:ascii="Arial Narrow"/>
                        <w:sz w:val="18"/>
                      </w:rPr>
                      <w:t>An attractive,</w:t>
                    </w:r>
                    <w:r>
                      <w:rPr>
                        <w:rFonts w:ascii="Arial Narrow"/>
                        <w:spacing w:val="80"/>
                        <w:w w:val="150"/>
                        <w:sz w:val="18"/>
                      </w:rPr>
                      <w:t> </w:t>
                    </w:r>
                    <w:r>
                      <w:rPr>
                        <w:rFonts w:ascii="Arial Narrow"/>
                        <w:sz w:val="18"/>
                      </w:rPr>
                      <w:t>An inclusive</w:t>
                      <w:tab/>
                      <w:tab/>
                      <w:t>A</w:t>
                    </w:r>
                    <w:r>
                      <w:rPr>
                        <w:rFonts w:ascii="Arial Narrow"/>
                        <w:spacing w:val="-2"/>
                        <w:sz w:val="18"/>
                      </w:rPr>
                      <w:t> </w:t>
                    </w:r>
                    <w:r>
                      <w:rPr>
                        <w:rFonts w:ascii="Arial Narrow"/>
                        <w:sz w:val="18"/>
                      </w:rPr>
                      <w:t>well</w:t>
                    </w:r>
                    <w:r>
                      <w:rPr>
                        <w:rFonts w:ascii="Arial Narrow"/>
                        <w:spacing w:val="40"/>
                        <w:sz w:val="18"/>
                      </w:rPr>
                      <w:t> </w:t>
                    </w:r>
                    <w:r>
                      <w:rPr>
                        <w:rFonts w:ascii="Arial Narrow"/>
                        <w:sz w:val="18"/>
                      </w:rPr>
                      <w:t>and active</w:t>
                      <w:tab/>
                      <w:t>and learning</w:t>
                    </w:r>
                    <w:r>
                      <w:rPr>
                        <w:rFonts w:ascii="Arial Narrow"/>
                        <w:spacing w:val="80"/>
                        <w:w w:val="150"/>
                        <w:sz w:val="18"/>
                      </w:rPr>
                      <w:t> </w:t>
                    </w:r>
                    <w:r>
                      <w:rPr>
                        <w:rFonts w:ascii="Arial Narrow"/>
                        <w:sz w:val="18"/>
                      </w:rPr>
                      <w:t>culturally rich</w:t>
                      <w:tab/>
                      <w:tab/>
                    </w:r>
                    <w:r>
                      <w:rPr>
                        <w:rFonts w:ascii="Arial Narrow"/>
                        <w:spacing w:val="-4"/>
                        <w:sz w:val="18"/>
                      </w:rPr>
                      <w:t>and</w:t>
                    </w:r>
                    <w:r>
                      <w:rPr>
                        <w:rFonts w:ascii="Arial Narrow"/>
                        <w:sz w:val="18"/>
                      </w:rPr>
                      <w:tab/>
                      <w:t>and connected</w:t>
                    </w:r>
                    <w:r>
                      <w:rPr>
                        <w:rFonts w:ascii="Arial Narrow"/>
                        <w:spacing w:val="80"/>
                        <w:sz w:val="18"/>
                      </w:rPr>
                      <w:t> </w:t>
                    </w:r>
                    <w:r>
                      <w:rPr>
                        <w:rFonts w:ascii="Arial Narrow"/>
                        <w:sz w:val="18"/>
                      </w:rPr>
                      <w:t>thriving and</w:t>
                      <w:tab/>
                      <w:t>and</w:t>
                    </w:r>
                    <w:r>
                      <w:rPr>
                        <w:rFonts w:ascii="Arial Narrow"/>
                        <w:spacing w:val="-2"/>
                        <w:sz w:val="18"/>
                      </w:rPr>
                      <w:t> </w:t>
                    </w:r>
                    <w:r>
                      <w:rPr>
                        <w:rFonts w:ascii="Arial Narrow"/>
                        <w:sz w:val="18"/>
                      </w:rPr>
                      <w:t>diverse</w:t>
                    </w:r>
                    <w:r>
                      <w:rPr>
                        <w:rFonts w:ascii="Arial Narrow"/>
                        <w:spacing w:val="80"/>
                        <w:w w:val="150"/>
                        <w:sz w:val="18"/>
                      </w:rPr>
                      <w:t> </w:t>
                    </w:r>
                    <w:r>
                      <w:rPr>
                        <w:rFonts w:ascii="Arial Narrow"/>
                        <w:sz w:val="18"/>
                      </w:rPr>
                      <w:t>governed</w:t>
                    </w:r>
                    <w:r>
                      <w:rPr>
                        <w:rFonts w:ascii="Arial Narrow"/>
                        <w:spacing w:val="-2"/>
                        <w:sz w:val="18"/>
                      </w:rPr>
                      <w:t> </w:t>
                    </w:r>
                    <w:r>
                      <w:rPr>
                        <w:rFonts w:ascii="Arial Narrow"/>
                        <w:sz w:val="18"/>
                      </w:rPr>
                      <w:t>and </w:t>
                    </w:r>
                    <w:r>
                      <w:rPr>
                        <w:rFonts w:ascii="Arial Narrow"/>
                        <w:spacing w:val="-2"/>
                        <w:sz w:val="18"/>
                      </w:rPr>
                      <w:t>community</w:t>
                    </w:r>
                    <w:r>
                      <w:rPr>
                        <w:rFonts w:ascii="Arial Narrow"/>
                        <w:sz w:val="18"/>
                      </w:rPr>
                      <w:tab/>
                      <w:tab/>
                    </w:r>
                    <w:r>
                      <w:rPr>
                        <w:rFonts w:ascii="Arial Narrow"/>
                        <w:spacing w:val="-2"/>
                        <w:sz w:val="18"/>
                      </w:rPr>
                      <w:t>community</w:t>
                    </w:r>
                    <w:r>
                      <w:rPr>
                        <w:rFonts w:ascii="Arial Narrow"/>
                        <w:sz w:val="18"/>
                      </w:rPr>
                      <w:tab/>
                    </w:r>
                    <w:r>
                      <w:rPr>
                        <w:rFonts w:ascii="Arial Narrow"/>
                        <w:spacing w:val="-2"/>
                        <w:sz w:val="18"/>
                      </w:rPr>
                      <w:t>community</w:t>
                    </w:r>
                    <w:r>
                      <w:rPr>
                        <w:rFonts w:ascii="Arial Narrow"/>
                        <w:sz w:val="18"/>
                      </w:rPr>
                      <w:tab/>
                    </w:r>
                    <w:r>
                      <w:rPr>
                        <w:rFonts w:ascii="Arial Narrow"/>
                        <w:spacing w:val="-2"/>
                        <w:sz w:val="18"/>
                      </w:rPr>
                      <w:t>sustainable</w:t>
                    </w:r>
                    <w:r>
                      <w:rPr>
                        <w:rFonts w:ascii="Arial Narrow"/>
                        <w:sz w:val="18"/>
                      </w:rPr>
                      <w:tab/>
                      <w:tab/>
                    </w:r>
                    <w:r>
                      <w:rPr>
                        <w:rFonts w:ascii="Arial Narrow"/>
                        <w:spacing w:val="-2"/>
                        <w:sz w:val="18"/>
                      </w:rPr>
                      <w:t>community</w:t>
                    </w:r>
                    <w:r>
                      <w:rPr>
                        <w:rFonts w:ascii="Arial Narrow"/>
                        <w:sz w:val="18"/>
                      </w:rPr>
                      <w:tab/>
                      <w:t>well</w:t>
                    </w:r>
                    <w:r>
                      <w:rPr>
                        <w:rFonts w:ascii="Arial Narrow"/>
                        <w:spacing w:val="-5"/>
                        <w:sz w:val="18"/>
                      </w:rPr>
                      <w:t> </w:t>
                    </w:r>
                    <w:r>
                      <w:rPr>
                        <w:rFonts w:ascii="Arial Narrow"/>
                        <w:spacing w:val="-2"/>
                        <w:sz w:val="18"/>
                      </w:rPr>
                      <w:t>built</w:t>
                    </w:r>
                    <w:r>
                      <w:rPr>
                        <w:rFonts w:ascii="Arial Narrow"/>
                        <w:sz w:val="18"/>
                      </w:rPr>
                      <w:tab/>
                      <w:tab/>
                    </w:r>
                    <w:r>
                      <w:rPr>
                        <w:rFonts w:ascii="Arial Narrow"/>
                        <w:spacing w:val="-2"/>
                        <w:sz w:val="18"/>
                      </w:rPr>
                      <w:t>community</w:t>
                    </w:r>
                    <w:r>
                      <w:rPr>
                        <w:rFonts w:ascii="Arial Narrow"/>
                        <w:sz w:val="18"/>
                      </w:rPr>
                      <w:tab/>
                    </w:r>
                    <w:r>
                      <w:rPr>
                        <w:rFonts w:ascii="Arial Narrow"/>
                        <w:spacing w:val="-2"/>
                        <w:sz w:val="18"/>
                      </w:rPr>
                      <w:t>empowered</w:t>
                    </w:r>
                  </w:p>
                  <w:p>
                    <w:pPr>
                      <w:tabs>
                        <w:tab w:pos="5248" w:val="left" w:leader="none"/>
                        <w:tab w:pos="7293" w:val="left" w:leader="none"/>
                      </w:tabs>
                      <w:spacing w:line="206" w:lineRule="exact" w:before="0"/>
                      <w:ind w:left="3201" w:right="0" w:firstLine="0"/>
                      <w:jc w:val="left"/>
                      <w:rPr>
                        <w:rFonts w:ascii="Arial Narrow"/>
                        <w:sz w:val="18"/>
                      </w:rPr>
                    </w:pPr>
                    <w:r>
                      <w:rPr>
                        <w:rFonts w:ascii="Arial Narrow"/>
                        <w:spacing w:val="-2"/>
                        <w:sz w:val="18"/>
                      </w:rPr>
                      <w:t>community</w:t>
                    </w:r>
                    <w:r>
                      <w:rPr>
                        <w:rFonts w:ascii="Arial Narrow"/>
                        <w:sz w:val="18"/>
                      </w:rPr>
                      <w:tab/>
                    </w:r>
                    <w:r>
                      <w:rPr>
                        <w:rFonts w:ascii="Arial Narrow"/>
                        <w:spacing w:val="-2"/>
                        <w:sz w:val="18"/>
                      </w:rPr>
                      <w:t>community</w:t>
                    </w:r>
                    <w:r>
                      <w:rPr>
                        <w:rFonts w:ascii="Arial Narrow"/>
                        <w:sz w:val="18"/>
                      </w:rPr>
                      <w:tab/>
                    </w:r>
                    <w:r>
                      <w:rPr>
                        <w:rFonts w:ascii="Arial Narrow"/>
                        <w:spacing w:val="-2"/>
                        <w:sz w:val="18"/>
                      </w:rPr>
                      <w:t>community</w:t>
                    </w:r>
                  </w:p>
                  <w:p>
                    <w:pPr>
                      <w:spacing w:line="240" w:lineRule="auto" w:before="1"/>
                      <w:rPr>
                        <w:rFonts w:ascii="Arial Narrow"/>
                        <w:sz w:val="27"/>
                      </w:rPr>
                    </w:pPr>
                  </w:p>
                  <w:p>
                    <w:pPr>
                      <w:tabs>
                        <w:tab w:pos="1101" w:val="left" w:leader="none"/>
                      </w:tabs>
                      <w:spacing w:before="1"/>
                      <w:ind w:left="0" w:right="40" w:firstLine="0"/>
                      <w:jc w:val="center"/>
                      <w:rPr>
                        <w:rFonts w:ascii="Arial Narrow"/>
                        <w:sz w:val="18"/>
                      </w:rPr>
                    </w:pPr>
                    <w:r>
                      <w:rPr>
                        <w:rFonts w:ascii="Arial Narrow"/>
                        <w:spacing w:val="-2"/>
                        <w:sz w:val="18"/>
                      </w:rPr>
                      <w:t>F2023/2024</w:t>
                    </w:r>
                    <w:r>
                      <w:rPr>
                        <w:rFonts w:ascii="Arial Narrow"/>
                        <w:sz w:val="18"/>
                      </w:rPr>
                      <w:tab/>
                    </w:r>
                    <w:r>
                      <w:rPr>
                        <w:rFonts w:ascii="Arial Narrow"/>
                        <w:spacing w:val="-2"/>
                        <w:sz w:val="18"/>
                      </w:rPr>
                      <w:t>B2024/2025</w:t>
                    </w:r>
                  </w:p>
                </w:txbxContent>
              </v:textbox>
              <w10:wrap type="none"/>
            </v:shape>
            <w10:wrap type="topAndBottom"/>
          </v:group>
        </w:pict>
      </w:r>
    </w:p>
    <w:p>
      <w:pPr>
        <w:pStyle w:val="BodyText"/>
      </w:pPr>
    </w:p>
    <w:p>
      <w:pPr>
        <w:spacing w:before="1"/>
        <w:ind w:left="391" w:right="0" w:firstLine="0"/>
        <w:jc w:val="both"/>
        <w:rPr>
          <w:sz w:val="18"/>
        </w:rPr>
      </w:pPr>
      <w:r>
        <w:rPr>
          <w:sz w:val="18"/>
        </w:rPr>
        <w:t>Source: Section</w:t>
      </w:r>
      <w:r>
        <w:rPr>
          <w:spacing w:val="-2"/>
          <w:sz w:val="18"/>
        </w:rPr>
        <w:t> </w:t>
      </w:r>
      <w:r>
        <w:rPr>
          <w:spacing w:val="-10"/>
          <w:sz w:val="18"/>
        </w:rPr>
        <w:t>2</w:t>
      </w:r>
    </w:p>
    <w:p>
      <w:pPr>
        <w:spacing w:after="0"/>
        <w:jc w:val="both"/>
        <w:rPr>
          <w:sz w:val="18"/>
        </w:rPr>
        <w:sectPr>
          <w:footerReference w:type="default" r:id="rId21"/>
          <w:pgSz w:w="11910" w:h="16840"/>
          <w:pgMar w:footer="426" w:header="0" w:top="340" w:bottom="620" w:left="460" w:right="160"/>
          <w:pgNumType w:start="15"/>
        </w:sectPr>
      </w:pPr>
    </w:p>
    <w:p>
      <w:pPr>
        <w:pStyle w:val="Heading4"/>
        <w:spacing w:before="67"/>
        <w:ind w:left="391" w:firstLine="0"/>
      </w:pPr>
      <w:r>
        <w:rPr>
          <w:color w:val="4966AC"/>
        </w:rPr>
        <w:t>Council</w:t>
      </w:r>
      <w:r>
        <w:rPr>
          <w:color w:val="4966AC"/>
          <w:spacing w:val="-1"/>
        </w:rPr>
        <w:t> </w:t>
      </w:r>
      <w:r>
        <w:rPr>
          <w:color w:val="4966AC"/>
        </w:rPr>
        <w:t>net</w:t>
      </w:r>
      <w:r>
        <w:rPr>
          <w:color w:val="4966AC"/>
          <w:spacing w:val="-1"/>
        </w:rPr>
        <w:t> </w:t>
      </w:r>
      <w:r>
        <w:rPr>
          <w:color w:val="4966AC"/>
        </w:rPr>
        <w:t>expenditure</w:t>
      </w:r>
      <w:r>
        <w:rPr>
          <w:color w:val="4966AC"/>
          <w:spacing w:val="-1"/>
        </w:rPr>
        <w:t> </w:t>
      </w:r>
      <w:r>
        <w:rPr>
          <w:color w:val="4966AC"/>
        </w:rPr>
        <w:t>allocations</w:t>
      </w:r>
      <w:r>
        <w:rPr>
          <w:color w:val="4966AC"/>
          <w:spacing w:val="-1"/>
        </w:rPr>
        <w:t> </w:t>
      </w:r>
      <w:r>
        <w:rPr>
          <w:color w:val="4966AC"/>
        </w:rPr>
        <w:t>per</w:t>
      </w:r>
      <w:r>
        <w:rPr>
          <w:color w:val="4966AC"/>
          <w:spacing w:val="2"/>
        </w:rPr>
        <w:t> </w:t>
      </w:r>
      <w:r>
        <w:rPr>
          <w:color w:val="4966AC"/>
          <w:spacing w:val="-4"/>
        </w:rPr>
        <w:t>$100</w:t>
      </w:r>
    </w:p>
    <w:p>
      <w:pPr>
        <w:pStyle w:val="BodyText"/>
        <w:rPr>
          <w:b/>
          <w:sz w:val="20"/>
        </w:rPr>
      </w:pPr>
    </w:p>
    <w:p>
      <w:pPr>
        <w:pStyle w:val="BodyText"/>
        <w:spacing w:before="6"/>
        <w:rPr>
          <w:b/>
          <w:sz w:val="19"/>
        </w:rPr>
      </w:pPr>
      <w:r>
        <w:rPr/>
        <w:drawing>
          <wp:anchor distT="0" distB="0" distL="0" distR="0" allowOverlap="1" layoutInCell="1" locked="0" behindDoc="0" simplePos="0" relativeHeight="15">
            <wp:simplePos x="0" y="0"/>
            <wp:positionH relativeFrom="page">
              <wp:posOffset>868680</wp:posOffset>
            </wp:positionH>
            <wp:positionV relativeFrom="paragraph">
              <wp:posOffset>158395</wp:posOffset>
            </wp:positionV>
            <wp:extent cx="6004559" cy="4139184"/>
            <wp:effectExtent l="0" t="0" r="0" b="0"/>
            <wp:wrapTopAndBottom/>
            <wp:docPr id="23" name="image25.png"/>
            <wp:cNvGraphicFramePr>
              <a:graphicFrameLocks noChangeAspect="1"/>
            </wp:cNvGraphicFramePr>
            <a:graphic>
              <a:graphicData uri="http://schemas.openxmlformats.org/drawingml/2006/picture">
                <pic:pic>
                  <pic:nvPicPr>
                    <pic:cNvPr id="24" name="image25.png"/>
                    <pic:cNvPicPr/>
                  </pic:nvPicPr>
                  <pic:blipFill>
                    <a:blip r:embed="rId35" cstate="print"/>
                    <a:stretch>
                      <a:fillRect/>
                    </a:stretch>
                  </pic:blipFill>
                  <pic:spPr>
                    <a:xfrm>
                      <a:off x="0" y="0"/>
                      <a:ext cx="6004559" cy="4139184"/>
                    </a:xfrm>
                    <a:prstGeom prst="rect">
                      <a:avLst/>
                    </a:prstGeom>
                  </pic:spPr>
                </pic:pic>
              </a:graphicData>
            </a:graphic>
          </wp:anchor>
        </w:drawing>
      </w:r>
    </w:p>
    <w:p>
      <w:pPr>
        <w:pStyle w:val="BodyText"/>
        <w:rPr>
          <w:b/>
          <w:sz w:val="26"/>
        </w:rPr>
      </w:pPr>
    </w:p>
    <w:p>
      <w:pPr>
        <w:pStyle w:val="BodyText"/>
        <w:spacing w:before="157"/>
        <w:ind w:left="391" w:right="376"/>
      </w:pPr>
      <w:r>
        <w:rPr/>
        <w:t>The</w:t>
      </w:r>
      <w:r>
        <w:rPr>
          <w:spacing w:val="-9"/>
        </w:rPr>
        <w:t> </w:t>
      </w:r>
      <w:r>
        <w:rPr/>
        <w:t>above</w:t>
      </w:r>
      <w:r>
        <w:rPr>
          <w:spacing w:val="-12"/>
        </w:rPr>
        <w:t> </w:t>
      </w:r>
      <w:r>
        <w:rPr/>
        <w:t>chart</w:t>
      </w:r>
      <w:r>
        <w:rPr>
          <w:spacing w:val="-11"/>
        </w:rPr>
        <w:t> </w:t>
      </w:r>
      <w:r>
        <w:rPr/>
        <w:t>provides</w:t>
      </w:r>
      <w:r>
        <w:rPr>
          <w:spacing w:val="-9"/>
        </w:rPr>
        <w:t> </w:t>
      </w:r>
      <w:r>
        <w:rPr/>
        <w:t>an</w:t>
      </w:r>
      <w:r>
        <w:rPr>
          <w:spacing w:val="-11"/>
        </w:rPr>
        <w:t> </w:t>
      </w:r>
      <w:r>
        <w:rPr/>
        <w:t>indication</w:t>
      </w:r>
      <w:r>
        <w:rPr>
          <w:spacing w:val="-9"/>
        </w:rPr>
        <w:t> </w:t>
      </w:r>
      <w:r>
        <w:rPr/>
        <w:t>of</w:t>
      </w:r>
      <w:r>
        <w:rPr>
          <w:spacing w:val="-11"/>
        </w:rPr>
        <w:t> </w:t>
      </w:r>
      <w:r>
        <w:rPr/>
        <w:t>how</w:t>
      </w:r>
      <w:r>
        <w:rPr>
          <w:spacing w:val="-9"/>
        </w:rPr>
        <w:t> </w:t>
      </w:r>
      <w:r>
        <w:rPr/>
        <w:t>Council</w:t>
      </w:r>
      <w:r>
        <w:rPr>
          <w:spacing w:val="-11"/>
        </w:rPr>
        <w:t> </w:t>
      </w:r>
      <w:r>
        <w:rPr/>
        <w:t>allocates</w:t>
      </w:r>
      <w:r>
        <w:rPr>
          <w:spacing w:val="-9"/>
        </w:rPr>
        <w:t> </w:t>
      </w:r>
      <w:r>
        <w:rPr/>
        <w:t>its</w:t>
      </w:r>
      <w:r>
        <w:rPr>
          <w:spacing w:val="-9"/>
        </w:rPr>
        <w:t> </w:t>
      </w:r>
      <w:r>
        <w:rPr/>
        <w:t>expenditure</w:t>
      </w:r>
      <w:r>
        <w:rPr>
          <w:spacing w:val="-11"/>
        </w:rPr>
        <w:t> </w:t>
      </w:r>
      <w:r>
        <w:rPr/>
        <w:t>across</w:t>
      </w:r>
      <w:r>
        <w:rPr>
          <w:spacing w:val="-13"/>
        </w:rPr>
        <w:t> </w:t>
      </w:r>
      <w:r>
        <w:rPr/>
        <w:t>the</w:t>
      </w:r>
      <w:r>
        <w:rPr>
          <w:spacing w:val="-12"/>
        </w:rPr>
        <w:t> </w:t>
      </w:r>
      <w:r>
        <w:rPr/>
        <w:t>main</w:t>
      </w:r>
      <w:r>
        <w:rPr>
          <w:spacing w:val="-12"/>
        </w:rPr>
        <w:t> </w:t>
      </w:r>
      <w:r>
        <w:rPr/>
        <w:t>services</w:t>
      </w:r>
      <w:r>
        <w:rPr>
          <w:spacing w:val="-9"/>
        </w:rPr>
        <w:t> </w:t>
      </w:r>
      <w:r>
        <w:rPr/>
        <w:t>that it delivers.</w:t>
      </w:r>
      <w:r>
        <w:rPr>
          <w:spacing w:val="40"/>
        </w:rPr>
        <w:t> </w:t>
      </w:r>
      <w:r>
        <w:rPr/>
        <w:t>It shows how much is allocated to each service for every $100 that Council spends.</w:t>
      </w:r>
    </w:p>
    <w:p>
      <w:pPr>
        <w:pStyle w:val="BodyText"/>
        <w:spacing w:before="11"/>
        <w:rPr>
          <w:sz w:val="21"/>
        </w:rPr>
      </w:pPr>
    </w:p>
    <w:p>
      <w:pPr>
        <w:pStyle w:val="BodyText"/>
        <w:ind w:left="391"/>
      </w:pPr>
      <w:r>
        <w:rPr/>
        <w:t>This budget has been developed through a rigorous process of consultation and review and management </w:t>
      </w:r>
      <w:r>
        <w:rPr>
          <w:spacing w:val="-2"/>
        </w:rPr>
        <w:t>endorses</w:t>
      </w:r>
      <w:r>
        <w:rPr>
          <w:spacing w:val="-3"/>
        </w:rPr>
        <w:t> </w:t>
      </w:r>
      <w:r>
        <w:rPr>
          <w:spacing w:val="-2"/>
        </w:rPr>
        <w:t>it</w:t>
      </w:r>
      <w:r>
        <w:rPr>
          <w:spacing w:val="-3"/>
        </w:rPr>
        <w:t> </w:t>
      </w:r>
      <w:r>
        <w:rPr>
          <w:spacing w:val="-2"/>
        </w:rPr>
        <w:t>as</w:t>
      </w:r>
      <w:r>
        <w:rPr>
          <w:spacing w:val="-5"/>
        </w:rPr>
        <w:t> </w:t>
      </w:r>
      <w:r>
        <w:rPr>
          <w:spacing w:val="-2"/>
        </w:rPr>
        <w:t>financially</w:t>
      </w:r>
      <w:r>
        <w:rPr>
          <w:spacing w:val="-6"/>
        </w:rPr>
        <w:t> </w:t>
      </w:r>
      <w:r>
        <w:rPr>
          <w:spacing w:val="-2"/>
        </w:rPr>
        <w:t>responsible.</w:t>
      </w:r>
      <w:r>
        <w:rPr>
          <w:spacing w:val="-5"/>
        </w:rPr>
        <w:t> </w:t>
      </w:r>
      <w:r>
        <w:rPr>
          <w:spacing w:val="-2"/>
        </w:rPr>
        <w:t>More</w:t>
      </w:r>
      <w:r>
        <w:rPr>
          <w:spacing w:val="-8"/>
        </w:rPr>
        <w:t> </w:t>
      </w:r>
      <w:r>
        <w:rPr>
          <w:spacing w:val="-2"/>
        </w:rPr>
        <w:t>detailed</w:t>
      </w:r>
      <w:r>
        <w:rPr>
          <w:spacing w:val="-4"/>
        </w:rPr>
        <w:t> </w:t>
      </w:r>
      <w:r>
        <w:rPr>
          <w:spacing w:val="-2"/>
        </w:rPr>
        <w:t>budget information</w:t>
      </w:r>
      <w:r>
        <w:rPr>
          <w:spacing w:val="-3"/>
        </w:rPr>
        <w:t> </w:t>
      </w:r>
      <w:r>
        <w:rPr>
          <w:spacing w:val="-2"/>
        </w:rPr>
        <w:t>is</w:t>
      </w:r>
      <w:r>
        <w:rPr>
          <w:spacing w:val="-6"/>
        </w:rPr>
        <w:t> </w:t>
      </w:r>
      <w:r>
        <w:rPr>
          <w:spacing w:val="-2"/>
        </w:rPr>
        <w:t>available</w:t>
      </w:r>
      <w:r>
        <w:rPr>
          <w:spacing w:val="-4"/>
        </w:rPr>
        <w:t> </w:t>
      </w:r>
      <w:r>
        <w:rPr>
          <w:spacing w:val="-2"/>
        </w:rPr>
        <w:t>throughout</w:t>
      </w:r>
      <w:r>
        <w:rPr>
          <w:spacing w:val="-5"/>
        </w:rPr>
        <w:t> </w:t>
      </w:r>
      <w:r>
        <w:rPr>
          <w:spacing w:val="-2"/>
        </w:rPr>
        <w:t>this</w:t>
      </w:r>
      <w:r>
        <w:rPr>
          <w:spacing w:val="-7"/>
        </w:rPr>
        <w:t> </w:t>
      </w:r>
      <w:r>
        <w:rPr>
          <w:spacing w:val="-2"/>
        </w:rPr>
        <w:t>document.</w:t>
      </w:r>
    </w:p>
    <w:p>
      <w:pPr>
        <w:spacing w:after="0"/>
        <w:sectPr>
          <w:pgSz w:w="11910" w:h="16840"/>
          <w:pgMar w:header="0" w:footer="426" w:top="340" w:bottom="620" w:left="460" w:right="160"/>
        </w:sectPr>
      </w:pPr>
    </w:p>
    <w:p>
      <w:pPr>
        <w:pStyle w:val="Heading1"/>
        <w:numPr>
          <w:ilvl w:val="0"/>
          <w:numId w:val="11"/>
        </w:numPr>
        <w:tabs>
          <w:tab w:pos="1034" w:val="left" w:leader="none"/>
          <w:tab w:pos="1035" w:val="left" w:leader="none"/>
        </w:tabs>
        <w:spacing w:line="240" w:lineRule="auto" w:before="68" w:after="0"/>
        <w:ind w:left="1035" w:right="1839" w:hanging="644"/>
        <w:jc w:val="left"/>
      </w:pPr>
      <w:bookmarkStart w:name="_TOC_250005" w:id="8"/>
      <w:r>
        <w:rPr>
          <w:color w:val="4966AC"/>
        </w:rPr>
        <w:t>Link</w:t>
      </w:r>
      <w:r>
        <w:rPr>
          <w:color w:val="4966AC"/>
          <w:spacing w:val="-3"/>
        </w:rPr>
        <w:t> </w:t>
      </w:r>
      <w:r>
        <w:rPr>
          <w:color w:val="4966AC"/>
        </w:rPr>
        <w:t>to</w:t>
      </w:r>
      <w:r>
        <w:rPr>
          <w:color w:val="4966AC"/>
          <w:spacing w:val="-7"/>
        </w:rPr>
        <w:t> </w:t>
      </w:r>
      <w:r>
        <w:rPr>
          <w:color w:val="4966AC"/>
        </w:rPr>
        <w:t>the</w:t>
      </w:r>
      <w:r>
        <w:rPr>
          <w:color w:val="4966AC"/>
          <w:spacing w:val="-5"/>
        </w:rPr>
        <w:t> </w:t>
      </w:r>
      <w:r>
        <w:rPr>
          <w:color w:val="4966AC"/>
        </w:rPr>
        <w:t>Integrated</w:t>
      </w:r>
      <w:r>
        <w:rPr>
          <w:color w:val="4966AC"/>
          <w:spacing w:val="-4"/>
        </w:rPr>
        <w:t> </w:t>
      </w:r>
      <w:r>
        <w:rPr>
          <w:color w:val="4966AC"/>
        </w:rPr>
        <w:t>Strategic</w:t>
      </w:r>
      <w:r>
        <w:rPr>
          <w:color w:val="4966AC"/>
          <w:spacing w:val="-3"/>
        </w:rPr>
        <w:t> </w:t>
      </w:r>
      <w:r>
        <w:rPr>
          <w:color w:val="4966AC"/>
        </w:rPr>
        <w:t>Planning</w:t>
      </w:r>
      <w:r>
        <w:rPr>
          <w:color w:val="4966AC"/>
          <w:spacing w:val="-7"/>
        </w:rPr>
        <w:t> </w:t>
      </w:r>
      <w:r>
        <w:rPr>
          <w:color w:val="4966AC"/>
        </w:rPr>
        <w:t>and</w:t>
      </w:r>
      <w:r>
        <w:rPr>
          <w:color w:val="4966AC"/>
          <w:spacing w:val="-5"/>
        </w:rPr>
        <w:t> </w:t>
      </w:r>
      <w:r>
        <w:rPr>
          <w:color w:val="4966AC"/>
        </w:rPr>
        <w:t>Reporting </w:t>
      </w:r>
      <w:bookmarkEnd w:id="8"/>
      <w:r>
        <w:rPr>
          <w:color w:val="4966AC"/>
          <w:spacing w:val="-2"/>
        </w:rPr>
        <w:t>Framework</w:t>
      </w:r>
    </w:p>
    <w:p>
      <w:pPr>
        <w:pStyle w:val="BodyText"/>
        <w:spacing w:before="253"/>
        <w:ind w:left="391" w:right="400"/>
        <w:jc w:val="both"/>
      </w:pPr>
      <w:r>
        <w:rPr/>
        <w:t>This section describes how the Budget links to the achievement of the Council Plan within Council’s overall integrated strategic planning and reporting framework. This framework guides Council in identifying community needs and aspirations over the long term (Maroondah 2040 Community Vision, Financial Plan and Asset Plan), medium term (Council Plan 2021-2025 and Revenue and Rating Plan) and short term (Service Delivery Plans and Budget) and subsequently holding itself accountable (Annual Report).</w:t>
      </w:r>
    </w:p>
    <w:p>
      <w:pPr>
        <w:pStyle w:val="BodyText"/>
        <w:spacing w:before="1"/>
        <w:rPr>
          <w:sz w:val="28"/>
        </w:rPr>
      </w:pPr>
    </w:p>
    <w:p>
      <w:pPr>
        <w:pStyle w:val="Heading2"/>
        <w:numPr>
          <w:ilvl w:val="1"/>
          <w:numId w:val="11"/>
        </w:numPr>
        <w:tabs>
          <w:tab w:pos="861" w:val="left" w:leader="none"/>
        </w:tabs>
        <w:spacing w:line="240" w:lineRule="auto" w:before="0" w:after="0"/>
        <w:ind w:left="860" w:right="0" w:hanging="470"/>
        <w:jc w:val="left"/>
      </w:pPr>
      <w:r>
        <w:rPr>
          <w:color w:val="4966AC"/>
        </w:rPr>
        <w:t>Legislative</w:t>
      </w:r>
      <w:r>
        <w:rPr>
          <w:color w:val="4966AC"/>
          <w:spacing w:val="-11"/>
        </w:rPr>
        <w:t> </w:t>
      </w:r>
      <w:r>
        <w:rPr>
          <w:color w:val="4966AC"/>
        </w:rPr>
        <w:t>planning</w:t>
      </w:r>
      <w:r>
        <w:rPr>
          <w:color w:val="4966AC"/>
          <w:spacing w:val="-2"/>
        </w:rPr>
        <w:t> </w:t>
      </w:r>
      <w:r>
        <w:rPr>
          <w:color w:val="4966AC"/>
        </w:rPr>
        <w:t>and</w:t>
      </w:r>
      <w:r>
        <w:rPr>
          <w:color w:val="4966AC"/>
          <w:spacing w:val="-4"/>
        </w:rPr>
        <w:t> </w:t>
      </w:r>
      <w:r>
        <w:rPr>
          <w:color w:val="4966AC"/>
        </w:rPr>
        <w:t>accountability</w:t>
      </w:r>
      <w:r>
        <w:rPr>
          <w:color w:val="4966AC"/>
          <w:spacing w:val="-5"/>
        </w:rPr>
        <w:t> </w:t>
      </w:r>
      <w:r>
        <w:rPr>
          <w:color w:val="4966AC"/>
          <w:spacing w:val="-2"/>
        </w:rPr>
        <w:t>framework</w:t>
      </w:r>
    </w:p>
    <w:p>
      <w:pPr>
        <w:pStyle w:val="BodyText"/>
        <w:spacing w:before="229"/>
        <w:ind w:left="391" w:right="398"/>
        <w:jc w:val="both"/>
      </w:pPr>
      <w:r>
        <w:rPr/>
        <w:t>The Budget is a rolling four-year plan that outlines the financial and non-financial resources that Council requires to achieve the strategic objectives described in the Council Plan. The diagram below depicts the integrated planning framework used at Maroondah City Council. At each stage of the framework there are opportunities for community and stakeholder input. This is important to ensure transparency and accountability to both residents and ratepayers.</w:t>
      </w:r>
    </w:p>
    <w:p>
      <w:pPr>
        <w:pStyle w:val="BodyText"/>
        <w:spacing w:before="9"/>
        <w:rPr>
          <w:sz w:val="19"/>
        </w:rPr>
      </w:pPr>
      <w:r>
        <w:rPr/>
        <w:drawing>
          <wp:anchor distT="0" distB="0" distL="0" distR="0" allowOverlap="1" layoutInCell="1" locked="0" behindDoc="0" simplePos="0" relativeHeight="16">
            <wp:simplePos x="0" y="0"/>
            <wp:positionH relativeFrom="page">
              <wp:posOffset>541019</wp:posOffset>
            </wp:positionH>
            <wp:positionV relativeFrom="paragraph">
              <wp:posOffset>160103</wp:posOffset>
            </wp:positionV>
            <wp:extent cx="6591299" cy="5905500"/>
            <wp:effectExtent l="0" t="0" r="0" b="0"/>
            <wp:wrapTopAndBottom/>
            <wp:docPr id="25" name="image26.png"/>
            <wp:cNvGraphicFramePr>
              <a:graphicFrameLocks noChangeAspect="1"/>
            </wp:cNvGraphicFramePr>
            <a:graphic>
              <a:graphicData uri="http://schemas.openxmlformats.org/drawingml/2006/picture">
                <pic:pic>
                  <pic:nvPicPr>
                    <pic:cNvPr id="26" name="image26.png"/>
                    <pic:cNvPicPr/>
                  </pic:nvPicPr>
                  <pic:blipFill>
                    <a:blip r:embed="rId36" cstate="print"/>
                    <a:stretch>
                      <a:fillRect/>
                    </a:stretch>
                  </pic:blipFill>
                  <pic:spPr>
                    <a:xfrm>
                      <a:off x="0" y="0"/>
                      <a:ext cx="6591299" cy="5905500"/>
                    </a:xfrm>
                    <a:prstGeom prst="rect">
                      <a:avLst/>
                    </a:prstGeom>
                  </pic:spPr>
                </pic:pic>
              </a:graphicData>
            </a:graphic>
          </wp:anchor>
        </w:drawing>
      </w:r>
    </w:p>
    <w:p>
      <w:pPr>
        <w:spacing w:before="0"/>
        <w:ind w:left="2361" w:right="2372" w:firstLine="0"/>
        <w:jc w:val="center"/>
        <w:rPr>
          <w:i/>
          <w:sz w:val="22"/>
        </w:rPr>
      </w:pPr>
      <w:r>
        <w:rPr>
          <w:i/>
          <w:sz w:val="22"/>
        </w:rPr>
        <w:t>Figure</w:t>
      </w:r>
      <w:r>
        <w:rPr>
          <w:i/>
          <w:spacing w:val="-5"/>
          <w:sz w:val="22"/>
        </w:rPr>
        <w:t> </w:t>
      </w:r>
      <w:r>
        <w:rPr>
          <w:i/>
          <w:sz w:val="22"/>
        </w:rPr>
        <w:t>1:</w:t>
      </w:r>
      <w:r>
        <w:rPr>
          <w:i/>
          <w:spacing w:val="-6"/>
          <w:sz w:val="22"/>
        </w:rPr>
        <w:t> </w:t>
      </w:r>
      <w:r>
        <w:rPr>
          <w:i/>
          <w:sz w:val="22"/>
        </w:rPr>
        <w:t>Maroondah</w:t>
      </w:r>
      <w:r>
        <w:rPr>
          <w:i/>
          <w:spacing w:val="-6"/>
          <w:sz w:val="22"/>
        </w:rPr>
        <w:t> </w:t>
      </w:r>
      <w:r>
        <w:rPr>
          <w:i/>
          <w:sz w:val="22"/>
        </w:rPr>
        <w:t>City</w:t>
      </w:r>
      <w:r>
        <w:rPr>
          <w:i/>
          <w:spacing w:val="-4"/>
          <w:sz w:val="22"/>
        </w:rPr>
        <w:t> </w:t>
      </w:r>
      <w:r>
        <w:rPr>
          <w:i/>
          <w:sz w:val="22"/>
        </w:rPr>
        <w:t>Council’s</w:t>
      </w:r>
      <w:r>
        <w:rPr>
          <w:i/>
          <w:spacing w:val="-4"/>
          <w:sz w:val="22"/>
        </w:rPr>
        <w:t> </w:t>
      </w:r>
      <w:r>
        <w:rPr>
          <w:i/>
          <w:sz w:val="22"/>
        </w:rPr>
        <w:t>Integrated</w:t>
      </w:r>
      <w:r>
        <w:rPr>
          <w:i/>
          <w:spacing w:val="-6"/>
          <w:sz w:val="22"/>
        </w:rPr>
        <w:t> </w:t>
      </w:r>
      <w:r>
        <w:rPr>
          <w:i/>
          <w:sz w:val="22"/>
        </w:rPr>
        <w:t>Planning</w:t>
      </w:r>
      <w:r>
        <w:rPr>
          <w:i/>
          <w:spacing w:val="-2"/>
          <w:sz w:val="22"/>
        </w:rPr>
        <w:t> Framework</w:t>
      </w:r>
    </w:p>
    <w:p>
      <w:pPr>
        <w:spacing w:after="0"/>
        <w:jc w:val="center"/>
        <w:rPr>
          <w:sz w:val="22"/>
        </w:rPr>
        <w:sectPr>
          <w:pgSz w:w="11910" w:h="16840"/>
          <w:pgMar w:header="0" w:footer="426" w:top="340" w:bottom="620" w:left="460" w:right="160"/>
        </w:sectPr>
      </w:pPr>
    </w:p>
    <w:p>
      <w:pPr>
        <w:spacing w:before="69"/>
        <w:ind w:left="391" w:right="400" w:firstLine="0"/>
        <w:jc w:val="both"/>
        <w:rPr>
          <w:sz w:val="22"/>
        </w:rPr>
      </w:pPr>
      <w:r>
        <w:rPr>
          <w:sz w:val="22"/>
        </w:rPr>
        <w:t>Council’s framework</w:t>
      </w:r>
      <w:r>
        <w:rPr>
          <w:spacing w:val="-2"/>
          <w:sz w:val="22"/>
        </w:rPr>
        <w:t> </w:t>
      </w:r>
      <w:r>
        <w:rPr>
          <w:sz w:val="22"/>
        </w:rPr>
        <w:t>is</w:t>
      </w:r>
      <w:r>
        <w:rPr>
          <w:spacing w:val="-2"/>
          <w:sz w:val="22"/>
        </w:rPr>
        <w:t> </w:t>
      </w:r>
      <w:r>
        <w:rPr>
          <w:sz w:val="22"/>
        </w:rPr>
        <w:t>underpinned by</w:t>
      </w:r>
      <w:r>
        <w:rPr>
          <w:spacing w:val="-4"/>
          <w:sz w:val="22"/>
        </w:rPr>
        <w:t> </w:t>
      </w:r>
      <w:r>
        <w:rPr>
          <w:sz w:val="22"/>
        </w:rPr>
        <w:t>the</w:t>
      </w:r>
      <w:r>
        <w:rPr>
          <w:spacing w:val="-1"/>
          <w:sz w:val="22"/>
        </w:rPr>
        <w:t> </w:t>
      </w:r>
      <w:r>
        <w:rPr>
          <w:sz w:val="22"/>
        </w:rPr>
        <w:t>shared long-term</w:t>
      </w:r>
      <w:r>
        <w:rPr>
          <w:spacing w:val="-2"/>
          <w:sz w:val="22"/>
        </w:rPr>
        <w:t> </w:t>
      </w:r>
      <w:r>
        <w:rPr>
          <w:sz w:val="22"/>
        </w:rPr>
        <w:t>community</w:t>
      </w:r>
      <w:r>
        <w:rPr>
          <w:spacing w:val="-2"/>
          <w:sz w:val="22"/>
        </w:rPr>
        <w:t> </w:t>
      </w:r>
      <w:r>
        <w:rPr>
          <w:sz w:val="22"/>
        </w:rPr>
        <w:t>vision detailed</w:t>
      </w:r>
      <w:r>
        <w:rPr>
          <w:spacing w:val="40"/>
          <w:sz w:val="22"/>
        </w:rPr>
        <w:t> </w:t>
      </w:r>
      <w:r>
        <w:rPr>
          <w:sz w:val="22"/>
        </w:rPr>
        <w:t>in</w:t>
      </w:r>
      <w:r>
        <w:rPr>
          <w:spacing w:val="-3"/>
          <w:sz w:val="22"/>
        </w:rPr>
        <w:t> </w:t>
      </w:r>
      <w:r>
        <w:rPr>
          <w:i/>
          <w:sz w:val="22"/>
        </w:rPr>
        <w:t>Maroondah 2040</w:t>
      </w:r>
      <w:r>
        <w:rPr>
          <w:i/>
          <w:sz w:val="22"/>
        </w:rPr>
        <w:t> ‘Our</w:t>
      </w:r>
      <w:r>
        <w:rPr>
          <w:i/>
          <w:spacing w:val="-2"/>
          <w:sz w:val="22"/>
        </w:rPr>
        <w:t> </w:t>
      </w:r>
      <w:r>
        <w:rPr>
          <w:i/>
          <w:sz w:val="22"/>
        </w:rPr>
        <w:t>Future</w:t>
      </w:r>
      <w:r>
        <w:rPr>
          <w:i/>
          <w:spacing w:val="-8"/>
          <w:sz w:val="22"/>
        </w:rPr>
        <w:t> </w:t>
      </w:r>
      <w:r>
        <w:rPr>
          <w:i/>
          <w:sz w:val="22"/>
        </w:rPr>
        <w:t>Together’</w:t>
      </w:r>
      <w:r>
        <w:rPr>
          <w:sz w:val="22"/>
        </w:rPr>
        <w:t>.</w:t>
      </w:r>
      <w:r>
        <w:rPr>
          <w:spacing w:val="40"/>
          <w:sz w:val="22"/>
        </w:rPr>
        <w:t> </w:t>
      </w:r>
      <w:r>
        <w:rPr>
          <w:sz w:val="22"/>
        </w:rPr>
        <w:t>Council</w:t>
      </w:r>
      <w:r>
        <w:rPr>
          <w:spacing w:val="-4"/>
          <w:sz w:val="22"/>
        </w:rPr>
        <w:t> </w:t>
      </w:r>
      <w:r>
        <w:rPr>
          <w:sz w:val="22"/>
        </w:rPr>
        <w:t>has</w:t>
      </w:r>
      <w:r>
        <w:rPr>
          <w:spacing w:val="-4"/>
          <w:sz w:val="22"/>
        </w:rPr>
        <w:t> </w:t>
      </w:r>
      <w:r>
        <w:rPr>
          <w:sz w:val="22"/>
        </w:rPr>
        <w:t>recently</w:t>
      </w:r>
      <w:r>
        <w:rPr>
          <w:spacing w:val="-2"/>
          <w:sz w:val="22"/>
        </w:rPr>
        <w:t> </w:t>
      </w:r>
      <w:r>
        <w:rPr>
          <w:sz w:val="22"/>
        </w:rPr>
        <w:t>undertaken</w:t>
      </w:r>
      <w:r>
        <w:rPr>
          <w:spacing w:val="-4"/>
          <w:sz w:val="22"/>
        </w:rPr>
        <w:t> </w:t>
      </w:r>
      <w:r>
        <w:rPr>
          <w:sz w:val="22"/>
        </w:rPr>
        <w:t>a</w:t>
      </w:r>
      <w:r>
        <w:rPr>
          <w:spacing w:val="-8"/>
          <w:sz w:val="22"/>
        </w:rPr>
        <w:t> </w:t>
      </w:r>
      <w:r>
        <w:rPr>
          <w:sz w:val="22"/>
        </w:rPr>
        <w:t>review</w:t>
      </w:r>
      <w:r>
        <w:rPr>
          <w:spacing w:val="-4"/>
          <w:sz w:val="22"/>
        </w:rPr>
        <w:t> </w:t>
      </w:r>
      <w:r>
        <w:rPr>
          <w:sz w:val="22"/>
        </w:rPr>
        <w:t>of</w:t>
      </w:r>
      <w:r>
        <w:rPr>
          <w:spacing w:val="-4"/>
          <w:sz w:val="22"/>
        </w:rPr>
        <w:t> </w:t>
      </w:r>
      <w:r>
        <w:rPr>
          <w:i/>
          <w:sz w:val="22"/>
        </w:rPr>
        <w:t>Maroondah</w:t>
      </w:r>
      <w:r>
        <w:rPr>
          <w:i/>
          <w:spacing w:val="-4"/>
          <w:sz w:val="22"/>
        </w:rPr>
        <w:t> </w:t>
      </w:r>
      <w:r>
        <w:rPr>
          <w:i/>
          <w:sz w:val="22"/>
        </w:rPr>
        <w:t>2040</w:t>
      </w:r>
      <w:r>
        <w:rPr>
          <w:i/>
          <w:spacing w:val="-4"/>
          <w:sz w:val="22"/>
        </w:rPr>
        <w:t> </w:t>
      </w:r>
      <w:r>
        <w:rPr>
          <w:i/>
          <w:sz w:val="22"/>
        </w:rPr>
        <w:t>‘Our</w:t>
      </w:r>
      <w:r>
        <w:rPr>
          <w:i/>
          <w:spacing w:val="-4"/>
          <w:sz w:val="22"/>
        </w:rPr>
        <w:t> </w:t>
      </w:r>
      <w:r>
        <w:rPr>
          <w:i/>
          <w:sz w:val="22"/>
        </w:rPr>
        <w:t>future</w:t>
      </w:r>
      <w:r>
        <w:rPr>
          <w:i/>
          <w:spacing w:val="-8"/>
          <w:sz w:val="22"/>
        </w:rPr>
        <w:t> </w:t>
      </w:r>
      <w:r>
        <w:rPr>
          <w:i/>
          <w:sz w:val="22"/>
        </w:rPr>
        <w:t>together’</w:t>
      </w:r>
      <w:r>
        <w:rPr>
          <w:i/>
          <w:spacing w:val="-5"/>
          <w:sz w:val="22"/>
        </w:rPr>
        <w:t> </w:t>
      </w:r>
      <w:r>
        <w:rPr>
          <w:sz w:val="22"/>
        </w:rPr>
        <w:t>in consultation with the Maroondah community. The refreshed Community Vision was adopted in June 2021.</w:t>
      </w:r>
    </w:p>
    <w:p>
      <w:pPr>
        <w:pStyle w:val="BodyText"/>
        <w:spacing w:before="9"/>
        <w:rPr>
          <w:sz w:val="21"/>
        </w:rPr>
      </w:pPr>
    </w:p>
    <w:p>
      <w:pPr>
        <w:pStyle w:val="BodyText"/>
        <w:spacing w:before="1"/>
        <w:ind w:left="391" w:right="400"/>
        <w:jc w:val="both"/>
      </w:pPr>
      <w:r>
        <w:rPr/>
        <w:t>The community aspirations and priorities for the future of Maroondah have been grouped into eight broad outcome areas that provide the structure for the Council Plan 2021-2025 (Council Plan). These community outcome areas include:</w:t>
      </w:r>
    </w:p>
    <w:p>
      <w:pPr>
        <w:pStyle w:val="BodyText"/>
        <w:spacing w:before="2"/>
      </w:pPr>
    </w:p>
    <w:p>
      <w:pPr>
        <w:pStyle w:val="ListParagraph"/>
        <w:numPr>
          <w:ilvl w:val="0"/>
          <w:numId w:val="12"/>
        </w:numPr>
        <w:tabs>
          <w:tab w:pos="958" w:val="left" w:leader="none"/>
          <w:tab w:pos="959" w:val="left" w:leader="none"/>
        </w:tabs>
        <w:spacing w:line="240" w:lineRule="auto" w:before="0" w:after="0"/>
        <w:ind w:left="958" w:right="0" w:hanging="568"/>
        <w:jc w:val="left"/>
        <w:rPr>
          <w:sz w:val="22"/>
        </w:rPr>
      </w:pPr>
      <w:r>
        <w:rPr>
          <w:sz w:val="22"/>
        </w:rPr>
        <w:t>A</w:t>
      </w:r>
      <w:r>
        <w:rPr>
          <w:spacing w:val="-5"/>
          <w:sz w:val="22"/>
        </w:rPr>
        <w:t> </w:t>
      </w:r>
      <w:r>
        <w:rPr>
          <w:sz w:val="22"/>
        </w:rPr>
        <w:t>safe,</w:t>
      </w:r>
      <w:r>
        <w:rPr>
          <w:spacing w:val="-1"/>
          <w:sz w:val="22"/>
        </w:rPr>
        <w:t> </w:t>
      </w:r>
      <w:r>
        <w:rPr>
          <w:sz w:val="22"/>
        </w:rPr>
        <w:t>healthy</w:t>
      </w:r>
      <w:r>
        <w:rPr>
          <w:spacing w:val="-2"/>
          <w:sz w:val="22"/>
        </w:rPr>
        <w:t> </w:t>
      </w:r>
      <w:r>
        <w:rPr>
          <w:sz w:val="22"/>
        </w:rPr>
        <w:t>and</w:t>
      </w:r>
      <w:r>
        <w:rPr>
          <w:spacing w:val="-5"/>
          <w:sz w:val="22"/>
        </w:rPr>
        <w:t> </w:t>
      </w:r>
      <w:r>
        <w:rPr>
          <w:sz w:val="22"/>
        </w:rPr>
        <w:t>active</w:t>
      </w:r>
      <w:r>
        <w:rPr>
          <w:spacing w:val="-1"/>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9" w:after="0"/>
        <w:ind w:left="958" w:right="0" w:hanging="568"/>
        <w:jc w:val="left"/>
        <w:rPr>
          <w:sz w:val="22"/>
        </w:rPr>
      </w:pPr>
      <w:r>
        <w:rPr>
          <w:sz w:val="22"/>
        </w:rPr>
        <w:t>A</w:t>
      </w:r>
      <w:r>
        <w:rPr>
          <w:spacing w:val="-6"/>
          <w:sz w:val="22"/>
        </w:rPr>
        <w:t> </w:t>
      </w:r>
      <w:r>
        <w:rPr>
          <w:sz w:val="22"/>
        </w:rPr>
        <w:t>prosperous</w:t>
      </w:r>
      <w:r>
        <w:rPr>
          <w:spacing w:val="-3"/>
          <w:sz w:val="22"/>
        </w:rPr>
        <w:t> </w:t>
      </w:r>
      <w:r>
        <w:rPr>
          <w:sz w:val="22"/>
        </w:rPr>
        <w:t>and</w:t>
      </w:r>
      <w:r>
        <w:rPr>
          <w:spacing w:val="-4"/>
          <w:sz w:val="22"/>
        </w:rPr>
        <w:t> </w:t>
      </w:r>
      <w:r>
        <w:rPr>
          <w:sz w:val="22"/>
        </w:rPr>
        <w:t>learning</w:t>
      </w:r>
      <w:r>
        <w:rPr>
          <w:spacing w:val="-4"/>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8" w:after="0"/>
        <w:ind w:left="958" w:right="0" w:hanging="568"/>
        <w:jc w:val="left"/>
        <w:rPr>
          <w:sz w:val="22"/>
        </w:rPr>
      </w:pPr>
      <w:r>
        <w:rPr>
          <w:sz w:val="22"/>
        </w:rPr>
        <w:t>A</w:t>
      </w:r>
      <w:r>
        <w:rPr>
          <w:spacing w:val="-6"/>
          <w:sz w:val="22"/>
        </w:rPr>
        <w:t> </w:t>
      </w:r>
      <w:r>
        <w:rPr>
          <w:sz w:val="22"/>
        </w:rPr>
        <w:t>vibrant</w:t>
      </w:r>
      <w:r>
        <w:rPr>
          <w:spacing w:val="-2"/>
          <w:sz w:val="22"/>
        </w:rPr>
        <w:t> </w:t>
      </w:r>
      <w:r>
        <w:rPr>
          <w:sz w:val="22"/>
        </w:rPr>
        <w:t>and</w:t>
      </w:r>
      <w:r>
        <w:rPr>
          <w:spacing w:val="-2"/>
          <w:sz w:val="22"/>
        </w:rPr>
        <w:t> </w:t>
      </w:r>
      <w:r>
        <w:rPr>
          <w:sz w:val="22"/>
        </w:rPr>
        <w:t>culturally</w:t>
      </w:r>
      <w:r>
        <w:rPr>
          <w:spacing w:val="-3"/>
          <w:sz w:val="22"/>
        </w:rPr>
        <w:t> </w:t>
      </w:r>
      <w:r>
        <w:rPr>
          <w:sz w:val="22"/>
        </w:rPr>
        <w:t>rich</w:t>
      </w:r>
      <w:r>
        <w:rPr>
          <w:spacing w:val="-3"/>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9" w:after="0"/>
        <w:ind w:left="958" w:right="0" w:hanging="568"/>
        <w:jc w:val="left"/>
        <w:rPr>
          <w:sz w:val="22"/>
        </w:rPr>
      </w:pPr>
      <w:r>
        <w:rPr>
          <w:sz w:val="22"/>
        </w:rPr>
        <w:t>A</w:t>
      </w:r>
      <w:r>
        <w:rPr>
          <w:spacing w:val="-6"/>
          <w:sz w:val="22"/>
        </w:rPr>
        <w:t> </w:t>
      </w:r>
      <w:r>
        <w:rPr>
          <w:sz w:val="22"/>
        </w:rPr>
        <w:t>clean,</w:t>
      </w:r>
      <w:r>
        <w:rPr>
          <w:spacing w:val="-2"/>
          <w:sz w:val="22"/>
        </w:rPr>
        <w:t> </w:t>
      </w:r>
      <w:r>
        <w:rPr>
          <w:sz w:val="22"/>
        </w:rPr>
        <w:t>green</w:t>
      </w:r>
      <w:r>
        <w:rPr>
          <w:spacing w:val="-3"/>
          <w:sz w:val="22"/>
        </w:rPr>
        <w:t> </w:t>
      </w:r>
      <w:r>
        <w:rPr>
          <w:sz w:val="22"/>
        </w:rPr>
        <w:t>and</w:t>
      </w:r>
      <w:r>
        <w:rPr>
          <w:spacing w:val="-5"/>
          <w:sz w:val="22"/>
        </w:rPr>
        <w:t> </w:t>
      </w:r>
      <w:r>
        <w:rPr>
          <w:sz w:val="22"/>
        </w:rPr>
        <w:t>sustainable</w:t>
      </w:r>
      <w:r>
        <w:rPr>
          <w:spacing w:val="-5"/>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6" w:after="0"/>
        <w:ind w:left="958" w:right="0" w:hanging="568"/>
        <w:jc w:val="left"/>
        <w:rPr>
          <w:sz w:val="22"/>
        </w:rPr>
      </w:pPr>
      <w:r>
        <w:rPr>
          <w:sz w:val="22"/>
        </w:rPr>
        <w:t>An</w:t>
      </w:r>
      <w:r>
        <w:rPr>
          <w:spacing w:val="-3"/>
          <w:sz w:val="22"/>
        </w:rPr>
        <w:t> </w:t>
      </w:r>
      <w:r>
        <w:rPr>
          <w:sz w:val="22"/>
        </w:rPr>
        <w:t>accessible</w:t>
      </w:r>
      <w:r>
        <w:rPr>
          <w:spacing w:val="-4"/>
          <w:sz w:val="22"/>
        </w:rPr>
        <w:t> </w:t>
      </w:r>
      <w:r>
        <w:rPr>
          <w:sz w:val="22"/>
        </w:rPr>
        <w:t>and</w:t>
      </w:r>
      <w:r>
        <w:rPr>
          <w:spacing w:val="-5"/>
          <w:sz w:val="22"/>
        </w:rPr>
        <w:t> </w:t>
      </w:r>
      <w:r>
        <w:rPr>
          <w:sz w:val="22"/>
        </w:rPr>
        <w:t>connected </w:t>
      </w:r>
      <w:r>
        <w:rPr>
          <w:spacing w:val="-2"/>
          <w:sz w:val="22"/>
        </w:rPr>
        <w:t>community</w:t>
      </w:r>
    </w:p>
    <w:p>
      <w:pPr>
        <w:pStyle w:val="ListParagraph"/>
        <w:numPr>
          <w:ilvl w:val="0"/>
          <w:numId w:val="12"/>
        </w:numPr>
        <w:tabs>
          <w:tab w:pos="958" w:val="left" w:leader="none"/>
          <w:tab w:pos="959" w:val="left" w:leader="none"/>
        </w:tabs>
        <w:spacing w:line="240" w:lineRule="auto" w:before="198" w:after="0"/>
        <w:ind w:left="958" w:right="0" w:hanging="568"/>
        <w:jc w:val="left"/>
        <w:rPr>
          <w:sz w:val="22"/>
        </w:rPr>
      </w:pPr>
      <w:r>
        <w:rPr>
          <w:sz w:val="22"/>
        </w:rPr>
        <w:t>An</w:t>
      </w:r>
      <w:r>
        <w:rPr>
          <w:spacing w:val="-5"/>
          <w:sz w:val="22"/>
        </w:rPr>
        <w:t> </w:t>
      </w:r>
      <w:r>
        <w:rPr>
          <w:sz w:val="22"/>
        </w:rPr>
        <w:t>attractive,</w:t>
      </w:r>
      <w:r>
        <w:rPr>
          <w:spacing w:val="-4"/>
          <w:sz w:val="22"/>
        </w:rPr>
        <w:t> </w:t>
      </w:r>
      <w:r>
        <w:rPr>
          <w:sz w:val="22"/>
        </w:rPr>
        <w:t>thriving</w:t>
      </w:r>
      <w:r>
        <w:rPr>
          <w:spacing w:val="-4"/>
          <w:sz w:val="22"/>
        </w:rPr>
        <w:t> </w:t>
      </w:r>
      <w:r>
        <w:rPr>
          <w:sz w:val="22"/>
        </w:rPr>
        <w:t>and</w:t>
      </w:r>
      <w:r>
        <w:rPr>
          <w:spacing w:val="-4"/>
          <w:sz w:val="22"/>
        </w:rPr>
        <w:t> </w:t>
      </w:r>
      <w:r>
        <w:rPr>
          <w:sz w:val="22"/>
        </w:rPr>
        <w:t>well-built</w:t>
      </w:r>
      <w:r>
        <w:rPr>
          <w:spacing w:val="-4"/>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9" w:after="0"/>
        <w:ind w:left="958" w:right="0" w:hanging="568"/>
        <w:jc w:val="left"/>
        <w:rPr>
          <w:sz w:val="22"/>
        </w:rPr>
      </w:pPr>
      <w:r>
        <w:rPr>
          <w:sz w:val="22"/>
        </w:rPr>
        <w:t>An</w:t>
      </w:r>
      <w:r>
        <w:rPr>
          <w:spacing w:val="-4"/>
          <w:sz w:val="22"/>
        </w:rPr>
        <w:t> </w:t>
      </w:r>
      <w:r>
        <w:rPr>
          <w:sz w:val="22"/>
        </w:rPr>
        <w:t>inclusive</w:t>
      </w:r>
      <w:r>
        <w:rPr>
          <w:spacing w:val="-3"/>
          <w:sz w:val="22"/>
        </w:rPr>
        <w:t> </w:t>
      </w:r>
      <w:r>
        <w:rPr>
          <w:sz w:val="22"/>
        </w:rPr>
        <w:t>and</w:t>
      </w:r>
      <w:r>
        <w:rPr>
          <w:spacing w:val="-1"/>
          <w:sz w:val="22"/>
        </w:rPr>
        <w:t> </w:t>
      </w:r>
      <w:r>
        <w:rPr>
          <w:sz w:val="22"/>
        </w:rPr>
        <w:t>diverse</w:t>
      </w:r>
      <w:r>
        <w:rPr>
          <w:spacing w:val="-7"/>
          <w:sz w:val="22"/>
        </w:rPr>
        <w:t> </w:t>
      </w:r>
      <w:r>
        <w:rPr>
          <w:spacing w:val="-2"/>
          <w:sz w:val="22"/>
        </w:rPr>
        <w:t>community</w:t>
      </w:r>
    </w:p>
    <w:p>
      <w:pPr>
        <w:pStyle w:val="ListParagraph"/>
        <w:numPr>
          <w:ilvl w:val="0"/>
          <w:numId w:val="12"/>
        </w:numPr>
        <w:tabs>
          <w:tab w:pos="958" w:val="left" w:leader="none"/>
          <w:tab w:pos="959" w:val="left" w:leader="none"/>
        </w:tabs>
        <w:spacing w:line="240" w:lineRule="auto" w:before="198" w:after="0"/>
        <w:ind w:left="958" w:right="0" w:hanging="568"/>
        <w:jc w:val="left"/>
        <w:rPr>
          <w:sz w:val="22"/>
        </w:rPr>
      </w:pPr>
      <w:r>
        <w:rPr>
          <w:sz w:val="22"/>
        </w:rPr>
        <w:t>A</w:t>
      </w:r>
      <w:r>
        <w:rPr>
          <w:spacing w:val="-5"/>
          <w:sz w:val="22"/>
        </w:rPr>
        <w:t> </w:t>
      </w:r>
      <w:r>
        <w:rPr>
          <w:sz w:val="22"/>
        </w:rPr>
        <w:t>well</w:t>
      </w:r>
      <w:r>
        <w:rPr>
          <w:spacing w:val="-3"/>
          <w:sz w:val="22"/>
        </w:rPr>
        <w:t> </w:t>
      </w:r>
      <w:r>
        <w:rPr>
          <w:sz w:val="22"/>
        </w:rPr>
        <w:t>governed</w:t>
      </w:r>
      <w:r>
        <w:rPr>
          <w:spacing w:val="-3"/>
          <w:sz w:val="22"/>
        </w:rPr>
        <w:t> </w:t>
      </w:r>
      <w:r>
        <w:rPr>
          <w:sz w:val="22"/>
        </w:rPr>
        <w:t>and</w:t>
      </w:r>
      <w:r>
        <w:rPr>
          <w:spacing w:val="-4"/>
          <w:sz w:val="22"/>
        </w:rPr>
        <w:t> </w:t>
      </w:r>
      <w:r>
        <w:rPr>
          <w:sz w:val="22"/>
        </w:rPr>
        <w:t>empowered</w:t>
      </w:r>
      <w:r>
        <w:rPr>
          <w:spacing w:val="-2"/>
          <w:sz w:val="22"/>
        </w:rPr>
        <w:t> community</w:t>
      </w:r>
    </w:p>
    <w:p>
      <w:pPr>
        <w:pStyle w:val="BodyText"/>
        <w:spacing w:before="8"/>
        <w:rPr>
          <w:sz w:val="21"/>
        </w:rPr>
      </w:pPr>
    </w:p>
    <w:p>
      <w:pPr>
        <w:pStyle w:val="BodyText"/>
        <w:ind w:left="391" w:right="400"/>
        <w:jc w:val="both"/>
      </w:pPr>
      <w:r>
        <w:rPr/>
        <w:t>The strategic direction detailed in Maroondah 2040, the Council Plan, and the Financial Plan have resulted in</w:t>
      </w:r>
      <w:r>
        <w:rPr>
          <w:spacing w:val="-10"/>
        </w:rPr>
        <w:t> </w:t>
      </w:r>
      <w:r>
        <w:rPr/>
        <w:t>the</w:t>
      </w:r>
      <w:r>
        <w:rPr>
          <w:spacing w:val="-10"/>
        </w:rPr>
        <w:t> </w:t>
      </w:r>
      <w:r>
        <w:rPr/>
        <w:t>development</w:t>
      </w:r>
      <w:r>
        <w:rPr>
          <w:spacing w:val="-10"/>
        </w:rPr>
        <w:t> </w:t>
      </w:r>
      <w:r>
        <w:rPr/>
        <w:t>of</w:t>
      </w:r>
      <w:r>
        <w:rPr>
          <w:spacing w:val="-10"/>
        </w:rPr>
        <w:t> </w:t>
      </w:r>
      <w:r>
        <w:rPr/>
        <w:t>detailed</w:t>
      </w:r>
      <w:r>
        <w:rPr>
          <w:spacing w:val="-10"/>
        </w:rPr>
        <w:t> </w:t>
      </w:r>
      <w:r>
        <w:rPr/>
        <w:t>service</w:t>
      </w:r>
      <w:r>
        <w:rPr>
          <w:spacing w:val="-10"/>
        </w:rPr>
        <w:t> </w:t>
      </w:r>
      <w:r>
        <w:rPr/>
        <w:t>delivery</w:t>
      </w:r>
      <w:r>
        <w:rPr>
          <w:spacing w:val="-8"/>
        </w:rPr>
        <w:t> </w:t>
      </w:r>
      <w:r>
        <w:rPr/>
        <w:t>plans</w:t>
      </w:r>
      <w:r>
        <w:rPr>
          <w:spacing w:val="-8"/>
        </w:rPr>
        <w:t> </w:t>
      </w:r>
      <w:r>
        <w:rPr/>
        <w:t>across</w:t>
      </w:r>
      <w:r>
        <w:rPr>
          <w:spacing w:val="-11"/>
        </w:rPr>
        <w:t> </w:t>
      </w:r>
      <w:r>
        <w:rPr/>
        <w:t>each</w:t>
      </w:r>
      <w:r>
        <w:rPr>
          <w:spacing w:val="-12"/>
        </w:rPr>
        <w:t> </w:t>
      </w:r>
      <w:r>
        <w:rPr/>
        <w:t>of</w:t>
      </w:r>
      <w:r>
        <w:rPr>
          <w:spacing w:val="-10"/>
        </w:rPr>
        <w:t> </w:t>
      </w:r>
      <w:r>
        <w:rPr/>
        <w:t>Council’s</w:t>
      </w:r>
      <w:r>
        <w:rPr>
          <w:spacing w:val="-8"/>
        </w:rPr>
        <w:t> </w:t>
      </w:r>
      <w:r>
        <w:rPr/>
        <w:t>service</w:t>
      </w:r>
      <w:r>
        <w:rPr>
          <w:spacing w:val="-10"/>
        </w:rPr>
        <w:t> </w:t>
      </w:r>
      <w:r>
        <w:rPr/>
        <w:t>areas.</w:t>
      </w:r>
      <w:r>
        <w:rPr>
          <w:spacing w:val="-10"/>
        </w:rPr>
        <w:t> </w:t>
      </w:r>
      <w:r>
        <w:rPr/>
        <w:t>These</w:t>
      </w:r>
      <w:r>
        <w:rPr>
          <w:spacing w:val="-12"/>
        </w:rPr>
        <w:t> </w:t>
      </w:r>
      <w:r>
        <w:rPr/>
        <w:t>plans</w:t>
      </w:r>
      <w:r>
        <w:rPr>
          <w:spacing w:val="-8"/>
        </w:rPr>
        <w:t> </w:t>
      </w:r>
      <w:r>
        <w:rPr/>
        <w:t>are reviewed annually to ensure continued alignment with community priorities and expectations.</w:t>
      </w:r>
    </w:p>
    <w:p>
      <w:pPr>
        <w:pStyle w:val="BodyText"/>
        <w:spacing w:before="1"/>
      </w:pPr>
    </w:p>
    <w:p>
      <w:pPr>
        <w:pStyle w:val="BodyText"/>
        <w:ind w:left="391" w:right="402"/>
        <w:jc w:val="both"/>
      </w:pPr>
      <w:r>
        <w:rPr/>
        <w:t>The framework feeds into and is supported by a number of other key planning documents – in particular Council’s</w:t>
      </w:r>
      <w:r>
        <w:rPr>
          <w:spacing w:val="-16"/>
        </w:rPr>
        <w:t> </w:t>
      </w:r>
      <w:r>
        <w:rPr/>
        <w:t>budget,</w:t>
      </w:r>
      <w:r>
        <w:rPr>
          <w:spacing w:val="-15"/>
        </w:rPr>
        <w:t> </w:t>
      </w:r>
      <w:r>
        <w:rPr/>
        <w:t>legislated</w:t>
      </w:r>
      <w:r>
        <w:rPr>
          <w:spacing w:val="-15"/>
        </w:rPr>
        <w:t> </w:t>
      </w:r>
      <w:r>
        <w:rPr/>
        <w:t>plans</w:t>
      </w:r>
      <w:r>
        <w:rPr>
          <w:spacing w:val="-16"/>
        </w:rPr>
        <w:t> </w:t>
      </w:r>
      <w:r>
        <w:rPr/>
        <w:t>and</w:t>
      </w:r>
      <w:r>
        <w:rPr>
          <w:spacing w:val="-15"/>
        </w:rPr>
        <w:t> </w:t>
      </w:r>
      <w:r>
        <w:rPr/>
        <w:t>strategies</w:t>
      </w:r>
      <w:r>
        <w:rPr>
          <w:spacing w:val="-15"/>
        </w:rPr>
        <w:t> </w:t>
      </w:r>
      <w:r>
        <w:rPr/>
        <w:t>and</w:t>
      </w:r>
      <w:r>
        <w:rPr>
          <w:spacing w:val="-15"/>
        </w:rPr>
        <w:t> </w:t>
      </w:r>
      <w:r>
        <w:rPr/>
        <w:t>a</w:t>
      </w:r>
      <w:r>
        <w:rPr>
          <w:spacing w:val="-16"/>
        </w:rPr>
        <w:t> </w:t>
      </w:r>
      <w:r>
        <w:rPr/>
        <w:t>broad</w:t>
      </w:r>
      <w:r>
        <w:rPr>
          <w:spacing w:val="-15"/>
        </w:rPr>
        <w:t> </w:t>
      </w:r>
      <w:r>
        <w:rPr/>
        <w:t>range</w:t>
      </w:r>
      <w:r>
        <w:rPr>
          <w:spacing w:val="-15"/>
        </w:rPr>
        <w:t> </w:t>
      </w:r>
      <w:r>
        <w:rPr/>
        <w:t>of</w:t>
      </w:r>
      <w:r>
        <w:rPr>
          <w:spacing w:val="-16"/>
        </w:rPr>
        <w:t> </w:t>
      </w:r>
      <w:r>
        <w:rPr/>
        <w:t>other</w:t>
      </w:r>
      <w:r>
        <w:rPr>
          <w:spacing w:val="-15"/>
        </w:rPr>
        <w:t> </w:t>
      </w:r>
      <w:r>
        <w:rPr/>
        <w:t>supporting</w:t>
      </w:r>
      <w:r>
        <w:rPr>
          <w:spacing w:val="-15"/>
        </w:rPr>
        <w:t> </w:t>
      </w:r>
      <w:r>
        <w:rPr/>
        <w:t>strategies</w:t>
      </w:r>
      <w:r>
        <w:rPr>
          <w:spacing w:val="-15"/>
        </w:rPr>
        <w:t> </w:t>
      </w:r>
      <w:r>
        <w:rPr/>
        <w:t>and</w:t>
      </w:r>
      <w:r>
        <w:rPr>
          <w:spacing w:val="-16"/>
        </w:rPr>
        <w:t> </w:t>
      </w:r>
      <w:r>
        <w:rPr/>
        <w:t>policies adopted by Council.</w:t>
      </w:r>
    </w:p>
    <w:p>
      <w:pPr>
        <w:pStyle w:val="BodyText"/>
        <w:spacing w:before="10"/>
        <w:rPr>
          <w:sz w:val="21"/>
        </w:rPr>
      </w:pPr>
    </w:p>
    <w:p>
      <w:pPr>
        <w:pStyle w:val="BodyText"/>
        <w:ind w:left="391" w:right="399"/>
        <w:jc w:val="both"/>
      </w:pPr>
      <w:r>
        <w:rPr/>
        <w:t>To</w:t>
      </w:r>
      <w:r>
        <w:rPr>
          <w:spacing w:val="-4"/>
        </w:rPr>
        <w:t> </w:t>
      </w:r>
      <w:r>
        <w:rPr/>
        <w:t>ensure</w:t>
      </w:r>
      <w:r>
        <w:rPr>
          <w:spacing w:val="-3"/>
        </w:rPr>
        <w:t> </w:t>
      </w:r>
      <w:r>
        <w:rPr/>
        <w:t>Council</w:t>
      </w:r>
      <w:r>
        <w:rPr>
          <w:spacing w:val="-2"/>
        </w:rPr>
        <w:t> </w:t>
      </w:r>
      <w:r>
        <w:rPr/>
        <w:t>has</w:t>
      </w:r>
      <w:r>
        <w:rPr>
          <w:spacing w:val="-4"/>
        </w:rPr>
        <w:t> </w:t>
      </w:r>
      <w:r>
        <w:rPr/>
        <w:t>the</w:t>
      </w:r>
      <w:r>
        <w:rPr>
          <w:spacing w:val="-2"/>
        </w:rPr>
        <w:t> </w:t>
      </w:r>
      <w:r>
        <w:rPr/>
        <w:t>resources</w:t>
      </w:r>
      <w:r>
        <w:rPr>
          <w:spacing w:val="-4"/>
        </w:rPr>
        <w:t> </w:t>
      </w:r>
      <w:r>
        <w:rPr/>
        <w:t>and</w:t>
      </w:r>
      <w:r>
        <w:rPr>
          <w:spacing w:val="-6"/>
        </w:rPr>
        <w:t> </w:t>
      </w:r>
      <w:r>
        <w:rPr/>
        <w:t>capacity</w:t>
      </w:r>
      <w:r>
        <w:rPr>
          <w:spacing w:val="-2"/>
        </w:rPr>
        <w:t> </w:t>
      </w:r>
      <w:r>
        <w:rPr/>
        <w:t>to</w:t>
      </w:r>
      <w:r>
        <w:rPr>
          <w:spacing w:val="-3"/>
        </w:rPr>
        <w:t> </w:t>
      </w:r>
      <w:r>
        <w:rPr/>
        <w:t>work</w:t>
      </w:r>
      <w:r>
        <w:rPr>
          <w:spacing w:val="-4"/>
        </w:rPr>
        <w:t> </w:t>
      </w:r>
      <w:r>
        <w:rPr/>
        <w:t>towards</w:t>
      </w:r>
      <w:r>
        <w:rPr>
          <w:spacing w:val="-4"/>
        </w:rPr>
        <w:t> </w:t>
      </w:r>
      <w:r>
        <w:rPr/>
        <w:t>the</w:t>
      </w:r>
      <w:r>
        <w:rPr>
          <w:spacing w:val="-4"/>
        </w:rPr>
        <w:t> </w:t>
      </w:r>
      <w:r>
        <w:rPr/>
        <w:t>achievement</w:t>
      </w:r>
      <w:r>
        <w:rPr>
          <w:spacing w:val="-1"/>
        </w:rPr>
        <w:t> </w:t>
      </w:r>
      <w:r>
        <w:rPr/>
        <w:t>of</w:t>
      </w:r>
      <w:r>
        <w:rPr>
          <w:spacing w:val="-4"/>
        </w:rPr>
        <w:t> </w:t>
      </w:r>
      <w:r>
        <w:rPr/>
        <w:t>the</w:t>
      </w:r>
      <w:r>
        <w:rPr>
          <w:spacing w:val="-5"/>
        </w:rPr>
        <w:t> </w:t>
      </w:r>
      <w:r>
        <w:rPr/>
        <w:t>Maroondah</w:t>
      </w:r>
      <w:r>
        <w:rPr>
          <w:spacing w:val="-2"/>
        </w:rPr>
        <w:t> </w:t>
      </w:r>
      <w:r>
        <w:rPr/>
        <w:t>2040 Community</w:t>
      </w:r>
      <w:r>
        <w:rPr>
          <w:spacing w:val="-13"/>
        </w:rPr>
        <w:t> </w:t>
      </w:r>
      <w:r>
        <w:rPr/>
        <w:t>Vision,</w:t>
      </w:r>
      <w:r>
        <w:rPr>
          <w:spacing w:val="-12"/>
        </w:rPr>
        <w:t> </w:t>
      </w:r>
      <w:r>
        <w:rPr/>
        <w:t>a</w:t>
      </w:r>
      <w:r>
        <w:rPr>
          <w:spacing w:val="-13"/>
        </w:rPr>
        <w:t> </w:t>
      </w:r>
      <w:r>
        <w:rPr/>
        <w:t>Long-Term</w:t>
      </w:r>
      <w:r>
        <w:rPr>
          <w:spacing w:val="-13"/>
        </w:rPr>
        <w:t> </w:t>
      </w:r>
      <w:r>
        <w:rPr/>
        <w:t>Financial</w:t>
      </w:r>
      <w:r>
        <w:rPr>
          <w:spacing w:val="-15"/>
        </w:rPr>
        <w:t> </w:t>
      </w:r>
      <w:r>
        <w:rPr/>
        <w:t>Plan</w:t>
      </w:r>
      <w:r>
        <w:rPr>
          <w:spacing w:val="-14"/>
        </w:rPr>
        <w:t> </w:t>
      </w:r>
      <w:r>
        <w:rPr/>
        <w:t>has</w:t>
      </w:r>
      <w:r>
        <w:rPr>
          <w:spacing w:val="-11"/>
        </w:rPr>
        <w:t> </w:t>
      </w:r>
      <w:r>
        <w:rPr/>
        <w:t>been</w:t>
      </w:r>
      <w:r>
        <w:rPr>
          <w:spacing w:val="-13"/>
        </w:rPr>
        <w:t> </w:t>
      </w:r>
      <w:r>
        <w:rPr/>
        <w:t>prepared</w:t>
      </w:r>
      <w:r>
        <w:rPr>
          <w:spacing w:val="-15"/>
        </w:rPr>
        <w:t> </w:t>
      </w:r>
      <w:r>
        <w:rPr/>
        <w:t>to</w:t>
      </w:r>
      <w:r>
        <w:rPr>
          <w:spacing w:val="-13"/>
        </w:rPr>
        <w:t> </w:t>
      </w:r>
      <w:r>
        <w:rPr/>
        <w:t>guide</w:t>
      </w:r>
      <w:r>
        <w:rPr>
          <w:spacing w:val="-15"/>
        </w:rPr>
        <w:t> </w:t>
      </w:r>
      <w:r>
        <w:rPr/>
        <w:t>the</w:t>
      </w:r>
      <w:r>
        <w:rPr>
          <w:spacing w:val="-14"/>
        </w:rPr>
        <w:t> </w:t>
      </w:r>
      <w:r>
        <w:rPr/>
        <w:t>financial</w:t>
      </w:r>
      <w:r>
        <w:rPr>
          <w:spacing w:val="-13"/>
        </w:rPr>
        <w:t> </w:t>
      </w:r>
      <w:r>
        <w:rPr/>
        <w:t>resources</w:t>
      </w:r>
      <w:r>
        <w:rPr>
          <w:spacing w:val="-13"/>
        </w:rPr>
        <w:t> </w:t>
      </w:r>
      <w:r>
        <w:rPr/>
        <w:t>of</w:t>
      </w:r>
      <w:r>
        <w:rPr>
          <w:spacing w:val="-15"/>
        </w:rPr>
        <w:t> </w:t>
      </w:r>
      <w:r>
        <w:rPr/>
        <w:t>Council over the next 10 years. This plan is updated annually.</w:t>
      </w:r>
    </w:p>
    <w:p>
      <w:pPr>
        <w:pStyle w:val="BodyText"/>
        <w:spacing w:before="1"/>
      </w:pPr>
    </w:p>
    <w:p>
      <w:pPr>
        <w:pStyle w:val="BodyText"/>
        <w:ind w:left="391" w:right="399"/>
        <w:jc w:val="both"/>
      </w:pPr>
      <w:r>
        <w:rPr/>
        <w:t>From the Financial plan, evolves a Budget that provides specific targets in relation to financial resources for the next financial year and a framework to ensure strategies and commitments are transformed into ‘on the ground’</w:t>
      </w:r>
      <w:r>
        <w:rPr>
          <w:spacing w:val="-15"/>
        </w:rPr>
        <w:t> </w:t>
      </w:r>
      <w:r>
        <w:rPr/>
        <w:t>results.</w:t>
      </w:r>
      <w:r>
        <w:rPr>
          <w:spacing w:val="-13"/>
        </w:rPr>
        <w:t> </w:t>
      </w:r>
      <w:r>
        <w:rPr/>
        <w:t>The</w:t>
      </w:r>
      <w:r>
        <w:rPr>
          <w:spacing w:val="-16"/>
        </w:rPr>
        <w:t> </w:t>
      </w:r>
      <w:r>
        <w:rPr/>
        <w:t>Budget</w:t>
      </w:r>
      <w:r>
        <w:rPr>
          <w:spacing w:val="-9"/>
        </w:rPr>
        <w:t> </w:t>
      </w:r>
      <w:r>
        <w:rPr/>
        <w:t>specifies</w:t>
      </w:r>
      <w:r>
        <w:rPr>
          <w:spacing w:val="-15"/>
        </w:rPr>
        <w:t> </w:t>
      </w:r>
      <w:r>
        <w:rPr/>
        <w:t>goals</w:t>
      </w:r>
      <w:r>
        <w:rPr>
          <w:spacing w:val="-15"/>
        </w:rPr>
        <w:t> </w:t>
      </w:r>
      <w:r>
        <w:rPr/>
        <w:t>against</w:t>
      </w:r>
      <w:r>
        <w:rPr>
          <w:spacing w:val="-13"/>
        </w:rPr>
        <w:t> </w:t>
      </w:r>
      <w:r>
        <w:rPr/>
        <w:t>which</w:t>
      </w:r>
      <w:r>
        <w:rPr>
          <w:spacing w:val="-14"/>
        </w:rPr>
        <w:t> </w:t>
      </w:r>
      <w:r>
        <w:rPr/>
        <w:t>Council</w:t>
      </w:r>
      <w:r>
        <w:rPr>
          <w:spacing w:val="-16"/>
        </w:rPr>
        <w:t> </w:t>
      </w:r>
      <w:r>
        <w:rPr/>
        <w:t>can</w:t>
      </w:r>
      <w:r>
        <w:rPr>
          <w:spacing w:val="-15"/>
        </w:rPr>
        <w:t> </w:t>
      </w:r>
      <w:r>
        <w:rPr/>
        <w:t>measure</w:t>
      </w:r>
      <w:r>
        <w:rPr>
          <w:spacing w:val="-13"/>
        </w:rPr>
        <w:t> </w:t>
      </w:r>
      <w:r>
        <w:rPr/>
        <w:t>its</w:t>
      </w:r>
      <w:r>
        <w:rPr>
          <w:spacing w:val="-15"/>
        </w:rPr>
        <w:t> </w:t>
      </w:r>
      <w:r>
        <w:rPr/>
        <w:t>progress</w:t>
      </w:r>
      <w:r>
        <w:rPr>
          <w:spacing w:val="-13"/>
        </w:rPr>
        <w:t> </w:t>
      </w:r>
      <w:r>
        <w:rPr/>
        <w:t>and</w:t>
      </w:r>
      <w:r>
        <w:rPr>
          <w:spacing w:val="-16"/>
        </w:rPr>
        <w:t> </w:t>
      </w:r>
      <w:r>
        <w:rPr/>
        <w:t>performance whilst</w:t>
      </w:r>
      <w:r>
        <w:rPr>
          <w:spacing w:val="-4"/>
        </w:rPr>
        <w:t> </w:t>
      </w:r>
      <w:r>
        <w:rPr/>
        <w:t>also</w:t>
      </w:r>
      <w:r>
        <w:rPr>
          <w:spacing w:val="-8"/>
        </w:rPr>
        <w:t> </w:t>
      </w:r>
      <w:r>
        <w:rPr/>
        <w:t>articulating</w:t>
      </w:r>
      <w:r>
        <w:rPr>
          <w:spacing w:val="-8"/>
        </w:rPr>
        <w:t> </w:t>
      </w:r>
      <w:r>
        <w:rPr/>
        <w:t>sources</w:t>
      </w:r>
      <w:r>
        <w:rPr>
          <w:spacing w:val="-6"/>
        </w:rPr>
        <w:t> </w:t>
      </w:r>
      <w:r>
        <w:rPr/>
        <w:t>of</w:t>
      </w:r>
      <w:r>
        <w:rPr>
          <w:spacing w:val="-8"/>
        </w:rPr>
        <w:t> </w:t>
      </w:r>
      <w:r>
        <w:rPr/>
        <w:t>revenue</w:t>
      </w:r>
      <w:r>
        <w:rPr>
          <w:spacing w:val="-9"/>
        </w:rPr>
        <w:t> </w:t>
      </w:r>
      <w:r>
        <w:rPr/>
        <w:t>and</w:t>
      </w:r>
      <w:r>
        <w:rPr>
          <w:spacing w:val="-8"/>
        </w:rPr>
        <w:t> </w:t>
      </w:r>
      <w:r>
        <w:rPr/>
        <w:t>how</w:t>
      </w:r>
      <w:r>
        <w:rPr>
          <w:spacing w:val="-9"/>
        </w:rPr>
        <w:t> </w:t>
      </w:r>
      <w:r>
        <w:rPr/>
        <w:t>that</w:t>
      </w:r>
      <w:r>
        <w:rPr>
          <w:spacing w:val="-8"/>
        </w:rPr>
        <w:t> </w:t>
      </w:r>
      <w:r>
        <w:rPr/>
        <w:t>revenue</w:t>
      </w:r>
      <w:r>
        <w:rPr>
          <w:spacing w:val="-6"/>
        </w:rPr>
        <w:t> </w:t>
      </w:r>
      <w:r>
        <w:rPr/>
        <w:t>is</w:t>
      </w:r>
      <w:r>
        <w:rPr>
          <w:spacing w:val="-8"/>
        </w:rPr>
        <w:t> </w:t>
      </w:r>
      <w:r>
        <w:rPr/>
        <w:t>spent</w:t>
      </w:r>
      <w:r>
        <w:rPr>
          <w:spacing w:val="-6"/>
        </w:rPr>
        <w:t> </w:t>
      </w:r>
      <w:r>
        <w:rPr/>
        <w:t>in</w:t>
      </w:r>
      <w:r>
        <w:rPr>
          <w:spacing w:val="-8"/>
        </w:rPr>
        <w:t> </w:t>
      </w:r>
      <w:r>
        <w:rPr/>
        <w:t>delivering</w:t>
      </w:r>
      <w:r>
        <w:rPr>
          <w:spacing w:val="-8"/>
        </w:rPr>
        <w:t> </w:t>
      </w:r>
      <w:r>
        <w:rPr/>
        <w:t>services</w:t>
      </w:r>
      <w:r>
        <w:rPr>
          <w:spacing w:val="-8"/>
        </w:rPr>
        <w:t> </w:t>
      </w:r>
      <w:r>
        <w:rPr/>
        <w:t>and</w:t>
      </w:r>
      <w:r>
        <w:rPr>
          <w:spacing w:val="-8"/>
        </w:rPr>
        <w:t> </w:t>
      </w:r>
      <w:r>
        <w:rPr/>
        <w:t>initiatives to the community.</w:t>
      </w:r>
    </w:p>
    <w:p>
      <w:pPr>
        <w:pStyle w:val="BodyText"/>
        <w:spacing w:before="2"/>
      </w:pPr>
    </w:p>
    <w:p>
      <w:pPr>
        <w:pStyle w:val="Heading2"/>
        <w:spacing w:before="1"/>
      </w:pPr>
      <w:r>
        <w:rPr>
          <w:color w:val="4966AC"/>
        </w:rPr>
        <w:t>1.1.2</w:t>
      </w:r>
      <w:r>
        <w:rPr>
          <w:color w:val="4966AC"/>
          <w:spacing w:val="-6"/>
        </w:rPr>
        <w:t> </w:t>
      </w:r>
      <w:r>
        <w:rPr>
          <w:color w:val="4966AC"/>
        </w:rPr>
        <w:t>Key</w:t>
      </w:r>
      <w:r>
        <w:rPr>
          <w:color w:val="4966AC"/>
          <w:spacing w:val="-3"/>
        </w:rPr>
        <w:t> </w:t>
      </w:r>
      <w:r>
        <w:rPr>
          <w:color w:val="4966AC"/>
        </w:rPr>
        <w:t>planning</w:t>
      </w:r>
      <w:r>
        <w:rPr>
          <w:color w:val="4966AC"/>
          <w:spacing w:val="2"/>
        </w:rPr>
        <w:t> </w:t>
      </w:r>
      <w:r>
        <w:rPr>
          <w:color w:val="4966AC"/>
          <w:spacing w:val="-2"/>
        </w:rPr>
        <w:t>considerations</w:t>
      </w:r>
    </w:p>
    <w:p>
      <w:pPr>
        <w:pStyle w:val="BodyText"/>
        <w:spacing w:before="226"/>
        <w:ind w:left="391" w:right="400"/>
        <w:jc w:val="both"/>
      </w:pPr>
      <w:r>
        <w:rPr/>
        <w:t>Although councils have a legal obligation to provide some services— such as animal management, local roads, food safety and statutory planning—most council services are not legally mandated, including some services which are closely associated with councils, such as libraries, building permits and some sporting facilities.</w:t>
      </w:r>
      <w:r>
        <w:rPr>
          <w:spacing w:val="40"/>
        </w:rPr>
        <w:t> </w:t>
      </w:r>
      <w:r>
        <w:rPr/>
        <w:t>Furthermore, over time, the needs and expectations of communities can change. Therefore, councils</w:t>
      </w:r>
      <w:r>
        <w:rPr>
          <w:spacing w:val="-2"/>
        </w:rPr>
        <w:t> </w:t>
      </w:r>
      <w:r>
        <w:rPr/>
        <w:t>need</w:t>
      </w:r>
      <w:r>
        <w:rPr>
          <w:spacing w:val="-4"/>
        </w:rPr>
        <w:t> </w:t>
      </w:r>
      <w:r>
        <w:rPr/>
        <w:t>to</w:t>
      </w:r>
      <w:r>
        <w:rPr>
          <w:spacing w:val="-5"/>
        </w:rPr>
        <w:t> </w:t>
      </w:r>
      <w:r>
        <w:rPr/>
        <w:t>implement</w:t>
      </w:r>
      <w:r>
        <w:rPr>
          <w:spacing w:val="-2"/>
        </w:rPr>
        <w:t> </w:t>
      </w:r>
      <w:r>
        <w:rPr/>
        <w:t>robust</w:t>
      </w:r>
      <w:r>
        <w:rPr>
          <w:spacing w:val="-1"/>
        </w:rPr>
        <w:t> </w:t>
      </w:r>
      <w:r>
        <w:rPr/>
        <w:t>processes</w:t>
      </w:r>
      <w:r>
        <w:rPr>
          <w:spacing w:val="-2"/>
        </w:rPr>
        <w:t> </w:t>
      </w:r>
      <w:r>
        <w:rPr/>
        <w:t>for</w:t>
      </w:r>
      <w:r>
        <w:rPr>
          <w:spacing w:val="-6"/>
        </w:rPr>
        <w:t> </w:t>
      </w:r>
      <w:r>
        <w:rPr/>
        <w:t>service</w:t>
      </w:r>
      <w:r>
        <w:rPr>
          <w:spacing w:val="-4"/>
        </w:rPr>
        <w:t> </w:t>
      </w:r>
      <w:r>
        <w:rPr/>
        <w:t>planning</w:t>
      </w:r>
      <w:r>
        <w:rPr>
          <w:spacing w:val="-4"/>
        </w:rPr>
        <w:t> </w:t>
      </w:r>
      <w:r>
        <w:rPr/>
        <w:t>and</w:t>
      </w:r>
      <w:r>
        <w:rPr>
          <w:spacing w:val="-4"/>
        </w:rPr>
        <w:t> </w:t>
      </w:r>
      <w:r>
        <w:rPr/>
        <w:t>review</w:t>
      </w:r>
      <w:r>
        <w:rPr>
          <w:spacing w:val="-4"/>
        </w:rPr>
        <w:t> </w:t>
      </w:r>
      <w:r>
        <w:rPr/>
        <w:t>to</w:t>
      </w:r>
      <w:r>
        <w:rPr>
          <w:spacing w:val="-4"/>
        </w:rPr>
        <w:t> </w:t>
      </w:r>
      <w:r>
        <w:rPr/>
        <w:t>ensure</w:t>
      </w:r>
      <w:r>
        <w:rPr>
          <w:spacing w:val="-5"/>
        </w:rPr>
        <w:t> </w:t>
      </w:r>
      <w:r>
        <w:rPr/>
        <w:t>all</w:t>
      </w:r>
      <w:r>
        <w:rPr>
          <w:spacing w:val="-7"/>
        </w:rPr>
        <w:t> </w:t>
      </w:r>
      <w:r>
        <w:rPr/>
        <w:t>services</w:t>
      </w:r>
      <w:r>
        <w:rPr>
          <w:spacing w:val="-6"/>
        </w:rPr>
        <w:t> </w:t>
      </w:r>
      <w:r>
        <w:rPr/>
        <w:t>continue to provide value for money and are in line with community expectations. In doing so, councils engage with communities</w:t>
      </w:r>
      <w:r>
        <w:rPr>
          <w:spacing w:val="-14"/>
        </w:rPr>
        <w:t> </w:t>
      </w:r>
      <w:r>
        <w:rPr/>
        <w:t>to</w:t>
      </w:r>
      <w:r>
        <w:rPr>
          <w:spacing w:val="-12"/>
        </w:rPr>
        <w:t> </w:t>
      </w:r>
      <w:r>
        <w:rPr/>
        <w:t>determine</w:t>
      </w:r>
      <w:r>
        <w:rPr>
          <w:spacing w:val="-12"/>
        </w:rPr>
        <w:t> </w:t>
      </w:r>
      <w:r>
        <w:rPr/>
        <w:t>how</w:t>
      </w:r>
      <w:r>
        <w:rPr>
          <w:spacing w:val="-13"/>
        </w:rPr>
        <w:t> </w:t>
      </w:r>
      <w:r>
        <w:rPr/>
        <w:t>to</w:t>
      </w:r>
      <w:r>
        <w:rPr>
          <w:spacing w:val="-14"/>
        </w:rPr>
        <w:t> </w:t>
      </w:r>
      <w:r>
        <w:rPr/>
        <w:t>prioritise</w:t>
      </w:r>
      <w:r>
        <w:rPr>
          <w:spacing w:val="-12"/>
        </w:rPr>
        <w:t> </w:t>
      </w:r>
      <w:r>
        <w:rPr/>
        <w:t>resources</w:t>
      </w:r>
      <w:r>
        <w:rPr>
          <w:spacing w:val="-12"/>
        </w:rPr>
        <w:t> </w:t>
      </w:r>
      <w:r>
        <w:rPr/>
        <w:t>and</w:t>
      </w:r>
      <w:r>
        <w:rPr>
          <w:spacing w:val="-12"/>
        </w:rPr>
        <w:t> </w:t>
      </w:r>
      <w:r>
        <w:rPr/>
        <w:t>balance</w:t>
      </w:r>
      <w:r>
        <w:rPr>
          <w:spacing w:val="-14"/>
        </w:rPr>
        <w:t> </w:t>
      </w:r>
      <w:r>
        <w:rPr/>
        <w:t>service</w:t>
      </w:r>
      <w:r>
        <w:rPr>
          <w:spacing w:val="-16"/>
        </w:rPr>
        <w:t> </w:t>
      </w:r>
      <w:r>
        <w:rPr/>
        <w:t>provision</w:t>
      </w:r>
      <w:r>
        <w:rPr>
          <w:spacing w:val="-12"/>
        </w:rPr>
        <w:t> </w:t>
      </w:r>
      <w:r>
        <w:rPr/>
        <w:t>with</w:t>
      </w:r>
      <w:r>
        <w:rPr>
          <w:spacing w:val="-14"/>
        </w:rPr>
        <w:t> </w:t>
      </w:r>
      <w:r>
        <w:rPr/>
        <w:t>other</w:t>
      </w:r>
      <w:r>
        <w:rPr>
          <w:spacing w:val="-13"/>
        </w:rPr>
        <w:t> </w:t>
      </w:r>
      <w:r>
        <w:rPr/>
        <w:t>responsibilities such as asset maintenance and capital works. Community engagement needs to comply with a councils adopted Community Engagement Policy and Public Transparency Policy.</w:t>
      </w:r>
    </w:p>
    <w:p>
      <w:pPr>
        <w:spacing w:after="0"/>
        <w:jc w:val="both"/>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860" w:right="0" w:hanging="470"/>
        <w:jc w:val="left"/>
      </w:pPr>
      <w:r>
        <w:rPr>
          <w:color w:val="4966AC"/>
        </w:rPr>
        <w:t>Our</w:t>
      </w:r>
      <w:r>
        <w:rPr>
          <w:color w:val="4966AC"/>
          <w:spacing w:val="-3"/>
        </w:rPr>
        <w:t> </w:t>
      </w:r>
      <w:r>
        <w:rPr>
          <w:color w:val="4966AC"/>
          <w:spacing w:val="-2"/>
        </w:rPr>
        <w:t>Purpose</w:t>
      </w:r>
    </w:p>
    <w:p>
      <w:pPr>
        <w:pStyle w:val="Heading3"/>
        <w:spacing w:before="225"/>
        <w:rPr>
          <w:i/>
        </w:rPr>
      </w:pPr>
      <w:r>
        <w:rPr>
          <w:i/>
          <w:color w:val="5B80AC"/>
        </w:rPr>
        <w:t>Organisational</w:t>
      </w:r>
      <w:r>
        <w:rPr>
          <w:i/>
          <w:color w:val="5B80AC"/>
          <w:spacing w:val="-5"/>
        </w:rPr>
        <w:t> </w:t>
      </w:r>
      <w:r>
        <w:rPr>
          <w:i/>
          <w:color w:val="5B80AC"/>
          <w:spacing w:val="-2"/>
        </w:rPr>
        <w:t>Vision</w:t>
      </w:r>
    </w:p>
    <w:p>
      <w:pPr>
        <w:pStyle w:val="BodyText"/>
        <w:spacing w:before="68"/>
        <w:ind w:left="391"/>
      </w:pPr>
      <w:r>
        <w:rPr/>
        <w:t>We</w:t>
      </w:r>
      <w:r>
        <w:rPr>
          <w:spacing w:val="-8"/>
        </w:rPr>
        <w:t> </w:t>
      </w:r>
      <w:r>
        <w:rPr/>
        <w:t>will</w:t>
      </w:r>
      <w:r>
        <w:rPr>
          <w:spacing w:val="-4"/>
        </w:rPr>
        <w:t> </w:t>
      </w:r>
      <w:r>
        <w:rPr/>
        <w:t>foster</w:t>
      </w:r>
      <w:r>
        <w:rPr>
          <w:spacing w:val="-3"/>
        </w:rPr>
        <w:t> </w:t>
      </w:r>
      <w:r>
        <w:rPr/>
        <w:t>a</w:t>
      </w:r>
      <w:r>
        <w:rPr>
          <w:spacing w:val="-6"/>
        </w:rPr>
        <w:t> </w:t>
      </w:r>
      <w:r>
        <w:rPr/>
        <w:t>prosperous,</w:t>
      </w:r>
      <w:r>
        <w:rPr>
          <w:spacing w:val="-2"/>
        </w:rPr>
        <w:t> </w:t>
      </w:r>
      <w:r>
        <w:rPr/>
        <w:t>healthy</w:t>
      </w:r>
      <w:r>
        <w:rPr>
          <w:spacing w:val="-1"/>
        </w:rPr>
        <w:t> </w:t>
      </w:r>
      <w:r>
        <w:rPr/>
        <w:t>and</w:t>
      </w:r>
      <w:r>
        <w:rPr>
          <w:spacing w:val="-6"/>
        </w:rPr>
        <w:t> </w:t>
      </w:r>
      <w:r>
        <w:rPr/>
        <w:t>sustainable</w:t>
      </w:r>
      <w:r>
        <w:rPr>
          <w:spacing w:val="-2"/>
        </w:rPr>
        <w:t> community.</w:t>
      </w:r>
    </w:p>
    <w:p>
      <w:pPr>
        <w:pStyle w:val="BodyText"/>
        <w:spacing w:before="3"/>
        <w:rPr>
          <w:sz w:val="25"/>
        </w:rPr>
      </w:pPr>
    </w:p>
    <w:p>
      <w:pPr>
        <w:pStyle w:val="Heading3"/>
        <w:rPr>
          <w:i/>
        </w:rPr>
      </w:pPr>
      <w:r>
        <w:rPr>
          <w:i/>
          <w:color w:val="5B80AC"/>
        </w:rPr>
        <w:t>Our </w:t>
      </w:r>
      <w:r>
        <w:rPr>
          <w:i/>
          <w:color w:val="5B80AC"/>
          <w:spacing w:val="-2"/>
        </w:rPr>
        <w:t>Mission</w:t>
      </w:r>
    </w:p>
    <w:p>
      <w:pPr>
        <w:pStyle w:val="BodyText"/>
        <w:spacing w:before="66"/>
        <w:ind w:left="391"/>
      </w:pPr>
      <w:r>
        <w:rPr/>
        <w:t>We</w:t>
      </w:r>
      <w:r>
        <w:rPr>
          <w:spacing w:val="-5"/>
        </w:rPr>
        <w:t> </w:t>
      </w:r>
      <w:r>
        <w:rPr/>
        <w:t>are</w:t>
      </w:r>
      <w:r>
        <w:rPr>
          <w:spacing w:val="-5"/>
        </w:rPr>
        <w:t> </w:t>
      </w:r>
      <w:r>
        <w:rPr/>
        <w:t>dynamic</w:t>
      </w:r>
      <w:r>
        <w:rPr>
          <w:spacing w:val="-3"/>
        </w:rPr>
        <w:t> </w:t>
      </w:r>
      <w:r>
        <w:rPr/>
        <w:t>and</w:t>
      </w:r>
      <w:r>
        <w:rPr>
          <w:spacing w:val="-4"/>
        </w:rPr>
        <w:t> </w:t>
      </w:r>
      <w:r>
        <w:rPr/>
        <w:t>innovative</w:t>
      </w:r>
      <w:r>
        <w:rPr>
          <w:spacing w:val="-3"/>
        </w:rPr>
        <w:t> </w:t>
      </w:r>
      <w:r>
        <w:rPr/>
        <w:t>leaders,</w:t>
      </w:r>
      <w:r>
        <w:rPr>
          <w:spacing w:val="-3"/>
        </w:rPr>
        <w:t> </w:t>
      </w:r>
      <w:r>
        <w:rPr/>
        <w:t>working</w:t>
      </w:r>
      <w:r>
        <w:rPr>
          <w:spacing w:val="-5"/>
        </w:rPr>
        <w:t> </w:t>
      </w:r>
      <w:r>
        <w:rPr/>
        <w:t>in</w:t>
      </w:r>
      <w:r>
        <w:rPr>
          <w:spacing w:val="-4"/>
        </w:rPr>
        <w:t> </w:t>
      </w:r>
      <w:r>
        <w:rPr/>
        <w:t>partnership</w:t>
      </w:r>
      <w:r>
        <w:rPr>
          <w:spacing w:val="-6"/>
        </w:rPr>
        <w:t> </w:t>
      </w:r>
      <w:r>
        <w:rPr/>
        <w:t>to</w:t>
      </w:r>
      <w:r>
        <w:rPr>
          <w:spacing w:val="-1"/>
        </w:rPr>
        <w:t> </w:t>
      </w:r>
      <w:r>
        <w:rPr/>
        <w:t>enhance</w:t>
      </w:r>
      <w:r>
        <w:rPr>
          <w:spacing w:val="-2"/>
        </w:rPr>
        <w:t> </w:t>
      </w:r>
      <w:r>
        <w:rPr/>
        <w:t>community</w:t>
      </w:r>
      <w:r>
        <w:rPr>
          <w:spacing w:val="-4"/>
        </w:rPr>
        <w:t> </w:t>
      </w:r>
      <w:r>
        <w:rPr>
          <w:spacing w:val="-2"/>
        </w:rPr>
        <w:t>wellbeing.</w:t>
      </w:r>
    </w:p>
    <w:p>
      <w:pPr>
        <w:pStyle w:val="BodyText"/>
        <w:spacing w:before="10"/>
        <w:rPr>
          <w:sz w:val="21"/>
        </w:rPr>
      </w:pPr>
    </w:p>
    <w:p>
      <w:pPr>
        <w:pStyle w:val="Heading3"/>
        <w:spacing w:before="1"/>
        <w:rPr>
          <w:i/>
        </w:rPr>
      </w:pPr>
      <w:r>
        <w:rPr>
          <w:i/>
          <w:color w:val="5B80AC"/>
        </w:rPr>
        <w:t>Our</w:t>
      </w:r>
      <w:r>
        <w:rPr>
          <w:i/>
          <w:color w:val="5B80AC"/>
          <w:spacing w:val="-3"/>
        </w:rPr>
        <w:t> </w:t>
      </w:r>
      <w:r>
        <w:rPr>
          <w:i/>
          <w:color w:val="5B80AC"/>
        </w:rPr>
        <w:t>Workplace</w:t>
      </w:r>
      <w:r>
        <w:rPr>
          <w:i/>
          <w:color w:val="5B80AC"/>
          <w:spacing w:val="-2"/>
        </w:rPr>
        <w:t> Values</w:t>
      </w:r>
    </w:p>
    <w:p>
      <w:pPr>
        <w:pStyle w:val="ListParagraph"/>
        <w:numPr>
          <w:ilvl w:val="0"/>
          <w:numId w:val="12"/>
        </w:numPr>
        <w:tabs>
          <w:tab w:pos="958" w:val="left" w:leader="none"/>
          <w:tab w:pos="959" w:val="left" w:leader="none"/>
        </w:tabs>
        <w:spacing w:line="240" w:lineRule="auto" w:before="65" w:after="0"/>
        <w:ind w:left="958" w:right="0" w:hanging="568"/>
        <w:jc w:val="left"/>
        <w:rPr>
          <w:sz w:val="22"/>
        </w:rPr>
      </w:pPr>
      <w:r>
        <w:rPr>
          <w:sz w:val="22"/>
        </w:rPr>
        <w:t>We</w:t>
      </w:r>
      <w:r>
        <w:rPr>
          <w:spacing w:val="-4"/>
          <w:sz w:val="22"/>
        </w:rPr>
        <w:t> </w:t>
      </w:r>
      <w:r>
        <w:rPr>
          <w:sz w:val="22"/>
        </w:rPr>
        <w:t>are</w:t>
      </w:r>
      <w:r>
        <w:rPr>
          <w:spacing w:val="-5"/>
          <w:sz w:val="22"/>
        </w:rPr>
        <w:t> </w:t>
      </w:r>
      <w:r>
        <w:rPr>
          <w:b/>
          <w:sz w:val="22"/>
        </w:rPr>
        <w:t>ACCOUNTABLE</w:t>
      </w:r>
      <w:r>
        <w:rPr>
          <w:b/>
          <w:spacing w:val="-5"/>
          <w:sz w:val="22"/>
        </w:rPr>
        <w:t> </w:t>
      </w:r>
      <w:r>
        <w:rPr>
          <w:sz w:val="22"/>
        </w:rPr>
        <w:t>to</w:t>
      </w:r>
      <w:r>
        <w:rPr>
          <w:spacing w:val="-4"/>
          <w:sz w:val="22"/>
        </w:rPr>
        <w:t> </w:t>
      </w:r>
      <w:r>
        <w:rPr>
          <w:sz w:val="22"/>
        </w:rPr>
        <w:t>each</w:t>
      </w:r>
      <w:r>
        <w:rPr>
          <w:spacing w:val="-2"/>
          <w:sz w:val="22"/>
        </w:rPr>
        <w:t> </w:t>
      </w:r>
      <w:r>
        <w:rPr>
          <w:sz w:val="22"/>
        </w:rPr>
        <w:t>other</w:t>
      </w:r>
      <w:r>
        <w:rPr>
          <w:spacing w:val="-2"/>
          <w:sz w:val="22"/>
        </w:rPr>
        <w:t> </w:t>
      </w:r>
      <w:r>
        <w:rPr>
          <w:sz w:val="22"/>
        </w:rPr>
        <w:t>and</w:t>
      </w:r>
      <w:r>
        <w:rPr>
          <w:spacing w:val="-2"/>
          <w:sz w:val="22"/>
        </w:rPr>
        <w:t> </w:t>
      </w:r>
      <w:r>
        <w:rPr>
          <w:sz w:val="22"/>
        </w:rPr>
        <w:t>our</w:t>
      </w:r>
      <w:r>
        <w:rPr>
          <w:spacing w:val="-2"/>
          <w:sz w:val="22"/>
        </w:rPr>
        <w:t> community.</w:t>
      </w:r>
    </w:p>
    <w:p>
      <w:pPr>
        <w:pStyle w:val="ListParagraph"/>
        <w:numPr>
          <w:ilvl w:val="0"/>
          <w:numId w:val="12"/>
        </w:numPr>
        <w:tabs>
          <w:tab w:pos="958" w:val="left" w:leader="none"/>
          <w:tab w:pos="959" w:val="left" w:leader="none"/>
        </w:tabs>
        <w:spacing w:line="240" w:lineRule="auto" w:before="124" w:after="0"/>
        <w:ind w:left="958" w:right="0" w:hanging="568"/>
        <w:jc w:val="left"/>
        <w:rPr>
          <w:sz w:val="22"/>
        </w:rPr>
      </w:pPr>
      <w:r>
        <w:rPr>
          <w:sz w:val="22"/>
        </w:rPr>
        <w:t>We</w:t>
      </w:r>
      <w:r>
        <w:rPr>
          <w:spacing w:val="-5"/>
          <w:sz w:val="22"/>
        </w:rPr>
        <w:t> </w:t>
      </w:r>
      <w:r>
        <w:rPr>
          <w:sz w:val="22"/>
        </w:rPr>
        <w:t>collaborate</w:t>
      </w:r>
      <w:r>
        <w:rPr>
          <w:spacing w:val="-4"/>
          <w:sz w:val="22"/>
        </w:rPr>
        <w:t> </w:t>
      </w:r>
      <w:r>
        <w:rPr>
          <w:sz w:val="22"/>
        </w:rPr>
        <w:t>in</w:t>
      </w:r>
      <w:r>
        <w:rPr>
          <w:spacing w:val="-3"/>
          <w:sz w:val="22"/>
        </w:rPr>
        <w:t> </w:t>
      </w:r>
      <w:r>
        <w:rPr>
          <w:sz w:val="22"/>
        </w:rPr>
        <w:t>an</w:t>
      </w:r>
      <w:r>
        <w:rPr>
          <w:spacing w:val="-6"/>
          <w:sz w:val="22"/>
        </w:rPr>
        <w:t> </w:t>
      </w:r>
      <w:r>
        <w:rPr>
          <w:sz w:val="22"/>
        </w:rPr>
        <w:t>adaptable</w:t>
      </w:r>
      <w:r>
        <w:rPr>
          <w:spacing w:val="-4"/>
          <w:sz w:val="22"/>
        </w:rPr>
        <w:t> </w:t>
      </w:r>
      <w:r>
        <w:rPr>
          <w:sz w:val="22"/>
        </w:rPr>
        <w:t>and</w:t>
      </w:r>
      <w:r>
        <w:rPr>
          <w:spacing w:val="-5"/>
          <w:sz w:val="22"/>
        </w:rPr>
        <w:t> </w:t>
      </w:r>
      <w:r>
        <w:rPr>
          <w:b/>
          <w:sz w:val="22"/>
        </w:rPr>
        <w:t>SUPPORTIVE</w:t>
      </w:r>
      <w:r>
        <w:rPr>
          <w:b/>
          <w:spacing w:val="-6"/>
          <w:sz w:val="22"/>
        </w:rPr>
        <w:t> </w:t>
      </w:r>
      <w:r>
        <w:rPr>
          <w:spacing w:val="-2"/>
          <w:sz w:val="22"/>
        </w:rPr>
        <w:t>workplace.</w:t>
      </w:r>
    </w:p>
    <w:p>
      <w:pPr>
        <w:pStyle w:val="ListParagraph"/>
        <w:numPr>
          <w:ilvl w:val="0"/>
          <w:numId w:val="12"/>
        </w:numPr>
        <w:tabs>
          <w:tab w:pos="958" w:val="left" w:leader="none"/>
          <w:tab w:pos="959" w:val="left" w:leader="none"/>
        </w:tabs>
        <w:spacing w:line="240" w:lineRule="auto" w:before="124" w:after="0"/>
        <w:ind w:left="958" w:right="0" w:hanging="568"/>
        <w:jc w:val="left"/>
        <w:rPr>
          <w:sz w:val="22"/>
        </w:rPr>
      </w:pPr>
      <w:r>
        <w:rPr>
          <w:sz w:val="22"/>
        </w:rPr>
        <w:t>We</w:t>
      </w:r>
      <w:r>
        <w:rPr>
          <w:spacing w:val="-4"/>
          <w:sz w:val="22"/>
        </w:rPr>
        <w:t> </w:t>
      </w:r>
      <w:r>
        <w:rPr>
          <w:b/>
          <w:sz w:val="22"/>
        </w:rPr>
        <w:t>PERFORM</w:t>
      </w:r>
      <w:r>
        <w:rPr>
          <w:b/>
          <w:spacing w:val="-3"/>
          <w:sz w:val="22"/>
        </w:rPr>
        <w:t> </w:t>
      </w:r>
      <w:r>
        <w:rPr>
          <w:sz w:val="22"/>
        </w:rPr>
        <w:t>at</w:t>
      </w:r>
      <w:r>
        <w:rPr>
          <w:spacing w:val="-2"/>
          <w:sz w:val="22"/>
        </w:rPr>
        <w:t> </w:t>
      </w:r>
      <w:r>
        <w:rPr>
          <w:sz w:val="22"/>
        </w:rPr>
        <w:t>our</w:t>
      </w:r>
      <w:r>
        <w:rPr>
          <w:spacing w:val="-3"/>
          <w:sz w:val="22"/>
        </w:rPr>
        <w:t> </w:t>
      </w:r>
      <w:r>
        <w:rPr>
          <w:spacing w:val="-2"/>
          <w:sz w:val="22"/>
        </w:rPr>
        <w:t>best.</w:t>
      </w:r>
    </w:p>
    <w:p>
      <w:pPr>
        <w:pStyle w:val="ListParagraph"/>
        <w:numPr>
          <w:ilvl w:val="0"/>
          <w:numId w:val="12"/>
        </w:numPr>
        <w:tabs>
          <w:tab w:pos="958" w:val="left" w:leader="none"/>
          <w:tab w:pos="959" w:val="left" w:leader="none"/>
        </w:tabs>
        <w:spacing w:line="240" w:lineRule="auto" w:before="126" w:after="0"/>
        <w:ind w:left="958" w:right="0" w:hanging="568"/>
        <w:jc w:val="left"/>
        <w:rPr>
          <w:sz w:val="22"/>
        </w:rPr>
      </w:pPr>
      <w:r>
        <w:rPr>
          <w:sz w:val="22"/>
        </w:rPr>
        <w:t>We</w:t>
      </w:r>
      <w:r>
        <w:rPr>
          <w:spacing w:val="-2"/>
          <w:sz w:val="22"/>
        </w:rPr>
        <w:t> </w:t>
      </w:r>
      <w:r>
        <w:rPr>
          <w:sz w:val="22"/>
        </w:rPr>
        <w:t>are</w:t>
      </w:r>
      <w:r>
        <w:rPr>
          <w:spacing w:val="-5"/>
          <w:sz w:val="22"/>
        </w:rPr>
        <w:t> </w:t>
      </w:r>
      <w:r>
        <w:rPr>
          <w:sz w:val="22"/>
        </w:rPr>
        <w:t>open,</w:t>
      </w:r>
      <w:r>
        <w:rPr>
          <w:spacing w:val="-1"/>
          <w:sz w:val="22"/>
        </w:rPr>
        <w:t> </w:t>
      </w:r>
      <w:r>
        <w:rPr>
          <w:sz w:val="22"/>
        </w:rPr>
        <w:t>honest,</w:t>
      </w:r>
      <w:r>
        <w:rPr>
          <w:spacing w:val="-5"/>
          <w:sz w:val="22"/>
        </w:rPr>
        <w:t> </w:t>
      </w:r>
      <w:r>
        <w:rPr>
          <w:b/>
          <w:sz w:val="22"/>
        </w:rPr>
        <w:t>INCLUSIVE</w:t>
      </w:r>
      <w:r>
        <w:rPr>
          <w:b/>
          <w:spacing w:val="-4"/>
          <w:sz w:val="22"/>
        </w:rPr>
        <w:t> </w:t>
      </w:r>
      <w:r>
        <w:rPr>
          <w:sz w:val="22"/>
        </w:rPr>
        <w:t>and</w:t>
      </w:r>
      <w:r>
        <w:rPr>
          <w:spacing w:val="-3"/>
          <w:sz w:val="22"/>
        </w:rPr>
        <w:t> </w:t>
      </w:r>
      <w:r>
        <w:rPr>
          <w:sz w:val="22"/>
        </w:rPr>
        <w:t>act</w:t>
      </w:r>
      <w:r>
        <w:rPr>
          <w:spacing w:val="-1"/>
          <w:sz w:val="22"/>
        </w:rPr>
        <w:t> </w:t>
      </w:r>
      <w:r>
        <w:rPr>
          <w:sz w:val="22"/>
        </w:rPr>
        <w:t>with</w:t>
      </w:r>
      <w:r>
        <w:rPr>
          <w:spacing w:val="-4"/>
          <w:sz w:val="22"/>
        </w:rPr>
        <w:t> </w:t>
      </w:r>
      <w:r>
        <w:rPr>
          <w:spacing w:val="-2"/>
          <w:sz w:val="22"/>
        </w:rPr>
        <w:t>integrity.</w:t>
      </w:r>
    </w:p>
    <w:p>
      <w:pPr>
        <w:pStyle w:val="ListParagraph"/>
        <w:numPr>
          <w:ilvl w:val="0"/>
          <w:numId w:val="12"/>
        </w:numPr>
        <w:tabs>
          <w:tab w:pos="958" w:val="left" w:leader="none"/>
          <w:tab w:pos="959" w:val="left" w:leader="none"/>
        </w:tabs>
        <w:spacing w:line="240" w:lineRule="auto" w:before="124" w:after="0"/>
        <w:ind w:left="958" w:right="0" w:hanging="568"/>
        <w:jc w:val="left"/>
        <w:rPr>
          <w:b/>
          <w:sz w:val="22"/>
        </w:rPr>
      </w:pPr>
      <w:r>
        <w:rPr>
          <w:sz w:val="22"/>
        </w:rPr>
        <w:t>We</w:t>
      </w:r>
      <w:r>
        <w:rPr>
          <w:spacing w:val="-3"/>
          <w:sz w:val="22"/>
        </w:rPr>
        <w:t> </w:t>
      </w:r>
      <w:r>
        <w:rPr>
          <w:sz w:val="22"/>
        </w:rPr>
        <w:t>ensure</w:t>
      </w:r>
      <w:r>
        <w:rPr>
          <w:spacing w:val="-2"/>
          <w:sz w:val="22"/>
        </w:rPr>
        <w:t> </w:t>
      </w:r>
      <w:r>
        <w:rPr>
          <w:sz w:val="22"/>
        </w:rPr>
        <w:t>every</w:t>
      </w:r>
      <w:r>
        <w:rPr>
          <w:spacing w:val="-5"/>
          <w:sz w:val="22"/>
        </w:rPr>
        <w:t> </w:t>
      </w:r>
      <w:r>
        <w:rPr>
          <w:sz w:val="22"/>
        </w:rPr>
        <w:t>voice</w:t>
      </w:r>
      <w:r>
        <w:rPr>
          <w:spacing w:val="-5"/>
          <w:sz w:val="22"/>
        </w:rPr>
        <w:t> </w:t>
      </w:r>
      <w:r>
        <w:rPr>
          <w:sz w:val="22"/>
        </w:rPr>
        <w:t>is</w:t>
      </w:r>
      <w:r>
        <w:rPr>
          <w:spacing w:val="-4"/>
          <w:sz w:val="22"/>
        </w:rPr>
        <w:t> </w:t>
      </w:r>
      <w:r>
        <w:rPr>
          <w:sz w:val="22"/>
        </w:rPr>
        <w:t>heard,</w:t>
      </w:r>
      <w:r>
        <w:rPr>
          <w:spacing w:val="-1"/>
          <w:sz w:val="22"/>
        </w:rPr>
        <w:t> </w:t>
      </w:r>
      <w:r>
        <w:rPr>
          <w:sz w:val="22"/>
        </w:rPr>
        <w:t>valued,</w:t>
      </w:r>
      <w:r>
        <w:rPr>
          <w:spacing w:val="-1"/>
          <w:sz w:val="22"/>
        </w:rPr>
        <w:t> </w:t>
      </w:r>
      <w:r>
        <w:rPr>
          <w:sz w:val="22"/>
        </w:rPr>
        <w:t>and</w:t>
      </w:r>
      <w:r>
        <w:rPr>
          <w:spacing w:val="-4"/>
          <w:sz w:val="22"/>
        </w:rPr>
        <w:t> </w:t>
      </w:r>
      <w:r>
        <w:rPr>
          <w:b/>
          <w:spacing w:val="-2"/>
          <w:sz w:val="22"/>
        </w:rPr>
        <w:t>RESPECTED.</w:t>
      </w:r>
    </w:p>
    <w:p>
      <w:pPr>
        <w:pStyle w:val="ListParagraph"/>
        <w:numPr>
          <w:ilvl w:val="0"/>
          <w:numId w:val="12"/>
        </w:numPr>
        <w:tabs>
          <w:tab w:pos="958" w:val="left" w:leader="none"/>
          <w:tab w:pos="959" w:val="left" w:leader="none"/>
        </w:tabs>
        <w:spacing w:line="240" w:lineRule="auto" w:before="125" w:after="0"/>
        <w:ind w:left="958" w:right="0" w:hanging="568"/>
        <w:jc w:val="left"/>
        <w:rPr>
          <w:b/>
          <w:sz w:val="22"/>
        </w:rPr>
      </w:pPr>
      <w:r>
        <w:rPr>
          <w:sz w:val="22"/>
        </w:rPr>
        <w:t>We</w:t>
      </w:r>
      <w:r>
        <w:rPr>
          <w:spacing w:val="-1"/>
          <w:sz w:val="22"/>
        </w:rPr>
        <w:t> </w:t>
      </w:r>
      <w:r>
        <w:rPr>
          <w:sz w:val="22"/>
        </w:rPr>
        <w:t>are</w:t>
      </w:r>
      <w:r>
        <w:rPr>
          <w:spacing w:val="-4"/>
          <w:sz w:val="22"/>
        </w:rPr>
        <w:t> </w:t>
      </w:r>
      <w:r>
        <w:rPr>
          <w:sz w:val="22"/>
        </w:rPr>
        <w:t>brave,</w:t>
      </w:r>
      <w:r>
        <w:rPr>
          <w:spacing w:val="-4"/>
          <w:sz w:val="22"/>
        </w:rPr>
        <w:t> </w:t>
      </w:r>
      <w:r>
        <w:rPr>
          <w:sz w:val="22"/>
        </w:rPr>
        <w:t>bold</w:t>
      </w:r>
      <w:r>
        <w:rPr>
          <w:spacing w:val="-3"/>
          <w:sz w:val="22"/>
        </w:rPr>
        <w:t> </w:t>
      </w:r>
      <w:r>
        <w:rPr>
          <w:sz w:val="22"/>
        </w:rPr>
        <w:t>and</w:t>
      </w:r>
      <w:r>
        <w:rPr>
          <w:spacing w:val="-5"/>
          <w:sz w:val="22"/>
        </w:rPr>
        <w:t> </w:t>
      </w:r>
      <w:r>
        <w:rPr>
          <w:sz w:val="22"/>
        </w:rPr>
        <w:t>achieve</w:t>
      </w:r>
      <w:r>
        <w:rPr>
          <w:spacing w:val="-1"/>
          <w:sz w:val="22"/>
        </w:rPr>
        <w:t> </w:t>
      </w:r>
      <w:r>
        <w:rPr>
          <w:b/>
          <w:spacing w:val="-2"/>
          <w:sz w:val="22"/>
        </w:rPr>
        <w:t>EXCELLENCE.</w:t>
      </w:r>
    </w:p>
    <w:p>
      <w:pPr>
        <w:pStyle w:val="BodyText"/>
        <w:rPr>
          <w:b/>
          <w:sz w:val="33"/>
        </w:rPr>
      </w:pPr>
    </w:p>
    <w:p>
      <w:pPr>
        <w:pStyle w:val="Heading2"/>
        <w:numPr>
          <w:ilvl w:val="2"/>
          <w:numId w:val="11"/>
        </w:numPr>
        <w:tabs>
          <w:tab w:pos="1094" w:val="left" w:leader="none"/>
        </w:tabs>
        <w:spacing w:line="240" w:lineRule="auto" w:before="0" w:after="0"/>
        <w:ind w:left="1093" w:right="0" w:hanging="703"/>
        <w:jc w:val="left"/>
        <w:rPr>
          <w:color w:val="4966AC"/>
        </w:rPr>
      </w:pPr>
      <w:r>
        <w:rPr>
          <w:color w:val="4966AC"/>
        </w:rPr>
        <w:t>What</w:t>
      </w:r>
      <w:r>
        <w:rPr>
          <w:color w:val="4966AC"/>
          <w:spacing w:val="-3"/>
        </w:rPr>
        <w:t> </w:t>
      </w:r>
      <w:r>
        <w:rPr>
          <w:color w:val="4966AC"/>
        </w:rPr>
        <w:t>Our</w:t>
      </w:r>
      <w:r>
        <w:rPr>
          <w:color w:val="4966AC"/>
          <w:spacing w:val="-3"/>
        </w:rPr>
        <w:t> </w:t>
      </w:r>
      <w:r>
        <w:rPr>
          <w:color w:val="4966AC"/>
        </w:rPr>
        <w:t>Community</w:t>
      </w:r>
      <w:r>
        <w:rPr>
          <w:color w:val="4966AC"/>
          <w:spacing w:val="-4"/>
        </w:rPr>
        <w:t> Said</w:t>
      </w:r>
    </w:p>
    <w:p>
      <w:pPr>
        <w:pStyle w:val="BodyText"/>
        <w:spacing w:before="251"/>
        <w:ind w:left="391" w:right="401"/>
        <w:jc w:val="both"/>
      </w:pPr>
      <w:r>
        <w:rPr/>
        <w:t>The Budget evolves out</w:t>
      </w:r>
      <w:r>
        <w:rPr>
          <w:spacing w:val="-1"/>
        </w:rPr>
        <w:t> </w:t>
      </w:r>
      <w:r>
        <w:rPr/>
        <w:t>of Maroondah 2040 - Our future together. Broad</w:t>
      </w:r>
      <w:r>
        <w:rPr>
          <w:spacing w:val="-1"/>
        </w:rPr>
        <w:t> </w:t>
      </w:r>
      <w:r>
        <w:rPr/>
        <w:t>engagement was undertaken both in the development, and recent interim review of the Maroondah 2040 Community Vision. This thorough engagement process included surveys, forums, workshops and events with community members, stakeholders, Advisory Committees, and employees.</w:t>
      </w:r>
    </w:p>
    <w:p>
      <w:pPr>
        <w:pStyle w:val="BodyText"/>
        <w:ind w:left="391" w:right="402"/>
        <w:jc w:val="both"/>
      </w:pPr>
      <w:r>
        <w:rPr/>
        <w:t>The</w:t>
      </w:r>
      <w:r>
        <w:rPr>
          <w:spacing w:val="-4"/>
        </w:rPr>
        <w:t> </w:t>
      </w:r>
      <w:r>
        <w:rPr/>
        <w:t>Budget</w:t>
      </w:r>
      <w:r>
        <w:rPr>
          <w:spacing w:val="-4"/>
        </w:rPr>
        <w:t> </w:t>
      </w:r>
      <w:r>
        <w:rPr/>
        <w:t>has</w:t>
      </w:r>
      <w:r>
        <w:rPr>
          <w:spacing w:val="-6"/>
        </w:rPr>
        <w:t> </w:t>
      </w:r>
      <w:r>
        <w:rPr/>
        <w:t>also</w:t>
      </w:r>
      <w:r>
        <w:rPr>
          <w:spacing w:val="-5"/>
        </w:rPr>
        <w:t> </w:t>
      </w:r>
      <w:r>
        <w:rPr/>
        <w:t>been</w:t>
      </w:r>
      <w:r>
        <w:rPr>
          <w:spacing w:val="-5"/>
        </w:rPr>
        <w:t> </w:t>
      </w:r>
      <w:r>
        <w:rPr/>
        <w:t>informed</w:t>
      </w:r>
      <w:r>
        <w:rPr>
          <w:spacing w:val="-5"/>
        </w:rPr>
        <w:t> </w:t>
      </w:r>
      <w:r>
        <w:rPr/>
        <w:t>by</w:t>
      </w:r>
      <w:r>
        <w:rPr>
          <w:spacing w:val="-6"/>
        </w:rPr>
        <w:t> </w:t>
      </w:r>
      <w:r>
        <w:rPr/>
        <w:t>the</w:t>
      </w:r>
      <w:r>
        <w:rPr>
          <w:spacing w:val="-6"/>
        </w:rPr>
        <w:t> </w:t>
      </w:r>
      <w:r>
        <w:rPr/>
        <w:t>outcomes</w:t>
      </w:r>
      <w:r>
        <w:rPr>
          <w:spacing w:val="-6"/>
        </w:rPr>
        <w:t> </w:t>
      </w:r>
      <w:r>
        <w:rPr/>
        <w:t>of</w:t>
      </w:r>
      <w:r>
        <w:rPr>
          <w:spacing w:val="-6"/>
        </w:rPr>
        <w:t> </w:t>
      </w:r>
      <w:r>
        <w:rPr/>
        <w:t>engagement</w:t>
      </w:r>
      <w:r>
        <w:rPr>
          <w:spacing w:val="-6"/>
        </w:rPr>
        <w:t> </w:t>
      </w:r>
      <w:r>
        <w:rPr/>
        <w:t>undertaken</w:t>
      </w:r>
      <w:r>
        <w:rPr>
          <w:spacing w:val="-10"/>
        </w:rPr>
        <w:t> </w:t>
      </w:r>
      <w:r>
        <w:rPr/>
        <w:t>for</w:t>
      </w:r>
      <w:r>
        <w:rPr>
          <w:spacing w:val="-8"/>
        </w:rPr>
        <w:t> </w:t>
      </w:r>
      <w:r>
        <w:rPr/>
        <w:t>the</w:t>
      </w:r>
      <w:r>
        <w:rPr>
          <w:spacing w:val="-5"/>
        </w:rPr>
        <w:t> </w:t>
      </w:r>
      <w:r>
        <w:rPr/>
        <w:t>Maroondah</w:t>
      </w:r>
      <w:r>
        <w:rPr>
          <w:spacing w:val="-4"/>
        </w:rPr>
        <w:t> </w:t>
      </w:r>
      <w:r>
        <w:rPr/>
        <w:t>COVID- 19 Recovery Plan, including over 3,000 community survey responses; and broad scale engagement for the Maroondah Liveability, Wellbeing and Resilience Strategy 2021-2031.</w:t>
      </w:r>
    </w:p>
    <w:p>
      <w:pPr>
        <w:pStyle w:val="BodyText"/>
        <w:spacing w:before="2"/>
      </w:pPr>
    </w:p>
    <w:p>
      <w:pPr>
        <w:pStyle w:val="Heading2"/>
        <w:numPr>
          <w:ilvl w:val="2"/>
          <w:numId w:val="11"/>
        </w:numPr>
        <w:tabs>
          <w:tab w:pos="1094" w:val="left" w:leader="none"/>
        </w:tabs>
        <w:spacing w:line="240" w:lineRule="auto" w:before="1" w:after="0"/>
        <w:ind w:left="1093" w:right="0" w:hanging="703"/>
        <w:jc w:val="left"/>
        <w:rPr>
          <w:color w:val="4966AC"/>
        </w:rPr>
      </w:pPr>
      <w:r>
        <w:rPr>
          <w:color w:val="4966AC"/>
        </w:rPr>
        <w:t>Deliberative</w:t>
      </w:r>
      <w:r>
        <w:rPr>
          <w:color w:val="4966AC"/>
          <w:spacing w:val="-7"/>
        </w:rPr>
        <w:t> </w:t>
      </w:r>
      <w:r>
        <w:rPr>
          <w:color w:val="4966AC"/>
          <w:spacing w:val="-2"/>
        </w:rPr>
        <w:t>Engagement</w:t>
      </w:r>
    </w:p>
    <w:p>
      <w:pPr>
        <w:pStyle w:val="BodyText"/>
        <w:spacing w:before="250"/>
        <w:ind w:left="391" w:right="402"/>
        <w:jc w:val="both"/>
      </w:pPr>
      <w:r>
        <w:rPr/>
        <w:t>Over</w:t>
      </w:r>
      <w:r>
        <w:rPr>
          <w:spacing w:val="-9"/>
        </w:rPr>
        <w:t> </w:t>
      </w:r>
      <w:r>
        <w:rPr/>
        <w:t>a</w:t>
      </w:r>
      <w:r>
        <w:rPr>
          <w:spacing w:val="-10"/>
        </w:rPr>
        <w:t> </w:t>
      </w:r>
      <w:r>
        <w:rPr/>
        <w:t>period</w:t>
      </w:r>
      <w:r>
        <w:rPr>
          <w:spacing w:val="-8"/>
        </w:rPr>
        <w:t> </w:t>
      </w:r>
      <w:r>
        <w:rPr/>
        <w:t>of</w:t>
      </w:r>
      <w:r>
        <w:rPr>
          <w:spacing w:val="-6"/>
        </w:rPr>
        <w:t> </w:t>
      </w:r>
      <w:r>
        <w:rPr/>
        <w:t>six</w:t>
      </w:r>
      <w:r>
        <w:rPr>
          <w:spacing w:val="-8"/>
        </w:rPr>
        <w:t> </w:t>
      </w:r>
      <w:r>
        <w:rPr/>
        <w:t>weeks,</w:t>
      </w:r>
      <w:r>
        <w:rPr>
          <w:spacing w:val="-6"/>
        </w:rPr>
        <w:t> </w:t>
      </w:r>
      <w:r>
        <w:rPr/>
        <w:t>and</w:t>
      </w:r>
      <w:r>
        <w:rPr>
          <w:spacing w:val="-11"/>
        </w:rPr>
        <w:t> </w:t>
      </w:r>
      <w:r>
        <w:rPr/>
        <w:t>ten</w:t>
      </w:r>
      <w:r>
        <w:rPr>
          <w:spacing w:val="-8"/>
        </w:rPr>
        <w:t> </w:t>
      </w:r>
      <w:r>
        <w:rPr/>
        <w:t>sessions,</w:t>
      </w:r>
      <w:r>
        <w:rPr>
          <w:spacing w:val="-6"/>
        </w:rPr>
        <w:t> </w:t>
      </w:r>
      <w:r>
        <w:rPr/>
        <w:t>a</w:t>
      </w:r>
      <w:r>
        <w:rPr>
          <w:spacing w:val="-10"/>
        </w:rPr>
        <w:t> </w:t>
      </w:r>
      <w:r>
        <w:rPr/>
        <w:t>panel</w:t>
      </w:r>
      <w:r>
        <w:rPr>
          <w:spacing w:val="-8"/>
        </w:rPr>
        <w:t> </w:t>
      </w:r>
      <w:r>
        <w:rPr/>
        <w:t>of</w:t>
      </w:r>
      <w:r>
        <w:rPr>
          <w:spacing w:val="-6"/>
        </w:rPr>
        <w:t> </w:t>
      </w:r>
      <w:r>
        <w:rPr/>
        <w:t>40</w:t>
      </w:r>
      <w:r>
        <w:rPr>
          <w:spacing w:val="-8"/>
        </w:rPr>
        <w:t> </w:t>
      </w:r>
      <w:r>
        <w:rPr/>
        <w:t>community</w:t>
      </w:r>
      <w:r>
        <w:rPr>
          <w:spacing w:val="-11"/>
        </w:rPr>
        <w:t> </w:t>
      </w:r>
      <w:r>
        <w:rPr/>
        <w:t>members</w:t>
      </w:r>
      <w:r>
        <w:rPr>
          <w:spacing w:val="-11"/>
        </w:rPr>
        <w:t> </w:t>
      </w:r>
      <w:r>
        <w:rPr/>
        <w:t>came</w:t>
      </w:r>
      <w:r>
        <w:rPr>
          <w:spacing w:val="-12"/>
        </w:rPr>
        <w:t> </w:t>
      </w:r>
      <w:r>
        <w:rPr/>
        <w:t>together</w:t>
      </w:r>
      <w:r>
        <w:rPr>
          <w:spacing w:val="-9"/>
        </w:rPr>
        <w:t> </w:t>
      </w:r>
      <w:r>
        <w:rPr/>
        <w:t>to</w:t>
      </w:r>
      <w:r>
        <w:rPr>
          <w:spacing w:val="-12"/>
        </w:rPr>
        <w:t> </w:t>
      </w:r>
      <w:r>
        <w:rPr/>
        <w:t>deliberate on the topics of health and wellbeing; liveable communities; environment; and assets. The feedback and recommendations from this panel have informed the Finance Plan, Council Plan</w:t>
      </w:r>
      <w:r>
        <w:rPr>
          <w:spacing w:val="-2"/>
        </w:rPr>
        <w:t> </w:t>
      </w:r>
      <w:r>
        <w:rPr/>
        <w:t>2021-2025, and four-year Budget, and will also inform Council’s future strategic work, projects, and service delivery.</w:t>
      </w:r>
    </w:p>
    <w:p>
      <w:pPr>
        <w:pStyle w:val="BodyText"/>
        <w:spacing w:before="2"/>
        <w:rPr>
          <w:sz w:val="28"/>
        </w:rPr>
      </w:pPr>
    </w:p>
    <w:p>
      <w:pPr>
        <w:pStyle w:val="Heading2"/>
        <w:numPr>
          <w:ilvl w:val="1"/>
          <w:numId w:val="11"/>
        </w:numPr>
        <w:tabs>
          <w:tab w:pos="861" w:val="left" w:leader="none"/>
        </w:tabs>
        <w:spacing w:line="240" w:lineRule="auto" w:before="0" w:after="0"/>
        <w:ind w:left="860" w:right="0" w:hanging="470"/>
        <w:jc w:val="left"/>
      </w:pPr>
      <w:r>
        <w:rPr>
          <w:color w:val="4966AC"/>
        </w:rPr>
        <w:t>Strategic</w:t>
      </w:r>
      <w:r>
        <w:rPr>
          <w:color w:val="4966AC"/>
          <w:spacing w:val="-4"/>
        </w:rPr>
        <w:t> </w:t>
      </w:r>
      <w:r>
        <w:rPr>
          <w:color w:val="4966AC"/>
          <w:spacing w:val="-2"/>
        </w:rPr>
        <w:t>Objectives</w:t>
      </w:r>
    </w:p>
    <w:p>
      <w:pPr>
        <w:pStyle w:val="BodyText"/>
        <w:spacing w:before="253"/>
        <w:ind w:left="391" w:right="400"/>
        <w:jc w:val="both"/>
      </w:pPr>
      <w:r>
        <w:rPr/>
        <w:t>The Council Plan articulates eight future outcome areas (strategic objectives), each with a set of four-year key directions (strategies), priority actions, Council Plan indicators (strategic indicators) and supporting strategies and plans. The priority actions (major initiatives) work towards the achievement of the key directions,</w:t>
      </w:r>
      <w:r>
        <w:rPr>
          <w:spacing w:val="-9"/>
        </w:rPr>
        <w:t> </w:t>
      </w:r>
      <w:r>
        <w:rPr/>
        <w:t>and</w:t>
      </w:r>
      <w:r>
        <w:rPr>
          <w:spacing w:val="-11"/>
        </w:rPr>
        <w:t> </w:t>
      </w:r>
      <w:r>
        <w:rPr/>
        <w:t>ultimately</w:t>
      </w:r>
      <w:r>
        <w:rPr>
          <w:spacing w:val="-12"/>
        </w:rPr>
        <w:t> </w:t>
      </w:r>
      <w:r>
        <w:rPr/>
        <w:t>the</w:t>
      </w:r>
      <w:r>
        <w:rPr>
          <w:spacing w:val="-10"/>
        </w:rPr>
        <w:t> </w:t>
      </w:r>
      <w:r>
        <w:rPr/>
        <w:t>outcome</w:t>
      </w:r>
      <w:r>
        <w:rPr>
          <w:spacing w:val="-11"/>
        </w:rPr>
        <w:t> </w:t>
      </w:r>
      <w:r>
        <w:rPr/>
        <w:t>areas</w:t>
      </w:r>
      <w:r>
        <w:rPr>
          <w:spacing w:val="-9"/>
        </w:rPr>
        <w:t> </w:t>
      </w:r>
      <w:r>
        <w:rPr/>
        <w:t>and</w:t>
      </w:r>
      <w:r>
        <w:rPr>
          <w:spacing w:val="-12"/>
        </w:rPr>
        <w:t> </w:t>
      </w:r>
      <w:r>
        <w:rPr/>
        <w:t>the</w:t>
      </w:r>
      <w:r>
        <w:rPr>
          <w:spacing w:val="-8"/>
        </w:rPr>
        <w:t> </w:t>
      </w:r>
      <w:r>
        <w:rPr/>
        <w:t>vision</w:t>
      </w:r>
      <w:r>
        <w:rPr>
          <w:spacing w:val="-11"/>
        </w:rPr>
        <w:t> </w:t>
      </w:r>
      <w:r>
        <w:rPr/>
        <w:t>outlined</w:t>
      </w:r>
      <w:r>
        <w:rPr>
          <w:spacing w:val="-9"/>
        </w:rPr>
        <w:t> </w:t>
      </w:r>
      <w:r>
        <w:rPr/>
        <w:t>in</w:t>
      </w:r>
      <w:r>
        <w:rPr>
          <w:spacing w:val="-11"/>
        </w:rPr>
        <w:t> </w:t>
      </w:r>
      <w:r>
        <w:rPr>
          <w:i/>
        </w:rPr>
        <w:t>Maroondah</w:t>
      </w:r>
      <w:r>
        <w:rPr>
          <w:i/>
          <w:spacing w:val="-10"/>
        </w:rPr>
        <w:t> </w:t>
      </w:r>
      <w:r>
        <w:rPr>
          <w:i/>
        </w:rPr>
        <w:t>2040</w:t>
      </w:r>
      <w:r>
        <w:rPr>
          <w:i/>
          <w:spacing w:val="-11"/>
        </w:rPr>
        <w:t> </w:t>
      </w:r>
      <w:r>
        <w:rPr>
          <w:i/>
        </w:rPr>
        <w:t>‘Our</w:t>
      </w:r>
      <w:r>
        <w:rPr>
          <w:i/>
          <w:spacing w:val="-12"/>
        </w:rPr>
        <w:t> </w:t>
      </w:r>
      <w:r>
        <w:rPr>
          <w:i/>
        </w:rPr>
        <w:t>future</w:t>
      </w:r>
      <w:r>
        <w:rPr>
          <w:i/>
          <w:spacing w:val="-12"/>
        </w:rPr>
        <w:t> </w:t>
      </w:r>
      <w:r>
        <w:rPr>
          <w:i/>
          <w:spacing w:val="-2"/>
        </w:rPr>
        <w:t>together’</w:t>
      </w:r>
      <w:r>
        <w:rPr>
          <w:spacing w:val="-2"/>
        </w:rPr>
        <w:t>.</w:t>
      </w:r>
    </w:p>
    <w:p>
      <w:pPr>
        <w:pStyle w:val="BodyText"/>
        <w:spacing w:before="10"/>
        <w:rPr>
          <w:sz w:val="19"/>
        </w:rPr>
      </w:pPr>
    </w:p>
    <w:p>
      <w:pPr>
        <w:pStyle w:val="BodyText"/>
        <w:ind w:left="391" w:right="401"/>
        <w:jc w:val="both"/>
      </w:pPr>
      <w:r>
        <w:rPr/>
        <w:t>Council delivers services and initiatives under 14 major service areas. Each contributes to</w:t>
      </w:r>
      <w:r>
        <w:rPr>
          <w:spacing w:val="-1"/>
        </w:rPr>
        <w:t> </w:t>
      </w:r>
      <w:r>
        <w:rPr/>
        <w:t>the achievement of</w:t>
      </w:r>
      <w:r>
        <w:rPr>
          <w:spacing w:val="-10"/>
        </w:rPr>
        <w:t> </w:t>
      </w:r>
      <w:r>
        <w:rPr/>
        <w:t>the</w:t>
      </w:r>
      <w:r>
        <w:rPr>
          <w:spacing w:val="-13"/>
        </w:rPr>
        <w:t> </w:t>
      </w:r>
      <w:r>
        <w:rPr/>
        <w:t>future</w:t>
      </w:r>
      <w:r>
        <w:rPr>
          <w:spacing w:val="-12"/>
        </w:rPr>
        <w:t> </w:t>
      </w:r>
      <w:r>
        <w:rPr/>
        <w:t>outcome</w:t>
      </w:r>
      <w:r>
        <w:rPr>
          <w:spacing w:val="-12"/>
        </w:rPr>
        <w:t> </w:t>
      </w:r>
      <w:r>
        <w:rPr/>
        <w:t>areas</w:t>
      </w:r>
      <w:r>
        <w:rPr>
          <w:spacing w:val="-11"/>
        </w:rPr>
        <w:t> </w:t>
      </w:r>
      <w:r>
        <w:rPr/>
        <w:t>as</w:t>
      </w:r>
      <w:r>
        <w:rPr>
          <w:spacing w:val="-13"/>
        </w:rPr>
        <w:t> </w:t>
      </w:r>
      <w:r>
        <w:rPr/>
        <w:t>set</w:t>
      </w:r>
      <w:r>
        <w:rPr>
          <w:spacing w:val="-12"/>
        </w:rPr>
        <w:t> </w:t>
      </w:r>
      <w:r>
        <w:rPr/>
        <w:t>out</w:t>
      </w:r>
      <w:r>
        <w:rPr>
          <w:spacing w:val="-12"/>
        </w:rPr>
        <w:t> </w:t>
      </w:r>
      <w:r>
        <w:rPr/>
        <w:t>in</w:t>
      </w:r>
      <w:r>
        <w:rPr>
          <w:spacing w:val="-12"/>
        </w:rPr>
        <w:t> </w:t>
      </w:r>
      <w:r>
        <w:rPr>
          <w:i/>
        </w:rPr>
        <w:t>Maroondah</w:t>
      </w:r>
      <w:r>
        <w:rPr>
          <w:i/>
          <w:spacing w:val="-12"/>
        </w:rPr>
        <w:t> </w:t>
      </w:r>
      <w:r>
        <w:rPr>
          <w:i/>
        </w:rPr>
        <w:t>2040</w:t>
      </w:r>
      <w:r>
        <w:rPr>
          <w:i/>
          <w:spacing w:val="-11"/>
        </w:rPr>
        <w:t> </w:t>
      </w:r>
      <w:r>
        <w:rPr>
          <w:i/>
        </w:rPr>
        <w:t>‘Our</w:t>
      </w:r>
      <w:r>
        <w:rPr>
          <w:i/>
          <w:spacing w:val="-13"/>
        </w:rPr>
        <w:t> </w:t>
      </w:r>
      <w:r>
        <w:rPr>
          <w:i/>
        </w:rPr>
        <w:t>future</w:t>
      </w:r>
      <w:r>
        <w:rPr>
          <w:i/>
          <w:spacing w:val="-14"/>
        </w:rPr>
        <w:t> </w:t>
      </w:r>
      <w:r>
        <w:rPr>
          <w:i/>
        </w:rPr>
        <w:t>together’</w:t>
      </w:r>
      <w:r>
        <w:rPr>
          <w:i/>
          <w:spacing w:val="-12"/>
        </w:rPr>
        <w:t> </w:t>
      </w:r>
      <w:r>
        <w:rPr/>
        <w:t>and</w:t>
      </w:r>
      <w:r>
        <w:rPr>
          <w:spacing w:val="-11"/>
        </w:rPr>
        <w:t> </w:t>
      </w:r>
      <w:r>
        <w:rPr/>
        <w:t>Council</w:t>
      </w:r>
      <w:r>
        <w:rPr>
          <w:spacing w:val="-13"/>
        </w:rPr>
        <w:t> </w:t>
      </w:r>
      <w:r>
        <w:rPr/>
        <w:t>Plan.</w:t>
      </w:r>
      <w:r>
        <w:rPr>
          <w:spacing w:val="-12"/>
        </w:rPr>
        <w:t> </w:t>
      </w:r>
      <w:r>
        <w:rPr/>
        <w:t>The</w:t>
      </w:r>
      <w:r>
        <w:rPr>
          <w:spacing w:val="-11"/>
        </w:rPr>
        <w:t> </w:t>
      </w:r>
      <w:r>
        <w:rPr/>
        <w:t>Budget aligns</w:t>
      </w:r>
      <w:r>
        <w:rPr>
          <w:spacing w:val="-11"/>
        </w:rPr>
        <w:t> </w:t>
      </w:r>
      <w:r>
        <w:rPr/>
        <w:t>these</w:t>
      </w:r>
      <w:r>
        <w:rPr>
          <w:spacing w:val="-11"/>
        </w:rPr>
        <w:t> </w:t>
      </w:r>
      <w:r>
        <w:rPr/>
        <w:t>services</w:t>
      </w:r>
      <w:r>
        <w:rPr>
          <w:spacing w:val="-11"/>
        </w:rPr>
        <w:t> </w:t>
      </w:r>
      <w:r>
        <w:rPr/>
        <w:t>and</w:t>
      </w:r>
      <w:r>
        <w:rPr>
          <w:spacing w:val="-12"/>
        </w:rPr>
        <w:t> </w:t>
      </w:r>
      <w:r>
        <w:rPr/>
        <w:t>initiatives</w:t>
      </w:r>
      <w:r>
        <w:rPr>
          <w:spacing w:val="-11"/>
        </w:rPr>
        <w:t> </w:t>
      </w:r>
      <w:r>
        <w:rPr/>
        <w:t>to</w:t>
      </w:r>
      <w:r>
        <w:rPr>
          <w:spacing w:val="-11"/>
        </w:rPr>
        <w:t> </w:t>
      </w:r>
      <w:r>
        <w:rPr/>
        <w:t>Council’s</w:t>
      </w:r>
      <w:r>
        <w:rPr>
          <w:spacing w:val="-11"/>
        </w:rPr>
        <w:t> </w:t>
      </w:r>
      <w:r>
        <w:rPr/>
        <w:t>finances</w:t>
      </w:r>
      <w:r>
        <w:rPr>
          <w:spacing w:val="-11"/>
        </w:rPr>
        <w:t> </w:t>
      </w:r>
      <w:r>
        <w:rPr/>
        <w:t>to</w:t>
      </w:r>
      <w:r>
        <w:rPr>
          <w:spacing w:val="-12"/>
        </w:rPr>
        <w:t> </w:t>
      </w:r>
      <w:r>
        <w:rPr/>
        <w:t>ensure</w:t>
      </w:r>
      <w:r>
        <w:rPr>
          <w:spacing w:val="-12"/>
        </w:rPr>
        <w:t> </w:t>
      </w:r>
      <w:r>
        <w:rPr/>
        <w:t>that</w:t>
      </w:r>
      <w:r>
        <w:rPr>
          <w:spacing w:val="-12"/>
        </w:rPr>
        <w:t> </w:t>
      </w:r>
      <w:r>
        <w:rPr/>
        <w:t>there</w:t>
      </w:r>
      <w:r>
        <w:rPr>
          <w:spacing w:val="-12"/>
        </w:rPr>
        <w:t> </w:t>
      </w:r>
      <w:r>
        <w:rPr/>
        <w:t>are</w:t>
      </w:r>
      <w:r>
        <w:rPr>
          <w:spacing w:val="-12"/>
        </w:rPr>
        <w:t> </w:t>
      </w:r>
      <w:r>
        <w:rPr/>
        <w:t>sufficient</w:t>
      </w:r>
      <w:r>
        <w:rPr>
          <w:spacing w:val="-10"/>
        </w:rPr>
        <w:t> </w:t>
      </w:r>
      <w:r>
        <w:rPr/>
        <w:t>resources</w:t>
      </w:r>
      <w:r>
        <w:rPr>
          <w:spacing w:val="-13"/>
        </w:rPr>
        <w:t> </w:t>
      </w:r>
      <w:r>
        <w:rPr/>
        <w:t>for</w:t>
      </w:r>
      <w:r>
        <w:rPr>
          <w:spacing w:val="-11"/>
        </w:rPr>
        <w:t> </w:t>
      </w:r>
      <w:r>
        <w:rPr/>
        <w:t>their achievement. The</w:t>
      </w:r>
      <w:r>
        <w:rPr>
          <w:spacing w:val="-1"/>
        </w:rPr>
        <w:t> </w:t>
      </w:r>
      <w:r>
        <w:rPr/>
        <w:t>following table</w:t>
      </w:r>
      <w:r>
        <w:rPr>
          <w:spacing w:val="-2"/>
        </w:rPr>
        <w:t> </w:t>
      </w:r>
      <w:r>
        <w:rPr/>
        <w:t>lists</w:t>
      </w:r>
      <w:r>
        <w:rPr>
          <w:spacing w:val="-2"/>
        </w:rPr>
        <w:t> </w:t>
      </w:r>
      <w:r>
        <w:rPr/>
        <w:t>the eight community outcome</w:t>
      </w:r>
      <w:r>
        <w:rPr>
          <w:spacing w:val="-2"/>
        </w:rPr>
        <w:t> </w:t>
      </w:r>
      <w:r>
        <w:rPr/>
        <w:t>areas as described in the</w:t>
      </w:r>
      <w:r>
        <w:rPr>
          <w:spacing w:val="-2"/>
        </w:rPr>
        <w:t> </w:t>
      </w:r>
      <w:r>
        <w:rPr/>
        <w:t>Council Plan.</w:t>
      </w:r>
    </w:p>
    <w:p>
      <w:pPr>
        <w:spacing w:after="0"/>
        <w:jc w:val="both"/>
        <w:sectPr>
          <w:pgSz w:w="11910" w:h="16840"/>
          <w:pgMar w:header="0" w:footer="426" w:top="340" w:bottom="620" w:left="460" w:right="160"/>
        </w:sectPr>
      </w:pPr>
    </w:p>
    <w:tbl>
      <w:tblPr>
        <w:tblW w:w="0" w:type="auto"/>
        <w:jc w:val="left"/>
        <w:tblInd w:w="404" w:type="dxa"/>
        <w:tblBorders>
          <w:top w:val="single" w:sz="4" w:space="0" w:color="A0C3E2"/>
          <w:left w:val="single" w:sz="4" w:space="0" w:color="A0C3E2"/>
          <w:bottom w:val="single" w:sz="4" w:space="0" w:color="A0C3E2"/>
          <w:right w:val="single" w:sz="4" w:space="0" w:color="A0C3E2"/>
          <w:insideH w:val="single" w:sz="4" w:space="0" w:color="A0C3E2"/>
          <w:insideV w:val="single" w:sz="4" w:space="0" w:color="A0C3E2"/>
        </w:tblBorders>
        <w:tblLayout w:type="fixed"/>
        <w:tblCellMar>
          <w:top w:w="0" w:type="dxa"/>
          <w:left w:w="0" w:type="dxa"/>
          <w:bottom w:w="0" w:type="dxa"/>
          <w:right w:w="0" w:type="dxa"/>
        </w:tblCellMar>
        <w:tblLook w:val="01E0"/>
      </w:tblPr>
      <w:tblGrid>
        <w:gridCol w:w="2621"/>
        <w:gridCol w:w="7858"/>
      </w:tblGrid>
      <w:tr>
        <w:trPr>
          <w:trHeight w:val="559" w:hRule="atLeast"/>
        </w:trPr>
        <w:tc>
          <w:tcPr>
            <w:tcW w:w="10479" w:type="dxa"/>
            <w:gridSpan w:val="2"/>
            <w:tcBorders>
              <w:top w:val="nil"/>
              <w:left w:val="nil"/>
              <w:bottom w:val="nil"/>
              <w:right w:val="nil"/>
            </w:tcBorders>
            <w:shd w:val="clear" w:color="auto" w:fill="629CD1"/>
          </w:tcPr>
          <w:p>
            <w:pPr>
              <w:pStyle w:val="TableParagraph"/>
              <w:tabs>
                <w:tab w:pos="2731" w:val="left" w:leader="none"/>
              </w:tabs>
              <w:spacing w:before="9"/>
              <w:ind w:left="112"/>
              <w:rPr>
                <w:b/>
                <w:sz w:val="22"/>
              </w:rPr>
            </w:pPr>
            <w:r>
              <w:rPr>
                <w:b/>
                <w:color w:val="FFFFFF"/>
                <w:sz w:val="22"/>
              </w:rPr>
              <w:t>Outcome</w:t>
            </w:r>
            <w:r>
              <w:rPr>
                <w:b/>
                <w:color w:val="FFFFFF"/>
                <w:spacing w:val="-8"/>
                <w:sz w:val="22"/>
              </w:rPr>
              <w:t> </w:t>
            </w:r>
            <w:r>
              <w:rPr>
                <w:b/>
                <w:color w:val="FFFFFF"/>
                <w:spacing w:val="-4"/>
                <w:sz w:val="22"/>
              </w:rPr>
              <w:t>Area</w:t>
            </w:r>
            <w:r>
              <w:rPr>
                <w:b/>
                <w:color w:val="FFFFFF"/>
                <w:sz w:val="22"/>
              </w:rPr>
              <w:tab/>
              <w:t>Vision</w:t>
            </w:r>
            <w:r>
              <w:rPr>
                <w:b/>
                <w:color w:val="FFFFFF"/>
                <w:spacing w:val="-2"/>
                <w:sz w:val="22"/>
              </w:rPr>
              <w:t> Statements</w:t>
            </w:r>
          </w:p>
        </w:tc>
      </w:tr>
      <w:tr>
        <w:trPr>
          <w:trHeight w:val="839" w:hRule="atLeast"/>
        </w:trPr>
        <w:tc>
          <w:tcPr>
            <w:tcW w:w="2621" w:type="dxa"/>
            <w:tcBorders>
              <w:top w:val="nil"/>
            </w:tcBorders>
            <w:shd w:val="clear" w:color="auto" w:fill="DFEBF4"/>
          </w:tcPr>
          <w:p>
            <w:pPr>
              <w:pStyle w:val="TableParagraph"/>
              <w:ind w:left="107" w:right="194"/>
              <w:rPr>
                <w:i/>
                <w:sz w:val="22"/>
              </w:rPr>
            </w:pPr>
            <w:r>
              <w:rPr>
                <w:i/>
                <w:color w:val="287ED4"/>
                <w:sz w:val="22"/>
              </w:rPr>
              <w:t>1.</w:t>
            </w:r>
            <w:r>
              <w:rPr>
                <w:i/>
                <w:color w:val="287ED4"/>
                <w:spacing w:val="40"/>
                <w:sz w:val="22"/>
              </w:rPr>
              <w:t> </w:t>
            </w:r>
            <w:r>
              <w:rPr>
                <w:i/>
                <w:color w:val="287ED4"/>
                <w:sz w:val="22"/>
              </w:rPr>
              <w:t>A</w:t>
            </w:r>
            <w:r>
              <w:rPr>
                <w:i/>
                <w:color w:val="287ED4"/>
                <w:spacing w:val="-8"/>
                <w:sz w:val="22"/>
              </w:rPr>
              <w:t> </w:t>
            </w:r>
            <w:r>
              <w:rPr>
                <w:i/>
                <w:color w:val="287ED4"/>
                <w:sz w:val="22"/>
              </w:rPr>
              <w:t>safe,</w:t>
            </w:r>
            <w:r>
              <w:rPr>
                <w:i/>
                <w:color w:val="287ED4"/>
                <w:spacing w:val="-7"/>
                <w:sz w:val="22"/>
              </w:rPr>
              <w:t> </w:t>
            </w:r>
            <w:r>
              <w:rPr>
                <w:i/>
                <w:color w:val="287ED4"/>
                <w:sz w:val="22"/>
              </w:rPr>
              <w:t>healthy,</w:t>
            </w:r>
            <w:r>
              <w:rPr>
                <w:i/>
                <w:color w:val="287ED4"/>
                <w:spacing w:val="-6"/>
                <w:sz w:val="22"/>
              </w:rPr>
              <w:t> </w:t>
            </w:r>
            <w:r>
              <w:rPr>
                <w:i/>
                <w:color w:val="287ED4"/>
                <w:sz w:val="22"/>
              </w:rPr>
              <w:t>and</w:t>
            </w:r>
            <w:r>
              <w:rPr>
                <w:i/>
                <w:color w:val="287ED4"/>
                <w:sz w:val="22"/>
              </w:rPr>
              <w:t> active community</w:t>
            </w:r>
          </w:p>
        </w:tc>
        <w:tc>
          <w:tcPr>
            <w:tcW w:w="7858" w:type="dxa"/>
            <w:tcBorders>
              <w:top w:val="nil"/>
            </w:tcBorders>
            <w:shd w:val="clear" w:color="auto" w:fill="DFEBF4"/>
          </w:tcPr>
          <w:p>
            <w:pPr>
              <w:pStyle w:val="TableParagraph"/>
              <w:ind w:left="105" w:right="95"/>
              <w:jc w:val="both"/>
              <w:rPr>
                <w:sz w:val="22"/>
              </w:rPr>
            </w:pPr>
            <w:r>
              <w:rPr>
                <w:sz w:val="22"/>
              </w:rPr>
              <w:t>In 2040, Maroondah will be a safe, healthy and active community where all people</w:t>
            </w:r>
            <w:r>
              <w:rPr>
                <w:spacing w:val="-10"/>
                <w:sz w:val="22"/>
              </w:rPr>
              <w:t> </w:t>
            </w:r>
            <w:r>
              <w:rPr>
                <w:sz w:val="22"/>
              </w:rPr>
              <w:t>have</w:t>
            </w:r>
            <w:r>
              <w:rPr>
                <w:spacing w:val="-10"/>
                <w:sz w:val="22"/>
              </w:rPr>
              <w:t> </w:t>
            </w:r>
            <w:r>
              <w:rPr>
                <w:sz w:val="22"/>
              </w:rPr>
              <w:t>the</w:t>
            </w:r>
            <w:r>
              <w:rPr>
                <w:spacing w:val="-9"/>
                <w:sz w:val="22"/>
              </w:rPr>
              <w:t> </w:t>
            </w:r>
            <w:r>
              <w:rPr>
                <w:sz w:val="22"/>
              </w:rPr>
              <w:t>opportunity</w:t>
            </w:r>
            <w:r>
              <w:rPr>
                <w:spacing w:val="-9"/>
                <w:sz w:val="22"/>
              </w:rPr>
              <w:t> </w:t>
            </w:r>
            <w:r>
              <w:rPr>
                <w:sz w:val="22"/>
              </w:rPr>
              <w:t>to</w:t>
            </w:r>
            <w:r>
              <w:rPr>
                <w:spacing w:val="-12"/>
                <w:sz w:val="22"/>
              </w:rPr>
              <w:t> </w:t>
            </w:r>
            <w:r>
              <w:rPr>
                <w:sz w:val="22"/>
              </w:rPr>
              <w:t>experience</w:t>
            </w:r>
            <w:r>
              <w:rPr>
                <w:spacing w:val="-9"/>
                <w:sz w:val="22"/>
              </w:rPr>
              <w:t> </w:t>
            </w:r>
            <w:r>
              <w:rPr>
                <w:sz w:val="22"/>
              </w:rPr>
              <w:t>enhanced</w:t>
            </w:r>
            <w:r>
              <w:rPr>
                <w:spacing w:val="-8"/>
                <w:sz w:val="22"/>
              </w:rPr>
              <w:t> </w:t>
            </w:r>
            <w:r>
              <w:rPr>
                <w:sz w:val="22"/>
              </w:rPr>
              <w:t>levels</w:t>
            </w:r>
            <w:r>
              <w:rPr>
                <w:spacing w:val="-9"/>
                <w:sz w:val="22"/>
              </w:rPr>
              <w:t> </w:t>
            </w:r>
            <w:r>
              <w:rPr>
                <w:sz w:val="22"/>
              </w:rPr>
              <w:t>of</w:t>
            </w:r>
            <w:r>
              <w:rPr>
                <w:spacing w:val="-9"/>
                <w:sz w:val="22"/>
              </w:rPr>
              <w:t> </w:t>
            </w:r>
            <w:r>
              <w:rPr>
                <w:sz w:val="22"/>
              </w:rPr>
              <w:t>social,</w:t>
            </w:r>
            <w:r>
              <w:rPr>
                <w:spacing w:val="-7"/>
                <w:sz w:val="22"/>
              </w:rPr>
              <w:t> </w:t>
            </w:r>
            <w:r>
              <w:rPr>
                <w:sz w:val="22"/>
              </w:rPr>
              <w:t>emotional and physical wellbeing.</w:t>
            </w:r>
          </w:p>
        </w:tc>
      </w:tr>
      <w:tr>
        <w:trPr>
          <w:trHeight w:val="1012" w:hRule="atLeast"/>
        </w:trPr>
        <w:tc>
          <w:tcPr>
            <w:tcW w:w="2621" w:type="dxa"/>
          </w:tcPr>
          <w:p>
            <w:pPr>
              <w:pStyle w:val="TableParagraph"/>
              <w:ind w:left="107" w:right="194"/>
              <w:rPr>
                <w:i/>
                <w:sz w:val="22"/>
              </w:rPr>
            </w:pPr>
            <w:r>
              <w:rPr>
                <w:i/>
                <w:color w:val="287ED4"/>
                <w:sz w:val="22"/>
              </w:rPr>
              <w:t>2.</w:t>
            </w:r>
            <w:r>
              <w:rPr>
                <w:i/>
                <w:color w:val="287ED4"/>
                <w:spacing w:val="40"/>
                <w:sz w:val="22"/>
              </w:rPr>
              <w:t> </w:t>
            </w:r>
            <w:r>
              <w:rPr>
                <w:i/>
                <w:color w:val="287ED4"/>
                <w:sz w:val="22"/>
              </w:rPr>
              <w:t>A</w:t>
            </w:r>
            <w:r>
              <w:rPr>
                <w:i/>
                <w:color w:val="287ED4"/>
                <w:spacing w:val="-9"/>
                <w:sz w:val="22"/>
              </w:rPr>
              <w:t> </w:t>
            </w:r>
            <w:r>
              <w:rPr>
                <w:i/>
                <w:color w:val="287ED4"/>
                <w:sz w:val="22"/>
              </w:rPr>
              <w:t>prosperous</w:t>
            </w:r>
            <w:r>
              <w:rPr>
                <w:i/>
                <w:color w:val="287ED4"/>
                <w:spacing w:val="-9"/>
                <w:sz w:val="22"/>
              </w:rPr>
              <w:t> </w:t>
            </w:r>
            <w:r>
              <w:rPr>
                <w:i/>
                <w:color w:val="287ED4"/>
                <w:sz w:val="22"/>
              </w:rPr>
              <w:t>and</w:t>
            </w:r>
            <w:r>
              <w:rPr>
                <w:i/>
                <w:color w:val="287ED4"/>
                <w:sz w:val="22"/>
              </w:rPr>
              <w:t> learning community</w:t>
            </w:r>
          </w:p>
        </w:tc>
        <w:tc>
          <w:tcPr>
            <w:tcW w:w="7858" w:type="dxa"/>
          </w:tcPr>
          <w:p>
            <w:pPr>
              <w:pStyle w:val="TableParagraph"/>
              <w:ind w:left="105"/>
              <w:rPr>
                <w:sz w:val="22"/>
              </w:rPr>
            </w:pPr>
            <w:r>
              <w:rPr>
                <w:sz w:val="22"/>
              </w:rPr>
              <w:t>In 2040, Maroondah will be a thriving regional centre of economic activity and education,</w:t>
            </w:r>
            <w:r>
              <w:rPr>
                <w:spacing w:val="1"/>
                <w:sz w:val="22"/>
              </w:rPr>
              <w:t> </w:t>
            </w:r>
            <w:r>
              <w:rPr>
                <w:sz w:val="22"/>
              </w:rPr>
              <w:t>where</w:t>
            </w:r>
            <w:r>
              <w:rPr>
                <w:spacing w:val="-2"/>
                <w:sz w:val="22"/>
              </w:rPr>
              <w:t> </w:t>
            </w:r>
            <w:r>
              <w:rPr>
                <w:sz w:val="22"/>
              </w:rPr>
              <w:t>the</w:t>
            </w:r>
            <w:r>
              <w:rPr>
                <w:spacing w:val="-1"/>
                <w:sz w:val="22"/>
              </w:rPr>
              <w:t> </w:t>
            </w:r>
            <w:r>
              <w:rPr>
                <w:sz w:val="22"/>
              </w:rPr>
              <w:t>sustainable growth of</w:t>
            </w:r>
            <w:r>
              <w:rPr>
                <w:spacing w:val="-1"/>
                <w:sz w:val="22"/>
              </w:rPr>
              <w:t> </w:t>
            </w:r>
            <w:r>
              <w:rPr>
                <w:sz w:val="22"/>
              </w:rPr>
              <w:t>local</w:t>
            </w:r>
            <w:r>
              <w:rPr>
                <w:spacing w:val="-1"/>
                <w:sz w:val="22"/>
              </w:rPr>
              <w:t> </w:t>
            </w:r>
            <w:r>
              <w:rPr>
                <w:sz w:val="22"/>
              </w:rPr>
              <w:t>businesses</w:t>
            </w:r>
            <w:r>
              <w:rPr>
                <w:spacing w:val="3"/>
                <w:sz w:val="22"/>
              </w:rPr>
              <w:t> </w:t>
            </w:r>
            <w:r>
              <w:rPr>
                <w:sz w:val="22"/>
              </w:rPr>
              <w:t>is</w:t>
            </w:r>
            <w:r>
              <w:rPr>
                <w:spacing w:val="-1"/>
                <w:sz w:val="22"/>
              </w:rPr>
              <w:t> </w:t>
            </w:r>
            <w:r>
              <w:rPr>
                <w:sz w:val="22"/>
              </w:rPr>
              <w:t>supported, </w:t>
            </w:r>
            <w:r>
              <w:rPr>
                <w:spacing w:val="-5"/>
                <w:sz w:val="22"/>
              </w:rPr>
              <w:t>and</w:t>
            </w:r>
          </w:p>
          <w:p>
            <w:pPr>
              <w:pStyle w:val="TableParagraph"/>
              <w:spacing w:line="252" w:lineRule="exact"/>
              <w:ind w:left="105"/>
              <w:rPr>
                <w:sz w:val="22"/>
              </w:rPr>
            </w:pPr>
            <w:r>
              <w:rPr>
                <w:sz w:val="22"/>
              </w:rPr>
              <w:t>diverse</w:t>
            </w:r>
            <w:r>
              <w:rPr>
                <w:spacing w:val="80"/>
                <w:sz w:val="22"/>
              </w:rPr>
              <w:t> </w:t>
            </w:r>
            <w:r>
              <w:rPr>
                <w:sz w:val="22"/>
              </w:rPr>
              <w:t>lifelong</w:t>
            </w:r>
            <w:r>
              <w:rPr>
                <w:spacing w:val="80"/>
                <w:sz w:val="22"/>
              </w:rPr>
              <w:t> </w:t>
            </w:r>
            <w:r>
              <w:rPr>
                <w:sz w:val="22"/>
              </w:rPr>
              <w:t>learning</w:t>
            </w:r>
            <w:r>
              <w:rPr>
                <w:spacing w:val="80"/>
                <w:sz w:val="22"/>
              </w:rPr>
              <w:t> </w:t>
            </w:r>
            <w:r>
              <w:rPr>
                <w:sz w:val="22"/>
              </w:rPr>
              <w:t>opportunities</w:t>
            </w:r>
            <w:r>
              <w:rPr>
                <w:spacing w:val="80"/>
                <w:sz w:val="22"/>
              </w:rPr>
              <w:t> </w:t>
            </w:r>
            <w:r>
              <w:rPr>
                <w:sz w:val="22"/>
              </w:rPr>
              <w:t>are</w:t>
            </w:r>
            <w:r>
              <w:rPr>
                <w:spacing w:val="80"/>
                <w:sz w:val="22"/>
              </w:rPr>
              <w:t> </w:t>
            </w:r>
            <w:r>
              <w:rPr>
                <w:sz w:val="22"/>
              </w:rPr>
              <w:t>accessible</w:t>
            </w:r>
            <w:r>
              <w:rPr>
                <w:spacing w:val="80"/>
                <w:sz w:val="22"/>
              </w:rPr>
              <w:t> </w:t>
            </w:r>
            <w:r>
              <w:rPr>
                <w:sz w:val="22"/>
              </w:rPr>
              <w:t>for</w:t>
            </w:r>
            <w:r>
              <w:rPr>
                <w:spacing w:val="80"/>
                <w:sz w:val="22"/>
              </w:rPr>
              <w:t> </w:t>
            </w:r>
            <w:r>
              <w:rPr>
                <w:sz w:val="22"/>
              </w:rPr>
              <w:t>all</w:t>
            </w:r>
            <w:r>
              <w:rPr>
                <w:spacing w:val="80"/>
                <w:sz w:val="22"/>
              </w:rPr>
              <w:t> </w:t>
            </w:r>
            <w:r>
              <w:rPr>
                <w:sz w:val="22"/>
              </w:rPr>
              <w:t>community </w:t>
            </w:r>
            <w:r>
              <w:rPr>
                <w:spacing w:val="-2"/>
                <w:sz w:val="22"/>
              </w:rPr>
              <w:t>members.</w:t>
            </w:r>
          </w:p>
        </w:tc>
      </w:tr>
      <w:tr>
        <w:trPr>
          <w:trHeight w:val="839" w:hRule="atLeast"/>
        </w:trPr>
        <w:tc>
          <w:tcPr>
            <w:tcW w:w="2621" w:type="dxa"/>
            <w:shd w:val="clear" w:color="auto" w:fill="DFEBF4"/>
          </w:tcPr>
          <w:p>
            <w:pPr>
              <w:pStyle w:val="TableParagraph"/>
              <w:ind w:left="107" w:right="194"/>
              <w:rPr>
                <w:i/>
                <w:sz w:val="22"/>
              </w:rPr>
            </w:pPr>
            <w:r>
              <w:rPr>
                <w:i/>
                <w:color w:val="287ED4"/>
                <w:sz w:val="22"/>
              </w:rPr>
              <w:t>3.</w:t>
            </w:r>
            <w:r>
              <w:rPr>
                <w:i/>
                <w:color w:val="287ED4"/>
                <w:spacing w:val="40"/>
                <w:sz w:val="22"/>
              </w:rPr>
              <w:t> </w:t>
            </w:r>
            <w:r>
              <w:rPr>
                <w:i/>
                <w:color w:val="287ED4"/>
                <w:sz w:val="22"/>
              </w:rPr>
              <w:t>A</w:t>
            </w:r>
            <w:r>
              <w:rPr>
                <w:i/>
                <w:color w:val="287ED4"/>
                <w:spacing w:val="-9"/>
                <w:sz w:val="22"/>
              </w:rPr>
              <w:t> </w:t>
            </w:r>
            <w:r>
              <w:rPr>
                <w:i/>
                <w:color w:val="287ED4"/>
                <w:sz w:val="22"/>
              </w:rPr>
              <w:t>vibrant</w:t>
            </w:r>
            <w:r>
              <w:rPr>
                <w:i/>
                <w:color w:val="287ED4"/>
                <w:spacing w:val="-8"/>
                <w:sz w:val="22"/>
              </w:rPr>
              <w:t> </w:t>
            </w:r>
            <w:r>
              <w:rPr>
                <w:i/>
                <w:color w:val="287ED4"/>
                <w:sz w:val="22"/>
              </w:rPr>
              <w:t>and</w:t>
            </w:r>
            <w:r>
              <w:rPr>
                <w:i/>
                <w:color w:val="287ED4"/>
                <w:sz w:val="22"/>
              </w:rPr>
              <w:t> culturally rich </w:t>
            </w:r>
            <w:r>
              <w:rPr>
                <w:i/>
                <w:color w:val="287ED4"/>
                <w:spacing w:val="-2"/>
                <w:sz w:val="22"/>
              </w:rPr>
              <w:t>community</w:t>
            </w:r>
          </w:p>
        </w:tc>
        <w:tc>
          <w:tcPr>
            <w:tcW w:w="7858" w:type="dxa"/>
            <w:shd w:val="clear" w:color="auto" w:fill="DFEBF4"/>
          </w:tcPr>
          <w:p>
            <w:pPr>
              <w:pStyle w:val="TableParagraph"/>
              <w:ind w:left="105"/>
              <w:rPr>
                <w:sz w:val="22"/>
              </w:rPr>
            </w:pPr>
            <w:r>
              <w:rPr>
                <w:sz w:val="22"/>
              </w:rPr>
              <w:t>In 2040, Maroondah will be a vibrant and creative community recognised for</w:t>
            </w:r>
            <w:r>
              <w:rPr>
                <w:spacing w:val="40"/>
                <w:sz w:val="22"/>
              </w:rPr>
              <w:t> </w:t>
            </w:r>
            <w:r>
              <w:rPr>
                <w:sz w:val="22"/>
              </w:rPr>
              <w:t>celebration of the arts, cultural expression and diverse entertainment options.</w:t>
            </w:r>
          </w:p>
        </w:tc>
      </w:tr>
      <w:tr>
        <w:trPr>
          <w:trHeight w:val="839" w:hRule="atLeast"/>
        </w:trPr>
        <w:tc>
          <w:tcPr>
            <w:tcW w:w="2621" w:type="dxa"/>
          </w:tcPr>
          <w:p>
            <w:pPr>
              <w:pStyle w:val="TableParagraph"/>
              <w:ind w:left="107" w:right="194"/>
              <w:rPr>
                <w:i/>
                <w:sz w:val="22"/>
              </w:rPr>
            </w:pPr>
            <w:r>
              <w:rPr>
                <w:i/>
                <w:color w:val="287ED4"/>
                <w:sz w:val="22"/>
              </w:rPr>
              <w:t>4.</w:t>
            </w:r>
            <w:r>
              <w:rPr>
                <w:i/>
                <w:color w:val="287ED4"/>
                <w:spacing w:val="40"/>
                <w:sz w:val="22"/>
              </w:rPr>
              <w:t> </w:t>
            </w:r>
            <w:r>
              <w:rPr>
                <w:i/>
                <w:color w:val="287ED4"/>
                <w:sz w:val="22"/>
              </w:rPr>
              <w:t>A clean, green and</w:t>
            </w:r>
            <w:r>
              <w:rPr>
                <w:i/>
                <w:color w:val="287ED4"/>
                <w:sz w:val="22"/>
              </w:rPr>
              <w:t> sustainable</w:t>
            </w:r>
            <w:r>
              <w:rPr>
                <w:i/>
                <w:color w:val="287ED4"/>
                <w:spacing w:val="-16"/>
                <w:sz w:val="22"/>
              </w:rPr>
              <w:t> </w:t>
            </w:r>
            <w:r>
              <w:rPr>
                <w:i/>
                <w:color w:val="287ED4"/>
                <w:sz w:val="22"/>
              </w:rPr>
              <w:t>community</w:t>
            </w:r>
          </w:p>
        </w:tc>
        <w:tc>
          <w:tcPr>
            <w:tcW w:w="7858" w:type="dxa"/>
          </w:tcPr>
          <w:p>
            <w:pPr>
              <w:pStyle w:val="TableParagraph"/>
              <w:ind w:left="105" w:right="95"/>
              <w:jc w:val="both"/>
              <w:rPr>
                <w:sz w:val="22"/>
              </w:rPr>
            </w:pPr>
            <w:r>
              <w:rPr>
                <w:sz w:val="22"/>
              </w:rPr>
              <w:t>In 2040, Maroondah will be a resilient community committed to sustainable living, enhancing our natural environment, and providing leadership in responding to climate change.</w:t>
            </w:r>
          </w:p>
        </w:tc>
      </w:tr>
      <w:tr>
        <w:trPr>
          <w:trHeight w:val="885" w:hRule="atLeast"/>
        </w:trPr>
        <w:tc>
          <w:tcPr>
            <w:tcW w:w="2621" w:type="dxa"/>
            <w:shd w:val="clear" w:color="auto" w:fill="DFEBF4"/>
          </w:tcPr>
          <w:p>
            <w:pPr>
              <w:pStyle w:val="TableParagraph"/>
              <w:ind w:left="107" w:right="194"/>
              <w:rPr>
                <w:i/>
                <w:sz w:val="22"/>
              </w:rPr>
            </w:pPr>
            <w:r>
              <w:rPr>
                <w:i/>
                <w:color w:val="287ED4"/>
                <w:sz w:val="22"/>
              </w:rPr>
              <w:t>5.</w:t>
            </w:r>
            <w:r>
              <w:rPr>
                <w:i/>
                <w:color w:val="287ED4"/>
                <w:spacing w:val="40"/>
                <w:sz w:val="22"/>
              </w:rPr>
              <w:t> </w:t>
            </w:r>
            <w:r>
              <w:rPr>
                <w:i/>
                <w:color w:val="287ED4"/>
                <w:sz w:val="22"/>
              </w:rPr>
              <w:t>An accessible and</w:t>
            </w:r>
            <w:r>
              <w:rPr>
                <w:i/>
                <w:color w:val="287ED4"/>
                <w:sz w:val="22"/>
              </w:rPr>
              <w:t> connected</w:t>
            </w:r>
            <w:r>
              <w:rPr>
                <w:i/>
                <w:color w:val="287ED4"/>
                <w:spacing w:val="-4"/>
                <w:sz w:val="22"/>
              </w:rPr>
              <w:t> </w:t>
            </w:r>
            <w:r>
              <w:rPr>
                <w:i/>
                <w:color w:val="287ED4"/>
                <w:spacing w:val="-2"/>
                <w:sz w:val="22"/>
              </w:rPr>
              <w:t>community</w:t>
            </w:r>
          </w:p>
        </w:tc>
        <w:tc>
          <w:tcPr>
            <w:tcW w:w="7858" w:type="dxa"/>
            <w:shd w:val="clear" w:color="auto" w:fill="DFEBF4"/>
          </w:tcPr>
          <w:p>
            <w:pPr>
              <w:pStyle w:val="TableParagraph"/>
              <w:ind w:left="105" w:right="94"/>
              <w:jc w:val="both"/>
              <w:rPr>
                <w:sz w:val="22"/>
              </w:rPr>
            </w:pPr>
            <w:r>
              <w:rPr>
                <w:sz w:val="22"/>
              </w:rPr>
              <w:t>In 2040, Maroondah will be accessible for all ages and abilities with walkable neighbourhoods,</w:t>
            </w:r>
            <w:r>
              <w:rPr>
                <w:spacing w:val="-2"/>
                <w:sz w:val="22"/>
              </w:rPr>
              <w:t> </w:t>
            </w:r>
            <w:r>
              <w:rPr>
                <w:sz w:val="22"/>
              </w:rPr>
              <w:t>sustainable</w:t>
            </w:r>
            <w:r>
              <w:rPr>
                <w:spacing w:val="-4"/>
                <w:sz w:val="22"/>
              </w:rPr>
              <w:t> </w:t>
            </w:r>
            <w:r>
              <w:rPr>
                <w:sz w:val="22"/>
              </w:rPr>
              <w:t>transport</w:t>
            </w:r>
            <w:r>
              <w:rPr>
                <w:spacing w:val="-4"/>
                <w:sz w:val="22"/>
              </w:rPr>
              <w:t> </w:t>
            </w:r>
            <w:r>
              <w:rPr>
                <w:sz w:val="22"/>
              </w:rPr>
              <w:t>options,</w:t>
            </w:r>
            <w:r>
              <w:rPr>
                <w:spacing w:val="-2"/>
                <w:sz w:val="22"/>
              </w:rPr>
              <w:t> </w:t>
            </w:r>
            <w:r>
              <w:rPr>
                <w:sz w:val="22"/>
              </w:rPr>
              <w:t>and</w:t>
            </w:r>
            <w:r>
              <w:rPr>
                <w:spacing w:val="-2"/>
                <w:sz w:val="22"/>
              </w:rPr>
              <w:t> </w:t>
            </w:r>
            <w:r>
              <w:rPr>
                <w:sz w:val="22"/>
              </w:rPr>
              <w:t>a</w:t>
            </w:r>
            <w:r>
              <w:rPr>
                <w:spacing w:val="-6"/>
                <w:sz w:val="22"/>
              </w:rPr>
              <w:t> </w:t>
            </w:r>
            <w:r>
              <w:rPr>
                <w:sz w:val="22"/>
              </w:rPr>
              <w:t>safe</w:t>
            </w:r>
            <w:r>
              <w:rPr>
                <w:spacing w:val="-4"/>
                <w:sz w:val="22"/>
              </w:rPr>
              <w:t> </w:t>
            </w:r>
            <w:r>
              <w:rPr>
                <w:sz w:val="22"/>
              </w:rPr>
              <w:t>integrated</w:t>
            </w:r>
            <w:r>
              <w:rPr>
                <w:spacing w:val="-4"/>
                <w:sz w:val="22"/>
              </w:rPr>
              <w:t> </w:t>
            </w:r>
            <w:r>
              <w:rPr>
                <w:sz w:val="22"/>
              </w:rPr>
              <w:t>transport </w:t>
            </w:r>
            <w:r>
              <w:rPr>
                <w:spacing w:val="-2"/>
                <w:sz w:val="22"/>
              </w:rPr>
              <w:t>network.</w:t>
            </w:r>
          </w:p>
        </w:tc>
      </w:tr>
      <w:tr>
        <w:trPr>
          <w:trHeight w:val="885" w:hRule="atLeast"/>
        </w:trPr>
        <w:tc>
          <w:tcPr>
            <w:tcW w:w="2621" w:type="dxa"/>
          </w:tcPr>
          <w:p>
            <w:pPr>
              <w:pStyle w:val="TableParagraph"/>
              <w:ind w:left="107" w:right="154"/>
              <w:rPr>
                <w:i/>
                <w:sz w:val="22"/>
              </w:rPr>
            </w:pPr>
            <w:r>
              <w:rPr>
                <w:i/>
                <w:color w:val="287ED4"/>
                <w:sz w:val="22"/>
              </w:rPr>
              <w:t>6.</w:t>
            </w:r>
            <w:r>
              <w:rPr>
                <w:i/>
                <w:color w:val="287ED4"/>
                <w:spacing w:val="40"/>
                <w:sz w:val="22"/>
              </w:rPr>
              <w:t> </w:t>
            </w:r>
            <w:r>
              <w:rPr>
                <w:i/>
                <w:color w:val="287ED4"/>
                <w:sz w:val="22"/>
              </w:rPr>
              <w:t>An</w:t>
            </w:r>
            <w:r>
              <w:rPr>
                <w:i/>
                <w:color w:val="287ED4"/>
                <w:spacing w:val="-9"/>
                <w:sz w:val="22"/>
              </w:rPr>
              <w:t> </w:t>
            </w:r>
            <w:r>
              <w:rPr>
                <w:i/>
                <w:color w:val="287ED4"/>
                <w:sz w:val="22"/>
              </w:rPr>
              <w:t>attractive,</w:t>
            </w:r>
            <w:r>
              <w:rPr>
                <w:i/>
                <w:color w:val="287ED4"/>
                <w:spacing w:val="-9"/>
                <w:sz w:val="22"/>
              </w:rPr>
              <w:t> </w:t>
            </w:r>
            <w:r>
              <w:rPr>
                <w:i/>
                <w:color w:val="287ED4"/>
                <w:sz w:val="22"/>
              </w:rPr>
              <w:t>thriving</w:t>
            </w:r>
            <w:r>
              <w:rPr>
                <w:i/>
                <w:color w:val="287ED4"/>
                <w:sz w:val="22"/>
              </w:rPr>
              <w:t> and well-built</w:t>
            </w:r>
            <w:r>
              <w:rPr>
                <w:i/>
                <w:color w:val="287ED4"/>
                <w:spacing w:val="40"/>
                <w:sz w:val="22"/>
              </w:rPr>
              <w:t> </w:t>
            </w:r>
            <w:r>
              <w:rPr>
                <w:i/>
                <w:color w:val="287ED4"/>
                <w:spacing w:val="-2"/>
                <w:sz w:val="22"/>
              </w:rPr>
              <w:t>community</w:t>
            </w:r>
          </w:p>
        </w:tc>
        <w:tc>
          <w:tcPr>
            <w:tcW w:w="7858" w:type="dxa"/>
          </w:tcPr>
          <w:p>
            <w:pPr>
              <w:pStyle w:val="TableParagraph"/>
              <w:ind w:left="105" w:right="97"/>
              <w:jc w:val="both"/>
              <w:rPr>
                <w:sz w:val="22"/>
              </w:rPr>
            </w:pPr>
            <w:r>
              <w:rPr>
                <w:sz w:val="22"/>
              </w:rPr>
              <w:t>In</w:t>
            </w:r>
            <w:r>
              <w:rPr>
                <w:spacing w:val="-1"/>
                <w:sz w:val="22"/>
              </w:rPr>
              <w:t> </w:t>
            </w:r>
            <w:r>
              <w:rPr>
                <w:sz w:val="22"/>
              </w:rPr>
              <w:t>2040,</w:t>
            </w:r>
            <w:r>
              <w:rPr>
                <w:spacing w:val="-1"/>
                <w:sz w:val="22"/>
              </w:rPr>
              <w:t> </w:t>
            </w:r>
            <w:r>
              <w:rPr>
                <w:sz w:val="22"/>
              </w:rPr>
              <w:t>Maroondah</w:t>
            </w:r>
            <w:r>
              <w:rPr>
                <w:spacing w:val="-1"/>
                <w:sz w:val="22"/>
              </w:rPr>
              <w:t> </w:t>
            </w:r>
            <w:r>
              <w:rPr>
                <w:sz w:val="22"/>
              </w:rPr>
              <w:t>will</w:t>
            </w:r>
            <w:r>
              <w:rPr>
                <w:spacing w:val="-2"/>
                <w:sz w:val="22"/>
              </w:rPr>
              <w:t> </w:t>
            </w:r>
            <w:r>
              <w:rPr>
                <w:sz w:val="22"/>
              </w:rPr>
              <w:t>be an</w:t>
            </w:r>
            <w:r>
              <w:rPr>
                <w:spacing w:val="-1"/>
                <w:sz w:val="22"/>
              </w:rPr>
              <w:t> </w:t>
            </w:r>
            <w:r>
              <w:rPr>
                <w:sz w:val="22"/>
              </w:rPr>
              <w:t>attractive, sustainable and</w:t>
            </w:r>
            <w:r>
              <w:rPr>
                <w:spacing w:val="-1"/>
                <w:sz w:val="22"/>
              </w:rPr>
              <w:t> </w:t>
            </w:r>
            <w:r>
              <w:rPr>
                <w:sz w:val="22"/>
              </w:rPr>
              <w:t>well-built community with</w:t>
            </w:r>
            <w:r>
              <w:rPr>
                <w:spacing w:val="-6"/>
                <w:sz w:val="22"/>
              </w:rPr>
              <w:t> </w:t>
            </w:r>
            <w:r>
              <w:rPr>
                <w:sz w:val="22"/>
              </w:rPr>
              <w:t>thriving</w:t>
            </w:r>
            <w:r>
              <w:rPr>
                <w:spacing w:val="-3"/>
                <w:sz w:val="22"/>
              </w:rPr>
              <w:t> </w:t>
            </w:r>
            <w:r>
              <w:rPr>
                <w:sz w:val="22"/>
              </w:rPr>
              <w:t>activity</w:t>
            </w:r>
            <w:r>
              <w:rPr>
                <w:spacing w:val="-4"/>
                <w:sz w:val="22"/>
              </w:rPr>
              <w:t> </w:t>
            </w:r>
            <w:r>
              <w:rPr>
                <w:sz w:val="22"/>
              </w:rPr>
              <w:t>centres and</w:t>
            </w:r>
            <w:r>
              <w:rPr>
                <w:spacing w:val="-3"/>
                <w:sz w:val="22"/>
              </w:rPr>
              <w:t> </w:t>
            </w:r>
            <w:r>
              <w:rPr>
                <w:sz w:val="22"/>
              </w:rPr>
              <w:t>a</w:t>
            </w:r>
            <w:r>
              <w:rPr>
                <w:spacing w:val="-3"/>
                <w:sz w:val="22"/>
              </w:rPr>
              <w:t> </w:t>
            </w:r>
            <w:r>
              <w:rPr>
                <w:sz w:val="22"/>
              </w:rPr>
              <w:t>network</w:t>
            </w:r>
            <w:r>
              <w:rPr>
                <w:spacing w:val="-4"/>
                <w:sz w:val="22"/>
              </w:rPr>
              <w:t> </w:t>
            </w:r>
            <w:r>
              <w:rPr>
                <w:sz w:val="22"/>
              </w:rPr>
              <w:t>of</w:t>
            </w:r>
            <w:r>
              <w:rPr>
                <w:spacing w:val="-2"/>
                <w:sz w:val="22"/>
              </w:rPr>
              <w:t> </w:t>
            </w:r>
            <w:r>
              <w:rPr>
                <w:sz w:val="22"/>
              </w:rPr>
              <w:t>neighbourhoods</w:t>
            </w:r>
            <w:r>
              <w:rPr>
                <w:spacing w:val="-2"/>
                <w:sz w:val="22"/>
              </w:rPr>
              <w:t> </w:t>
            </w:r>
            <w:r>
              <w:rPr>
                <w:sz w:val="22"/>
              </w:rPr>
              <w:t>where</w:t>
            </w:r>
            <w:r>
              <w:rPr>
                <w:spacing w:val="-5"/>
                <w:sz w:val="22"/>
              </w:rPr>
              <w:t> </w:t>
            </w:r>
            <w:r>
              <w:rPr>
                <w:sz w:val="22"/>
              </w:rPr>
              <w:t>everyone has the opportunity to live, work and play locally.</w:t>
            </w:r>
          </w:p>
        </w:tc>
      </w:tr>
      <w:tr>
        <w:trPr>
          <w:trHeight w:val="757" w:hRule="atLeast"/>
        </w:trPr>
        <w:tc>
          <w:tcPr>
            <w:tcW w:w="2621" w:type="dxa"/>
            <w:shd w:val="clear" w:color="auto" w:fill="DFEBF4"/>
          </w:tcPr>
          <w:p>
            <w:pPr>
              <w:pStyle w:val="TableParagraph"/>
              <w:ind w:left="107" w:right="194"/>
              <w:rPr>
                <w:i/>
                <w:sz w:val="22"/>
              </w:rPr>
            </w:pPr>
            <w:r>
              <w:rPr>
                <w:i/>
                <w:color w:val="287ED4"/>
                <w:sz w:val="22"/>
              </w:rPr>
              <w:t>7.</w:t>
            </w:r>
            <w:r>
              <w:rPr>
                <w:i/>
                <w:color w:val="287ED4"/>
                <w:spacing w:val="40"/>
                <w:sz w:val="22"/>
              </w:rPr>
              <w:t> </w:t>
            </w:r>
            <w:r>
              <w:rPr>
                <w:i/>
                <w:color w:val="287ED4"/>
                <w:sz w:val="22"/>
              </w:rPr>
              <w:t>An</w:t>
            </w:r>
            <w:r>
              <w:rPr>
                <w:i/>
                <w:color w:val="287ED4"/>
                <w:spacing w:val="-8"/>
                <w:sz w:val="22"/>
              </w:rPr>
              <w:t> </w:t>
            </w:r>
            <w:r>
              <w:rPr>
                <w:i/>
                <w:color w:val="287ED4"/>
                <w:sz w:val="22"/>
              </w:rPr>
              <w:t>inclusive</w:t>
            </w:r>
            <w:r>
              <w:rPr>
                <w:i/>
                <w:color w:val="287ED4"/>
                <w:spacing w:val="-11"/>
                <w:sz w:val="22"/>
              </w:rPr>
              <w:t> </w:t>
            </w:r>
            <w:r>
              <w:rPr>
                <w:i/>
                <w:color w:val="287ED4"/>
                <w:sz w:val="22"/>
              </w:rPr>
              <w:t>and</w:t>
            </w:r>
            <w:r>
              <w:rPr>
                <w:i/>
                <w:color w:val="287ED4"/>
                <w:sz w:val="22"/>
              </w:rPr>
              <w:t> diverse community</w:t>
            </w:r>
          </w:p>
        </w:tc>
        <w:tc>
          <w:tcPr>
            <w:tcW w:w="7858" w:type="dxa"/>
            <w:shd w:val="clear" w:color="auto" w:fill="DFEBF4"/>
          </w:tcPr>
          <w:p>
            <w:pPr>
              <w:pStyle w:val="TableParagraph"/>
              <w:ind w:left="105"/>
              <w:rPr>
                <w:sz w:val="22"/>
              </w:rPr>
            </w:pPr>
            <w:r>
              <w:rPr>
                <w:sz w:val="22"/>
              </w:rPr>
              <w:t>In</w:t>
            </w:r>
            <w:r>
              <w:rPr>
                <w:spacing w:val="29"/>
                <w:sz w:val="22"/>
              </w:rPr>
              <w:t> </w:t>
            </w:r>
            <w:r>
              <w:rPr>
                <w:sz w:val="22"/>
              </w:rPr>
              <w:t>2040,</w:t>
            </w:r>
            <w:r>
              <w:rPr>
                <w:spacing w:val="26"/>
                <w:sz w:val="22"/>
              </w:rPr>
              <w:t> </w:t>
            </w:r>
            <w:r>
              <w:rPr>
                <w:sz w:val="22"/>
              </w:rPr>
              <w:t>Maroondah</w:t>
            </w:r>
            <w:r>
              <w:rPr>
                <w:spacing w:val="27"/>
                <w:sz w:val="22"/>
              </w:rPr>
              <w:t> </w:t>
            </w:r>
            <w:r>
              <w:rPr>
                <w:sz w:val="22"/>
              </w:rPr>
              <w:t>will</w:t>
            </w:r>
            <w:r>
              <w:rPr>
                <w:spacing w:val="27"/>
                <w:sz w:val="22"/>
              </w:rPr>
              <w:t> </w:t>
            </w:r>
            <w:r>
              <w:rPr>
                <w:sz w:val="22"/>
              </w:rPr>
              <w:t>be</w:t>
            </w:r>
            <w:r>
              <w:rPr>
                <w:spacing w:val="27"/>
                <w:sz w:val="22"/>
              </w:rPr>
              <w:t> </w:t>
            </w:r>
            <w:r>
              <w:rPr>
                <w:sz w:val="22"/>
              </w:rPr>
              <w:t>an</w:t>
            </w:r>
            <w:r>
              <w:rPr>
                <w:spacing w:val="27"/>
                <w:sz w:val="22"/>
              </w:rPr>
              <w:t> </w:t>
            </w:r>
            <w:r>
              <w:rPr>
                <w:sz w:val="22"/>
              </w:rPr>
              <w:t>inclusive</w:t>
            </w:r>
            <w:r>
              <w:rPr>
                <w:spacing w:val="29"/>
                <w:sz w:val="22"/>
              </w:rPr>
              <w:t> </w:t>
            </w:r>
            <w:r>
              <w:rPr>
                <w:sz w:val="22"/>
              </w:rPr>
              <w:t>and</w:t>
            </w:r>
            <w:r>
              <w:rPr>
                <w:spacing w:val="29"/>
                <w:sz w:val="22"/>
              </w:rPr>
              <w:t> </w:t>
            </w:r>
            <w:r>
              <w:rPr>
                <w:sz w:val="22"/>
              </w:rPr>
              <w:t>equitable</w:t>
            </w:r>
            <w:r>
              <w:rPr>
                <w:spacing w:val="28"/>
                <w:sz w:val="22"/>
              </w:rPr>
              <w:t> </w:t>
            </w:r>
            <w:r>
              <w:rPr>
                <w:sz w:val="22"/>
              </w:rPr>
              <w:t>community</w:t>
            </w:r>
            <w:r>
              <w:rPr>
                <w:spacing w:val="26"/>
                <w:sz w:val="22"/>
              </w:rPr>
              <w:t> </w:t>
            </w:r>
            <w:r>
              <w:rPr>
                <w:sz w:val="22"/>
              </w:rPr>
              <w:t>where</w:t>
            </w:r>
            <w:r>
              <w:rPr>
                <w:spacing w:val="27"/>
                <w:sz w:val="22"/>
              </w:rPr>
              <w:t> </w:t>
            </w:r>
            <w:r>
              <w:rPr>
                <w:sz w:val="22"/>
              </w:rPr>
              <w:t>all people</w:t>
            </w:r>
            <w:r>
              <w:rPr>
                <w:spacing w:val="61"/>
                <w:w w:val="150"/>
                <w:sz w:val="22"/>
              </w:rPr>
              <w:t> </w:t>
            </w:r>
            <w:r>
              <w:rPr>
                <w:sz w:val="22"/>
              </w:rPr>
              <w:t>are</w:t>
            </w:r>
            <w:r>
              <w:rPr>
                <w:spacing w:val="62"/>
                <w:w w:val="150"/>
                <w:sz w:val="22"/>
              </w:rPr>
              <w:t> </w:t>
            </w:r>
            <w:r>
              <w:rPr>
                <w:sz w:val="22"/>
              </w:rPr>
              <w:t>valued,</w:t>
            </w:r>
            <w:r>
              <w:rPr>
                <w:spacing w:val="61"/>
                <w:w w:val="150"/>
                <w:sz w:val="22"/>
              </w:rPr>
              <w:t> </w:t>
            </w:r>
            <w:r>
              <w:rPr>
                <w:sz w:val="22"/>
              </w:rPr>
              <w:t>supported,</w:t>
            </w:r>
            <w:r>
              <w:rPr>
                <w:spacing w:val="63"/>
                <w:w w:val="150"/>
                <w:sz w:val="22"/>
              </w:rPr>
              <w:t> </w:t>
            </w:r>
            <w:r>
              <w:rPr>
                <w:sz w:val="22"/>
              </w:rPr>
              <w:t>and</w:t>
            </w:r>
            <w:r>
              <w:rPr>
                <w:spacing w:val="59"/>
                <w:w w:val="150"/>
                <w:sz w:val="22"/>
              </w:rPr>
              <w:t> </w:t>
            </w:r>
            <w:r>
              <w:rPr>
                <w:sz w:val="22"/>
              </w:rPr>
              <w:t>socially</w:t>
            </w:r>
            <w:r>
              <w:rPr>
                <w:spacing w:val="63"/>
                <w:w w:val="150"/>
                <w:sz w:val="22"/>
              </w:rPr>
              <w:t> </w:t>
            </w:r>
            <w:r>
              <w:rPr>
                <w:sz w:val="22"/>
              </w:rPr>
              <w:t>connected,</w:t>
            </w:r>
            <w:r>
              <w:rPr>
                <w:spacing w:val="61"/>
                <w:w w:val="150"/>
                <w:sz w:val="22"/>
              </w:rPr>
              <w:t> </w:t>
            </w:r>
            <w:r>
              <w:rPr>
                <w:sz w:val="22"/>
              </w:rPr>
              <w:t>and</w:t>
            </w:r>
            <w:r>
              <w:rPr>
                <w:spacing w:val="62"/>
                <w:w w:val="150"/>
                <w:sz w:val="22"/>
              </w:rPr>
              <w:t> </w:t>
            </w:r>
            <w:r>
              <w:rPr>
                <w:sz w:val="22"/>
              </w:rPr>
              <w:t>diversity</w:t>
            </w:r>
            <w:r>
              <w:rPr>
                <w:spacing w:val="60"/>
                <w:w w:val="150"/>
                <w:sz w:val="22"/>
              </w:rPr>
              <w:t> </w:t>
            </w:r>
            <w:r>
              <w:rPr>
                <w:spacing w:val="-5"/>
                <w:sz w:val="22"/>
              </w:rPr>
              <w:t>is</w:t>
            </w:r>
          </w:p>
          <w:p>
            <w:pPr>
              <w:pStyle w:val="TableParagraph"/>
              <w:spacing w:line="232" w:lineRule="exact"/>
              <w:ind w:left="105"/>
              <w:rPr>
                <w:sz w:val="22"/>
              </w:rPr>
            </w:pPr>
            <w:r>
              <w:rPr>
                <w:sz w:val="22"/>
              </w:rPr>
              <w:t>embraced</w:t>
            </w:r>
            <w:r>
              <w:rPr>
                <w:spacing w:val="-5"/>
                <w:sz w:val="22"/>
              </w:rPr>
              <w:t> </w:t>
            </w:r>
            <w:r>
              <w:rPr>
                <w:sz w:val="22"/>
              </w:rPr>
              <w:t>and</w:t>
            </w:r>
            <w:r>
              <w:rPr>
                <w:spacing w:val="-3"/>
                <w:sz w:val="22"/>
              </w:rPr>
              <w:t> </w:t>
            </w:r>
            <w:r>
              <w:rPr>
                <w:spacing w:val="-2"/>
                <w:sz w:val="22"/>
              </w:rPr>
              <w:t>celebrated.</w:t>
            </w:r>
          </w:p>
        </w:tc>
      </w:tr>
      <w:tr>
        <w:trPr>
          <w:trHeight w:val="856" w:hRule="atLeast"/>
        </w:trPr>
        <w:tc>
          <w:tcPr>
            <w:tcW w:w="2621" w:type="dxa"/>
          </w:tcPr>
          <w:p>
            <w:pPr>
              <w:pStyle w:val="TableParagraph"/>
              <w:ind w:left="107" w:right="194"/>
              <w:rPr>
                <w:i/>
                <w:sz w:val="22"/>
              </w:rPr>
            </w:pPr>
            <w:r>
              <w:rPr>
                <w:i/>
                <w:color w:val="287ED4"/>
                <w:sz w:val="22"/>
              </w:rPr>
              <w:t>8.</w:t>
            </w:r>
            <w:r>
              <w:rPr>
                <w:i/>
                <w:color w:val="287ED4"/>
                <w:spacing w:val="40"/>
                <w:sz w:val="22"/>
              </w:rPr>
              <w:t> </w:t>
            </w:r>
            <w:r>
              <w:rPr>
                <w:i/>
                <w:color w:val="287ED4"/>
                <w:sz w:val="22"/>
              </w:rPr>
              <w:t>A</w:t>
            </w:r>
            <w:r>
              <w:rPr>
                <w:i/>
                <w:color w:val="287ED4"/>
                <w:spacing w:val="-8"/>
                <w:sz w:val="22"/>
              </w:rPr>
              <w:t> </w:t>
            </w:r>
            <w:r>
              <w:rPr>
                <w:i/>
                <w:color w:val="287ED4"/>
                <w:sz w:val="22"/>
              </w:rPr>
              <w:t>well</w:t>
            </w:r>
            <w:r>
              <w:rPr>
                <w:i/>
                <w:color w:val="287ED4"/>
                <w:spacing w:val="-8"/>
                <w:sz w:val="22"/>
              </w:rPr>
              <w:t> </w:t>
            </w:r>
            <w:r>
              <w:rPr>
                <w:i/>
                <w:color w:val="287ED4"/>
                <w:sz w:val="22"/>
              </w:rPr>
              <w:t>governed</w:t>
            </w:r>
            <w:r>
              <w:rPr>
                <w:i/>
                <w:color w:val="287ED4"/>
                <w:spacing w:val="-8"/>
                <w:sz w:val="22"/>
              </w:rPr>
              <w:t> </w:t>
            </w:r>
            <w:r>
              <w:rPr>
                <w:i/>
                <w:color w:val="287ED4"/>
                <w:sz w:val="22"/>
              </w:rPr>
              <w:t>and</w:t>
            </w:r>
            <w:r>
              <w:rPr>
                <w:i/>
                <w:color w:val="287ED4"/>
                <w:sz w:val="22"/>
              </w:rPr>
              <w:t> empowered</w:t>
            </w:r>
            <w:r>
              <w:rPr>
                <w:i/>
                <w:color w:val="287ED4"/>
                <w:spacing w:val="-10"/>
                <w:sz w:val="22"/>
              </w:rPr>
              <w:t> </w:t>
            </w:r>
            <w:r>
              <w:rPr>
                <w:i/>
                <w:color w:val="287ED4"/>
                <w:spacing w:val="-2"/>
                <w:sz w:val="22"/>
              </w:rPr>
              <w:t>community</w:t>
            </w:r>
          </w:p>
        </w:tc>
        <w:tc>
          <w:tcPr>
            <w:tcW w:w="7858" w:type="dxa"/>
          </w:tcPr>
          <w:p>
            <w:pPr>
              <w:pStyle w:val="TableParagraph"/>
              <w:ind w:left="105" w:right="95"/>
              <w:jc w:val="both"/>
              <w:rPr>
                <w:sz w:val="22"/>
              </w:rPr>
            </w:pPr>
            <w:r>
              <w:rPr>
                <w:sz w:val="22"/>
              </w:rPr>
              <w:t>In</w:t>
            </w:r>
            <w:r>
              <w:rPr>
                <w:spacing w:val="-12"/>
                <w:sz w:val="22"/>
              </w:rPr>
              <w:t> </w:t>
            </w:r>
            <w:r>
              <w:rPr>
                <w:sz w:val="22"/>
              </w:rPr>
              <w:t>2040,</w:t>
            </w:r>
            <w:r>
              <w:rPr>
                <w:spacing w:val="-13"/>
                <w:sz w:val="22"/>
              </w:rPr>
              <w:t> </w:t>
            </w:r>
            <w:r>
              <w:rPr>
                <w:sz w:val="22"/>
              </w:rPr>
              <w:t>Maroondah</w:t>
            </w:r>
            <w:r>
              <w:rPr>
                <w:spacing w:val="-12"/>
                <w:sz w:val="22"/>
              </w:rPr>
              <w:t> </w:t>
            </w:r>
            <w:r>
              <w:rPr>
                <w:sz w:val="22"/>
              </w:rPr>
              <w:t>will</w:t>
            </w:r>
            <w:r>
              <w:rPr>
                <w:spacing w:val="-14"/>
                <w:sz w:val="22"/>
              </w:rPr>
              <w:t> </w:t>
            </w:r>
            <w:r>
              <w:rPr>
                <w:sz w:val="22"/>
              </w:rPr>
              <w:t>be</w:t>
            </w:r>
            <w:r>
              <w:rPr>
                <w:spacing w:val="-12"/>
                <w:sz w:val="22"/>
              </w:rPr>
              <w:t> </w:t>
            </w:r>
            <w:r>
              <w:rPr>
                <w:sz w:val="22"/>
              </w:rPr>
              <w:t>an</w:t>
            </w:r>
            <w:r>
              <w:rPr>
                <w:spacing w:val="-12"/>
                <w:sz w:val="22"/>
              </w:rPr>
              <w:t> </w:t>
            </w:r>
            <w:r>
              <w:rPr>
                <w:sz w:val="22"/>
              </w:rPr>
              <w:t>empowered</w:t>
            </w:r>
            <w:r>
              <w:rPr>
                <w:spacing w:val="-12"/>
                <w:sz w:val="22"/>
              </w:rPr>
              <w:t> </w:t>
            </w:r>
            <w:r>
              <w:rPr>
                <w:sz w:val="22"/>
              </w:rPr>
              <w:t>community</w:t>
            </w:r>
            <w:r>
              <w:rPr>
                <w:spacing w:val="-12"/>
                <w:sz w:val="22"/>
              </w:rPr>
              <w:t> </w:t>
            </w:r>
            <w:r>
              <w:rPr>
                <w:sz w:val="22"/>
              </w:rPr>
              <w:t>actively</w:t>
            </w:r>
            <w:r>
              <w:rPr>
                <w:spacing w:val="-12"/>
                <w:sz w:val="22"/>
              </w:rPr>
              <w:t> </w:t>
            </w:r>
            <w:r>
              <w:rPr>
                <w:sz w:val="22"/>
              </w:rPr>
              <w:t>engaged</w:t>
            </w:r>
            <w:r>
              <w:rPr>
                <w:spacing w:val="-13"/>
                <w:sz w:val="22"/>
              </w:rPr>
              <w:t> </w:t>
            </w:r>
            <w:r>
              <w:rPr>
                <w:sz w:val="22"/>
              </w:rPr>
              <w:t>in</w:t>
            </w:r>
            <w:r>
              <w:rPr>
                <w:spacing w:val="-12"/>
                <w:sz w:val="22"/>
              </w:rPr>
              <w:t> </w:t>
            </w:r>
            <w:r>
              <w:rPr>
                <w:sz w:val="22"/>
              </w:rPr>
              <w:t>local decision making, led by an innovative community inspired Council that collaborates regionally and proactively champions local needs.</w:t>
            </w:r>
          </w:p>
        </w:tc>
      </w:tr>
    </w:tbl>
    <w:p>
      <w:pPr>
        <w:spacing w:after="0"/>
        <w:jc w:val="both"/>
        <w:rPr>
          <w:sz w:val="22"/>
        </w:rPr>
        <w:sectPr>
          <w:pgSz w:w="11910" w:h="16840"/>
          <w:pgMar w:header="0" w:footer="426" w:top="380" w:bottom="620" w:left="460" w:right="160"/>
        </w:sectPr>
      </w:pPr>
    </w:p>
    <w:p>
      <w:pPr>
        <w:pStyle w:val="Heading1"/>
        <w:numPr>
          <w:ilvl w:val="0"/>
          <w:numId w:val="11"/>
        </w:numPr>
        <w:tabs>
          <w:tab w:pos="1034" w:val="left" w:leader="none"/>
          <w:tab w:pos="1035" w:val="left" w:leader="none"/>
        </w:tabs>
        <w:spacing w:line="240" w:lineRule="auto" w:before="68" w:after="0"/>
        <w:ind w:left="1034" w:right="0" w:hanging="644"/>
        <w:jc w:val="left"/>
      </w:pPr>
      <w:bookmarkStart w:name="_TOC_250004" w:id="9"/>
      <w:r>
        <w:rPr>
          <w:color w:val="4966AC"/>
        </w:rPr>
        <w:t>Services</w:t>
      </w:r>
      <w:r>
        <w:rPr>
          <w:color w:val="4966AC"/>
          <w:spacing w:val="-12"/>
        </w:rPr>
        <w:t> </w:t>
      </w:r>
      <w:r>
        <w:rPr>
          <w:color w:val="4966AC"/>
        </w:rPr>
        <w:t>and</w:t>
      </w:r>
      <w:r>
        <w:rPr>
          <w:color w:val="4966AC"/>
          <w:spacing w:val="-11"/>
        </w:rPr>
        <w:t> </w:t>
      </w:r>
      <w:r>
        <w:rPr>
          <w:color w:val="4966AC"/>
        </w:rPr>
        <w:t>service</w:t>
      </w:r>
      <w:r>
        <w:rPr>
          <w:color w:val="4966AC"/>
          <w:spacing w:val="-11"/>
        </w:rPr>
        <w:t> </w:t>
      </w:r>
      <w:r>
        <w:rPr>
          <w:color w:val="4966AC"/>
        </w:rPr>
        <w:t>performance</w:t>
      </w:r>
      <w:r>
        <w:rPr>
          <w:color w:val="4966AC"/>
          <w:spacing w:val="-11"/>
        </w:rPr>
        <w:t> </w:t>
      </w:r>
      <w:bookmarkEnd w:id="9"/>
      <w:r>
        <w:rPr>
          <w:color w:val="4966AC"/>
          <w:spacing w:val="-2"/>
        </w:rPr>
        <w:t>indicators</w:t>
      </w:r>
    </w:p>
    <w:p>
      <w:pPr>
        <w:pStyle w:val="BodyText"/>
        <w:spacing w:before="252"/>
        <w:ind w:left="391" w:right="399"/>
        <w:jc w:val="both"/>
      </w:pPr>
      <w:r>
        <w:rPr/>
        <w:t>This</w:t>
      </w:r>
      <w:r>
        <w:rPr>
          <w:spacing w:val="-10"/>
        </w:rPr>
        <w:t> </w:t>
      </w:r>
      <w:r>
        <w:rPr/>
        <w:t>section</w:t>
      </w:r>
      <w:r>
        <w:rPr>
          <w:spacing w:val="-10"/>
        </w:rPr>
        <w:t> </w:t>
      </w:r>
      <w:r>
        <w:rPr/>
        <w:t>provides</w:t>
      </w:r>
      <w:r>
        <w:rPr>
          <w:spacing w:val="-10"/>
        </w:rPr>
        <w:t> </w:t>
      </w:r>
      <w:r>
        <w:rPr/>
        <w:t>a</w:t>
      </w:r>
      <w:r>
        <w:rPr>
          <w:spacing w:val="-13"/>
        </w:rPr>
        <w:t> </w:t>
      </w:r>
      <w:r>
        <w:rPr/>
        <w:t>description</w:t>
      </w:r>
      <w:r>
        <w:rPr>
          <w:spacing w:val="-13"/>
        </w:rPr>
        <w:t> </w:t>
      </w:r>
      <w:r>
        <w:rPr/>
        <w:t>of</w:t>
      </w:r>
      <w:r>
        <w:rPr>
          <w:spacing w:val="-11"/>
        </w:rPr>
        <w:t> </w:t>
      </w:r>
      <w:r>
        <w:rPr/>
        <w:t>the</w:t>
      </w:r>
      <w:r>
        <w:rPr>
          <w:spacing w:val="-13"/>
        </w:rPr>
        <w:t> </w:t>
      </w:r>
      <w:r>
        <w:rPr/>
        <w:t>services</w:t>
      </w:r>
      <w:r>
        <w:rPr>
          <w:spacing w:val="-14"/>
        </w:rPr>
        <w:t> </w:t>
      </w:r>
      <w:r>
        <w:rPr/>
        <w:t>and</w:t>
      </w:r>
      <w:r>
        <w:rPr>
          <w:spacing w:val="-10"/>
        </w:rPr>
        <w:t> </w:t>
      </w:r>
      <w:r>
        <w:rPr/>
        <w:t>initiatives</w:t>
      </w:r>
      <w:r>
        <w:rPr>
          <w:spacing w:val="-12"/>
        </w:rPr>
        <w:t> </w:t>
      </w:r>
      <w:r>
        <w:rPr/>
        <w:t>to</w:t>
      </w:r>
      <w:r>
        <w:rPr>
          <w:spacing w:val="-11"/>
        </w:rPr>
        <w:t> </w:t>
      </w:r>
      <w:r>
        <w:rPr/>
        <w:t>be</w:t>
      </w:r>
      <w:r>
        <w:rPr>
          <w:spacing w:val="-15"/>
        </w:rPr>
        <w:t> </w:t>
      </w:r>
      <w:r>
        <w:rPr/>
        <w:t>funded</w:t>
      </w:r>
      <w:r>
        <w:rPr>
          <w:spacing w:val="-11"/>
        </w:rPr>
        <w:t> </w:t>
      </w:r>
      <w:r>
        <w:rPr/>
        <w:t>in</w:t>
      </w:r>
      <w:r>
        <w:rPr>
          <w:spacing w:val="-13"/>
        </w:rPr>
        <w:t> </w:t>
      </w:r>
      <w:r>
        <w:rPr/>
        <w:t>the</w:t>
      </w:r>
      <w:r>
        <w:rPr>
          <w:spacing w:val="-13"/>
        </w:rPr>
        <w:t> </w:t>
      </w:r>
      <w:r>
        <w:rPr/>
        <w:t>Budget</w:t>
      </w:r>
      <w:r>
        <w:rPr>
          <w:spacing w:val="-14"/>
        </w:rPr>
        <w:t> </w:t>
      </w:r>
      <w:r>
        <w:rPr/>
        <w:t>for</w:t>
      </w:r>
      <w:r>
        <w:rPr>
          <w:spacing w:val="-14"/>
        </w:rPr>
        <w:t> </w:t>
      </w:r>
      <w:r>
        <w:rPr/>
        <w:t>the</w:t>
      </w:r>
      <w:r>
        <w:rPr>
          <w:spacing w:val="-13"/>
        </w:rPr>
        <w:t> </w:t>
      </w:r>
      <w:r>
        <w:rPr/>
        <w:t>2024/2025 year and how these will contribute to achieving the strategic objectives outlined in the Council Plan. It also describes several initiatives and service performance outcome indicators for key areas of Council’s operations. Council is required by legislation to identify major initiatives, initiatives and service performance outcome</w:t>
      </w:r>
      <w:r>
        <w:rPr>
          <w:spacing w:val="-10"/>
        </w:rPr>
        <w:t> </w:t>
      </w:r>
      <w:r>
        <w:rPr/>
        <w:t>indicators</w:t>
      </w:r>
      <w:r>
        <w:rPr>
          <w:spacing w:val="-8"/>
        </w:rPr>
        <w:t> </w:t>
      </w:r>
      <w:r>
        <w:rPr/>
        <w:t>in</w:t>
      </w:r>
      <w:r>
        <w:rPr>
          <w:spacing w:val="-8"/>
        </w:rPr>
        <w:t> </w:t>
      </w:r>
      <w:r>
        <w:rPr/>
        <w:t>the</w:t>
      </w:r>
      <w:r>
        <w:rPr>
          <w:spacing w:val="-10"/>
        </w:rPr>
        <w:t> </w:t>
      </w:r>
      <w:r>
        <w:rPr/>
        <w:t>Budget</w:t>
      </w:r>
      <w:r>
        <w:rPr>
          <w:spacing w:val="-6"/>
        </w:rPr>
        <w:t> </w:t>
      </w:r>
      <w:r>
        <w:rPr/>
        <w:t>and</w:t>
      </w:r>
      <w:r>
        <w:rPr>
          <w:spacing w:val="-10"/>
        </w:rPr>
        <w:t> </w:t>
      </w:r>
      <w:r>
        <w:rPr/>
        <w:t>report</w:t>
      </w:r>
      <w:r>
        <w:rPr>
          <w:spacing w:val="-6"/>
        </w:rPr>
        <w:t> </w:t>
      </w:r>
      <w:r>
        <w:rPr/>
        <w:t>against</w:t>
      </w:r>
      <w:r>
        <w:rPr>
          <w:spacing w:val="-8"/>
        </w:rPr>
        <w:t> </w:t>
      </w:r>
      <w:r>
        <w:rPr/>
        <w:t>them</w:t>
      </w:r>
      <w:r>
        <w:rPr>
          <w:spacing w:val="-6"/>
        </w:rPr>
        <w:t> </w:t>
      </w:r>
      <w:r>
        <w:rPr/>
        <w:t>in</w:t>
      </w:r>
      <w:r>
        <w:rPr>
          <w:spacing w:val="-10"/>
        </w:rPr>
        <w:t> </w:t>
      </w:r>
      <w:r>
        <w:rPr/>
        <w:t>their</w:t>
      </w:r>
      <w:r>
        <w:rPr>
          <w:spacing w:val="-8"/>
        </w:rPr>
        <w:t> </w:t>
      </w:r>
      <w:r>
        <w:rPr/>
        <w:t>Annual</w:t>
      </w:r>
      <w:r>
        <w:rPr>
          <w:spacing w:val="-6"/>
        </w:rPr>
        <w:t> </w:t>
      </w:r>
      <w:r>
        <w:rPr/>
        <w:t>Report</w:t>
      </w:r>
      <w:r>
        <w:rPr>
          <w:spacing w:val="-8"/>
        </w:rPr>
        <w:t> </w:t>
      </w:r>
      <w:r>
        <w:rPr/>
        <w:t>to</w:t>
      </w:r>
      <w:r>
        <w:rPr>
          <w:spacing w:val="-10"/>
        </w:rPr>
        <w:t> </w:t>
      </w:r>
      <w:r>
        <w:rPr/>
        <w:t>support</w:t>
      </w:r>
      <w:r>
        <w:rPr>
          <w:spacing w:val="-8"/>
        </w:rPr>
        <w:t> </w:t>
      </w:r>
      <w:r>
        <w:rPr/>
        <w:t>transparency</w:t>
      </w:r>
      <w:r>
        <w:rPr>
          <w:spacing w:val="-6"/>
        </w:rPr>
        <w:t> </w:t>
      </w:r>
      <w:r>
        <w:rPr/>
        <w:t>and </w:t>
      </w:r>
      <w:r>
        <w:rPr>
          <w:spacing w:val="-2"/>
        </w:rPr>
        <w:t>accountability.</w:t>
      </w:r>
    </w:p>
    <w:p>
      <w:pPr>
        <w:pStyle w:val="BodyText"/>
        <w:spacing w:before="1"/>
      </w:pPr>
    </w:p>
    <w:p>
      <w:pPr>
        <w:pStyle w:val="Heading2"/>
        <w:numPr>
          <w:ilvl w:val="1"/>
          <w:numId w:val="11"/>
        </w:numPr>
        <w:tabs>
          <w:tab w:pos="861" w:val="left" w:leader="none"/>
        </w:tabs>
        <w:spacing w:line="240" w:lineRule="auto" w:before="0" w:after="0"/>
        <w:ind w:left="860" w:right="0" w:hanging="470"/>
        <w:jc w:val="left"/>
      </w:pPr>
      <w:r>
        <w:rPr>
          <w:color w:val="4966AC"/>
        </w:rPr>
        <w:t>Outcome</w:t>
      </w:r>
      <w:r>
        <w:rPr>
          <w:color w:val="4966AC"/>
          <w:spacing w:val="-7"/>
        </w:rPr>
        <w:t> </w:t>
      </w:r>
      <w:r>
        <w:rPr>
          <w:color w:val="4966AC"/>
        </w:rPr>
        <w:t>Area</w:t>
      </w:r>
      <w:r>
        <w:rPr>
          <w:color w:val="4966AC"/>
          <w:spacing w:val="-5"/>
        </w:rPr>
        <w:t> </w:t>
      </w:r>
      <w:r>
        <w:rPr>
          <w:color w:val="4966AC"/>
        </w:rPr>
        <w:t>(Strategic</w:t>
      </w:r>
      <w:r>
        <w:rPr>
          <w:color w:val="4966AC"/>
          <w:spacing w:val="-5"/>
        </w:rPr>
        <w:t> </w:t>
      </w:r>
      <w:r>
        <w:rPr>
          <w:color w:val="4966AC"/>
        </w:rPr>
        <w:t>Objective)</w:t>
      </w:r>
      <w:r>
        <w:rPr>
          <w:color w:val="4966AC"/>
          <w:spacing w:val="-1"/>
        </w:rPr>
        <w:t> </w:t>
      </w:r>
      <w:r>
        <w:rPr>
          <w:color w:val="4966AC"/>
        </w:rPr>
        <w:t>1:</w:t>
      </w:r>
      <w:r>
        <w:rPr>
          <w:color w:val="4966AC"/>
          <w:spacing w:val="-2"/>
        </w:rPr>
        <w:t> </w:t>
      </w:r>
      <w:r>
        <w:rPr>
          <w:color w:val="4966AC"/>
        </w:rPr>
        <w:t>A</w:t>
      </w:r>
      <w:r>
        <w:rPr>
          <w:color w:val="4966AC"/>
          <w:spacing w:val="-3"/>
        </w:rPr>
        <w:t> </w:t>
      </w:r>
      <w:r>
        <w:rPr>
          <w:color w:val="4966AC"/>
        </w:rPr>
        <w:t>safe,</w:t>
      </w:r>
      <w:r>
        <w:rPr>
          <w:color w:val="4966AC"/>
          <w:spacing w:val="-3"/>
        </w:rPr>
        <w:t> </w:t>
      </w:r>
      <w:r>
        <w:rPr>
          <w:color w:val="4966AC"/>
        </w:rPr>
        <w:t>healthy</w:t>
      </w:r>
      <w:r>
        <w:rPr>
          <w:color w:val="4966AC"/>
          <w:spacing w:val="-4"/>
        </w:rPr>
        <w:t> </w:t>
      </w:r>
      <w:r>
        <w:rPr>
          <w:color w:val="4966AC"/>
        </w:rPr>
        <w:t>and</w:t>
      </w:r>
      <w:r>
        <w:rPr>
          <w:color w:val="4966AC"/>
          <w:spacing w:val="-3"/>
        </w:rPr>
        <w:t> </w:t>
      </w:r>
      <w:r>
        <w:rPr>
          <w:color w:val="4966AC"/>
        </w:rPr>
        <w:t>active</w:t>
      </w:r>
      <w:r>
        <w:rPr>
          <w:color w:val="4966AC"/>
          <w:spacing w:val="-2"/>
        </w:rPr>
        <w:t> community</w:t>
      </w:r>
    </w:p>
    <w:p>
      <w:pPr>
        <w:pStyle w:val="BodyText"/>
        <w:rPr>
          <w:b/>
        </w:rPr>
      </w:pPr>
    </w:p>
    <w:tbl>
      <w:tblPr>
        <w:tblW w:w="0" w:type="auto"/>
        <w:jc w:val="left"/>
        <w:tblInd w:w="4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90"/>
        <w:gridCol w:w="908"/>
        <w:gridCol w:w="1307"/>
        <w:gridCol w:w="1281"/>
        <w:gridCol w:w="1291"/>
      </w:tblGrid>
      <w:tr>
        <w:trPr>
          <w:trHeight w:val="890" w:hRule="atLeast"/>
        </w:trPr>
        <w:tc>
          <w:tcPr>
            <w:tcW w:w="5690" w:type="dxa"/>
            <w:tcBorders>
              <w:top w:val="single" w:sz="4" w:space="0" w:color="000000"/>
              <w:left w:val="single" w:sz="4" w:space="0" w:color="000000"/>
            </w:tcBorders>
            <w:shd w:val="clear" w:color="auto" w:fill="5B9AD4"/>
          </w:tcPr>
          <w:p>
            <w:pPr>
              <w:pStyle w:val="TableParagraph"/>
              <w:spacing w:before="8"/>
              <w:rPr>
                <w:b/>
                <w:sz w:val="27"/>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08" w:type="dxa"/>
            <w:tcBorders>
              <w:top w:val="single" w:sz="4" w:space="0" w:color="000000"/>
            </w:tcBorders>
            <w:shd w:val="clear" w:color="auto" w:fill="5B9AD4"/>
          </w:tcPr>
          <w:p>
            <w:pPr>
              <w:pStyle w:val="TableParagraph"/>
              <w:rPr>
                <w:rFonts w:ascii="Times New Roman"/>
                <w:sz w:val="22"/>
              </w:rPr>
            </w:pPr>
          </w:p>
        </w:tc>
        <w:tc>
          <w:tcPr>
            <w:tcW w:w="1307" w:type="dxa"/>
            <w:tcBorders>
              <w:top w:val="single" w:sz="4" w:space="0" w:color="000000"/>
            </w:tcBorders>
            <w:shd w:val="clear" w:color="auto" w:fill="5B9AD4"/>
          </w:tcPr>
          <w:p>
            <w:pPr>
              <w:pStyle w:val="TableParagraph"/>
              <w:spacing w:before="21"/>
              <w:ind w:left="124" w:right="118"/>
              <w:jc w:val="center"/>
              <w:rPr>
                <w:b/>
                <w:sz w:val="22"/>
              </w:rPr>
            </w:pPr>
            <w:r>
              <w:rPr>
                <w:b/>
                <w:color w:val="FFFFFF"/>
                <w:spacing w:val="-2"/>
                <w:sz w:val="22"/>
              </w:rPr>
              <w:t>2022/2023</w:t>
            </w:r>
          </w:p>
          <w:p>
            <w:pPr>
              <w:pStyle w:val="TableParagraph"/>
              <w:spacing w:before="45"/>
              <w:ind w:left="124" w:right="116"/>
              <w:jc w:val="center"/>
              <w:rPr>
                <w:b/>
                <w:sz w:val="22"/>
              </w:rPr>
            </w:pPr>
            <w:r>
              <w:rPr>
                <w:b/>
                <w:color w:val="FFFFFF"/>
                <w:spacing w:val="-2"/>
                <w:sz w:val="22"/>
              </w:rPr>
              <w:t>Actual</w:t>
            </w:r>
          </w:p>
          <w:p>
            <w:pPr>
              <w:pStyle w:val="TableParagraph"/>
              <w:spacing w:before="42"/>
              <w:ind w:left="124" w:right="117"/>
              <w:jc w:val="center"/>
              <w:rPr>
                <w:b/>
                <w:sz w:val="22"/>
              </w:rPr>
            </w:pPr>
            <w:r>
              <w:rPr>
                <w:b/>
                <w:color w:val="FFFFFF"/>
                <w:spacing w:val="-2"/>
                <w:sz w:val="22"/>
              </w:rPr>
              <w:t>$'000</w:t>
            </w:r>
          </w:p>
        </w:tc>
        <w:tc>
          <w:tcPr>
            <w:tcW w:w="1281" w:type="dxa"/>
            <w:tcBorders>
              <w:top w:val="single" w:sz="4" w:space="0" w:color="000000"/>
            </w:tcBorders>
            <w:shd w:val="clear" w:color="auto" w:fill="5B9AD4"/>
          </w:tcPr>
          <w:p>
            <w:pPr>
              <w:pStyle w:val="TableParagraph"/>
              <w:spacing w:before="21"/>
              <w:ind w:left="110" w:right="109"/>
              <w:jc w:val="center"/>
              <w:rPr>
                <w:b/>
                <w:sz w:val="22"/>
              </w:rPr>
            </w:pPr>
            <w:r>
              <w:rPr>
                <w:b/>
                <w:color w:val="FFFFFF"/>
                <w:spacing w:val="-2"/>
                <w:sz w:val="22"/>
              </w:rPr>
              <w:t>2023/2024</w:t>
            </w:r>
          </w:p>
          <w:p>
            <w:pPr>
              <w:pStyle w:val="TableParagraph"/>
              <w:spacing w:before="45"/>
              <w:ind w:left="110" w:right="108"/>
              <w:jc w:val="center"/>
              <w:rPr>
                <w:b/>
                <w:sz w:val="22"/>
              </w:rPr>
            </w:pPr>
            <w:r>
              <w:rPr>
                <w:b/>
                <w:color w:val="FFFFFF"/>
                <w:spacing w:val="-2"/>
                <w:sz w:val="22"/>
              </w:rPr>
              <w:t>Forecast</w:t>
            </w:r>
          </w:p>
          <w:p>
            <w:pPr>
              <w:pStyle w:val="TableParagraph"/>
              <w:spacing w:before="42"/>
              <w:ind w:left="110" w:right="109"/>
              <w:jc w:val="center"/>
              <w:rPr>
                <w:b/>
                <w:sz w:val="22"/>
              </w:rPr>
            </w:pPr>
            <w:r>
              <w:rPr>
                <w:b/>
                <w:color w:val="FFFFFF"/>
                <w:spacing w:val="-2"/>
                <w:sz w:val="22"/>
              </w:rPr>
              <w:t>$'000</w:t>
            </w:r>
          </w:p>
        </w:tc>
        <w:tc>
          <w:tcPr>
            <w:tcW w:w="1291" w:type="dxa"/>
            <w:tcBorders>
              <w:top w:val="single" w:sz="4" w:space="0" w:color="000000"/>
              <w:right w:val="single" w:sz="4" w:space="0" w:color="000000"/>
            </w:tcBorders>
            <w:shd w:val="clear" w:color="auto" w:fill="5B9AD4"/>
          </w:tcPr>
          <w:p>
            <w:pPr>
              <w:pStyle w:val="TableParagraph"/>
              <w:spacing w:before="21"/>
              <w:ind w:left="115" w:right="104"/>
              <w:jc w:val="center"/>
              <w:rPr>
                <w:b/>
                <w:sz w:val="22"/>
              </w:rPr>
            </w:pPr>
            <w:r>
              <w:rPr>
                <w:b/>
                <w:color w:val="FFFFFF"/>
                <w:spacing w:val="-2"/>
                <w:sz w:val="22"/>
              </w:rPr>
              <w:t>2024/2025</w:t>
            </w:r>
          </w:p>
          <w:p>
            <w:pPr>
              <w:pStyle w:val="TableParagraph"/>
              <w:spacing w:before="45"/>
              <w:ind w:left="115" w:right="105"/>
              <w:jc w:val="center"/>
              <w:rPr>
                <w:b/>
                <w:sz w:val="22"/>
              </w:rPr>
            </w:pPr>
            <w:r>
              <w:rPr>
                <w:b/>
                <w:color w:val="FFFFFF"/>
                <w:spacing w:val="-2"/>
                <w:sz w:val="22"/>
              </w:rPr>
              <w:t>Budget</w:t>
            </w:r>
          </w:p>
          <w:p>
            <w:pPr>
              <w:pStyle w:val="TableParagraph"/>
              <w:spacing w:before="42"/>
              <w:ind w:left="115" w:right="103"/>
              <w:jc w:val="center"/>
              <w:rPr>
                <w:b/>
                <w:sz w:val="22"/>
              </w:rPr>
            </w:pPr>
            <w:r>
              <w:rPr>
                <w:b/>
                <w:color w:val="FFFFFF"/>
                <w:spacing w:val="-2"/>
                <w:sz w:val="22"/>
              </w:rPr>
              <w:t>$'000</w:t>
            </w:r>
          </w:p>
        </w:tc>
      </w:tr>
      <w:tr>
        <w:trPr>
          <w:trHeight w:val="297" w:hRule="atLeast"/>
        </w:trPr>
        <w:tc>
          <w:tcPr>
            <w:tcW w:w="10477" w:type="dxa"/>
            <w:gridSpan w:val="5"/>
            <w:tcBorders>
              <w:left w:val="single" w:sz="4" w:space="0" w:color="000000"/>
              <w:bottom w:val="single" w:sz="4" w:space="0" w:color="000000"/>
              <w:right w:val="single" w:sz="4" w:space="0" w:color="000000"/>
            </w:tcBorders>
          </w:tcPr>
          <w:p>
            <w:pPr>
              <w:pStyle w:val="TableParagraph"/>
              <w:spacing w:before="21"/>
              <w:ind w:left="107"/>
              <w:rPr>
                <w:b/>
                <w:sz w:val="22"/>
              </w:rPr>
            </w:pPr>
            <w:r>
              <w:rPr>
                <w:b/>
                <w:color w:val="5B9AD4"/>
                <w:sz w:val="22"/>
              </w:rPr>
              <w:t>Community</w:t>
            </w:r>
            <w:r>
              <w:rPr>
                <w:b/>
                <w:color w:val="5B9AD4"/>
                <w:spacing w:val="-5"/>
                <w:sz w:val="22"/>
              </w:rPr>
              <w:t> </w:t>
            </w:r>
            <w:r>
              <w:rPr>
                <w:b/>
                <w:color w:val="5B9AD4"/>
                <w:sz w:val="22"/>
              </w:rPr>
              <w:t>Health</w:t>
            </w:r>
            <w:r>
              <w:rPr>
                <w:b/>
                <w:color w:val="5B9AD4"/>
                <w:spacing w:val="-8"/>
                <w:sz w:val="22"/>
              </w:rPr>
              <w:t> </w:t>
            </w:r>
            <w:r>
              <w:rPr>
                <w:b/>
                <w:color w:val="5B9AD4"/>
                <w:sz w:val="22"/>
              </w:rPr>
              <w:t>(Community</w:t>
            </w:r>
            <w:r>
              <w:rPr>
                <w:b/>
                <w:color w:val="5B9AD4"/>
                <w:spacing w:val="-6"/>
                <w:sz w:val="22"/>
              </w:rPr>
              <w:t> </w:t>
            </w:r>
            <w:r>
              <w:rPr>
                <w:b/>
                <w:color w:val="5B9AD4"/>
                <w:spacing w:val="-2"/>
                <w:sz w:val="22"/>
              </w:rPr>
              <w:t>Safety)</w:t>
            </w:r>
          </w:p>
        </w:tc>
      </w:tr>
      <w:tr>
        <w:trPr>
          <w:trHeight w:val="604" w:hRule="atLeast"/>
        </w:trPr>
        <w:tc>
          <w:tcPr>
            <w:tcW w:w="5690" w:type="dxa"/>
            <w:vMerge w:val="restart"/>
            <w:tcBorders>
              <w:top w:val="single" w:sz="4" w:space="0" w:color="000000"/>
            </w:tcBorders>
          </w:tcPr>
          <w:p>
            <w:pPr>
              <w:pStyle w:val="TableParagraph"/>
              <w:ind w:left="112" w:right="143"/>
              <w:rPr>
                <w:sz w:val="22"/>
              </w:rPr>
            </w:pPr>
            <w:r>
              <w:rPr>
                <w:sz w:val="22"/>
              </w:rPr>
              <w:t>Council</w:t>
            </w:r>
            <w:r>
              <w:rPr>
                <w:spacing w:val="-4"/>
                <w:sz w:val="22"/>
              </w:rPr>
              <w:t> </w:t>
            </w:r>
            <w:r>
              <w:rPr>
                <w:sz w:val="22"/>
              </w:rPr>
              <w:t>aims</w:t>
            </w:r>
            <w:r>
              <w:rPr>
                <w:spacing w:val="-4"/>
                <w:sz w:val="22"/>
              </w:rPr>
              <w:t> </w:t>
            </w:r>
            <w:r>
              <w:rPr>
                <w:sz w:val="22"/>
              </w:rPr>
              <w:t>to</w:t>
            </w:r>
            <w:r>
              <w:rPr>
                <w:spacing w:val="-8"/>
                <w:sz w:val="22"/>
              </w:rPr>
              <w:t> </w:t>
            </w:r>
            <w:r>
              <w:rPr>
                <w:sz w:val="22"/>
              </w:rPr>
              <w:t>achieve</w:t>
            </w:r>
            <w:r>
              <w:rPr>
                <w:spacing w:val="-6"/>
                <w:sz w:val="22"/>
              </w:rPr>
              <w:t> </w:t>
            </w:r>
            <w:r>
              <w:rPr>
                <w:sz w:val="22"/>
              </w:rPr>
              <w:t>a</w:t>
            </w:r>
            <w:r>
              <w:rPr>
                <w:spacing w:val="-4"/>
                <w:sz w:val="22"/>
              </w:rPr>
              <w:t> </w:t>
            </w:r>
            <w:r>
              <w:rPr>
                <w:sz w:val="22"/>
              </w:rPr>
              <w:t>healthy</w:t>
            </w:r>
            <w:r>
              <w:rPr>
                <w:spacing w:val="-2"/>
                <w:sz w:val="22"/>
              </w:rPr>
              <w:t> </w:t>
            </w:r>
            <w:r>
              <w:rPr>
                <w:sz w:val="22"/>
              </w:rPr>
              <w:t>and</w:t>
            </w:r>
            <w:r>
              <w:rPr>
                <w:spacing w:val="-2"/>
                <w:sz w:val="22"/>
              </w:rPr>
              <w:t> </w:t>
            </w:r>
            <w:r>
              <w:rPr>
                <w:sz w:val="22"/>
              </w:rPr>
              <w:t>safe</w:t>
            </w:r>
            <w:r>
              <w:rPr>
                <w:spacing w:val="-4"/>
                <w:sz w:val="22"/>
              </w:rPr>
              <w:t> </w:t>
            </w:r>
            <w:r>
              <w:rPr>
                <w:sz w:val="22"/>
              </w:rPr>
              <w:t>community through capacity building and education, as well as developing and implementing prevention programs.</w:t>
            </w:r>
          </w:p>
          <w:p>
            <w:pPr>
              <w:pStyle w:val="TableParagraph"/>
              <w:ind w:left="112" w:right="143"/>
              <w:rPr>
                <w:sz w:val="22"/>
              </w:rPr>
            </w:pPr>
            <w:r>
              <w:rPr>
                <w:sz w:val="22"/>
              </w:rPr>
              <w:t>Concurrently,</w:t>
            </w:r>
            <w:r>
              <w:rPr>
                <w:spacing w:val="-8"/>
                <w:sz w:val="22"/>
              </w:rPr>
              <w:t> </w:t>
            </w:r>
            <w:r>
              <w:rPr>
                <w:sz w:val="22"/>
              </w:rPr>
              <w:t>Community</w:t>
            </w:r>
            <w:r>
              <w:rPr>
                <w:spacing w:val="-10"/>
                <w:sz w:val="22"/>
              </w:rPr>
              <w:t> </w:t>
            </w:r>
            <w:r>
              <w:rPr>
                <w:sz w:val="22"/>
              </w:rPr>
              <w:t>Health</w:t>
            </w:r>
            <w:r>
              <w:rPr>
                <w:spacing w:val="-10"/>
                <w:sz w:val="22"/>
              </w:rPr>
              <w:t> </w:t>
            </w:r>
            <w:r>
              <w:rPr>
                <w:sz w:val="22"/>
              </w:rPr>
              <w:t>initiates</w:t>
            </w:r>
            <w:r>
              <w:rPr>
                <w:spacing w:val="-11"/>
                <w:sz w:val="22"/>
              </w:rPr>
              <w:t> </w:t>
            </w:r>
            <w:r>
              <w:rPr>
                <w:sz w:val="22"/>
              </w:rPr>
              <w:t>regulatory interventions when there is a risk to the health, wellbeing and/or the safety of the Maroondah </w:t>
            </w:r>
            <w:r>
              <w:rPr>
                <w:spacing w:val="-2"/>
                <w:sz w:val="22"/>
              </w:rPr>
              <w:t>community.</w:t>
            </w:r>
          </w:p>
          <w:p>
            <w:pPr>
              <w:pStyle w:val="TableParagraph"/>
              <w:ind w:left="112" w:right="143"/>
              <w:rPr>
                <w:sz w:val="22"/>
              </w:rPr>
            </w:pPr>
            <w:r>
              <w:rPr>
                <w:sz w:val="22"/>
              </w:rPr>
              <w:t>A</w:t>
            </w:r>
            <w:r>
              <w:rPr>
                <w:spacing w:val="-3"/>
                <w:sz w:val="22"/>
              </w:rPr>
              <w:t> </w:t>
            </w:r>
            <w:r>
              <w:rPr>
                <w:sz w:val="22"/>
              </w:rPr>
              <w:t>broad</w:t>
            </w:r>
            <w:r>
              <w:rPr>
                <w:spacing w:val="-6"/>
                <w:sz w:val="22"/>
              </w:rPr>
              <w:t> </w:t>
            </w:r>
            <w:r>
              <w:rPr>
                <w:sz w:val="22"/>
              </w:rPr>
              <w:t>range</w:t>
            </w:r>
            <w:r>
              <w:rPr>
                <w:spacing w:val="-6"/>
                <w:sz w:val="22"/>
              </w:rPr>
              <w:t> </w:t>
            </w:r>
            <w:r>
              <w:rPr>
                <w:sz w:val="22"/>
              </w:rPr>
              <w:t>of</w:t>
            </w:r>
            <w:r>
              <w:rPr>
                <w:spacing w:val="-4"/>
                <w:sz w:val="22"/>
              </w:rPr>
              <w:t> </w:t>
            </w:r>
            <w:r>
              <w:rPr>
                <w:sz w:val="22"/>
              </w:rPr>
              <w:t>proactive</w:t>
            </w:r>
            <w:r>
              <w:rPr>
                <w:spacing w:val="-3"/>
                <w:sz w:val="22"/>
              </w:rPr>
              <w:t> </w:t>
            </w:r>
            <w:r>
              <w:rPr>
                <w:sz w:val="22"/>
              </w:rPr>
              <w:t>and</w:t>
            </w:r>
            <w:r>
              <w:rPr>
                <w:spacing w:val="-6"/>
                <w:sz w:val="22"/>
              </w:rPr>
              <w:t> </w:t>
            </w:r>
            <w:r>
              <w:rPr>
                <w:sz w:val="22"/>
              </w:rPr>
              <w:t>reactive</w:t>
            </w:r>
            <w:r>
              <w:rPr>
                <w:spacing w:val="-6"/>
                <w:sz w:val="22"/>
              </w:rPr>
              <w:t> </w:t>
            </w:r>
            <w:r>
              <w:rPr>
                <w:sz w:val="22"/>
              </w:rPr>
              <w:t>activities</w:t>
            </w:r>
            <w:r>
              <w:rPr>
                <w:spacing w:val="-4"/>
                <w:sz w:val="22"/>
              </w:rPr>
              <w:t> </w:t>
            </w:r>
            <w:r>
              <w:rPr>
                <w:sz w:val="22"/>
              </w:rPr>
              <w:t>and services are undertaken, including registration and assessment of food and health businesses; statutory food and water sampling; communicable disease investigations; preventative health services; immunisation services; and health promotion and</w:t>
            </w:r>
          </w:p>
          <w:p>
            <w:pPr>
              <w:pStyle w:val="TableParagraph"/>
              <w:spacing w:line="233" w:lineRule="exact"/>
              <w:ind w:left="112"/>
              <w:rPr>
                <w:sz w:val="22"/>
              </w:rPr>
            </w:pPr>
            <w:r>
              <w:rPr>
                <w:sz w:val="22"/>
              </w:rPr>
              <w:t>educative</w:t>
            </w:r>
            <w:r>
              <w:rPr>
                <w:spacing w:val="-3"/>
                <w:sz w:val="22"/>
              </w:rPr>
              <w:t> </w:t>
            </w:r>
            <w:r>
              <w:rPr>
                <w:spacing w:val="-2"/>
                <w:sz w:val="22"/>
              </w:rPr>
              <w:t>activities.</w:t>
            </w:r>
          </w:p>
        </w:tc>
        <w:tc>
          <w:tcPr>
            <w:tcW w:w="908" w:type="dxa"/>
            <w:tcBorders>
              <w:top w:val="single" w:sz="4" w:space="0" w:color="000000"/>
              <w:bottom w:val="single" w:sz="4" w:space="0" w:color="000000"/>
            </w:tcBorders>
          </w:tcPr>
          <w:p>
            <w:pPr>
              <w:pStyle w:val="TableParagraph"/>
              <w:spacing w:line="206" w:lineRule="exact"/>
              <w:ind w:left="110"/>
              <w:rPr>
                <w:sz w:val="18"/>
              </w:rPr>
            </w:pPr>
            <w:r>
              <w:rPr>
                <w:spacing w:val="-5"/>
                <w:sz w:val="18"/>
              </w:rPr>
              <w:t>Inc</w:t>
            </w:r>
          </w:p>
          <w:p>
            <w:pPr>
              <w:pStyle w:val="TableParagraph"/>
              <w:spacing w:before="100"/>
              <w:ind w:left="110"/>
              <w:rPr>
                <w:sz w:val="18"/>
              </w:rPr>
            </w:pPr>
            <w:r>
              <w:rPr>
                <w:spacing w:val="-5"/>
                <w:sz w:val="18"/>
              </w:rPr>
              <w:t>Exp</w:t>
            </w:r>
          </w:p>
        </w:tc>
        <w:tc>
          <w:tcPr>
            <w:tcW w:w="1307" w:type="dxa"/>
            <w:tcBorders>
              <w:top w:val="single" w:sz="4" w:space="0" w:color="000000"/>
              <w:bottom w:val="single" w:sz="4" w:space="0" w:color="000000"/>
            </w:tcBorders>
          </w:tcPr>
          <w:p>
            <w:pPr>
              <w:pStyle w:val="TableParagraph"/>
              <w:spacing w:line="206" w:lineRule="exact"/>
              <w:ind w:right="109"/>
              <w:jc w:val="right"/>
              <w:rPr>
                <w:sz w:val="18"/>
              </w:rPr>
            </w:pPr>
            <w:r>
              <w:rPr>
                <w:spacing w:val="-5"/>
                <w:sz w:val="18"/>
              </w:rPr>
              <w:t>742</w:t>
            </w:r>
          </w:p>
          <w:p>
            <w:pPr>
              <w:pStyle w:val="TableParagraph"/>
              <w:spacing w:before="100"/>
              <w:ind w:right="108"/>
              <w:jc w:val="right"/>
              <w:rPr>
                <w:sz w:val="18"/>
              </w:rPr>
            </w:pPr>
            <w:r>
              <w:rPr>
                <w:spacing w:val="-2"/>
                <w:sz w:val="18"/>
              </w:rPr>
              <w:t>1,704</w:t>
            </w:r>
          </w:p>
        </w:tc>
        <w:tc>
          <w:tcPr>
            <w:tcW w:w="1281" w:type="dxa"/>
            <w:tcBorders>
              <w:top w:val="single" w:sz="4" w:space="0" w:color="000000"/>
              <w:bottom w:val="single" w:sz="4" w:space="0" w:color="000000"/>
            </w:tcBorders>
          </w:tcPr>
          <w:p>
            <w:pPr>
              <w:pStyle w:val="TableParagraph"/>
              <w:spacing w:line="206" w:lineRule="exact"/>
              <w:ind w:right="99"/>
              <w:jc w:val="right"/>
              <w:rPr>
                <w:sz w:val="18"/>
              </w:rPr>
            </w:pPr>
            <w:r>
              <w:rPr>
                <w:spacing w:val="-5"/>
                <w:sz w:val="18"/>
              </w:rPr>
              <w:t>723</w:t>
            </w:r>
          </w:p>
          <w:p>
            <w:pPr>
              <w:pStyle w:val="TableParagraph"/>
              <w:spacing w:before="100"/>
              <w:ind w:right="98"/>
              <w:jc w:val="right"/>
              <w:rPr>
                <w:sz w:val="18"/>
              </w:rPr>
            </w:pPr>
            <w:r>
              <w:rPr>
                <w:spacing w:val="-2"/>
                <w:sz w:val="18"/>
              </w:rPr>
              <w:t>1,667</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4"/>
              <w:jc w:val="right"/>
              <w:rPr>
                <w:sz w:val="18"/>
              </w:rPr>
            </w:pPr>
            <w:r>
              <w:rPr>
                <w:spacing w:val="-5"/>
                <w:sz w:val="18"/>
              </w:rPr>
              <w:t>744</w:t>
            </w:r>
          </w:p>
          <w:p>
            <w:pPr>
              <w:pStyle w:val="TableParagraph"/>
              <w:spacing w:before="100"/>
              <w:ind w:right="93"/>
              <w:jc w:val="right"/>
              <w:rPr>
                <w:sz w:val="18"/>
              </w:rPr>
            </w:pPr>
            <w:r>
              <w:rPr>
                <w:spacing w:val="-2"/>
                <w:sz w:val="18"/>
              </w:rPr>
              <w:t>1,768</w:t>
            </w:r>
          </w:p>
        </w:tc>
      </w:tr>
      <w:tr>
        <w:trPr>
          <w:trHeight w:val="2927" w:hRule="atLeast"/>
        </w:trPr>
        <w:tc>
          <w:tcPr>
            <w:tcW w:w="5690" w:type="dxa"/>
            <w:vMerge/>
            <w:tcBorders>
              <w:top w:val="nil"/>
            </w:tcBorders>
          </w:tcPr>
          <w:p>
            <w:pPr>
              <w:rPr>
                <w:sz w:val="2"/>
                <w:szCs w:val="2"/>
              </w:rPr>
            </w:pPr>
          </w:p>
        </w:tc>
        <w:tc>
          <w:tcPr>
            <w:tcW w:w="908" w:type="dxa"/>
            <w:tcBorders>
              <w:top w:val="single" w:sz="4" w:space="0" w:color="000000"/>
              <w:bottom w:val="single" w:sz="4" w:space="0" w:color="000000"/>
            </w:tcBorders>
          </w:tcPr>
          <w:p>
            <w:pPr>
              <w:pStyle w:val="TableParagraph"/>
              <w:spacing w:line="206" w:lineRule="exact"/>
              <w:ind w:left="110"/>
              <w:rPr>
                <w:b/>
                <w:sz w:val="18"/>
              </w:rPr>
            </w:pPr>
            <w:r>
              <w:rPr>
                <w:b/>
                <w:spacing w:val="-2"/>
                <w:sz w:val="18"/>
              </w:rPr>
              <w:t>Surplus</w:t>
            </w:r>
          </w:p>
          <w:p>
            <w:pPr>
              <w:pStyle w:val="TableParagraph"/>
              <w:ind w:left="110" w:right="141"/>
              <w:rPr>
                <w:b/>
                <w:sz w:val="18"/>
              </w:rPr>
            </w:pPr>
            <w:r>
              <w:rPr>
                <w:b/>
                <w:spacing w:val="-10"/>
                <w:sz w:val="18"/>
              </w:rPr>
              <w:t>/</w:t>
            </w:r>
            <w:r>
              <w:rPr>
                <w:b/>
                <w:spacing w:val="-2"/>
                <w:sz w:val="18"/>
              </w:rPr>
              <w:t> (deficit)</w:t>
            </w:r>
          </w:p>
        </w:tc>
        <w:tc>
          <w:tcPr>
            <w:tcW w:w="1307" w:type="dxa"/>
            <w:tcBorders>
              <w:top w:val="single" w:sz="4" w:space="0" w:color="000000"/>
              <w:bottom w:val="single" w:sz="4" w:space="0" w:color="000000"/>
            </w:tcBorders>
          </w:tcPr>
          <w:p>
            <w:pPr>
              <w:pStyle w:val="TableParagraph"/>
              <w:spacing w:line="206" w:lineRule="exact"/>
              <w:ind w:right="107"/>
              <w:jc w:val="right"/>
              <w:rPr>
                <w:b/>
                <w:sz w:val="18"/>
              </w:rPr>
            </w:pPr>
            <w:r>
              <w:rPr>
                <w:b/>
                <w:spacing w:val="-2"/>
                <w:sz w:val="18"/>
              </w:rPr>
              <w:t>(962)</w:t>
            </w:r>
          </w:p>
        </w:tc>
        <w:tc>
          <w:tcPr>
            <w:tcW w:w="1281" w:type="dxa"/>
            <w:tcBorders>
              <w:top w:val="single" w:sz="4" w:space="0" w:color="000000"/>
              <w:bottom w:val="single" w:sz="4" w:space="0" w:color="000000"/>
            </w:tcBorders>
          </w:tcPr>
          <w:p>
            <w:pPr>
              <w:pStyle w:val="TableParagraph"/>
              <w:spacing w:line="206" w:lineRule="exact"/>
              <w:ind w:right="97"/>
              <w:jc w:val="right"/>
              <w:rPr>
                <w:b/>
                <w:sz w:val="18"/>
              </w:rPr>
            </w:pPr>
            <w:r>
              <w:rPr>
                <w:b/>
                <w:spacing w:val="-2"/>
                <w:sz w:val="18"/>
              </w:rPr>
              <w:t>(944)</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3"/>
              <w:jc w:val="right"/>
              <w:rPr>
                <w:b/>
                <w:sz w:val="18"/>
              </w:rPr>
            </w:pPr>
            <w:r>
              <w:rPr>
                <w:b/>
                <w:spacing w:val="-2"/>
                <w:sz w:val="18"/>
              </w:rPr>
              <w:t>(1,024)</w:t>
            </w:r>
          </w:p>
        </w:tc>
      </w:tr>
      <w:tr>
        <w:trPr>
          <w:trHeight w:val="297" w:hRule="atLeast"/>
        </w:trPr>
        <w:tc>
          <w:tcPr>
            <w:tcW w:w="5690" w:type="dxa"/>
            <w:tcBorders>
              <w:left w:val="single" w:sz="4" w:space="0" w:color="000000"/>
              <w:bottom w:val="single" w:sz="4" w:space="0" w:color="000000"/>
              <w:right w:val="single" w:sz="4" w:space="0" w:color="000000"/>
            </w:tcBorders>
          </w:tcPr>
          <w:p>
            <w:pPr>
              <w:pStyle w:val="TableParagraph"/>
              <w:spacing w:before="21"/>
              <w:ind w:left="107"/>
              <w:rPr>
                <w:b/>
                <w:sz w:val="22"/>
              </w:rPr>
            </w:pPr>
            <w:r>
              <w:rPr>
                <w:b/>
                <w:color w:val="5B9AD4"/>
                <w:sz w:val="22"/>
              </w:rPr>
              <w:t>Emergency</w:t>
            </w:r>
            <w:r>
              <w:rPr>
                <w:b/>
                <w:color w:val="5B9AD4"/>
                <w:spacing w:val="-7"/>
                <w:sz w:val="22"/>
              </w:rPr>
              <w:t> </w:t>
            </w:r>
            <w:r>
              <w:rPr>
                <w:b/>
                <w:color w:val="5B9AD4"/>
                <w:sz w:val="22"/>
              </w:rPr>
              <w:t>Management</w:t>
            </w:r>
            <w:r>
              <w:rPr>
                <w:b/>
                <w:color w:val="5B9AD4"/>
                <w:spacing w:val="-4"/>
                <w:sz w:val="22"/>
              </w:rPr>
              <w:t> </w:t>
            </w:r>
            <w:r>
              <w:rPr>
                <w:b/>
                <w:color w:val="5B9AD4"/>
                <w:sz w:val="22"/>
              </w:rPr>
              <w:t>(Community</w:t>
            </w:r>
            <w:r>
              <w:rPr>
                <w:b/>
                <w:color w:val="5B9AD4"/>
                <w:spacing w:val="-8"/>
                <w:sz w:val="22"/>
              </w:rPr>
              <w:t> </w:t>
            </w:r>
            <w:r>
              <w:rPr>
                <w:b/>
                <w:color w:val="5B9AD4"/>
                <w:spacing w:val="-2"/>
                <w:sz w:val="22"/>
              </w:rPr>
              <w:t>Safety)</w:t>
            </w:r>
          </w:p>
        </w:tc>
        <w:tc>
          <w:tcPr>
            <w:tcW w:w="4787"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2"/>
              </w:rPr>
            </w:pPr>
          </w:p>
        </w:tc>
      </w:tr>
      <w:tr>
        <w:trPr>
          <w:trHeight w:val="306" w:hRule="atLeast"/>
        </w:trPr>
        <w:tc>
          <w:tcPr>
            <w:tcW w:w="5690" w:type="dxa"/>
            <w:tcBorders>
              <w:top w:val="single" w:sz="4" w:space="0" w:color="000000"/>
              <w:left w:val="single" w:sz="4" w:space="0" w:color="000000"/>
            </w:tcBorders>
          </w:tcPr>
          <w:p>
            <w:pPr>
              <w:pStyle w:val="TableParagraph"/>
              <w:ind w:left="107"/>
              <w:rPr>
                <w:sz w:val="22"/>
              </w:rPr>
            </w:pPr>
            <w:r>
              <w:rPr>
                <w:sz w:val="22"/>
              </w:rPr>
              <w:t>Emergency</w:t>
            </w:r>
            <w:r>
              <w:rPr>
                <w:spacing w:val="-9"/>
                <w:sz w:val="22"/>
              </w:rPr>
              <w:t> </w:t>
            </w:r>
            <w:r>
              <w:rPr>
                <w:sz w:val="22"/>
              </w:rPr>
              <w:t>Management</w:t>
            </w:r>
            <w:r>
              <w:rPr>
                <w:spacing w:val="-7"/>
                <w:sz w:val="22"/>
              </w:rPr>
              <w:t> </w:t>
            </w:r>
            <w:r>
              <w:rPr>
                <w:sz w:val="22"/>
              </w:rPr>
              <w:t>facilitates</w:t>
            </w:r>
            <w:r>
              <w:rPr>
                <w:spacing w:val="-3"/>
                <w:sz w:val="22"/>
              </w:rPr>
              <w:t> </w:t>
            </w:r>
            <w:r>
              <w:rPr>
                <w:sz w:val="22"/>
              </w:rPr>
              <w:t>Council’s</w:t>
            </w:r>
            <w:r>
              <w:rPr>
                <w:spacing w:val="-4"/>
                <w:sz w:val="22"/>
              </w:rPr>
              <w:t> </w:t>
            </w:r>
            <w:r>
              <w:rPr>
                <w:spacing w:val="-2"/>
                <w:sz w:val="22"/>
              </w:rPr>
              <w:t>planning</w:t>
            </w:r>
          </w:p>
        </w:tc>
        <w:tc>
          <w:tcPr>
            <w:tcW w:w="908" w:type="dxa"/>
            <w:tcBorders>
              <w:top w:val="single" w:sz="4" w:space="0" w:color="000000"/>
            </w:tcBorders>
          </w:tcPr>
          <w:p>
            <w:pPr>
              <w:pStyle w:val="TableParagraph"/>
              <w:spacing w:line="206" w:lineRule="exact"/>
              <w:ind w:left="110"/>
              <w:rPr>
                <w:sz w:val="18"/>
              </w:rPr>
            </w:pPr>
            <w:r>
              <w:rPr>
                <w:spacing w:val="-5"/>
                <w:sz w:val="18"/>
              </w:rPr>
              <w:t>Inc</w:t>
            </w:r>
          </w:p>
        </w:tc>
        <w:tc>
          <w:tcPr>
            <w:tcW w:w="1307" w:type="dxa"/>
            <w:tcBorders>
              <w:top w:val="single" w:sz="4" w:space="0" w:color="000000"/>
            </w:tcBorders>
          </w:tcPr>
          <w:p>
            <w:pPr>
              <w:pStyle w:val="TableParagraph"/>
              <w:spacing w:line="206" w:lineRule="exact"/>
              <w:ind w:right="109"/>
              <w:jc w:val="right"/>
              <w:rPr>
                <w:sz w:val="18"/>
              </w:rPr>
            </w:pPr>
            <w:r>
              <w:rPr>
                <w:spacing w:val="-5"/>
                <w:sz w:val="18"/>
              </w:rPr>
              <w:t>16</w:t>
            </w:r>
          </w:p>
        </w:tc>
        <w:tc>
          <w:tcPr>
            <w:tcW w:w="1281" w:type="dxa"/>
            <w:tcBorders>
              <w:top w:val="single" w:sz="4" w:space="0" w:color="000000"/>
            </w:tcBorders>
          </w:tcPr>
          <w:p>
            <w:pPr>
              <w:pStyle w:val="TableParagraph"/>
              <w:spacing w:line="206" w:lineRule="exact"/>
              <w:ind w:right="98"/>
              <w:jc w:val="right"/>
              <w:rPr>
                <w:sz w:val="18"/>
              </w:rPr>
            </w:pPr>
            <w:r>
              <w:rPr>
                <w:spacing w:val="-5"/>
                <w:sz w:val="18"/>
              </w:rPr>
              <w:t>51</w:t>
            </w:r>
          </w:p>
        </w:tc>
        <w:tc>
          <w:tcPr>
            <w:tcW w:w="1291" w:type="dxa"/>
            <w:tcBorders>
              <w:top w:val="single" w:sz="4" w:space="0" w:color="000000"/>
              <w:right w:val="single" w:sz="4" w:space="0" w:color="000000"/>
            </w:tcBorders>
            <w:shd w:val="clear" w:color="auto" w:fill="BCD6ED"/>
          </w:tcPr>
          <w:p>
            <w:pPr>
              <w:pStyle w:val="TableParagraph"/>
              <w:spacing w:line="206" w:lineRule="exact"/>
              <w:ind w:right="94"/>
              <w:jc w:val="right"/>
              <w:rPr>
                <w:sz w:val="18"/>
              </w:rPr>
            </w:pPr>
            <w:r>
              <w:rPr>
                <w:sz w:val="18"/>
              </w:rPr>
              <w:t>-</w:t>
            </w:r>
          </w:p>
        </w:tc>
      </w:tr>
      <w:tr>
        <w:trPr>
          <w:trHeight w:val="295" w:hRule="atLeast"/>
        </w:trPr>
        <w:tc>
          <w:tcPr>
            <w:tcW w:w="5690" w:type="dxa"/>
            <w:vMerge w:val="restart"/>
          </w:tcPr>
          <w:p>
            <w:pPr>
              <w:pStyle w:val="TableParagraph"/>
              <w:spacing w:line="198" w:lineRule="exact"/>
              <w:ind w:left="112"/>
              <w:rPr>
                <w:sz w:val="22"/>
              </w:rPr>
            </w:pPr>
            <w:r>
              <w:rPr>
                <w:sz w:val="22"/>
              </w:rPr>
              <w:t>and</w:t>
            </w:r>
            <w:r>
              <w:rPr>
                <w:spacing w:val="-3"/>
                <w:sz w:val="22"/>
              </w:rPr>
              <w:t> </w:t>
            </w:r>
            <w:r>
              <w:rPr>
                <w:sz w:val="22"/>
              </w:rPr>
              <w:t>readiness</w:t>
            </w:r>
            <w:r>
              <w:rPr>
                <w:spacing w:val="-5"/>
                <w:sz w:val="22"/>
              </w:rPr>
              <w:t> </w:t>
            </w:r>
            <w:r>
              <w:rPr>
                <w:sz w:val="22"/>
              </w:rPr>
              <w:t>to</w:t>
            </w:r>
            <w:r>
              <w:rPr>
                <w:spacing w:val="-6"/>
                <w:sz w:val="22"/>
              </w:rPr>
              <w:t> </w:t>
            </w:r>
            <w:r>
              <w:rPr>
                <w:sz w:val="22"/>
              </w:rPr>
              <w:t>mitigate,</w:t>
            </w:r>
            <w:r>
              <w:rPr>
                <w:spacing w:val="-3"/>
                <w:sz w:val="22"/>
              </w:rPr>
              <w:t> </w:t>
            </w:r>
            <w:r>
              <w:rPr>
                <w:sz w:val="22"/>
              </w:rPr>
              <w:t>respond</w:t>
            </w:r>
            <w:r>
              <w:rPr>
                <w:spacing w:val="-5"/>
                <w:sz w:val="22"/>
              </w:rPr>
              <w:t> </w:t>
            </w:r>
            <w:r>
              <w:rPr>
                <w:sz w:val="22"/>
              </w:rPr>
              <w:t>to and</w:t>
            </w:r>
            <w:r>
              <w:rPr>
                <w:spacing w:val="-4"/>
                <w:sz w:val="22"/>
              </w:rPr>
              <w:t> </w:t>
            </w:r>
            <w:r>
              <w:rPr>
                <w:sz w:val="22"/>
              </w:rPr>
              <w:t>recover</w:t>
            </w:r>
            <w:r>
              <w:rPr>
                <w:spacing w:val="-4"/>
                <w:sz w:val="22"/>
              </w:rPr>
              <w:t> from</w:t>
            </w:r>
          </w:p>
          <w:p>
            <w:pPr>
              <w:pStyle w:val="TableParagraph"/>
              <w:spacing w:line="252" w:lineRule="exact"/>
              <w:ind w:left="112" w:right="143"/>
              <w:rPr>
                <w:sz w:val="22"/>
              </w:rPr>
            </w:pPr>
            <w:r>
              <w:rPr>
                <w:sz w:val="22"/>
              </w:rPr>
              <w:t>emergencies</w:t>
            </w:r>
            <w:r>
              <w:rPr>
                <w:spacing w:val="-9"/>
                <w:sz w:val="22"/>
              </w:rPr>
              <w:t> </w:t>
            </w:r>
            <w:r>
              <w:rPr>
                <w:sz w:val="22"/>
              </w:rPr>
              <w:t>within</w:t>
            </w:r>
            <w:r>
              <w:rPr>
                <w:spacing w:val="-9"/>
                <w:sz w:val="22"/>
              </w:rPr>
              <w:t> </w:t>
            </w:r>
            <w:r>
              <w:rPr>
                <w:sz w:val="22"/>
              </w:rPr>
              <w:t>Maroondah,</w:t>
            </w:r>
            <w:r>
              <w:rPr>
                <w:spacing w:val="-5"/>
                <w:sz w:val="22"/>
              </w:rPr>
              <w:t> </w:t>
            </w:r>
            <w:r>
              <w:rPr>
                <w:sz w:val="22"/>
              </w:rPr>
              <w:t>and</w:t>
            </w:r>
            <w:r>
              <w:rPr>
                <w:spacing w:val="-9"/>
                <w:sz w:val="22"/>
              </w:rPr>
              <w:t> </w:t>
            </w:r>
            <w:r>
              <w:rPr>
                <w:sz w:val="22"/>
              </w:rPr>
              <w:t>the</w:t>
            </w:r>
            <w:r>
              <w:rPr>
                <w:spacing w:val="-8"/>
                <w:sz w:val="22"/>
              </w:rPr>
              <w:t> </w:t>
            </w:r>
            <w:r>
              <w:rPr>
                <w:sz w:val="22"/>
              </w:rPr>
              <w:t>surrounding Eastern region (in partnership with neighbouring </w:t>
            </w:r>
            <w:r>
              <w:rPr>
                <w:spacing w:val="-2"/>
                <w:sz w:val="22"/>
              </w:rPr>
              <w:t>councils).</w:t>
            </w:r>
          </w:p>
        </w:tc>
        <w:tc>
          <w:tcPr>
            <w:tcW w:w="908" w:type="dxa"/>
            <w:tcBorders>
              <w:bottom w:val="single" w:sz="4" w:space="0" w:color="000000"/>
            </w:tcBorders>
          </w:tcPr>
          <w:p>
            <w:pPr>
              <w:pStyle w:val="TableParagraph"/>
              <w:spacing w:line="206" w:lineRule="exact"/>
              <w:ind w:left="110"/>
              <w:rPr>
                <w:sz w:val="18"/>
              </w:rPr>
            </w:pPr>
            <w:r>
              <w:rPr>
                <w:spacing w:val="-5"/>
                <w:sz w:val="18"/>
              </w:rPr>
              <w:t>Exp</w:t>
            </w:r>
          </w:p>
        </w:tc>
        <w:tc>
          <w:tcPr>
            <w:tcW w:w="1307" w:type="dxa"/>
            <w:tcBorders>
              <w:bottom w:val="single" w:sz="4" w:space="0" w:color="000000"/>
            </w:tcBorders>
          </w:tcPr>
          <w:p>
            <w:pPr>
              <w:pStyle w:val="TableParagraph"/>
              <w:spacing w:line="206" w:lineRule="exact"/>
              <w:ind w:right="109"/>
              <w:jc w:val="right"/>
              <w:rPr>
                <w:sz w:val="18"/>
              </w:rPr>
            </w:pPr>
            <w:r>
              <w:rPr>
                <w:spacing w:val="-5"/>
                <w:sz w:val="18"/>
              </w:rPr>
              <w:t>166</w:t>
            </w:r>
          </w:p>
        </w:tc>
        <w:tc>
          <w:tcPr>
            <w:tcW w:w="1281" w:type="dxa"/>
            <w:tcBorders>
              <w:bottom w:val="single" w:sz="4" w:space="0" w:color="000000"/>
            </w:tcBorders>
          </w:tcPr>
          <w:p>
            <w:pPr>
              <w:pStyle w:val="TableParagraph"/>
              <w:spacing w:line="206" w:lineRule="exact"/>
              <w:ind w:right="99"/>
              <w:jc w:val="right"/>
              <w:rPr>
                <w:sz w:val="18"/>
              </w:rPr>
            </w:pPr>
            <w:r>
              <w:rPr>
                <w:spacing w:val="-5"/>
                <w:sz w:val="18"/>
              </w:rPr>
              <w:t>194</w:t>
            </w:r>
          </w:p>
        </w:tc>
        <w:tc>
          <w:tcPr>
            <w:tcW w:w="1291" w:type="dxa"/>
            <w:tcBorders>
              <w:bottom w:val="single" w:sz="4" w:space="0" w:color="000000"/>
              <w:right w:val="single" w:sz="4" w:space="0" w:color="000000"/>
            </w:tcBorders>
            <w:shd w:val="clear" w:color="auto" w:fill="BCD6ED"/>
          </w:tcPr>
          <w:p>
            <w:pPr>
              <w:pStyle w:val="TableParagraph"/>
              <w:spacing w:line="206" w:lineRule="exact"/>
              <w:ind w:right="94"/>
              <w:jc w:val="right"/>
              <w:rPr>
                <w:sz w:val="18"/>
              </w:rPr>
            </w:pPr>
            <w:r>
              <w:rPr>
                <w:spacing w:val="-5"/>
                <w:sz w:val="18"/>
              </w:rPr>
              <w:t>147</w:t>
            </w:r>
          </w:p>
        </w:tc>
      </w:tr>
      <w:tr>
        <w:trPr>
          <w:trHeight w:val="652" w:hRule="atLeast"/>
        </w:trPr>
        <w:tc>
          <w:tcPr>
            <w:tcW w:w="5690" w:type="dxa"/>
            <w:vMerge/>
            <w:tcBorders>
              <w:top w:val="nil"/>
            </w:tcBorders>
          </w:tcPr>
          <w:p>
            <w:pPr>
              <w:rPr>
                <w:sz w:val="2"/>
                <w:szCs w:val="2"/>
              </w:rPr>
            </w:pPr>
          </w:p>
        </w:tc>
        <w:tc>
          <w:tcPr>
            <w:tcW w:w="908" w:type="dxa"/>
            <w:tcBorders>
              <w:top w:val="single" w:sz="4" w:space="0" w:color="000000"/>
              <w:bottom w:val="single" w:sz="4" w:space="0" w:color="000000"/>
            </w:tcBorders>
          </w:tcPr>
          <w:p>
            <w:pPr>
              <w:pStyle w:val="TableParagraph"/>
              <w:spacing w:line="207" w:lineRule="exact" w:before="1"/>
              <w:ind w:left="110"/>
              <w:rPr>
                <w:b/>
                <w:sz w:val="18"/>
              </w:rPr>
            </w:pPr>
            <w:r>
              <w:rPr>
                <w:b/>
                <w:spacing w:val="-2"/>
                <w:sz w:val="18"/>
              </w:rPr>
              <w:t>Surplus</w:t>
            </w:r>
          </w:p>
          <w:p>
            <w:pPr>
              <w:pStyle w:val="TableParagraph"/>
              <w:ind w:left="110" w:right="141"/>
              <w:rPr>
                <w:b/>
                <w:sz w:val="18"/>
              </w:rPr>
            </w:pPr>
            <w:r>
              <w:rPr>
                <w:b/>
                <w:spacing w:val="-10"/>
                <w:sz w:val="18"/>
              </w:rPr>
              <w:t>/</w:t>
            </w:r>
            <w:r>
              <w:rPr>
                <w:b/>
                <w:spacing w:val="-2"/>
                <w:sz w:val="18"/>
              </w:rPr>
              <w:t> (deficit)</w:t>
            </w:r>
          </w:p>
        </w:tc>
        <w:tc>
          <w:tcPr>
            <w:tcW w:w="1307" w:type="dxa"/>
            <w:tcBorders>
              <w:top w:val="single" w:sz="4" w:space="0" w:color="000000"/>
              <w:bottom w:val="single" w:sz="4" w:space="0" w:color="000000"/>
            </w:tcBorders>
          </w:tcPr>
          <w:p>
            <w:pPr>
              <w:pStyle w:val="TableParagraph"/>
              <w:spacing w:before="1"/>
              <w:ind w:right="107"/>
              <w:jc w:val="right"/>
              <w:rPr>
                <w:b/>
                <w:sz w:val="18"/>
              </w:rPr>
            </w:pPr>
            <w:r>
              <w:rPr>
                <w:b/>
                <w:spacing w:val="-2"/>
                <w:sz w:val="18"/>
              </w:rPr>
              <w:t>(150)</w:t>
            </w:r>
          </w:p>
        </w:tc>
        <w:tc>
          <w:tcPr>
            <w:tcW w:w="1281" w:type="dxa"/>
            <w:tcBorders>
              <w:top w:val="single" w:sz="4" w:space="0" w:color="000000"/>
              <w:bottom w:val="single" w:sz="4" w:space="0" w:color="000000"/>
            </w:tcBorders>
          </w:tcPr>
          <w:p>
            <w:pPr>
              <w:pStyle w:val="TableParagraph"/>
              <w:spacing w:before="1"/>
              <w:ind w:right="97"/>
              <w:jc w:val="right"/>
              <w:rPr>
                <w:b/>
                <w:sz w:val="18"/>
              </w:rPr>
            </w:pPr>
            <w:r>
              <w:rPr>
                <w:b/>
                <w:spacing w:val="-2"/>
                <w:sz w:val="18"/>
              </w:rPr>
              <w:t>(143)</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before="1"/>
              <w:ind w:right="92"/>
              <w:jc w:val="right"/>
              <w:rPr>
                <w:b/>
                <w:sz w:val="18"/>
              </w:rPr>
            </w:pPr>
            <w:r>
              <w:rPr>
                <w:b/>
                <w:spacing w:val="-2"/>
                <w:sz w:val="18"/>
              </w:rPr>
              <w:t>(147)</w:t>
            </w:r>
          </w:p>
        </w:tc>
      </w:tr>
      <w:tr>
        <w:trPr>
          <w:trHeight w:val="297" w:hRule="atLeast"/>
        </w:trPr>
        <w:tc>
          <w:tcPr>
            <w:tcW w:w="5690" w:type="dxa"/>
            <w:tcBorders>
              <w:left w:val="single" w:sz="4" w:space="0" w:color="000000"/>
              <w:bottom w:val="single" w:sz="4" w:space="0" w:color="000000"/>
            </w:tcBorders>
          </w:tcPr>
          <w:p>
            <w:pPr>
              <w:pStyle w:val="TableParagraph"/>
              <w:spacing w:before="21"/>
              <w:ind w:left="107"/>
              <w:rPr>
                <w:b/>
                <w:sz w:val="22"/>
              </w:rPr>
            </w:pPr>
            <w:r>
              <w:rPr>
                <w:b/>
                <w:color w:val="5B9AD4"/>
                <w:sz w:val="22"/>
              </w:rPr>
              <w:t>Leisure</w:t>
            </w:r>
            <w:r>
              <w:rPr>
                <w:b/>
                <w:color w:val="5B9AD4"/>
                <w:spacing w:val="-1"/>
                <w:sz w:val="22"/>
              </w:rPr>
              <w:t> </w:t>
            </w:r>
            <w:r>
              <w:rPr>
                <w:b/>
                <w:color w:val="5B9AD4"/>
                <w:sz w:val="22"/>
              </w:rPr>
              <w:t>and</w:t>
            </w:r>
            <w:r>
              <w:rPr>
                <w:b/>
                <w:color w:val="5B9AD4"/>
                <w:spacing w:val="-7"/>
                <w:sz w:val="22"/>
              </w:rPr>
              <w:t> </w:t>
            </w:r>
            <w:r>
              <w:rPr>
                <w:b/>
                <w:color w:val="5B9AD4"/>
                <w:sz w:val="22"/>
              </w:rPr>
              <w:t>Aquatics,</w:t>
            </w:r>
            <w:r>
              <w:rPr>
                <w:b/>
                <w:color w:val="5B9AD4"/>
                <w:spacing w:val="-2"/>
                <w:sz w:val="22"/>
              </w:rPr>
              <w:t> </w:t>
            </w:r>
            <w:r>
              <w:rPr>
                <w:b/>
                <w:color w:val="5B9AD4"/>
                <w:sz w:val="22"/>
              </w:rPr>
              <w:t>(Leisure</w:t>
            </w:r>
            <w:r>
              <w:rPr>
                <w:b/>
                <w:color w:val="5B9AD4"/>
                <w:spacing w:val="-1"/>
                <w:sz w:val="22"/>
              </w:rPr>
              <w:t> </w:t>
            </w:r>
            <w:r>
              <w:rPr>
                <w:b/>
                <w:color w:val="5B9AD4"/>
                <w:sz w:val="22"/>
              </w:rPr>
              <w:t>and</w:t>
            </w:r>
            <w:r>
              <w:rPr>
                <w:b/>
                <w:color w:val="5B9AD4"/>
                <w:spacing w:val="-7"/>
                <w:sz w:val="22"/>
              </w:rPr>
              <w:t> </w:t>
            </w:r>
            <w:r>
              <w:rPr>
                <w:b/>
                <w:color w:val="5B9AD4"/>
                <w:sz w:val="22"/>
              </w:rPr>
              <w:t>Major</w:t>
            </w:r>
            <w:r>
              <w:rPr>
                <w:b/>
                <w:color w:val="5B9AD4"/>
                <w:spacing w:val="-2"/>
                <w:sz w:val="22"/>
              </w:rPr>
              <w:t> Facilities)</w:t>
            </w:r>
          </w:p>
        </w:tc>
        <w:tc>
          <w:tcPr>
            <w:tcW w:w="4787" w:type="dxa"/>
            <w:gridSpan w:val="4"/>
            <w:tcBorders>
              <w:top w:val="single" w:sz="4" w:space="0" w:color="000000"/>
              <w:bottom w:val="single" w:sz="4" w:space="0" w:color="000000"/>
              <w:right w:val="single" w:sz="4" w:space="0" w:color="000000"/>
            </w:tcBorders>
          </w:tcPr>
          <w:p>
            <w:pPr>
              <w:pStyle w:val="TableParagraph"/>
              <w:rPr>
                <w:rFonts w:ascii="Times New Roman"/>
                <w:sz w:val="22"/>
              </w:rPr>
            </w:pPr>
          </w:p>
        </w:tc>
      </w:tr>
      <w:tr>
        <w:trPr>
          <w:trHeight w:val="306" w:hRule="atLeast"/>
        </w:trPr>
        <w:tc>
          <w:tcPr>
            <w:tcW w:w="5690" w:type="dxa"/>
            <w:tcBorders>
              <w:top w:val="single" w:sz="4" w:space="0" w:color="000000"/>
              <w:left w:val="single" w:sz="4" w:space="0" w:color="000000"/>
            </w:tcBorders>
          </w:tcPr>
          <w:p>
            <w:pPr>
              <w:pStyle w:val="TableParagraph"/>
              <w:ind w:left="107"/>
              <w:rPr>
                <w:sz w:val="22"/>
              </w:rPr>
            </w:pPr>
            <w:r>
              <w:rPr>
                <w:sz w:val="22"/>
              </w:rPr>
              <w:t>Council</w:t>
            </w:r>
            <w:r>
              <w:rPr>
                <w:spacing w:val="-4"/>
                <w:sz w:val="22"/>
              </w:rPr>
              <w:t> </w:t>
            </w:r>
            <w:r>
              <w:rPr>
                <w:sz w:val="22"/>
              </w:rPr>
              <w:t>operates</w:t>
            </w:r>
            <w:r>
              <w:rPr>
                <w:spacing w:val="-5"/>
                <w:sz w:val="22"/>
              </w:rPr>
              <w:t> </w:t>
            </w:r>
            <w:r>
              <w:rPr>
                <w:sz w:val="22"/>
              </w:rPr>
              <w:t>three</w:t>
            </w:r>
            <w:r>
              <w:rPr>
                <w:spacing w:val="-4"/>
                <w:sz w:val="22"/>
              </w:rPr>
              <w:t> </w:t>
            </w:r>
            <w:r>
              <w:rPr>
                <w:sz w:val="22"/>
              </w:rPr>
              <w:t>aquatic</w:t>
            </w:r>
            <w:r>
              <w:rPr>
                <w:spacing w:val="-3"/>
                <w:sz w:val="22"/>
              </w:rPr>
              <w:t> </w:t>
            </w:r>
            <w:r>
              <w:rPr>
                <w:sz w:val="22"/>
              </w:rPr>
              <w:t>and</w:t>
            </w:r>
            <w:r>
              <w:rPr>
                <w:spacing w:val="-4"/>
                <w:sz w:val="22"/>
              </w:rPr>
              <w:t> </w:t>
            </w:r>
            <w:r>
              <w:rPr>
                <w:sz w:val="22"/>
              </w:rPr>
              <w:t>leisure</w:t>
            </w:r>
            <w:r>
              <w:rPr>
                <w:spacing w:val="-4"/>
                <w:sz w:val="22"/>
              </w:rPr>
              <w:t> </w:t>
            </w:r>
            <w:r>
              <w:rPr>
                <w:sz w:val="22"/>
              </w:rPr>
              <w:t>facilities</w:t>
            </w:r>
            <w:r>
              <w:rPr>
                <w:spacing w:val="-3"/>
                <w:sz w:val="22"/>
              </w:rPr>
              <w:t> </w:t>
            </w:r>
            <w:r>
              <w:rPr>
                <w:spacing w:val="-12"/>
                <w:sz w:val="22"/>
              </w:rPr>
              <w:t>–</w:t>
            </w:r>
          </w:p>
        </w:tc>
        <w:tc>
          <w:tcPr>
            <w:tcW w:w="3496" w:type="dxa"/>
            <w:gridSpan w:val="3"/>
            <w:tcBorders>
              <w:top w:val="single" w:sz="4" w:space="0" w:color="000000"/>
            </w:tcBorders>
          </w:tcPr>
          <w:p>
            <w:pPr>
              <w:pStyle w:val="TableParagraph"/>
              <w:tabs>
                <w:tab w:pos="1553" w:val="left" w:leader="none"/>
                <w:tab w:pos="2844" w:val="left" w:leader="none"/>
              </w:tabs>
              <w:spacing w:line="206" w:lineRule="exact"/>
              <w:ind w:left="110"/>
              <w:rPr>
                <w:sz w:val="18"/>
              </w:rPr>
            </w:pPr>
            <w:r>
              <w:rPr>
                <w:spacing w:val="-5"/>
                <w:sz w:val="18"/>
              </w:rPr>
              <w:t>Inc</w:t>
            </w:r>
            <w:r>
              <w:rPr>
                <w:sz w:val="18"/>
              </w:rPr>
              <w:tab/>
            </w:r>
            <w:r>
              <w:rPr>
                <w:spacing w:val="-2"/>
                <w:sz w:val="18"/>
              </w:rPr>
              <w:t>14,699</w:t>
            </w:r>
            <w:r>
              <w:rPr>
                <w:sz w:val="18"/>
              </w:rPr>
              <w:tab/>
            </w:r>
            <w:r>
              <w:rPr>
                <w:spacing w:val="-2"/>
                <w:sz w:val="18"/>
              </w:rPr>
              <w:t>15,780</w:t>
            </w:r>
          </w:p>
        </w:tc>
        <w:tc>
          <w:tcPr>
            <w:tcW w:w="1291" w:type="dxa"/>
            <w:tcBorders>
              <w:top w:val="single" w:sz="4" w:space="0" w:color="000000"/>
              <w:right w:val="single" w:sz="4" w:space="0" w:color="000000"/>
            </w:tcBorders>
            <w:shd w:val="clear" w:color="auto" w:fill="BCD6ED"/>
          </w:tcPr>
          <w:p>
            <w:pPr>
              <w:pStyle w:val="TableParagraph"/>
              <w:spacing w:line="206" w:lineRule="exact"/>
              <w:ind w:right="92"/>
              <w:jc w:val="right"/>
              <w:rPr>
                <w:sz w:val="18"/>
              </w:rPr>
            </w:pPr>
            <w:r>
              <w:rPr>
                <w:spacing w:val="-2"/>
                <w:sz w:val="18"/>
              </w:rPr>
              <w:t>17,143</w:t>
            </w:r>
          </w:p>
        </w:tc>
      </w:tr>
      <w:tr>
        <w:trPr>
          <w:trHeight w:val="297" w:hRule="atLeast"/>
        </w:trPr>
        <w:tc>
          <w:tcPr>
            <w:tcW w:w="5690" w:type="dxa"/>
            <w:vMerge w:val="restart"/>
          </w:tcPr>
          <w:p>
            <w:pPr>
              <w:pStyle w:val="TableParagraph"/>
              <w:spacing w:line="198" w:lineRule="exact"/>
              <w:ind w:left="112"/>
              <w:rPr>
                <w:sz w:val="22"/>
              </w:rPr>
            </w:pPr>
            <w:r>
              <w:rPr>
                <w:sz w:val="22"/>
              </w:rPr>
              <w:t>Aquanation,</w:t>
            </w:r>
            <w:r>
              <w:rPr>
                <w:spacing w:val="-3"/>
                <w:sz w:val="22"/>
              </w:rPr>
              <w:t> </w:t>
            </w:r>
            <w:r>
              <w:rPr>
                <w:sz w:val="22"/>
              </w:rPr>
              <w:t>Aquahub</w:t>
            </w:r>
            <w:r>
              <w:rPr>
                <w:spacing w:val="-6"/>
                <w:sz w:val="22"/>
              </w:rPr>
              <w:t> </w:t>
            </w:r>
            <w:r>
              <w:rPr>
                <w:sz w:val="22"/>
              </w:rPr>
              <w:t>and</w:t>
            </w:r>
            <w:r>
              <w:rPr>
                <w:spacing w:val="-4"/>
                <w:sz w:val="22"/>
              </w:rPr>
              <w:t> </w:t>
            </w:r>
            <w:r>
              <w:rPr>
                <w:sz w:val="22"/>
              </w:rPr>
              <w:t>Croydon</w:t>
            </w:r>
            <w:r>
              <w:rPr>
                <w:spacing w:val="-6"/>
                <w:sz w:val="22"/>
              </w:rPr>
              <w:t> </w:t>
            </w:r>
            <w:r>
              <w:rPr>
                <w:sz w:val="22"/>
              </w:rPr>
              <w:t>Memorial</w:t>
            </w:r>
            <w:r>
              <w:rPr>
                <w:spacing w:val="-4"/>
                <w:sz w:val="22"/>
              </w:rPr>
              <w:t> Pool,</w:t>
            </w:r>
          </w:p>
          <w:p>
            <w:pPr>
              <w:pStyle w:val="TableParagraph"/>
              <w:spacing w:before="1"/>
              <w:ind w:left="112" w:right="143"/>
              <w:rPr>
                <w:sz w:val="22"/>
              </w:rPr>
            </w:pPr>
            <w:r>
              <w:rPr>
                <w:sz w:val="22"/>
              </w:rPr>
              <w:t>providing</w:t>
            </w:r>
            <w:r>
              <w:rPr>
                <w:spacing w:val="-3"/>
                <w:sz w:val="22"/>
              </w:rPr>
              <w:t> </w:t>
            </w:r>
            <w:r>
              <w:rPr>
                <w:sz w:val="22"/>
              </w:rPr>
              <w:t>a</w:t>
            </w:r>
            <w:r>
              <w:rPr>
                <w:spacing w:val="-6"/>
                <w:sz w:val="22"/>
              </w:rPr>
              <w:t> </w:t>
            </w:r>
            <w:r>
              <w:rPr>
                <w:sz w:val="22"/>
              </w:rPr>
              <w:t>wide</w:t>
            </w:r>
            <w:r>
              <w:rPr>
                <w:spacing w:val="-6"/>
                <w:sz w:val="22"/>
              </w:rPr>
              <w:t> </w:t>
            </w:r>
            <w:r>
              <w:rPr>
                <w:sz w:val="22"/>
              </w:rPr>
              <w:t>range</w:t>
            </w:r>
            <w:r>
              <w:rPr>
                <w:spacing w:val="-4"/>
                <w:sz w:val="22"/>
              </w:rPr>
              <w:t> </w:t>
            </w:r>
            <w:r>
              <w:rPr>
                <w:sz w:val="22"/>
              </w:rPr>
              <w:t>of</w:t>
            </w:r>
            <w:r>
              <w:rPr>
                <w:spacing w:val="-2"/>
                <w:sz w:val="22"/>
              </w:rPr>
              <w:t> </w:t>
            </w:r>
            <w:r>
              <w:rPr>
                <w:sz w:val="22"/>
              </w:rPr>
              <w:t>activities</w:t>
            </w:r>
            <w:r>
              <w:rPr>
                <w:spacing w:val="-4"/>
                <w:sz w:val="22"/>
              </w:rPr>
              <w:t> </w:t>
            </w:r>
            <w:r>
              <w:rPr>
                <w:sz w:val="22"/>
              </w:rPr>
              <w:t>and</w:t>
            </w:r>
            <w:r>
              <w:rPr>
                <w:spacing w:val="-5"/>
                <w:sz w:val="22"/>
              </w:rPr>
              <w:t> </w:t>
            </w:r>
            <w:r>
              <w:rPr>
                <w:sz w:val="22"/>
              </w:rPr>
              <w:t>programs</w:t>
            </w:r>
            <w:r>
              <w:rPr>
                <w:spacing w:val="-8"/>
                <w:sz w:val="22"/>
              </w:rPr>
              <w:t> </w:t>
            </w:r>
            <w:r>
              <w:rPr>
                <w:sz w:val="22"/>
              </w:rPr>
              <w:t>at affordable prices, to ensure that the Maroondah community, and visitors to Maroondah can access healthy lifestyle options.</w:t>
            </w:r>
          </w:p>
          <w:p>
            <w:pPr>
              <w:pStyle w:val="TableParagraph"/>
              <w:ind w:left="112" w:right="143"/>
              <w:rPr>
                <w:sz w:val="22"/>
              </w:rPr>
            </w:pPr>
            <w:r>
              <w:rPr>
                <w:sz w:val="22"/>
              </w:rPr>
              <w:t>The</w:t>
            </w:r>
            <w:r>
              <w:rPr>
                <w:spacing w:val="-6"/>
                <w:sz w:val="22"/>
              </w:rPr>
              <w:t> </w:t>
            </w:r>
            <w:r>
              <w:rPr>
                <w:sz w:val="22"/>
              </w:rPr>
              <w:t>Maroondah</w:t>
            </w:r>
            <w:r>
              <w:rPr>
                <w:spacing w:val="-6"/>
                <w:sz w:val="22"/>
              </w:rPr>
              <w:t> </w:t>
            </w:r>
            <w:r>
              <w:rPr>
                <w:sz w:val="22"/>
              </w:rPr>
              <w:t>Leisure</w:t>
            </w:r>
            <w:r>
              <w:rPr>
                <w:spacing w:val="-9"/>
                <w:sz w:val="22"/>
              </w:rPr>
              <w:t> </w:t>
            </w:r>
            <w:r>
              <w:rPr>
                <w:sz w:val="22"/>
              </w:rPr>
              <w:t>Sales</w:t>
            </w:r>
            <w:r>
              <w:rPr>
                <w:spacing w:val="-4"/>
                <w:sz w:val="22"/>
              </w:rPr>
              <w:t> </w:t>
            </w:r>
            <w:r>
              <w:rPr>
                <w:sz w:val="22"/>
              </w:rPr>
              <w:t>and</w:t>
            </w:r>
            <w:r>
              <w:rPr>
                <w:spacing w:val="-4"/>
                <w:sz w:val="22"/>
              </w:rPr>
              <w:t> </w:t>
            </w:r>
            <w:r>
              <w:rPr>
                <w:sz w:val="22"/>
              </w:rPr>
              <w:t>Membership</w:t>
            </w:r>
            <w:r>
              <w:rPr>
                <w:spacing w:val="-8"/>
                <w:sz w:val="22"/>
              </w:rPr>
              <w:t> </w:t>
            </w:r>
            <w:r>
              <w:rPr>
                <w:sz w:val="22"/>
              </w:rPr>
              <w:t>team, work in conjunction with Leisure and Aquatics and Communications and Citizen Experience teams, to</w:t>
            </w:r>
          </w:p>
          <w:p>
            <w:pPr>
              <w:pStyle w:val="TableParagraph"/>
              <w:spacing w:line="252" w:lineRule="exact"/>
              <w:ind w:left="112" w:right="143"/>
              <w:rPr>
                <w:sz w:val="22"/>
              </w:rPr>
            </w:pPr>
            <w:r>
              <w:rPr>
                <w:sz w:val="22"/>
              </w:rPr>
              <w:t>attract</w:t>
            </w:r>
            <w:r>
              <w:rPr>
                <w:spacing w:val="-6"/>
                <w:sz w:val="22"/>
              </w:rPr>
              <w:t> </w:t>
            </w:r>
            <w:r>
              <w:rPr>
                <w:sz w:val="22"/>
              </w:rPr>
              <w:t>new</w:t>
            </w:r>
            <w:r>
              <w:rPr>
                <w:spacing w:val="-4"/>
                <w:sz w:val="22"/>
              </w:rPr>
              <w:t> </w:t>
            </w:r>
            <w:r>
              <w:rPr>
                <w:sz w:val="22"/>
              </w:rPr>
              <w:t>perpetual</w:t>
            </w:r>
            <w:r>
              <w:rPr>
                <w:spacing w:val="-6"/>
                <w:sz w:val="22"/>
              </w:rPr>
              <w:t> </w:t>
            </w:r>
            <w:r>
              <w:rPr>
                <w:sz w:val="22"/>
              </w:rPr>
              <w:t>members</w:t>
            </w:r>
            <w:r>
              <w:rPr>
                <w:spacing w:val="-6"/>
                <w:sz w:val="22"/>
              </w:rPr>
              <w:t> </w:t>
            </w:r>
            <w:r>
              <w:rPr>
                <w:sz w:val="22"/>
              </w:rPr>
              <w:t>as</w:t>
            </w:r>
            <w:r>
              <w:rPr>
                <w:spacing w:val="-6"/>
                <w:sz w:val="22"/>
              </w:rPr>
              <w:t> </w:t>
            </w:r>
            <w:r>
              <w:rPr>
                <w:sz w:val="22"/>
              </w:rPr>
              <w:t>well</w:t>
            </w:r>
            <w:r>
              <w:rPr>
                <w:spacing w:val="-7"/>
                <w:sz w:val="22"/>
              </w:rPr>
              <w:t> </w:t>
            </w:r>
            <w:r>
              <w:rPr>
                <w:sz w:val="22"/>
              </w:rPr>
              <w:t>as</w:t>
            </w:r>
            <w:r>
              <w:rPr>
                <w:spacing w:val="-3"/>
                <w:sz w:val="22"/>
              </w:rPr>
              <w:t> </w:t>
            </w:r>
            <w:r>
              <w:rPr>
                <w:sz w:val="22"/>
              </w:rPr>
              <w:t>managing existing Maroondah Leisure members.</w:t>
            </w:r>
          </w:p>
        </w:tc>
        <w:tc>
          <w:tcPr>
            <w:tcW w:w="3496" w:type="dxa"/>
            <w:gridSpan w:val="3"/>
            <w:tcBorders>
              <w:bottom w:val="single" w:sz="4" w:space="0" w:color="000000"/>
            </w:tcBorders>
          </w:tcPr>
          <w:p>
            <w:pPr>
              <w:pStyle w:val="TableParagraph"/>
              <w:tabs>
                <w:tab w:pos="1553" w:val="left" w:leader="none"/>
                <w:tab w:pos="2844" w:val="left" w:leader="none"/>
              </w:tabs>
              <w:spacing w:line="206" w:lineRule="exact"/>
              <w:ind w:left="110"/>
              <w:rPr>
                <w:sz w:val="18"/>
              </w:rPr>
            </w:pPr>
            <w:r>
              <w:rPr>
                <w:spacing w:val="-5"/>
                <w:sz w:val="18"/>
              </w:rPr>
              <w:t>Exp</w:t>
            </w:r>
            <w:r>
              <w:rPr>
                <w:sz w:val="18"/>
              </w:rPr>
              <w:tab/>
            </w:r>
            <w:r>
              <w:rPr>
                <w:spacing w:val="-2"/>
                <w:sz w:val="18"/>
              </w:rPr>
              <w:t>13,359</w:t>
            </w:r>
            <w:r>
              <w:rPr>
                <w:sz w:val="18"/>
              </w:rPr>
              <w:tab/>
            </w:r>
            <w:r>
              <w:rPr>
                <w:spacing w:val="-2"/>
                <w:sz w:val="18"/>
              </w:rPr>
              <w:t>14,919</w:t>
            </w:r>
          </w:p>
        </w:tc>
        <w:tc>
          <w:tcPr>
            <w:tcW w:w="1291" w:type="dxa"/>
            <w:tcBorders>
              <w:bottom w:val="single" w:sz="4" w:space="0" w:color="000000"/>
              <w:right w:val="single" w:sz="4" w:space="0" w:color="000000"/>
            </w:tcBorders>
            <w:shd w:val="clear" w:color="auto" w:fill="BCD6ED"/>
          </w:tcPr>
          <w:p>
            <w:pPr>
              <w:pStyle w:val="TableParagraph"/>
              <w:spacing w:line="206" w:lineRule="exact"/>
              <w:ind w:right="92"/>
              <w:jc w:val="right"/>
              <w:rPr>
                <w:sz w:val="18"/>
              </w:rPr>
            </w:pPr>
            <w:r>
              <w:rPr>
                <w:spacing w:val="-2"/>
                <w:sz w:val="18"/>
              </w:rPr>
              <w:t>15,800</w:t>
            </w:r>
          </w:p>
        </w:tc>
      </w:tr>
      <w:tr>
        <w:trPr>
          <w:trHeight w:val="2169" w:hRule="atLeast"/>
        </w:trPr>
        <w:tc>
          <w:tcPr>
            <w:tcW w:w="5690" w:type="dxa"/>
            <w:vMerge/>
            <w:tcBorders>
              <w:top w:val="nil"/>
            </w:tcBorders>
          </w:tcPr>
          <w:p>
            <w:pPr>
              <w:rPr>
                <w:sz w:val="2"/>
                <w:szCs w:val="2"/>
              </w:rPr>
            </w:pPr>
          </w:p>
        </w:tc>
        <w:tc>
          <w:tcPr>
            <w:tcW w:w="908" w:type="dxa"/>
            <w:tcBorders>
              <w:top w:val="single" w:sz="4" w:space="0" w:color="000000"/>
              <w:bottom w:val="single" w:sz="4" w:space="0" w:color="000000"/>
            </w:tcBorders>
          </w:tcPr>
          <w:p>
            <w:pPr>
              <w:pStyle w:val="TableParagraph"/>
              <w:spacing w:line="206" w:lineRule="exact"/>
              <w:ind w:left="110"/>
              <w:rPr>
                <w:b/>
                <w:sz w:val="18"/>
              </w:rPr>
            </w:pPr>
            <w:r>
              <w:rPr>
                <w:b/>
                <w:spacing w:val="-2"/>
                <w:sz w:val="18"/>
              </w:rPr>
              <w:t>Surplus</w:t>
            </w:r>
          </w:p>
          <w:p>
            <w:pPr>
              <w:pStyle w:val="TableParagraph"/>
              <w:ind w:left="110" w:right="141"/>
              <w:rPr>
                <w:b/>
                <w:sz w:val="18"/>
              </w:rPr>
            </w:pPr>
            <w:r>
              <w:rPr>
                <w:b/>
                <w:spacing w:val="-10"/>
                <w:sz w:val="18"/>
              </w:rPr>
              <w:t>/</w:t>
            </w:r>
            <w:r>
              <w:rPr>
                <w:b/>
                <w:spacing w:val="-2"/>
                <w:sz w:val="18"/>
              </w:rPr>
              <w:t> (deficit)</w:t>
            </w:r>
          </w:p>
        </w:tc>
        <w:tc>
          <w:tcPr>
            <w:tcW w:w="1307" w:type="dxa"/>
            <w:tcBorders>
              <w:top w:val="single" w:sz="4" w:space="0" w:color="000000"/>
              <w:bottom w:val="single" w:sz="4" w:space="0" w:color="000000"/>
            </w:tcBorders>
          </w:tcPr>
          <w:p>
            <w:pPr>
              <w:pStyle w:val="TableParagraph"/>
              <w:spacing w:line="206" w:lineRule="exact"/>
              <w:ind w:right="108"/>
              <w:jc w:val="right"/>
              <w:rPr>
                <w:b/>
                <w:sz w:val="18"/>
              </w:rPr>
            </w:pPr>
            <w:r>
              <w:rPr>
                <w:b/>
                <w:spacing w:val="-2"/>
                <w:sz w:val="18"/>
              </w:rPr>
              <w:t>1,340</w:t>
            </w:r>
          </w:p>
        </w:tc>
        <w:tc>
          <w:tcPr>
            <w:tcW w:w="1281" w:type="dxa"/>
            <w:tcBorders>
              <w:top w:val="single" w:sz="4" w:space="0" w:color="000000"/>
              <w:bottom w:val="single" w:sz="4" w:space="0" w:color="000000"/>
            </w:tcBorders>
          </w:tcPr>
          <w:p>
            <w:pPr>
              <w:pStyle w:val="TableParagraph"/>
              <w:spacing w:line="206" w:lineRule="exact"/>
              <w:ind w:right="99"/>
              <w:jc w:val="right"/>
              <w:rPr>
                <w:b/>
                <w:sz w:val="18"/>
              </w:rPr>
            </w:pPr>
            <w:r>
              <w:rPr>
                <w:b/>
                <w:spacing w:val="-5"/>
                <w:sz w:val="18"/>
              </w:rPr>
              <w:t>861</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3"/>
              <w:jc w:val="right"/>
              <w:rPr>
                <w:b/>
                <w:sz w:val="18"/>
              </w:rPr>
            </w:pPr>
            <w:r>
              <w:rPr>
                <w:b/>
                <w:spacing w:val="-2"/>
                <w:sz w:val="18"/>
              </w:rPr>
              <w:t>1,343</w:t>
            </w:r>
          </w:p>
        </w:tc>
      </w:tr>
    </w:tbl>
    <w:p>
      <w:pPr>
        <w:spacing w:after="0" w:line="206" w:lineRule="exact"/>
        <w:jc w:val="right"/>
        <w:rPr>
          <w:sz w:val="18"/>
        </w:rPr>
        <w:sectPr>
          <w:pgSz w:w="11910" w:h="16840"/>
          <w:pgMar w:header="0" w:footer="426" w:top="340" w:bottom="620" w:left="460" w:right="160"/>
        </w:sectPr>
      </w:pPr>
    </w:p>
    <w:p>
      <w:pPr>
        <w:pStyle w:val="BodyText"/>
        <w:spacing w:before="5"/>
        <w:rPr>
          <w:b/>
          <w:sz w:val="2"/>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9"/>
        <w:gridCol w:w="1017"/>
        <w:gridCol w:w="1282"/>
        <w:gridCol w:w="1284"/>
        <w:gridCol w:w="1288"/>
      </w:tblGrid>
      <w:tr>
        <w:trPr>
          <w:trHeight w:val="906" w:hRule="atLeast"/>
        </w:trPr>
        <w:tc>
          <w:tcPr>
            <w:tcW w:w="5659" w:type="dxa"/>
            <w:tcBorders>
              <w:bottom w:val="nil"/>
              <w:right w:val="nil"/>
            </w:tcBorders>
            <w:shd w:val="clear" w:color="auto" w:fill="5B9AD4"/>
          </w:tcPr>
          <w:p>
            <w:pPr>
              <w:pStyle w:val="TableParagraph"/>
              <w:spacing w:before="4"/>
              <w:rPr>
                <w:b/>
                <w:sz w:val="28"/>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1017" w:type="dxa"/>
            <w:tcBorders>
              <w:left w:val="nil"/>
              <w:bottom w:val="nil"/>
              <w:right w:val="nil"/>
            </w:tcBorders>
            <w:shd w:val="clear" w:color="auto" w:fill="5B9AD4"/>
          </w:tcPr>
          <w:p>
            <w:pPr>
              <w:pStyle w:val="TableParagraph"/>
              <w:rPr>
                <w:rFonts w:ascii="Times New Roman"/>
                <w:sz w:val="20"/>
              </w:rPr>
            </w:pPr>
          </w:p>
        </w:tc>
        <w:tc>
          <w:tcPr>
            <w:tcW w:w="1282" w:type="dxa"/>
            <w:tcBorders>
              <w:left w:val="nil"/>
              <w:bottom w:val="nil"/>
              <w:right w:val="nil"/>
            </w:tcBorders>
            <w:shd w:val="clear" w:color="auto" w:fill="5B9AD4"/>
          </w:tcPr>
          <w:p>
            <w:pPr>
              <w:pStyle w:val="TableParagraph"/>
              <w:spacing w:before="24"/>
              <w:ind w:left="106" w:right="108"/>
              <w:jc w:val="center"/>
              <w:rPr>
                <w:b/>
                <w:sz w:val="22"/>
              </w:rPr>
            </w:pPr>
            <w:r>
              <w:rPr>
                <w:b/>
                <w:color w:val="FFFFFF"/>
                <w:spacing w:val="-2"/>
                <w:sz w:val="22"/>
              </w:rPr>
              <w:t>2022/2023</w:t>
            </w:r>
          </w:p>
          <w:p>
            <w:pPr>
              <w:pStyle w:val="TableParagraph"/>
              <w:spacing w:before="49"/>
              <w:ind w:left="103" w:right="108"/>
              <w:jc w:val="center"/>
              <w:rPr>
                <w:b/>
                <w:sz w:val="22"/>
              </w:rPr>
            </w:pPr>
            <w:r>
              <w:rPr>
                <w:b/>
                <w:color w:val="FFFFFF"/>
                <w:spacing w:val="-2"/>
                <w:sz w:val="22"/>
              </w:rPr>
              <w:t>Actual</w:t>
            </w:r>
          </w:p>
          <w:p>
            <w:pPr>
              <w:pStyle w:val="TableParagraph"/>
              <w:spacing w:before="52"/>
              <w:ind w:left="102" w:right="108"/>
              <w:jc w:val="center"/>
              <w:rPr>
                <w:b/>
                <w:sz w:val="22"/>
              </w:rPr>
            </w:pPr>
            <w:r>
              <w:rPr>
                <w:b/>
                <w:color w:val="FFFFFF"/>
                <w:spacing w:val="-2"/>
                <w:sz w:val="22"/>
              </w:rPr>
              <w:t>$'000</w:t>
            </w:r>
          </w:p>
        </w:tc>
        <w:tc>
          <w:tcPr>
            <w:tcW w:w="1284" w:type="dxa"/>
            <w:tcBorders>
              <w:left w:val="nil"/>
              <w:bottom w:val="nil"/>
              <w:right w:val="nil"/>
            </w:tcBorders>
            <w:shd w:val="clear" w:color="auto" w:fill="5B9AD4"/>
          </w:tcPr>
          <w:p>
            <w:pPr>
              <w:pStyle w:val="TableParagraph"/>
              <w:spacing w:before="24"/>
              <w:ind w:left="110" w:right="108"/>
              <w:jc w:val="center"/>
              <w:rPr>
                <w:b/>
                <w:sz w:val="22"/>
              </w:rPr>
            </w:pPr>
            <w:r>
              <w:rPr>
                <w:b/>
                <w:color w:val="FFFFFF"/>
                <w:spacing w:val="-2"/>
                <w:sz w:val="22"/>
              </w:rPr>
              <w:t>2023/2024</w:t>
            </w:r>
          </w:p>
          <w:p>
            <w:pPr>
              <w:pStyle w:val="TableParagraph"/>
              <w:spacing w:before="49"/>
              <w:ind w:left="110" w:right="106"/>
              <w:jc w:val="center"/>
              <w:rPr>
                <w:b/>
                <w:sz w:val="22"/>
              </w:rPr>
            </w:pPr>
            <w:r>
              <w:rPr>
                <w:b/>
                <w:color w:val="FFFFFF"/>
                <w:spacing w:val="-2"/>
                <w:sz w:val="22"/>
              </w:rPr>
              <w:t>Forecast</w:t>
            </w:r>
          </w:p>
          <w:p>
            <w:pPr>
              <w:pStyle w:val="TableParagraph"/>
              <w:spacing w:before="52"/>
              <w:ind w:left="110" w:right="107"/>
              <w:jc w:val="center"/>
              <w:rPr>
                <w:b/>
                <w:sz w:val="22"/>
              </w:rPr>
            </w:pPr>
            <w:r>
              <w:rPr>
                <w:b/>
                <w:color w:val="FFFFFF"/>
                <w:spacing w:val="-2"/>
                <w:sz w:val="22"/>
              </w:rPr>
              <w:t>$'000</w:t>
            </w:r>
          </w:p>
        </w:tc>
        <w:tc>
          <w:tcPr>
            <w:tcW w:w="1288" w:type="dxa"/>
            <w:tcBorders>
              <w:left w:val="nil"/>
              <w:bottom w:val="nil"/>
            </w:tcBorders>
            <w:shd w:val="clear" w:color="auto" w:fill="5B9AD4"/>
          </w:tcPr>
          <w:p>
            <w:pPr>
              <w:pStyle w:val="TableParagraph"/>
              <w:spacing w:before="24"/>
              <w:ind w:left="111" w:right="98"/>
              <w:jc w:val="center"/>
              <w:rPr>
                <w:b/>
                <w:sz w:val="22"/>
              </w:rPr>
            </w:pPr>
            <w:r>
              <w:rPr>
                <w:b/>
                <w:color w:val="FFFFFF"/>
                <w:spacing w:val="-2"/>
                <w:sz w:val="22"/>
              </w:rPr>
              <w:t>2024/2025</w:t>
            </w:r>
          </w:p>
          <w:p>
            <w:pPr>
              <w:pStyle w:val="TableParagraph"/>
              <w:spacing w:before="49"/>
              <w:ind w:left="111" w:right="100"/>
              <w:jc w:val="center"/>
              <w:rPr>
                <w:b/>
                <w:sz w:val="22"/>
              </w:rPr>
            </w:pPr>
            <w:r>
              <w:rPr>
                <w:b/>
                <w:color w:val="FFFFFF"/>
                <w:spacing w:val="-2"/>
                <w:sz w:val="22"/>
              </w:rPr>
              <w:t>Budget</w:t>
            </w:r>
          </w:p>
          <w:p>
            <w:pPr>
              <w:pStyle w:val="TableParagraph"/>
              <w:spacing w:before="52"/>
              <w:ind w:left="111" w:right="98"/>
              <w:jc w:val="center"/>
              <w:rPr>
                <w:b/>
                <w:sz w:val="22"/>
              </w:rPr>
            </w:pPr>
            <w:r>
              <w:rPr>
                <w:b/>
                <w:color w:val="FFFFFF"/>
                <w:spacing w:val="-2"/>
                <w:sz w:val="22"/>
              </w:rPr>
              <w:t>$'000</w:t>
            </w:r>
          </w:p>
        </w:tc>
      </w:tr>
      <w:tr>
        <w:trPr>
          <w:trHeight w:val="304" w:hRule="atLeast"/>
        </w:trPr>
        <w:tc>
          <w:tcPr>
            <w:tcW w:w="10530" w:type="dxa"/>
            <w:gridSpan w:val="5"/>
            <w:tcBorders>
              <w:top w:val="nil"/>
            </w:tcBorders>
          </w:tcPr>
          <w:p>
            <w:pPr>
              <w:pStyle w:val="TableParagraph"/>
              <w:spacing w:before="26"/>
              <w:ind w:left="107"/>
              <w:rPr>
                <w:b/>
                <w:sz w:val="22"/>
              </w:rPr>
            </w:pPr>
            <w:r>
              <w:rPr>
                <w:b/>
                <w:color w:val="5B9AD4"/>
                <w:sz w:val="22"/>
              </w:rPr>
              <w:t>Local</w:t>
            </w:r>
            <w:r>
              <w:rPr>
                <w:b/>
                <w:color w:val="5B9AD4"/>
                <w:spacing w:val="-3"/>
                <w:sz w:val="22"/>
              </w:rPr>
              <w:t> </w:t>
            </w:r>
            <w:r>
              <w:rPr>
                <w:b/>
                <w:color w:val="5B9AD4"/>
                <w:sz w:val="22"/>
              </w:rPr>
              <w:t>Laws</w:t>
            </w:r>
            <w:r>
              <w:rPr>
                <w:b/>
                <w:color w:val="5B9AD4"/>
                <w:spacing w:val="-7"/>
                <w:sz w:val="22"/>
              </w:rPr>
              <w:t> </w:t>
            </w:r>
            <w:r>
              <w:rPr>
                <w:b/>
                <w:color w:val="5B9AD4"/>
                <w:sz w:val="22"/>
              </w:rPr>
              <w:t>(Community</w:t>
            </w:r>
            <w:r>
              <w:rPr>
                <w:b/>
                <w:color w:val="5B9AD4"/>
                <w:spacing w:val="-6"/>
                <w:sz w:val="22"/>
              </w:rPr>
              <w:t> </w:t>
            </w:r>
            <w:r>
              <w:rPr>
                <w:b/>
                <w:color w:val="5B9AD4"/>
                <w:spacing w:val="-2"/>
                <w:sz w:val="22"/>
              </w:rPr>
              <w:t>Safety)</w:t>
            </w:r>
          </w:p>
        </w:tc>
      </w:tr>
      <w:tr>
        <w:trPr>
          <w:trHeight w:val="614" w:hRule="atLeast"/>
        </w:trPr>
        <w:tc>
          <w:tcPr>
            <w:tcW w:w="5659" w:type="dxa"/>
            <w:vMerge w:val="restart"/>
            <w:tcBorders>
              <w:right w:val="nil"/>
            </w:tcBorders>
          </w:tcPr>
          <w:p>
            <w:pPr>
              <w:pStyle w:val="TableParagraph"/>
              <w:ind w:left="107" w:right="149"/>
              <w:rPr>
                <w:sz w:val="22"/>
              </w:rPr>
            </w:pPr>
            <w:r>
              <w:rPr>
                <w:sz w:val="22"/>
              </w:rPr>
              <w:t>Local Laws provide a broad range of services to maintain and improve the amenity and safety of the Maroondah municipality. Services include the registration and management of domestic animals; ensuring</w:t>
            </w:r>
            <w:r>
              <w:rPr>
                <w:spacing w:val="-3"/>
                <w:sz w:val="22"/>
              </w:rPr>
              <w:t> </w:t>
            </w:r>
            <w:r>
              <w:rPr>
                <w:sz w:val="22"/>
              </w:rPr>
              <w:t>the</w:t>
            </w:r>
            <w:r>
              <w:rPr>
                <w:spacing w:val="-4"/>
                <w:sz w:val="22"/>
              </w:rPr>
              <w:t> </w:t>
            </w:r>
            <w:r>
              <w:rPr>
                <w:sz w:val="22"/>
              </w:rPr>
              <w:t>management of safe and</w:t>
            </w:r>
            <w:r>
              <w:rPr>
                <w:spacing w:val="-2"/>
                <w:sz w:val="22"/>
              </w:rPr>
              <w:t> </w:t>
            </w:r>
            <w:r>
              <w:rPr>
                <w:sz w:val="22"/>
              </w:rPr>
              <w:t>accessible</w:t>
            </w:r>
            <w:r>
              <w:rPr>
                <w:spacing w:val="-3"/>
                <w:sz w:val="22"/>
              </w:rPr>
              <w:t> </w:t>
            </w:r>
            <w:r>
              <w:rPr>
                <w:sz w:val="22"/>
              </w:rPr>
              <w:t>car parking; protection of resident and business amenity and</w:t>
            </w:r>
            <w:r>
              <w:rPr>
                <w:spacing w:val="-5"/>
                <w:sz w:val="22"/>
              </w:rPr>
              <w:t> </w:t>
            </w:r>
            <w:r>
              <w:rPr>
                <w:sz w:val="22"/>
              </w:rPr>
              <w:t>safety;</w:t>
            </w:r>
            <w:r>
              <w:rPr>
                <w:spacing w:val="-5"/>
                <w:sz w:val="22"/>
              </w:rPr>
              <w:t> </w:t>
            </w:r>
            <w:r>
              <w:rPr>
                <w:sz w:val="22"/>
              </w:rPr>
              <w:t>fire</w:t>
            </w:r>
            <w:r>
              <w:rPr>
                <w:spacing w:val="-7"/>
                <w:sz w:val="22"/>
              </w:rPr>
              <w:t> </w:t>
            </w:r>
            <w:r>
              <w:rPr>
                <w:sz w:val="22"/>
              </w:rPr>
              <w:t>prevention;</w:t>
            </w:r>
            <w:r>
              <w:rPr>
                <w:spacing w:val="-5"/>
                <w:sz w:val="22"/>
              </w:rPr>
              <w:t> </w:t>
            </w:r>
            <w:r>
              <w:rPr>
                <w:sz w:val="22"/>
              </w:rPr>
              <w:t>managing</w:t>
            </w:r>
            <w:r>
              <w:rPr>
                <w:spacing w:val="-5"/>
                <w:sz w:val="22"/>
              </w:rPr>
              <w:t> </w:t>
            </w:r>
            <w:r>
              <w:rPr>
                <w:sz w:val="22"/>
              </w:rPr>
              <w:t>the</w:t>
            </w:r>
            <w:r>
              <w:rPr>
                <w:spacing w:val="-5"/>
                <w:sz w:val="22"/>
              </w:rPr>
              <w:t> </w:t>
            </w:r>
            <w:r>
              <w:rPr>
                <w:sz w:val="22"/>
              </w:rPr>
              <w:t>prosecution and appeal functions of Council; and managing</w:t>
            </w:r>
          </w:p>
          <w:p>
            <w:pPr>
              <w:pStyle w:val="TableParagraph"/>
              <w:spacing w:line="231" w:lineRule="exact"/>
              <w:ind w:left="107"/>
              <w:rPr>
                <w:sz w:val="22"/>
              </w:rPr>
            </w:pPr>
            <w:r>
              <w:rPr>
                <w:sz w:val="22"/>
              </w:rPr>
              <w:t>Maroondah’s</w:t>
            </w:r>
            <w:r>
              <w:rPr>
                <w:spacing w:val="-5"/>
                <w:sz w:val="22"/>
              </w:rPr>
              <w:t> </w:t>
            </w:r>
            <w:r>
              <w:rPr>
                <w:sz w:val="22"/>
              </w:rPr>
              <w:t>76</w:t>
            </w:r>
            <w:r>
              <w:rPr>
                <w:spacing w:val="-3"/>
                <w:sz w:val="22"/>
              </w:rPr>
              <w:t> </w:t>
            </w:r>
            <w:r>
              <w:rPr>
                <w:sz w:val="22"/>
              </w:rPr>
              <w:t>school</w:t>
            </w:r>
            <w:r>
              <w:rPr>
                <w:spacing w:val="-5"/>
                <w:sz w:val="22"/>
              </w:rPr>
              <w:t> </w:t>
            </w:r>
            <w:r>
              <w:rPr>
                <w:spacing w:val="-2"/>
                <w:sz w:val="22"/>
              </w:rPr>
              <w:t>crossings.</w:t>
            </w:r>
          </w:p>
        </w:tc>
        <w:tc>
          <w:tcPr>
            <w:tcW w:w="1017"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5"/>
              <w:ind w:left="110"/>
              <w:rPr>
                <w:sz w:val="18"/>
              </w:rPr>
            </w:pPr>
            <w:r>
              <w:rPr>
                <w:spacing w:val="-5"/>
                <w:sz w:val="18"/>
              </w:rPr>
              <w:t>Exp</w:t>
            </w:r>
          </w:p>
        </w:tc>
        <w:tc>
          <w:tcPr>
            <w:tcW w:w="1282" w:type="dxa"/>
            <w:tcBorders>
              <w:left w:val="nil"/>
              <w:right w:val="nil"/>
            </w:tcBorders>
          </w:tcPr>
          <w:p>
            <w:pPr>
              <w:pStyle w:val="TableParagraph"/>
              <w:spacing w:line="206" w:lineRule="exact"/>
              <w:ind w:left="718"/>
              <w:rPr>
                <w:sz w:val="18"/>
              </w:rPr>
            </w:pPr>
            <w:r>
              <w:rPr>
                <w:spacing w:val="-2"/>
                <w:sz w:val="18"/>
              </w:rPr>
              <w:t>3,423</w:t>
            </w:r>
          </w:p>
          <w:p>
            <w:pPr>
              <w:pStyle w:val="TableParagraph"/>
              <w:spacing w:before="105"/>
              <w:ind w:left="718"/>
              <w:rPr>
                <w:sz w:val="18"/>
              </w:rPr>
            </w:pPr>
            <w:r>
              <w:rPr>
                <w:spacing w:val="-2"/>
                <w:sz w:val="18"/>
              </w:rPr>
              <w:t>3,561</w:t>
            </w:r>
          </w:p>
        </w:tc>
        <w:tc>
          <w:tcPr>
            <w:tcW w:w="1284" w:type="dxa"/>
            <w:tcBorders>
              <w:left w:val="nil"/>
              <w:right w:val="nil"/>
            </w:tcBorders>
          </w:tcPr>
          <w:p>
            <w:pPr>
              <w:pStyle w:val="TableParagraph"/>
              <w:spacing w:line="206" w:lineRule="exact"/>
              <w:ind w:left="732"/>
              <w:rPr>
                <w:sz w:val="18"/>
              </w:rPr>
            </w:pPr>
            <w:r>
              <w:rPr>
                <w:spacing w:val="-2"/>
                <w:sz w:val="18"/>
              </w:rPr>
              <w:t>3,551</w:t>
            </w:r>
          </w:p>
          <w:p>
            <w:pPr>
              <w:pStyle w:val="TableParagraph"/>
              <w:spacing w:before="105"/>
              <w:ind w:left="732"/>
              <w:rPr>
                <w:sz w:val="18"/>
              </w:rPr>
            </w:pPr>
            <w:r>
              <w:rPr>
                <w:spacing w:val="-2"/>
                <w:sz w:val="18"/>
              </w:rPr>
              <w:t>4,020</w:t>
            </w:r>
          </w:p>
        </w:tc>
        <w:tc>
          <w:tcPr>
            <w:tcW w:w="1288" w:type="dxa"/>
            <w:tcBorders>
              <w:left w:val="nil"/>
            </w:tcBorders>
            <w:shd w:val="clear" w:color="auto" w:fill="BCD6ED"/>
          </w:tcPr>
          <w:p>
            <w:pPr>
              <w:pStyle w:val="TableParagraph"/>
              <w:spacing w:line="206" w:lineRule="exact"/>
              <w:ind w:left="729"/>
              <w:rPr>
                <w:sz w:val="18"/>
              </w:rPr>
            </w:pPr>
            <w:r>
              <w:rPr>
                <w:spacing w:val="-2"/>
                <w:sz w:val="18"/>
              </w:rPr>
              <w:t>3,810</w:t>
            </w:r>
          </w:p>
          <w:p>
            <w:pPr>
              <w:pStyle w:val="TableParagraph"/>
              <w:spacing w:before="105"/>
              <w:ind w:left="729"/>
              <w:rPr>
                <w:sz w:val="18"/>
              </w:rPr>
            </w:pPr>
            <w:r>
              <w:rPr>
                <w:spacing w:val="-2"/>
                <w:sz w:val="18"/>
              </w:rPr>
              <w:t>4,650</w:t>
            </w:r>
          </w:p>
        </w:tc>
      </w:tr>
      <w:tr>
        <w:trPr>
          <w:trHeight w:val="1650" w:hRule="atLeast"/>
        </w:trPr>
        <w:tc>
          <w:tcPr>
            <w:tcW w:w="5659" w:type="dxa"/>
            <w:vMerge/>
            <w:tcBorders>
              <w:top w:val="nil"/>
              <w:right w:val="nil"/>
            </w:tcBorders>
          </w:tcPr>
          <w:p>
            <w:pPr>
              <w:rPr>
                <w:sz w:val="2"/>
                <w:szCs w:val="2"/>
              </w:rPr>
            </w:pPr>
          </w:p>
        </w:tc>
        <w:tc>
          <w:tcPr>
            <w:tcW w:w="1017" w:type="dxa"/>
            <w:tcBorders>
              <w:left w:val="nil"/>
              <w:right w:val="nil"/>
            </w:tcBorders>
          </w:tcPr>
          <w:p>
            <w:pPr>
              <w:pStyle w:val="TableParagraph"/>
              <w:spacing w:before="1"/>
              <w:ind w:left="110" w:right="129"/>
              <w:rPr>
                <w:b/>
                <w:sz w:val="18"/>
              </w:rPr>
            </w:pPr>
            <w:r>
              <w:rPr>
                <w:b/>
                <w:sz w:val="18"/>
              </w:rPr>
              <w:t>Surplus</w:t>
            </w:r>
            <w:r>
              <w:rPr>
                <w:b/>
                <w:spacing w:val="-13"/>
                <w:sz w:val="18"/>
              </w:rPr>
              <w:t> </w:t>
            </w:r>
            <w:r>
              <w:rPr>
                <w:b/>
                <w:sz w:val="18"/>
              </w:rPr>
              <w:t>/ </w:t>
            </w:r>
            <w:r>
              <w:rPr>
                <w:b/>
                <w:spacing w:val="-2"/>
                <w:sz w:val="18"/>
              </w:rPr>
              <w:t>(deficit)</w:t>
            </w:r>
          </w:p>
        </w:tc>
        <w:tc>
          <w:tcPr>
            <w:tcW w:w="1282" w:type="dxa"/>
            <w:tcBorders>
              <w:left w:val="nil"/>
              <w:right w:val="nil"/>
            </w:tcBorders>
          </w:tcPr>
          <w:p>
            <w:pPr>
              <w:pStyle w:val="TableParagraph"/>
              <w:spacing w:before="1"/>
              <w:ind w:right="107"/>
              <w:jc w:val="right"/>
              <w:rPr>
                <w:b/>
                <w:sz w:val="18"/>
              </w:rPr>
            </w:pPr>
            <w:r>
              <w:rPr>
                <w:b/>
                <w:spacing w:val="-2"/>
                <w:sz w:val="18"/>
              </w:rPr>
              <w:t>(138)</w:t>
            </w:r>
          </w:p>
        </w:tc>
        <w:tc>
          <w:tcPr>
            <w:tcW w:w="1284" w:type="dxa"/>
            <w:tcBorders>
              <w:left w:val="nil"/>
              <w:right w:val="nil"/>
            </w:tcBorders>
          </w:tcPr>
          <w:p>
            <w:pPr>
              <w:pStyle w:val="TableParagraph"/>
              <w:spacing w:before="1"/>
              <w:ind w:right="95"/>
              <w:jc w:val="right"/>
              <w:rPr>
                <w:b/>
                <w:sz w:val="18"/>
              </w:rPr>
            </w:pPr>
            <w:r>
              <w:rPr>
                <w:b/>
                <w:spacing w:val="-2"/>
                <w:sz w:val="18"/>
              </w:rPr>
              <w:t>(469)</w:t>
            </w:r>
          </w:p>
        </w:tc>
        <w:tc>
          <w:tcPr>
            <w:tcW w:w="1288" w:type="dxa"/>
            <w:tcBorders>
              <w:left w:val="nil"/>
            </w:tcBorders>
            <w:shd w:val="clear" w:color="auto" w:fill="BCD6ED"/>
          </w:tcPr>
          <w:p>
            <w:pPr>
              <w:pStyle w:val="TableParagraph"/>
              <w:spacing w:before="1"/>
              <w:ind w:right="92"/>
              <w:jc w:val="right"/>
              <w:rPr>
                <w:b/>
                <w:sz w:val="18"/>
              </w:rPr>
            </w:pPr>
            <w:r>
              <w:rPr>
                <w:b/>
                <w:spacing w:val="-2"/>
                <w:sz w:val="18"/>
              </w:rPr>
              <w:t>(840)</w:t>
            </w:r>
          </w:p>
        </w:tc>
      </w:tr>
      <w:tr>
        <w:trPr>
          <w:trHeight w:val="506" w:hRule="atLeast"/>
        </w:trPr>
        <w:tc>
          <w:tcPr>
            <w:tcW w:w="10530" w:type="dxa"/>
            <w:gridSpan w:val="5"/>
          </w:tcPr>
          <w:p>
            <w:pPr>
              <w:pStyle w:val="TableParagraph"/>
              <w:spacing w:line="252" w:lineRule="exact"/>
              <w:ind w:left="107" w:right="5044"/>
              <w:rPr>
                <w:b/>
                <w:sz w:val="22"/>
              </w:rPr>
            </w:pPr>
            <w:r>
              <w:rPr>
                <w:b/>
                <w:color w:val="5B9AD4"/>
                <w:sz w:val="22"/>
              </w:rPr>
              <w:t>Maroondah</w:t>
            </w:r>
            <w:r>
              <w:rPr>
                <w:b/>
                <w:color w:val="5B9AD4"/>
                <w:spacing w:val="-9"/>
                <w:sz w:val="22"/>
              </w:rPr>
              <w:t> </w:t>
            </w:r>
            <w:r>
              <w:rPr>
                <w:b/>
                <w:color w:val="5B9AD4"/>
                <w:sz w:val="22"/>
              </w:rPr>
              <w:t>Golf</w:t>
            </w:r>
            <w:r>
              <w:rPr>
                <w:b/>
                <w:color w:val="5B9AD4"/>
                <w:spacing w:val="-6"/>
                <w:sz w:val="22"/>
              </w:rPr>
              <w:t> </w:t>
            </w:r>
            <w:r>
              <w:rPr>
                <w:b/>
                <w:color w:val="5B9AD4"/>
                <w:sz w:val="22"/>
              </w:rPr>
              <w:t>and</w:t>
            </w:r>
            <w:r>
              <w:rPr>
                <w:b/>
                <w:color w:val="5B9AD4"/>
                <w:spacing w:val="-6"/>
                <w:sz w:val="22"/>
              </w:rPr>
              <w:t> </w:t>
            </w:r>
            <w:r>
              <w:rPr>
                <w:b/>
                <w:color w:val="5B9AD4"/>
                <w:sz w:val="22"/>
              </w:rPr>
              <w:t>Sportsfields</w:t>
            </w:r>
            <w:r>
              <w:rPr>
                <w:b/>
                <w:color w:val="5B9AD4"/>
                <w:spacing w:val="-10"/>
                <w:sz w:val="22"/>
              </w:rPr>
              <w:t> </w:t>
            </w:r>
            <w:r>
              <w:rPr>
                <w:b/>
                <w:color w:val="5B9AD4"/>
                <w:sz w:val="22"/>
              </w:rPr>
              <w:t>(Leisure</w:t>
            </w:r>
            <w:r>
              <w:rPr>
                <w:b/>
                <w:color w:val="5B9AD4"/>
                <w:spacing w:val="-8"/>
                <w:sz w:val="22"/>
              </w:rPr>
              <w:t> </w:t>
            </w:r>
            <w:r>
              <w:rPr>
                <w:b/>
                <w:color w:val="5B9AD4"/>
                <w:sz w:val="22"/>
              </w:rPr>
              <w:t>and Major Facilities)</w:t>
            </w:r>
          </w:p>
        </w:tc>
      </w:tr>
      <w:tr>
        <w:trPr>
          <w:trHeight w:val="616" w:hRule="atLeast"/>
        </w:trPr>
        <w:tc>
          <w:tcPr>
            <w:tcW w:w="5659" w:type="dxa"/>
            <w:vMerge w:val="restart"/>
            <w:tcBorders>
              <w:right w:val="nil"/>
            </w:tcBorders>
          </w:tcPr>
          <w:p>
            <w:pPr>
              <w:pStyle w:val="TableParagraph"/>
              <w:spacing w:before="2"/>
              <w:ind w:left="107"/>
              <w:rPr>
                <w:sz w:val="22"/>
              </w:rPr>
            </w:pPr>
            <w:r>
              <w:rPr>
                <w:sz w:val="22"/>
              </w:rPr>
              <w:t>Council operates two 18-hole golf courses – Ringwood Golf and Dorset Golf, providing the community with a complete</w:t>
            </w:r>
            <w:r>
              <w:rPr>
                <w:spacing w:val="-7"/>
                <w:sz w:val="22"/>
              </w:rPr>
              <w:t> </w:t>
            </w:r>
            <w:r>
              <w:rPr>
                <w:sz w:val="22"/>
              </w:rPr>
              <w:t>golfing</w:t>
            </w:r>
            <w:r>
              <w:rPr>
                <w:spacing w:val="-5"/>
                <w:sz w:val="22"/>
              </w:rPr>
              <w:t> </w:t>
            </w:r>
            <w:r>
              <w:rPr>
                <w:sz w:val="22"/>
              </w:rPr>
              <w:t>experience.</w:t>
            </w:r>
            <w:r>
              <w:rPr>
                <w:spacing w:val="-3"/>
                <w:sz w:val="22"/>
              </w:rPr>
              <w:t> </w:t>
            </w:r>
            <w:r>
              <w:rPr>
                <w:sz w:val="22"/>
              </w:rPr>
              <w:t>The</w:t>
            </w:r>
            <w:r>
              <w:rPr>
                <w:spacing w:val="-7"/>
                <w:sz w:val="22"/>
              </w:rPr>
              <w:t> </w:t>
            </w:r>
            <w:r>
              <w:rPr>
                <w:sz w:val="22"/>
              </w:rPr>
              <w:t>function</w:t>
            </w:r>
            <w:r>
              <w:rPr>
                <w:spacing w:val="-4"/>
                <w:sz w:val="22"/>
              </w:rPr>
              <w:t> </w:t>
            </w:r>
            <w:r>
              <w:rPr>
                <w:sz w:val="22"/>
              </w:rPr>
              <w:t>also</w:t>
            </w:r>
            <w:r>
              <w:rPr>
                <w:spacing w:val="-9"/>
                <w:sz w:val="22"/>
              </w:rPr>
              <w:t> </w:t>
            </w:r>
            <w:r>
              <w:rPr>
                <w:sz w:val="22"/>
              </w:rPr>
              <w:t>provides maintenance and capital development of Council’s</w:t>
            </w:r>
          </w:p>
          <w:p>
            <w:pPr>
              <w:pStyle w:val="TableParagraph"/>
              <w:spacing w:line="233" w:lineRule="exact"/>
              <w:ind w:left="107"/>
              <w:rPr>
                <w:sz w:val="22"/>
              </w:rPr>
            </w:pPr>
            <w:r>
              <w:rPr>
                <w:sz w:val="22"/>
              </w:rPr>
              <w:t>sportsfields</w:t>
            </w:r>
            <w:r>
              <w:rPr>
                <w:spacing w:val="-4"/>
                <w:sz w:val="22"/>
              </w:rPr>
              <w:t> </w:t>
            </w:r>
            <w:r>
              <w:rPr>
                <w:sz w:val="22"/>
              </w:rPr>
              <w:t>across</w:t>
            </w:r>
            <w:r>
              <w:rPr>
                <w:spacing w:val="-4"/>
                <w:sz w:val="22"/>
              </w:rPr>
              <w:t> </w:t>
            </w:r>
            <w:r>
              <w:rPr>
                <w:sz w:val="22"/>
              </w:rPr>
              <w:t>the</w:t>
            </w:r>
            <w:r>
              <w:rPr>
                <w:spacing w:val="-5"/>
                <w:sz w:val="22"/>
              </w:rPr>
              <w:t> </w:t>
            </w:r>
            <w:r>
              <w:rPr>
                <w:spacing w:val="-2"/>
                <w:sz w:val="22"/>
              </w:rPr>
              <w:t>municipality.</w:t>
            </w:r>
          </w:p>
        </w:tc>
        <w:tc>
          <w:tcPr>
            <w:tcW w:w="1017" w:type="dxa"/>
            <w:tcBorders>
              <w:left w:val="nil"/>
              <w:right w:val="nil"/>
            </w:tcBorders>
          </w:tcPr>
          <w:p>
            <w:pPr>
              <w:pStyle w:val="TableParagraph"/>
              <w:spacing w:before="1"/>
              <w:ind w:left="110"/>
              <w:rPr>
                <w:sz w:val="18"/>
              </w:rPr>
            </w:pPr>
            <w:r>
              <w:rPr>
                <w:spacing w:val="-5"/>
                <w:sz w:val="18"/>
              </w:rPr>
              <w:t>Inc</w:t>
            </w:r>
          </w:p>
          <w:p>
            <w:pPr>
              <w:pStyle w:val="TableParagraph"/>
              <w:spacing w:before="105"/>
              <w:ind w:left="110"/>
              <w:rPr>
                <w:sz w:val="18"/>
              </w:rPr>
            </w:pPr>
            <w:r>
              <w:rPr>
                <w:spacing w:val="-5"/>
                <w:sz w:val="18"/>
              </w:rPr>
              <w:t>Exp</w:t>
            </w:r>
          </w:p>
        </w:tc>
        <w:tc>
          <w:tcPr>
            <w:tcW w:w="1282" w:type="dxa"/>
            <w:tcBorders>
              <w:left w:val="nil"/>
              <w:right w:val="nil"/>
            </w:tcBorders>
          </w:tcPr>
          <w:p>
            <w:pPr>
              <w:pStyle w:val="TableParagraph"/>
              <w:spacing w:before="1"/>
              <w:ind w:left="718"/>
              <w:rPr>
                <w:sz w:val="18"/>
              </w:rPr>
            </w:pPr>
            <w:r>
              <w:rPr>
                <w:spacing w:val="-2"/>
                <w:sz w:val="18"/>
              </w:rPr>
              <w:t>4,986</w:t>
            </w:r>
          </w:p>
          <w:p>
            <w:pPr>
              <w:pStyle w:val="TableParagraph"/>
              <w:spacing w:before="105"/>
              <w:ind w:left="718"/>
              <w:rPr>
                <w:sz w:val="18"/>
              </w:rPr>
            </w:pPr>
            <w:r>
              <w:rPr>
                <w:spacing w:val="-2"/>
                <w:sz w:val="18"/>
              </w:rPr>
              <w:t>6,340</w:t>
            </w:r>
          </w:p>
        </w:tc>
        <w:tc>
          <w:tcPr>
            <w:tcW w:w="1284" w:type="dxa"/>
            <w:tcBorders>
              <w:left w:val="nil"/>
              <w:right w:val="nil"/>
            </w:tcBorders>
          </w:tcPr>
          <w:p>
            <w:pPr>
              <w:pStyle w:val="TableParagraph"/>
              <w:spacing w:before="1"/>
              <w:ind w:left="732"/>
              <w:rPr>
                <w:sz w:val="18"/>
              </w:rPr>
            </w:pPr>
            <w:r>
              <w:rPr>
                <w:spacing w:val="-2"/>
                <w:sz w:val="18"/>
              </w:rPr>
              <w:t>5,339</w:t>
            </w:r>
          </w:p>
          <w:p>
            <w:pPr>
              <w:pStyle w:val="TableParagraph"/>
              <w:spacing w:before="105"/>
              <w:ind w:left="732"/>
              <w:rPr>
                <w:sz w:val="18"/>
              </w:rPr>
            </w:pPr>
            <w:r>
              <w:rPr>
                <w:spacing w:val="-2"/>
                <w:sz w:val="18"/>
              </w:rPr>
              <w:t>6,324</w:t>
            </w:r>
          </w:p>
        </w:tc>
        <w:tc>
          <w:tcPr>
            <w:tcW w:w="1288" w:type="dxa"/>
            <w:tcBorders>
              <w:left w:val="nil"/>
            </w:tcBorders>
            <w:shd w:val="clear" w:color="auto" w:fill="BCD6ED"/>
          </w:tcPr>
          <w:p>
            <w:pPr>
              <w:pStyle w:val="TableParagraph"/>
              <w:spacing w:before="1"/>
              <w:ind w:left="729"/>
              <w:rPr>
                <w:sz w:val="18"/>
              </w:rPr>
            </w:pPr>
            <w:r>
              <w:rPr>
                <w:spacing w:val="-2"/>
                <w:sz w:val="18"/>
              </w:rPr>
              <w:t>5,247</w:t>
            </w:r>
          </w:p>
          <w:p>
            <w:pPr>
              <w:pStyle w:val="TableParagraph"/>
              <w:spacing w:before="105"/>
              <w:ind w:left="729"/>
              <w:rPr>
                <w:sz w:val="18"/>
              </w:rPr>
            </w:pPr>
            <w:r>
              <w:rPr>
                <w:spacing w:val="-2"/>
                <w:sz w:val="18"/>
              </w:rPr>
              <w:t>6,510</w:t>
            </w:r>
          </w:p>
        </w:tc>
      </w:tr>
      <w:tr>
        <w:trPr>
          <w:trHeight w:val="640" w:hRule="atLeast"/>
        </w:trPr>
        <w:tc>
          <w:tcPr>
            <w:tcW w:w="5659" w:type="dxa"/>
            <w:vMerge/>
            <w:tcBorders>
              <w:top w:val="nil"/>
              <w:right w:val="nil"/>
            </w:tcBorders>
          </w:tcPr>
          <w:p>
            <w:pPr>
              <w:rPr>
                <w:sz w:val="2"/>
                <w:szCs w:val="2"/>
              </w:rPr>
            </w:pPr>
          </w:p>
        </w:tc>
        <w:tc>
          <w:tcPr>
            <w:tcW w:w="1017" w:type="dxa"/>
            <w:tcBorders>
              <w:left w:val="nil"/>
              <w:right w:val="nil"/>
            </w:tcBorders>
          </w:tcPr>
          <w:p>
            <w:pPr>
              <w:pStyle w:val="TableParagraph"/>
              <w:ind w:left="110"/>
              <w:rPr>
                <w:b/>
                <w:sz w:val="18"/>
              </w:rPr>
            </w:pPr>
            <w:r>
              <w:rPr>
                <w:b/>
                <w:sz w:val="18"/>
              </w:rPr>
              <w:t>Surplus </w:t>
            </w:r>
            <w:r>
              <w:rPr>
                <w:b/>
                <w:sz w:val="18"/>
              </w:rPr>
              <w:t>/ </w:t>
            </w:r>
            <w:r>
              <w:rPr>
                <w:b/>
                <w:spacing w:val="-2"/>
                <w:sz w:val="18"/>
              </w:rPr>
              <w:t>(deficit)</w:t>
            </w:r>
          </w:p>
        </w:tc>
        <w:tc>
          <w:tcPr>
            <w:tcW w:w="1282" w:type="dxa"/>
            <w:tcBorders>
              <w:left w:val="nil"/>
              <w:right w:val="nil"/>
            </w:tcBorders>
          </w:tcPr>
          <w:p>
            <w:pPr>
              <w:pStyle w:val="TableParagraph"/>
              <w:spacing w:line="206" w:lineRule="exact"/>
              <w:ind w:right="108"/>
              <w:jc w:val="right"/>
              <w:rPr>
                <w:b/>
                <w:sz w:val="18"/>
              </w:rPr>
            </w:pPr>
            <w:r>
              <w:rPr>
                <w:b/>
                <w:spacing w:val="-2"/>
                <w:sz w:val="18"/>
              </w:rPr>
              <w:t>(1,354)</w:t>
            </w:r>
          </w:p>
        </w:tc>
        <w:tc>
          <w:tcPr>
            <w:tcW w:w="1284" w:type="dxa"/>
            <w:tcBorders>
              <w:left w:val="nil"/>
              <w:right w:val="nil"/>
            </w:tcBorders>
          </w:tcPr>
          <w:p>
            <w:pPr>
              <w:pStyle w:val="TableParagraph"/>
              <w:spacing w:line="206" w:lineRule="exact"/>
              <w:ind w:right="95"/>
              <w:jc w:val="right"/>
              <w:rPr>
                <w:b/>
                <w:sz w:val="18"/>
              </w:rPr>
            </w:pPr>
            <w:r>
              <w:rPr>
                <w:b/>
                <w:spacing w:val="-2"/>
                <w:sz w:val="18"/>
              </w:rPr>
              <w:t>(985)</w:t>
            </w:r>
          </w:p>
        </w:tc>
        <w:tc>
          <w:tcPr>
            <w:tcW w:w="1288" w:type="dxa"/>
            <w:tcBorders>
              <w:left w:val="nil"/>
            </w:tcBorders>
            <w:shd w:val="clear" w:color="auto" w:fill="BCD6ED"/>
          </w:tcPr>
          <w:p>
            <w:pPr>
              <w:pStyle w:val="TableParagraph"/>
              <w:spacing w:line="206" w:lineRule="exact"/>
              <w:ind w:right="93"/>
              <w:jc w:val="right"/>
              <w:rPr>
                <w:b/>
                <w:sz w:val="18"/>
              </w:rPr>
            </w:pPr>
            <w:r>
              <w:rPr>
                <w:b/>
                <w:spacing w:val="-2"/>
                <w:sz w:val="18"/>
              </w:rPr>
              <w:t>(1,263)</w:t>
            </w:r>
          </w:p>
        </w:tc>
      </w:tr>
      <w:tr>
        <w:trPr>
          <w:trHeight w:val="302" w:hRule="atLeast"/>
        </w:trPr>
        <w:tc>
          <w:tcPr>
            <w:tcW w:w="10530" w:type="dxa"/>
            <w:gridSpan w:val="5"/>
          </w:tcPr>
          <w:p>
            <w:pPr>
              <w:pStyle w:val="TableParagraph"/>
              <w:spacing w:before="24"/>
              <w:ind w:left="107"/>
              <w:rPr>
                <w:b/>
                <w:sz w:val="22"/>
              </w:rPr>
            </w:pPr>
            <w:r>
              <w:rPr>
                <w:b/>
                <w:color w:val="5B9AD4"/>
                <w:sz w:val="22"/>
              </w:rPr>
              <w:t>Maternal</w:t>
            </w:r>
            <w:r>
              <w:rPr>
                <w:b/>
                <w:color w:val="5B9AD4"/>
                <w:spacing w:val="-5"/>
                <w:sz w:val="22"/>
              </w:rPr>
              <w:t> </w:t>
            </w:r>
            <w:r>
              <w:rPr>
                <w:b/>
                <w:color w:val="5B9AD4"/>
                <w:sz w:val="22"/>
              </w:rPr>
              <w:t>and</w:t>
            </w:r>
            <w:r>
              <w:rPr>
                <w:b/>
                <w:color w:val="5B9AD4"/>
                <w:spacing w:val="-3"/>
                <w:sz w:val="22"/>
              </w:rPr>
              <w:t> </w:t>
            </w:r>
            <w:r>
              <w:rPr>
                <w:b/>
                <w:color w:val="5B9AD4"/>
                <w:sz w:val="22"/>
              </w:rPr>
              <w:t>Child</w:t>
            </w:r>
            <w:r>
              <w:rPr>
                <w:b/>
                <w:color w:val="5B9AD4"/>
                <w:spacing w:val="-4"/>
                <w:sz w:val="22"/>
              </w:rPr>
              <w:t> </w:t>
            </w:r>
            <w:r>
              <w:rPr>
                <w:b/>
                <w:color w:val="5B9AD4"/>
                <w:sz w:val="22"/>
              </w:rPr>
              <w:t>Health</w:t>
            </w:r>
            <w:r>
              <w:rPr>
                <w:b/>
                <w:color w:val="5B9AD4"/>
                <w:spacing w:val="-5"/>
                <w:sz w:val="22"/>
              </w:rPr>
              <w:t> </w:t>
            </w:r>
            <w:r>
              <w:rPr>
                <w:b/>
                <w:color w:val="5B9AD4"/>
                <w:sz w:val="22"/>
              </w:rPr>
              <w:t>(Community</w:t>
            </w:r>
            <w:r>
              <w:rPr>
                <w:b/>
                <w:color w:val="5B9AD4"/>
                <w:spacing w:val="-2"/>
                <w:sz w:val="22"/>
              </w:rPr>
              <w:t> Services)</w:t>
            </w:r>
          </w:p>
        </w:tc>
      </w:tr>
      <w:tr>
        <w:trPr>
          <w:trHeight w:val="616" w:hRule="atLeast"/>
        </w:trPr>
        <w:tc>
          <w:tcPr>
            <w:tcW w:w="5659" w:type="dxa"/>
            <w:vMerge w:val="restart"/>
            <w:tcBorders>
              <w:right w:val="nil"/>
            </w:tcBorders>
          </w:tcPr>
          <w:p>
            <w:pPr>
              <w:pStyle w:val="TableParagraph"/>
              <w:ind w:left="107" w:right="149"/>
              <w:rPr>
                <w:sz w:val="22"/>
              </w:rPr>
            </w:pPr>
            <w:r>
              <w:rPr>
                <w:sz w:val="22"/>
              </w:rPr>
              <w:t>Maternal and Child Health (MCH) is a state-wide universal service for families with children from birth to school age. The service is delivered from seven Maternal and Child Health centres across the municipality and is provided in partnership with the Department of Health. The service supports families, and their children, in the areas of parenting, development</w:t>
            </w:r>
            <w:r>
              <w:rPr>
                <w:spacing w:val="-7"/>
                <w:sz w:val="22"/>
              </w:rPr>
              <w:t> </w:t>
            </w:r>
            <w:r>
              <w:rPr>
                <w:sz w:val="22"/>
              </w:rPr>
              <w:t>and</w:t>
            </w:r>
            <w:r>
              <w:rPr>
                <w:spacing w:val="-6"/>
                <w:sz w:val="22"/>
              </w:rPr>
              <w:t> </w:t>
            </w:r>
            <w:r>
              <w:rPr>
                <w:sz w:val="22"/>
              </w:rPr>
              <w:t>assessment,</w:t>
            </w:r>
            <w:r>
              <w:rPr>
                <w:spacing w:val="-5"/>
                <w:sz w:val="22"/>
              </w:rPr>
              <w:t> </w:t>
            </w:r>
            <w:r>
              <w:rPr>
                <w:sz w:val="22"/>
              </w:rPr>
              <w:t>promotion</w:t>
            </w:r>
            <w:r>
              <w:rPr>
                <w:spacing w:val="-5"/>
                <w:sz w:val="22"/>
              </w:rPr>
              <w:t> </w:t>
            </w:r>
            <w:r>
              <w:rPr>
                <w:sz w:val="22"/>
              </w:rPr>
              <w:t>of</w:t>
            </w:r>
            <w:r>
              <w:rPr>
                <w:spacing w:val="-5"/>
                <w:sz w:val="22"/>
              </w:rPr>
              <w:t> </w:t>
            </w:r>
            <w:r>
              <w:rPr>
                <w:sz w:val="22"/>
              </w:rPr>
              <w:t>health</w:t>
            </w:r>
            <w:r>
              <w:rPr>
                <w:spacing w:val="-6"/>
                <w:sz w:val="22"/>
              </w:rPr>
              <w:t> </w:t>
            </w:r>
            <w:r>
              <w:rPr>
                <w:sz w:val="22"/>
              </w:rPr>
              <w:t>and development, wellbeing and safety, social supports, referrals and relevant links to the community.</w:t>
            </w:r>
          </w:p>
          <w:p>
            <w:pPr>
              <w:pStyle w:val="TableParagraph"/>
              <w:ind w:left="107" w:right="149"/>
              <w:rPr>
                <w:sz w:val="22"/>
              </w:rPr>
            </w:pPr>
            <w:r>
              <w:rPr>
                <w:sz w:val="22"/>
              </w:rPr>
              <w:t>The MCH service offers parent education programs, including</w:t>
            </w:r>
            <w:r>
              <w:rPr>
                <w:spacing w:val="-5"/>
                <w:sz w:val="22"/>
              </w:rPr>
              <w:t> </w:t>
            </w:r>
            <w:r>
              <w:rPr>
                <w:sz w:val="22"/>
              </w:rPr>
              <w:t>sleep</w:t>
            </w:r>
            <w:r>
              <w:rPr>
                <w:spacing w:val="-4"/>
                <w:sz w:val="22"/>
              </w:rPr>
              <w:t> </w:t>
            </w:r>
            <w:r>
              <w:rPr>
                <w:sz w:val="22"/>
              </w:rPr>
              <w:t>and</w:t>
            </w:r>
            <w:r>
              <w:rPr>
                <w:spacing w:val="-4"/>
                <w:sz w:val="22"/>
              </w:rPr>
              <w:t> </w:t>
            </w:r>
            <w:r>
              <w:rPr>
                <w:sz w:val="22"/>
              </w:rPr>
              <w:t>settling</w:t>
            </w:r>
            <w:r>
              <w:rPr>
                <w:spacing w:val="-5"/>
                <w:sz w:val="22"/>
              </w:rPr>
              <w:t> </w:t>
            </w:r>
            <w:r>
              <w:rPr>
                <w:sz w:val="22"/>
              </w:rPr>
              <w:t>workshops</w:t>
            </w:r>
            <w:r>
              <w:rPr>
                <w:spacing w:val="-7"/>
                <w:sz w:val="22"/>
              </w:rPr>
              <w:t> </w:t>
            </w:r>
            <w:r>
              <w:rPr>
                <w:sz w:val="22"/>
              </w:rPr>
              <w:t>(online</w:t>
            </w:r>
            <w:r>
              <w:rPr>
                <w:spacing w:val="-4"/>
                <w:sz w:val="22"/>
              </w:rPr>
              <w:t> </w:t>
            </w:r>
            <w:r>
              <w:rPr>
                <w:sz w:val="22"/>
              </w:rPr>
              <w:t>and</w:t>
            </w:r>
            <w:r>
              <w:rPr>
                <w:spacing w:val="-3"/>
                <w:sz w:val="22"/>
              </w:rPr>
              <w:t> </w:t>
            </w:r>
            <w:r>
              <w:rPr>
                <w:sz w:val="22"/>
              </w:rPr>
              <w:t>face to face), infant nutrition and first-time parent groups, and toddler talks. Individualised support programs include lactation support,</w:t>
            </w:r>
            <w:r>
              <w:rPr>
                <w:spacing w:val="-1"/>
                <w:sz w:val="22"/>
              </w:rPr>
              <w:t> </w:t>
            </w:r>
            <w:r>
              <w:rPr>
                <w:sz w:val="22"/>
              </w:rPr>
              <w:t>sleep, and a</w:t>
            </w:r>
            <w:r>
              <w:rPr>
                <w:spacing w:val="-3"/>
                <w:sz w:val="22"/>
              </w:rPr>
              <w:t> </w:t>
            </w:r>
            <w:r>
              <w:rPr>
                <w:sz w:val="22"/>
              </w:rPr>
              <w:t>settling day-stay </w:t>
            </w:r>
            <w:r>
              <w:rPr>
                <w:spacing w:val="-2"/>
                <w:sz w:val="22"/>
              </w:rPr>
              <w:t>program.</w:t>
            </w:r>
          </w:p>
          <w:p>
            <w:pPr>
              <w:pStyle w:val="TableParagraph"/>
              <w:spacing w:before="1"/>
              <w:ind w:left="107" w:right="149"/>
              <w:rPr>
                <w:sz w:val="22"/>
              </w:rPr>
            </w:pPr>
            <w:r>
              <w:rPr>
                <w:sz w:val="22"/>
              </w:rPr>
              <w:t>MCH provides</w:t>
            </w:r>
            <w:r>
              <w:rPr>
                <w:spacing w:val="-2"/>
                <w:sz w:val="22"/>
              </w:rPr>
              <w:t> </w:t>
            </w:r>
            <w:r>
              <w:rPr>
                <w:sz w:val="22"/>
              </w:rPr>
              <w:t>a range of</w:t>
            </w:r>
            <w:r>
              <w:rPr>
                <w:spacing w:val="-2"/>
                <w:sz w:val="22"/>
              </w:rPr>
              <w:t> </w:t>
            </w:r>
            <w:r>
              <w:rPr>
                <w:sz w:val="22"/>
              </w:rPr>
              <w:t>services</w:t>
            </w:r>
            <w:r>
              <w:rPr>
                <w:spacing w:val="-2"/>
                <w:sz w:val="22"/>
              </w:rPr>
              <w:t> </w:t>
            </w:r>
            <w:r>
              <w:rPr>
                <w:sz w:val="22"/>
              </w:rPr>
              <w:t>to</w:t>
            </w:r>
            <w:r>
              <w:rPr>
                <w:spacing w:val="-4"/>
                <w:sz w:val="22"/>
              </w:rPr>
              <w:t> </w:t>
            </w:r>
            <w:r>
              <w:rPr>
                <w:sz w:val="22"/>
              </w:rPr>
              <w:t>support families with</w:t>
            </w:r>
            <w:r>
              <w:rPr>
                <w:spacing w:val="-5"/>
                <w:sz w:val="22"/>
              </w:rPr>
              <w:t> </w:t>
            </w:r>
            <w:r>
              <w:rPr>
                <w:sz w:val="22"/>
              </w:rPr>
              <w:t>more</w:t>
            </w:r>
            <w:r>
              <w:rPr>
                <w:spacing w:val="-2"/>
                <w:sz w:val="22"/>
              </w:rPr>
              <w:t> </w:t>
            </w:r>
            <w:r>
              <w:rPr>
                <w:sz w:val="22"/>
              </w:rPr>
              <w:t>complex</w:t>
            </w:r>
            <w:r>
              <w:rPr>
                <w:spacing w:val="-3"/>
                <w:sz w:val="22"/>
              </w:rPr>
              <w:t> </w:t>
            </w:r>
            <w:r>
              <w:rPr>
                <w:sz w:val="22"/>
              </w:rPr>
              <w:t>needs, with</w:t>
            </w:r>
            <w:r>
              <w:rPr>
                <w:spacing w:val="-6"/>
                <w:sz w:val="22"/>
              </w:rPr>
              <w:t> </w:t>
            </w:r>
            <w:r>
              <w:rPr>
                <w:sz w:val="22"/>
              </w:rPr>
              <w:t>programs</w:t>
            </w:r>
            <w:r>
              <w:rPr>
                <w:spacing w:val="-3"/>
                <w:sz w:val="22"/>
              </w:rPr>
              <w:t> </w:t>
            </w:r>
            <w:r>
              <w:rPr>
                <w:sz w:val="22"/>
              </w:rPr>
              <w:t>such</w:t>
            </w:r>
            <w:r>
              <w:rPr>
                <w:spacing w:val="-3"/>
                <w:sz w:val="22"/>
              </w:rPr>
              <w:t> </w:t>
            </w:r>
            <w:r>
              <w:rPr>
                <w:sz w:val="22"/>
              </w:rPr>
              <w:t>as</w:t>
            </w:r>
            <w:r>
              <w:rPr>
                <w:spacing w:val="-4"/>
                <w:sz w:val="22"/>
              </w:rPr>
              <w:t> </w:t>
            </w:r>
            <w:r>
              <w:rPr>
                <w:spacing w:val="-5"/>
                <w:sz w:val="22"/>
              </w:rPr>
              <w:t>the</w:t>
            </w:r>
          </w:p>
          <w:p>
            <w:pPr>
              <w:pStyle w:val="TableParagraph"/>
              <w:spacing w:line="252" w:lineRule="exact"/>
              <w:ind w:left="107"/>
              <w:rPr>
                <w:sz w:val="22"/>
              </w:rPr>
            </w:pPr>
            <w:r>
              <w:rPr>
                <w:sz w:val="22"/>
              </w:rPr>
              <w:t>enhanced</w:t>
            </w:r>
            <w:r>
              <w:rPr>
                <w:spacing w:val="-6"/>
                <w:sz w:val="22"/>
              </w:rPr>
              <w:t> </w:t>
            </w:r>
            <w:r>
              <w:rPr>
                <w:sz w:val="22"/>
              </w:rPr>
              <w:t>MCH</w:t>
            </w:r>
            <w:r>
              <w:rPr>
                <w:spacing w:val="-7"/>
                <w:sz w:val="22"/>
              </w:rPr>
              <w:t> </w:t>
            </w:r>
            <w:r>
              <w:rPr>
                <w:sz w:val="22"/>
              </w:rPr>
              <w:t>Service</w:t>
            </w:r>
            <w:r>
              <w:rPr>
                <w:spacing w:val="-8"/>
                <w:sz w:val="22"/>
              </w:rPr>
              <w:t> </w:t>
            </w:r>
            <w:r>
              <w:rPr>
                <w:sz w:val="22"/>
              </w:rPr>
              <w:t>and</w:t>
            </w:r>
            <w:r>
              <w:rPr>
                <w:spacing w:val="-6"/>
                <w:sz w:val="22"/>
              </w:rPr>
              <w:t> </w:t>
            </w:r>
            <w:r>
              <w:rPr>
                <w:sz w:val="22"/>
              </w:rPr>
              <w:t>supported</w:t>
            </w:r>
            <w:r>
              <w:rPr>
                <w:spacing w:val="-6"/>
                <w:sz w:val="22"/>
              </w:rPr>
              <w:t> </w:t>
            </w:r>
            <w:r>
              <w:rPr>
                <w:sz w:val="22"/>
              </w:rPr>
              <w:t>playgroups (including CALD-specific groups).</w:t>
            </w:r>
          </w:p>
        </w:tc>
        <w:tc>
          <w:tcPr>
            <w:tcW w:w="1017"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7"/>
              <w:ind w:left="110"/>
              <w:rPr>
                <w:sz w:val="18"/>
              </w:rPr>
            </w:pPr>
            <w:r>
              <w:rPr>
                <w:spacing w:val="-5"/>
                <w:sz w:val="18"/>
              </w:rPr>
              <w:t>Exp</w:t>
            </w:r>
          </w:p>
        </w:tc>
        <w:tc>
          <w:tcPr>
            <w:tcW w:w="1282" w:type="dxa"/>
            <w:tcBorders>
              <w:left w:val="nil"/>
              <w:right w:val="nil"/>
            </w:tcBorders>
          </w:tcPr>
          <w:p>
            <w:pPr>
              <w:pStyle w:val="TableParagraph"/>
              <w:spacing w:line="206" w:lineRule="exact"/>
              <w:ind w:left="718"/>
              <w:rPr>
                <w:sz w:val="18"/>
              </w:rPr>
            </w:pPr>
            <w:r>
              <w:rPr>
                <w:spacing w:val="-2"/>
                <w:sz w:val="18"/>
              </w:rPr>
              <w:t>1,384</w:t>
            </w:r>
          </w:p>
          <w:p>
            <w:pPr>
              <w:pStyle w:val="TableParagraph"/>
              <w:spacing w:before="107"/>
              <w:ind w:left="718"/>
              <w:rPr>
                <w:sz w:val="18"/>
              </w:rPr>
            </w:pPr>
            <w:r>
              <w:rPr>
                <w:spacing w:val="-2"/>
                <w:sz w:val="18"/>
              </w:rPr>
              <w:t>2,892</w:t>
            </w:r>
          </w:p>
        </w:tc>
        <w:tc>
          <w:tcPr>
            <w:tcW w:w="1284" w:type="dxa"/>
            <w:tcBorders>
              <w:left w:val="nil"/>
              <w:right w:val="nil"/>
            </w:tcBorders>
          </w:tcPr>
          <w:p>
            <w:pPr>
              <w:pStyle w:val="TableParagraph"/>
              <w:spacing w:line="206" w:lineRule="exact"/>
              <w:ind w:left="732"/>
              <w:rPr>
                <w:sz w:val="18"/>
              </w:rPr>
            </w:pPr>
            <w:r>
              <w:rPr>
                <w:spacing w:val="-2"/>
                <w:sz w:val="18"/>
              </w:rPr>
              <w:t>1,900</w:t>
            </w:r>
          </w:p>
          <w:p>
            <w:pPr>
              <w:pStyle w:val="TableParagraph"/>
              <w:spacing w:before="107"/>
              <w:ind w:left="732"/>
              <w:rPr>
                <w:sz w:val="18"/>
              </w:rPr>
            </w:pPr>
            <w:r>
              <w:rPr>
                <w:spacing w:val="-2"/>
                <w:sz w:val="18"/>
              </w:rPr>
              <w:t>3,483</w:t>
            </w:r>
          </w:p>
        </w:tc>
        <w:tc>
          <w:tcPr>
            <w:tcW w:w="1288" w:type="dxa"/>
            <w:tcBorders>
              <w:left w:val="nil"/>
            </w:tcBorders>
            <w:shd w:val="clear" w:color="auto" w:fill="BCD6ED"/>
          </w:tcPr>
          <w:p>
            <w:pPr>
              <w:pStyle w:val="TableParagraph"/>
              <w:spacing w:line="206" w:lineRule="exact"/>
              <w:ind w:left="729"/>
              <w:rPr>
                <w:sz w:val="18"/>
              </w:rPr>
            </w:pPr>
            <w:r>
              <w:rPr>
                <w:spacing w:val="-2"/>
                <w:sz w:val="18"/>
              </w:rPr>
              <w:t>1,431</w:t>
            </w:r>
          </w:p>
          <w:p>
            <w:pPr>
              <w:pStyle w:val="TableParagraph"/>
              <w:spacing w:before="107"/>
              <w:ind w:left="729"/>
              <w:rPr>
                <w:sz w:val="18"/>
              </w:rPr>
            </w:pPr>
            <w:r>
              <w:rPr>
                <w:spacing w:val="-2"/>
                <w:sz w:val="18"/>
              </w:rPr>
              <w:t>3,244</w:t>
            </w:r>
          </w:p>
        </w:tc>
      </w:tr>
      <w:tr>
        <w:trPr>
          <w:trHeight w:val="4434" w:hRule="atLeast"/>
        </w:trPr>
        <w:tc>
          <w:tcPr>
            <w:tcW w:w="5659" w:type="dxa"/>
            <w:vMerge/>
            <w:tcBorders>
              <w:top w:val="nil"/>
              <w:right w:val="nil"/>
            </w:tcBorders>
          </w:tcPr>
          <w:p>
            <w:pPr>
              <w:rPr>
                <w:sz w:val="2"/>
                <w:szCs w:val="2"/>
              </w:rPr>
            </w:pPr>
          </w:p>
        </w:tc>
        <w:tc>
          <w:tcPr>
            <w:tcW w:w="1017" w:type="dxa"/>
            <w:tcBorders>
              <w:left w:val="nil"/>
              <w:right w:val="nil"/>
            </w:tcBorders>
          </w:tcPr>
          <w:p>
            <w:pPr>
              <w:pStyle w:val="TableParagraph"/>
              <w:ind w:left="110" w:right="129"/>
              <w:rPr>
                <w:b/>
                <w:sz w:val="18"/>
              </w:rPr>
            </w:pPr>
            <w:r>
              <w:rPr>
                <w:b/>
                <w:sz w:val="18"/>
              </w:rPr>
              <w:t>Surplus</w:t>
            </w:r>
            <w:r>
              <w:rPr>
                <w:b/>
                <w:spacing w:val="-13"/>
                <w:sz w:val="18"/>
              </w:rPr>
              <w:t> </w:t>
            </w:r>
            <w:r>
              <w:rPr>
                <w:b/>
                <w:sz w:val="18"/>
              </w:rPr>
              <w:t>/ </w:t>
            </w:r>
            <w:r>
              <w:rPr>
                <w:b/>
                <w:spacing w:val="-2"/>
                <w:sz w:val="18"/>
              </w:rPr>
              <w:t>(deficit)</w:t>
            </w:r>
          </w:p>
        </w:tc>
        <w:tc>
          <w:tcPr>
            <w:tcW w:w="1282" w:type="dxa"/>
            <w:tcBorders>
              <w:left w:val="nil"/>
              <w:right w:val="nil"/>
            </w:tcBorders>
          </w:tcPr>
          <w:p>
            <w:pPr>
              <w:pStyle w:val="TableParagraph"/>
              <w:spacing w:line="206" w:lineRule="exact"/>
              <w:ind w:right="108"/>
              <w:jc w:val="right"/>
              <w:rPr>
                <w:b/>
                <w:sz w:val="18"/>
              </w:rPr>
            </w:pPr>
            <w:r>
              <w:rPr>
                <w:b/>
                <w:spacing w:val="-2"/>
                <w:sz w:val="18"/>
              </w:rPr>
              <w:t>(1,508)</w:t>
            </w:r>
          </w:p>
        </w:tc>
        <w:tc>
          <w:tcPr>
            <w:tcW w:w="1284" w:type="dxa"/>
            <w:tcBorders>
              <w:left w:val="nil"/>
              <w:right w:val="nil"/>
            </w:tcBorders>
          </w:tcPr>
          <w:p>
            <w:pPr>
              <w:pStyle w:val="TableParagraph"/>
              <w:spacing w:line="206" w:lineRule="exact"/>
              <w:ind w:right="96"/>
              <w:jc w:val="right"/>
              <w:rPr>
                <w:b/>
                <w:sz w:val="18"/>
              </w:rPr>
            </w:pPr>
            <w:r>
              <w:rPr>
                <w:b/>
                <w:spacing w:val="-2"/>
                <w:sz w:val="18"/>
              </w:rPr>
              <w:t>(1,583)</w:t>
            </w:r>
          </w:p>
        </w:tc>
        <w:tc>
          <w:tcPr>
            <w:tcW w:w="1288" w:type="dxa"/>
            <w:tcBorders>
              <w:left w:val="nil"/>
            </w:tcBorders>
            <w:shd w:val="clear" w:color="auto" w:fill="BCD6ED"/>
          </w:tcPr>
          <w:p>
            <w:pPr>
              <w:pStyle w:val="TableParagraph"/>
              <w:spacing w:line="206" w:lineRule="exact"/>
              <w:ind w:right="93"/>
              <w:jc w:val="right"/>
              <w:rPr>
                <w:b/>
                <w:sz w:val="18"/>
              </w:rPr>
            </w:pPr>
            <w:r>
              <w:rPr>
                <w:b/>
                <w:spacing w:val="-2"/>
                <w:sz w:val="18"/>
              </w:rPr>
              <w:t>(1,813)</w:t>
            </w:r>
          </w:p>
        </w:tc>
      </w:tr>
    </w:tbl>
    <w:p>
      <w:pPr>
        <w:spacing w:after="0" w:line="206" w:lineRule="exact"/>
        <w:jc w:val="right"/>
        <w:rPr>
          <w:sz w:val="18"/>
        </w:rPr>
        <w:sectPr>
          <w:pgSz w:w="11910" w:h="16840"/>
          <w:pgMar w:header="0" w:footer="426" w:top="380" w:bottom="620" w:left="460" w:right="160"/>
        </w:sectPr>
      </w:pPr>
    </w:p>
    <w:p>
      <w:pPr>
        <w:pStyle w:val="BodyText"/>
        <w:spacing w:before="5"/>
        <w:rPr>
          <w:b/>
          <w:sz w:val="2"/>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78"/>
        <w:gridCol w:w="994"/>
        <w:gridCol w:w="1283"/>
        <w:gridCol w:w="1272"/>
        <w:gridCol w:w="1310"/>
      </w:tblGrid>
      <w:tr>
        <w:trPr>
          <w:trHeight w:val="899" w:hRule="atLeast"/>
        </w:trPr>
        <w:tc>
          <w:tcPr>
            <w:tcW w:w="5678" w:type="dxa"/>
            <w:tcBorders>
              <w:bottom w:val="nil"/>
              <w:right w:val="nil"/>
            </w:tcBorders>
            <w:shd w:val="clear" w:color="auto" w:fill="5B9AD4"/>
          </w:tcPr>
          <w:p>
            <w:pPr>
              <w:pStyle w:val="TableParagraph"/>
              <w:spacing w:before="10"/>
              <w:rPr>
                <w:b/>
                <w:sz w:val="27"/>
              </w:rPr>
            </w:pPr>
          </w:p>
          <w:p>
            <w:pPr>
              <w:pStyle w:val="TableParagraph"/>
              <w:spacing w:before="1"/>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94" w:type="dxa"/>
            <w:tcBorders>
              <w:left w:val="nil"/>
              <w:bottom w:val="nil"/>
              <w:right w:val="nil"/>
            </w:tcBorders>
            <w:shd w:val="clear" w:color="auto" w:fill="5B9AD4"/>
          </w:tcPr>
          <w:p>
            <w:pPr>
              <w:pStyle w:val="TableParagraph"/>
              <w:rPr>
                <w:rFonts w:ascii="Times New Roman"/>
                <w:sz w:val="20"/>
              </w:rPr>
            </w:pPr>
          </w:p>
        </w:tc>
        <w:tc>
          <w:tcPr>
            <w:tcW w:w="1283" w:type="dxa"/>
            <w:tcBorders>
              <w:left w:val="nil"/>
              <w:bottom w:val="nil"/>
              <w:right w:val="nil"/>
            </w:tcBorders>
            <w:shd w:val="clear" w:color="auto" w:fill="5B9AD4"/>
          </w:tcPr>
          <w:p>
            <w:pPr>
              <w:pStyle w:val="TableParagraph"/>
              <w:spacing w:before="21"/>
              <w:ind w:left="106" w:right="104"/>
              <w:jc w:val="center"/>
              <w:rPr>
                <w:b/>
                <w:sz w:val="22"/>
              </w:rPr>
            </w:pPr>
            <w:r>
              <w:rPr>
                <w:b/>
                <w:color w:val="FFFFFF"/>
                <w:spacing w:val="-2"/>
                <w:sz w:val="22"/>
              </w:rPr>
              <w:t>2022/2023</w:t>
            </w:r>
          </w:p>
          <w:p>
            <w:pPr>
              <w:pStyle w:val="TableParagraph"/>
              <w:spacing w:before="47"/>
              <w:ind w:left="108" w:right="104"/>
              <w:jc w:val="center"/>
              <w:rPr>
                <w:b/>
                <w:sz w:val="22"/>
              </w:rPr>
            </w:pPr>
            <w:r>
              <w:rPr>
                <w:b/>
                <w:color w:val="FFFFFF"/>
                <w:spacing w:val="-2"/>
                <w:sz w:val="22"/>
              </w:rPr>
              <w:t>Actual</w:t>
            </w:r>
          </w:p>
          <w:p>
            <w:pPr>
              <w:pStyle w:val="TableParagraph"/>
              <w:spacing w:before="47"/>
              <w:ind w:left="107" w:right="104"/>
              <w:jc w:val="center"/>
              <w:rPr>
                <w:b/>
                <w:sz w:val="22"/>
              </w:rPr>
            </w:pPr>
            <w:r>
              <w:rPr>
                <w:b/>
                <w:color w:val="FFFFFF"/>
                <w:spacing w:val="-2"/>
                <w:sz w:val="22"/>
              </w:rPr>
              <w:t>$'000</w:t>
            </w:r>
          </w:p>
        </w:tc>
        <w:tc>
          <w:tcPr>
            <w:tcW w:w="1272" w:type="dxa"/>
            <w:tcBorders>
              <w:left w:val="nil"/>
              <w:bottom w:val="nil"/>
              <w:right w:val="nil"/>
            </w:tcBorders>
            <w:shd w:val="clear" w:color="auto" w:fill="5B9AD4"/>
          </w:tcPr>
          <w:p>
            <w:pPr>
              <w:pStyle w:val="TableParagraph"/>
              <w:spacing w:before="21"/>
              <w:ind w:left="105" w:right="99"/>
              <w:jc w:val="center"/>
              <w:rPr>
                <w:b/>
                <w:sz w:val="22"/>
              </w:rPr>
            </w:pPr>
            <w:r>
              <w:rPr>
                <w:b/>
                <w:color w:val="FFFFFF"/>
                <w:spacing w:val="-2"/>
                <w:sz w:val="22"/>
              </w:rPr>
              <w:t>2023/2024</w:t>
            </w:r>
          </w:p>
          <w:p>
            <w:pPr>
              <w:pStyle w:val="TableParagraph"/>
              <w:spacing w:before="47"/>
              <w:ind w:left="104" w:right="102"/>
              <w:jc w:val="center"/>
              <w:rPr>
                <w:b/>
                <w:sz w:val="22"/>
              </w:rPr>
            </w:pPr>
            <w:r>
              <w:rPr>
                <w:b/>
                <w:color w:val="FFFFFF"/>
                <w:spacing w:val="-2"/>
                <w:sz w:val="22"/>
              </w:rPr>
              <w:t>Forecast</w:t>
            </w:r>
          </w:p>
          <w:p>
            <w:pPr>
              <w:pStyle w:val="TableParagraph"/>
              <w:spacing w:before="47"/>
              <w:ind w:left="103" w:right="102"/>
              <w:jc w:val="center"/>
              <w:rPr>
                <w:b/>
                <w:sz w:val="22"/>
              </w:rPr>
            </w:pPr>
            <w:r>
              <w:rPr>
                <w:b/>
                <w:color w:val="FFFFFF"/>
                <w:spacing w:val="-2"/>
                <w:sz w:val="22"/>
              </w:rPr>
              <w:t>$'000</w:t>
            </w:r>
          </w:p>
        </w:tc>
        <w:tc>
          <w:tcPr>
            <w:tcW w:w="1310" w:type="dxa"/>
            <w:tcBorders>
              <w:left w:val="nil"/>
              <w:bottom w:val="nil"/>
            </w:tcBorders>
            <w:shd w:val="clear" w:color="auto" w:fill="5B9AD4"/>
          </w:tcPr>
          <w:p>
            <w:pPr>
              <w:pStyle w:val="TableParagraph"/>
              <w:spacing w:before="21"/>
              <w:ind w:left="127" w:right="116"/>
              <w:jc w:val="center"/>
              <w:rPr>
                <w:b/>
                <w:sz w:val="22"/>
              </w:rPr>
            </w:pPr>
            <w:r>
              <w:rPr>
                <w:b/>
                <w:color w:val="FFFFFF"/>
                <w:spacing w:val="-2"/>
                <w:sz w:val="22"/>
              </w:rPr>
              <w:t>2024/2025</w:t>
            </w:r>
          </w:p>
          <w:p>
            <w:pPr>
              <w:pStyle w:val="TableParagraph"/>
              <w:spacing w:before="47"/>
              <w:ind w:left="121" w:right="116"/>
              <w:jc w:val="center"/>
              <w:rPr>
                <w:b/>
                <w:sz w:val="22"/>
              </w:rPr>
            </w:pPr>
            <w:r>
              <w:rPr>
                <w:b/>
                <w:color w:val="FFFFFF"/>
                <w:spacing w:val="-2"/>
                <w:sz w:val="22"/>
              </w:rPr>
              <w:t>Budget</w:t>
            </w:r>
          </w:p>
          <w:p>
            <w:pPr>
              <w:pStyle w:val="TableParagraph"/>
              <w:spacing w:before="47"/>
              <w:ind w:left="123" w:right="116"/>
              <w:jc w:val="center"/>
              <w:rPr>
                <w:b/>
                <w:sz w:val="22"/>
              </w:rPr>
            </w:pPr>
            <w:r>
              <w:rPr>
                <w:b/>
                <w:color w:val="FFFFFF"/>
                <w:spacing w:val="-2"/>
                <w:sz w:val="22"/>
              </w:rPr>
              <w:t>$'000</w:t>
            </w:r>
          </w:p>
        </w:tc>
      </w:tr>
      <w:tr>
        <w:trPr>
          <w:trHeight w:val="503" w:hRule="atLeast"/>
        </w:trPr>
        <w:tc>
          <w:tcPr>
            <w:tcW w:w="10537" w:type="dxa"/>
            <w:gridSpan w:val="5"/>
            <w:tcBorders>
              <w:top w:val="nil"/>
            </w:tcBorders>
          </w:tcPr>
          <w:p>
            <w:pPr>
              <w:pStyle w:val="TableParagraph"/>
              <w:spacing w:line="252" w:lineRule="exact"/>
              <w:ind w:left="107" w:right="4400"/>
              <w:rPr>
                <w:b/>
                <w:sz w:val="22"/>
              </w:rPr>
            </w:pPr>
            <w:r>
              <w:rPr>
                <w:b/>
                <w:color w:val="5B9AD4"/>
                <w:sz w:val="22"/>
              </w:rPr>
              <w:t>Sport,</w:t>
            </w:r>
            <w:r>
              <w:rPr>
                <w:b/>
                <w:color w:val="5B9AD4"/>
                <w:spacing w:val="-7"/>
                <w:sz w:val="22"/>
              </w:rPr>
              <w:t> </w:t>
            </w:r>
            <w:r>
              <w:rPr>
                <w:b/>
                <w:color w:val="5B9AD4"/>
                <w:sz w:val="22"/>
              </w:rPr>
              <w:t>Recreation</w:t>
            </w:r>
            <w:r>
              <w:rPr>
                <w:b/>
                <w:color w:val="5B9AD4"/>
                <w:spacing w:val="-5"/>
                <w:sz w:val="22"/>
              </w:rPr>
              <w:t> </w:t>
            </w:r>
            <w:r>
              <w:rPr>
                <w:b/>
                <w:color w:val="5B9AD4"/>
                <w:sz w:val="22"/>
              </w:rPr>
              <w:t>and</w:t>
            </w:r>
            <w:r>
              <w:rPr>
                <w:b/>
                <w:color w:val="5B9AD4"/>
                <w:spacing w:val="-9"/>
                <w:sz w:val="22"/>
              </w:rPr>
              <w:t> </w:t>
            </w:r>
            <w:r>
              <w:rPr>
                <w:b/>
                <w:color w:val="5B9AD4"/>
                <w:sz w:val="22"/>
              </w:rPr>
              <w:t>Events</w:t>
            </w:r>
            <w:r>
              <w:rPr>
                <w:b/>
                <w:color w:val="5B9AD4"/>
                <w:spacing w:val="-4"/>
                <w:sz w:val="22"/>
              </w:rPr>
              <w:t> </w:t>
            </w:r>
            <w:r>
              <w:rPr>
                <w:b/>
                <w:color w:val="5B9AD4"/>
                <w:sz w:val="22"/>
              </w:rPr>
              <w:t>(Leisure</w:t>
            </w:r>
            <w:r>
              <w:rPr>
                <w:b/>
                <w:color w:val="5B9AD4"/>
                <w:spacing w:val="-7"/>
                <w:sz w:val="22"/>
              </w:rPr>
              <w:t> </w:t>
            </w:r>
            <w:r>
              <w:rPr>
                <w:b/>
                <w:color w:val="5B9AD4"/>
                <w:sz w:val="22"/>
              </w:rPr>
              <w:t>and</w:t>
            </w:r>
            <w:r>
              <w:rPr>
                <w:b/>
                <w:color w:val="5B9AD4"/>
                <w:spacing w:val="-7"/>
                <w:sz w:val="22"/>
              </w:rPr>
              <w:t> </w:t>
            </w:r>
            <w:r>
              <w:rPr>
                <w:b/>
                <w:color w:val="5B9AD4"/>
                <w:sz w:val="22"/>
              </w:rPr>
              <w:t>Major </w:t>
            </w:r>
            <w:r>
              <w:rPr>
                <w:b/>
                <w:color w:val="5B9AD4"/>
                <w:spacing w:val="-2"/>
                <w:sz w:val="22"/>
              </w:rPr>
              <w:t>Facilities)</w:t>
            </w:r>
          </w:p>
        </w:tc>
      </w:tr>
      <w:tr>
        <w:trPr>
          <w:trHeight w:val="611" w:hRule="atLeast"/>
        </w:trPr>
        <w:tc>
          <w:tcPr>
            <w:tcW w:w="5678" w:type="dxa"/>
            <w:vMerge w:val="restart"/>
            <w:tcBorders>
              <w:right w:val="nil"/>
            </w:tcBorders>
          </w:tcPr>
          <w:p>
            <w:pPr>
              <w:pStyle w:val="TableParagraph"/>
              <w:spacing w:before="2"/>
              <w:ind w:left="107" w:right="115"/>
              <w:rPr>
                <w:sz w:val="22"/>
              </w:rPr>
            </w:pPr>
            <w:r>
              <w:rPr>
                <w:sz w:val="22"/>
              </w:rPr>
              <w:t>Sport, Recreation and Events support and encourage increased</w:t>
            </w:r>
            <w:r>
              <w:rPr>
                <w:spacing w:val="-4"/>
                <w:sz w:val="22"/>
              </w:rPr>
              <w:t> </w:t>
            </w:r>
            <w:r>
              <w:rPr>
                <w:sz w:val="22"/>
              </w:rPr>
              <w:t>community</w:t>
            </w:r>
            <w:r>
              <w:rPr>
                <w:spacing w:val="-4"/>
                <w:sz w:val="22"/>
              </w:rPr>
              <w:t> </w:t>
            </w:r>
            <w:r>
              <w:rPr>
                <w:sz w:val="22"/>
              </w:rPr>
              <w:t>involvement</w:t>
            </w:r>
            <w:r>
              <w:rPr>
                <w:spacing w:val="-5"/>
                <w:sz w:val="22"/>
              </w:rPr>
              <w:t> </w:t>
            </w:r>
            <w:r>
              <w:rPr>
                <w:sz w:val="22"/>
              </w:rPr>
              <w:t>in</w:t>
            </w:r>
            <w:r>
              <w:rPr>
                <w:spacing w:val="-4"/>
                <w:sz w:val="22"/>
              </w:rPr>
              <w:t> </w:t>
            </w:r>
            <w:r>
              <w:rPr>
                <w:sz w:val="22"/>
              </w:rPr>
              <w:t>physical</w:t>
            </w:r>
            <w:r>
              <w:rPr>
                <w:spacing w:val="-4"/>
                <w:sz w:val="22"/>
              </w:rPr>
              <w:t> </w:t>
            </w:r>
            <w:r>
              <w:rPr>
                <w:sz w:val="22"/>
              </w:rPr>
              <w:t>activity</w:t>
            </w:r>
            <w:r>
              <w:rPr>
                <w:spacing w:val="-2"/>
                <w:sz w:val="22"/>
              </w:rPr>
              <w:t> </w:t>
            </w:r>
            <w:r>
              <w:rPr>
                <w:sz w:val="22"/>
              </w:rPr>
              <w:t>by coordinating the delivery of programs, activities, and events</w:t>
            </w:r>
            <w:r>
              <w:rPr>
                <w:spacing w:val="-3"/>
                <w:sz w:val="22"/>
              </w:rPr>
              <w:t> </w:t>
            </w:r>
            <w:r>
              <w:rPr>
                <w:sz w:val="22"/>
              </w:rPr>
              <w:t>such</w:t>
            </w:r>
            <w:r>
              <w:rPr>
                <w:spacing w:val="-3"/>
                <w:sz w:val="22"/>
              </w:rPr>
              <w:t> </w:t>
            </w:r>
            <w:r>
              <w:rPr>
                <w:sz w:val="22"/>
              </w:rPr>
              <w:t>as</w:t>
            </w:r>
            <w:r>
              <w:rPr>
                <w:spacing w:val="-5"/>
                <w:sz w:val="22"/>
              </w:rPr>
              <w:t> </w:t>
            </w:r>
            <w:r>
              <w:rPr>
                <w:sz w:val="22"/>
              </w:rPr>
              <w:t>Run</w:t>
            </w:r>
            <w:r>
              <w:rPr>
                <w:spacing w:val="-5"/>
                <w:sz w:val="22"/>
              </w:rPr>
              <w:t> </w:t>
            </w:r>
            <w:r>
              <w:rPr>
                <w:sz w:val="22"/>
              </w:rPr>
              <w:t>Maroondah</w:t>
            </w:r>
            <w:r>
              <w:rPr>
                <w:spacing w:val="-3"/>
                <w:sz w:val="22"/>
              </w:rPr>
              <w:t> </w:t>
            </w:r>
            <w:r>
              <w:rPr>
                <w:sz w:val="22"/>
              </w:rPr>
              <w:t>and</w:t>
            </w:r>
            <w:r>
              <w:rPr>
                <w:spacing w:val="-5"/>
                <w:sz w:val="22"/>
              </w:rPr>
              <w:t> </w:t>
            </w:r>
            <w:r>
              <w:rPr>
                <w:sz w:val="22"/>
              </w:rPr>
              <w:t>the</w:t>
            </w:r>
            <w:r>
              <w:rPr>
                <w:spacing w:val="-5"/>
                <w:sz w:val="22"/>
              </w:rPr>
              <w:t> </w:t>
            </w:r>
            <w:r>
              <w:rPr>
                <w:sz w:val="22"/>
              </w:rPr>
              <w:t>Walking</w:t>
            </w:r>
            <w:r>
              <w:rPr>
                <w:spacing w:val="-6"/>
                <w:sz w:val="22"/>
              </w:rPr>
              <w:t> </w:t>
            </w:r>
            <w:r>
              <w:rPr>
                <w:sz w:val="22"/>
              </w:rPr>
              <w:t>Sports program. The area also seeks to maximise community- based physical activity by supporting club capacity and improving infrastructure; as well as managing occupancy of Council’s sporting facilities and pavilions, including seasonal allocations, leases, licences, and casual use.</w:t>
            </w:r>
          </w:p>
          <w:p>
            <w:pPr>
              <w:pStyle w:val="TableParagraph"/>
              <w:ind w:left="107"/>
              <w:rPr>
                <w:sz w:val="22"/>
              </w:rPr>
            </w:pPr>
            <w:r>
              <w:rPr>
                <w:sz w:val="22"/>
              </w:rPr>
              <w:t>Additionally,</w:t>
            </w:r>
            <w:r>
              <w:rPr>
                <w:spacing w:val="-5"/>
                <w:sz w:val="22"/>
              </w:rPr>
              <w:t> </w:t>
            </w:r>
            <w:r>
              <w:rPr>
                <w:sz w:val="22"/>
              </w:rPr>
              <w:t>Sport,</w:t>
            </w:r>
            <w:r>
              <w:rPr>
                <w:spacing w:val="-5"/>
                <w:sz w:val="22"/>
              </w:rPr>
              <w:t> </w:t>
            </w:r>
            <w:r>
              <w:rPr>
                <w:sz w:val="22"/>
              </w:rPr>
              <w:t>Recreation</w:t>
            </w:r>
            <w:r>
              <w:rPr>
                <w:spacing w:val="-7"/>
                <w:sz w:val="22"/>
              </w:rPr>
              <w:t> </w:t>
            </w:r>
            <w:r>
              <w:rPr>
                <w:sz w:val="22"/>
              </w:rPr>
              <w:t>and</w:t>
            </w:r>
            <w:r>
              <w:rPr>
                <w:spacing w:val="-7"/>
                <w:sz w:val="22"/>
              </w:rPr>
              <w:t> </w:t>
            </w:r>
            <w:r>
              <w:rPr>
                <w:sz w:val="22"/>
              </w:rPr>
              <w:t>Events</w:t>
            </w:r>
            <w:r>
              <w:rPr>
                <w:spacing w:val="-9"/>
                <w:sz w:val="22"/>
              </w:rPr>
              <w:t> </w:t>
            </w:r>
            <w:r>
              <w:rPr>
                <w:sz w:val="22"/>
              </w:rPr>
              <w:t>manage Council’s community events, including Maroondah Festival, Maroondah Carols, Australia Day, Run Maroondah, Night Run, Tri Maroondah and the</w:t>
            </w:r>
          </w:p>
          <w:p>
            <w:pPr>
              <w:pStyle w:val="TableParagraph"/>
              <w:spacing w:line="233" w:lineRule="exact"/>
              <w:ind w:left="107"/>
              <w:rPr>
                <w:sz w:val="22"/>
              </w:rPr>
            </w:pPr>
            <w:r>
              <w:rPr>
                <w:sz w:val="22"/>
              </w:rPr>
              <w:t>Celebrate</w:t>
            </w:r>
            <w:r>
              <w:rPr>
                <w:spacing w:val="-8"/>
                <w:sz w:val="22"/>
              </w:rPr>
              <w:t> </w:t>
            </w:r>
            <w:r>
              <w:rPr>
                <w:sz w:val="22"/>
              </w:rPr>
              <w:t>Maroondah</w:t>
            </w:r>
            <w:r>
              <w:rPr>
                <w:spacing w:val="-6"/>
                <w:sz w:val="22"/>
              </w:rPr>
              <w:t> </w:t>
            </w:r>
            <w:r>
              <w:rPr>
                <w:spacing w:val="-2"/>
                <w:sz w:val="22"/>
              </w:rPr>
              <w:t>series.</w:t>
            </w:r>
          </w:p>
        </w:tc>
        <w:tc>
          <w:tcPr>
            <w:tcW w:w="994" w:type="dxa"/>
            <w:tcBorders>
              <w:left w:val="nil"/>
              <w:right w:val="nil"/>
            </w:tcBorders>
          </w:tcPr>
          <w:p>
            <w:pPr>
              <w:pStyle w:val="TableParagraph"/>
              <w:spacing w:before="1"/>
              <w:ind w:left="110"/>
              <w:rPr>
                <w:sz w:val="18"/>
              </w:rPr>
            </w:pPr>
            <w:r>
              <w:rPr>
                <w:spacing w:val="-5"/>
                <w:sz w:val="18"/>
              </w:rPr>
              <w:t>Inc</w:t>
            </w:r>
          </w:p>
          <w:p>
            <w:pPr>
              <w:pStyle w:val="TableParagraph"/>
              <w:spacing w:before="102"/>
              <w:ind w:left="110"/>
              <w:rPr>
                <w:sz w:val="18"/>
              </w:rPr>
            </w:pPr>
            <w:r>
              <w:rPr>
                <w:spacing w:val="-5"/>
                <w:sz w:val="18"/>
              </w:rPr>
              <w:t>Exp</w:t>
            </w:r>
          </w:p>
        </w:tc>
        <w:tc>
          <w:tcPr>
            <w:tcW w:w="1283" w:type="dxa"/>
            <w:tcBorders>
              <w:left w:val="nil"/>
              <w:right w:val="nil"/>
            </w:tcBorders>
          </w:tcPr>
          <w:p>
            <w:pPr>
              <w:pStyle w:val="TableParagraph"/>
              <w:spacing w:before="1"/>
              <w:ind w:right="107"/>
              <w:jc w:val="right"/>
              <w:rPr>
                <w:sz w:val="18"/>
              </w:rPr>
            </w:pPr>
            <w:r>
              <w:rPr>
                <w:spacing w:val="-5"/>
                <w:sz w:val="18"/>
              </w:rPr>
              <w:t>772</w:t>
            </w:r>
          </w:p>
          <w:p>
            <w:pPr>
              <w:pStyle w:val="TableParagraph"/>
              <w:spacing w:before="102"/>
              <w:ind w:right="105"/>
              <w:jc w:val="right"/>
              <w:rPr>
                <w:sz w:val="18"/>
              </w:rPr>
            </w:pPr>
            <w:r>
              <w:rPr>
                <w:spacing w:val="-2"/>
                <w:sz w:val="18"/>
              </w:rPr>
              <w:t>1,883</w:t>
            </w:r>
          </w:p>
        </w:tc>
        <w:tc>
          <w:tcPr>
            <w:tcW w:w="1272" w:type="dxa"/>
            <w:tcBorders>
              <w:left w:val="nil"/>
              <w:right w:val="nil"/>
            </w:tcBorders>
          </w:tcPr>
          <w:p>
            <w:pPr>
              <w:pStyle w:val="TableParagraph"/>
              <w:spacing w:before="1"/>
              <w:ind w:right="99"/>
              <w:jc w:val="right"/>
              <w:rPr>
                <w:sz w:val="18"/>
              </w:rPr>
            </w:pPr>
            <w:r>
              <w:rPr>
                <w:spacing w:val="-5"/>
                <w:sz w:val="18"/>
              </w:rPr>
              <w:t>924</w:t>
            </w:r>
          </w:p>
          <w:p>
            <w:pPr>
              <w:pStyle w:val="TableParagraph"/>
              <w:spacing w:before="102"/>
              <w:ind w:right="98"/>
              <w:jc w:val="right"/>
              <w:rPr>
                <w:sz w:val="18"/>
              </w:rPr>
            </w:pPr>
            <w:r>
              <w:rPr>
                <w:spacing w:val="-2"/>
                <w:sz w:val="18"/>
              </w:rPr>
              <w:t>1,678</w:t>
            </w:r>
          </w:p>
        </w:tc>
        <w:tc>
          <w:tcPr>
            <w:tcW w:w="1310" w:type="dxa"/>
            <w:tcBorders>
              <w:left w:val="nil"/>
            </w:tcBorders>
            <w:shd w:val="clear" w:color="auto" w:fill="BCD6ED"/>
          </w:tcPr>
          <w:p>
            <w:pPr>
              <w:pStyle w:val="TableParagraph"/>
              <w:spacing w:before="1"/>
              <w:ind w:right="96"/>
              <w:jc w:val="right"/>
              <w:rPr>
                <w:sz w:val="18"/>
              </w:rPr>
            </w:pPr>
            <w:r>
              <w:rPr>
                <w:spacing w:val="-5"/>
                <w:sz w:val="18"/>
              </w:rPr>
              <w:t>943</w:t>
            </w:r>
          </w:p>
          <w:p>
            <w:pPr>
              <w:pStyle w:val="TableParagraph"/>
              <w:spacing w:before="102"/>
              <w:ind w:right="95"/>
              <w:jc w:val="right"/>
              <w:rPr>
                <w:sz w:val="18"/>
              </w:rPr>
            </w:pPr>
            <w:r>
              <w:rPr>
                <w:spacing w:val="-2"/>
                <w:sz w:val="18"/>
              </w:rPr>
              <w:t>1,650</w:t>
            </w:r>
          </w:p>
        </w:tc>
      </w:tr>
      <w:tr>
        <w:trPr>
          <w:trHeight w:val="3174" w:hRule="atLeast"/>
        </w:trPr>
        <w:tc>
          <w:tcPr>
            <w:tcW w:w="5678" w:type="dxa"/>
            <w:vMerge/>
            <w:tcBorders>
              <w:top w:val="nil"/>
              <w:right w:val="nil"/>
            </w:tcBorders>
          </w:tcPr>
          <w:p>
            <w:pPr>
              <w:rPr>
                <w:sz w:val="2"/>
                <w:szCs w:val="2"/>
              </w:rPr>
            </w:pPr>
          </w:p>
        </w:tc>
        <w:tc>
          <w:tcPr>
            <w:tcW w:w="994" w:type="dxa"/>
            <w:tcBorders>
              <w:left w:val="nil"/>
              <w:right w:val="nil"/>
            </w:tcBorders>
          </w:tcPr>
          <w:p>
            <w:pPr>
              <w:pStyle w:val="TableParagraph"/>
              <w:ind w:left="110" w:right="106"/>
              <w:rPr>
                <w:b/>
                <w:sz w:val="18"/>
              </w:rPr>
            </w:pPr>
            <w:r>
              <w:rPr>
                <w:b/>
                <w:sz w:val="18"/>
              </w:rPr>
              <w:t>Surplus</w:t>
            </w:r>
            <w:r>
              <w:rPr>
                <w:b/>
                <w:spacing w:val="-13"/>
                <w:sz w:val="18"/>
              </w:rPr>
              <w:t> </w:t>
            </w:r>
            <w:r>
              <w:rPr>
                <w:b/>
                <w:sz w:val="18"/>
              </w:rPr>
              <w:t>/ </w:t>
            </w:r>
            <w:r>
              <w:rPr>
                <w:b/>
                <w:spacing w:val="-2"/>
                <w:sz w:val="18"/>
              </w:rPr>
              <w:t>(deficit)</w:t>
            </w:r>
          </w:p>
        </w:tc>
        <w:tc>
          <w:tcPr>
            <w:tcW w:w="1283" w:type="dxa"/>
            <w:tcBorders>
              <w:left w:val="nil"/>
              <w:right w:val="nil"/>
            </w:tcBorders>
          </w:tcPr>
          <w:p>
            <w:pPr>
              <w:pStyle w:val="TableParagraph"/>
              <w:spacing w:line="206" w:lineRule="exact"/>
              <w:ind w:right="105"/>
              <w:jc w:val="right"/>
              <w:rPr>
                <w:b/>
                <w:sz w:val="18"/>
              </w:rPr>
            </w:pPr>
            <w:r>
              <w:rPr>
                <w:b/>
                <w:spacing w:val="-2"/>
                <w:sz w:val="18"/>
              </w:rPr>
              <w:t>(1,111)</w:t>
            </w:r>
          </w:p>
        </w:tc>
        <w:tc>
          <w:tcPr>
            <w:tcW w:w="1272" w:type="dxa"/>
            <w:tcBorders>
              <w:left w:val="nil"/>
              <w:right w:val="nil"/>
            </w:tcBorders>
          </w:tcPr>
          <w:p>
            <w:pPr>
              <w:pStyle w:val="TableParagraph"/>
              <w:spacing w:line="206" w:lineRule="exact"/>
              <w:ind w:right="97"/>
              <w:jc w:val="right"/>
              <w:rPr>
                <w:b/>
                <w:sz w:val="18"/>
              </w:rPr>
            </w:pPr>
            <w:r>
              <w:rPr>
                <w:b/>
                <w:spacing w:val="-2"/>
                <w:sz w:val="18"/>
              </w:rPr>
              <w:t>(754)</w:t>
            </w:r>
          </w:p>
        </w:tc>
        <w:tc>
          <w:tcPr>
            <w:tcW w:w="1310" w:type="dxa"/>
            <w:tcBorders>
              <w:left w:val="nil"/>
            </w:tcBorders>
            <w:shd w:val="clear" w:color="auto" w:fill="BCD6ED"/>
          </w:tcPr>
          <w:p>
            <w:pPr>
              <w:pStyle w:val="TableParagraph"/>
              <w:spacing w:line="206" w:lineRule="exact"/>
              <w:ind w:right="94"/>
              <w:jc w:val="right"/>
              <w:rPr>
                <w:b/>
                <w:sz w:val="18"/>
              </w:rPr>
            </w:pPr>
            <w:r>
              <w:rPr>
                <w:b/>
                <w:spacing w:val="-2"/>
                <w:sz w:val="18"/>
              </w:rPr>
              <w:t>(707)</w:t>
            </w:r>
          </w:p>
        </w:tc>
      </w:tr>
      <w:tr>
        <w:trPr>
          <w:trHeight w:val="299" w:hRule="atLeast"/>
        </w:trPr>
        <w:tc>
          <w:tcPr>
            <w:tcW w:w="10537" w:type="dxa"/>
            <w:gridSpan w:val="5"/>
          </w:tcPr>
          <w:p>
            <w:pPr>
              <w:pStyle w:val="TableParagraph"/>
              <w:spacing w:before="24"/>
              <w:ind w:left="107"/>
              <w:rPr>
                <w:b/>
                <w:sz w:val="22"/>
              </w:rPr>
            </w:pPr>
            <w:r>
              <w:rPr>
                <w:b/>
                <w:color w:val="5B9AD4"/>
                <w:sz w:val="22"/>
              </w:rPr>
              <w:t>Stadiums</w:t>
            </w:r>
            <w:r>
              <w:rPr>
                <w:b/>
                <w:color w:val="5B9AD4"/>
                <w:spacing w:val="-7"/>
                <w:sz w:val="22"/>
              </w:rPr>
              <w:t> </w:t>
            </w:r>
            <w:r>
              <w:rPr>
                <w:b/>
                <w:color w:val="5B9AD4"/>
                <w:sz w:val="22"/>
              </w:rPr>
              <w:t>(Leisure</w:t>
            </w:r>
            <w:r>
              <w:rPr>
                <w:b/>
                <w:color w:val="5B9AD4"/>
                <w:spacing w:val="-3"/>
                <w:sz w:val="22"/>
              </w:rPr>
              <w:t> </w:t>
            </w:r>
            <w:r>
              <w:rPr>
                <w:b/>
                <w:color w:val="5B9AD4"/>
                <w:sz w:val="22"/>
              </w:rPr>
              <w:t>and</w:t>
            </w:r>
            <w:r>
              <w:rPr>
                <w:b/>
                <w:color w:val="5B9AD4"/>
                <w:spacing w:val="-5"/>
                <w:sz w:val="22"/>
              </w:rPr>
              <w:t> </w:t>
            </w:r>
            <w:r>
              <w:rPr>
                <w:b/>
                <w:color w:val="5B9AD4"/>
                <w:sz w:val="22"/>
              </w:rPr>
              <w:t>Major </w:t>
            </w:r>
            <w:r>
              <w:rPr>
                <w:b/>
                <w:color w:val="5B9AD4"/>
                <w:spacing w:val="-2"/>
                <w:sz w:val="22"/>
              </w:rPr>
              <w:t>Facilities)</w:t>
            </w:r>
          </w:p>
        </w:tc>
      </w:tr>
      <w:tr>
        <w:trPr>
          <w:trHeight w:val="609" w:hRule="atLeast"/>
        </w:trPr>
        <w:tc>
          <w:tcPr>
            <w:tcW w:w="5678" w:type="dxa"/>
            <w:vMerge w:val="restart"/>
            <w:tcBorders>
              <w:right w:val="nil"/>
            </w:tcBorders>
          </w:tcPr>
          <w:p>
            <w:pPr>
              <w:pStyle w:val="TableParagraph"/>
              <w:ind w:left="107" w:right="115"/>
              <w:rPr>
                <w:sz w:val="22"/>
              </w:rPr>
            </w:pPr>
            <w:r>
              <w:rPr>
                <w:sz w:val="22"/>
              </w:rPr>
              <w:t>This</w:t>
            </w:r>
            <w:r>
              <w:rPr>
                <w:spacing w:val="-4"/>
                <w:sz w:val="22"/>
              </w:rPr>
              <w:t> </w:t>
            </w:r>
            <w:r>
              <w:rPr>
                <w:sz w:val="22"/>
              </w:rPr>
              <w:t>team</w:t>
            </w:r>
            <w:r>
              <w:rPr>
                <w:spacing w:val="-4"/>
                <w:sz w:val="22"/>
              </w:rPr>
              <w:t> </w:t>
            </w:r>
            <w:r>
              <w:rPr>
                <w:sz w:val="22"/>
              </w:rPr>
              <w:t>operates</w:t>
            </w:r>
            <w:r>
              <w:rPr>
                <w:spacing w:val="-6"/>
                <w:sz w:val="22"/>
              </w:rPr>
              <w:t> </w:t>
            </w:r>
            <w:r>
              <w:rPr>
                <w:sz w:val="22"/>
              </w:rPr>
              <w:t>Council’s</w:t>
            </w:r>
            <w:r>
              <w:rPr>
                <w:spacing w:val="-4"/>
                <w:sz w:val="22"/>
              </w:rPr>
              <w:t> </w:t>
            </w:r>
            <w:r>
              <w:rPr>
                <w:sz w:val="22"/>
              </w:rPr>
              <w:t>two</w:t>
            </w:r>
            <w:r>
              <w:rPr>
                <w:spacing w:val="-6"/>
                <w:sz w:val="22"/>
              </w:rPr>
              <w:t> </w:t>
            </w:r>
            <w:r>
              <w:rPr>
                <w:sz w:val="22"/>
              </w:rPr>
              <w:t>stadium</w:t>
            </w:r>
            <w:r>
              <w:rPr>
                <w:spacing w:val="-4"/>
                <w:sz w:val="22"/>
              </w:rPr>
              <w:t> </w:t>
            </w:r>
            <w:r>
              <w:rPr>
                <w:sz w:val="22"/>
              </w:rPr>
              <w:t>facilities</w:t>
            </w:r>
            <w:r>
              <w:rPr>
                <w:spacing w:val="-4"/>
                <w:sz w:val="22"/>
              </w:rPr>
              <w:t> </w:t>
            </w:r>
            <w:r>
              <w:rPr>
                <w:sz w:val="22"/>
              </w:rPr>
              <w:t>and added Maroondah Edge (an indoor cricket training centre) to the suite in June 2023.</w:t>
            </w:r>
          </w:p>
          <w:p>
            <w:pPr>
              <w:pStyle w:val="TableParagraph"/>
              <w:ind w:left="107" w:right="156"/>
              <w:rPr>
                <w:sz w:val="22"/>
              </w:rPr>
            </w:pPr>
            <w:r>
              <w:rPr>
                <w:sz w:val="22"/>
              </w:rPr>
              <w:t>The Rings is a four-court indoor stadium in Ringwood mainly catering for basketball and netball. Maroondah Nets caters for netball, volleyball, badminton, table tennis and pickleball, with both indoor and outdoor facilities.</w:t>
            </w:r>
            <w:r>
              <w:rPr>
                <w:spacing w:val="-1"/>
                <w:sz w:val="22"/>
              </w:rPr>
              <w:t> </w:t>
            </w:r>
            <w:r>
              <w:rPr>
                <w:sz w:val="22"/>
              </w:rPr>
              <w:t>Both</w:t>
            </w:r>
            <w:r>
              <w:rPr>
                <w:spacing w:val="-7"/>
                <w:sz w:val="22"/>
              </w:rPr>
              <w:t> </w:t>
            </w:r>
            <w:r>
              <w:rPr>
                <w:sz w:val="22"/>
              </w:rPr>
              <w:t>facilities</w:t>
            </w:r>
            <w:r>
              <w:rPr>
                <w:spacing w:val="-1"/>
                <w:sz w:val="22"/>
              </w:rPr>
              <w:t> </w:t>
            </w:r>
            <w:r>
              <w:rPr>
                <w:sz w:val="22"/>
              </w:rPr>
              <w:t>offer</w:t>
            </w:r>
            <w:r>
              <w:rPr>
                <w:spacing w:val="-3"/>
                <w:sz w:val="22"/>
              </w:rPr>
              <w:t> </w:t>
            </w:r>
            <w:r>
              <w:rPr>
                <w:sz w:val="22"/>
              </w:rPr>
              <w:t>a</w:t>
            </w:r>
            <w:r>
              <w:rPr>
                <w:spacing w:val="-5"/>
                <w:sz w:val="22"/>
              </w:rPr>
              <w:t> </w:t>
            </w:r>
            <w:r>
              <w:rPr>
                <w:sz w:val="22"/>
              </w:rPr>
              <w:t>range</w:t>
            </w:r>
            <w:r>
              <w:rPr>
                <w:spacing w:val="-2"/>
                <w:sz w:val="22"/>
              </w:rPr>
              <w:t> </w:t>
            </w:r>
            <w:r>
              <w:rPr>
                <w:sz w:val="22"/>
              </w:rPr>
              <w:t>of</w:t>
            </w:r>
            <w:r>
              <w:rPr>
                <w:spacing w:val="-3"/>
                <w:sz w:val="22"/>
              </w:rPr>
              <w:t> </w:t>
            </w:r>
            <w:r>
              <w:rPr>
                <w:sz w:val="22"/>
              </w:rPr>
              <w:t>junior</w:t>
            </w:r>
            <w:r>
              <w:rPr>
                <w:spacing w:val="-5"/>
                <w:sz w:val="22"/>
              </w:rPr>
              <w:t> </w:t>
            </w:r>
            <w:r>
              <w:rPr>
                <w:sz w:val="22"/>
              </w:rPr>
              <w:t>and</w:t>
            </w:r>
            <w:r>
              <w:rPr>
                <w:spacing w:val="-5"/>
                <w:sz w:val="22"/>
              </w:rPr>
              <w:t> </w:t>
            </w:r>
            <w:r>
              <w:rPr>
                <w:sz w:val="22"/>
              </w:rPr>
              <w:t>adult competitions and programs, as well as holiday programs and casual hire.</w:t>
            </w:r>
          </w:p>
          <w:p>
            <w:pPr>
              <w:pStyle w:val="TableParagraph"/>
              <w:ind w:left="107"/>
              <w:rPr>
                <w:sz w:val="22"/>
              </w:rPr>
            </w:pPr>
            <w:r>
              <w:rPr>
                <w:sz w:val="22"/>
              </w:rPr>
              <w:t>Maroondah Edge has five indoor cricket training lanes and a modified netball court, catering for local and regional</w:t>
            </w:r>
            <w:r>
              <w:rPr>
                <w:spacing w:val="-4"/>
                <w:sz w:val="22"/>
              </w:rPr>
              <w:t> </w:t>
            </w:r>
            <w:r>
              <w:rPr>
                <w:sz w:val="22"/>
              </w:rPr>
              <w:t>cricket</w:t>
            </w:r>
            <w:r>
              <w:rPr>
                <w:spacing w:val="-6"/>
                <w:sz w:val="22"/>
              </w:rPr>
              <w:t> </w:t>
            </w:r>
            <w:r>
              <w:rPr>
                <w:sz w:val="22"/>
              </w:rPr>
              <w:t>training</w:t>
            </w:r>
            <w:r>
              <w:rPr>
                <w:spacing w:val="-4"/>
                <w:sz w:val="22"/>
              </w:rPr>
              <w:t> </w:t>
            </w:r>
            <w:r>
              <w:rPr>
                <w:sz w:val="22"/>
              </w:rPr>
              <w:t>and</w:t>
            </w:r>
            <w:r>
              <w:rPr>
                <w:spacing w:val="-4"/>
                <w:sz w:val="22"/>
              </w:rPr>
              <w:t> </w:t>
            </w:r>
            <w:r>
              <w:rPr>
                <w:sz w:val="22"/>
              </w:rPr>
              <w:t>facilitating</w:t>
            </w:r>
            <w:r>
              <w:rPr>
                <w:spacing w:val="-4"/>
                <w:sz w:val="22"/>
              </w:rPr>
              <w:t> </w:t>
            </w:r>
            <w:r>
              <w:rPr>
                <w:sz w:val="22"/>
              </w:rPr>
              <w:t>a</w:t>
            </w:r>
            <w:r>
              <w:rPr>
                <w:spacing w:val="-6"/>
                <w:sz w:val="22"/>
              </w:rPr>
              <w:t> </w:t>
            </w:r>
            <w:r>
              <w:rPr>
                <w:sz w:val="22"/>
              </w:rPr>
              <w:t>netball</w:t>
            </w:r>
            <w:r>
              <w:rPr>
                <w:spacing w:val="-4"/>
                <w:sz w:val="22"/>
              </w:rPr>
              <w:t> </w:t>
            </w:r>
            <w:r>
              <w:rPr>
                <w:sz w:val="22"/>
              </w:rPr>
              <w:t>training space for Ringwood Football and Netball Club and</w:t>
            </w:r>
          </w:p>
          <w:p>
            <w:pPr>
              <w:pStyle w:val="TableParagraph"/>
              <w:spacing w:line="232" w:lineRule="exact"/>
              <w:ind w:left="107"/>
              <w:rPr>
                <w:sz w:val="22"/>
              </w:rPr>
            </w:pPr>
            <w:r>
              <w:rPr>
                <w:sz w:val="22"/>
              </w:rPr>
              <w:t>Eastern</w:t>
            </w:r>
            <w:r>
              <w:rPr>
                <w:spacing w:val="-5"/>
                <w:sz w:val="22"/>
              </w:rPr>
              <w:t> </w:t>
            </w:r>
            <w:r>
              <w:rPr>
                <w:sz w:val="22"/>
              </w:rPr>
              <w:t>All</w:t>
            </w:r>
            <w:r>
              <w:rPr>
                <w:spacing w:val="-4"/>
                <w:sz w:val="22"/>
              </w:rPr>
              <w:t> </w:t>
            </w:r>
            <w:r>
              <w:rPr>
                <w:sz w:val="22"/>
              </w:rPr>
              <w:t>Abilities</w:t>
            </w:r>
            <w:r>
              <w:rPr>
                <w:spacing w:val="-2"/>
                <w:sz w:val="22"/>
              </w:rPr>
              <w:t> Netball.</w:t>
            </w:r>
          </w:p>
        </w:tc>
        <w:tc>
          <w:tcPr>
            <w:tcW w:w="994"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2"/>
              <w:ind w:left="110"/>
              <w:rPr>
                <w:sz w:val="18"/>
              </w:rPr>
            </w:pPr>
            <w:r>
              <w:rPr>
                <w:spacing w:val="-5"/>
                <w:sz w:val="18"/>
              </w:rPr>
              <w:t>Exp</w:t>
            </w:r>
          </w:p>
        </w:tc>
        <w:tc>
          <w:tcPr>
            <w:tcW w:w="1283" w:type="dxa"/>
            <w:tcBorders>
              <w:left w:val="nil"/>
              <w:right w:val="nil"/>
            </w:tcBorders>
          </w:tcPr>
          <w:p>
            <w:pPr>
              <w:pStyle w:val="TableParagraph"/>
              <w:spacing w:line="206" w:lineRule="exact"/>
              <w:ind w:left="722"/>
              <w:rPr>
                <w:sz w:val="18"/>
              </w:rPr>
            </w:pPr>
            <w:r>
              <w:rPr>
                <w:spacing w:val="-2"/>
                <w:sz w:val="18"/>
              </w:rPr>
              <w:t>1,202</w:t>
            </w:r>
          </w:p>
          <w:p>
            <w:pPr>
              <w:pStyle w:val="TableParagraph"/>
              <w:spacing w:before="102"/>
              <w:ind w:left="722"/>
              <w:rPr>
                <w:sz w:val="18"/>
              </w:rPr>
            </w:pPr>
            <w:r>
              <w:rPr>
                <w:spacing w:val="-2"/>
                <w:sz w:val="18"/>
              </w:rPr>
              <w:t>1,196</w:t>
            </w:r>
          </w:p>
        </w:tc>
        <w:tc>
          <w:tcPr>
            <w:tcW w:w="1272" w:type="dxa"/>
            <w:tcBorders>
              <w:left w:val="nil"/>
              <w:right w:val="nil"/>
            </w:tcBorders>
          </w:tcPr>
          <w:p>
            <w:pPr>
              <w:pStyle w:val="TableParagraph"/>
              <w:spacing w:line="206" w:lineRule="exact"/>
              <w:ind w:left="718"/>
              <w:rPr>
                <w:sz w:val="18"/>
              </w:rPr>
            </w:pPr>
            <w:r>
              <w:rPr>
                <w:spacing w:val="-2"/>
                <w:sz w:val="18"/>
              </w:rPr>
              <w:t>1,415</w:t>
            </w:r>
          </w:p>
          <w:p>
            <w:pPr>
              <w:pStyle w:val="TableParagraph"/>
              <w:spacing w:before="102"/>
              <w:ind w:left="718"/>
              <w:rPr>
                <w:sz w:val="18"/>
              </w:rPr>
            </w:pPr>
            <w:r>
              <w:rPr>
                <w:spacing w:val="-2"/>
                <w:sz w:val="18"/>
              </w:rPr>
              <w:t>1,327</w:t>
            </w:r>
          </w:p>
        </w:tc>
        <w:tc>
          <w:tcPr>
            <w:tcW w:w="1310" w:type="dxa"/>
            <w:tcBorders>
              <w:left w:val="nil"/>
            </w:tcBorders>
            <w:shd w:val="clear" w:color="auto" w:fill="BCD6ED"/>
          </w:tcPr>
          <w:p>
            <w:pPr>
              <w:pStyle w:val="TableParagraph"/>
              <w:spacing w:line="206" w:lineRule="exact"/>
              <w:ind w:left="749"/>
              <w:rPr>
                <w:sz w:val="18"/>
              </w:rPr>
            </w:pPr>
            <w:r>
              <w:rPr>
                <w:spacing w:val="-2"/>
                <w:sz w:val="18"/>
              </w:rPr>
              <w:t>1,540</w:t>
            </w:r>
          </w:p>
          <w:p>
            <w:pPr>
              <w:pStyle w:val="TableParagraph"/>
              <w:spacing w:before="102"/>
              <w:ind w:left="749"/>
              <w:rPr>
                <w:sz w:val="18"/>
              </w:rPr>
            </w:pPr>
            <w:r>
              <w:rPr>
                <w:spacing w:val="-2"/>
                <w:sz w:val="18"/>
              </w:rPr>
              <w:t>1,367</w:t>
            </w:r>
          </w:p>
        </w:tc>
      </w:tr>
      <w:tr>
        <w:trPr>
          <w:trHeight w:val="3174" w:hRule="atLeast"/>
        </w:trPr>
        <w:tc>
          <w:tcPr>
            <w:tcW w:w="5678" w:type="dxa"/>
            <w:vMerge/>
            <w:tcBorders>
              <w:top w:val="nil"/>
              <w:right w:val="nil"/>
            </w:tcBorders>
          </w:tcPr>
          <w:p>
            <w:pPr>
              <w:rPr>
                <w:sz w:val="2"/>
                <w:szCs w:val="2"/>
              </w:rPr>
            </w:pPr>
          </w:p>
        </w:tc>
        <w:tc>
          <w:tcPr>
            <w:tcW w:w="994" w:type="dxa"/>
            <w:tcBorders>
              <w:left w:val="nil"/>
              <w:right w:val="nil"/>
            </w:tcBorders>
          </w:tcPr>
          <w:p>
            <w:pPr>
              <w:pStyle w:val="TableParagraph"/>
              <w:ind w:left="110" w:right="106"/>
              <w:rPr>
                <w:b/>
                <w:sz w:val="18"/>
              </w:rPr>
            </w:pPr>
            <w:r>
              <w:rPr>
                <w:b/>
                <w:sz w:val="18"/>
              </w:rPr>
              <w:t>Surplus</w:t>
            </w:r>
            <w:r>
              <w:rPr>
                <w:b/>
                <w:spacing w:val="-13"/>
                <w:sz w:val="18"/>
              </w:rPr>
              <w:t> </w:t>
            </w:r>
            <w:r>
              <w:rPr>
                <w:b/>
                <w:sz w:val="18"/>
              </w:rPr>
              <w:t>/ </w:t>
            </w:r>
            <w:r>
              <w:rPr>
                <w:b/>
                <w:spacing w:val="-2"/>
                <w:sz w:val="18"/>
              </w:rPr>
              <w:t>(deficit)</w:t>
            </w:r>
          </w:p>
        </w:tc>
        <w:tc>
          <w:tcPr>
            <w:tcW w:w="1283" w:type="dxa"/>
            <w:tcBorders>
              <w:left w:val="nil"/>
              <w:right w:val="nil"/>
            </w:tcBorders>
          </w:tcPr>
          <w:p>
            <w:pPr>
              <w:pStyle w:val="TableParagraph"/>
              <w:spacing w:line="206" w:lineRule="exact"/>
              <w:ind w:right="108"/>
              <w:jc w:val="right"/>
              <w:rPr>
                <w:b/>
                <w:sz w:val="18"/>
              </w:rPr>
            </w:pPr>
            <w:r>
              <w:rPr>
                <w:b/>
                <w:sz w:val="18"/>
              </w:rPr>
              <w:t>6</w:t>
            </w:r>
          </w:p>
        </w:tc>
        <w:tc>
          <w:tcPr>
            <w:tcW w:w="1272" w:type="dxa"/>
            <w:tcBorders>
              <w:left w:val="nil"/>
              <w:right w:val="nil"/>
            </w:tcBorders>
          </w:tcPr>
          <w:p>
            <w:pPr>
              <w:pStyle w:val="TableParagraph"/>
              <w:spacing w:line="206" w:lineRule="exact"/>
              <w:ind w:right="99"/>
              <w:jc w:val="right"/>
              <w:rPr>
                <w:b/>
                <w:sz w:val="18"/>
              </w:rPr>
            </w:pPr>
            <w:r>
              <w:rPr>
                <w:b/>
                <w:spacing w:val="-5"/>
                <w:sz w:val="18"/>
              </w:rPr>
              <w:t>88</w:t>
            </w:r>
          </w:p>
        </w:tc>
        <w:tc>
          <w:tcPr>
            <w:tcW w:w="1310" w:type="dxa"/>
            <w:tcBorders>
              <w:left w:val="nil"/>
            </w:tcBorders>
            <w:shd w:val="clear" w:color="auto" w:fill="BCD6ED"/>
          </w:tcPr>
          <w:p>
            <w:pPr>
              <w:pStyle w:val="TableParagraph"/>
              <w:spacing w:line="206" w:lineRule="exact"/>
              <w:ind w:right="96"/>
              <w:jc w:val="right"/>
              <w:rPr>
                <w:b/>
                <w:sz w:val="18"/>
              </w:rPr>
            </w:pPr>
            <w:r>
              <w:rPr>
                <w:b/>
                <w:spacing w:val="-5"/>
                <w:sz w:val="18"/>
              </w:rPr>
              <w:t>173</w:t>
            </w:r>
          </w:p>
        </w:tc>
      </w:tr>
    </w:tbl>
    <w:p>
      <w:pPr>
        <w:pStyle w:val="BodyText"/>
        <w:spacing w:before="4"/>
        <w:rPr>
          <w:b/>
          <w:sz w:val="14"/>
        </w:rPr>
      </w:pPr>
    </w:p>
    <w:p>
      <w:pPr>
        <w:pStyle w:val="Heading5"/>
        <w:spacing w:before="94"/>
        <w:ind w:left="391"/>
      </w:pPr>
      <w:r>
        <w:rPr/>
        <w:t>Major</w:t>
      </w:r>
      <w:r>
        <w:rPr>
          <w:spacing w:val="-5"/>
        </w:rPr>
        <w:t> </w:t>
      </w:r>
      <w:r>
        <w:rPr/>
        <w:t>Initiatives</w:t>
      </w:r>
      <w:r>
        <w:rPr>
          <w:spacing w:val="-5"/>
        </w:rPr>
        <w:t> </w:t>
      </w:r>
      <w:r>
        <w:rPr/>
        <w:t>(Priority</w:t>
      </w:r>
      <w:r>
        <w:rPr>
          <w:spacing w:val="-6"/>
        </w:rPr>
        <w:t> </w:t>
      </w:r>
      <w:r>
        <w:rPr>
          <w:spacing w:val="-2"/>
        </w:rPr>
        <w:t>Actions)</w:t>
      </w:r>
    </w:p>
    <w:p>
      <w:pPr>
        <w:pStyle w:val="BodyText"/>
        <w:rPr>
          <w:b/>
        </w:rPr>
      </w:pPr>
    </w:p>
    <w:p>
      <w:pPr>
        <w:pStyle w:val="ListParagraph"/>
        <w:numPr>
          <w:ilvl w:val="0"/>
          <w:numId w:val="13"/>
        </w:numPr>
        <w:tabs>
          <w:tab w:pos="960" w:val="left" w:leader="none"/>
        </w:tabs>
        <w:spacing w:line="240" w:lineRule="auto" w:before="1" w:after="0"/>
        <w:ind w:left="958" w:right="399" w:hanging="567"/>
        <w:jc w:val="both"/>
        <w:rPr>
          <w:sz w:val="22"/>
        </w:rPr>
      </w:pPr>
      <w:r>
        <w:rPr>
          <w:sz w:val="22"/>
        </w:rPr>
        <w:t>Review, update and implement Council’s Physical Activity Strategy; and develop and implement a Stadium Sports Strategy</w:t>
      </w:r>
    </w:p>
    <w:p>
      <w:pPr>
        <w:pStyle w:val="ListParagraph"/>
        <w:numPr>
          <w:ilvl w:val="0"/>
          <w:numId w:val="13"/>
        </w:numPr>
        <w:tabs>
          <w:tab w:pos="960" w:val="left" w:leader="none"/>
        </w:tabs>
        <w:spacing w:line="240" w:lineRule="auto" w:before="0" w:after="0"/>
        <w:ind w:left="958" w:right="403" w:hanging="567"/>
        <w:jc w:val="both"/>
        <w:rPr>
          <w:sz w:val="22"/>
        </w:rPr>
      </w:pPr>
      <w:r>
        <w:rPr>
          <w:sz w:val="22"/>
        </w:rPr>
        <w:t>Finalise and implement the Maroondah Liveability, Wellbeing and Resilience Strategy 2021-2031 (including</w:t>
      </w:r>
      <w:r>
        <w:rPr>
          <w:spacing w:val="-11"/>
          <w:sz w:val="22"/>
        </w:rPr>
        <w:t> </w:t>
      </w:r>
      <w:r>
        <w:rPr>
          <w:sz w:val="22"/>
        </w:rPr>
        <w:t>the</w:t>
      </w:r>
      <w:r>
        <w:rPr>
          <w:spacing w:val="-13"/>
          <w:sz w:val="22"/>
        </w:rPr>
        <w:t> </w:t>
      </w:r>
      <w:r>
        <w:rPr>
          <w:sz w:val="22"/>
        </w:rPr>
        <w:t>Health</w:t>
      </w:r>
      <w:r>
        <w:rPr>
          <w:spacing w:val="-9"/>
          <w:sz w:val="22"/>
        </w:rPr>
        <w:t> </w:t>
      </w:r>
      <w:r>
        <w:rPr>
          <w:sz w:val="22"/>
        </w:rPr>
        <w:t>and</w:t>
      </w:r>
      <w:r>
        <w:rPr>
          <w:spacing w:val="-11"/>
          <w:sz w:val="22"/>
        </w:rPr>
        <w:t> </w:t>
      </w:r>
      <w:r>
        <w:rPr>
          <w:sz w:val="22"/>
        </w:rPr>
        <w:t>Wellbeing</w:t>
      </w:r>
      <w:r>
        <w:rPr>
          <w:spacing w:val="-9"/>
          <w:sz w:val="22"/>
        </w:rPr>
        <w:t> </w:t>
      </w:r>
      <w:r>
        <w:rPr>
          <w:sz w:val="22"/>
        </w:rPr>
        <w:t>Action</w:t>
      </w:r>
      <w:r>
        <w:rPr>
          <w:spacing w:val="-13"/>
          <w:sz w:val="22"/>
        </w:rPr>
        <w:t> </w:t>
      </w:r>
      <w:r>
        <w:rPr>
          <w:sz w:val="22"/>
        </w:rPr>
        <w:t>Plan</w:t>
      </w:r>
      <w:r>
        <w:rPr>
          <w:spacing w:val="-11"/>
          <w:sz w:val="22"/>
        </w:rPr>
        <w:t> </w:t>
      </w:r>
      <w:r>
        <w:rPr>
          <w:sz w:val="22"/>
        </w:rPr>
        <w:t>and</w:t>
      </w:r>
      <w:r>
        <w:rPr>
          <w:spacing w:val="-9"/>
          <w:sz w:val="22"/>
        </w:rPr>
        <w:t> </w:t>
      </w:r>
      <w:r>
        <w:rPr>
          <w:sz w:val="22"/>
        </w:rPr>
        <w:t>Positive</w:t>
      </w:r>
      <w:r>
        <w:rPr>
          <w:spacing w:val="-11"/>
          <w:sz w:val="22"/>
        </w:rPr>
        <w:t> </w:t>
      </w:r>
      <w:r>
        <w:rPr>
          <w:sz w:val="22"/>
        </w:rPr>
        <w:t>Ageing</w:t>
      </w:r>
      <w:r>
        <w:rPr>
          <w:spacing w:val="-13"/>
          <w:sz w:val="22"/>
        </w:rPr>
        <w:t> </w:t>
      </w:r>
      <w:r>
        <w:rPr>
          <w:sz w:val="22"/>
        </w:rPr>
        <w:t>Framework</w:t>
      </w:r>
      <w:r>
        <w:rPr>
          <w:spacing w:val="-9"/>
          <w:sz w:val="22"/>
        </w:rPr>
        <w:t> </w:t>
      </w:r>
      <w:r>
        <w:rPr>
          <w:sz w:val="22"/>
        </w:rPr>
        <w:t>and</w:t>
      </w:r>
      <w:r>
        <w:rPr>
          <w:spacing w:val="-11"/>
          <w:sz w:val="22"/>
        </w:rPr>
        <w:t> </w:t>
      </w:r>
      <w:r>
        <w:rPr>
          <w:sz w:val="22"/>
        </w:rPr>
        <w:t>Action</w:t>
      </w:r>
      <w:r>
        <w:rPr>
          <w:spacing w:val="-11"/>
          <w:sz w:val="22"/>
        </w:rPr>
        <w:t> </w:t>
      </w:r>
      <w:r>
        <w:rPr>
          <w:sz w:val="22"/>
        </w:rPr>
        <w:t>Plan</w:t>
      </w:r>
      <w:r>
        <w:rPr>
          <w:spacing w:val="-9"/>
          <w:sz w:val="22"/>
        </w:rPr>
        <w:t> </w:t>
      </w:r>
      <w:r>
        <w:rPr>
          <w:sz w:val="22"/>
        </w:rPr>
        <w:t>2021- 2025) in accordance with the Public Health and Wellbeing Act 2008</w:t>
      </w:r>
    </w:p>
    <w:p>
      <w:pPr>
        <w:pStyle w:val="ListParagraph"/>
        <w:numPr>
          <w:ilvl w:val="0"/>
          <w:numId w:val="13"/>
        </w:numPr>
        <w:tabs>
          <w:tab w:pos="960" w:val="left" w:leader="none"/>
        </w:tabs>
        <w:spacing w:line="240" w:lineRule="auto" w:before="0" w:after="0"/>
        <w:ind w:left="958" w:right="400" w:hanging="567"/>
        <w:jc w:val="both"/>
        <w:rPr>
          <w:sz w:val="22"/>
        </w:rPr>
      </w:pPr>
      <w:r>
        <w:rPr>
          <w:sz w:val="22"/>
        </w:rPr>
        <w:t>Work in partnership with a broad range of service providers and community organisations/groups to develop and deliver services and cultural experiences in the Croydon Community Wellbeing Precinct that meet the needs of people of all ages, abilities, and backgrounds.</w:t>
      </w:r>
    </w:p>
    <w:p>
      <w:pPr>
        <w:pStyle w:val="ListParagraph"/>
        <w:numPr>
          <w:ilvl w:val="0"/>
          <w:numId w:val="13"/>
        </w:numPr>
        <w:tabs>
          <w:tab w:pos="960" w:val="left" w:leader="none"/>
        </w:tabs>
        <w:spacing w:line="240" w:lineRule="auto" w:before="0" w:after="0"/>
        <w:ind w:left="958" w:right="402" w:hanging="567"/>
        <w:jc w:val="both"/>
        <w:rPr>
          <w:sz w:val="22"/>
        </w:rPr>
      </w:pPr>
      <w:r>
        <w:rPr>
          <w:sz w:val="22"/>
        </w:rPr>
        <w:t>Work in partnership with the Victorian Government to support the construction of a new hospital in Maroondah to ensure the location and construction maximises community benefit.</w:t>
      </w:r>
    </w:p>
    <w:p>
      <w:pPr>
        <w:pStyle w:val="ListParagraph"/>
        <w:numPr>
          <w:ilvl w:val="0"/>
          <w:numId w:val="13"/>
        </w:numPr>
        <w:tabs>
          <w:tab w:pos="959" w:val="left" w:leader="none"/>
          <w:tab w:pos="960" w:val="left" w:leader="none"/>
        </w:tabs>
        <w:spacing w:line="252" w:lineRule="exact" w:before="0" w:after="0"/>
        <w:ind w:left="959" w:right="0" w:hanging="569"/>
        <w:jc w:val="left"/>
        <w:rPr>
          <w:sz w:val="22"/>
        </w:rPr>
      </w:pPr>
      <w:r>
        <w:rPr>
          <w:sz w:val="22"/>
        </w:rPr>
        <w:t>Design</w:t>
      </w:r>
      <w:r>
        <w:rPr>
          <w:spacing w:val="-5"/>
          <w:sz w:val="22"/>
        </w:rPr>
        <w:t> </w:t>
      </w:r>
      <w:r>
        <w:rPr>
          <w:sz w:val="22"/>
        </w:rPr>
        <w:t>and</w:t>
      </w:r>
      <w:r>
        <w:rPr>
          <w:spacing w:val="-3"/>
          <w:sz w:val="22"/>
        </w:rPr>
        <w:t> </w:t>
      </w:r>
      <w:r>
        <w:rPr>
          <w:sz w:val="22"/>
        </w:rPr>
        <w:t>construct</w:t>
      </w:r>
      <w:r>
        <w:rPr>
          <w:spacing w:val="-2"/>
          <w:sz w:val="22"/>
        </w:rPr>
        <w:t> </w:t>
      </w:r>
      <w:r>
        <w:rPr>
          <w:sz w:val="22"/>
        </w:rPr>
        <w:t>the</w:t>
      </w:r>
      <w:r>
        <w:rPr>
          <w:spacing w:val="-5"/>
          <w:sz w:val="22"/>
        </w:rPr>
        <w:t> </w:t>
      </w:r>
      <w:r>
        <w:rPr>
          <w:sz w:val="22"/>
        </w:rPr>
        <w:t>redevelopment</w:t>
      </w:r>
      <w:r>
        <w:rPr>
          <w:spacing w:val="-2"/>
          <w:sz w:val="22"/>
        </w:rPr>
        <w:t> </w:t>
      </w:r>
      <w:r>
        <w:rPr>
          <w:sz w:val="22"/>
        </w:rPr>
        <w:t>of</w:t>
      </w:r>
      <w:r>
        <w:rPr>
          <w:spacing w:val="-3"/>
          <w:sz w:val="22"/>
        </w:rPr>
        <w:t> </w:t>
      </w:r>
      <w:r>
        <w:rPr>
          <w:sz w:val="22"/>
        </w:rPr>
        <w:t>The</w:t>
      </w:r>
      <w:r>
        <w:rPr>
          <w:spacing w:val="-3"/>
          <w:sz w:val="22"/>
        </w:rPr>
        <w:t> </w:t>
      </w:r>
      <w:r>
        <w:rPr>
          <w:sz w:val="22"/>
        </w:rPr>
        <w:t>Rings</w:t>
      </w:r>
      <w:r>
        <w:rPr>
          <w:spacing w:val="-4"/>
          <w:sz w:val="22"/>
        </w:rPr>
        <w:t> </w:t>
      </w:r>
      <w:r>
        <w:rPr>
          <w:sz w:val="22"/>
        </w:rPr>
        <w:t>(subject</w:t>
      </w:r>
      <w:r>
        <w:rPr>
          <w:spacing w:val="-5"/>
          <w:sz w:val="22"/>
        </w:rPr>
        <w:t> </w:t>
      </w:r>
      <w:r>
        <w:rPr>
          <w:sz w:val="22"/>
        </w:rPr>
        <w:t>to</w:t>
      </w:r>
      <w:r>
        <w:rPr>
          <w:spacing w:val="-7"/>
          <w:sz w:val="22"/>
        </w:rPr>
        <w:t> </w:t>
      </w:r>
      <w:r>
        <w:rPr>
          <w:spacing w:val="-2"/>
          <w:sz w:val="22"/>
        </w:rPr>
        <w:t>funding)</w:t>
      </w:r>
    </w:p>
    <w:p>
      <w:pPr>
        <w:pStyle w:val="ListParagraph"/>
        <w:numPr>
          <w:ilvl w:val="0"/>
          <w:numId w:val="13"/>
        </w:numPr>
        <w:tabs>
          <w:tab w:pos="959" w:val="left" w:leader="none"/>
          <w:tab w:pos="960" w:val="left" w:leader="none"/>
        </w:tabs>
        <w:spacing w:line="252" w:lineRule="exact" w:before="0" w:after="0"/>
        <w:ind w:left="959" w:right="0" w:hanging="569"/>
        <w:jc w:val="left"/>
        <w:rPr>
          <w:sz w:val="22"/>
        </w:rPr>
      </w:pPr>
      <w:r>
        <w:rPr>
          <w:sz w:val="22"/>
        </w:rPr>
        <w:t>Design</w:t>
      </w:r>
      <w:r>
        <w:rPr>
          <w:spacing w:val="-6"/>
          <w:sz w:val="22"/>
        </w:rPr>
        <w:t> </w:t>
      </w:r>
      <w:r>
        <w:rPr>
          <w:sz w:val="22"/>
        </w:rPr>
        <w:t>and</w:t>
      </w:r>
      <w:r>
        <w:rPr>
          <w:spacing w:val="-3"/>
          <w:sz w:val="22"/>
        </w:rPr>
        <w:t> </w:t>
      </w:r>
      <w:r>
        <w:rPr>
          <w:sz w:val="22"/>
        </w:rPr>
        <w:t>construct</w:t>
      </w:r>
      <w:r>
        <w:rPr>
          <w:spacing w:val="-3"/>
          <w:sz w:val="22"/>
        </w:rPr>
        <w:t> </w:t>
      </w:r>
      <w:r>
        <w:rPr>
          <w:sz w:val="22"/>
        </w:rPr>
        <w:t>the</w:t>
      </w:r>
      <w:r>
        <w:rPr>
          <w:spacing w:val="-5"/>
          <w:sz w:val="22"/>
        </w:rPr>
        <w:t> </w:t>
      </w:r>
      <w:r>
        <w:rPr>
          <w:sz w:val="22"/>
        </w:rPr>
        <w:t>Quambee</w:t>
      </w:r>
      <w:r>
        <w:rPr>
          <w:spacing w:val="-4"/>
          <w:sz w:val="22"/>
        </w:rPr>
        <w:t> </w:t>
      </w:r>
      <w:r>
        <w:rPr>
          <w:sz w:val="22"/>
        </w:rPr>
        <w:t>Reserve</w:t>
      </w:r>
      <w:r>
        <w:rPr>
          <w:spacing w:val="-5"/>
          <w:sz w:val="22"/>
        </w:rPr>
        <w:t> </w:t>
      </w:r>
      <w:r>
        <w:rPr>
          <w:sz w:val="22"/>
        </w:rPr>
        <w:t>tennis</w:t>
      </w:r>
      <w:r>
        <w:rPr>
          <w:spacing w:val="-4"/>
          <w:sz w:val="22"/>
        </w:rPr>
        <w:t> </w:t>
      </w:r>
      <w:r>
        <w:rPr>
          <w:spacing w:val="-2"/>
          <w:sz w:val="22"/>
        </w:rPr>
        <w:t>redevelopment.</w:t>
      </w:r>
    </w:p>
    <w:p>
      <w:pPr>
        <w:pStyle w:val="ListParagraph"/>
        <w:numPr>
          <w:ilvl w:val="0"/>
          <w:numId w:val="13"/>
        </w:numPr>
        <w:tabs>
          <w:tab w:pos="959" w:val="left" w:leader="none"/>
          <w:tab w:pos="960" w:val="left" w:leader="none"/>
        </w:tabs>
        <w:spacing w:line="240" w:lineRule="auto" w:before="1" w:after="0"/>
        <w:ind w:left="959" w:right="0" w:hanging="569"/>
        <w:jc w:val="left"/>
        <w:rPr>
          <w:sz w:val="22"/>
        </w:rPr>
      </w:pPr>
      <w:r>
        <w:rPr>
          <w:sz w:val="22"/>
        </w:rPr>
        <w:t>Develop</w:t>
      </w:r>
      <w:r>
        <w:rPr>
          <w:spacing w:val="-5"/>
          <w:sz w:val="22"/>
        </w:rPr>
        <w:t> </w:t>
      </w:r>
      <w:r>
        <w:rPr>
          <w:sz w:val="22"/>
        </w:rPr>
        <w:t>a</w:t>
      </w:r>
      <w:r>
        <w:rPr>
          <w:spacing w:val="-5"/>
          <w:sz w:val="22"/>
        </w:rPr>
        <w:t> </w:t>
      </w:r>
      <w:r>
        <w:rPr>
          <w:sz w:val="22"/>
        </w:rPr>
        <w:t>Fair</w:t>
      </w:r>
      <w:r>
        <w:rPr>
          <w:spacing w:val="-4"/>
          <w:sz w:val="22"/>
        </w:rPr>
        <w:t> </w:t>
      </w:r>
      <w:r>
        <w:rPr>
          <w:sz w:val="22"/>
        </w:rPr>
        <w:t>Access</w:t>
      </w:r>
      <w:r>
        <w:rPr>
          <w:spacing w:val="-2"/>
          <w:sz w:val="22"/>
        </w:rPr>
        <w:t> </w:t>
      </w:r>
      <w:r>
        <w:rPr>
          <w:sz w:val="22"/>
        </w:rPr>
        <w:t>Policy</w:t>
      </w:r>
      <w:r>
        <w:rPr>
          <w:spacing w:val="-1"/>
          <w:sz w:val="22"/>
        </w:rPr>
        <w:t> </w:t>
      </w:r>
      <w:r>
        <w:rPr>
          <w:sz w:val="22"/>
        </w:rPr>
        <w:t>to</w:t>
      </w:r>
      <w:r>
        <w:rPr>
          <w:spacing w:val="-4"/>
          <w:sz w:val="22"/>
        </w:rPr>
        <w:t> </w:t>
      </w:r>
      <w:r>
        <w:rPr>
          <w:sz w:val="22"/>
        </w:rPr>
        <w:t>support</w:t>
      </w:r>
      <w:r>
        <w:rPr>
          <w:spacing w:val="-2"/>
          <w:sz w:val="22"/>
        </w:rPr>
        <w:t> </w:t>
      </w:r>
      <w:r>
        <w:rPr>
          <w:sz w:val="22"/>
        </w:rPr>
        <w:t>the</w:t>
      </w:r>
      <w:r>
        <w:rPr>
          <w:spacing w:val="-4"/>
          <w:sz w:val="22"/>
        </w:rPr>
        <w:t> </w:t>
      </w:r>
      <w:r>
        <w:rPr>
          <w:sz w:val="22"/>
        </w:rPr>
        <w:t>gender</w:t>
      </w:r>
      <w:r>
        <w:rPr>
          <w:spacing w:val="-3"/>
          <w:sz w:val="22"/>
        </w:rPr>
        <w:t> </w:t>
      </w:r>
      <w:r>
        <w:rPr>
          <w:sz w:val="22"/>
        </w:rPr>
        <w:t>equitable</w:t>
      </w:r>
      <w:r>
        <w:rPr>
          <w:spacing w:val="-5"/>
          <w:sz w:val="22"/>
        </w:rPr>
        <w:t> </w:t>
      </w:r>
      <w:r>
        <w:rPr>
          <w:sz w:val="22"/>
        </w:rPr>
        <w:t>distribution</w:t>
      </w:r>
      <w:r>
        <w:rPr>
          <w:spacing w:val="-7"/>
          <w:sz w:val="22"/>
        </w:rPr>
        <w:t> </w:t>
      </w:r>
      <w:r>
        <w:rPr>
          <w:sz w:val="22"/>
        </w:rPr>
        <w:t>of</w:t>
      </w:r>
      <w:r>
        <w:rPr>
          <w:spacing w:val="-2"/>
          <w:sz w:val="22"/>
        </w:rPr>
        <w:t> </w:t>
      </w:r>
      <w:r>
        <w:rPr>
          <w:sz w:val="22"/>
        </w:rPr>
        <w:t>sporting</w:t>
      </w:r>
      <w:r>
        <w:rPr>
          <w:spacing w:val="-2"/>
          <w:sz w:val="22"/>
        </w:rPr>
        <w:t> infrastructure.</w:t>
      </w:r>
    </w:p>
    <w:p>
      <w:pPr>
        <w:spacing w:after="0" w:line="240" w:lineRule="auto"/>
        <w:jc w:val="left"/>
        <w:rPr>
          <w:sz w:val="22"/>
        </w:rPr>
        <w:sectPr>
          <w:pgSz w:w="11910" w:h="16840"/>
          <w:pgMar w:header="0" w:footer="426" w:top="380" w:bottom="620" w:left="460" w:right="160"/>
        </w:sectPr>
      </w:pPr>
    </w:p>
    <w:p>
      <w:pPr>
        <w:spacing w:before="69"/>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spacing w:before="9"/>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01"/>
        <w:gridCol w:w="1593"/>
        <w:gridCol w:w="3972"/>
        <w:gridCol w:w="3412"/>
      </w:tblGrid>
      <w:tr>
        <w:trPr>
          <w:trHeight w:val="510" w:hRule="atLeast"/>
        </w:trPr>
        <w:tc>
          <w:tcPr>
            <w:tcW w:w="1501" w:type="dxa"/>
            <w:tcBorders>
              <w:right w:val="nil"/>
            </w:tcBorders>
            <w:shd w:val="clear" w:color="auto" w:fill="629CD1"/>
          </w:tcPr>
          <w:p>
            <w:pPr>
              <w:pStyle w:val="TableParagraph"/>
              <w:spacing w:before="141"/>
              <w:ind w:left="107"/>
              <w:rPr>
                <w:b/>
                <w:sz w:val="20"/>
              </w:rPr>
            </w:pPr>
            <w:r>
              <w:rPr>
                <w:b/>
                <w:spacing w:val="-2"/>
                <w:sz w:val="20"/>
              </w:rPr>
              <w:t>Service</w:t>
            </w:r>
          </w:p>
        </w:tc>
        <w:tc>
          <w:tcPr>
            <w:tcW w:w="1593" w:type="dxa"/>
            <w:tcBorders>
              <w:left w:val="nil"/>
              <w:right w:val="nil"/>
            </w:tcBorders>
            <w:shd w:val="clear" w:color="auto" w:fill="629CD1"/>
          </w:tcPr>
          <w:p>
            <w:pPr>
              <w:pStyle w:val="TableParagraph"/>
              <w:spacing w:before="141"/>
              <w:ind w:left="111"/>
              <w:rPr>
                <w:b/>
                <w:sz w:val="20"/>
              </w:rPr>
            </w:pPr>
            <w:r>
              <w:rPr>
                <w:b/>
                <w:spacing w:val="-2"/>
                <w:sz w:val="20"/>
              </w:rPr>
              <w:t>Indicator</w:t>
            </w:r>
          </w:p>
        </w:tc>
        <w:tc>
          <w:tcPr>
            <w:tcW w:w="3972" w:type="dxa"/>
            <w:tcBorders>
              <w:left w:val="nil"/>
              <w:right w:val="nil"/>
            </w:tcBorders>
            <w:shd w:val="clear" w:color="auto" w:fill="629CD1"/>
          </w:tcPr>
          <w:p>
            <w:pPr>
              <w:pStyle w:val="TableParagraph"/>
              <w:spacing w:before="141"/>
              <w:ind w:left="112"/>
              <w:rPr>
                <w:b/>
                <w:sz w:val="20"/>
              </w:rPr>
            </w:pPr>
            <w:r>
              <w:rPr>
                <w:b/>
                <w:w w:val="95"/>
                <w:sz w:val="20"/>
              </w:rPr>
              <w:t>Performance</w:t>
            </w:r>
            <w:r>
              <w:rPr>
                <w:b/>
                <w:spacing w:val="47"/>
                <w:sz w:val="20"/>
              </w:rPr>
              <w:t> </w:t>
            </w:r>
            <w:r>
              <w:rPr>
                <w:b/>
                <w:spacing w:val="-2"/>
                <w:sz w:val="20"/>
              </w:rPr>
              <w:t>Measure</w:t>
            </w:r>
          </w:p>
        </w:tc>
        <w:tc>
          <w:tcPr>
            <w:tcW w:w="3412" w:type="dxa"/>
            <w:tcBorders>
              <w:left w:val="nil"/>
            </w:tcBorders>
            <w:shd w:val="clear" w:color="auto" w:fill="629CD1"/>
          </w:tcPr>
          <w:p>
            <w:pPr>
              <w:pStyle w:val="TableParagraph"/>
              <w:spacing w:before="141"/>
              <w:ind w:left="107"/>
              <w:rPr>
                <w:b/>
                <w:sz w:val="20"/>
              </w:rPr>
            </w:pPr>
            <w:r>
              <w:rPr>
                <w:b/>
                <w:spacing w:val="-2"/>
                <w:sz w:val="20"/>
              </w:rPr>
              <w:t>Computation</w:t>
            </w:r>
          </w:p>
        </w:tc>
      </w:tr>
      <w:tr>
        <w:trPr>
          <w:trHeight w:val="757" w:hRule="atLeast"/>
        </w:trPr>
        <w:tc>
          <w:tcPr>
            <w:tcW w:w="1501" w:type="dxa"/>
            <w:tcBorders>
              <w:right w:val="nil"/>
            </w:tcBorders>
          </w:tcPr>
          <w:p>
            <w:pPr>
              <w:pStyle w:val="TableParagraph"/>
              <w:ind w:left="107"/>
              <w:rPr>
                <w:sz w:val="22"/>
              </w:rPr>
            </w:pPr>
            <w:r>
              <w:rPr>
                <w:spacing w:val="-2"/>
                <w:sz w:val="22"/>
              </w:rPr>
              <w:t>Aquatic Facilities</w:t>
            </w:r>
          </w:p>
        </w:tc>
        <w:tc>
          <w:tcPr>
            <w:tcW w:w="1593" w:type="dxa"/>
            <w:tcBorders>
              <w:left w:val="nil"/>
              <w:right w:val="nil"/>
            </w:tcBorders>
          </w:tcPr>
          <w:p>
            <w:pPr>
              <w:pStyle w:val="TableParagraph"/>
              <w:ind w:left="111"/>
              <w:rPr>
                <w:sz w:val="22"/>
              </w:rPr>
            </w:pPr>
            <w:r>
              <w:rPr>
                <w:spacing w:val="-2"/>
                <w:sz w:val="22"/>
              </w:rPr>
              <w:t>Utilisation</w:t>
            </w:r>
          </w:p>
        </w:tc>
        <w:tc>
          <w:tcPr>
            <w:tcW w:w="3972" w:type="dxa"/>
            <w:tcBorders>
              <w:left w:val="nil"/>
              <w:right w:val="nil"/>
            </w:tcBorders>
          </w:tcPr>
          <w:p>
            <w:pPr>
              <w:pStyle w:val="TableParagraph"/>
              <w:tabs>
                <w:tab w:pos="1421" w:val="left" w:leader="none"/>
                <w:tab w:pos="1961" w:val="left" w:leader="none"/>
                <w:tab w:pos="3026" w:val="left" w:leader="none"/>
              </w:tabs>
              <w:ind w:left="112"/>
              <w:rPr>
                <w:sz w:val="22"/>
              </w:rPr>
            </w:pPr>
            <w:r>
              <w:rPr>
                <w:spacing w:val="-2"/>
                <w:sz w:val="22"/>
              </w:rPr>
              <w:t>Utilisation</w:t>
            </w:r>
            <w:r>
              <w:rPr>
                <w:sz w:val="22"/>
              </w:rPr>
              <w:tab/>
            </w:r>
            <w:r>
              <w:rPr>
                <w:spacing w:val="-5"/>
                <w:sz w:val="22"/>
              </w:rPr>
              <w:t>of</w:t>
            </w:r>
            <w:r>
              <w:rPr>
                <w:sz w:val="22"/>
              </w:rPr>
              <w:tab/>
            </w:r>
            <w:r>
              <w:rPr>
                <w:spacing w:val="-2"/>
                <w:sz w:val="22"/>
              </w:rPr>
              <w:t>aquatic</w:t>
            </w:r>
            <w:r>
              <w:rPr>
                <w:sz w:val="22"/>
              </w:rPr>
              <w:tab/>
            </w:r>
            <w:r>
              <w:rPr>
                <w:spacing w:val="-2"/>
                <w:sz w:val="22"/>
              </w:rPr>
              <w:t>facilities.</w:t>
            </w:r>
          </w:p>
          <w:p>
            <w:pPr>
              <w:pStyle w:val="TableParagraph"/>
              <w:spacing w:line="252" w:lineRule="exact"/>
              <w:ind w:left="112"/>
              <w:rPr>
                <w:sz w:val="22"/>
              </w:rPr>
            </w:pPr>
            <w:r>
              <w:rPr>
                <w:sz w:val="22"/>
              </w:rPr>
              <w:t>(Number</w:t>
            </w:r>
            <w:r>
              <w:rPr>
                <w:spacing w:val="40"/>
                <w:sz w:val="22"/>
              </w:rPr>
              <w:t> </w:t>
            </w:r>
            <w:r>
              <w:rPr>
                <w:sz w:val="22"/>
              </w:rPr>
              <w:t>of</w:t>
            </w:r>
            <w:r>
              <w:rPr>
                <w:spacing w:val="40"/>
                <w:sz w:val="22"/>
              </w:rPr>
              <w:t> </w:t>
            </w:r>
            <w:r>
              <w:rPr>
                <w:sz w:val="22"/>
              </w:rPr>
              <w:t>visits</w:t>
            </w:r>
            <w:r>
              <w:rPr>
                <w:spacing w:val="38"/>
                <w:sz w:val="22"/>
              </w:rPr>
              <w:t> </w:t>
            </w:r>
            <w:r>
              <w:rPr>
                <w:sz w:val="22"/>
              </w:rPr>
              <w:t>to</w:t>
            </w:r>
            <w:r>
              <w:rPr>
                <w:spacing w:val="40"/>
                <w:sz w:val="22"/>
              </w:rPr>
              <w:t> </w:t>
            </w:r>
            <w:r>
              <w:rPr>
                <w:sz w:val="22"/>
              </w:rPr>
              <w:t>aquatic</w:t>
            </w:r>
            <w:r>
              <w:rPr>
                <w:spacing w:val="40"/>
                <w:sz w:val="22"/>
              </w:rPr>
              <w:t> </w:t>
            </w:r>
            <w:r>
              <w:rPr>
                <w:sz w:val="22"/>
              </w:rPr>
              <w:t>facilities per head of population)</w:t>
            </w:r>
          </w:p>
        </w:tc>
        <w:tc>
          <w:tcPr>
            <w:tcW w:w="3412" w:type="dxa"/>
            <w:tcBorders>
              <w:left w:val="nil"/>
            </w:tcBorders>
          </w:tcPr>
          <w:p>
            <w:pPr>
              <w:pStyle w:val="TableParagraph"/>
              <w:ind w:left="107"/>
              <w:rPr>
                <w:sz w:val="22"/>
              </w:rPr>
            </w:pPr>
            <w:r>
              <w:rPr>
                <w:sz w:val="22"/>
              </w:rPr>
              <w:t>Number</w:t>
            </w:r>
            <w:r>
              <w:rPr>
                <w:spacing w:val="-8"/>
                <w:sz w:val="22"/>
              </w:rPr>
              <w:t> </w:t>
            </w:r>
            <w:r>
              <w:rPr>
                <w:sz w:val="22"/>
              </w:rPr>
              <w:t>of</w:t>
            </w:r>
            <w:r>
              <w:rPr>
                <w:spacing w:val="-9"/>
                <w:sz w:val="22"/>
              </w:rPr>
              <w:t> </w:t>
            </w:r>
            <w:r>
              <w:rPr>
                <w:sz w:val="22"/>
              </w:rPr>
              <w:t>visits</w:t>
            </w:r>
            <w:r>
              <w:rPr>
                <w:spacing w:val="-11"/>
                <w:sz w:val="22"/>
              </w:rPr>
              <w:t> </w:t>
            </w:r>
            <w:r>
              <w:rPr>
                <w:sz w:val="22"/>
              </w:rPr>
              <w:t>to</w:t>
            </w:r>
            <w:r>
              <w:rPr>
                <w:spacing w:val="-7"/>
                <w:sz w:val="22"/>
              </w:rPr>
              <w:t> </w:t>
            </w:r>
            <w:r>
              <w:rPr>
                <w:sz w:val="22"/>
              </w:rPr>
              <w:t>aquatic facilities / Population</w:t>
            </w:r>
          </w:p>
        </w:tc>
      </w:tr>
      <w:tr>
        <w:trPr>
          <w:trHeight w:val="1012" w:hRule="atLeast"/>
        </w:trPr>
        <w:tc>
          <w:tcPr>
            <w:tcW w:w="1501" w:type="dxa"/>
            <w:tcBorders>
              <w:right w:val="nil"/>
            </w:tcBorders>
          </w:tcPr>
          <w:p>
            <w:pPr>
              <w:pStyle w:val="TableParagraph"/>
              <w:spacing w:before="2"/>
              <w:ind w:left="107"/>
              <w:rPr>
                <w:sz w:val="22"/>
              </w:rPr>
            </w:pPr>
            <w:r>
              <w:rPr>
                <w:spacing w:val="-2"/>
                <w:sz w:val="22"/>
              </w:rPr>
              <w:t>Animal Management</w:t>
            </w:r>
          </w:p>
        </w:tc>
        <w:tc>
          <w:tcPr>
            <w:tcW w:w="1593" w:type="dxa"/>
            <w:tcBorders>
              <w:left w:val="nil"/>
              <w:right w:val="nil"/>
            </w:tcBorders>
          </w:tcPr>
          <w:p>
            <w:pPr>
              <w:pStyle w:val="TableParagraph"/>
              <w:tabs>
                <w:tab w:pos="1124" w:val="left" w:leader="none"/>
              </w:tabs>
              <w:spacing w:before="2"/>
              <w:ind w:left="111" w:right="99"/>
              <w:rPr>
                <w:sz w:val="22"/>
              </w:rPr>
            </w:pPr>
            <w:r>
              <w:rPr>
                <w:spacing w:val="-2"/>
                <w:sz w:val="22"/>
              </w:rPr>
              <w:t>Health</w:t>
            </w:r>
            <w:r>
              <w:rPr>
                <w:sz w:val="22"/>
              </w:rPr>
              <w:tab/>
            </w:r>
            <w:r>
              <w:rPr>
                <w:spacing w:val="-4"/>
                <w:sz w:val="22"/>
              </w:rPr>
              <w:t>and </w:t>
            </w:r>
            <w:r>
              <w:rPr>
                <w:spacing w:val="-2"/>
                <w:sz w:val="22"/>
              </w:rPr>
              <w:t>safety</w:t>
            </w:r>
          </w:p>
        </w:tc>
        <w:tc>
          <w:tcPr>
            <w:tcW w:w="3972" w:type="dxa"/>
            <w:tcBorders>
              <w:left w:val="nil"/>
              <w:right w:val="nil"/>
            </w:tcBorders>
          </w:tcPr>
          <w:p>
            <w:pPr>
              <w:pStyle w:val="TableParagraph"/>
              <w:spacing w:before="2"/>
              <w:ind w:left="112" w:right="100"/>
              <w:jc w:val="both"/>
              <w:rPr>
                <w:sz w:val="22"/>
              </w:rPr>
            </w:pPr>
            <w:r>
              <w:rPr>
                <w:sz w:val="22"/>
              </w:rPr>
              <w:t>Animal management prosecutions. (Percentage of animal management prosecutions which are successful)</w:t>
            </w:r>
          </w:p>
        </w:tc>
        <w:tc>
          <w:tcPr>
            <w:tcW w:w="3412" w:type="dxa"/>
            <w:tcBorders>
              <w:left w:val="nil"/>
            </w:tcBorders>
          </w:tcPr>
          <w:p>
            <w:pPr>
              <w:pStyle w:val="TableParagraph"/>
              <w:spacing w:before="2"/>
              <w:ind w:left="107" w:right="92"/>
              <w:jc w:val="both"/>
              <w:rPr>
                <w:sz w:val="22"/>
              </w:rPr>
            </w:pPr>
            <w:r>
              <w:rPr>
                <w:sz w:val="22"/>
              </w:rPr>
              <w:t>Number of successful animal management prosecutions / Total</w:t>
            </w:r>
            <w:r>
              <w:rPr>
                <w:spacing w:val="63"/>
                <w:sz w:val="22"/>
              </w:rPr>
              <w:t>   </w:t>
            </w:r>
            <w:r>
              <w:rPr>
                <w:sz w:val="22"/>
              </w:rPr>
              <w:t>number</w:t>
            </w:r>
            <w:r>
              <w:rPr>
                <w:spacing w:val="63"/>
                <w:sz w:val="22"/>
              </w:rPr>
              <w:t>   </w:t>
            </w:r>
            <w:r>
              <w:rPr>
                <w:sz w:val="22"/>
              </w:rPr>
              <w:t>of</w:t>
            </w:r>
            <w:r>
              <w:rPr>
                <w:spacing w:val="63"/>
                <w:sz w:val="22"/>
              </w:rPr>
              <w:t>   </w:t>
            </w:r>
            <w:r>
              <w:rPr>
                <w:spacing w:val="-2"/>
                <w:sz w:val="22"/>
              </w:rPr>
              <w:t>animal</w:t>
            </w:r>
          </w:p>
          <w:p>
            <w:pPr>
              <w:pStyle w:val="TableParagraph"/>
              <w:spacing w:line="231" w:lineRule="exact"/>
              <w:ind w:left="107"/>
              <w:jc w:val="both"/>
              <w:rPr>
                <w:sz w:val="22"/>
              </w:rPr>
            </w:pPr>
            <w:r>
              <w:rPr>
                <w:sz w:val="22"/>
              </w:rPr>
              <w:t>management</w:t>
            </w:r>
            <w:r>
              <w:rPr>
                <w:spacing w:val="-6"/>
                <w:sz w:val="22"/>
              </w:rPr>
              <w:t> </w:t>
            </w:r>
            <w:r>
              <w:rPr>
                <w:spacing w:val="-2"/>
                <w:sz w:val="22"/>
              </w:rPr>
              <w:t>prosecutions</w:t>
            </w:r>
          </w:p>
        </w:tc>
      </w:tr>
      <w:tr>
        <w:trPr>
          <w:trHeight w:val="2783" w:hRule="atLeast"/>
        </w:trPr>
        <w:tc>
          <w:tcPr>
            <w:tcW w:w="1501" w:type="dxa"/>
            <w:tcBorders>
              <w:right w:val="nil"/>
            </w:tcBorders>
          </w:tcPr>
          <w:p>
            <w:pPr>
              <w:pStyle w:val="TableParagraph"/>
              <w:ind w:left="107"/>
              <w:rPr>
                <w:sz w:val="22"/>
              </w:rPr>
            </w:pPr>
            <w:r>
              <w:rPr>
                <w:sz w:val="22"/>
              </w:rPr>
              <w:t>Food</w:t>
            </w:r>
            <w:r>
              <w:rPr>
                <w:spacing w:val="-3"/>
                <w:sz w:val="22"/>
              </w:rPr>
              <w:t> </w:t>
            </w:r>
            <w:r>
              <w:rPr>
                <w:spacing w:val="-2"/>
                <w:sz w:val="22"/>
              </w:rPr>
              <w:t>Safety</w:t>
            </w:r>
          </w:p>
        </w:tc>
        <w:tc>
          <w:tcPr>
            <w:tcW w:w="1593" w:type="dxa"/>
            <w:tcBorders>
              <w:left w:val="nil"/>
              <w:right w:val="nil"/>
            </w:tcBorders>
          </w:tcPr>
          <w:p>
            <w:pPr>
              <w:pStyle w:val="TableParagraph"/>
              <w:ind w:left="111" w:right="838"/>
              <w:rPr>
                <w:sz w:val="22"/>
              </w:rPr>
            </w:pPr>
            <w:r>
              <w:rPr>
                <w:spacing w:val="-2"/>
                <w:sz w:val="22"/>
              </w:rPr>
              <w:t>Health </w:t>
            </w:r>
            <w:r>
              <w:rPr>
                <w:spacing w:val="-4"/>
                <w:sz w:val="22"/>
              </w:rPr>
              <w:t>And </w:t>
            </w:r>
            <w:r>
              <w:rPr>
                <w:spacing w:val="-2"/>
                <w:sz w:val="22"/>
              </w:rPr>
              <w:t>Safety</w:t>
            </w:r>
          </w:p>
        </w:tc>
        <w:tc>
          <w:tcPr>
            <w:tcW w:w="3972" w:type="dxa"/>
            <w:tcBorders>
              <w:left w:val="nil"/>
              <w:right w:val="nil"/>
            </w:tcBorders>
          </w:tcPr>
          <w:p>
            <w:pPr>
              <w:pStyle w:val="TableParagraph"/>
              <w:ind w:left="112"/>
              <w:rPr>
                <w:sz w:val="22"/>
              </w:rPr>
            </w:pPr>
            <w:r>
              <w:rPr>
                <w:sz w:val="22"/>
              </w:rPr>
              <w:t>Critical and major non-compliance outcome notifications.</w:t>
            </w:r>
            <w:r>
              <w:rPr>
                <w:spacing w:val="40"/>
                <w:sz w:val="22"/>
              </w:rPr>
              <w:t> </w:t>
            </w:r>
            <w:r>
              <w:rPr>
                <w:sz w:val="22"/>
              </w:rPr>
              <w:t>(Percentage of critical and major non-compliance outcome</w:t>
            </w:r>
            <w:r>
              <w:rPr>
                <w:spacing w:val="-11"/>
                <w:sz w:val="22"/>
              </w:rPr>
              <w:t> </w:t>
            </w:r>
            <w:r>
              <w:rPr>
                <w:sz w:val="22"/>
              </w:rPr>
              <w:t>notifications</w:t>
            </w:r>
            <w:r>
              <w:rPr>
                <w:spacing w:val="-10"/>
                <w:sz w:val="22"/>
              </w:rPr>
              <w:t> </w:t>
            </w:r>
            <w:r>
              <w:rPr>
                <w:sz w:val="22"/>
              </w:rPr>
              <w:t>that</w:t>
            </w:r>
            <w:r>
              <w:rPr>
                <w:spacing w:val="-8"/>
                <w:sz w:val="22"/>
              </w:rPr>
              <w:t> </w:t>
            </w:r>
            <w:r>
              <w:rPr>
                <w:sz w:val="22"/>
              </w:rPr>
              <w:t>are</w:t>
            </w:r>
            <w:r>
              <w:rPr>
                <w:spacing w:val="-10"/>
                <w:sz w:val="22"/>
              </w:rPr>
              <w:t> </w:t>
            </w:r>
            <w:r>
              <w:rPr>
                <w:sz w:val="22"/>
              </w:rPr>
              <w:t>followed up by Council)</w:t>
            </w:r>
          </w:p>
        </w:tc>
        <w:tc>
          <w:tcPr>
            <w:tcW w:w="3412" w:type="dxa"/>
            <w:tcBorders>
              <w:left w:val="nil"/>
            </w:tcBorders>
          </w:tcPr>
          <w:p>
            <w:pPr>
              <w:pStyle w:val="TableParagraph"/>
              <w:ind w:left="107" w:right="183"/>
              <w:rPr>
                <w:sz w:val="22"/>
              </w:rPr>
            </w:pPr>
            <w:r>
              <w:rPr>
                <w:sz w:val="22"/>
              </w:rPr>
              <w:t>[Number of critical non- compliance outcome notifications and major non- compliance outcome notifications about a food premises followed up / Number of critical non-compliance outcome</w:t>
            </w:r>
            <w:r>
              <w:rPr>
                <w:spacing w:val="-13"/>
                <w:sz w:val="22"/>
              </w:rPr>
              <w:t> </w:t>
            </w:r>
            <w:r>
              <w:rPr>
                <w:sz w:val="22"/>
              </w:rPr>
              <w:t>notifications</w:t>
            </w:r>
            <w:r>
              <w:rPr>
                <w:spacing w:val="-8"/>
                <w:sz w:val="22"/>
              </w:rPr>
              <w:t> </w:t>
            </w:r>
            <w:r>
              <w:rPr>
                <w:sz w:val="22"/>
              </w:rPr>
              <w:t>and</w:t>
            </w:r>
            <w:r>
              <w:rPr>
                <w:spacing w:val="-10"/>
                <w:sz w:val="22"/>
              </w:rPr>
              <w:t> </w:t>
            </w:r>
            <w:r>
              <w:rPr>
                <w:sz w:val="22"/>
              </w:rPr>
              <w:t>major non-compliance outcome</w:t>
            </w:r>
          </w:p>
          <w:p>
            <w:pPr>
              <w:pStyle w:val="TableParagraph"/>
              <w:spacing w:line="252" w:lineRule="exact"/>
              <w:ind w:left="107" w:right="183"/>
              <w:rPr>
                <w:sz w:val="22"/>
              </w:rPr>
            </w:pPr>
            <w:r>
              <w:rPr>
                <w:sz w:val="22"/>
              </w:rPr>
              <w:t>notifications</w:t>
            </w:r>
            <w:r>
              <w:rPr>
                <w:spacing w:val="-15"/>
                <w:sz w:val="22"/>
              </w:rPr>
              <w:t> </w:t>
            </w:r>
            <w:r>
              <w:rPr>
                <w:sz w:val="22"/>
              </w:rPr>
              <w:t>about</w:t>
            </w:r>
            <w:r>
              <w:rPr>
                <w:spacing w:val="-15"/>
                <w:sz w:val="22"/>
              </w:rPr>
              <w:t> </w:t>
            </w:r>
            <w:r>
              <w:rPr>
                <w:sz w:val="22"/>
              </w:rPr>
              <w:t>food premises] x100</w:t>
            </w:r>
          </w:p>
        </w:tc>
      </w:tr>
      <w:tr>
        <w:trPr>
          <w:trHeight w:val="1264" w:hRule="atLeast"/>
        </w:trPr>
        <w:tc>
          <w:tcPr>
            <w:tcW w:w="1501" w:type="dxa"/>
            <w:tcBorders>
              <w:right w:val="nil"/>
            </w:tcBorders>
          </w:tcPr>
          <w:p>
            <w:pPr>
              <w:pStyle w:val="TableParagraph"/>
              <w:ind w:left="107"/>
              <w:rPr>
                <w:sz w:val="22"/>
              </w:rPr>
            </w:pPr>
            <w:r>
              <w:rPr>
                <w:sz w:val="22"/>
              </w:rPr>
              <w:t>Maternal</w:t>
            </w:r>
            <w:r>
              <w:rPr>
                <w:spacing w:val="-16"/>
                <w:sz w:val="22"/>
              </w:rPr>
              <w:t> </w:t>
            </w:r>
            <w:r>
              <w:rPr>
                <w:sz w:val="22"/>
              </w:rPr>
              <w:t>and Child Health</w:t>
            </w:r>
          </w:p>
        </w:tc>
        <w:tc>
          <w:tcPr>
            <w:tcW w:w="1593" w:type="dxa"/>
            <w:tcBorders>
              <w:left w:val="nil"/>
              <w:right w:val="nil"/>
            </w:tcBorders>
          </w:tcPr>
          <w:p>
            <w:pPr>
              <w:pStyle w:val="TableParagraph"/>
              <w:ind w:left="111"/>
              <w:rPr>
                <w:sz w:val="22"/>
              </w:rPr>
            </w:pPr>
            <w:r>
              <w:rPr>
                <w:spacing w:val="-2"/>
                <w:sz w:val="22"/>
              </w:rPr>
              <w:t>Participation</w:t>
            </w:r>
          </w:p>
        </w:tc>
        <w:tc>
          <w:tcPr>
            <w:tcW w:w="3972" w:type="dxa"/>
            <w:tcBorders>
              <w:left w:val="nil"/>
              <w:right w:val="nil"/>
            </w:tcBorders>
          </w:tcPr>
          <w:p>
            <w:pPr>
              <w:pStyle w:val="TableParagraph"/>
              <w:ind w:left="112" w:hanging="2"/>
              <w:rPr>
                <w:sz w:val="22"/>
              </w:rPr>
            </w:pPr>
            <w:r>
              <w:rPr>
                <w:sz w:val="22"/>
              </w:rPr>
              <w:t>Participation in the MCH service. (Percentage</w:t>
            </w:r>
            <w:r>
              <w:rPr>
                <w:spacing w:val="-10"/>
                <w:sz w:val="22"/>
              </w:rPr>
              <w:t> </w:t>
            </w:r>
            <w:r>
              <w:rPr>
                <w:sz w:val="22"/>
              </w:rPr>
              <w:t>of</w:t>
            </w:r>
            <w:r>
              <w:rPr>
                <w:spacing w:val="-8"/>
                <w:sz w:val="22"/>
              </w:rPr>
              <w:t> </w:t>
            </w:r>
            <w:r>
              <w:rPr>
                <w:sz w:val="22"/>
              </w:rPr>
              <w:t>children</w:t>
            </w:r>
            <w:r>
              <w:rPr>
                <w:spacing w:val="-12"/>
                <w:sz w:val="22"/>
              </w:rPr>
              <w:t> </w:t>
            </w:r>
            <w:r>
              <w:rPr>
                <w:sz w:val="22"/>
              </w:rPr>
              <w:t>enrolled</w:t>
            </w:r>
            <w:r>
              <w:rPr>
                <w:spacing w:val="-9"/>
                <w:sz w:val="22"/>
              </w:rPr>
              <w:t> </w:t>
            </w:r>
            <w:r>
              <w:rPr>
                <w:sz w:val="22"/>
              </w:rPr>
              <w:t>who participate in the MCH service)</w:t>
            </w:r>
          </w:p>
        </w:tc>
        <w:tc>
          <w:tcPr>
            <w:tcW w:w="3412" w:type="dxa"/>
            <w:tcBorders>
              <w:left w:val="nil"/>
            </w:tcBorders>
          </w:tcPr>
          <w:p>
            <w:pPr>
              <w:pStyle w:val="TableParagraph"/>
              <w:ind w:left="107" w:right="183"/>
              <w:rPr>
                <w:sz w:val="22"/>
              </w:rPr>
            </w:pPr>
            <w:r>
              <w:rPr>
                <w:sz w:val="22"/>
              </w:rPr>
              <w:t>[Number</w:t>
            </w:r>
            <w:r>
              <w:rPr>
                <w:spacing w:val="-7"/>
                <w:sz w:val="22"/>
              </w:rPr>
              <w:t> </w:t>
            </w:r>
            <w:r>
              <w:rPr>
                <w:sz w:val="22"/>
              </w:rPr>
              <w:t>of</w:t>
            </w:r>
            <w:r>
              <w:rPr>
                <w:spacing w:val="-7"/>
                <w:sz w:val="22"/>
              </w:rPr>
              <w:t> </w:t>
            </w:r>
            <w:r>
              <w:rPr>
                <w:sz w:val="22"/>
              </w:rPr>
              <w:t>children</w:t>
            </w:r>
            <w:r>
              <w:rPr>
                <w:spacing w:val="-8"/>
                <w:sz w:val="22"/>
              </w:rPr>
              <w:t> </w:t>
            </w:r>
            <w:r>
              <w:rPr>
                <w:sz w:val="22"/>
              </w:rPr>
              <w:t>who</w:t>
            </w:r>
            <w:r>
              <w:rPr>
                <w:spacing w:val="-9"/>
                <w:sz w:val="22"/>
              </w:rPr>
              <w:t> </w:t>
            </w:r>
            <w:r>
              <w:rPr>
                <w:sz w:val="22"/>
              </w:rPr>
              <w:t>attend the MCH service at least once (in the financial year) / Number of</w:t>
            </w:r>
            <w:r>
              <w:rPr>
                <w:spacing w:val="-4"/>
                <w:sz w:val="22"/>
              </w:rPr>
              <w:t> </w:t>
            </w:r>
            <w:r>
              <w:rPr>
                <w:sz w:val="22"/>
              </w:rPr>
              <w:t>children</w:t>
            </w:r>
            <w:r>
              <w:rPr>
                <w:spacing w:val="-5"/>
                <w:sz w:val="22"/>
              </w:rPr>
              <w:t> </w:t>
            </w:r>
            <w:r>
              <w:rPr>
                <w:sz w:val="22"/>
              </w:rPr>
              <w:t>enrolled</w:t>
            </w:r>
            <w:r>
              <w:rPr>
                <w:spacing w:val="-2"/>
                <w:sz w:val="22"/>
              </w:rPr>
              <w:t> </w:t>
            </w:r>
            <w:r>
              <w:rPr>
                <w:sz w:val="22"/>
              </w:rPr>
              <w:t>in</w:t>
            </w:r>
            <w:r>
              <w:rPr>
                <w:spacing w:val="-5"/>
                <w:sz w:val="22"/>
              </w:rPr>
              <w:t> </w:t>
            </w:r>
            <w:r>
              <w:rPr>
                <w:sz w:val="22"/>
              </w:rPr>
              <w:t>the</w:t>
            </w:r>
            <w:r>
              <w:rPr>
                <w:spacing w:val="-2"/>
                <w:sz w:val="22"/>
              </w:rPr>
              <w:t> </w:t>
            </w:r>
            <w:r>
              <w:rPr>
                <w:spacing w:val="-5"/>
                <w:sz w:val="22"/>
              </w:rPr>
              <w:t>MCH</w:t>
            </w:r>
          </w:p>
          <w:p>
            <w:pPr>
              <w:pStyle w:val="TableParagraph"/>
              <w:spacing w:line="232" w:lineRule="exact"/>
              <w:ind w:left="107"/>
              <w:rPr>
                <w:sz w:val="22"/>
              </w:rPr>
            </w:pPr>
            <w:r>
              <w:rPr>
                <w:sz w:val="22"/>
              </w:rPr>
              <w:t>service]</w:t>
            </w:r>
            <w:r>
              <w:rPr>
                <w:spacing w:val="-2"/>
                <w:sz w:val="22"/>
              </w:rPr>
              <w:t> </w:t>
            </w:r>
            <w:r>
              <w:rPr>
                <w:spacing w:val="-4"/>
                <w:sz w:val="22"/>
              </w:rPr>
              <w:t>x100</w:t>
            </w:r>
          </w:p>
        </w:tc>
      </w:tr>
      <w:tr>
        <w:trPr>
          <w:trHeight w:val="1518" w:hRule="atLeast"/>
        </w:trPr>
        <w:tc>
          <w:tcPr>
            <w:tcW w:w="1501" w:type="dxa"/>
            <w:tcBorders>
              <w:right w:val="nil"/>
            </w:tcBorders>
          </w:tcPr>
          <w:p>
            <w:pPr>
              <w:pStyle w:val="TableParagraph"/>
              <w:ind w:left="107"/>
              <w:rPr>
                <w:sz w:val="22"/>
              </w:rPr>
            </w:pPr>
            <w:r>
              <w:rPr>
                <w:sz w:val="22"/>
              </w:rPr>
              <w:t>Maternal</w:t>
            </w:r>
            <w:r>
              <w:rPr>
                <w:spacing w:val="-16"/>
                <w:sz w:val="22"/>
              </w:rPr>
              <w:t> </w:t>
            </w:r>
            <w:r>
              <w:rPr>
                <w:sz w:val="22"/>
              </w:rPr>
              <w:t>and Child Health</w:t>
            </w:r>
          </w:p>
        </w:tc>
        <w:tc>
          <w:tcPr>
            <w:tcW w:w="1593" w:type="dxa"/>
            <w:tcBorders>
              <w:left w:val="nil"/>
              <w:right w:val="nil"/>
            </w:tcBorders>
          </w:tcPr>
          <w:p>
            <w:pPr>
              <w:pStyle w:val="TableParagraph"/>
              <w:ind w:left="111"/>
              <w:rPr>
                <w:sz w:val="22"/>
              </w:rPr>
            </w:pPr>
            <w:r>
              <w:rPr>
                <w:spacing w:val="-2"/>
                <w:sz w:val="22"/>
              </w:rPr>
              <w:t>Participation</w:t>
            </w:r>
          </w:p>
        </w:tc>
        <w:tc>
          <w:tcPr>
            <w:tcW w:w="3972" w:type="dxa"/>
            <w:tcBorders>
              <w:left w:val="nil"/>
              <w:right w:val="nil"/>
            </w:tcBorders>
          </w:tcPr>
          <w:p>
            <w:pPr>
              <w:pStyle w:val="TableParagraph"/>
              <w:ind w:left="112" w:hanging="2"/>
              <w:rPr>
                <w:sz w:val="22"/>
              </w:rPr>
            </w:pPr>
            <w:r>
              <w:rPr>
                <w:sz w:val="22"/>
              </w:rPr>
              <w:t>Participation</w:t>
            </w:r>
            <w:r>
              <w:rPr>
                <w:spacing w:val="-3"/>
                <w:sz w:val="22"/>
              </w:rPr>
              <w:t> </w:t>
            </w:r>
            <w:r>
              <w:rPr>
                <w:sz w:val="22"/>
              </w:rPr>
              <w:t>in</w:t>
            </w:r>
            <w:r>
              <w:rPr>
                <w:spacing w:val="-6"/>
                <w:sz w:val="22"/>
              </w:rPr>
              <w:t> </w:t>
            </w:r>
            <w:r>
              <w:rPr>
                <w:sz w:val="22"/>
              </w:rPr>
              <w:t>the</w:t>
            </w:r>
            <w:r>
              <w:rPr>
                <w:spacing w:val="-4"/>
                <w:sz w:val="22"/>
              </w:rPr>
              <w:t> </w:t>
            </w:r>
            <w:r>
              <w:rPr>
                <w:sz w:val="22"/>
              </w:rPr>
              <w:t>MCH</w:t>
            </w:r>
            <w:r>
              <w:rPr>
                <w:spacing w:val="-7"/>
                <w:sz w:val="22"/>
              </w:rPr>
              <w:t> </w:t>
            </w:r>
            <w:r>
              <w:rPr>
                <w:sz w:val="22"/>
              </w:rPr>
              <w:t>service</w:t>
            </w:r>
            <w:r>
              <w:rPr>
                <w:spacing w:val="-3"/>
                <w:sz w:val="22"/>
              </w:rPr>
              <w:t> </w:t>
            </w:r>
            <w:r>
              <w:rPr>
                <w:sz w:val="22"/>
              </w:rPr>
              <w:t>by Aboriginal</w:t>
            </w:r>
            <w:r>
              <w:rPr>
                <w:spacing w:val="-10"/>
                <w:sz w:val="22"/>
              </w:rPr>
              <w:t> </w:t>
            </w:r>
            <w:r>
              <w:rPr>
                <w:sz w:val="22"/>
              </w:rPr>
              <w:t>children.</w:t>
            </w:r>
            <w:r>
              <w:rPr>
                <w:spacing w:val="40"/>
                <w:sz w:val="22"/>
              </w:rPr>
              <w:t> </w:t>
            </w:r>
            <w:r>
              <w:rPr>
                <w:sz w:val="22"/>
              </w:rPr>
              <w:t>(Percentage</w:t>
            </w:r>
            <w:r>
              <w:rPr>
                <w:spacing w:val="-10"/>
                <w:sz w:val="22"/>
              </w:rPr>
              <w:t> </w:t>
            </w:r>
            <w:r>
              <w:rPr>
                <w:sz w:val="22"/>
              </w:rPr>
              <w:t>of Aboriginal children enrolled who participate in the MCH service)</w:t>
            </w:r>
          </w:p>
        </w:tc>
        <w:tc>
          <w:tcPr>
            <w:tcW w:w="3412" w:type="dxa"/>
            <w:tcBorders>
              <w:left w:val="nil"/>
            </w:tcBorders>
          </w:tcPr>
          <w:p>
            <w:pPr>
              <w:pStyle w:val="TableParagraph"/>
              <w:ind w:left="107" w:right="182"/>
              <w:jc w:val="both"/>
              <w:rPr>
                <w:sz w:val="22"/>
              </w:rPr>
            </w:pPr>
            <w:r>
              <w:rPr>
                <w:sz w:val="22"/>
              </w:rPr>
              <w:t>[Number of Aboriginal children who attend the MCH service at least</w:t>
            </w:r>
            <w:r>
              <w:rPr>
                <w:spacing w:val="-1"/>
                <w:sz w:val="22"/>
              </w:rPr>
              <w:t> </w:t>
            </w:r>
            <w:r>
              <w:rPr>
                <w:sz w:val="22"/>
              </w:rPr>
              <w:t>once</w:t>
            </w:r>
            <w:r>
              <w:rPr>
                <w:spacing w:val="-4"/>
                <w:sz w:val="22"/>
              </w:rPr>
              <w:t> </w:t>
            </w:r>
            <w:r>
              <w:rPr>
                <w:sz w:val="22"/>
              </w:rPr>
              <w:t>(in</w:t>
            </w:r>
            <w:r>
              <w:rPr>
                <w:spacing w:val="-4"/>
                <w:sz w:val="22"/>
              </w:rPr>
              <w:t> </w:t>
            </w:r>
            <w:r>
              <w:rPr>
                <w:sz w:val="22"/>
              </w:rPr>
              <w:t>the</w:t>
            </w:r>
            <w:r>
              <w:rPr>
                <w:spacing w:val="-4"/>
                <w:sz w:val="22"/>
              </w:rPr>
              <w:t> </w:t>
            </w:r>
            <w:r>
              <w:rPr>
                <w:sz w:val="22"/>
              </w:rPr>
              <w:t>financial</w:t>
            </w:r>
            <w:r>
              <w:rPr>
                <w:spacing w:val="-2"/>
                <w:sz w:val="22"/>
              </w:rPr>
              <w:t> year)</w:t>
            </w:r>
          </w:p>
          <w:p>
            <w:pPr>
              <w:pStyle w:val="TableParagraph"/>
              <w:spacing w:line="252" w:lineRule="exact"/>
              <w:ind w:left="107"/>
              <w:rPr>
                <w:sz w:val="22"/>
              </w:rPr>
            </w:pPr>
            <w:r>
              <w:rPr>
                <w:sz w:val="22"/>
              </w:rPr>
              <w:t>/</w:t>
            </w:r>
            <w:r>
              <w:rPr>
                <w:spacing w:val="-2"/>
                <w:sz w:val="22"/>
              </w:rPr>
              <w:t> </w:t>
            </w:r>
            <w:r>
              <w:rPr>
                <w:sz w:val="22"/>
              </w:rPr>
              <w:t>Number</w:t>
            </w:r>
            <w:r>
              <w:rPr>
                <w:spacing w:val="-3"/>
                <w:sz w:val="22"/>
              </w:rPr>
              <w:t> </w:t>
            </w:r>
            <w:r>
              <w:rPr>
                <w:sz w:val="22"/>
              </w:rPr>
              <w:t>of</w:t>
            </w:r>
            <w:r>
              <w:rPr>
                <w:spacing w:val="-5"/>
                <w:sz w:val="22"/>
              </w:rPr>
              <w:t> </w:t>
            </w:r>
            <w:r>
              <w:rPr>
                <w:sz w:val="22"/>
              </w:rPr>
              <w:t>Aboriginal</w:t>
            </w:r>
            <w:r>
              <w:rPr>
                <w:spacing w:val="-3"/>
                <w:sz w:val="22"/>
              </w:rPr>
              <w:t> </w:t>
            </w:r>
            <w:r>
              <w:rPr>
                <w:spacing w:val="-2"/>
                <w:sz w:val="22"/>
              </w:rPr>
              <w:t>children</w:t>
            </w:r>
          </w:p>
          <w:p>
            <w:pPr>
              <w:pStyle w:val="TableParagraph"/>
              <w:spacing w:line="252" w:lineRule="exact"/>
              <w:ind w:left="107" w:right="183"/>
              <w:rPr>
                <w:sz w:val="22"/>
              </w:rPr>
            </w:pPr>
            <w:r>
              <w:rPr>
                <w:sz w:val="22"/>
              </w:rPr>
              <w:t>enrolled</w:t>
            </w:r>
            <w:r>
              <w:rPr>
                <w:spacing w:val="-6"/>
                <w:sz w:val="22"/>
              </w:rPr>
              <w:t> </w:t>
            </w:r>
            <w:r>
              <w:rPr>
                <w:sz w:val="22"/>
              </w:rPr>
              <w:t>in</w:t>
            </w:r>
            <w:r>
              <w:rPr>
                <w:spacing w:val="-7"/>
                <w:sz w:val="22"/>
              </w:rPr>
              <w:t> </w:t>
            </w:r>
            <w:r>
              <w:rPr>
                <w:sz w:val="22"/>
              </w:rPr>
              <w:t>the</w:t>
            </w:r>
            <w:r>
              <w:rPr>
                <w:spacing w:val="-9"/>
                <w:sz w:val="22"/>
              </w:rPr>
              <w:t> </w:t>
            </w:r>
            <w:r>
              <w:rPr>
                <w:sz w:val="22"/>
              </w:rPr>
              <w:t>MCH</w:t>
            </w:r>
            <w:r>
              <w:rPr>
                <w:spacing w:val="-12"/>
                <w:sz w:val="22"/>
              </w:rPr>
              <w:t> </w:t>
            </w:r>
            <w:r>
              <w:rPr>
                <w:sz w:val="22"/>
              </w:rPr>
              <w:t>service] </w:t>
            </w:r>
            <w:r>
              <w:rPr>
                <w:spacing w:val="-4"/>
                <w:sz w:val="22"/>
              </w:rPr>
              <w:t>x100</w:t>
            </w:r>
          </w:p>
        </w:tc>
      </w:tr>
    </w:tbl>
    <w:p>
      <w:pPr>
        <w:spacing w:after="0" w:line="252" w:lineRule="exact"/>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391" w:right="1741" w:firstLine="0"/>
        <w:jc w:val="both"/>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2:</w:t>
      </w:r>
      <w:r>
        <w:rPr>
          <w:color w:val="4966AC"/>
          <w:spacing w:val="-4"/>
        </w:rPr>
        <w:t> </w:t>
      </w:r>
      <w:r>
        <w:rPr>
          <w:color w:val="4966AC"/>
        </w:rPr>
        <w:t>A</w:t>
      </w:r>
      <w:r>
        <w:rPr>
          <w:color w:val="4966AC"/>
          <w:spacing w:val="-6"/>
        </w:rPr>
        <w:t> </w:t>
      </w:r>
      <w:r>
        <w:rPr>
          <w:color w:val="4966AC"/>
        </w:rPr>
        <w:t>prosperous</w:t>
      </w:r>
      <w:r>
        <w:rPr>
          <w:color w:val="4966AC"/>
          <w:spacing w:val="-6"/>
        </w:rPr>
        <w:t> </w:t>
      </w:r>
      <w:r>
        <w:rPr>
          <w:color w:val="4966AC"/>
        </w:rPr>
        <w:t>and</w:t>
      </w:r>
      <w:r>
        <w:rPr>
          <w:color w:val="4966AC"/>
          <w:spacing w:val="-4"/>
        </w:rPr>
        <w:t> </w:t>
      </w:r>
      <w:r>
        <w:rPr>
          <w:color w:val="4966AC"/>
        </w:rPr>
        <w:t>learning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6"/>
        <w:gridCol w:w="996"/>
        <w:gridCol w:w="1369"/>
        <w:gridCol w:w="1343"/>
        <w:gridCol w:w="1370"/>
      </w:tblGrid>
      <w:tr>
        <w:trPr>
          <w:trHeight w:val="909" w:hRule="atLeast"/>
        </w:trPr>
        <w:tc>
          <w:tcPr>
            <w:tcW w:w="5496" w:type="dxa"/>
            <w:tcBorders>
              <w:bottom w:val="nil"/>
              <w:right w:val="nil"/>
            </w:tcBorders>
            <w:shd w:val="clear" w:color="auto" w:fill="5B9AD4"/>
          </w:tcPr>
          <w:p>
            <w:pPr>
              <w:pStyle w:val="TableParagraph"/>
              <w:spacing w:before="6"/>
              <w:rPr>
                <w:b/>
                <w:sz w:val="28"/>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96" w:type="dxa"/>
            <w:tcBorders>
              <w:left w:val="nil"/>
              <w:bottom w:val="nil"/>
              <w:right w:val="nil"/>
            </w:tcBorders>
            <w:shd w:val="clear" w:color="auto" w:fill="5B9AD4"/>
          </w:tcPr>
          <w:p>
            <w:pPr>
              <w:pStyle w:val="TableParagraph"/>
              <w:rPr>
                <w:rFonts w:ascii="Times New Roman"/>
                <w:sz w:val="20"/>
              </w:rPr>
            </w:pPr>
          </w:p>
        </w:tc>
        <w:tc>
          <w:tcPr>
            <w:tcW w:w="1369" w:type="dxa"/>
            <w:tcBorders>
              <w:left w:val="nil"/>
              <w:bottom w:val="nil"/>
              <w:right w:val="nil"/>
            </w:tcBorders>
            <w:shd w:val="clear" w:color="auto" w:fill="5B9AD4"/>
          </w:tcPr>
          <w:p>
            <w:pPr>
              <w:pStyle w:val="TableParagraph"/>
              <w:spacing w:before="26"/>
              <w:ind w:left="130" w:right="177"/>
              <w:jc w:val="center"/>
              <w:rPr>
                <w:b/>
                <w:sz w:val="22"/>
              </w:rPr>
            </w:pPr>
            <w:r>
              <w:rPr>
                <w:b/>
                <w:color w:val="FFFFFF"/>
                <w:spacing w:val="-2"/>
                <w:sz w:val="22"/>
              </w:rPr>
              <w:t>2022/2023</w:t>
            </w:r>
          </w:p>
          <w:p>
            <w:pPr>
              <w:pStyle w:val="TableParagraph"/>
              <w:spacing w:before="49"/>
              <w:ind w:left="127" w:right="177"/>
              <w:jc w:val="center"/>
              <w:rPr>
                <w:b/>
                <w:sz w:val="22"/>
              </w:rPr>
            </w:pPr>
            <w:r>
              <w:rPr>
                <w:b/>
                <w:color w:val="FFFFFF"/>
                <w:spacing w:val="-2"/>
                <w:sz w:val="22"/>
              </w:rPr>
              <w:t>Actual</w:t>
            </w:r>
          </w:p>
          <w:p>
            <w:pPr>
              <w:pStyle w:val="TableParagraph"/>
              <w:spacing w:before="50"/>
              <w:ind w:left="126" w:right="177"/>
              <w:jc w:val="center"/>
              <w:rPr>
                <w:b/>
                <w:sz w:val="22"/>
              </w:rPr>
            </w:pPr>
            <w:r>
              <w:rPr>
                <w:b/>
                <w:color w:val="FFFFFF"/>
                <w:spacing w:val="-2"/>
                <w:sz w:val="22"/>
              </w:rPr>
              <w:t>$'000</w:t>
            </w:r>
          </w:p>
        </w:tc>
        <w:tc>
          <w:tcPr>
            <w:tcW w:w="1343" w:type="dxa"/>
            <w:tcBorders>
              <w:left w:val="nil"/>
              <w:bottom w:val="nil"/>
              <w:right w:val="nil"/>
            </w:tcBorders>
            <w:shd w:val="clear" w:color="auto" w:fill="5B9AD4"/>
          </w:tcPr>
          <w:p>
            <w:pPr>
              <w:pStyle w:val="TableParagraph"/>
              <w:spacing w:before="26"/>
              <w:ind w:left="131" w:right="149"/>
              <w:jc w:val="center"/>
              <w:rPr>
                <w:b/>
                <w:sz w:val="22"/>
              </w:rPr>
            </w:pPr>
            <w:r>
              <w:rPr>
                <w:b/>
                <w:color w:val="FFFFFF"/>
                <w:spacing w:val="-2"/>
                <w:sz w:val="22"/>
              </w:rPr>
              <w:t>2023/2024</w:t>
            </w:r>
          </w:p>
          <w:p>
            <w:pPr>
              <w:pStyle w:val="TableParagraph"/>
              <w:spacing w:before="49"/>
              <w:ind w:left="127" w:right="149"/>
              <w:jc w:val="center"/>
              <w:rPr>
                <w:b/>
                <w:sz w:val="22"/>
              </w:rPr>
            </w:pPr>
            <w:r>
              <w:rPr>
                <w:b/>
                <w:color w:val="FFFFFF"/>
                <w:spacing w:val="-2"/>
                <w:sz w:val="22"/>
              </w:rPr>
              <w:t>Forecast</w:t>
            </w:r>
          </w:p>
          <w:p>
            <w:pPr>
              <w:pStyle w:val="TableParagraph"/>
              <w:spacing w:before="50"/>
              <w:ind w:left="126" w:right="149"/>
              <w:jc w:val="center"/>
              <w:rPr>
                <w:b/>
                <w:sz w:val="22"/>
              </w:rPr>
            </w:pPr>
            <w:r>
              <w:rPr>
                <w:b/>
                <w:color w:val="FFFFFF"/>
                <w:spacing w:val="-2"/>
                <w:sz w:val="22"/>
              </w:rPr>
              <w:t>$'000</w:t>
            </w:r>
          </w:p>
        </w:tc>
        <w:tc>
          <w:tcPr>
            <w:tcW w:w="1370" w:type="dxa"/>
            <w:tcBorders>
              <w:left w:val="nil"/>
              <w:bottom w:val="nil"/>
            </w:tcBorders>
            <w:shd w:val="clear" w:color="auto" w:fill="5B9AD4"/>
          </w:tcPr>
          <w:p>
            <w:pPr>
              <w:pStyle w:val="TableParagraph"/>
              <w:spacing w:before="26"/>
              <w:ind w:left="157" w:right="146"/>
              <w:jc w:val="center"/>
              <w:rPr>
                <w:b/>
                <w:sz w:val="22"/>
              </w:rPr>
            </w:pPr>
            <w:r>
              <w:rPr>
                <w:b/>
                <w:color w:val="FFFFFF"/>
                <w:spacing w:val="-2"/>
                <w:sz w:val="22"/>
              </w:rPr>
              <w:t>2024/2025</w:t>
            </w:r>
          </w:p>
          <w:p>
            <w:pPr>
              <w:pStyle w:val="TableParagraph"/>
              <w:spacing w:before="49"/>
              <w:ind w:left="151" w:right="146"/>
              <w:jc w:val="center"/>
              <w:rPr>
                <w:b/>
                <w:sz w:val="22"/>
              </w:rPr>
            </w:pPr>
            <w:r>
              <w:rPr>
                <w:b/>
                <w:color w:val="FFFFFF"/>
                <w:spacing w:val="-2"/>
                <w:sz w:val="22"/>
              </w:rPr>
              <w:t>Budget</w:t>
            </w:r>
          </w:p>
          <w:p>
            <w:pPr>
              <w:pStyle w:val="TableParagraph"/>
              <w:spacing w:before="50"/>
              <w:ind w:left="153" w:right="146"/>
              <w:jc w:val="center"/>
              <w:rPr>
                <w:b/>
                <w:sz w:val="22"/>
              </w:rPr>
            </w:pPr>
            <w:r>
              <w:rPr>
                <w:b/>
                <w:color w:val="FFFFFF"/>
                <w:spacing w:val="-2"/>
                <w:sz w:val="22"/>
              </w:rPr>
              <w:t>$'000</w:t>
            </w:r>
          </w:p>
        </w:tc>
      </w:tr>
      <w:tr>
        <w:trPr>
          <w:trHeight w:val="506" w:hRule="atLeast"/>
        </w:trPr>
        <w:tc>
          <w:tcPr>
            <w:tcW w:w="10574" w:type="dxa"/>
            <w:gridSpan w:val="5"/>
            <w:tcBorders>
              <w:top w:val="nil"/>
            </w:tcBorders>
          </w:tcPr>
          <w:p>
            <w:pPr>
              <w:pStyle w:val="TableParagraph"/>
              <w:spacing w:line="254" w:lineRule="exact"/>
              <w:ind w:left="170" w:right="5206" w:hanging="63"/>
              <w:rPr>
                <w:b/>
                <w:sz w:val="22"/>
              </w:rPr>
            </w:pPr>
            <w:r>
              <w:rPr>
                <w:b/>
                <w:color w:val="5B9AD4"/>
                <w:sz w:val="22"/>
              </w:rPr>
              <w:t>Business</w:t>
            </w:r>
            <w:r>
              <w:rPr>
                <w:b/>
                <w:color w:val="5B9AD4"/>
                <w:spacing w:val="-8"/>
                <w:sz w:val="22"/>
              </w:rPr>
              <w:t> </w:t>
            </w:r>
            <w:r>
              <w:rPr>
                <w:b/>
                <w:color w:val="5B9AD4"/>
                <w:sz w:val="22"/>
              </w:rPr>
              <w:t>&amp;</w:t>
            </w:r>
            <w:r>
              <w:rPr>
                <w:b/>
                <w:color w:val="5B9AD4"/>
                <w:spacing w:val="-10"/>
                <w:sz w:val="22"/>
              </w:rPr>
              <w:t> </w:t>
            </w:r>
            <w:r>
              <w:rPr>
                <w:b/>
                <w:color w:val="5B9AD4"/>
                <w:sz w:val="22"/>
              </w:rPr>
              <w:t>Activity</w:t>
            </w:r>
            <w:r>
              <w:rPr>
                <w:b/>
                <w:color w:val="5B9AD4"/>
                <w:spacing w:val="-9"/>
                <w:sz w:val="22"/>
              </w:rPr>
              <w:t> </w:t>
            </w:r>
            <w:r>
              <w:rPr>
                <w:b/>
                <w:color w:val="5B9AD4"/>
                <w:sz w:val="22"/>
              </w:rPr>
              <w:t>Centre</w:t>
            </w:r>
            <w:r>
              <w:rPr>
                <w:b/>
                <w:color w:val="5B9AD4"/>
                <w:spacing w:val="-8"/>
                <w:sz w:val="22"/>
              </w:rPr>
              <w:t> </w:t>
            </w:r>
            <w:r>
              <w:rPr>
                <w:b/>
                <w:color w:val="5B9AD4"/>
                <w:sz w:val="22"/>
              </w:rPr>
              <w:t>Development (Business and Precincts)</w:t>
            </w:r>
          </w:p>
        </w:tc>
      </w:tr>
      <w:tr>
        <w:trPr>
          <w:trHeight w:val="614" w:hRule="atLeast"/>
        </w:trPr>
        <w:tc>
          <w:tcPr>
            <w:tcW w:w="5496" w:type="dxa"/>
            <w:vMerge w:val="restart"/>
            <w:tcBorders>
              <w:right w:val="nil"/>
            </w:tcBorders>
          </w:tcPr>
          <w:p>
            <w:pPr>
              <w:pStyle w:val="TableParagraph"/>
              <w:ind w:left="107" w:right="183"/>
              <w:rPr>
                <w:sz w:val="22"/>
              </w:rPr>
            </w:pPr>
            <w:r>
              <w:rPr>
                <w:sz w:val="22"/>
              </w:rPr>
              <w:t>Business and Activity Centre Development is responsible for facilitating business development, investment attraction and local employment opportunities in Maroondah. The function manages the relationships between Council and the business community;</w:t>
            </w:r>
            <w:r>
              <w:rPr>
                <w:spacing w:val="-7"/>
                <w:sz w:val="22"/>
              </w:rPr>
              <w:t> </w:t>
            </w:r>
            <w:r>
              <w:rPr>
                <w:sz w:val="22"/>
              </w:rPr>
              <w:t>stewards</w:t>
            </w:r>
            <w:r>
              <w:rPr>
                <w:spacing w:val="-10"/>
                <w:sz w:val="22"/>
              </w:rPr>
              <w:t> </w:t>
            </w:r>
            <w:r>
              <w:rPr>
                <w:sz w:val="22"/>
              </w:rPr>
              <w:t>investment</w:t>
            </w:r>
            <w:r>
              <w:rPr>
                <w:spacing w:val="-7"/>
                <w:sz w:val="22"/>
              </w:rPr>
              <w:t> </w:t>
            </w:r>
            <w:r>
              <w:rPr>
                <w:sz w:val="22"/>
              </w:rPr>
              <w:t>attraction;</w:t>
            </w:r>
            <w:r>
              <w:rPr>
                <w:spacing w:val="-7"/>
                <w:sz w:val="22"/>
              </w:rPr>
              <w:t> </w:t>
            </w:r>
            <w:r>
              <w:rPr>
                <w:sz w:val="22"/>
              </w:rPr>
              <w:t>manages place activation and development of the Ringwood Metropolitan Activity Centre; Croydon Major Activity Centre and 31 neighbourhood, community, and local shopping centres.</w:t>
            </w:r>
          </w:p>
          <w:p>
            <w:pPr>
              <w:pStyle w:val="TableParagraph"/>
              <w:ind w:left="107" w:right="183"/>
              <w:rPr>
                <w:sz w:val="22"/>
              </w:rPr>
            </w:pPr>
            <w:r>
              <w:rPr>
                <w:sz w:val="22"/>
              </w:rPr>
              <w:t>The</w:t>
            </w:r>
            <w:r>
              <w:rPr>
                <w:spacing w:val="-4"/>
                <w:sz w:val="22"/>
              </w:rPr>
              <w:t> </w:t>
            </w:r>
            <w:r>
              <w:rPr>
                <w:sz w:val="22"/>
              </w:rPr>
              <w:t>BizHub</w:t>
            </w:r>
            <w:r>
              <w:rPr>
                <w:spacing w:val="-4"/>
                <w:sz w:val="22"/>
              </w:rPr>
              <w:t> </w:t>
            </w:r>
            <w:r>
              <w:rPr>
                <w:sz w:val="22"/>
              </w:rPr>
              <w:t>coworking</w:t>
            </w:r>
            <w:r>
              <w:rPr>
                <w:spacing w:val="-6"/>
                <w:sz w:val="22"/>
              </w:rPr>
              <w:t> </w:t>
            </w:r>
            <w:r>
              <w:rPr>
                <w:sz w:val="22"/>
              </w:rPr>
              <w:t>space</w:t>
            </w:r>
            <w:r>
              <w:rPr>
                <w:spacing w:val="-3"/>
                <w:sz w:val="22"/>
              </w:rPr>
              <w:t> </w:t>
            </w:r>
            <w:r>
              <w:rPr>
                <w:sz w:val="22"/>
              </w:rPr>
              <w:t>is</w:t>
            </w:r>
            <w:r>
              <w:rPr>
                <w:spacing w:val="-2"/>
                <w:sz w:val="22"/>
              </w:rPr>
              <w:t> </w:t>
            </w:r>
            <w:r>
              <w:rPr>
                <w:sz w:val="22"/>
              </w:rPr>
              <w:t>also</w:t>
            </w:r>
            <w:r>
              <w:rPr>
                <w:spacing w:val="-7"/>
                <w:sz w:val="22"/>
              </w:rPr>
              <w:t> </w:t>
            </w:r>
            <w:r>
              <w:rPr>
                <w:sz w:val="22"/>
              </w:rPr>
              <w:t>managed</w:t>
            </w:r>
            <w:r>
              <w:rPr>
                <w:spacing w:val="-6"/>
                <w:sz w:val="22"/>
              </w:rPr>
              <w:t> </w:t>
            </w:r>
            <w:r>
              <w:rPr>
                <w:sz w:val="22"/>
              </w:rPr>
              <w:t>by</w:t>
            </w:r>
            <w:r>
              <w:rPr>
                <w:spacing w:val="-4"/>
                <w:sz w:val="22"/>
              </w:rPr>
              <w:t> </w:t>
            </w:r>
            <w:r>
              <w:rPr>
                <w:sz w:val="22"/>
              </w:rPr>
              <w:t>the team and delivers a collaborative co-working space, programs, information, training, and networking opportunities for businesses throughout Maroondah and the Eastern region.</w:t>
            </w:r>
          </w:p>
          <w:p>
            <w:pPr>
              <w:pStyle w:val="TableParagraph"/>
              <w:ind w:left="107" w:right="183"/>
              <w:rPr>
                <w:sz w:val="22"/>
              </w:rPr>
            </w:pPr>
            <w:r>
              <w:rPr>
                <w:sz w:val="22"/>
              </w:rPr>
              <w:t>The function also stewards the growth of the Bayswater Business Precinct (in partnership with Knox</w:t>
            </w:r>
            <w:r>
              <w:rPr>
                <w:spacing w:val="-5"/>
                <w:sz w:val="22"/>
              </w:rPr>
              <w:t> </w:t>
            </w:r>
            <w:r>
              <w:rPr>
                <w:sz w:val="22"/>
              </w:rPr>
              <w:t>and</w:t>
            </w:r>
            <w:r>
              <w:rPr>
                <w:spacing w:val="-4"/>
                <w:sz w:val="22"/>
              </w:rPr>
              <w:t> </w:t>
            </w:r>
            <w:r>
              <w:rPr>
                <w:sz w:val="22"/>
              </w:rPr>
              <w:t>Yarra</w:t>
            </w:r>
            <w:r>
              <w:rPr>
                <w:spacing w:val="-7"/>
                <w:sz w:val="22"/>
              </w:rPr>
              <w:t> </w:t>
            </w:r>
            <w:r>
              <w:rPr>
                <w:sz w:val="22"/>
              </w:rPr>
              <w:t>Ranges</w:t>
            </w:r>
            <w:r>
              <w:rPr>
                <w:spacing w:val="-7"/>
                <w:sz w:val="22"/>
              </w:rPr>
              <w:t> </w:t>
            </w:r>
            <w:r>
              <w:rPr>
                <w:sz w:val="22"/>
              </w:rPr>
              <w:t>councils).</w:t>
            </w:r>
            <w:r>
              <w:rPr>
                <w:spacing w:val="-3"/>
                <w:sz w:val="22"/>
              </w:rPr>
              <w:t> </w:t>
            </w:r>
            <w:r>
              <w:rPr>
                <w:sz w:val="22"/>
              </w:rPr>
              <w:t>This</w:t>
            </w:r>
            <w:r>
              <w:rPr>
                <w:spacing w:val="-7"/>
                <w:sz w:val="22"/>
              </w:rPr>
              <w:t> </w:t>
            </w:r>
            <w:r>
              <w:rPr>
                <w:sz w:val="22"/>
              </w:rPr>
              <w:t>project</w:t>
            </w:r>
            <w:r>
              <w:rPr>
                <w:spacing w:val="-3"/>
                <w:sz w:val="22"/>
              </w:rPr>
              <w:t> </w:t>
            </w:r>
            <w:r>
              <w:rPr>
                <w:sz w:val="22"/>
              </w:rPr>
              <w:t>will establish a framework for the revitalisation and continued growth of the precinct to encourage investment attraction and development, skills</w:t>
            </w:r>
          </w:p>
          <w:p>
            <w:pPr>
              <w:pStyle w:val="TableParagraph"/>
              <w:spacing w:line="252" w:lineRule="exact"/>
              <w:ind w:left="107" w:right="183"/>
              <w:rPr>
                <w:sz w:val="22"/>
              </w:rPr>
            </w:pPr>
            <w:r>
              <w:rPr>
                <w:sz w:val="22"/>
              </w:rPr>
              <w:t>development</w:t>
            </w:r>
            <w:r>
              <w:rPr>
                <w:spacing w:val="-7"/>
                <w:sz w:val="22"/>
              </w:rPr>
              <w:t> </w:t>
            </w:r>
            <w:r>
              <w:rPr>
                <w:sz w:val="22"/>
              </w:rPr>
              <w:t>and</w:t>
            </w:r>
            <w:r>
              <w:rPr>
                <w:spacing w:val="-6"/>
                <w:sz w:val="22"/>
              </w:rPr>
              <w:t> </w:t>
            </w:r>
            <w:r>
              <w:rPr>
                <w:sz w:val="22"/>
              </w:rPr>
              <w:t>employment</w:t>
            </w:r>
            <w:r>
              <w:rPr>
                <w:spacing w:val="-9"/>
                <w:sz w:val="22"/>
              </w:rPr>
              <w:t> </w:t>
            </w:r>
            <w:r>
              <w:rPr>
                <w:sz w:val="22"/>
              </w:rPr>
              <w:t>for</w:t>
            </w:r>
            <w:r>
              <w:rPr>
                <w:spacing w:val="-7"/>
                <w:sz w:val="22"/>
              </w:rPr>
              <w:t> </w:t>
            </w:r>
            <w:r>
              <w:rPr>
                <w:sz w:val="22"/>
              </w:rPr>
              <w:t>Melbourne’s eastern region.</w:t>
            </w:r>
          </w:p>
        </w:tc>
        <w:tc>
          <w:tcPr>
            <w:tcW w:w="996" w:type="dxa"/>
            <w:tcBorders>
              <w:left w:val="nil"/>
              <w:right w:val="nil"/>
            </w:tcBorders>
          </w:tcPr>
          <w:p>
            <w:pPr>
              <w:pStyle w:val="TableParagraph"/>
              <w:spacing w:line="204" w:lineRule="exact"/>
              <w:ind w:left="112"/>
              <w:rPr>
                <w:sz w:val="18"/>
              </w:rPr>
            </w:pPr>
            <w:r>
              <w:rPr>
                <w:spacing w:val="-5"/>
                <w:sz w:val="18"/>
              </w:rPr>
              <w:t>Inc</w:t>
            </w:r>
          </w:p>
          <w:p>
            <w:pPr>
              <w:pStyle w:val="TableParagraph"/>
              <w:spacing w:before="107"/>
              <w:ind w:left="112"/>
              <w:rPr>
                <w:sz w:val="18"/>
              </w:rPr>
            </w:pPr>
            <w:r>
              <w:rPr>
                <w:spacing w:val="-5"/>
                <w:sz w:val="18"/>
              </w:rPr>
              <w:t>Exp</w:t>
            </w:r>
          </w:p>
        </w:tc>
        <w:tc>
          <w:tcPr>
            <w:tcW w:w="1369" w:type="dxa"/>
            <w:tcBorders>
              <w:left w:val="nil"/>
              <w:right w:val="nil"/>
            </w:tcBorders>
          </w:tcPr>
          <w:p>
            <w:pPr>
              <w:pStyle w:val="TableParagraph"/>
              <w:spacing w:line="204" w:lineRule="exact"/>
              <w:ind w:right="130"/>
              <w:jc w:val="right"/>
              <w:rPr>
                <w:sz w:val="18"/>
              </w:rPr>
            </w:pPr>
            <w:r>
              <w:rPr>
                <w:spacing w:val="-5"/>
                <w:sz w:val="18"/>
              </w:rPr>
              <w:t>335</w:t>
            </w:r>
          </w:p>
          <w:p>
            <w:pPr>
              <w:pStyle w:val="TableParagraph"/>
              <w:spacing w:before="107"/>
              <w:ind w:left="784"/>
              <w:rPr>
                <w:sz w:val="18"/>
              </w:rPr>
            </w:pPr>
            <w:r>
              <w:rPr>
                <w:spacing w:val="-2"/>
                <w:sz w:val="18"/>
              </w:rPr>
              <w:t>1,488</w:t>
            </w:r>
          </w:p>
        </w:tc>
        <w:tc>
          <w:tcPr>
            <w:tcW w:w="1343" w:type="dxa"/>
            <w:tcBorders>
              <w:left w:val="nil"/>
              <w:right w:val="nil"/>
            </w:tcBorders>
          </w:tcPr>
          <w:p>
            <w:pPr>
              <w:pStyle w:val="TableParagraph"/>
              <w:spacing w:line="204" w:lineRule="exact"/>
              <w:ind w:right="103"/>
              <w:jc w:val="right"/>
              <w:rPr>
                <w:sz w:val="18"/>
              </w:rPr>
            </w:pPr>
            <w:r>
              <w:rPr>
                <w:spacing w:val="-5"/>
                <w:sz w:val="18"/>
              </w:rPr>
              <w:t>731</w:t>
            </w:r>
          </w:p>
          <w:p>
            <w:pPr>
              <w:pStyle w:val="TableParagraph"/>
              <w:spacing w:before="107"/>
              <w:ind w:left="786"/>
              <w:rPr>
                <w:sz w:val="18"/>
              </w:rPr>
            </w:pPr>
            <w:r>
              <w:rPr>
                <w:spacing w:val="-2"/>
                <w:sz w:val="18"/>
              </w:rPr>
              <w:t>1,879</w:t>
            </w:r>
          </w:p>
        </w:tc>
        <w:tc>
          <w:tcPr>
            <w:tcW w:w="1370" w:type="dxa"/>
            <w:tcBorders>
              <w:left w:val="nil"/>
            </w:tcBorders>
            <w:shd w:val="clear" w:color="auto" w:fill="BCD6ED"/>
          </w:tcPr>
          <w:p>
            <w:pPr>
              <w:pStyle w:val="TableParagraph"/>
              <w:spacing w:line="204" w:lineRule="exact"/>
              <w:ind w:right="95"/>
              <w:jc w:val="right"/>
              <w:rPr>
                <w:sz w:val="18"/>
              </w:rPr>
            </w:pPr>
            <w:r>
              <w:rPr>
                <w:spacing w:val="-5"/>
                <w:sz w:val="18"/>
              </w:rPr>
              <w:t>278</w:t>
            </w:r>
          </w:p>
          <w:p>
            <w:pPr>
              <w:pStyle w:val="TableParagraph"/>
              <w:spacing w:before="107"/>
              <w:ind w:left="811"/>
              <w:rPr>
                <w:sz w:val="18"/>
              </w:rPr>
            </w:pPr>
            <w:r>
              <w:rPr>
                <w:spacing w:val="-2"/>
                <w:sz w:val="18"/>
              </w:rPr>
              <w:t>1,612</w:t>
            </w:r>
          </w:p>
        </w:tc>
      </w:tr>
      <w:tr>
        <w:trPr>
          <w:trHeight w:val="5190" w:hRule="atLeast"/>
        </w:trPr>
        <w:tc>
          <w:tcPr>
            <w:tcW w:w="5496" w:type="dxa"/>
            <w:vMerge/>
            <w:tcBorders>
              <w:top w:val="nil"/>
              <w:right w:val="nil"/>
            </w:tcBorders>
          </w:tcPr>
          <w:p>
            <w:pPr>
              <w:rPr>
                <w:sz w:val="2"/>
                <w:szCs w:val="2"/>
              </w:rPr>
            </w:pPr>
          </w:p>
        </w:tc>
        <w:tc>
          <w:tcPr>
            <w:tcW w:w="996" w:type="dxa"/>
            <w:tcBorders>
              <w:left w:val="nil"/>
              <w:right w:val="nil"/>
            </w:tcBorders>
          </w:tcPr>
          <w:p>
            <w:pPr>
              <w:pStyle w:val="TableParagraph"/>
              <w:spacing w:line="206" w:lineRule="exact"/>
              <w:ind w:left="112"/>
              <w:rPr>
                <w:b/>
                <w:sz w:val="18"/>
              </w:rPr>
            </w:pPr>
            <w:r>
              <w:rPr>
                <w:b/>
                <w:spacing w:val="-2"/>
                <w:sz w:val="18"/>
              </w:rPr>
              <w:t>Surplus</w:t>
            </w:r>
          </w:p>
          <w:p>
            <w:pPr>
              <w:pStyle w:val="TableParagraph"/>
              <w:spacing w:line="207" w:lineRule="exact"/>
              <w:ind w:left="112"/>
              <w:rPr>
                <w:b/>
                <w:sz w:val="18"/>
              </w:rPr>
            </w:pPr>
            <w:r>
              <w:rPr>
                <w:b/>
                <w:sz w:val="18"/>
              </w:rPr>
              <w:t>/ </w:t>
            </w:r>
            <w:r>
              <w:rPr>
                <w:b/>
                <w:spacing w:val="-2"/>
                <w:sz w:val="18"/>
              </w:rPr>
              <w:t>(deficit)</w:t>
            </w:r>
          </w:p>
        </w:tc>
        <w:tc>
          <w:tcPr>
            <w:tcW w:w="1369" w:type="dxa"/>
            <w:tcBorders>
              <w:left w:val="nil"/>
              <w:right w:val="nil"/>
            </w:tcBorders>
          </w:tcPr>
          <w:p>
            <w:pPr>
              <w:pStyle w:val="TableParagraph"/>
              <w:spacing w:line="206" w:lineRule="exact"/>
              <w:ind w:right="129"/>
              <w:jc w:val="right"/>
              <w:rPr>
                <w:b/>
                <w:sz w:val="18"/>
              </w:rPr>
            </w:pPr>
            <w:r>
              <w:rPr>
                <w:b/>
                <w:spacing w:val="-2"/>
                <w:sz w:val="18"/>
              </w:rPr>
              <w:t>(1,153)</w:t>
            </w:r>
          </w:p>
        </w:tc>
        <w:tc>
          <w:tcPr>
            <w:tcW w:w="1343" w:type="dxa"/>
            <w:tcBorders>
              <w:left w:val="nil"/>
              <w:right w:val="nil"/>
            </w:tcBorders>
          </w:tcPr>
          <w:p>
            <w:pPr>
              <w:pStyle w:val="TableParagraph"/>
              <w:spacing w:line="206" w:lineRule="exact"/>
              <w:ind w:right="101"/>
              <w:jc w:val="right"/>
              <w:rPr>
                <w:b/>
                <w:sz w:val="18"/>
              </w:rPr>
            </w:pPr>
            <w:r>
              <w:rPr>
                <w:b/>
                <w:spacing w:val="-2"/>
                <w:sz w:val="18"/>
              </w:rPr>
              <w:t>(1,148)</w:t>
            </w:r>
          </w:p>
        </w:tc>
        <w:tc>
          <w:tcPr>
            <w:tcW w:w="1370" w:type="dxa"/>
            <w:tcBorders>
              <w:left w:val="nil"/>
            </w:tcBorders>
            <w:shd w:val="clear" w:color="auto" w:fill="BCD6ED"/>
          </w:tcPr>
          <w:p>
            <w:pPr>
              <w:pStyle w:val="TableParagraph"/>
              <w:spacing w:line="206" w:lineRule="exact"/>
              <w:ind w:right="94"/>
              <w:jc w:val="right"/>
              <w:rPr>
                <w:b/>
                <w:sz w:val="18"/>
              </w:rPr>
            </w:pPr>
            <w:r>
              <w:rPr>
                <w:b/>
                <w:spacing w:val="-2"/>
                <w:sz w:val="18"/>
              </w:rPr>
              <w:t>(1,334)</w:t>
            </w:r>
          </w:p>
        </w:tc>
      </w:tr>
      <w:tr>
        <w:trPr>
          <w:trHeight w:val="303" w:hRule="atLeast"/>
        </w:trPr>
        <w:tc>
          <w:tcPr>
            <w:tcW w:w="10574" w:type="dxa"/>
            <w:gridSpan w:val="5"/>
          </w:tcPr>
          <w:p>
            <w:pPr>
              <w:pStyle w:val="TableParagraph"/>
              <w:spacing w:before="25"/>
              <w:ind w:left="107"/>
              <w:rPr>
                <w:b/>
                <w:sz w:val="22"/>
              </w:rPr>
            </w:pPr>
            <w:r>
              <w:rPr>
                <w:b/>
                <w:color w:val="5B9AD4"/>
                <w:sz w:val="22"/>
              </w:rPr>
              <w:t>Libraries</w:t>
            </w:r>
            <w:r>
              <w:rPr>
                <w:b/>
                <w:color w:val="5B9AD4"/>
                <w:spacing w:val="-6"/>
                <w:sz w:val="22"/>
              </w:rPr>
              <w:t> </w:t>
            </w:r>
            <w:r>
              <w:rPr>
                <w:b/>
                <w:color w:val="5B9AD4"/>
                <w:sz w:val="22"/>
              </w:rPr>
              <w:t>(Community</w:t>
            </w:r>
            <w:r>
              <w:rPr>
                <w:b/>
                <w:color w:val="5B9AD4"/>
                <w:spacing w:val="-6"/>
                <w:sz w:val="22"/>
              </w:rPr>
              <w:t> </w:t>
            </w:r>
            <w:r>
              <w:rPr>
                <w:b/>
                <w:color w:val="5B9AD4"/>
                <w:spacing w:val="-2"/>
                <w:sz w:val="22"/>
              </w:rPr>
              <w:t>Services)</w:t>
            </w:r>
          </w:p>
        </w:tc>
      </w:tr>
      <w:tr>
        <w:trPr>
          <w:trHeight w:val="616" w:hRule="atLeast"/>
        </w:trPr>
        <w:tc>
          <w:tcPr>
            <w:tcW w:w="5496" w:type="dxa"/>
            <w:vMerge w:val="restart"/>
            <w:tcBorders>
              <w:right w:val="nil"/>
            </w:tcBorders>
          </w:tcPr>
          <w:p>
            <w:pPr>
              <w:pStyle w:val="TableParagraph"/>
              <w:ind w:left="107" w:right="183"/>
              <w:rPr>
                <w:sz w:val="22"/>
              </w:rPr>
            </w:pPr>
            <w:r>
              <w:rPr>
                <w:sz w:val="22"/>
              </w:rPr>
              <w:t>Council</w:t>
            </w:r>
            <w:r>
              <w:rPr>
                <w:spacing w:val="-4"/>
                <w:sz w:val="22"/>
              </w:rPr>
              <w:t> </w:t>
            </w:r>
            <w:r>
              <w:rPr>
                <w:sz w:val="22"/>
              </w:rPr>
              <w:t>provides</w:t>
            </w:r>
            <w:r>
              <w:rPr>
                <w:spacing w:val="-4"/>
                <w:sz w:val="22"/>
              </w:rPr>
              <w:t> </w:t>
            </w:r>
            <w:r>
              <w:rPr>
                <w:sz w:val="22"/>
              </w:rPr>
              <w:t>two</w:t>
            </w:r>
            <w:r>
              <w:rPr>
                <w:spacing w:val="-7"/>
                <w:sz w:val="22"/>
              </w:rPr>
              <w:t> </w:t>
            </w:r>
            <w:r>
              <w:rPr>
                <w:sz w:val="22"/>
              </w:rPr>
              <w:t>library</w:t>
            </w:r>
            <w:r>
              <w:rPr>
                <w:spacing w:val="-6"/>
                <w:sz w:val="22"/>
              </w:rPr>
              <w:t> </w:t>
            </w:r>
            <w:r>
              <w:rPr>
                <w:sz w:val="22"/>
              </w:rPr>
              <w:t>facilities</w:t>
            </w:r>
            <w:r>
              <w:rPr>
                <w:spacing w:val="-4"/>
                <w:sz w:val="22"/>
              </w:rPr>
              <w:t> </w:t>
            </w:r>
            <w:r>
              <w:rPr>
                <w:sz w:val="22"/>
              </w:rPr>
              <w:t>–</w:t>
            </w:r>
            <w:r>
              <w:rPr>
                <w:spacing w:val="-4"/>
                <w:sz w:val="22"/>
              </w:rPr>
              <w:t> </w:t>
            </w:r>
            <w:r>
              <w:rPr>
                <w:sz w:val="22"/>
              </w:rPr>
              <w:t>one</w:t>
            </w:r>
            <w:r>
              <w:rPr>
                <w:spacing w:val="-5"/>
                <w:sz w:val="22"/>
              </w:rPr>
              <w:t> </w:t>
            </w:r>
            <w:r>
              <w:rPr>
                <w:sz w:val="22"/>
              </w:rPr>
              <w:t>at</w:t>
            </w:r>
            <w:r>
              <w:rPr>
                <w:spacing w:val="-3"/>
                <w:sz w:val="22"/>
              </w:rPr>
              <w:t> </w:t>
            </w:r>
            <w:r>
              <w:rPr>
                <w:sz w:val="22"/>
              </w:rPr>
              <w:t>Realm in Ringwood and one at Civic Square in Croydon.</w:t>
            </w:r>
          </w:p>
          <w:p>
            <w:pPr>
              <w:pStyle w:val="TableParagraph"/>
              <w:ind w:left="107"/>
              <w:rPr>
                <w:sz w:val="22"/>
              </w:rPr>
            </w:pPr>
            <w:r>
              <w:rPr>
                <w:sz w:val="22"/>
              </w:rPr>
              <w:t>The</w:t>
            </w:r>
            <w:r>
              <w:rPr>
                <w:spacing w:val="-4"/>
                <w:sz w:val="22"/>
              </w:rPr>
              <w:t> </w:t>
            </w:r>
            <w:r>
              <w:rPr>
                <w:sz w:val="22"/>
              </w:rPr>
              <w:t>libraries</w:t>
            </w:r>
            <w:r>
              <w:rPr>
                <w:spacing w:val="-4"/>
                <w:sz w:val="22"/>
              </w:rPr>
              <w:t> </w:t>
            </w:r>
            <w:r>
              <w:rPr>
                <w:sz w:val="22"/>
              </w:rPr>
              <w:t>are</w:t>
            </w:r>
            <w:r>
              <w:rPr>
                <w:spacing w:val="-6"/>
                <w:sz w:val="22"/>
              </w:rPr>
              <w:t> </w:t>
            </w:r>
            <w:r>
              <w:rPr>
                <w:sz w:val="22"/>
              </w:rPr>
              <w:t>managed</w:t>
            </w:r>
            <w:r>
              <w:rPr>
                <w:spacing w:val="-4"/>
                <w:sz w:val="22"/>
              </w:rPr>
              <w:t> </w:t>
            </w:r>
            <w:r>
              <w:rPr>
                <w:sz w:val="22"/>
              </w:rPr>
              <w:t>by</w:t>
            </w:r>
            <w:r>
              <w:rPr>
                <w:spacing w:val="-2"/>
                <w:sz w:val="22"/>
              </w:rPr>
              <w:t> </w:t>
            </w:r>
            <w:r>
              <w:rPr>
                <w:sz w:val="22"/>
              </w:rPr>
              <w:t>Your</w:t>
            </w:r>
            <w:r>
              <w:rPr>
                <w:spacing w:val="-3"/>
                <w:sz w:val="22"/>
              </w:rPr>
              <w:t> </w:t>
            </w:r>
            <w:r>
              <w:rPr>
                <w:sz w:val="22"/>
              </w:rPr>
              <w:t>Library</w:t>
            </w:r>
            <w:r>
              <w:rPr>
                <w:spacing w:val="-4"/>
                <w:sz w:val="22"/>
              </w:rPr>
              <w:t> </w:t>
            </w:r>
            <w:r>
              <w:rPr>
                <w:sz w:val="22"/>
              </w:rPr>
              <w:t>Limited</w:t>
            </w:r>
            <w:r>
              <w:rPr>
                <w:spacing w:val="-6"/>
                <w:sz w:val="22"/>
              </w:rPr>
              <w:t> </w:t>
            </w:r>
            <w:r>
              <w:rPr>
                <w:sz w:val="22"/>
              </w:rPr>
              <w:t>on behalf of Council and provide a range of services including book borrowing, e-reading loans, computer and internet access, children’s and young people’s programs, genealogy programs and outreach</w:t>
            </w:r>
          </w:p>
          <w:p>
            <w:pPr>
              <w:pStyle w:val="TableParagraph"/>
              <w:spacing w:line="234" w:lineRule="exact"/>
              <w:ind w:left="107"/>
              <w:rPr>
                <w:sz w:val="22"/>
              </w:rPr>
            </w:pPr>
            <w:r>
              <w:rPr>
                <w:spacing w:val="-2"/>
                <w:sz w:val="22"/>
              </w:rPr>
              <w:t>services.</w:t>
            </w:r>
          </w:p>
        </w:tc>
        <w:tc>
          <w:tcPr>
            <w:tcW w:w="996" w:type="dxa"/>
            <w:tcBorders>
              <w:left w:val="nil"/>
              <w:right w:val="nil"/>
            </w:tcBorders>
          </w:tcPr>
          <w:p>
            <w:pPr>
              <w:pStyle w:val="TableParagraph"/>
              <w:spacing w:line="206" w:lineRule="exact"/>
              <w:ind w:left="112"/>
              <w:rPr>
                <w:sz w:val="18"/>
              </w:rPr>
            </w:pPr>
            <w:r>
              <w:rPr>
                <w:spacing w:val="-5"/>
                <w:sz w:val="18"/>
              </w:rPr>
              <w:t>Inc</w:t>
            </w:r>
          </w:p>
          <w:p>
            <w:pPr>
              <w:pStyle w:val="TableParagraph"/>
              <w:spacing w:before="105"/>
              <w:ind w:left="112"/>
              <w:rPr>
                <w:sz w:val="18"/>
              </w:rPr>
            </w:pPr>
            <w:r>
              <w:rPr>
                <w:spacing w:val="-5"/>
                <w:sz w:val="18"/>
              </w:rPr>
              <w:t>Exp</w:t>
            </w:r>
          </w:p>
        </w:tc>
        <w:tc>
          <w:tcPr>
            <w:tcW w:w="1369" w:type="dxa"/>
            <w:tcBorders>
              <w:left w:val="nil"/>
              <w:right w:val="nil"/>
            </w:tcBorders>
          </w:tcPr>
          <w:p>
            <w:pPr>
              <w:pStyle w:val="TableParagraph"/>
              <w:spacing w:line="206" w:lineRule="exact"/>
              <w:ind w:right="131"/>
              <w:jc w:val="right"/>
              <w:rPr>
                <w:sz w:val="18"/>
              </w:rPr>
            </w:pPr>
            <w:r>
              <w:rPr>
                <w:sz w:val="18"/>
              </w:rPr>
              <w:t>-</w:t>
            </w:r>
          </w:p>
          <w:p>
            <w:pPr>
              <w:pStyle w:val="TableParagraph"/>
              <w:spacing w:before="105"/>
              <w:ind w:left="784"/>
              <w:rPr>
                <w:sz w:val="18"/>
              </w:rPr>
            </w:pPr>
            <w:r>
              <w:rPr>
                <w:spacing w:val="-2"/>
                <w:sz w:val="18"/>
              </w:rPr>
              <w:t>3,276</w:t>
            </w:r>
          </w:p>
        </w:tc>
        <w:tc>
          <w:tcPr>
            <w:tcW w:w="1343" w:type="dxa"/>
            <w:tcBorders>
              <w:left w:val="nil"/>
              <w:right w:val="nil"/>
            </w:tcBorders>
          </w:tcPr>
          <w:p>
            <w:pPr>
              <w:pStyle w:val="TableParagraph"/>
              <w:spacing w:line="206" w:lineRule="exact"/>
              <w:ind w:right="103"/>
              <w:jc w:val="right"/>
              <w:rPr>
                <w:sz w:val="18"/>
              </w:rPr>
            </w:pPr>
            <w:r>
              <w:rPr>
                <w:sz w:val="18"/>
              </w:rPr>
              <w:t>-</w:t>
            </w:r>
          </w:p>
          <w:p>
            <w:pPr>
              <w:pStyle w:val="TableParagraph"/>
              <w:spacing w:before="105"/>
              <w:ind w:left="786"/>
              <w:rPr>
                <w:sz w:val="18"/>
              </w:rPr>
            </w:pPr>
            <w:r>
              <w:rPr>
                <w:spacing w:val="-2"/>
                <w:sz w:val="18"/>
              </w:rPr>
              <w:t>3,403</w:t>
            </w:r>
          </w:p>
        </w:tc>
        <w:tc>
          <w:tcPr>
            <w:tcW w:w="1370" w:type="dxa"/>
            <w:tcBorders>
              <w:left w:val="nil"/>
            </w:tcBorders>
            <w:shd w:val="clear" w:color="auto" w:fill="BCD6ED"/>
          </w:tcPr>
          <w:p>
            <w:pPr>
              <w:pStyle w:val="TableParagraph"/>
              <w:spacing w:line="206" w:lineRule="exact"/>
              <w:ind w:right="95"/>
              <w:jc w:val="right"/>
              <w:rPr>
                <w:sz w:val="18"/>
              </w:rPr>
            </w:pPr>
            <w:r>
              <w:rPr>
                <w:sz w:val="18"/>
              </w:rPr>
              <w:t>-</w:t>
            </w:r>
          </w:p>
          <w:p>
            <w:pPr>
              <w:pStyle w:val="TableParagraph"/>
              <w:spacing w:before="105"/>
              <w:ind w:left="811"/>
              <w:rPr>
                <w:sz w:val="18"/>
              </w:rPr>
            </w:pPr>
            <w:r>
              <w:rPr>
                <w:spacing w:val="-2"/>
                <w:sz w:val="18"/>
              </w:rPr>
              <w:t>3,532</w:t>
            </w:r>
          </w:p>
        </w:tc>
      </w:tr>
      <w:tr>
        <w:trPr>
          <w:trHeight w:val="1398" w:hRule="atLeast"/>
        </w:trPr>
        <w:tc>
          <w:tcPr>
            <w:tcW w:w="5496" w:type="dxa"/>
            <w:vMerge/>
            <w:tcBorders>
              <w:top w:val="nil"/>
              <w:right w:val="nil"/>
            </w:tcBorders>
          </w:tcPr>
          <w:p>
            <w:pPr>
              <w:rPr>
                <w:sz w:val="2"/>
                <w:szCs w:val="2"/>
              </w:rPr>
            </w:pPr>
          </w:p>
        </w:tc>
        <w:tc>
          <w:tcPr>
            <w:tcW w:w="996" w:type="dxa"/>
            <w:tcBorders>
              <w:left w:val="nil"/>
              <w:right w:val="nil"/>
            </w:tcBorders>
          </w:tcPr>
          <w:p>
            <w:pPr>
              <w:pStyle w:val="TableParagraph"/>
              <w:spacing w:line="206" w:lineRule="exact"/>
              <w:ind w:left="112"/>
              <w:rPr>
                <w:b/>
                <w:sz w:val="18"/>
              </w:rPr>
            </w:pPr>
            <w:r>
              <w:rPr>
                <w:b/>
                <w:spacing w:val="-2"/>
                <w:sz w:val="18"/>
              </w:rPr>
              <w:t>Surplus</w:t>
            </w:r>
          </w:p>
          <w:p>
            <w:pPr>
              <w:pStyle w:val="TableParagraph"/>
              <w:spacing w:line="207" w:lineRule="exact"/>
              <w:ind w:left="112"/>
              <w:rPr>
                <w:b/>
                <w:sz w:val="18"/>
              </w:rPr>
            </w:pPr>
            <w:r>
              <w:rPr>
                <w:b/>
                <w:sz w:val="18"/>
              </w:rPr>
              <w:t>/ </w:t>
            </w:r>
            <w:r>
              <w:rPr>
                <w:b/>
                <w:spacing w:val="-2"/>
                <w:sz w:val="18"/>
              </w:rPr>
              <w:t>(deficit)</w:t>
            </w:r>
          </w:p>
        </w:tc>
        <w:tc>
          <w:tcPr>
            <w:tcW w:w="1369" w:type="dxa"/>
            <w:tcBorders>
              <w:left w:val="nil"/>
              <w:right w:val="nil"/>
            </w:tcBorders>
          </w:tcPr>
          <w:p>
            <w:pPr>
              <w:pStyle w:val="TableParagraph"/>
              <w:spacing w:line="206" w:lineRule="exact"/>
              <w:ind w:right="129"/>
              <w:jc w:val="right"/>
              <w:rPr>
                <w:b/>
                <w:sz w:val="18"/>
              </w:rPr>
            </w:pPr>
            <w:r>
              <w:rPr>
                <w:b/>
                <w:spacing w:val="-2"/>
                <w:sz w:val="18"/>
              </w:rPr>
              <w:t>(3,276)</w:t>
            </w:r>
          </w:p>
        </w:tc>
        <w:tc>
          <w:tcPr>
            <w:tcW w:w="1343" w:type="dxa"/>
            <w:tcBorders>
              <w:left w:val="nil"/>
              <w:right w:val="nil"/>
            </w:tcBorders>
          </w:tcPr>
          <w:p>
            <w:pPr>
              <w:pStyle w:val="TableParagraph"/>
              <w:spacing w:line="206" w:lineRule="exact"/>
              <w:ind w:right="101"/>
              <w:jc w:val="right"/>
              <w:rPr>
                <w:b/>
                <w:sz w:val="18"/>
              </w:rPr>
            </w:pPr>
            <w:r>
              <w:rPr>
                <w:b/>
                <w:spacing w:val="-2"/>
                <w:sz w:val="18"/>
              </w:rPr>
              <w:t>(3,403)</w:t>
            </w:r>
          </w:p>
        </w:tc>
        <w:tc>
          <w:tcPr>
            <w:tcW w:w="1370" w:type="dxa"/>
            <w:tcBorders>
              <w:left w:val="nil"/>
            </w:tcBorders>
            <w:shd w:val="clear" w:color="auto" w:fill="BCD6ED"/>
          </w:tcPr>
          <w:p>
            <w:pPr>
              <w:pStyle w:val="TableParagraph"/>
              <w:spacing w:line="206" w:lineRule="exact"/>
              <w:ind w:right="94"/>
              <w:jc w:val="right"/>
              <w:rPr>
                <w:b/>
                <w:sz w:val="18"/>
              </w:rPr>
            </w:pPr>
            <w:r>
              <w:rPr>
                <w:b/>
                <w:spacing w:val="-2"/>
                <w:sz w:val="18"/>
              </w:rPr>
              <w:t>(3,532)</w:t>
            </w:r>
          </w:p>
        </w:tc>
      </w:tr>
    </w:tbl>
    <w:p>
      <w:pPr>
        <w:pStyle w:val="Heading5"/>
        <w:spacing w:before="255"/>
        <w:ind w:left="391"/>
      </w:pPr>
      <w:r>
        <w:rPr/>
        <w:t>Major</w:t>
      </w:r>
      <w:r>
        <w:rPr>
          <w:spacing w:val="-5"/>
        </w:rPr>
        <w:t> </w:t>
      </w:r>
      <w:r>
        <w:rPr/>
        <w:t>Initiatives</w:t>
      </w:r>
      <w:r>
        <w:rPr>
          <w:spacing w:val="-5"/>
        </w:rPr>
        <w:t> </w:t>
      </w:r>
      <w:r>
        <w:rPr/>
        <w:t>(Priority</w:t>
      </w:r>
      <w:r>
        <w:rPr>
          <w:spacing w:val="-6"/>
        </w:rPr>
        <w:t> </w:t>
      </w:r>
      <w:r>
        <w:rPr>
          <w:spacing w:val="-2"/>
        </w:rPr>
        <w:t>Action)</w:t>
      </w:r>
    </w:p>
    <w:p>
      <w:pPr>
        <w:pStyle w:val="BodyText"/>
        <w:rPr>
          <w:b/>
        </w:rPr>
      </w:pPr>
    </w:p>
    <w:p>
      <w:pPr>
        <w:pStyle w:val="ListParagraph"/>
        <w:numPr>
          <w:ilvl w:val="0"/>
          <w:numId w:val="13"/>
        </w:numPr>
        <w:tabs>
          <w:tab w:pos="960" w:val="left" w:leader="none"/>
        </w:tabs>
        <w:spacing w:line="252" w:lineRule="exact" w:before="0" w:after="0"/>
        <w:ind w:left="959" w:right="0" w:hanging="569"/>
        <w:jc w:val="both"/>
        <w:rPr>
          <w:sz w:val="22"/>
        </w:rPr>
      </w:pPr>
      <w:r>
        <w:rPr>
          <w:sz w:val="22"/>
        </w:rPr>
        <w:t>Identify</w:t>
      </w:r>
      <w:r>
        <w:rPr>
          <w:spacing w:val="-6"/>
          <w:sz w:val="22"/>
        </w:rPr>
        <w:t> </w:t>
      </w:r>
      <w:r>
        <w:rPr>
          <w:sz w:val="22"/>
        </w:rPr>
        <w:t>and</w:t>
      </w:r>
      <w:r>
        <w:rPr>
          <w:spacing w:val="-5"/>
          <w:sz w:val="22"/>
        </w:rPr>
        <w:t> </w:t>
      </w:r>
      <w:r>
        <w:rPr>
          <w:sz w:val="22"/>
        </w:rPr>
        <w:t>facilitate</w:t>
      </w:r>
      <w:r>
        <w:rPr>
          <w:spacing w:val="-6"/>
          <w:sz w:val="22"/>
        </w:rPr>
        <w:t> </w:t>
      </w:r>
      <w:r>
        <w:rPr>
          <w:sz w:val="22"/>
        </w:rPr>
        <w:t>co-working</w:t>
      </w:r>
      <w:r>
        <w:rPr>
          <w:spacing w:val="-4"/>
          <w:sz w:val="22"/>
        </w:rPr>
        <w:t> </w:t>
      </w:r>
      <w:r>
        <w:rPr>
          <w:sz w:val="22"/>
        </w:rPr>
        <w:t>opportunities</w:t>
      </w:r>
      <w:r>
        <w:rPr>
          <w:spacing w:val="-2"/>
          <w:sz w:val="22"/>
        </w:rPr>
        <w:t> </w:t>
      </w:r>
      <w:r>
        <w:rPr>
          <w:sz w:val="22"/>
        </w:rPr>
        <w:t>and</w:t>
      </w:r>
      <w:r>
        <w:rPr>
          <w:spacing w:val="-4"/>
          <w:sz w:val="22"/>
        </w:rPr>
        <w:t> </w:t>
      </w:r>
      <w:r>
        <w:rPr>
          <w:sz w:val="22"/>
        </w:rPr>
        <w:t>spaces</w:t>
      </w:r>
      <w:r>
        <w:rPr>
          <w:spacing w:val="-4"/>
          <w:sz w:val="22"/>
        </w:rPr>
        <w:t> </w:t>
      </w:r>
      <w:r>
        <w:rPr>
          <w:sz w:val="22"/>
        </w:rPr>
        <w:t>in</w:t>
      </w:r>
      <w:r>
        <w:rPr>
          <w:spacing w:val="-3"/>
          <w:sz w:val="22"/>
        </w:rPr>
        <w:t> </w:t>
      </w:r>
      <w:r>
        <w:rPr>
          <w:spacing w:val="-2"/>
          <w:sz w:val="22"/>
        </w:rPr>
        <w:t>Maroondah.</w:t>
      </w:r>
    </w:p>
    <w:p>
      <w:pPr>
        <w:pStyle w:val="ListParagraph"/>
        <w:numPr>
          <w:ilvl w:val="0"/>
          <w:numId w:val="13"/>
        </w:numPr>
        <w:tabs>
          <w:tab w:pos="960" w:val="left" w:leader="none"/>
        </w:tabs>
        <w:spacing w:line="240" w:lineRule="auto" w:before="0" w:after="0"/>
        <w:ind w:left="958" w:right="402" w:hanging="567"/>
        <w:jc w:val="both"/>
        <w:rPr>
          <w:sz w:val="22"/>
        </w:rPr>
      </w:pPr>
      <w:r>
        <w:rPr>
          <w:sz w:val="22"/>
        </w:rPr>
        <w:t>Advance planning to reinforce the sense of place and Local Neighbourhoods to enable people the choice to live local through the provision of services and daily needs from across a network of neighbourhoods within Maroondah.</w:t>
      </w:r>
    </w:p>
    <w:p>
      <w:pPr>
        <w:pStyle w:val="ListParagraph"/>
        <w:numPr>
          <w:ilvl w:val="0"/>
          <w:numId w:val="13"/>
        </w:numPr>
        <w:tabs>
          <w:tab w:pos="960" w:val="left" w:leader="none"/>
        </w:tabs>
        <w:spacing w:line="240" w:lineRule="auto" w:before="0" w:after="0"/>
        <w:ind w:left="958" w:right="399" w:hanging="567"/>
        <w:jc w:val="both"/>
        <w:rPr>
          <w:sz w:val="22"/>
        </w:rPr>
      </w:pPr>
      <w:r>
        <w:rPr>
          <w:sz w:val="22"/>
        </w:rPr>
        <w:t>Work in partnership to implement the Bayswater Business Precinct Transformation Strategy and investigate and implement innovative opportunities to enhance business capability, skill development, employment, and education pathways for the manufacturing sector.</w:t>
      </w:r>
    </w:p>
    <w:p>
      <w:pPr>
        <w:pStyle w:val="ListParagraph"/>
        <w:numPr>
          <w:ilvl w:val="0"/>
          <w:numId w:val="13"/>
        </w:numPr>
        <w:tabs>
          <w:tab w:pos="960" w:val="left" w:leader="none"/>
        </w:tabs>
        <w:spacing w:line="240" w:lineRule="auto" w:before="1" w:after="0"/>
        <w:ind w:left="958" w:right="402" w:hanging="567"/>
        <w:jc w:val="both"/>
        <w:rPr>
          <w:sz w:val="22"/>
        </w:rPr>
      </w:pPr>
      <w:r>
        <w:rPr>
          <w:sz w:val="22"/>
        </w:rPr>
        <w:t>Work in partnership to plan for and support the Victorian Government three- and four-year-old kindergarten reforms, including advocating for funding at all levels of Government for new and redeveloped facilities to enable these reforms in Maroondah.</w:t>
      </w:r>
    </w:p>
    <w:p>
      <w:pPr>
        <w:spacing w:after="0" w:line="240" w:lineRule="auto"/>
        <w:jc w:val="both"/>
        <w:rPr>
          <w:sz w:val="22"/>
        </w:rPr>
        <w:sectPr>
          <w:pgSz w:w="11910" w:h="16840"/>
          <w:pgMar w:header="0" w:footer="426" w:top="340" w:bottom="620" w:left="460" w:right="160"/>
        </w:sectPr>
      </w:pPr>
    </w:p>
    <w:p>
      <w:pPr>
        <w:spacing w:before="69"/>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spacing w:before="9"/>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76"/>
        <w:gridCol w:w="1675"/>
        <w:gridCol w:w="3542"/>
        <w:gridCol w:w="3484"/>
      </w:tblGrid>
      <w:tr>
        <w:trPr>
          <w:trHeight w:val="510" w:hRule="atLeast"/>
        </w:trPr>
        <w:tc>
          <w:tcPr>
            <w:tcW w:w="1776" w:type="dxa"/>
            <w:shd w:val="clear" w:color="auto" w:fill="629CD1"/>
          </w:tcPr>
          <w:p>
            <w:pPr>
              <w:pStyle w:val="TableParagraph"/>
              <w:spacing w:before="141"/>
              <w:ind w:left="107"/>
              <w:rPr>
                <w:b/>
                <w:sz w:val="20"/>
              </w:rPr>
            </w:pPr>
            <w:r>
              <w:rPr>
                <w:b/>
                <w:spacing w:val="-2"/>
                <w:sz w:val="20"/>
              </w:rPr>
              <w:t>Service</w:t>
            </w:r>
          </w:p>
        </w:tc>
        <w:tc>
          <w:tcPr>
            <w:tcW w:w="1675" w:type="dxa"/>
            <w:shd w:val="clear" w:color="auto" w:fill="629CD1"/>
          </w:tcPr>
          <w:p>
            <w:pPr>
              <w:pStyle w:val="TableParagraph"/>
              <w:spacing w:before="141"/>
              <w:ind w:left="105"/>
              <w:rPr>
                <w:b/>
                <w:sz w:val="20"/>
              </w:rPr>
            </w:pPr>
            <w:r>
              <w:rPr>
                <w:b/>
                <w:spacing w:val="-2"/>
                <w:sz w:val="20"/>
              </w:rPr>
              <w:t>Indicator</w:t>
            </w:r>
          </w:p>
        </w:tc>
        <w:tc>
          <w:tcPr>
            <w:tcW w:w="3542" w:type="dxa"/>
            <w:shd w:val="clear" w:color="auto" w:fill="629CD1"/>
          </w:tcPr>
          <w:p>
            <w:pPr>
              <w:pStyle w:val="TableParagraph"/>
              <w:spacing w:before="141"/>
              <w:ind w:left="105"/>
              <w:rPr>
                <w:b/>
                <w:sz w:val="20"/>
              </w:rPr>
            </w:pPr>
            <w:r>
              <w:rPr>
                <w:b/>
                <w:w w:val="95"/>
                <w:sz w:val="20"/>
              </w:rPr>
              <w:t>Performance</w:t>
            </w:r>
            <w:r>
              <w:rPr>
                <w:b/>
                <w:spacing w:val="47"/>
                <w:sz w:val="20"/>
              </w:rPr>
              <w:t> </w:t>
            </w:r>
            <w:r>
              <w:rPr>
                <w:b/>
                <w:spacing w:val="-2"/>
                <w:sz w:val="20"/>
              </w:rPr>
              <w:t>Measure</w:t>
            </w:r>
          </w:p>
        </w:tc>
        <w:tc>
          <w:tcPr>
            <w:tcW w:w="3484" w:type="dxa"/>
            <w:shd w:val="clear" w:color="auto" w:fill="629CD1"/>
          </w:tcPr>
          <w:p>
            <w:pPr>
              <w:pStyle w:val="TableParagraph"/>
              <w:spacing w:before="141"/>
              <w:ind w:left="108"/>
              <w:rPr>
                <w:b/>
                <w:sz w:val="20"/>
              </w:rPr>
            </w:pPr>
            <w:r>
              <w:rPr>
                <w:b/>
                <w:spacing w:val="-2"/>
                <w:sz w:val="20"/>
              </w:rPr>
              <w:t>Computation</w:t>
            </w:r>
          </w:p>
        </w:tc>
      </w:tr>
      <w:tr>
        <w:trPr>
          <w:trHeight w:val="760" w:hRule="atLeast"/>
        </w:trPr>
        <w:tc>
          <w:tcPr>
            <w:tcW w:w="1776" w:type="dxa"/>
          </w:tcPr>
          <w:p>
            <w:pPr>
              <w:pStyle w:val="TableParagraph"/>
              <w:ind w:left="107"/>
              <w:rPr>
                <w:sz w:val="22"/>
              </w:rPr>
            </w:pPr>
            <w:r>
              <w:rPr>
                <w:spacing w:val="-2"/>
                <w:sz w:val="22"/>
              </w:rPr>
              <w:t>Libraries</w:t>
            </w:r>
          </w:p>
        </w:tc>
        <w:tc>
          <w:tcPr>
            <w:tcW w:w="1675" w:type="dxa"/>
          </w:tcPr>
          <w:p>
            <w:pPr>
              <w:pStyle w:val="TableParagraph"/>
              <w:ind w:left="105"/>
              <w:rPr>
                <w:sz w:val="22"/>
              </w:rPr>
            </w:pPr>
            <w:r>
              <w:rPr>
                <w:spacing w:val="-2"/>
                <w:sz w:val="22"/>
              </w:rPr>
              <w:t>Participation</w:t>
            </w:r>
          </w:p>
        </w:tc>
        <w:tc>
          <w:tcPr>
            <w:tcW w:w="3542" w:type="dxa"/>
          </w:tcPr>
          <w:p>
            <w:pPr>
              <w:pStyle w:val="TableParagraph"/>
              <w:ind w:left="105"/>
              <w:rPr>
                <w:sz w:val="22"/>
              </w:rPr>
            </w:pPr>
            <w:r>
              <w:rPr>
                <w:sz w:val="22"/>
              </w:rPr>
              <w:t>Library</w:t>
            </w:r>
            <w:r>
              <w:rPr>
                <w:spacing w:val="-6"/>
                <w:sz w:val="22"/>
              </w:rPr>
              <w:t> </w:t>
            </w:r>
            <w:r>
              <w:rPr>
                <w:sz w:val="22"/>
              </w:rPr>
              <w:t>membership</w:t>
            </w:r>
            <w:r>
              <w:rPr>
                <w:spacing w:val="-6"/>
                <w:sz w:val="22"/>
              </w:rPr>
              <w:t> </w:t>
            </w:r>
            <w:r>
              <w:rPr>
                <w:spacing w:val="-2"/>
                <w:sz w:val="22"/>
              </w:rPr>
              <w:t>(Percentage</w:t>
            </w:r>
          </w:p>
          <w:p>
            <w:pPr>
              <w:pStyle w:val="TableParagraph"/>
              <w:spacing w:line="252" w:lineRule="exact"/>
              <w:ind w:left="105" w:right="34"/>
              <w:rPr>
                <w:sz w:val="22"/>
              </w:rPr>
            </w:pPr>
            <w:r>
              <w:rPr>
                <w:sz w:val="22"/>
              </w:rPr>
              <w:t>of the population that are registered</w:t>
            </w:r>
            <w:r>
              <w:rPr>
                <w:spacing w:val="-16"/>
                <w:sz w:val="22"/>
              </w:rPr>
              <w:t> </w:t>
            </w:r>
            <w:r>
              <w:rPr>
                <w:sz w:val="22"/>
              </w:rPr>
              <w:t>library</w:t>
            </w:r>
            <w:r>
              <w:rPr>
                <w:spacing w:val="-15"/>
                <w:sz w:val="22"/>
              </w:rPr>
              <w:t> </w:t>
            </w:r>
            <w:r>
              <w:rPr>
                <w:sz w:val="22"/>
              </w:rPr>
              <w:t>members)</w:t>
            </w:r>
          </w:p>
        </w:tc>
        <w:tc>
          <w:tcPr>
            <w:tcW w:w="3484" w:type="dxa"/>
          </w:tcPr>
          <w:p>
            <w:pPr>
              <w:pStyle w:val="TableParagraph"/>
              <w:tabs>
                <w:tab w:pos="1176" w:val="left" w:leader="none"/>
                <w:tab w:pos="1580" w:val="left" w:leader="none"/>
                <w:tab w:pos="2779" w:val="left" w:leader="none"/>
              </w:tabs>
              <w:ind w:left="108" w:right="91"/>
              <w:rPr>
                <w:sz w:val="22"/>
              </w:rPr>
            </w:pPr>
            <w:r>
              <w:rPr>
                <w:spacing w:val="-2"/>
                <w:sz w:val="22"/>
              </w:rPr>
              <w:t>[Number</w:t>
            </w:r>
            <w:r>
              <w:rPr>
                <w:sz w:val="22"/>
              </w:rPr>
              <w:tab/>
            </w:r>
            <w:r>
              <w:rPr>
                <w:spacing w:val="-6"/>
                <w:sz w:val="22"/>
              </w:rPr>
              <w:t>of</w:t>
            </w:r>
            <w:r>
              <w:rPr>
                <w:sz w:val="22"/>
              </w:rPr>
              <w:tab/>
            </w:r>
            <w:r>
              <w:rPr>
                <w:spacing w:val="-2"/>
                <w:sz w:val="22"/>
              </w:rPr>
              <w:t>registered</w:t>
            </w:r>
            <w:r>
              <w:rPr>
                <w:sz w:val="22"/>
              </w:rPr>
              <w:tab/>
            </w:r>
            <w:r>
              <w:rPr>
                <w:spacing w:val="-2"/>
                <w:sz w:val="22"/>
              </w:rPr>
              <w:t>library </w:t>
            </w:r>
            <w:r>
              <w:rPr>
                <w:sz w:val="22"/>
              </w:rPr>
              <w:t>members / Population] x100</w:t>
            </w:r>
          </w:p>
        </w:tc>
      </w:tr>
    </w:tbl>
    <w:p>
      <w:pPr>
        <w:spacing w:after="0"/>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391" w:right="1602" w:firstLine="0"/>
        <w:jc w:val="left"/>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3:</w:t>
      </w:r>
      <w:r>
        <w:rPr>
          <w:color w:val="4966AC"/>
          <w:spacing w:val="-4"/>
        </w:rPr>
        <w:t> </w:t>
      </w:r>
      <w:r>
        <w:rPr>
          <w:color w:val="4966AC"/>
        </w:rPr>
        <w:t>A</w:t>
      </w:r>
      <w:r>
        <w:rPr>
          <w:color w:val="4966AC"/>
          <w:spacing w:val="-4"/>
        </w:rPr>
        <w:t> </w:t>
      </w:r>
      <w:r>
        <w:rPr>
          <w:color w:val="4966AC"/>
        </w:rPr>
        <w:t>vibrant</w:t>
      </w:r>
      <w:r>
        <w:rPr>
          <w:color w:val="4966AC"/>
          <w:spacing w:val="-4"/>
        </w:rPr>
        <w:t> </w:t>
      </w:r>
      <w:r>
        <w:rPr>
          <w:color w:val="4966AC"/>
        </w:rPr>
        <w:t>and</w:t>
      </w:r>
      <w:r>
        <w:rPr>
          <w:color w:val="4966AC"/>
          <w:spacing w:val="-2"/>
        </w:rPr>
        <w:t> </w:t>
      </w:r>
      <w:r>
        <w:rPr>
          <w:color w:val="4966AC"/>
        </w:rPr>
        <w:t>culturally</w:t>
      </w:r>
      <w:r>
        <w:rPr>
          <w:color w:val="4966AC"/>
          <w:spacing w:val="-6"/>
        </w:rPr>
        <w:t> </w:t>
      </w:r>
      <w:r>
        <w:rPr>
          <w:color w:val="4966AC"/>
        </w:rPr>
        <w:t>rich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7"/>
        <w:gridCol w:w="996"/>
        <w:gridCol w:w="1284"/>
        <w:gridCol w:w="1271"/>
        <w:gridCol w:w="1392"/>
      </w:tblGrid>
      <w:tr>
        <w:trPr>
          <w:trHeight w:val="899" w:hRule="atLeast"/>
        </w:trPr>
        <w:tc>
          <w:tcPr>
            <w:tcW w:w="5537" w:type="dxa"/>
            <w:tcBorders>
              <w:bottom w:val="nil"/>
              <w:right w:val="nil"/>
            </w:tcBorders>
            <w:shd w:val="clear" w:color="auto" w:fill="5B9AD4"/>
          </w:tcPr>
          <w:p>
            <w:pPr>
              <w:pStyle w:val="TableParagraph"/>
              <w:spacing w:before="1"/>
              <w:rPr>
                <w:b/>
                <w:sz w:val="28"/>
              </w:rPr>
            </w:pPr>
          </w:p>
          <w:p>
            <w:pPr>
              <w:pStyle w:val="TableParagraph"/>
              <w:spacing w:before="1"/>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96" w:type="dxa"/>
            <w:tcBorders>
              <w:left w:val="nil"/>
              <w:bottom w:val="nil"/>
              <w:right w:val="nil"/>
            </w:tcBorders>
            <w:shd w:val="clear" w:color="auto" w:fill="5B9AD4"/>
          </w:tcPr>
          <w:p>
            <w:pPr>
              <w:pStyle w:val="TableParagraph"/>
              <w:rPr>
                <w:rFonts w:ascii="Times New Roman"/>
                <w:sz w:val="20"/>
              </w:rPr>
            </w:pPr>
          </w:p>
        </w:tc>
        <w:tc>
          <w:tcPr>
            <w:tcW w:w="1284" w:type="dxa"/>
            <w:tcBorders>
              <w:left w:val="nil"/>
              <w:bottom w:val="nil"/>
              <w:right w:val="nil"/>
            </w:tcBorders>
            <w:shd w:val="clear" w:color="auto" w:fill="5B9AD4"/>
          </w:tcPr>
          <w:p>
            <w:pPr>
              <w:pStyle w:val="TableParagraph"/>
              <w:spacing w:before="24"/>
              <w:ind w:left="109" w:right="110"/>
              <w:jc w:val="center"/>
              <w:rPr>
                <w:b/>
                <w:sz w:val="22"/>
              </w:rPr>
            </w:pPr>
            <w:r>
              <w:rPr>
                <w:b/>
                <w:color w:val="FFFFFF"/>
                <w:spacing w:val="-2"/>
                <w:sz w:val="22"/>
              </w:rPr>
              <w:t>2022/2023</w:t>
            </w:r>
          </w:p>
          <w:p>
            <w:pPr>
              <w:pStyle w:val="TableParagraph"/>
              <w:spacing w:before="47"/>
              <w:ind w:left="109" w:right="110"/>
              <w:jc w:val="center"/>
              <w:rPr>
                <w:b/>
                <w:sz w:val="22"/>
              </w:rPr>
            </w:pPr>
            <w:r>
              <w:rPr>
                <w:b/>
                <w:color w:val="FFFFFF"/>
                <w:spacing w:val="-2"/>
                <w:sz w:val="22"/>
              </w:rPr>
              <w:t>Actual</w:t>
            </w:r>
          </w:p>
          <w:p>
            <w:pPr>
              <w:pStyle w:val="TableParagraph"/>
              <w:spacing w:before="47"/>
              <w:ind w:left="110" w:right="110"/>
              <w:jc w:val="center"/>
              <w:rPr>
                <w:b/>
                <w:sz w:val="22"/>
              </w:rPr>
            </w:pPr>
            <w:r>
              <w:rPr>
                <w:b/>
                <w:color w:val="FFFFFF"/>
                <w:spacing w:val="-2"/>
                <w:sz w:val="22"/>
              </w:rPr>
              <w:t>$'000</w:t>
            </w:r>
          </w:p>
        </w:tc>
        <w:tc>
          <w:tcPr>
            <w:tcW w:w="1271" w:type="dxa"/>
            <w:tcBorders>
              <w:left w:val="nil"/>
              <w:bottom w:val="nil"/>
              <w:right w:val="nil"/>
            </w:tcBorders>
            <w:shd w:val="clear" w:color="auto" w:fill="5B9AD4"/>
          </w:tcPr>
          <w:p>
            <w:pPr>
              <w:pStyle w:val="TableParagraph"/>
              <w:spacing w:before="24"/>
              <w:ind w:left="102" w:right="102"/>
              <w:jc w:val="center"/>
              <w:rPr>
                <w:b/>
                <w:sz w:val="22"/>
              </w:rPr>
            </w:pPr>
            <w:r>
              <w:rPr>
                <w:b/>
                <w:color w:val="FFFFFF"/>
                <w:spacing w:val="-2"/>
                <w:sz w:val="22"/>
              </w:rPr>
              <w:t>2023/2024</w:t>
            </w:r>
          </w:p>
          <w:p>
            <w:pPr>
              <w:pStyle w:val="TableParagraph"/>
              <w:spacing w:before="47"/>
              <w:ind w:left="102" w:right="101"/>
              <w:jc w:val="center"/>
              <w:rPr>
                <w:b/>
                <w:sz w:val="22"/>
              </w:rPr>
            </w:pPr>
            <w:r>
              <w:rPr>
                <w:b/>
                <w:color w:val="FFFFFF"/>
                <w:spacing w:val="-2"/>
                <w:sz w:val="22"/>
              </w:rPr>
              <w:t>Forecast</w:t>
            </w:r>
          </w:p>
          <w:p>
            <w:pPr>
              <w:pStyle w:val="TableParagraph"/>
              <w:spacing w:before="47"/>
              <w:ind w:left="102" w:right="102"/>
              <w:jc w:val="center"/>
              <w:rPr>
                <w:b/>
                <w:sz w:val="22"/>
              </w:rPr>
            </w:pPr>
            <w:r>
              <w:rPr>
                <w:b/>
                <w:color w:val="FFFFFF"/>
                <w:spacing w:val="-2"/>
                <w:sz w:val="22"/>
              </w:rPr>
              <w:t>$'000</w:t>
            </w:r>
          </w:p>
        </w:tc>
        <w:tc>
          <w:tcPr>
            <w:tcW w:w="1392" w:type="dxa"/>
            <w:tcBorders>
              <w:left w:val="nil"/>
              <w:bottom w:val="nil"/>
            </w:tcBorders>
            <w:shd w:val="clear" w:color="auto" w:fill="5B9AD4"/>
          </w:tcPr>
          <w:p>
            <w:pPr>
              <w:pStyle w:val="TableParagraph"/>
              <w:spacing w:before="24"/>
              <w:ind w:left="162" w:right="157"/>
              <w:jc w:val="center"/>
              <w:rPr>
                <w:b/>
                <w:sz w:val="22"/>
              </w:rPr>
            </w:pPr>
            <w:r>
              <w:rPr>
                <w:b/>
                <w:color w:val="FFFFFF"/>
                <w:spacing w:val="-2"/>
                <w:sz w:val="22"/>
              </w:rPr>
              <w:t>2024/2025</w:t>
            </w:r>
          </w:p>
          <w:p>
            <w:pPr>
              <w:pStyle w:val="TableParagraph"/>
              <w:spacing w:before="47"/>
              <w:ind w:left="162" w:right="158"/>
              <w:jc w:val="center"/>
              <w:rPr>
                <w:b/>
                <w:sz w:val="22"/>
              </w:rPr>
            </w:pPr>
            <w:r>
              <w:rPr>
                <w:b/>
                <w:color w:val="FFFFFF"/>
                <w:spacing w:val="-2"/>
                <w:sz w:val="22"/>
              </w:rPr>
              <w:t>Budget</w:t>
            </w:r>
          </w:p>
          <w:p>
            <w:pPr>
              <w:pStyle w:val="TableParagraph"/>
              <w:spacing w:before="47"/>
              <w:ind w:left="162" w:right="156"/>
              <w:jc w:val="center"/>
              <w:rPr>
                <w:b/>
                <w:sz w:val="22"/>
              </w:rPr>
            </w:pPr>
            <w:r>
              <w:rPr>
                <w:b/>
                <w:color w:val="FFFFFF"/>
                <w:spacing w:val="-2"/>
                <w:sz w:val="22"/>
              </w:rPr>
              <w:t>$'000</w:t>
            </w:r>
          </w:p>
        </w:tc>
      </w:tr>
      <w:tr>
        <w:trPr>
          <w:trHeight w:val="299" w:hRule="atLeast"/>
        </w:trPr>
        <w:tc>
          <w:tcPr>
            <w:tcW w:w="10480" w:type="dxa"/>
            <w:gridSpan w:val="5"/>
            <w:tcBorders>
              <w:top w:val="nil"/>
            </w:tcBorders>
          </w:tcPr>
          <w:p>
            <w:pPr>
              <w:pStyle w:val="TableParagraph"/>
              <w:spacing w:before="24"/>
              <w:ind w:left="107"/>
              <w:rPr>
                <w:b/>
                <w:sz w:val="22"/>
              </w:rPr>
            </w:pPr>
            <w:r>
              <w:rPr>
                <w:b/>
                <w:color w:val="5B9AD4"/>
                <w:sz w:val="22"/>
              </w:rPr>
              <w:t>Arts</w:t>
            </w:r>
            <w:r>
              <w:rPr>
                <w:b/>
                <w:color w:val="5B9AD4"/>
                <w:spacing w:val="-4"/>
                <w:sz w:val="22"/>
              </w:rPr>
              <w:t> </w:t>
            </w:r>
            <w:r>
              <w:rPr>
                <w:b/>
                <w:color w:val="5B9AD4"/>
                <w:sz w:val="22"/>
              </w:rPr>
              <w:t>and</w:t>
            </w:r>
            <w:r>
              <w:rPr>
                <w:b/>
                <w:color w:val="5B9AD4"/>
                <w:spacing w:val="-5"/>
                <w:sz w:val="22"/>
              </w:rPr>
              <w:t> </w:t>
            </w:r>
            <w:r>
              <w:rPr>
                <w:b/>
                <w:color w:val="5B9AD4"/>
                <w:sz w:val="22"/>
              </w:rPr>
              <w:t>Culture</w:t>
            </w:r>
            <w:r>
              <w:rPr>
                <w:b/>
                <w:color w:val="5B9AD4"/>
                <w:spacing w:val="-5"/>
                <w:sz w:val="22"/>
              </w:rPr>
              <w:t> </w:t>
            </w:r>
            <w:r>
              <w:rPr>
                <w:b/>
                <w:color w:val="5B9AD4"/>
                <w:sz w:val="22"/>
              </w:rPr>
              <w:t>(Business</w:t>
            </w:r>
            <w:r>
              <w:rPr>
                <w:b/>
                <w:color w:val="5B9AD4"/>
                <w:spacing w:val="-1"/>
                <w:sz w:val="22"/>
              </w:rPr>
              <w:t> </w:t>
            </w:r>
            <w:r>
              <w:rPr>
                <w:b/>
                <w:color w:val="5B9AD4"/>
                <w:sz w:val="22"/>
              </w:rPr>
              <w:t>and</w:t>
            </w:r>
            <w:r>
              <w:rPr>
                <w:b/>
                <w:color w:val="5B9AD4"/>
                <w:spacing w:val="-1"/>
                <w:sz w:val="22"/>
              </w:rPr>
              <w:t> </w:t>
            </w:r>
            <w:r>
              <w:rPr>
                <w:b/>
                <w:color w:val="5B9AD4"/>
                <w:spacing w:val="-2"/>
                <w:sz w:val="22"/>
              </w:rPr>
              <w:t>Precincts)</w:t>
            </w:r>
          </w:p>
        </w:tc>
      </w:tr>
      <w:tr>
        <w:trPr>
          <w:trHeight w:val="611" w:hRule="atLeast"/>
        </w:trPr>
        <w:tc>
          <w:tcPr>
            <w:tcW w:w="5537" w:type="dxa"/>
            <w:vMerge w:val="restart"/>
            <w:tcBorders>
              <w:right w:val="nil"/>
            </w:tcBorders>
          </w:tcPr>
          <w:p>
            <w:pPr>
              <w:pStyle w:val="TableParagraph"/>
              <w:spacing w:before="2"/>
              <w:ind w:left="107" w:right="145"/>
              <w:rPr>
                <w:sz w:val="22"/>
              </w:rPr>
            </w:pPr>
            <w:r>
              <w:rPr>
                <w:sz w:val="22"/>
              </w:rPr>
              <w:t>Arts and Culture delivers a range of facilities, programs and services at Maroondah arts and culture venues – Artspace at Realm, Wyreena Community Arts</w:t>
            </w:r>
            <w:r>
              <w:rPr>
                <w:spacing w:val="-4"/>
                <w:sz w:val="22"/>
              </w:rPr>
              <w:t> </w:t>
            </w:r>
            <w:r>
              <w:rPr>
                <w:sz w:val="22"/>
              </w:rPr>
              <w:t>Centre</w:t>
            </w:r>
            <w:r>
              <w:rPr>
                <w:spacing w:val="-6"/>
                <w:sz w:val="22"/>
              </w:rPr>
              <w:t> </w:t>
            </w:r>
            <w:r>
              <w:rPr>
                <w:sz w:val="22"/>
              </w:rPr>
              <w:t>in</w:t>
            </w:r>
            <w:r>
              <w:rPr>
                <w:spacing w:val="-6"/>
                <w:sz w:val="22"/>
              </w:rPr>
              <w:t> </w:t>
            </w:r>
            <w:r>
              <w:rPr>
                <w:sz w:val="22"/>
              </w:rPr>
              <w:t>Croydon,</w:t>
            </w:r>
            <w:r>
              <w:rPr>
                <w:spacing w:val="-8"/>
                <w:sz w:val="22"/>
              </w:rPr>
              <w:t> </w:t>
            </w:r>
            <w:r>
              <w:rPr>
                <w:sz w:val="22"/>
              </w:rPr>
              <w:t>Maroondah</w:t>
            </w:r>
            <w:r>
              <w:rPr>
                <w:spacing w:val="-5"/>
                <w:sz w:val="22"/>
              </w:rPr>
              <w:t> </w:t>
            </w:r>
            <w:r>
              <w:rPr>
                <w:sz w:val="22"/>
              </w:rPr>
              <w:t>Federation</w:t>
            </w:r>
            <w:r>
              <w:rPr>
                <w:spacing w:val="-4"/>
                <w:sz w:val="22"/>
              </w:rPr>
              <w:t> </w:t>
            </w:r>
            <w:r>
              <w:rPr>
                <w:sz w:val="22"/>
              </w:rPr>
              <w:t>Estate Gallery, and the Maroondah City Council Art Collection; as well as the Public Art Collection located across various sites in Maroondah.</w:t>
            </w:r>
          </w:p>
          <w:p>
            <w:pPr>
              <w:pStyle w:val="TableParagraph"/>
              <w:ind w:left="107" w:right="145"/>
              <w:rPr>
                <w:sz w:val="22"/>
              </w:rPr>
            </w:pPr>
            <w:r>
              <w:rPr>
                <w:sz w:val="22"/>
              </w:rPr>
              <w:t>Support provided to local artists, creative industry professionals, the community and cultural groups through capacity building and training, skill development, and networking opportunities. In addition,</w:t>
            </w:r>
            <w:r>
              <w:rPr>
                <w:spacing w:val="-3"/>
                <w:sz w:val="22"/>
              </w:rPr>
              <w:t> </w:t>
            </w:r>
            <w:r>
              <w:rPr>
                <w:sz w:val="22"/>
              </w:rPr>
              <w:t>financial</w:t>
            </w:r>
            <w:r>
              <w:rPr>
                <w:spacing w:val="-5"/>
                <w:sz w:val="22"/>
              </w:rPr>
              <w:t> </w:t>
            </w:r>
            <w:r>
              <w:rPr>
                <w:sz w:val="22"/>
              </w:rPr>
              <w:t>support</w:t>
            </w:r>
            <w:r>
              <w:rPr>
                <w:spacing w:val="-3"/>
                <w:sz w:val="22"/>
              </w:rPr>
              <w:t> </w:t>
            </w:r>
            <w:r>
              <w:rPr>
                <w:sz w:val="22"/>
              </w:rPr>
              <w:t>is</w:t>
            </w:r>
            <w:r>
              <w:rPr>
                <w:spacing w:val="-5"/>
                <w:sz w:val="22"/>
              </w:rPr>
              <w:t> </w:t>
            </w:r>
            <w:r>
              <w:rPr>
                <w:sz w:val="22"/>
              </w:rPr>
              <w:t>also</w:t>
            </w:r>
            <w:r>
              <w:rPr>
                <w:spacing w:val="-6"/>
                <w:sz w:val="22"/>
              </w:rPr>
              <w:t> </w:t>
            </w:r>
            <w:r>
              <w:rPr>
                <w:sz w:val="22"/>
              </w:rPr>
              <w:t>provided</w:t>
            </w:r>
            <w:r>
              <w:rPr>
                <w:spacing w:val="-7"/>
                <w:sz w:val="22"/>
              </w:rPr>
              <w:t> </w:t>
            </w:r>
            <w:r>
              <w:rPr>
                <w:sz w:val="22"/>
              </w:rPr>
              <w:t>through</w:t>
            </w:r>
            <w:r>
              <w:rPr>
                <w:spacing w:val="-4"/>
                <w:sz w:val="22"/>
              </w:rPr>
              <w:t> </w:t>
            </w:r>
            <w:r>
              <w:rPr>
                <w:sz w:val="22"/>
              </w:rPr>
              <w:t>the Arts and Cultural Grants program.</w:t>
            </w:r>
          </w:p>
          <w:p>
            <w:pPr>
              <w:pStyle w:val="TableParagraph"/>
              <w:ind w:left="107" w:right="145"/>
              <w:rPr>
                <w:sz w:val="22"/>
              </w:rPr>
            </w:pPr>
            <w:r>
              <w:rPr>
                <w:sz w:val="22"/>
              </w:rPr>
              <w:t>Cultural planning advice contributes to creative placemaking</w:t>
            </w:r>
            <w:r>
              <w:rPr>
                <w:spacing w:val="-6"/>
                <w:sz w:val="22"/>
              </w:rPr>
              <w:t> </w:t>
            </w:r>
            <w:r>
              <w:rPr>
                <w:sz w:val="22"/>
              </w:rPr>
              <w:t>and</w:t>
            </w:r>
            <w:r>
              <w:rPr>
                <w:spacing w:val="-7"/>
                <w:sz w:val="22"/>
              </w:rPr>
              <w:t> </w:t>
            </w:r>
            <w:r>
              <w:rPr>
                <w:sz w:val="22"/>
              </w:rPr>
              <w:t>the</w:t>
            </w:r>
            <w:r>
              <w:rPr>
                <w:spacing w:val="-7"/>
                <w:sz w:val="22"/>
              </w:rPr>
              <w:t> </w:t>
            </w:r>
            <w:r>
              <w:rPr>
                <w:sz w:val="22"/>
              </w:rPr>
              <w:t>appreciation</w:t>
            </w:r>
            <w:r>
              <w:rPr>
                <w:spacing w:val="-4"/>
                <w:sz w:val="22"/>
              </w:rPr>
              <w:t> </w:t>
            </w:r>
            <w:r>
              <w:rPr>
                <w:sz w:val="22"/>
              </w:rPr>
              <w:t>of</w:t>
            </w:r>
            <w:r>
              <w:rPr>
                <w:spacing w:val="-4"/>
                <w:sz w:val="22"/>
              </w:rPr>
              <w:t> </w:t>
            </w:r>
            <w:r>
              <w:rPr>
                <w:sz w:val="22"/>
              </w:rPr>
              <w:t>cultural</w:t>
            </w:r>
            <w:r>
              <w:rPr>
                <w:spacing w:val="-6"/>
                <w:sz w:val="22"/>
              </w:rPr>
              <w:t> </w:t>
            </w:r>
            <w:r>
              <w:rPr>
                <w:sz w:val="22"/>
              </w:rPr>
              <w:t>heritage. It also embeds the value of the arts and creativity in enhancing wellbeing and quality of life across social,</w:t>
            </w:r>
          </w:p>
          <w:p>
            <w:pPr>
              <w:pStyle w:val="TableParagraph"/>
              <w:spacing w:line="233" w:lineRule="exact"/>
              <w:ind w:left="107"/>
              <w:rPr>
                <w:sz w:val="22"/>
              </w:rPr>
            </w:pPr>
            <w:r>
              <w:rPr>
                <w:sz w:val="22"/>
              </w:rPr>
              <w:t>environmental,</w:t>
            </w:r>
            <w:r>
              <w:rPr>
                <w:spacing w:val="-5"/>
                <w:sz w:val="22"/>
              </w:rPr>
              <w:t> </w:t>
            </w:r>
            <w:r>
              <w:rPr>
                <w:sz w:val="22"/>
              </w:rPr>
              <w:t>and</w:t>
            </w:r>
            <w:r>
              <w:rPr>
                <w:spacing w:val="-4"/>
                <w:sz w:val="22"/>
              </w:rPr>
              <w:t> </w:t>
            </w:r>
            <w:r>
              <w:rPr>
                <w:sz w:val="22"/>
              </w:rPr>
              <w:t>economic</w:t>
            </w:r>
            <w:r>
              <w:rPr>
                <w:spacing w:val="-4"/>
                <w:sz w:val="22"/>
              </w:rPr>
              <w:t> </w:t>
            </w:r>
            <w:r>
              <w:rPr>
                <w:spacing w:val="-2"/>
                <w:sz w:val="22"/>
              </w:rPr>
              <w:t>domains.</w:t>
            </w:r>
          </w:p>
        </w:tc>
        <w:tc>
          <w:tcPr>
            <w:tcW w:w="996" w:type="dxa"/>
            <w:tcBorders>
              <w:left w:val="nil"/>
              <w:right w:val="nil"/>
            </w:tcBorders>
          </w:tcPr>
          <w:p>
            <w:pPr>
              <w:pStyle w:val="TableParagraph"/>
              <w:spacing w:before="1"/>
              <w:ind w:left="112"/>
              <w:rPr>
                <w:sz w:val="18"/>
              </w:rPr>
            </w:pPr>
            <w:r>
              <w:rPr>
                <w:spacing w:val="-5"/>
                <w:sz w:val="18"/>
              </w:rPr>
              <w:t>Inc</w:t>
            </w:r>
          </w:p>
          <w:p>
            <w:pPr>
              <w:pStyle w:val="TableParagraph"/>
              <w:spacing w:before="103"/>
              <w:ind w:left="112"/>
              <w:rPr>
                <w:sz w:val="18"/>
              </w:rPr>
            </w:pPr>
            <w:r>
              <w:rPr>
                <w:spacing w:val="-5"/>
                <w:sz w:val="18"/>
              </w:rPr>
              <w:t>Exp</w:t>
            </w:r>
          </w:p>
        </w:tc>
        <w:tc>
          <w:tcPr>
            <w:tcW w:w="1284" w:type="dxa"/>
            <w:tcBorders>
              <w:left w:val="nil"/>
              <w:right w:val="nil"/>
            </w:tcBorders>
          </w:tcPr>
          <w:p>
            <w:pPr>
              <w:pStyle w:val="TableParagraph"/>
              <w:spacing w:before="1"/>
              <w:ind w:right="108"/>
              <w:jc w:val="right"/>
              <w:rPr>
                <w:sz w:val="18"/>
              </w:rPr>
            </w:pPr>
            <w:r>
              <w:rPr>
                <w:spacing w:val="-5"/>
                <w:sz w:val="18"/>
              </w:rPr>
              <w:t>357</w:t>
            </w:r>
          </w:p>
          <w:p>
            <w:pPr>
              <w:pStyle w:val="TableParagraph"/>
              <w:spacing w:before="103"/>
              <w:ind w:right="106"/>
              <w:jc w:val="right"/>
              <w:rPr>
                <w:sz w:val="18"/>
              </w:rPr>
            </w:pPr>
            <w:r>
              <w:rPr>
                <w:spacing w:val="-2"/>
                <w:sz w:val="18"/>
              </w:rPr>
              <w:t>1,504</w:t>
            </w:r>
          </w:p>
        </w:tc>
        <w:tc>
          <w:tcPr>
            <w:tcW w:w="1271" w:type="dxa"/>
            <w:tcBorders>
              <w:left w:val="nil"/>
              <w:right w:val="nil"/>
            </w:tcBorders>
          </w:tcPr>
          <w:p>
            <w:pPr>
              <w:pStyle w:val="TableParagraph"/>
              <w:spacing w:before="1"/>
              <w:ind w:right="102"/>
              <w:jc w:val="right"/>
              <w:rPr>
                <w:sz w:val="18"/>
              </w:rPr>
            </w:pPr>
            <w:r>
              <w:rPr>
                <w:spacing w:val="-5"/>
                <w:sz w:val="18"/>
              </w:rPr>
              <w:t>439</w:t>
            </w:r>
          </w:p>
          <w:p>
            <w:pPr>
              <w:pStyle w:val="TableParagraph"/>
              <w:spacing w:before="103"/>
              <w:ind w:right="101"/>
              <w:jc w:val="right"/>
              <w:rPr>
                <w:sz w:val="18"/>
              </w:rPr>
            </w:pPr>
            <w:r>
              <w:rPr>
                <w:spacing w:val="-2"/>
                <w:sz w:val="18"/>
              </w:rPr>
              <w:t>1,620</w:t>
            </w:r>
          </w:p>
        </w:tc>
        <w:tc>
          <w:tcPr>
            <w:tcW w:w="1392" w:type="dxa"/>
            <w:tcBorders>
              <w:left w:val="nil"/>
            </w:tcBorders>
            <w:shd w:val="clear" w:color="auto" w:fill="BCD6ED"/>
          </w:tcPr>
          <w:p>
            <w:pPr>
              <w:pStyle w:val="TableParagraph"/>
              <w:spacing w:before="1"/>
              <w:ind w:right="97"/>
              <w:jc w:val="right"/>
              <w:rPr>
                <w:sz w:val="18"/>
              </w:rPr>
            </w:pPr>
            <w:r>
              <w:rPr>
                <w:spacing w:val="-5"/>
                <w:sz w:val="18"/>
              </w:rPr>
              <w:t>384</w:t>
            </w:r>
          </w:p>
          <w:p>
            <w:pPr>
              <w:pStyle w:val="TableParagraph"/>
              <w:spacing w:before="103"/>
              <w:ind w:right="96"/>
              <w:jc w:val="right"/>
              <w:rPr>
                <w:sz w:val="18"/>
              </w:rPr>
            </w:pPr>
            <w:r>
              <w:rPr>
                <w:spacing w:val="-2"/>
                <w:sz w:val="18"/>
              </w:rPr>
              <w:t>1,778</w:t>
            </w:r>
          </w:p>
        </w:tc>
      </w:tr>
      <w:tr>
        <w:trPr>
          <w:trHeight w:val="3933" w:hRule="atLeast"/>
        </w:trPr>
        <w:tc>
          <w:tcPr>
            <w:tcW w:w="5537" w:type="dxa"/>
            <w:vMerge/>
            <w:tcBorders>
              <w:top w:val="nil"/>
              <w:right w:val="nil"/>
            </w:tcBorders>
          </w:tcPr>
          <w:p>
            <w:pPr>
              <w:rPr>
                <w:sz w:val="2"/>
                <w:szCs w:val="2"/>
              </w:rPr>
            </w:pPr>
          </w:p>
        </w:tc>
        <w:tc>
          <w:tcPr>
            <w:tcW w:w="996" w:type="dxa"/>
            <w:tcBorders>
              <w:left w:val="nil"/>
              <w:right w:val="nil"/>
            </w:tcBorders>
          </w:tcPr>
          <w:p>
            <w:pPr>
              <w:pStyle w:val="TableParagraph"/>
              <w:ind w:left="112" w:right="106"/>
              <w:rPr>
                <w:b/>
                <w:sz w:val="18"/>
              </w:rPr>
            </w:pPr>
            <w:r>
              <w:rPr>
                <w:b/>
                <w:sz w:val="18"/>
              </w:rPr>
              <w:t>Surplus</w:t>
            </w:r>
            <w:r>
              <w:rPr>
                <w:b/>
                <w:spacing w:val="-13"/>
                <w:sz w:val="18"/>
              </w:rPr>
              <w:t> </w:t>
            </w:r>
            <w:r>
              <w:rPr>
                <w:b/>
                <w:sz w:val="18"/>
              </w:rPr>
              <w:t>/ </w:t>
            </w:r>
            <w:r>
              <w:rPr>
                <w:b/>
                <w:spacing w:val="-2"/>
                <w:sz w:val="18"/>
              </w:rPr>
              <w:t>(deficit)</w:t>
            </w:r>
          </w:p>
        </w:tc>
        <w:tc>
          <w:tcPr>
            <w:tcW w:w="1284" w:type="dxa"/>
            <w:tcBorders>
              <w:left w:val="nil"/>
              <w:right w:val="nil"/>
            </w:tcBorders>
          </w:tcPr>
          <w:p>
            <w:pPr>
              <w:pStyle w:val="TableParagraph"/>
              <w:spacing w:line="206" w:lineRule="exact"/>
              <w:ind w:right="106"/>
              <w:jc w:val="right"/>
              <w:rPr>
                <w:b/>
                <w:sz w:val="18"/>
              </w:rPr>
            </w:pPr>
            <w:r>
              <w:rPr>
                <w:b/>
                <w:spacing w:val="-2"/>
                <w:sz w:val="18"/>
              </w:rPr>
              <w:t>(1,147)</w:t>
            </w:r>
          </w:p>
        </w:tc>
        <w:tc>
          <w:tcPr>
            <w:tcW w:w="1271" w:type="dxa"/>
            <w:tcBorders>
              <w:left w:val="nil"/>
              <w:right w:val="nil"/>
            </w:tcBorders>
          </w:tcPr>
          <w:p>
            <w:pPr>
              <w:pStyle w:val="TableParagraph"/>
              <w:spacing w:line="206" w:lineRule="exact"/>
              <w:ind w:right="101"/>
              <w:jc w:val="right"/>
              <w:rPr>
                <w:b/>
                <w:sz w:val="18"/>
              </w:rPr>
            </w:pPr>
            <w:r>
              <w:rPr>
                <w:b/>
                <w:spacing w:val="-2"/>
                <w:sz w:val="18"/>
              </w:rPr>
              <w:t>(1,181)</w:t>
            </w:r>
          </w:p>
        </w:tc>
        <w:tc>
          <w:tcPr>
            <w:tcW w:w="1392" w:type="dxa"/>
            <w:tcBorders>
              <w:left w:val="nil"/>
            </w:tcBorders>
            <w:shd w:val="clear" w:color="auto" w:fill="BCD6ED"/>
          </w:tcPr>
          <w:p>
            <w:pPr>
              <w:pStyle w:val="TableParagraph"/>
              <w:spacing w:line="206" w:lineRule="exact"/>
              <w:ind w:right="96"/>
              <w:jc w:val="right"/>
              <w:rPr>
                <w:b/>
                <w:sz w:val="18"/>
              </w:rPr>
            </w:pPr>
            <w:r>
              <w:rPr>
                <w:b/>
                <w:spacing w:val="-2"/>
                <w:sz w:val="18"/>
              </w:rPr>
              <w:t>(1,394)</w:t>
            </w:r>
          </w:p>
        </w:tc>
      </w:tr>
      <w:tr>
        <w:trPr>
          <w:trHeight w:val="505" w:hRule="atLeast"/>
        </w:trPr>
        <w:tc>
          <w:tcPr>
            <w:tcW w:w="10480" w:type="dxa"/>
            <w:gridSpan w:val="5"/>
          </w:tcPr>
          <w:p>
            <w:pPr>
              <w:pStyle w:val="TableParagraph"/>
              <w:spacing w:line="252" w:lineRule="exact"/>
              <w:ind w:left="107" w:right="4538"/>
              <w:rPr>
                <w:b/>
                <w:sz w:val="22"/>
              </w:rPr>
            </w:pPr>
            <w:r>
              <w:rPr>
                <w:b/>
                <w:color w:val="5B9AD4"/>
                <w:sz w:val="22"/>
              </w:rPr>
              <w:t>Karralyka,</w:t>
            </w:r>
            <w:r>
              <w:rPr>
                <w:b/>
                <w:color w:val="5B9AD4"/>
                <w:spacing w:val="-9"/>
                <w:sz w:val="22"/>
              </w:rPr>
              <w:t> </w:t>
            </w:r>
            <w:r>
              <w:rPr>
                <w:b/>
                <w:color w:val="5B9AD4"/>
                <w:sz w:val="22"/>
              </w:rPr>
              <w:t>Maroondah</w:t>
            </w:r>
            <w:r>
              <w:rPr>
                <w:b/>
                <w:color w:val="5B9AD4"/>
                <w:spacing w:val="-11"/>
                <w:sz w:val="22"/>
              </w:rPr>
              <w:t> </w:t>
            </w:r>
            <w:r>
              <w:rPr>
                <w:b/>
                <w:color w:val="5B9AD4"/>
                <w:sz w:val="22"/>
              </w:rPr>
              <w:t>Federation</w:t>
            </w:r>
            <w:r>
              <w:rPr>
                <w:b/>
                <w:color w:val="5B9AD4"/>
                <w:spacing w:val="-10"/>
                <w:sz w:val="22"/>
              </w:rPr>
              <w:t> </w:t>
            </w:r>
            <w:r>
              <w:rPr>
                <w:b/>
                <w:color w:val="5B9AD4"/>
                <w:sz w:val="22"/>
              </w:rPr>
              <w:t>Estate</w:t>
            </w:r>
            <w:r>
              <w:rPr>
                <w:b/>
                <w:color w:val="5B9AD4"/>
                <w:spacing w:val="-6"/>
                <w:sz w:val="22"/>
              </w:rPr>
              <w:t> </w:t>
            </w:r>
            <w:r>
              <w:rPr>
                <w:b/>
                <w:color w:val="5B9AD4"/>
                <w:sz w:val="22"/>
              </w:rPr>
              <w:t>and Community Halls (Business and Precincts)</w:t>
            </w:r>
          </w:p>
        </w:tc>
      </w:tr>
      <w:tr>
        <w:trPr>
          <w:trHeight w:val="609" w:hRule="atLeast"/>
        </w:trPr>
        <w:tc>
          <w:tcPr>
            <w:tcW w:w="5537" w:type="dxa"/>
            <w:vMerge w:val="restart"/>
            <w:tcBorders>
              <w:right w:val="nil"/>
            </w:tcBorders>
          </w:tcPr>
          <w:p>
            <w:pPr>
              <w:pStyle w:val="TableParagraph"/>
              <w:ind w:left="107"/>
              <w:rPr>
                <w:sz w:val="22"/>
              </w:rPr>
            </w:pPr>
            <w:r>
              <w:rPr>
                <w:sz w:val="22"/>
              </w:rPr>
              <w:t>Karralyka, is Council’s premier theatre and function centre</w:t>
            </w:r>
            <w:r>
              <w:rPr>
                <w:spacing w:val="-4"/>
                <w:sz w:val="22"/>
              </w:rPr>
              <w:t> </w:t>
            </w:r>
            <w:r>
              <w:rPr>
                <w:sz w:val="22"/>
              </w:rPr>
              <w:t>–</w:t>
            </w:r>
            <w:r>
              <w:rPr>
                <w:spacing w:val="-5"/>
                <w:sz w:val="22"/>
              </w:rPr>
              <w:t> </w:t>
            </w:r>
            <w:r>
              <w:rPr>
                <w:sz w:val="22"/>
              </w:rPr>
              <w:t>a</w:t>
            </w:r>
            <w:r>
              <w:rPr>
                <w:spacing w:val="-5"/>
                <w:sz w:val="22"/>
              </w:rPr>
              <w:t> </w:t>
            </w:r>
            <w:r>
              <w:rPr>
                <w:sz w:val="22"/>
              </w:rPr>
              <w:t>428</w:t>
            </w:r>
            <w:r>
              <w:rPr>
                <w:spacing w:val="-5"/>
                <w:sz w:val="22"/>
              </w:rPr>
              <w:t> </w:t>
            </w:r>
            <w:r>
              <w:rPr>
                <w:sz w:val="22"/>
              </w:rPr>
              <w:t>seat</w:t>
            </w:r>
            <w:r>
              <w:rPr>
                <w:spacing w:val="-2"/>
                <w:sz w:val="22"/>
              </w:rPr>
              <w:t> </w:t>
            </w:r>
            <w:r>
              <w:rPr>
                <w:sz w:val="22"/>
              </w:rPr>
              <w:t>theatre</w:t>
            </w:r>
            <w:r>
              <w:rPr>
                <w:spacing w:val="-5"/>
                <w:sz w:val="22"/>
              </w:rPr>
              <w:t> </w:t>
            </w:r>
            <w:r>
              <w:rPr>
                <w:sz w:val="22"/>
              </w:rPr>
              <w:t>and</w:t>
            </w:r>
            <w:r>
              <w:rPr>
                <w:spacing w:val="-4"/>
                <w:sz w:val="22"/>
              </w:rPr>
              <w:t> </w:t>
            </w:r>
            <w:r>
              <w:rPr>
                <w:sz w:val="22"/>
              </w:rPr>
              <w:t>flexible</w:t>
            </w:r>
            <w:r>
              <w:rPr>
                <w:spacing w:val="-5"/>
                <w:sz w:val="22"/>
              </w:rPr>
              <w:t> </w:t>
            </w:r>
            <w:r>
              <w:rPr>
                <w:sz w:val="22"/>
              </w:rPr>
              <w:t>function</w:t>
            </w:r>
            <w:r>
              <w:rPr>
                <w:spacing w:val="-3"/>
                <w:sz w:val="22"/>
              </w:rPr>
              <w:t> </w:t>
            </w:r>
            <w:r>
              <w:rPr>
                <w:sz w:val="22"/>
              </w:rPr>
              <w:t>venue with a total capacity for 550 seated guests.</w:t>
            </w:r>
          </w:p>
          <w:p>
            <w:pPr>
              <w:pStyle w:val="TableParagraph"/>
              <w:ind w:left="107" w:right="902"/>
              <w:jc w:val="both"/>
              <w:rPr>
                <w:sz w:val="22"/>
              </w:rPr>
            </w:pPr>
            <w:r>
              <w:rPr>
                <w:sz w:val="22"/>
              </w:rPr>
              <w:t>Karralyka</w:t>
            </w:r>
            <w:r>
              <w:rPr>
                <w:spacing w:val="-3"/>
                <w:sz w:val="22"/>
              </w:rPr>
              <w:t> </w:t>
            </w:r>
            <w:r>
              <w:rPr>
                <w:sz w:val="22"/>
              </w:rPr>
              <w:t>kitchen</w:t>
            </w:r>
            <w:r>
              <w:rPr>
                <w:spacing w:val="-6"/>
                <w:sz w:val="22"/>
              </w:rPr>
              <w:t> </w:t>
            </w:r>
            <w:r>
              <w:rPr>
                <w:sz w:val="22"/>
              </w:rPr>
              <w:t>facilities</w:t>
            </w:r>
            <w:r>
              <w:rPr>
                <w:spacing w:val="-3"/>
                <w:sz w:val="22"/>
              </w:rPr>
              <w:t> </w:t>
            </w:r>
            <w:r>
              <w:rPr>
                <w:sz w:val="22"/>
              </w:rPr>
              <w:t>are</w:t>
            </w:r>
            <w:r>
              <w:rPr>
                <w:spacing w:val="-8"/>
                <w:sz w:val="22"/>
              </w:rPr>
              <w:t> </w:t>
            </w:r>
            <w:r>
              <w:rPr>
                <w:sz w:val="22"/>
              </w:rPr>
              <w:t>used</w:t>
            </w:r>
            <w:r>
              <w:rPr>
                <w:spacing w:val="-6"/>
                <w:sz w:val="22"/>
              </w:rPr>
              <w:t> </w:t>
            </w:r>
            <w:r>
              <w:rPr>
                <w:sz w:val="22"/>
              </w:rPr>
              <w:t>to</w:t>
            </w:r>
            <w:r>
              <w:rPr>
                <w:spacing w:val="-6"/>
                <w:sz w:val="22"/>
              </w:rPr>
              <w:t> </w:t>
            </w:r>
            <w:r>
              <w:rPr>
                <w:sz w:val="22"/>
              </w:rPr>
              <w:t>prepare delivered meals for Maroondah and Knox City Council’s aged and disability service.</w:t>
            </w:r>
          </w:p>
          <w:p>
            <w:pPr>
              <w:pStyle w:val="TableParagraph"/>
              <w:ind w:left="107" w:right="52"/>
              <w:rPr>
                <w:sz w:val="22"/>
              </w:rPr>
            </w:pPr>
            <w:r>
              <w:rPr>
                <w:sz w:val="22"/>
              </w:rPr>
              <w:t>Maroondah Federation Estate is a community, cultural and</w:t>
            </w:r>
            <w:r>
              <w:rPr>
                <w:spacing w:val="-3"/>
                <w:sz w:val="22"/>
              </w:rPr>
              <w:t> </w:t>
            </w:r>
            <w:r>
              <w:rPr>
                <w:sz w:val="22"/>
              </w:rPr>
              <w:t>arts</w:t>
            </w:r>
            <w:r>
              <w:rPr>
                <w:spacing w:val="-5"/>
                <w:sz w:val="22"/>
              </w:rPr>
              <w:t> </w:t>
            </w:r>
            <w:r>
              <w:rPr>
                <w:sz w:val="22"/>
              </w:rPr>
              <w:t>facility</w:t>
            </w:r>
            <w:r>
              <w:rPr>
                <w:spacing w:val="-5"/>
                <w:sz w:val="22"/>
              </w:rPr>
              <w:t> </w:t>
            </w:r>
            <w:r>
              <w:rPr>
                <w:sz w:val="22"/>
              </w:rPr>
              <w:t>for</w:t>
            </w:r>
            <w:r>
              <w:rPr>
                <w:spacing w:val="-3"/>
                <w:sz w:val="22"/>
              </w:rPr>
              <w:t> </w:t>
            </w:r>
            <w:r>
              <w:rPr>
                <w:sz w:val="22"/>
              </w:rPr>
              <w:t>the</w:t>
            </w:r>
            <w:r>
              <w:rPr>
                <w:spacing w:val="-5"/>
                <w:sz w:val="22"/>
              </w:rPr>
              <w:t> </w:t>
            </w:r>
            <w:r>
              <w:rPr>
                <w:sz w:val="22"/>
              </w:rPr>
              <w:t>residents</w:t>
            </w:r>
            <w:r>
              <w:rPr>
                <w:spacing w:val="-3"/>
                <w:sz w:val="22"/>
              </w:rPr>
              <w:t> </w:t>
            </w:r>
            <w:r>
              <w:rPr>
                <w:sz w:val="22"/>
              </w:rPr>
              <w:t>of</w:t>
            </w:r>
            <w:r>
              <w:rPr>
                <w:spacing w:val="-2"/>
                <w:sz w:val="22"/>
              </w:rPr>
              <w:t> </w:t>
            </w:r>
            <w:r>
              <w:rPr>
                <w:sz w:val="22"/>
              </w:rPr>
              <w:t>Maroondah</w:t>
            </w:r>
            <w:r>
              <w:rPr>
                <w:spacing w:val="-4"/>
                <w:sz w:val="22"/>
              </w:rPr>
              <w:t> </w:t>
            </w:r>
            <w:r>
              <w:rPr>
                <w:sz w:val="22"/>
              </w:rPr>
              <w:t>and</w:t>
            </w:r>
            <w:r>
              <w:rPr>
                <w:spacing w:val="-3"/>
                <w:sz w:val="22"/>
              </w:rPr>
              <w:t> </w:t>
            </w:r>
            <w:r>
              <w:rPr>
                <w:sz w:val="22"/>
              </w:rPr>
              <w:t>the outer eastern region of Melbourne. Used by a wide range of community groups, the facility contains modern function rooms, meeting, and performance </w:t>
            </w:r>
            <w:r>
              <w:rPr>
                <w:spacing w:val="-2"/>
                <w:sz w:val="22"/>
              </w:rPr>
              <w:t>spaces.</w:t>
            </w:r>
          </w:p>
          <w:p>
            <w:pPr>
              <w:pStyle w:val="TableParagraph"/>
              <w:ind w:left="107" w:right="145"/>
              <w:rPr>
                <w:sz w:val="22"/>
              </w:rPr>
            </w:pPr>
            <w:r>
              <w:rPr>
                <w:sz w:val="22"/>
              </w:rPr>
              <w:t>The management and booking of Maroondah Federation</w:t>
            </w:r>
            <w:r>
              <w:rPr>
                <w:spacing w:val="-6"/>
                <w:sz w:val="22"/>
              </w:rPr>
              <w:t> </w:t>
            </w:r>
            <w:r>
              <w:rPr>
                <w:sz w:val="22"/>
              </w:rPr>
              <w:t>Estate</w:t>
            </w:r>
            <w:r>
              <w:rPr>
                <w:spacing w:val="-9"/>
                <w:sz w:val="22"/>
              </w:rPr>
              <w:t> </w:t>
            </w:r>
            <w:r>
              <w:rPr>
                <w:sz w:val="22"/>
              </w:rPr>
              <w:t>and</w:t>
            </w:r>
            <w:r>
              <w:rPr>
                <w:spacing w:val="-6"/>
                <w:sz w:val="22"/>
              </w:rPr>
              <w:t> </w:t>
            </w:r>
            <w:r>
              <w:rPr>
                <w:sz w:val="22"/>
              </w:rPr>
              <w:t>eight</w:t>
            </w:r>
            <w:r>
              <w:rPr>
                <w:spacing w:val="-5"/>
                <w:sz w:val="22"/>
              </w:rPr>
              <w:t> </w:t>
            </w:r>
            <w:r>
              <w:rPr>
                <w:sz w:val="22"/>
              </w:rPr>
              <w:t>Maroondah</w:t>
            </w:r>
            <w:r>
              <w:rPr>
                <w:spacing w:val="-7"/>
                <w:sz w:val="22"/>
              </w:rPr>
              <w:t> </w:t>
            </w:r>
            <w:r>
              <w:rPr>
                <w:sz w:val="22"/>
              </w:rPr>
              <w:t>community halls</w:t>
            </w:r>
            <w:r>
              <w:rPr>
                <w:spacing w:val="-3"/>
                <w:sz w:val="22"/>
              </w:rPr>
              <w:t> </w:t>
            </w:r>
            <w:r>
              <w:rPr>
                <w:sz w:val="22"/>
              </w:rPr>
              <w:t>is also</w:t>
            </w:r>
            <w:r>
              <w:rPr>
                <w:spacing w:val="-4"/>
                <w:sz w:val="22"/>
              </w:rPr>
              <w:t> </w:t>
            </w:r>
            <w:r>
              <w:rPr>
                <w:sz w:val="22"/>
              </w:rPr>
              <w:t>a</w:t>
            </w:r>
            <w:r>
              <w:rPr>
                <w:spacing w:val="-2"/>
                <w:sz w:val="22"/>
              </w:rPr>
              <w:t> </w:t>
            </w:r>
            <w:r>
              <w:rPr>
                <w:sz w:val="22"/>
              </w:rPr>
              <w:t>component</w:t>
            </w:r>
            <w:r>
              <w:rPr>
                <w:spacing w:val="-3"/>
                <w:sz w:val="22"/>
              </w:rPr>
              <w:t> </w:t>
            </w:r>
            <w:r>
              <w:rPr>
                <w:sz w:val="22"/>
              </w:rPr>
              <w:t>of</w:t>
            </w:r>
            <w:r>
              <w:rPr>
                <w:spacing w:val="-2"/>
                <w:sz w:val="22"/>
              </w:rPr>
              <w:t> </w:t>
            </w:r>
            <w:r>
              <w:rPr>
                <w:sz w:val="22"/>
              </w:rPr>
              <w:t>the</w:t>
            </w:r>
            <w:r>
              <w:rPr>
                <w:spacing w:val="-2"/>
                <w:sz w:val="22"/>
              </w:rPr>
              <w:t> </w:t>
            </w:r>
            <w:r>
              <w:rPr>
                <w:sz w:val="22"/>
              </w:rPr>
              <w:t>work</w:t>
            </w:r>
            <w:r>
              <w:rPr>
                <w:spacing w:val="-2"/>
                <w:sz w:val="22"/>
              </w:rPr>
              <w:t> </w:t>
            </w:r>
            <w:r>
              <w:rPr>
                <w:sz w:val="22"/>
              </w:rPr>
              <w:t>carried</w:t>
            </w:r>
            <w:r>
              <w:rPr>
                <w:spacing w:val="-6"/>
                <w:sz w:val="22"/>
              </w:rPr>
              <w:t> </w:t>
            </w:r>
            <w:r>
              <w:rPr>
                <w:sz w:val="22"/>
              </w:rPr>
              <w:t>out</w:t>
            </w:r>
            <w:r>
              <w:rPr>
                <w:spacing w:val="-4"/>
                <w:sz w:val="22"/>
              </w:rPr>
              <w:t> </w:t>
            </w:r>
            <w:r>
              <w:rPr>
                <w:spacing w:val="-5"/>
                <w:sz w:val="22"/>
              </w:rPr>
              <w:t>by</w:t>
            </w:r>
          </w:p>
          <w:p>
            <w:pPr>
              <w:pStyle w:val="TableParagraph"/>
              <w:spacing w:line="234" w:lineRule="exact"/>
              <w:ind w:left="107"/>
              <w:rPr>
                <w:sz w:val="22"/>
              </w:rPr>
            </w:pPr>
            <w:r>
              <w:rPr>
                <w:sz w:val="22"/>
              </w:rPr>
              <w:t>the</w:t>
            </w:r>
            <w:r>
              <w:rPr>
                <w:spacing w:val="-4"/>
                <w:sz w:val="22"/>
              </w:rPr>
              <w:t> </w:t>
            </w:r>
            <w:r>
              <w:rPr>
                <w:sz w:val="22"/>
              </w:rPr>
              <w:t>Karralyka</w:t>
            </w:r>
            <w:r>
              <w:rPr>
                <w:spacing w:val="-3"/>
                <w:sz w:val="22"/>
              </w:rPr>
              <w:t> </w:t>
            </w:r>
            <w:r>
              <w:rPr>
                <w:spacing w:val="-4"/>
                <w:sz w:val="22"/>
              </w:rPr>
              <w:t>team.</w:t>
            </w:r>
          </w:p>
        </w:tc>
        <w:tc>
          <w:tcPr>
            <w:tcW w:w="996" w:type="dxa"/>
            <w:tcBorders>
              <w:left w:val="nil"/>
              <w:right w:val="nil"/>
            </w:tcBorders>
          </w:tcPr>
          <w:p>
            <w:pPr>
              <w:pStyle w:val="TableParagraph"/>
              <w:spacing w:line="206" w:lineRule="exact"/>
              <w:ind w:left="112"/>
              <w:rPr>
                <w:sz w:val="18"/>
              </w:rPr>
            </w:pPr>
            <w:r>
              <w:rPr>
                <w:spacing w:val="-5"/>
                <w:sz w:val="18"/>
              </w:rPr>
              <w:t>Inc</w:t>
            </w:r>
          </w:p>
          <w:p>
            <w:pPr>
              <w:pStyle w:val="TableParagraph"/>
              <w:spacing w:before="102"/>
              <w:ind w:left="112"/>
              <w:rPr>
                <w:sz w:val="18"/>
              </w:rPr>
            </w:pPr>
            <w:r>
              <w:rPr>
                <w:spacing w:val="-5"/>
                <w:sz w:val="18"/>
              </w:rPr>
              <w:t>Exp</w:t>
            </w:r>
          </w:p>
        </w:tc>
        <w:tc>
          <w:tcPr>
            <w:tcW w:w="1284" w:type="dxa"/>
            <w:tcBorders>
              <w:left w:val="nil"/>
              <w:right w:val="nil"/>
            </w:tcBorders>
          </w:tcPr>
          <w:p>
            <w:pPr>
              <w:pStyle w:val="TableParagraph"/>
              <w:spacing w:line="206" w:lineRule="exact"/>
              <w:ind w:left="722"/>
              <w:rPr>
                <w:sz w:val="18"/>
              </w:rPr>
            </w:pPr>
            <w:r>
              <w:rPr>
                <w:spacing w:val="-2"/>
                <w:sz w:val="18"/>
              </w:rPr>
              <w:t>5,075</w:t>
            </w:r>
          </w:p>
          <w:p>
            <w:pPr>
              <w:pStyle w:val="TableParagraph"/>
              <w:spacing w:before="102"/>
              <w:ind w:left="722"/>
              <w:rPr>
                <w:sz w:val="18"/>
              </w:rPr>
            </w:pPr>
            <w:r>
              <w:rPr>
                <w:spacing w:val="-2"/>
                <w:sz w:val="18"/>
              </w:rPr>
              <w:t>5,522</w:t>
            </w:r>
          </w:p>
        </w:tc>
        <w:tc>
          <w:tcPr>
            <w:tcW w:w="1271" w:type="dxa"/>
            <w:tcBorders>
              <w:left w:val="nil"/>
              <w:right w:val="nil"/>
            </w:tcBorders>
          </w:tcPr>
          <w:p>
            <w:pPr>
              <w:pStyle w:val="TableParagraph"/>
              <w:spacing w:line="206" w:lineRule="exact"/>
              <w:ind w:left="714"/>
              <w:rPr>
                <w:sz w:val="18"/>
              </w:rPr>
            </w:pPr>
            <w:r>
              <w:rPr>
                <w:spacing w:val="-2"/>
                <w:sz w:val="18"/>
              </w:rPr>
              <w:t>4,797</w:t>
            </w:r>
          </w:p>
          <w:p>
            <w:pPr>
              <w:pStyle w:val="TableParagraph"/>
              <w:spacing w:before="102"/>
              <w:ind w:left="714"/>
              <w:rPr>
                <w:sz w:val="18"/>
              </w:rPr>
            </w:pPr>
            <w:r>
              <w:rPr>
                <w:spacing w:val="-2"/>
                <w:sz w:val="18"/>
              </w:rPr>
              <w:t>4,977</w:t>
            </w:r>
          </w:p>
        </w:tc>
        <w:tc>
          <w:tcPr>
            <w:tcW w:w="1392" w:type="dxa"/>
            <w:tcBorders>
              <w:left w:val="nil"/>
            </w:tcBorders>
            <w:shd w:val="clear" w:color="auto" w:fill="BCD6ED"/>
          </w:tcPr>
          <w:p>
            <w:pPr>
              <w:pStyle w:val="TableParagraph"/>
              <w:spacing w:line="206" w:lineRule="exact"/>
              <w:ind w:left="831"/>
              <w:rPr>
                <w:sz w:val="18"/>
              </w:rPr>
            </w:pPr>
            <w:r>
              <w:rPr>
                <w:spacing w:val="-2"/>
                <w:sz w:val="18"/>
              </w:rPr>
              <w:t>4,841</w:t>
            </w:r>
          </w:p>
          <w:p>
            <w:pPr>
              <w:pStyle w:val="TableParagraph"/>
              <w:spacing w:before="102"/>
              <w:ind w:left="831"/>
              <w:rPr>
                <w:sz w:val="18"/>
              </w:rPr>
            </w:pPr>
            <w:r>
              <w:rPr>
                <w:spacing w:val="-2"/>
                <w:sz w:val="18"/>
              </w:rPr>
              <w:t>4,747</w:t>
            </w:r>
          </w:p>
        </w:tc>
      </w:tr>
      <w:tr>
        <w:trPr>
          <w:trHeight w:val="3429" w:hRule="atLeast"/>
        </w:trPr>
        <w:tc>
          <w:tcPr>
            <w:tcW w:w="5537" w:type="dxa"/>
            <w:vMerge/>
            <w:tcBorders>
              <w:top w:val="nil"/>
              <w:right w:val="nil"/>
            </w:tcBorders>
          </w:tcPr>
          <w:p>
            <w:pPr>
              <w:rPr>
                <w:sz w:val="2"/>
                <w:szCs w:val="2"/>
              </w:rPr>
            </w:pPr>
          </w:p>
        </w:tc>
        <w:tc>
          <w:tcPr>
            <w:tcW w:w="996" w:type="dxa"/>
            <w:tcBorders>
              <w:left w:val="nil"/>
              <w:right w:val="nil"/>
            </w:tcBorders>
          </w:tcPr>
          <w:p>
            <w:pPr>
              <w:pStyle w:val="TableParagraph"/>
              <w:ind w:left="112" w:right="106"/>
              <w:rPr>
                <w:b/>
                <w:sz w:val="18"/>
              </w:rPr>
            </w:pPr>
            <w:r>
              <w:rPr>
                <w:b/>
                <w:sz w:val="18"/>
              </w:rPr>
              <w:t>Surplus</w:t>
            </w:r>
            <w:r>
              <w:rPr>
                <w:b/>
                <w:spacing w:val="-13"/>
                <w:sz w:val="18"/>
              </w:rPr>
              <w:t> </w:t>
            </w:r>
            <w:r>
              <w:rPr>
                <w:b/>
                <w:sz w:val="18"/>
              </w:rPr>
              <w:t>/ </w:t>
            </w:r>
            <w:r>
              <w:rPr>
                <w:b/>
                <w:spacing w:val="-2"/>
                <w:sz w:val="18"/>
              </w:rPr>
              <w:t>(deficit)</w:t>
            </w:r>
          </w:p>
        </w:tc>
        <w:tc>
          <w:tcPr>
            <w:tcW w:w="1284" w:type="dxa"/>
            <w:tcBorders>
              <w:left w:val="nil"/>
              <w:right w:val="nil"/>
            </w:tcBorders>
          </w:tcPr>
          <w:p>
            <w:pPr>
              <w:pStyle w:val="TableParagraph"/>
              <w:spacing w:line="206" w:lineRule="exact"/>
              <w:ind w:right="105"/>
              <w:jc w:val="right"/>
              <w:rPr>
                <w:b/>
                <w:sz w:val="18"/>
              </w:rPr>
            </w:pPr>
            <w:r>
              <w:rPr>
                <w:b/>
                <w:spacing w:val="-2"/>
                <w:sz w:val="18"/>
              </w:rPr>
              <w:t>(447)</w:t>
            </w:r>
          </w:p>
        </w:tc>
        <w:tc>
          <w:tcPr>
            <w:tcW w:w="1271" w:type="dxa"/>
            <w:tcBorders>
              <w:left w:val="nil"/>
              <w:right w:val="nil"/>
            </w:tcBorders>
          </w:tcPr>
          <w:p>
            <w:pPr>
              <w:pStyle w:val="TableParagraph"/>
              <w:spacing w:line="206" w:lineRule="exact"/>
              <w:ind w:right="100"/>
              <w:jc w:val="right"/>
              <w:rPr>
                <w:b/>
                <w:sz w:val="18"/>
              </w:rPr>
            </w:pPr>
            <w:r>
              <w:rPr>
                <w:b/>
                <w:spacing w:val="-2"/>
                <w:sz w:val="18"/>
              </w:rPr>
              <w:t>(180)</w:t>
            </w:r>
          </w:p>
        </w:tc>
        <w:tc>
          <w:tcPr>
            <w:tcW w:w="1392" w:type="dxa"/>
            <w:tcBorders>
              <w:left w:val="nil"/>
            </w:tcBorders>
            <w:shd w:val="clear" w:color="auto" w:fill="BCD6ED"/>
          </w:tcPr>
          <w:p>
            <w:pPr>
              <w:pStyle w:val="TableParagraph"/>
              <w:spacing w:line="206" w:lineRule="exact"/>
              <w:ind w:right="96"/>
              <w:jc w:val="right"/>
              <w:rPr>
                <w:b/>
                <w:sz w:val="18"/>
              </w:rPr>
            </w:pPr>
            <w:r>
              <w:rPr>
                <w:b/>
                <w:spacing w:val="-5"/>
                <w:sz w:val="18"/>
              </w:rPr>
              <w:t>94</w:t>
            </w:r>
          </w:p>
        </w:tc>
      </w:tr>
    </w:tbl>
    <w:p>
      <w:pPr>
        <w:pStyle w:val="Heading5"/>
        <w:spacing w:before="246"/>
        <w:ind w:left="391"/>
      </w:pPr>
      <w:r>
        <w:rPr/>
        <w:t>Major</w:t>
      </w:r>
      <w:r>
        <w:rPr>
          <w:spacing w:val="-5"/>
        </w:rPr>
        <w:t> </w:t>
      </w:r>
      <w:r>
        <w:rPr/>
        <w:t>Initiatives</w:t>
      </w:r>
      <w:r>
        <w:rPr>
          <w:spacing w:val="-5"/>
        </w:rPr>
        <w:t> </w:t>
      </w:r>
      <w:r>
        <w:rPr/>
        <w:t>(Priority</w:t>
      </w:r>
      <w:r>
        <w:rPr>
          <w:spacing w:val="-6"/>
        </w:rPr>
        <w:t> </w:t>
      </w:r>
      <w:r>
        <w:rPr>
          <w:spacing w:val="-2"/>
        </w:rPr>
        <w:t>Actions)</w:t>
      </w:r>
    </w:p>
    <w:p>
      <w:pPr>
        <w:pStyle w:val="BodyText"/>
        <w:rPr>
          <w:b/>
        </w:rPr>
      </w:pPr>
    </w:p>
    <w:p>
      <w:pPr>
        <w:pStyle w:val="ListParagraph"/>
        <w:numPr>
          <w:ilvl w:val="0"/>
          <w:numId w:val="13"/>
        </w:numPr>
        <w:tabs>
          <w:tab w:pos="959" w:val="left" w:leader="none"/>
          <w:tab w:pos="960" w:val="left" w:leader="none"/>
        </w:tabs>
        <w:spacing w:line="240" w:lineRule="auto" w:before="0" w:after="0"/>
        <w:ind w:left="959" w:right="0" w:hanging="569"/>
        <w:jc w:val="left"/>
        <w:rPr>
          <w:sz w:val="22"/>
        </w:rPr>
      </w:pPr>
      <w:r>
        <w:rPr>
          <w:sz w:val="22"/>
        </w:rPr>
        <w:t>Design</w:t>
      </w:r>
      <w:r>
        <w:rPr>
          <w:spacing w:val="-7"/>
          <w:sz w:val="22"/>
        </w:rPr>
        <w:t> </w:t>
      </w:r>
      <w:r>
        <w:rPr>
          <w:sz w:val="22"/>
        </w:rPr>
        <w:t>the</w:t>
      </w:r>
      <w:r>
        <w:rPr>
          <w:spacing w:val="-5"/>
          <w:sz w:val="22"/>
        </w:rPr>
        <w:t> </w:t>
      </w:r>
      <w:r>
        <w:rPr>
          <w:sz w:val="22"/>
        </w:rPr>
        <w:t>Karralyka</w:t>
      </w:r>
      <w:r>
        <w:rPr>
          <w:spacing w:val="-8"/>
          <w:sz w:val="22"/>
        </w:rPr>
        <w:t> </w:t>
      </w:r>
      <w:r>
        <w:rPr>
          <w:sz w:val="22"/>
        </w:rPr>
        <w:t>redevelopment,</w:t>
      </w:r>
      <w:r>
        <w:rPr>
          <w:spacing w:val="-5"/>
          <w:sz w:val="22"/>
        </w:rPr>
        <w:t> </w:t>
      </w:r>
      <w:r>
        <w:rPr>
          <w:sz w:val="22"/>
        </w:rPr>
        <w:t>and</w:t>
      </w:r>
      <w:r>
        <w:rPr>
          <w:spacing w:val="-6"/>
          <w:sz w:val="22"/>
        </w:rPr>
        <w:t> </w:t>
      </w:r>
      <w:r>
        <w:rPr>
          <w:sz w:val="22"/>
        </w:rPr>
        <w:t>undertake</w:t>
      </w:r>
      <w:r>
        <w:rPr>
          <w:spacing w:val="-5"/>
          <w:sz w:val="22"/>
        </w:rPr>
        <w:t> </w:t>
      </w:r>
      <w:r>
        <w:rPr>
          <w:sz w:val="22"/>
        </w:rPr>
        <w:t>staged</w:t>
      </w:r>
      <w:r>
        <w:rPr>
          <w:spacing w:val="-7"/>
          <w:sz w:val="22"/>
        </w:rPr>
        <w:t> </w:t>
      </w:r>
      <w:r>
        <w:rPr>
          <w:sz w:val="22"/>
        </w:rPr>
        <w:t>redevelopment</w:t>
      </w:r>
      <w:r>
        <w:rPr>
          <w:spacing w:val="-2"/>
          <w:sz w:val="22"/>
        </w:rPr>
        <w:t> works</w:t>
      </w:r>
    </w:p>
    <w:p>
      <w:pPr>
        <w:pStyle w:val="ListParagraph"/>
        <w:numPr>
          <w:ilvl w:val="0"/>
          <w:numId w:val="13"/>
        </w:numPr>
        <w:tabs>
          <w:tab w:pos="959" w:val="left" w:leader="none"/>
          <w:tab w:pos="960" w:val="left" w:leader="none"/>
        </w:tabs>
        <w:spacing w:line="240" w:lineRule="auto" w:before="1" w:after="0"/>
        <w:ind w:left="958" w:right="400" w:hanging="567"/>
        <w:jc w:val="left"/>
        <w:rPr>
          <w:i/>
          <w:sz w:val="22"/>
        </w:rPr>
      </w:pPr>
      <w:r>
        <w:rPr>
          <w:sz w:val="22"/>
        </w:rPr>
        <w:t>Develop</w:t>
      </w:r>
      <w:r>
        <w:rPr>
          <w:spacing w:val="40"/>
          <w:sz w:val="22"/>
        </w:rPr>
        <w:t> </w:t>
      </w:r>
      <w:r>
        <w:rPr>
          <w:i/>
          <w:sz w:val="22"/>
        </w:rPr>
        <w:t>and</w:t>
      </w:r>
      <w:r>
        <w:rPr>
          <w:i/>
          <w:spacing w:val="40"/>
          <w:sz w:val="22"/>
        </w:rPr>
        <w:t> </w:t>
      </w:r>
      <w:r>
        <w:rPr>
          <w:i/>
          <w:sz w:val="22"/>
        </w:rPr>
        <w:t>Implement</w:t>
      </w:r>
      <w:r>
        <w:rPr>
          <w:i/>
          <w:spacing w:val="40"/>
          <w:sz w:val="22"/>
        </w:rPr>
        <w:t> </w:t>
      </w:r>
      <w:r>
        <w:rPr>
          <w:i/>
          <w:sz w:val="22"/>
        </w:rPr>
        <w:t>the</w:t>
      </w:r>
      <w:r>
        <w:rPr>
          <w:i/>
          <w:spacing w:val="40"/>
          <w:sz w:val="22"/>
        </w:rPr>
        <w:t> </w:t>
      </w:r>
      <w:r>
        <w:rPr>
          <w:i/>
          <w:sz w:val="22"/>
        </w:rPr>
        <w:t>Arts</w:t>
      </w:r>
      <w:r>
        <w:rPr>
          <w:i/>
          <w:spacing w:val="39"/>
          <w:sz w:val="22"/>
        </w:rPr>
        <w:t> </w:t>
      </w:r>
      <w:r>
        <w:rPr>
          <w:i/>
          <w:sz w:val="22"/>
        </w:rPr>
        <w:t>and</w:t>
      </w:r>
      <w:r>
        <w:rPr>
          <w:i/>
          <w:spacing w:val="40"/>
          <w:sz w:val="22"/>
        </w:rPr>
        <w:t> </w:t>
      </w:r>
      <w:r>
        <w:rPr>
          <w:i/>
          <w:sz w:val="22"/>
        </w:rPr>
        <w:t>Cultural</w:t>
      </w:r>
      <w:r>
        <w:rPr>
          <w:i/>
          <w:spacing w:val="39"/>
          <w:sz w:val="22"/>
        </w:rPr>
        <w:t> </w:t>
      </w:r>
      <w:r>
        <w:rPr>
          <w:i/>
          <w:sz w:val="22"/>
        </w:rPr>
        <w:t>Development</w:t>
      </w:r>
      <w:r>
        <w:rPr>
          <w:i/>
          <w:spacing w:val="40"/>
          <w:sz w:val="22"/>
        </w:rPr>
        <w:t> </w:t>
      </w:r>
      <w:r>
        <w:rPr>
          <w:i/>
          <w:sz w:val="22"/>
        </w:rPr>
        <w:t>Strategy</w:t>
      </w:r>
      <w:r>
        <w:rPr>
          <w:i/>
          <w:spacing w:val="40"/>
          <w:sz w:val="22"/>
        </w:rPr>
        <w:t> </w:t>
      </w:r>
      <w:r>
        <w:rPr>
          <w:i/>
          <w:sz w:val="22"/>
        </w:rPr>
        <w:t>2025-2030</w:t>
      </w:r>
      <w:r>
        <w:rPr>
          <w:i/>
          <w:spacing w:val="40"/>
          <w:sz w:val="22"/>
        </w:rPr>
        <w:t> </w:t>
      </w:r>
      <w:r>
        <w:rPr>
          <w:i/>
          <w:sz w:val="22"/>
        </w:rPr>
        <w:t>incorporating</w:t>
      </w:r>
      <w:r>
        <w:rPr>
          <w:i/>
          <w:spacing w:val="39"/>
          <w:sz w:val="22"/>
        </w:rPr>
        <w:t> </w:t>
      </w:r>
      <w:r>
        <w:rPr>
          <w:i/>
          <w:sz w:val="22"/>
        </w:rPr>
        <w:t>the</w:t>
      </w:r>
      <w:r>
        <w:rPr>
          <w:i/>
          <w:sz w:val="22"/>
        </w:rPr>
        <w:t> Karralyka Precinct, to maximise arts and cultural opportunities across Maroondah</w:t>
      </w:r>
    </w:p>
    <w:p>
      <w:pPr>
        <w:spacing w:after="0" w:line="240" w:lineRule="auto"/>
        <w:jc w:val="left"/>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391" w:right="1119" w:firstLine="0"/>
        <w:jc w:val="left"/>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4:</w:t>
      </w:r>
      <w:r>
        <w:rPr>
          <w:color w:val="4966AC"/>
          <w:spacing w:val="-4"/>
        </w:rPr>
        <w:t> </w:t>
      </w:r>
      <w:r>
        <w:rPr>
          <w:color w:val="4966AC"/>
        </w:rPr>
        <w:t>A</w:t>
      </w:r>
      <w:r>
        <w:rPr>
          <w:color w:val="4966AC"/>
          <w:spacing w:val="-4"/>
        </w:rPr>
        <w:t> </w:t>
      </w:r>
      <w:r>
        <w:rPr>
          <w:color w:val="4966AC"/>
        </w:rPr>
        <w:t>clean,</w:t>
      </w:r>
      <w:r>
        <w:rPr>
          <w:color w:val="4966AC"/>
          <w:spacing w:val="-6"/>
        </w:rPr>
        <w:t> </w:t>
      </w:r>
      <w:r>
        <w:rPr>
          <w:color w:val="4966AC"/>
        </w:rPr>
        <w:t>green,</w:t>
      </w:r>
      <w:r>
        <w:rPr>
          <w:color w:val="4966AC"/>
          <w:spacing w:val="-6"/>
        </w:rPr>
        <w:t> </w:t>
      </w:r>
      <w:r>
        <w:rPr>
          <w:color w:val="4966AC"/>
        </w:rPr>
        <w:t>and</w:t>
      </w:r>
      <w:r>
        <w:rPr>
          <w:color w:val="4966AC"/>
          <w:spacing w:val="-2"/>
        </w:rPr>
        <w:t> </w:t>
      </w:r>
      <w:r>
        <w:rPr>
          <w:color w:val="4966AC"/>
        </w:rPr>
        <w:t>sustainable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66"/>
        <w:gridCol w:w="1001"/>
        <w:gridCol w:w="1256"/>
        <w:gridCol w:w="1255"/>
        <w:gridCol w:w="1552"/>
      </w:tblGrid>
      <w:tr>
        <w:trPr>
          <w:trHeight w:val="882" w:hRule="atLeast"/>
        </w:trPr>
        <w:tc>
          <w:tcPr>
            <w:tcW w:w="5666" w:type="dxa"/>
            <w:tcBorders>
              <w:bottom w:val="nil"/>
              <w:right w:val="nil"/>
            </w:tcBorders>
            <w:shd w:val="clear" w:color="auto" w:fill="5B9AD4"/>
          </w:tcPr>
          <w:p>
            <w:pPr>
              <w:pStyle w:val="TableParagraph"/>
              <w:spacing w:before="3"/>
              <w:rPr>
                <w:b/>
                <w:sz w:val="27"/>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1001" w:type="dxa"/>
            <w:tcBorders>
              <w:left w:val="nil"/>
              <w:bottom w:val="nil"/>
              <w:right w:val="nil"/>
            </w:tcBorders>
            <w:shd w:val="clear" w:color="auto" w:fill="5B9AD4"/>
          </w:tcPr>
          <w:p>
            <w:pPr>
              <w:pStyle w:val="TableParagraph"/>
              <w:rPr>
                <w:rFonts w:ascii="Times New Roman"/>
                <w:sz w:val="20"/>
              </w:rPr>
            </w:pPr>
          </w:p>
        </w:tc>
        <w:tc>
          <w:tcPr>
            <w:tcW w:w="1256" w:type="dxa"/>
            <w:tcBorders>
              <w:left w:val="nil"/>
              <w:bottom w:val="nil"/>
              <w:right w:val="nil"/>
            </w:tcBorders>
            <w:shd w:val="clear" w:color="auto" w:fill="5B9AD4"/>
          </w:tcPr>
          <w:p>
            <w:pPr>
              <w:pStyle w:val="TableParagraph"/>
              <w:spacing w:before="21"/>
              <w:ind w:left="101" w:right="90"/>
              <w:jc w:val="center"/>
              <w:rPr>
                <w:b/>
                <w:sz w:val="22"/>
              </w:rPr>
            </w:pPr>
            <w:r>
              <w:rPr>
                <w:b/>
                <w:color w:val="FFFFFF"/>
                <w:spacing w:val="-2"/>
                <w:sz w:val="22"/>
              </w:rPr>
              <w:t>2022/2023</w:t>
            </w:r>
          </w:p>
          <w:p>
            <w:pPr>
              <w:pStyle w:val="TableParagraph"/>
              <w:spacing w:before="40"/>
              <w:ind w:left="98" w:right="91"/>
              <w:jc w:val="center"/>
              <w:rPr>
                <w:b/>
                <w:sz w:val="22"/>
              </w:rPr>
            </w:pPr>
            <w:r>
              <w:rPr>
                <w:b/>
                <w:color w:val="FFFFFF"/>
                <w:spacing w:val="-2"/>
                <w:sz w:val="22"/>
              </w:rPr>
              <w:t>Actual</w:t>
            </w:r>
          </w:p>
          <w:p>
            <w:pPr>
              <w:pStyle w:val="TableParagraph"/>
              <w:spacing w:before="42"/>
              <w:ind w:left="97" w:right="91"/>
              <w:jc w:val="center"/>
              <w:rPr>
                <w:b/>
                <w:sz w:val="22"/>
              </w:rPr>
            </w:pPr>
            <w:r>
              <w:rPr>
                <w:b/>
                <w:color w:val="FFFFFF"/>
                <w:spacing w:val="-2"/>
                <w:sz w:val="22"/>
              </w:rPr>
              <w:t>$'000</w:t>
            </w:r>
          </w:p>
        </w:tc>
        <w:tc>
          <w:tcPr>
            <w:tcW w:w="1255" w:type="dxa"/>
            <w:tcBorders>
              <w:left w:val="nil"/>
              <w:bottom w:val="nil"/>
              <w:right w:val="nil"/>
            </w:tcBorders>
            <w:shd w:val="clear" w:color="auto" w:fill="5B9AD4"/>
          </w:tcPr>
          <w:p>
            <w:pPr>
              <w:pStyle w:val="TableParagraph"/>
              <w:spacing w:before="21"/>
              <w:ind w:left="104" w:right="89"/>
              <w:jc w:val="center"/>
              <w:rPr>
                <w:b/>
                <w:sz w:val="22"/>
              </w:rPr>
            </w:pPr>
            <w:r>
              <w:rPr>
                <w:b/>
                <w:color w:val="FFFFFF"/>
                <w:spacing w:val="-2"/>
                <w:sz w:val="22"/>
              </w:rPr>
              <w:t>2023/2024</w:t>
            </w:r>
          </w:p>
          <w:p>
            <w:pPr>
              <w:pStyle w:val="TableParagraph"/>
              <w:spacing w:before="40"/>
              <w:ind w:left="100" w:right="89"/>
              <w:jc w:val="center"/>
              <w:rPr>
                <w:b/>
                <w:sz w:val="22"/>
              </w:rPr>
            </w:pPr>
            <w:r>
              <w:rPr>
                <w:b/>
                <w:color w:val="FFFFFF"/>
                <w:spacing w:val="-2"/>
                <w:sz w:val="22"/>
              </w:rPr>
              <w:t>Forecast</w:t>
            </w:r>
          </w:p>
          <w:p>
            <w:pPr>
              <w:pStyle w:val="TableParagraph"/>
              <w:spacing w:before="42"/>
              <w:ind w:left="99" w:right="89"/>
              <w:jc w:val="center"/>
              <w:rPr>
                <w:b/>
                <w:sz w:val="22"/>
              </w:rPr>
            </w:pPr>
            <w:r>
              <w:rPr>
                <w:b/>
                <w:color w:val="FFFFFF"/>
                <w:spacing w:val="-2"/>
                <w:sz w:val="22"/>
              </w:rPr>
              <w:t>$'000</w:t>
            </w:r>
          </w:p>
        </w:tc>
        <w:tc>
          <w:tcPr>
            <w:tcW w:w="1552" w:type="dxa"/>
            <w:tcBorders>
              <w:left w:val="nil"/>
              <w:bottom w:val="nil"/>
            </w:tcBorders>
            <w:shd w:val="clear" w:color="auto" w:fill="5B9AD4"/>
          </w:tcPr>
          <w:p>
            <w:pPr>
              <w:pStyle w:val="TableParagraph"/>
              <w:spacing w:before="21"/>
              <w:ind w:left="248" w:right="237"/>
              <w:jc w:val="center"/>
              <w:rPr>
                <w:b/>
                <w:sz w:val="22"/>
              </w:rPr>
            </w:pPr>
            <w:r>
              <w:rPr>
                <w:b/>
                <w:color w:val="FFFFFF"/>
                <w:spacing w:val="-2"/>
                <w:sz w:val="22"/>
              </w:rPr>
              <w:t>2024/2025</w:t>
            </w:r>
          </w:p>
          <w:p>
            <w:pPr>
              <w:pStyle w:val="TableParagraph"/>
              <w:spacing w:before="40"/>
              <w:ind w:left="247" w:right="237"/>
              <w:jc w:val="center"/>
              <w:rPr>
                <w:b/>
                <w:sz w:val="22"/>
              </w:rPr>
            </w:pPr>
            <w:r>
              <w:rPr>
                <w:b/>
                <w:color w:val="FFFFFF"/>
                <w:spacing w:val="-2"/>
                <w:sz w:val="22"/>
              </w:rPr>
              <w:t>Budget</w:t>
            </w:r>
          </w:p>
          <w:p>
            <w:pPr>
              <w:pStyle w:val="TableParagraph"/>
              <w:spacing w:before="42"/>
              <w:ind w:left="248" w:right="237"/>
              <w:jc w:val="center"/>
              <w:rPr>
                <w:b/>
                <w:sz w:val="22"/>
              </w:rPr>
            </w:pPr>
            <w:r>
              <w:rPr>
                <w:b/>
                <w:color w:val="FFFFFF"/>
                <w:spacing w:val="-2"/>
                <w:sz w:val="22"/>
              </w:rPr>
              <w:t>$'000</w:t>
            </w:r>
          </w:p>
        </w:tc>
      </w:tr>
      <w:tr>
        <w:trPr>
          <w:trHeight w:val="292" w:hRule="atLeast"/>
        </w:trPr>
        <w:tc>
          <w:tcPr>
            <w:tcW w:w="10730" w:type="dxa"/>
            <w:gridSpan w:val="5"/>
            <w:tcBorders>
              <w:top w:val="nil"/>
            </w:tcBorders>
          </w:tcPr>
          <w:p>
            <w:pPr>
              <w:pStyle w:val="TableParagraph"/>
              <w:spacing w:before="19"/>
              <w:ind w:left="107"/>
              <w:rPr>
                <w:b/>
                <w:sz w:val="22"/>
              </w:rPr>
            </w:pPr>
            <w:r>
              <w:rPr>
                <w:b/>
                <w:color w:val="5B9AD4"/>
                <w:sz w:val="22"/>
              </w:rPr>
              <w:t>Natural</w:t>
            </w:r>
            <w:r>
              <w:rPr>
                <w:b/>
                <w:color w:val="5B9AD4"/>
                <w:spacing w:val="-3"/>
                <w:sz w:val="22"/>
              </w:rPr>
              <w:t> </w:t>
            </w:r>
            <w:r>
              <w:rPr>
                <w:b/>
                <w:color w:val="5B9AD4"/>
                <w:sz w:val="22"/>
              </w:rPr>
              <w:t>Environment</w:t>
            </w:r>
            <w:r>
              <w:rPr>
                <w:b/>
                <w:color w:val="5B9AD4"/>
                <w:spacing w:val="-3"/>
                <w:sz w:val="22"/>
              </w:rPr>
              <w:t> </w:t>
            </w:r>
            <w:r>
              <w:rPr>
                <w:b/>
                <w:color w:val="5B9AD4"/>
                <w:sz w:val="22"/>
              </w:rPr>
              <w:t>-</w:t>
            </w:r>
            <w:r>
              <w:rPr>
                <w:b/>
                <w:color w:val="5B9AD4"/>
                <w:spacing w:val="-3"/>
                <w:sz w:val="22"/>
              </w:rPr>
              <w:t> </w:t>
            </w:r>
            <w:r>
              <w:rPr>
                <w:b/>
                <w:color w:val="5B9AD4"/>
                <w:spacing w:val="-2"/>
                <w:sz w:val="22"/>
              </w:rPr>
              <w:t>(Operations)</w:t>
            </w:r>
          </w:p>
        </w:tc>
      </w:tr>
      <w:tr>
        <w:trPr>
          <w:trHeight w:val="599" w:hRule="atLeast"/>
        </w:trPr>
        <w:tc>
          <w:tcPr>
            <w:tcW w:w="5666" w:type="dxa"/>
            <w:vMerge w:val="restart"/>
            <w:tcBorders>
              <w:bottom w:val="nil"/>
              <w:right w:val="nil"/>
            </w:tcBorders>
          </w:tcPr>
          <w:p>
            <w:pPr>
              <w:pStyle w:val="TableParagraph"/>
              <w:spacing w:before="2"/>
              <w:ind w:left="107" w:right="140"/>
              <w:rPr>
                <w:sz w:val="22"/>
              </w:rPr>
            </w:pPr>
            <w:r>
              <w:rPr>
                <w:sz w:val="22"/>
              </w:rPr>
              <w:t>Bushland is responsible for the care of over 41 bushland areas, waterways, and revegetation reserves including: proactively supporting, conserving and enhancing biodiversity; promoting effective</w:t>
            </w:r>
            <w:r>
              <w:rPr>
                <w:spacing w:val="40"/>
                <w:sz w:val="22"/>
              </w:rPr>
              <w:t> </w:t>
            </w:r>
            <w:r>
              <w:rPr>
                <w:sz w:val="22"/>
              </w:rPr>
              <w:t>regeneration in sites of biological significance; fauna/flora</w:t>
            </w:r>
            <w:r>
              <w:rPr>
                <w:spacing w:val="-8"/>
                <w:sz w:val="22"/>
              </w:rPr>
              <w:t> </w:t>
            </w:r>
            <w:r>
              <w:rPr>
                <w:sz w:val="22"/>
              </w:rPr>
              <w:t>conservation;</w:t>
            </w:r>
            <w:r>
              <w:rPr>
                <w:spacing w:val="-9"/>
                <w:sz w:val="22"/>
              </w:rPr>
              <w:t> </w:t>
            </w:r>
            <w:r>
              <w:rPr>
                <w:sz w:val="22"/>
              </w:rPr>
              <w:t>indigenous</w:t>
            </w:r>
            <w:r>
              <w:rPr>
                <w:spacing w:val="-9"/>
                <w:sz w:val="22"/>
              </w:rPr>
              <w:t> </w:t>
            </w:r>
            <w:r>
              <w:rPr>
                <w:sz w:val="22"/>
              </w:rPr>
              <w:t>planting</w:t>
            </w:r>
            <w:r>
              <w:rPr>
                <w:spacing w:val="-7"/>
                <w:sz w:val="22"/>
              </w:rPr>
              <w:t> </w:t>
            </w:r>
            <w:r>
              <w:rPr>
                <w:sz w:val="22"/>
              </w:rPr>
              <w:t>programs; wetland vegetation management; weed control; path maintenance; friends/community group assistance; maintaining appropriate fire breaks; and community dialogue through a monthly Nature News electronic news publication. The team also maintains water sensitive urban design elements and waterways that are under Council management.</w:t>
            </w:r>
          </w:p>
          <w:p>
            <w:pPr>
              <w:pStyle w:val="TableParagraph"/>
              <w:ind w:left="107" w:right="117"/>
              <w:rPr>
                <w:sz w:val="22"/>
              </w:rPr>
            </w:pPr>
            <w:r>
              <w:rPr>
                <w:sz w:val="22"/>
              </w:rPr>
              <w:t>Parks</w:t>
            </w:r>
            <w:r>
              <w:rPr>
                <w:spacing w:val="-2"/>
                <w:sz w:val="22"/>
              </w:rPr>
              <w:t> </w:t>
            </w:r>
            <w:r>
              <w:rPr>
                <w:sz w:val="22"/>
              </w:rPr>
              <w:t>Maintenance</w:t>
            </w:r>
            <w:r>
              <w:rPr>
                <w:spacing w:val="-2"/>
                <w:sz w:val="22"/>
              </w:rPr>
              <w:t> </w:t>
            </w:r>
            <w:r>
              <w:rPr>
                <w:sz w:val="22"/>
              </w:rPr>
              <w:t>maintains Council</w:t>
            </w:r>
            <w:r>
              <w:rPr>
                <w:spacing w:val="-3"/>
                <w:sz w:val="22"/>
              </w:rPr>
              <w:t> </w:t>
            </w:r>
            <w:r>
              <w:rPr>
                <w:sz w:val="22"/>
              </w:rPr>
              <w:t>managed</w:t>
            </w:r>
            <w:r>
              <w:rPr>
                <w:spacing w:val="-1"/>
                <w:sz w:val="22"/>
              </w:rPr>
              <w:t> </w:t>
            </w:r>
            <w:r>
              <w:rPr>
                <w:sz w:val="22"/>
              </w:rPr>
              <w:t>parks, gardens</w:t>
            </w:r>
            <w:r>
              <w:rPr>
                <w:spacing w:val="-4"/>
                <w:sz w:val="22"/>
              </w:rPr>
              <w:t> </w:t>
            </w:r>
            <w:r>
              <w:rPr>
                <w:sz w:val="22"/>
              </w:rPr>
              <w:t>and</w:t>
            </w:r>
            <w:r>
              <w:rPr>
                <w:spacing w:val="-5"/>
                <w:sz w:val="22"/>
              </w:rPr>
              <w:t> </w:t>
            </w:r>
            <w:r>
              <w:rPr>
                <w:sz w:val="22"/>
              </w:rPr>
              <w:t>open</w:t>
            </w:r>
            <w:r>
              <w:rPr>
                <w:spacing w:val="-6"/>
                <w:sz w:val="22"/>
              </w:rPr>
              <w:t> </w:t>
            </w:r>
            <w:r>
              <w:rPr>
                <w:sz w:val="22"/>
              </w:rPr>
              <w:t>space</w:t>
            </w:r>
            <w:r>
              <w:rPr>
                <w:spacing w:val="-5"/>
                <w:sz w:val="22"/>
              </w:rPr>
              <w:t> </w:t>
            </w:r>
            <w:r>
              <w:rPr>
                <w:sz w:val="22"/>
              </w:rPr>
              <w:t>areas</w:t>
            </w:r>
            <w:r>
              <w:rPr>
                <w:spacing w:val="-6"/>
                <w:sz w:val="22"/>
              </w:rPr>
              <w:t> </w:t>
            </w:r>
            <w:r>
              <w:rPr>
                <w:sz w:val="22"/>
              </w:rPr>
              <w:t>including</w:t>
            </w:r>
            <w:r>
              <w:rPr>
                <w:spacing w:val="-4"/>
                <w:sz w:val="22"/>
              </w:rPr>
              <w:t> </w:t>
            </w:r>
            <w:r>
              <w:rPr>
                <w:sz w:val="22"/>
              </w:rPr>
              <w:t>proactive</w:t>
            </w:r>
            <w:r>
              <w:rPr>
                <w:spacing w:val="-4"/>
                <w:sz w:val="22"/>
              </w:rPr>
              <w:t> </w:t>
            </w:r>
            <w:r>
              <w:rPr>
                <w:sz w:val="22"/>
              </w:rPr>
              <w:t>and reactive maintenance of landscaped areas; grass mowing; gardening; shopping/business strip maintenance; and programmed tree planting in parks and reserves. The function also maintains Council’s playgrounds in accordance with the Australian Standards and Best Practice guidelines, Council’s reserve fence line (half cost fencing program), and Marveloo bookings.</w:t>
            </w:r>
          </w:p>
          <w:p>
            <w:pPr>
              <w:pStyle w:val="TableParagraph"/>
              <w:ind w:left="107"/>
              <w:rPr>
                <w:sz w:val="22"/>
              </w:rPr>
            </w:pPr>
            <w:r>
              <w:rPr>
                <w:sz w:val="22"/>
              </w:rPr>
              <w:t>Tree</w:t>
            </w:r>
            <w:r>
              <w:rPr>
                <w:spacing w:val="-6"/>
                <w:sz w:val="22"/>
              </w:rPr>
              <w:t> </w:t>
            </w:r>
            <w:r>
              <w:rPr>
                <w:sz w:val="22"/>
              </w:rPr>
              <w:t>Maintenance</w:t>
            </w:r>
            <w:r>
              <w:rPr>
                <w:spacing w:val="-6"/>
                <w:sz w:val="22"/>
              </w:rPr>
              <w:t> </w:t>
            </w:r>
            <w:r>
              <w:rPr>
                <w:sz w:val="22"/>
              </w:rPr>
              <w:t>maintains</w:t>
            </w:r>
            <w:r>
              <w:rPr>
                <w:spacing w:val="-4"/>
                <w:sz w:val="22"/>
              </w:rPr>
              <w:t> </w:t>
            </w:r>
            <w:r>
              <w:rPr>
                <w:sz w:val="22"/>
              </w:rPr>
              <w:t>all</w:t>
            </w:r>
            <w:r>
              <w:rPr>
                <w:spacing w:val="-4"/>
                <w:sz w:val="22"/>
              </w:rPr>
              <w:t> </w:t>
            </w:r>
            <w:r>
              <w:rPr>
                <w:sz w:val="22"/>
              </w:rPr>
              <w:t>of</w:t>
            </w:r>
            <w:r>
              <w:rPr>
                <w:spacing w:val="-2"/>
                <w:sz w:val="22"/>
              </w:rPr>
              <w:t> </w:t>
            </w:r>
            <w:r>
              <w:rPr>
                <w:sz w:val="22"/>
              </w:rPr>
              <w:t>Council’s</w:t>
            </w:r>
            <w:r>
              <w:rPr>
                <w:spacing w:val="-4"/>
                <w:sz w:val="22"/>
              </w:rPr>
              <w:t> </w:t>
            </w:r>
            <w:r>
              <w:rPr>
                <w:sz w:val="22"/>
              </w:rPr>
              <w:t>tree</w:t>
            </w:r>
            <w:r>
              <w:rPr>
                <w:spacing w:val="-6"/>
                <w:sz w:val="22"/>
              </w:rPr>
              <w:t> </w:t>
            </w:r>
            <w:r>
              <w:rPr>
                <w:sz w:val="22"/>
              </w:rPr>
              <w:t>assets (street trees and trees within parks and reserves) including proactive tree inspections; remedial tree work and reactive inspections in response to customer</w:t>
            </w:r>
          </w:p>
          <w:p>
            <w:pPr>
              <w:pStyle w:val="TableParagraph"/>
              <w:spacing w:line="252" w:lineRule="exact"/>
              <w:ind w:left="107" w:right="117"/>
              <w:rPr>
                <w:sz w:val="22"/>
              </w:rPr>
            </w:pPr>
            <w:r>
              <w:rPr>
                <w:sz w:val="22"/>
              </w:rPr>
              <w:t>requests</w:t>
            </w:r>
            <w:r>
              <w:rPr>
                <w:spacing w:val="-6"/>
                <w:sz w:val="22"/>
              </w:rPr>
              <w:t> </w:t>
            </w:r>
            <w:r>
              <w:rPr>
                <w:sz w:val="22"/>
              </w:rPr>
              <w:t>or</w:t>
            </w:r>
            <w:r>
              <w:rPr>
                <w:spacing w:val="-6"/>
                <w:sz w:val="22"/>
              </w:rPr>
              <w:t> </w:t>
            </w:r>
            <w:r>
              <w:rPr>
                <w:sz w:val="22"/>
              </w:rPr>
              <w:t>storm</w:t>
            </w:r>
            <w:r>
              <w:rPr>
                <w:spacing w:val="-6"/>
                <w:sz w:val="22"/>
              </w:rPr>
              <w:t> </w:t>
            </w:r>
            <w:r>
              <w:rPr>
                <w:sz w:val="22"/>
              </w:rPr>
              <w:t>events;</w:t>
            </w:r>
            <w:r>
              <w:rPr>
                <w:spacing w:val="-4"/>
                <w:sz w:val="22"/>
              </w:rPr>
              <w:t> </w:t>
            </w:r>
            <w:r>
              <w:rPr>
                <w:sz w:val="22"/>
              </w:rPr>
              <w:t>programmed</w:t>
            </w:r>
            <w:r>
              <w:rPr>
                <w:spacing w:val="-7"/>
                <w:sz w:val="22"/>
              </w:rPr>
              <w:t> </w:t>
            </w:r>
            <w:r>
              <w:rPr>
                <w:sz w:val="22"/>
              </w:rPr>
              <w:t>tree</w:t>
            </w:r>
            <w:r>
              <w:rPr>
                <w:spacing w:val="-5"/>
                <w:sz w:val="22"/>
              </w:rPr>
              <w:t> </w:t>
            </w:r>
            <w:r>
              <w:rPr>
                <w:sz w:val="22"/>
              </w:rPr>
              <w:t>planting; and power-line clearance management.</w:t>
            </w:r>
          </w:p>
        </w:tc>
        <w:tc>
          <w:tcPr>
            <w:tcW w:w="1001" w:type="dxa"/>
            <w:tcBorders>
              <w:left w:val="nil"/>
              <w:right w:val="nil"/>
            </w:tcBorders>
          </w:tcPr>
          <w:p>
            <w:pPr>
              <w:pStyle w:val="TableParagraph"/>
              <w:spacing w:before="1"/>
              <w:ind w:left="110"/>
              <w:rPr>
                <w:sz w:val="18"/>
              </w:rPr>
            </w:pPr>
            <w:r>
              <w:rPr>
                <w:spacing w:val="-5"/>
                <w:sz w:val="18"/>
              </w:rPr>
              <w:t>Inc</w:t>
            </w:r>
          </w:p>
          <w:p>
            <w:pPr>
              <w:pStyle w:val="TableParagraph"/>
              <w:spacing w:before="95"/>
              <w:ind w:left="110"/>
              <w:rPr>
                <w:sz w:val="18"/>
              </w:rPr>
            </w:pPr>
            <w:r>
              <w:rPr>
                <w:spacing w:val="-5"/>
                <w:sz w:val="18"/>
              </w:rPr>
              <w:t>Exp</w:t>
            </w:r>
          </w:p>
        </w:tc>
        <w:tc>
          <w:tcPr>
            <w:tcW w:w="1256" w:type="dxa"/>
            <w:tcBorders>
              <w:left w:val="nil"/>
              <w:right w:val="nil"/>
            </w:tcBorders>
          </w:tcPr>
          <w:p>
            <w:pPr>
              <w:pStyle w:val="TableParagraph"/>
              <w:spacing w:before="1"/>
              <w:ind w:right="100"/>
              <w:jc w:val="right"/>
              <w:rPr>
                <w:sz w:val="18"/>
              </w:rPr>
            </w:pPr>
            <w:r>
              <w:rPr>
                <w:spacing w:val="-5"/>
                <w:sz w:val="18"/>
              </w:rPr>
              <w:t>33</w:t>
            </w:r>
          </w:p>
          <w:p>
            <w:pPr>
              <w:pStyle w:val="TableParagraph"/>
              <w:spacing w:before="95"/>
              <w:ind w:right="99"/>
              <w:jc w:val="right"/>
              <w:rPr>
                <w:sz w:val="18"/>
              </w:rPr>
            </w:pPr>
            <w:r>
              <w:rPr>
                <w:spacing w:val="-2"/>
                <w:sz w:val="18"/>
              </w:rPr>
              <w:t>11,580</w:t>
            </w:r>
          </w:p>
        </w:tc>
        <w:tc>
          <w:tcPr>
            <w:tcW w:w="1255" w:type="dxa"/>
            <w:tcBorders>
              <w:left w:val="nil"/>
              <w:right w:val="nil"/>
            </w:tcBorders>
          </w:tcPr>
          <w:p>
            <w:pPr>
              <w:pStyle w:val="TableParagraph"/>
              <w:spacing w:before="1"/>
              <w:ind w:right="98"/>
              <w:jc w:val="right"/>
              <w:rPr>
                <w:sz w:val="18"/>
              </w:rPr>
            </w:pPr>
            <w:r>
              <w:rPr>
                <w:spacing w:val="-5"/>
                <w:sz w:val="18"/>
              </w:rPr>
              <w:t>115</w:t>
            </w:r>
          </w:p>
          <w:p>
            <w:pPr>
              <w:pStyle w:val="TableParagraph"/>
              <w:spacing w:before="95"/>
              <w:ind w:right="97"/>
              <w:jc w:val="right"/>
              <w:rPr>
                <w:sz w:val="18"/>
              </w:rPr>
            </w:pPr>
            <w:r>
              <w:rPr>
                <w:spacing w:val="-2"/>
                <w:sz w:val="18"/>
              </w:rPr>
              <w:t>11,081</w:t>
            </w:r>
          </w:p>
        </w:tc>
        <w:tc>
          <w:tcPr>
            <w:tcW w:w="1552" w:type="dxa"/>
            <w:tcBorders>
              <w:left w:val="nil"/>
            </w:tcBorders>
            <w:shd w:val="clear" w:color="auto" w:fill="BCD6ED"/>
          </w:tcPr>
          <w:p>
            <w:pPr>
              <w:pStyle w:val="TableParagraph"/>
              <w:spacing w:before="1"/>
              <w:ind w:right="95"/>
              <w:jc w:val="right"/>
              <w:rPr>
                <w:sz w:val="18"/>
              </w:rPr>
            </w:pPr>
            <w:r>
              <w:rPr>
                <w:spacing w:val="-5"/>
                <w:sz w:val="18"/>
              </w:rPr>
              <w:t>109</w:t>
            </w:r>
          </w:p>
          <w:p>
            <w:pPr>
              <w:pStyle w:val="TableParagraph"/>
              <w:spacing w:before="95"/>
              <w:ind w:right="93"/>
              <w:jc w:val="right"/>
              <w:rPr>
                <w:sz w:val="18"/>
              </w:rPr>
            </w:pPr>
            <w:r>
              <w:rPr>
                <w:spacing w:val="-2"/>
                <w:sz w:val="18"/>
              </w:rPr>
              <w:t>11,680</w:t>
            </w:r>
          </w:p>
        </w:tc>
      </w:tr>
      <w:tr>
        <w:trPr>
          <w:trHeight w:val="6726" w:hRule="atLeast"/>
        </w:trPr>
        <w:tc>
          <w:tcPr>
            <w:tcW w:w="5666" w:type="dxa"/>
            <w:vMerge/>
            <w:tcBorders>
              <w:top w:val="nil"/>
              <w:bottom w:val="nil"/>
              <w:right w:val="nil"/>
            </w:tcBorders>
          </w:tcPr>
          <w:p>
            <w:pPr>
              <w:rPr>
                <w:sz w:val="2"/>
                <w:szCs w:val="2"/>
              </w:rPr>
            </w:pPr>
          </w:p>
        </w:tc>
        <w:tc>
          <w:tcPr>
            <w:tcW w:w="1001" w:type="dxa"/>
            <w:tcBorders>
              <w:left w:val="nil"/>
              <w:right w:val="nil"/>
            </w:tcBorders>
          </w:tcPr>
          <w:p>
            <w:pPr>
              <w:pStyle w:val="TableParagraph"/>
              <w:ind w:left="110"/>
              <w:rPr>
                <w:b/>
                <w:sz w:val="18"/>
              </w:rPr>
            </w:pPr>
            <w:r>
              <w:rPr>
                <w:b/>
                <w:sz w:val="18"/>
              </w:rPr>
              <w:t>Surplus</w:t>
            </w:r>
            <w:r>
              <w:rPr>
                <w:b/>
                <w:spacing w:val="-8"/>
                <w:sz w:val="18"/>
              </w:rPr>
              <w:t> </w:t>
            </w:r>
            <w:r>
              <w:rPr>
                <w:b/>
                <w:sz w:val="18"/>
              </w:rPr>
              <w:t>/ </w:t>
            </w:r>
            <w:r>
              <w:rPr>
                <w:b/>
                <w:spacing w:val="-2"/>
                <w:sz w:val="18"/>
              </w:rPr>
              <w:t>(deficit)</w:t>
            </w:r>
          </w:p>
        </w:tc>
        <w:tc>
          <w:tcPr>
            <w:tcW w:w="1256" w:type="dxa"/>
            <w:tcBorders>
              <w:left w:val="nil"/>
              <w:right w:val="nil"/>
            </w:tcBorders>
          </w:tcPr>
          <w:p>
            <w:pPr>
              <w:pStyle w:val="TableParagraph"/>
              <w:spacing w:line="206" w:lineRule="exact"/>
              <w:ind w:right="99"/>
              <w:jc w:val="right"/>
              <w:rPr>
                <w:b/>
                <w:sz w:val="18"/>
              </w:rPr>
            </w:pPr>
            <w:r>
              <w:rPr>
                <w:b/>
                <w:spacing w:val="-2"/>
                <w:sz w:val="18"/>
              </w:rPr>
              <w:t>(11,547)</w:t>
            </w:r>
          </w:p>
        </w:tc>
        <w:tc>
          <w:tcPr>
            <w:tcW w:w="1255" w:type="dxa"/>
            <w:tcBorders>
              <w:left w:val="nil"/>
              <w:right w:val="nil"/>
            </w:tcBorders>
          </w:tcPr>
          <w:p>
            <w:pPr>
              <w:pStyle w:val="TableParagraph"/>
              <w:spacing w:line="206" w:lineRule="exact"/>
              <w:ind w:right="97"/>
              <w:jc w:val="right"/>
              <w:rPr>
                <w:b/>
                <w:sz w:val="18"/>
              </w:rPr>
            </w:pPr>
            <w:r>
              <w:rPr>
                <w:b/>
                <w:spacing w:val="-2"/>
                <w:sz w:val="18"/>
              </w:rPr>
              <w:t>(10,966)</w:t>
            </w:r>
          </w:p>
        </w:tc>
        <w:tc>
          <w:tcPr>
            <w:tcW w:w="1552" w:type="dxa"/>
            <w:tcBorders>
              <w:left w:val="nil"/>
            </w:tcBorders>
            <w:shd w:val="clear" w:color="auto" w:fill="BCD6ED"/>
          </w:tcPr>
          <w:p>
            <w:pPr>
              <w:pStyle w:val="TableParagraph"/>
              <w:spacing w:line="206" w:lineRule="exact"/>
              <w:ind w:right="93"/>
              <w:jc w:val="right"/>
              <w:rPr>
                <w:b/>
                <w:sz w:val="18"/>
              </w:rPr>
            </w:pPr>
            <w:r>
              <w:rPr>
                <w:b/>
                <w:spacing w:val="-2"/>
                <w:sz w:val="18"/>
              </w:rPr>
              <w:t>(11,571)</w:t>
            </w:r>
          </w:p>
        </w:tc>
      </w:tr>
      <w:tr>
        <w:trPr>
          <w:trHeight w:val="294" w:hRule="atLeast"/>
        </w:trPr>
        <w:tc>
          <w:tcPr>
            <w:tcW w:w="5666" w:type="dxa"/>
            <w:tcBorders>
              <w:top w:val="nil"/>
              <w:right w:val="nil"/>
            </w:tcBorders>
          </w:tcPr>
          <w:p>
            <w:pPr>
              <w:pStyle w:val="TableParagraph"/>
              <w:spacing w:before="21"/>
              <w:ind w:left="107"/>
              <w:rPr>
                <w:b/>
                <w:sz w:val="22"/>
              </w:rPr>
            </w:pPr>
            <w:r>
              <w:rPr>
                <w:b/>
                <w:color w:val="5B9AD4"/>
                <w:sz w:val="22"/>
              </w:rPr>
              <w:t>Waste</w:t>
            </w:r>
            <w:r>
              <w:rPr>
                <w:b/>
                <w:color w:val="5B9AD4"/>
                <w:spacing w:val="-5"/>
                <w:sz w:val="22"/>
              </w:rPr>
              <w:t> </w:t>
            </w:r>
            <w:r>
              <w:rPr>
                <w:b/>
                <w:color w:val="5B9AD4"/>
                <w:sz w:val="22"/>
              </w:rPr>
              <w:t>Management</w:t>
            </w:r>
            <w:r>
              <w:rPr>
                <w:b/>
                <w:color w:val="5B9AD4"/>
                <w:spacing w:val="-4"/>
                <w:sz w:val="22"/>
              </w:rPr>
              <w:t> </w:t>
            </w:r>
            <w:r>
              <w:rPr>
                <w:b/>
                <w:color w:val="5B9AD4"/>
                <w:sz w:val="22"/>
              </w:rPr>
              <w:t>(Finance</w:t>
            </w:r>
            <w:r>
              <w:rPr>
                <w:b/>
                <w:color w:val="5B9AD4"/>
                <w:spacing w:val="-4"/>
                <w:sz w:val="22"/>
              </w:rPr>
              <w:t> </w:t>
            </w:r>
            <w:r>
              <w:rPr>
                <w:b/>
                <w:color w:val="5B9AD4"/>
                <w:sz w:val="22"/>
              </w:rPr>
              <w:t>and</w:t>
            </w:r>
            <w:r>
              <w:rPr>
                <w:b/>
                <w:color w:val="5B9AD4"/>
                <w:spacing w:val="-4"/>
                <w:sz w:val="22"/>
              </w:rPr>
              <w:t> </w:t>
            </w:r>
            <w:r>
              <w:rPr>
                <w:b/>
                <w:color w:val="5B9AD4"/>
                <w:spacing w:val="-2"/>
                <w:sz w:val="22"/>
              </w:rPr>
              <w:t>Commercial)</w:t>
            </w:r>
          </w:p>
        </w:tc>
        <w:tc>
          <w:tcPr>
            <w:tcW w:w="5064" w:type="dxa"/>
            <w:gridSpan w:val="4"/>
            <w:tcBorders>
              <w:left w:val="nil"/>
            </w:tcBorders>
          </w:tcPr>
          <w:p>
            <w:pPr>
              <w:pStyle w:val="TableParagraph"/>
              <w:rPr>
                <w:rFonts w:ascii="Times New Roman"/>
                <w:sz w:val="20"/>
              </w:rPr>
            </w:pPr>
          </w:p>
        </w:tc>
      </w:tr>
      <w:tr>
        <w:trPr>
          <w:trHeight w:val="597" w:hRule="atLeast"/>
        </w:trPr>
        <w:tc>
          <w:tcPr>
            <w:tcW w:w="5666" w:type="dxa"/>
            <w:vMerge w:val="restart"/>
            <w:tcBorders>
              <w:right w:val="nil"/>
            </w:tcBorders>
          </w:tcPr>
          <w:p>
            <w:pPr>
              <w:pStyle w:val="TableParagraph"/>
              <w:ind w:left="107" w:right="117"/>
              <w:rPr>
                <w:sz w:val="22"/>
              </w:rPr>
            </w:pPr>
            <w:r>
              <w:rPr>
                <w:sz w:val="22"/>
              </w:rPr>
              <w:t>Waste Management provides residential and commercial waste services to the Maroondah community including weekly garbage collections, fortnightly recyclables, and garden organics collection and</w:t>
            </w:r>
            <w:r>
              <w:rPr>
                <w:spacing w:val="-3"/>
                <w:sz w:val="22"/>
              </w:rPr>
              <w:t> </w:t>
            </w:r>
            <w:r>
              <w:rPr>
                <w:sz w:val="22"/>
              </w:rPr>
              <w:t>a</w:t>
            </w:r>
            <w:r>
              <w:rPr>
                <w:spacing w:val="-3"/>
                <w:sz w:val="22"/>
              </w:rPr>
              <w:t> </w:t>
            </w:r>
            <w:r>
              <w:rPr>
                <w:sz w:val="22"/>
              </w:rPr>
              <w:t>twice</w:t>
            </w:r>
            <w:r>
              <w:rPr>
                <w:spacing w:val="-2"/>
                <w:sz w:val="22"/>
              </w:rPr>
              <w:t> </w:t>
            </w:r>
            <w:r>
              <w:rPr>
                <w:sz w:val="22"/>
              </w:rPr>
              <w:t>yearly</w:t>
            </w:r>
            <w:r>
              <w:rPr>
                <w:spacing w:val="-5"/>
                <w:sz w:val="22"/>
              </w:rPr>
              <w:t> </w:t>
            </w:r>
            <w:r>
              <w:rPr>
                <w:sz w:val="22"/>
              </w:rPr>
              <w:t>on</w:t>
            </w:r>
            <w:r>
              <w:rPr>
                <w:spacing w:val="-5"/>
                <w:sz w:val="22"/>
              </w:rPr>
              <w:t> </w:t>
            </w:r>
            <w:r>
              <w:rPr>
                <w:sz w:val="22"/>
              </w:rPr>
              <w:t>call</w:t>
            </w:r>
            <w:r>
              <w:rPr>
                <w:spacing w:val="-3"/>
                <w:sz w:val="22"/>
              </w:rPr>
              <w:t> </w:t>
            </w:r>
            <w:r>
              <w:rPr>
                <w:sz w:val="22"/>
              </w:rPr>
              <w:t>hard</w:t>
            </w:r>
            <w:r>
              <w:rPr>
                <w:spacing w:val="-5"/>
                <w:sz w:val="22"/>
              </w:rPr>
              <w:t> </w:t>
            </w:r>
            <w:r>
              <w:rPr>
                <w:sz w:val="22"/>
              </w:rPr>
              <w:t>waste</w:t>
            </w:r>
            <w:r>
              <w:rPr>
                <w:spacing w:val="-3"/>
                <w:sz w:val="22"/>
              </w:rPr>
              <w:t> </w:t>
            </w:r>
            <w:r>
              <w:rPr>
                <w:sz w:val="22"/>
              </w:rPr>
              <w:t>collection,</w:t>
            </w:r>
            <w:r>
              <w:rPr>
                <w:spacing w:val="-2"/>
                <w:sz w:val="22"/>
              </w:rPr>
              <w:t> </w:t>
            </w:r>
            <w:r>
              <w:rPr>
                <w:sz w:val="22"/>
              </w:rPr>
              <w:t>as</w:t>
            </w:r>
            <w:r>
              <w:rPr>
                <w:spacing w:val="-2"/>
                <w:sz w:val="22"/>
              </w:rPr>
              <w:t> </w:t>
            </w:r>
            <w:r>
              <w:rPr>
                <w:sz w:val="22"/>
              </w:rPr>
              <w:t>well as public recycling bins, street litter bins, parks and reserves bins, and Council facility bins.</w:t>
            </w:r>
          </w:p>
          <w:p>
            <w:pPr>
              <w:pStyle w:val="TableParagraph"/>
              <w:ind w:left="107" w:right="107"/>
              <w:rPr>
                <w:sz w:val="22"/>
              </w:rPr>
            </w:pPr>
            <w:r>
              <w:rPr>
                <w:sz w:val="22"/>
              </w:rPr>
              <w:t>The team also manages the contracts for kerbside waste collection, receipt and sorting, green organics, land fill collection, as well as providing school and kerbside</w:t>
            </w:r>
            <w:r>
              <w:rPr>
                <w:spacing w:val="-5"/>
                <w:sz w:val="22"/>
              </w:rPr>
              <w:t> </w:t>
            </w:r>
            <w:r>
              <w:rPr>
                <w:sz w:val="22"/>
              </w:rPr>
              <w:t>education</w:t>
            </w:r>
            <w:r>
              <w:rPr>
                <w:spacing w:val="-5"/>
                <w:sz w:val="22"/>
              </w:rPr>
              <w:t> </w:t>
            </w:r>
            <w:r>
              <w:rPr>
                <w:sz w:val="22"/>
              </w:rPr>
              <w:t>and</w:t>
            </w:r>
            <w:r>
              <w:rPr>
                <w:spacing w:val="-10"/>
                <w:sz w:val="22"/>
              </w:rPr>
              <w:t> </w:t>
            </w:r>
            <w:r>
              <w:rPr>
                <w:sz w:val="22"/>
              </w:rPr>
              <w:t>waste</w:t>
            </w:r>
            <w:r>
              <w:rPr>
                <w:spacing w:val="-8"/>
                <w:sz w:val="22"/>
              </w:rPr>
              <w:t> </w:t>
            </w:r>
            <w:r>
              <w:rPr>
                <w:sz w:val="22"/>
              </w:rPr>
              <w:t>contamination</w:t>
            </w:r>
            <w:r>
              <w:rPr>
                <w:spacing w:val="-5"/>
                <w:sz w:val="22"/>
              </w:rPr>
              <w:t> </w:t>
            </w:r>
            <w:r>
              <w:rPr>
                <w:sz w:val="22"/>
              </w:rPr>
              <w:t>prevention programs, and strategic planning to meet future waste management needs.</w:t>
            </w:r>
          </w:p>
          <w:p>
            <w:pPr>
              <w:pStyle w:val="TableParagraph"/>
              <w:spacing w:before="1"/>
              <w:ind w:left="107"/>
              <w:rPr>
                <w:sz w:val="22"/>
              </w:rPr>
            </w:pPr>
            <w:r>
              <w:rPr>
                <w:sz w:val="22"/>
              </w:rPr>
              <w:t>A</w:t>
            </w:r>
            <w:r>
              <w:rPr>
                <w:spacing w:val="-2"/>
                <w:sz w:val="22"/>
              </w:rPr>
              <w:t> </w:t>
            </w:r>
            <w:r>
              <w:rPr>
                <w:sz w:val="22"/>
              </w:rPr>
              <w:t>key</w:t>
            </w:r>
            <w:r>
              <w:rPr>
                <w:spacing w:val="-2"/>
                <w:sz w:val="22"/>
              </w:rPr>
              <w:t> </w:t>
            </w:r>
            <w:r>
              <w:rPr>
                <w:sz w:val="22"/>
              </w:rPr>
              <w:t>priority</w:t>
            </w:r>
            <w:r>
              <w:rPr>
                <w:spacing w:val="-4"/>
                <w:sz w:val="22"/>
              </w:rPr>
              <w:t> </w:t>
            </w:r>
            <w:r>
              <w:rPr>
                <w:sz w:val="22"/>
              </w:rPr>
              <w:t>for</w:t>
            </w:r>
            <w:r>
              <w:rPr>
                <w:spacing w:val="-2"/>
                <w:sz w:val="22"/>
              </w:rPr>
              <w:t> </w:t>
            </w:r>
            <w:r>
              <w:rPr>
                <w:sz w:val="22"/>
              </w:rPr>
              <w:t>the</w:t>
            </w:r>
            <w:r>
              <w:rPr>
                <w:spacing w:val="-5"/>
                <w:sz w:val="22"/>
              </w:rPr>
              <w:t> </w:t>
            </w:r>
            <w:r>
              <w:rPr>
                <w:sz w:val="22"/>
              </w:rPr>
              <w:t>team</w:t>
            </w:r>
            <w:r>
              <w:rPr>
                <w:spacing w:val="-2"/>
                <w:sz w:val="22"/>
              </w:rPr>
              <w:t> </w:t>
            </w:r>
            <w:r>
              <w:rPr>
                <w:sz w:val="22"/>
              </w:rPr>
              <w:t>is</w:t>
            </w:r>
            <w:r>
              <w:rPr>
                <w:spacing w:val="-4"/>
                <w:sz w:val="22"/>
              </w:rPr>
              <w:t> </w:t>
            </w:r>
            <w:r>
              <w:rPr>
                <w:sz w:val="22"/>
              </w:rPr>
              <w:t>the</w:t>
            </w:r>
            <w:r>
              <w:rPr>
                <w:spacing w:val="-3"/>
                <w:sz w:val="22"/>
              </w:rPr>
              <w:t> </w:t>
            </w:r>
            <w:r>
              <w:rPr>
                <w:sz w:val="22"/>
              </w:rPr>
              <w:t>implementation</w:t>
            </w:r>
            <w:r>
              <w:rPr>
                <w:spacing w:val="-4"/>
                <w:sz w:val="22"/>
              </w:rPr>
              <w:t> </w:t>
            </w:r>
            <w:r>
              <w:rPr>
                <w:spacing w:val="-5"/>
                <w:sz w:val="22"/>
              </w:rPr>
              <w:t>of</w:t>
            </w:r>
          </w:p>
          <w:p>
            <w:pPr>
              <w:pStyle w:val="TableParagraph"/>
              <w:spacing w:line="252" w:lineRule="exact"/>
              <w:ind w:left="107"/>
              <w:rPr>
                <w:sz w:val="22"/>
              </w:rPr>
            </w:pPr>
            <w:r>
              <w:rPr>
                <w:sz w:val="22"/>
              </w:rPr>
              <w:t>Council’s</w:t>
            </w:r>
            <w:r>
              <w:rPr>
                <w:spacing w:val="-5"/>
                <w:sz w:val="22"/>
              </w:rPr>
              <w:t> </w:t>
            </w:r>
            <w:r>
              <w:rPr>
                <w:sz w:val="22"/>
              </w:rPr>
              <w:t>10-year</w:t>
            </w:r>
            <w:r>
              <w:rPr>
                <w:spacing w:val="-5"/>
                <w:sz w:val="22"/>
              </w:rPr>
              <w:t> </w:t>
            </w:r>
            <w:r>
              <w:rPr>
                <w:sz w:val="22"/>
              </w:rPr>
              <w:t>Waste,</w:t>
            </w:r>
            <w:r>
              <w:rPr>
                <w:spacing w:val="-6"/>
                <w:sz w:val="22"/>
              </w:rPr>
              <w:t> </w:t>
            </w:r>
            <w:r>
              <w:rPr>
                <w:sz w:val="22"/>
              </w:rPr>
              <w:t>Litter</w:t>
            </w:r>
            <w:r>
              <w:rPr>
                <w:spacing w:val="-4"/>
                <w:sz w:val="22"/>
              </w:rPr>
              <w:t> </w:t>
            </w:r>
            <w:r>
              <w:rPr>
                <w:sz w:val="22"/>
              </w:rPr>
              <w:t>and</w:t>
            </w:r>
            <w:r>
              <w:rPr>
                <w:spacing w:val="-6"/>
                <w:sz w:val="22"/>
              </w:rPr>
              <w:t> </w:t>
            </w:r>
            <w:r>
              <w:rPr>
                <w:sz w:val="22"/>
              </w:rPr>
              <w:t>Resource</w:t>
            </w:r>
            <w:r>
              <w:rPr>
                <w:spacing w:val="-6"/>
                <w:sz w:val="22"/>
              </w:rPr>
              <w:t> </w:t>
            </w:r>
            <w:r>
              <w:rPr>
                <w:sz w:val="22"/>
              </w:rPr>
              <w:t>Recovery </w:t>
            </w:r>
            <w:r>
              <w:rPr>
                <w:spacing w:val="-2"/>
                <w:sz w:val="22"/>
              </w:rPr>
              <w:t>Strategy.</w:t>
            </w:r>
          </w:p>
        </w:tc>
        <w:tc>
          <w:tcPr>
            <w:tcW w:w="1001" w:type="dxa"/>
            <w:tcBorders>
              <w:left w:val="nil"/>
              <w:right w:val="nil"/>
            </w:tcBorders>
          </w:tcPr>
          <w:p>
            <w:pPr>
              <w:pStyle w:val="TableParagraph"/>
              <w:spacing w:line="206" w:lineRule="exact"/>
              <w:ind w:left="110"/>
              <w:rPr>
                <w:sz w:val="18"/>
              </w:rPr>
            </w:pPr>
            <w:r>
              <w:rPr>
                <w:spacing w:val="-5"/>
                <w:sz w:val="18"/>
              </w:rPr>
              <w:t>Inc</w:t>
            </w:r>
          </w:p>
          <w:p>
            <w:pPr>
              <w:pStyle w:val="TableParagraph"/>
              <w:spacing w:before="98"/>
              <w:ind w:left="110"/>
              <w:rPr>
                <w:sz w:val="18"/>
              </w:rPr>
            </w:pPr>
            <w:r>
              <w:rPr>
                <w:spacing w:val="-5"/>
                <w:sz w:val="18"/>
              </w:rPr>
              <w:t>Exp</w:t>
            </w:r>
          </w:p>
        </w:tc>
        <w:tc>
          <w:tcPr>
            <w:tcW w:w="1256" w:type="dxa"/>
            <w:tcBorders>
              <w:left w:val="nil"/>
              <w:right w:val="nil"/>
            </w:tcBorders>
          </w:tcPr>
          <w:p>
            <w:pPr>
              <w:pStyle w:val="TableParagraph"/>
              <w:spacing w:line="206" w:lineRule="exact"/>
              <w:ind w:right="101"/>
              <w:jc w:val="right"/>
              <w:rPr>
                <w:sz w:val="18"/>
              </w:rPr>
            </w:pPr>
            <w:r>
              <w:rPr>
                <w:sz w:val="18"/>
              </w:rPr>
              <w:t>-</w:t>
            </w:r>
          </w:p>
          <w:p>
            <w:pPr>
              <w:pStyle w:val="TableParagraph"/>
              <w:spacing w:before="98"/>
              <w:ind w:right="99"/>
              <w:jc w:val="right"/>
              <w:rPr>
                <w:sz w:val="18"/>
              </w:rPr>
            </w:pPr>
            <w:r>
              <w:rPr>
                <w:spacing w:val="-2"/>
                <w:sz w:val="18"/>
              </w:rPr>
              <w:t>17,230</w:t>
            </w:r>
          </w:p>
        </w:tc>
        <w:tc>
          <w:tcPr>
            <w:tcW w:w="1255" w:type="dxa"/>
            <w:tcBorders>
              <w:left w:val="nil"/>
              <w:right w:val="nil"/>
            </w:tcBorders>
          </w:tcPr>
          <w:p>
            <w:pPr>
              <w:pStyle w:val="TableParagraph"/>
              <w:spacing w:line="206" w:lineRule="exact"/>
              <w:ind w:right="98"/>
              <w:jc w:val="right"/>
              <w:rPr>
                <w:sz w:val="18"/>
              </w:rPr>
            </w:pPr>
            <w:r>
              <w:rPr>
                <w:spacing w:val="-5"/>
                <w:sz w:val="18"/>
              </w:rPr>
              <w:t>265</w:t>
            </w:r>
          </w:p>
          <w:p>
            <w:pPr>
              <w:pStyle w:val="TableParagraph"/>
              <w:spacing w:before="98"/>
              <w:ind w:right="97"/>
              <w:jc w:val="right"/>
              <w:rPr>
                <w:sz w:val="18"/>
              </w:rPr>
            </w:pPr>
            <w:r>
              <w:rPr>
                <w:spacing w:val="-2"/>
                <w:sz w:val="18"/>
              </w:rPr>
              <w:t>19,507</w:t>
            </w:r>
          </w:p>
        </w:tc>
        <w:tc>
          <w:tcPr>
            <w:tcW w:w="1552" w:type="dxa"/>
            <w:tcBorders>
              <w:left w:val="nil"/>
            </w:tcBorders>
            <w:shd w:val="clear" w:color="auto" w:fill="BCD6ED"/>
          </w:tcPr>
          <w:p>
            <w:pPr>
              <w:pStyle w:val="TableParagraph"/>
              <w:spacing w:line="206" w:lineRule="exact"/>
              <w:ind w:right="94"/>
              <w:jc w:val="right"/>
              <w:rPr>
                <w:sz w:val="18"/>
              </w:rPr>
            </w:pPr>
            <w:r>
              <w:rPr>
                <w:spacing w:val="-5"/>
                <w:sz w:val="18"/>
              </w:rPr>
              <w:t>20</w:t>
            </w:r>
          </w:p>
          <w:p>
            <w:pPr>
              <w:pStyle w:val="TableParagraph"/>
              <w:spacing w:before="98"/>
              <w:ind w:right="93"/>
              <w:jc w:val="right"/>
              <w:rPr>
                <w:sz w:val="18"/>
              </w:rPr>
            </w:pPr>
            <w:r>
              <w:rPr>
                <w:spacing w:val="-2"/>
                <w:sz w:val="18"/>
              </w:rPr>
              <w:t>21,057</w:t>
            </w:r>
          </w:p>
        </w:tc>
      </w:tr>
      <w:tr>
        <w:trPr>
          <w:trHeight w:val="3443" w:hRule="atLeast"/>
        </w:trPr>
        <w:tc>
          <w:tcPr>
            <w:tcW w:w="5666" w:type="dxa"/>
            <w:vMerge/>
            <w:tcBorders>
              <w:top w:val="nil"/>
              <w:right w:val="nil"/>
            </w:tcBorders>
          </w:tcPr>
          <w:p>
            <w:pPr>
              <w:rPr>
                <w:sz w:val="2"/>
                <w:szCs w:val="2"/>
              </w:rPr>
            </w:pPr>
          </w:p>
        </w:tc>
        <w:tc>
          <w:tcPr>
            <w:tcW w:w="1001" w:type="dxa"/>
            <w:tcBorders>
              <w:left w:val="nil"/>
              <w:right w:val="nil"/>
            </w:tcBorders>
          </w:tcPr>
          <w:p>
            <w:pPr>
              <w:pStyle w:val="TableParagraph"/>
              <w:spacing w:before="1"/>
              <w:ind w:left="110" w:right="113"/>
              <w:rPr>
                <w:b/>
                <w:sz w:val="18"/>
              </w:rPr>
            </w:pPr>
            <w:r>
              <w:rPr>
                <w:b/>
                <w:sz w:val="18"/>
              </w:rPr>
              <w:t>Surplus</w:t>
            </w:r>
            <w:r>
              <w:rPr>
                <w:b/>
                <w:spacing w:val="-13"/>
                <w:sz w:val="18"/>
              </w:rPr>
              <w:t> </w:t>
            </w:r>
            <w:r>
              <w:rPr>
                <w:b/>
                <w:sz w:val="18"/>
              </w:rPr>
              <w:t>/ </w:t>
            </w:r>
            <w:r>
              <w:rPr>
                <w:b/>
                <w:spacing w:val="-2"/>
                <w:sz w:val="18"/>
              </w:rPr>
              <w:t>(deficit)</w:t>
            </w:r>
          </w:p>
        </w:tc>
        <w:tc>
          <w:tcPr>
            <w:tcW w:w="1256" w:type="dxa"/>
            <w:tcBorders>
              <w:left w:val="nil"/>
              <w:right w:val="nil"/>
            </w:tcBorders>
          </w:tcPr>
          <w:p>
            <w:pPr>
              <w:pStyle w:val="TableParagraph"/>
              <w:spacing w:before="1"/>
              <w:ind w:right="99"/>
              <w:jc w:val="right"/>
              <w:rPr>
                <w:b/>
                <w:sz w:val="18"/>
              </w:rPr>
            </w:pPr>
            <w:r>
              <w:rPr>
                <w:b/>
                <w:spacing w:val="-2"/>
                <w:sz w:val="18"/>
              </w:rPr>
              <w:t>(17,230)</w:t>
            </w:r>
          </w:p>
        </w:tc>
        <w:tc>
          <w:tcPr>
            <w:tcW w:w="1255" w:type="dxa"/>
            <w:tcBorders>
              <w:left w:val="nil"/>
              <w:right w:val="nil"/>
            </w:tcBorders>
          </w:tcPr>
          <w:p>
            <w:pPr>
              <w:pStyle w:val="TableParagraph"/>
              <w:spacing w:before="1"/>
              <w:ind w:right="97"/>
              <w:jc w:val="right"/>
              <w:rPr>
                <w:b/>
                <w:sz w:val="18"/>
              </w:rPr>
            </w:pPr>
            <w:r>
              <w:rPr>
                <w:b/>
                <w:spacing w:val="-2"/>
                <w:sz w:val="18"/>
              </w:rPr>
              <w:t>(19,242)</w:t>
            </w:r>
          </w:p>
        </w:tc>
        <w:tc>
          <w:tcPr>
            <w:tcW w:w="1552" w:type="dxa"/>
            <w:tcBorders>
              <w:left w:val="nil"/>
            </w:tcBorders>
            <w:shd w:val="clear" w:color="auto" w:fill="BCD6ED"/>
          </w:tcPr>
          <w:p>
            <w:pPr>
              <w:pStyle w:val="TableParagraph"/>
              <w:spacing w:before="1"/>
              <w:ind w:right="93"/>
              <w:jc w:val="right"/>
              <w:rPr>
                <w:b/>
                <w:sz w:val="18"/>
              </w:rPr>
            </w:pPr>
            <w:r>
              <w:rPr>
                <w:b/>
                <w:spacing w:val="-2"/>
                <w:sz w:val="18"/>
              </w:rPr>
              <w:t>(21,037)</w:t>
            </w:r>
          </w:p>
        </w:tc>
      </w:tr>
    </w:tbl>
    <w:p>
      <w:pPr>
        <w:spacing w:after="0"/>
        <w:jc w:val="right"/>
        <w:rPr>
          <w:sz w:val="18"/>
        </w:rPr>
        <w:sectPr>
          <w:pgSz w:w="11910" w:h="16840"/>
          <w:pgMar w:header="0" w:footer="426" w:top="340" w:bottom="620" w:left="460" w:right="160"/>
        </w:sectPr>
      </w:pPr>
    </w:p>
    <w:p>
      <w:pPr>
        <w:pStyle w:val="Heading5"/>
        <w:spacing w:before="69"/>
        <w:ind w:left="391"/>
      </w:pPr>
      <w:r>
        <w:rPr/>
        <w:t>Major</w:t>
      </w:r>
      <w:r>
        <w:rPr>
          <w:spacing w:val="-5"/>
        </w:rPr>
        <w:t> </w:t>
      </w:r>
      <w:r>
        <w:rPr/>
        <w:t>Initiatives</w:t>
      </w:r>
      <w:r>
        <w:rPr>
          <w:spacing w:val="-5"/>
        </w:rPr>
        <w:t> </w:t>
      </w:r>
      <w:r>
        <w:rPr/>
        <w:t>(Priority</w:t>
      </w:r>
      <w:r>
        <w:rPr>
          <w:spacing w:val="-6"/>
        </w:rPr>
        <w:t> </w:t>
      </w:r>
      <w:r>
        <w:rPr>
          <w:spacing w:val="-2"/>
        </w:rPr>
        <w:t>Actions)</w:t>
      </w:r>
    </w:p>
    <w:p>
      <w:pPr>
        <w:pStyle w:val="BodyText"/>
        <w:spacing w:before="9"/>
        <w:rPr>
          <w:b/>
          <w:sz w:val="21"/>
        </w:rPr>
      </w:pPr>
    </w:p>
    <w:p>
      <w:pPr>
        <w:pStyle w:val="ListParagraph"/>
        <w:numPr>
          <w:ilvl w:val="0"/>
          <w:numId w:val="13"/>
        </w:numPr>
        <w:tabs>
          <w:tab w:pos="959" w:val="left" w:leader="none"/>
          <w:tab w:pos="960" w:val="left" w:leader="none"/>
        </w:tabs>
        <w:spacing w:line="240" w:lineRule="auto" w:before="0" w:after="0"/>
        <w:ind w:left="959" w:right="0" w:hanging="569"/>
        <w:jc w:val="left"/>
        <w:rPr>
          <w:sz w:val="22"/>
        </w:rPr>
      </w:pPr>
      <w:r>
        <w:rPr>
          <w:sz w:val="22"/>
        </w:rPr>
        <w:t>Work</w:t>
      </w:r>
      <w:r>
        <w:rPr>
          <w:spacing w:val="-8"/>
          <w:sz w:val="22"/>
        </w:rPr>
        <w:t> </w:t>
      </w:r>
      <w:r>
        <w:rPr>
          <w:sz w:val="22"/>
        </w:rPr>
        <w:t>in</w:t>
      </w:r>
      <w:r>
        <w:rPr>
          <w:spacing w:val="-2"/>
          <w:sz w:val="22"/>
        </w:rPr>
        <w:t> </w:t>
      </w:r>
      <w:r>
        <w:rPr>
          <w:sz w:val="22"/>
        </w:rPr>
        <w:t>partnership</w:t>
      </w:r>
      <w:r>
        <w:rPr>
          <w:spacing w:val="-6"/>
          <w:sz w:val="22"/>
        </w:rPr>
        <w:t> </w:t>
      </w:r>
      <w:r>
        <w:rPr>
          <w:sz w:val="22"/>
        </w:rPr>
        <w:t>to</w:t>
      </w:r>
      <w:r>
        <w:rPr>
          <w:spacing w:val="-7"/>
          <w:sz w:val="22"/>
        </w:rPr>
        <w:t> </w:t>
      </w:r>
      <w:r>
        <w:rPr>
          <w:sz w:val="22"/>
        </w:rPr>
        <w:t>deliver</w:t>
      </w:r>
      <w:r>
        <w:rPr>
          <w:spacing w:val="-2"/>
          <w:sz w:val="22"/>
        </w:rPr>
        <w:t> </w:t>
      </w:r>
      <w:r>
        <w:rPr>
          <w:sz w:val="22"/>
        </w:rPr>
        <w:t>the</w:t>
      </w:r>
      <w:r>
        <w:rPr>
          <w:spacing w:val="-6"/>
          <w:sz w:val="22"/>
        </w:rPr>
        <w:t> </w:t>
      </w:r>
      <w:r>
        <w:rPr>
          <w:sz w:val="22"/>
        </w:rPr>
        <w:t>staged</w:t>
      </w:r>
      <w:r>
        <w:rPr>
          <w:spacing w:val="-4"/>
          <w:sz w:val="22"/>
        </w:rPr>
        <w:t> </w:t>
      </w:r>
      <w:r>
        <w:rPr>
          <w:sz w:val="22"/>
        </w:rPr>
        <w:t>implementation</w:t>
      </w:r>
      <w:r>
        <w:rPr>
          <w:spacing w:val="-2"/>
          <w:sz w:val="22"/>
        </w:rPr>
        <w:t> </w:t>
      </w:r>
      <w:r>
        <w:rPr>
          <w:sz w:val="22"/>
        </w:rPr>
        <w:t>of</w:t>
      </w:r>
      <w:r>
        <w:rPr>
          <w:spacing w:val="-4"/>
          <w:sz w:val="22"/>
        </w:rPr>
        <w:t> </w:t>
      </w:r>
      <w:r>
        <w:rPr>
          <w:sz w:val="22"/>
        </w:rPr>
        <w:t>the</w:t>
      </w:r>
      <w:r>
        <w:rPr>
          <w:spacing w:val="-3"/>
          <w:sz w:val="22"/>
        </w:rPr>
        <w:t> </w:t>
      </w:r>
      <w:r>
        <w:rPr>
          <w:sz w:val="22"/>
        </w:rPr>
        <w:t>Reimagining</w:t>
      </w:r>
      <w:r>
        <w:rPr>
          <w:spacing w:val="-3"/>
          <w:sz w:val="22"/>
        </w:rPr>
        <w:t> </w:t>
      </w:r>
      <w:r>
        <w:rPr>
          <w:sz w:val="22"/>
        </w:rPr>
        <w:t>Tarralla</w:t>
      </w:r>
      <w:r>
        <w:rPr>
          <w:spacing w:val="-3"/>
          <w:sz w:val="22"/>
        </w:rPr>
        <w:t> </w:t>
      </w:r>
      <w:r>
        <w:rPr>
          <w:sz w:val="22"/>
        </w:rPr>
        <w:t>Creek</w:t>
      </w:r>
      <w:r>
        <w:rPr>
          <w:spacing w:val="-3"/>
          <w:sz w:val="22"/>
        </w:rPr>
        <w:t> </w:t>
      </w:r>
      <w:r>
        <w:rPr>
          <w:spacing w:val="-2"/>
          <w:sz w:val="22"/>
        </w:rPr>
        <w:t>project.</w:t>
      </w:r>
    </w:p>
    <w:p>
      <w:pPr>
        <w:pStyle w:val="ListParagraph"/>
        <w:numPr>
          <w:ilvl w:val="0"/>
          <w:numId w:val="13"/>
        </w:numPr>
        <w:tabs>
          <w:tab w:pos="959" w:val="left" w:leader="none"/>
          <w:tab w:pos="960" w:val="left" w:leader="none"/>
        </w:tabs>
        <w:spacing w:line="240" w:lineRule="auto" w:before="2" w:after="0"/>
        <w:ind w:left="958" w:right="401" w:hanging="567"/>
        <w:jc w:val="left"/>
        <w:rPr>
          <w:sz w:val="22"/>
        </w:rPr>
      </w:pPr>
      <w:r>
        <w:rPr>
          <w:sz w:val="22"/>
        </w:rPr>
        <w:t>Implement Council's </w:t>
      </w:r>
      <w:r>
        <w:rPr>
          <w:i/>
          <w:sz w:val="22"/>
        </w:rPr>
        <w:t>Sustainability Strategy 2022-2031</w:t>
      </w:r>
      <w:r>
        <w:rPr>
          <w:sz w:val="22"/>
        </w:rPr>
        <w:t>, including development of a Climate Change Plan integrating carbon reduction and climate adaptation measures.</w:t>
      </w:r>
    </w:p>
    <w:p>
      <w:pPr>
        <w:pStyle w:val="ListParagraph"/>
        <w:numPr>
          <w:ilvl w:val="0"/>
          <w:numId w:val="13"/>
        </w:numPr>
        <w:tabs>
          <w:tab w:pos="959" w:val="left" w:leader="none"/>
          <w:tab w:pos="960" w:val="left" w:leader="none"/>
        </w:tabs>
        <w:spacing w:line="252" w:lineRule="exact" w:before="0" w:after="0"/>
        <w:ind w:left="959" w:right="0" w:hanging="569"/>
        <w:jc w:val="left"/>
        <w:rPr>
          <w:i/>
          <w:sz w:val="22"/>
        </w:rPr>
      </w:pPr>
      <w:r>
        <w:rPr>
          <w:sz w:val="22"/>
        </w:rPr>
        <w:t>Implement</w:t>
      </w:r>
      <w:r>
        <w:rPr>
          <w:spacing w:val="-6"/>
          <w:sz w:val="22"/>
        </w:rPr>
        <w:t> </w:t>
      </w:r>
      <w:r>
        <w:rPr>
          <w:i/>
          <w:sz w:val="22"/>
        </w:rPr>
        <w:t>Council’s</w:t>
      </w:r>
      <w:r>
        <w:rPr>
          <w:i/>
          <w:spacing w:val="-5"/>
          <w:sz w:val="22"/>
        </w:rPr>
        <w:t> </w:t>
      </w:r>
      <w:r>
        <w:rPr>
          <w:i/>
          <w:sz w:val="22"/>
        </w:rPr>
        <w:t>Waste,</w:t>
      </w:r>
      <w:r>
        <w:rPr>
          <w:i/>
          <w:spacing w:val="-5"/>
          <w:sz w:val="22"/>
        </w:rPr>
        <w:t> </w:t>
      </w:r>
      <w:r>
        <w:rPr>
          <w:i/>
          <w:sz w:val="22"/>
        </w:rPr>
        <w:t>Litter</w:t>
      </w:r>
      <w:r>
        <w:rPr>
          <w:i/>
          <w:spacing w:val="-6"/>
          <w:sz w:val="22"/>
        </w:rPr>
        <w:t> </w:t>
      </w:r>
      <w:r>
        <w:rPr>
          <w:i/>
          <w:sz w:val="22"/>
        </w:rPr>
        <w:t>and</w:t>
      </w:r>
      <w:r>
        <w:rPr>
          <w:i/>
          <w:spacing w:val="-4"/>
          <w:sz w:val="22"/>
        </w:rPr>
        <w:t> </w:t>
      </w:r>
      <w:r>
        <w:rPr>
          <w:i/>
          <w:sz w:val="22"/>
        </w:rPr>
        <w:t>Resource</w:t>
      </w:r>
      <w:r>
        <w:rPr>
          <w:i/>
          <w:spacing w:val="-7"/>
          <w:sz w:val="22"/>
        </w:rPr>
        <w:t> </w:t>
      </w:r>
      <w:r>
        <w:rPr>
          <w:i/>
          <w:sz w:val="22"/>
        </w:rPr>
        <w:t>Recovery</w:t>
      </w:r>
      <w:r>
        <w:rPr>
          <w:i/>
          <w:spacing w:val="-5"/>
          <w:sz w:val="22"/>
        </w:rPr>
        <w:t> </w:t>
      </w:r>
      <w:r>
        <w:rPr>
          <w:i/>
          <w:sz w:val="22"/>
        </w:rPr>
        <w:t>Strategy</w:t>
      </w:r>
      <w:r>
        <w:rPr>
          <w:i/>
          <w:spacing w:val="-3"/>
          <w:sz w:val="22"/>
        </w:rPr>
        <w:t> </w:t>
      </w:r>
      <w:r>
        <w:rPr>
          <w:i/>
          <w:sz w:val="22"/>
        </w:rPr>
        <w:t>2020-</w:t>
      </w:r>
      <w:r>
        <w:rPr>
          <w:i/>
          <w:spacing w:val="-4"/>
          <w:sz w:val="22"/>
        </w:rPr>
        <w:t>2030</w:t>
      </w:r>
    </w:p>
    <w:p>
      <w:pPr>
        <w:pStyle w:val="ListParagraph"/>
        <w:numPr>
          <w:ilvl w:val="0"/>
          <w:numId w:val="13"/>
        </w:numPr>
        <w:tabs>
          <w:tab w:pos="959" w:val="left" w:leader="none"/>
          <w:tab w:pos="960" w:val="left" w:leader="none"/>
        </w:tabs>
        <w:spacing w:line="240" w:lineRule="auto" w:before="0" w:after="0"/>
        <w:ind w:left="958" w:right="403" w:hanging="567"/>
        <w:jc w:val="left"/>
        <w:rPr>
          <w:sz w:val="22"/>
        </w:rPr>
      </w:pPr>
      <w:r>
        <w:rPr>
          <w:sz w:val="22"/>
        </w:rPr>
        <w:t>Prepare</w:t>
      </w:r>
      <w:r>
        <w:rPr>
          <w:spacing w:val="40"/>
          <w:sz w:val="22"/>
        </w:rPr>
        <w:t> </w:t>
      </w:r>
      <w:r>
        <w:rPr>
          <w:sz w:val="22"/>
        </w:rPr>
        <w:t>and</w:t>
      </w:r>
      <w:r>
        <w:rPr>
          <w:spacing w:val="40"/>
          <w:sz w:val="22"/>
        </w:rPr>
        <w:t> </w:t>
      </w:r>
      <w:r>
        <w:rPr>
          <w:sz w:val="22"/>
        </w:rPr>
        <w:t>implement</w:t>
      </w:r>
      <w:r>
        <w:rPr>
          <w:spacing w:val="40"/>
          <w:sz w:val="22"/>
        </w:rPr>
        <w:t> </w:t>
      </w:r>
      <w:r>
        <w:rPr>
          <w:sz w:val="22"/>
        </w:rPr>
        <w:t>a</w:t>
      </w:r>
      <w:r>
        <w:rPr>
          <w:spacing w:val="40"/>
          <w:sz w:val="22"/>
        </w:rPr>
        <w:t> </w:t>
      </w:r>
      <w:r>
        <w:rPr>
          <w:sz w:val="22"/>
        </w:rPr>
        <w:t>series</w:t>
      </w:r>
      <w:r>
        <w:rPr>
          <w:spacing w:val="40"/>
          <w:sz w:val="22"/>
        </w:rPr>
        <w:t> </w:t>
      </w:r>
      <w:r>
        <w:rPr>
          <w:sz w:val="22"/>
        </w:rPr>
        <w:t>of</w:t>
      </w:r>
      <w:r>
        <w:rPr>
          <w:spacing w:val="40"/>
          <w:sz w:val="22"/>
        </w:rPr>
        <w:t> </w:t>
      </w:r>
      <w:r>
        <w:rPr>
          <w:sz w:val="22"/>
        </w:rPr>
        <w:t>Biolink</w:t>
      </w:r>
      <w:r>
        <w:rPr>
          <w:spacing w:val="40"/>
          <w:sz w:val="22"/>
        </w:rPr>
        <w:t> </w:t>
      </w:r>
      <w:r>
        <w:rPr>
          <w:sz w:val="22"/>
        </w:rPr>
        <w:t>Action</w:t>
      </w:r>
      <w:r>
        <w:rPr>
          <w:spacing w:val="40"/>
          <w:sz w:val="22"/>
        </w:rPr>
        <w:t> </w:t>
      </w:r>
      <w:r>
        <w:rPr>
          <w:sz w:val="22"/>
        </w:rPr>
        <w:t>Plans</w:t>
      </w:r>
      <w:r>
        <w:rPr>
          <w:spacing w:val="40"/>
          <w:sz w:val="22"/>
        </w:rPr>
        <w:t> </w:t>
      </w:r>
      <w:r>
        <w:rPr>
          <w:sz w:val="22"/>
        </w:rPr>
        <w:t>that</w:t>
      </w:r>
      <w:r>
        <w:rPr>
          <w:spacing w:val="40"/>
          <w:sz w:val="22"/>
        </w:rPr>
        <w:t> </w:t>
      </w:r>
      <w:r>
        <w:rPr>
          <w:sz w:val="22"/>
        </w:rPr>
        <w:t>implement</w:t>
      </w:r>
      <w:r>
        <w:rPr>
          <w:spacing w:val="40"/>
          <w:sz w:val="22"/>
        </w:rPr>
        <w:t> </w:t>
      </w:r>
      <w:r>
        <w:rPr>
          <w:sz w:val="22"/>
        </w:rPr>
        <w:t>the</w:t>
      </w:r>
      <w:r>
        <w:rPr>
          <w:spacing w:val="40"/>
          <w:sz w:val="22"/>
        </w:rPr>
        <w:t> </w:t>
      </w:r>
      <w:r>
        <w:rPr>
          <w:sz w:val="22"/>
        </w:rPr>
        <w:t>Maroondah</w:t>
      </w:r>
      <w:r>
        <w:rPr>
          <w:spacing w:val="40"/>
          <w:sz w:val="22"/>
        </w:rPr>
        <w:t> </w:t>
      </w:r>
      <w:r>
        <w:rPr>
          <w:sz w:val="22"/>
        </w:rPr>
        <w:t>Habitat Connectivity Study.</w:t>
      </w:r>
    </w:p>
    <w:p>
      <w:pPr>
        <w:pStyle w:val="ListParagraph"/>
        <w:numPr>
          <w:ilvl w:val="0"/>
          <w:numId w:val="13"/>
        </w:numPr>
        <w:tabs>
          <w:tab w:pos="959" w:val="left" w:leader="none"/>
          <w:tab w:pos="960" w:val="left" w:leader="none"/>
        </w:tabs>
        <w:spacing w:line="240" w:lineRule="auto" w:before="0" w:after="0"/>
        <w:ind w:left="958" w:right="402" w:hanging="567"/>
        <w:jc w:val="left"/>
        <w:rPr>
          <w:sz w:val="22"/>
        </w:rPr>
      </w:pPr>
      <w:r>
        <w:rPr>
          <w:sz w:val="22"/>
        </w:rPr>
        <w:t>Implement Council’s annual streetscape enhancement program incorporating a significant increase in new tree planting throughout the municipality.</w:t>
      </w:r>
    </w:p>
    <w:p>
      <w:pPr>
        <w:spacing w:before="200"/>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rPr>
          <w:b/>
        </w:rPr>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3"/>
        <w:gridCol w:w="1345"/>
        <w:gridCol w:w="3869"/>
        <w:gridCol w:w="3762"/>
      </w:tblGrid>
      <w:tr>
        <w:trPr>
          <w:trHeight w:val="508" w:hRule="atLeast"/>
        </w:trPr>
        <w:tc>
          <w:tcPr>
            <w:tcW w:w="1503" w:type="dxa"/>
            <w:tcBorders>
              <w:top w:val="single" w:sz="4" w:space="0" w:color="000000"/>
              <w:left w:val="single" w:sz="4" w:space="0" w:color="000000"/>
              <w:bottom w:val="single" w:sz="4" w:space="0" w:color="000000"/>
            </w:tcBorders>
            <w:shd w:val="clear" w:color="auto" w:fill="629CD1"/>
          </w:tcPr>
          <w:p>
            <w:pPr>
              <w:pStyle w:val="TableParagraph"/>
              <w:spacing w:before="127"/>
              <w:ind w:left="107"/>
              <w:rPr>
                <w:b/>
                <w:sz w:val="22"/>
              </w:rPr>
            </w:pPr>
            <w:r>
              <w:rPr>
                <w:b/>
                <w:spacing w:val="-2"/>
                <w:sz w:val="22"/>
              </w:rPr>
              <w:t>Service</w:t>
            </w:r>
          </w:p>
        </w:tc>
        <w:tc>
          <w:tcPr>
            <w:tcW w:w="1345" w:type="dxa"/>
            <w:tcBorders>
              <w:top w:val="single" w:sz="4" w:space="0" w:color="000000"/>
              <w:bottom w:val="single" w:sz="4" w:space="0" w:color="000000"/>
            </w:tcBorders>
            <w:shd w:val="clear" w:color="auto" w:fill="629CD1"/>
          </w:tcPr>
          <w:p>
            <w:pPr>
              <w:pStyle w:val="TableParagraph"/>
              <w:spacing w:before="127"/>
              <w:ind w:left="114"/>
              <w:rPr>
                <w:b/>
                <w:sz w:val="22"/>
              </w:rPr>
            </w:pPr>
            <w:r>
              <w:rPr>
                <w:b/>
                <w:spacing w:val="-2"/>
                <w:sz w:val="22"/>
              </w:rPr>
              <w:t>Indicator</w:t>
            </w:r>
          </w:p>
        </w:tc>
        <w:tc>
          <w:tcPr>
            <w:tcW w:w="3869" w:type="dxa"/>
            <w:tcBorders>
              <w:top w:val="single" w:sz="4" w:space="0" w:color="000000"/>
              <w:bottom w:val="single" w:sz="4" w:space="0" w:color="000000"/>
            </w:tcBorders>
            <w:shd w:val="clear" w:color="auto" w:fill="629CD1"/>
          </w:tcPr>
          <w:p>
            <w:pPr>
              <w:pStyle w:val="TableParagraph"/>
              <w:spacing w:before="127"/>
              <w:ind w:left="308"/>
              <w:rPr>
                <w:b/>
                <w:sz w:val="22"/>
              </w:rPr>
            </w:pPr>
            <w:r>
              <w:rPr>
                <w:b/>
                <w:sz w:val="22"/>
              </w:rPr>
              <w:t>Performance</w:t>
            </w:r>
            <w:r>
              <w:rPr>
                <w:b/>
                <w:spacing w:val="-8"/>
                <w:sz w:val="22"/>
              </w:rPr>
              <w:t> </w:t>
            </w:r>
            <w:r>
              <w:rPr>
                <w:b/>
                <w:spacing w:val="-2"/>
                <w:sz w:val="22"/>
              </w:rPr>
              <w:t>Measure</w:t>
            </w:r>
          </w:p>
        </w:tc>
        <w:tc>
          <w:tcPr>
            <w:tcW w:w="3762" w:type="dxa"/>
            <w:tcBorders>
              <w:top w:val="single" w:sz="4" w:space="0" w:color="000000"/>
              <w:bottom w:val="single" w:sz="4" w:space="0" w:color="000000"/>
              <w:right w:val="single" w:sz="4" w:space="0" w:color="000000"/>
            </w:tcBorders>
            <w:shd w:val="clear" w:color="auto" w:fill="629CD1"/>
          </w:tcPr>
          <w:p>
            <w:pPr>
              <w:pStyle w:val="TableParagraph"/>
              <w:spacing w:before="127"/>
              <w:ind w:left="187"/>
              <w:rPr>
                <w:b/>
                <w:sz w:val="22"/>
              </w:rPr>
            </w:pPr>
            <w:r>
              <w:rPr>
                <w:b/>
                <w:spacing w:val="-2"/>
                <w:sz w:val="22"/>
              </w:rPr>
              <w:t>Computation</w:t>
            </w:r>
          </w:p>
        </w:tc>
      </w:tr>
      <w:tr>
        <w:trPr>
          <w:trHeight w:val="258" w:hRule="atLeast"/>
        </w:trPr>
        <w:tc>
          <w:tcPr>
            <w:tcW w:w="1503" w:type="dxa"/>
            <w:tcBorders>
              <w:top w:val="single" w:sz="4" w:space="0" w:color="000000"/>
              <w:left w:val="single" w:sz="4" w:space="0" w:color="000000"/>
            </w:tcBorders>
          </w:tcPr>
          <w:p>
            <w:pPr>
              <w:pStyle w:val="TableParagraph"/>
              <w:spacing w:line="236" w:lineRule="exact" w:before="2"/>
              <w:ind w:left="107"/>
              <w:rPr>
                <w:sz w:val="22"/>
              </w:rPr>
            </w:pPr>
            <w:r>
              <w:rPr>
                <w:spacing w:val="-2"/>
                <w:sz w:val="22"/>
              </w:rPr>
              <w:t>Waste</w:t>
            </w:r>
          </w:p>
        </w:tc>
        <w:tc>
          <w:tcPr>
            <w:tcW w:w="1345" w:type="dxa"/>
            <w:tcBorders>
              <w:top w:val="single" w:sz="4" w:space="0" w:color="000000"/>
            </w:tcBorders>
          </w:tcPr>
          <w:p>
            <w:pPr>
              <w:pStyle w:val="TableParagraph"/>
              <w:spacing w:line="236" w:lineRule="exact" w:before="2"/>
              <w:ind w:left="114"/>
              <w:rPr>
                <w:sz w:val="22"/>
              </w:rPr>
            </w:pPr>
            <w:r>
              <w:rPr>
                <w:spacing w:val="-2"/>
                <w:sz w:val="22"/>
              </w:rPr>
              <w:t>Waste</w:t>
            </w:r>
          </w:p>
        </w:tc>
        <w:tc>
          <w:tcPr>
            <w:tcW w:w="3869" w:type="dxa"/>
            <w:tcBorders>
              <w:top w:val="single" w:sz="4" w:space="0" w:color="000000"/>
            </w:tcBorders>
          </w:tcPr>
          <w:p>
            <w:pPr>
              <w:pStyle w:val="TableParagraph"/>
              <w:spacing w:line="236" w:lineRule="exact" w:before="2"/>
              <w:ind w:left="308"/>
              <w:rPr>
                <w:sz w:val="22"/>
              </w:rPr>
            </w:pPr>
            <w:r>
              <w:rPr>
                <w:sz w:val="22"/>
              </w:rPr>
              <w:t>Kerbside</w:t>
            </w:r>
            <w:r>
              <w:rPr>
                <w:spacing w:val="-5"/>
                <w:sz w:val="22"/>
              </w:rPr>
              <w:t> </w:t>
            </w:r>
            <w:r>
              <w:rPr>
                <w:sz w:val="22"/>
              </w:rPr>
              <w:t>collection</w:t>
            </w:r>
            <w:r>
              <w:rPr>
                <w:spacing w:val="-5"/>
                <w:sz w:val="22"/>
              </w:rPr>
              <w:t> </w:t>
            </w:r>
            <w:r>
              <w:rPr>
                <w:sz w:val="22"/>
              </w:rPr>
              <w:t>waste</w:t>
            </w:r>
            <w:r>
              <w:rPr>
                <w:spacing w:val="-6"/>
                <w:sz w:val="22"/>
              </w:rPr>
              <w:t> </w:t>
            </w:r>
            <w:r>
              <w:rPr>
                <w:spacing w:val="-2"/>
                <w:sz w:val="22"/>
              </w:rPr>
              <w:t>diverted</w:t>
            </w:r>
          </w:p>
        </w:tc>
        <w:tc>
          <w:tcPr>
            <w:tcW w:w="3762" w:type="dxa"/>
            <w:tcBorders>
              <w:top w:val="single" w:sz="4" w:space="0" w:color="000000"/>
              <w:right w:val="single" w:sz="4" w:space="0" w:color="000000"/>
            </w:tcBorders>
          </w:tcPr>
          <w:p>
            <w:pPr>
              <w:pStyle w:val="TableParagraph"/>
              <w:spacing w:line="236" w:lineRule="exact" w:before="2"/>
              <w:ind w:left="187"/>
              <w:rPr>
                <w:sz w:val="22"/>
              </w:rPr>
            </w:pPr>
            <w:r>
              <w:rPr>
                <w:sz w:val="22"/>
              </w:rPr>
              <w:t>[Weight</w:t>
            </w:r>
            <w:r>
              <w:rPr>
                <w:spacing w:val="-4"/>
                <w:sz w:val="22"/>
              </w:rPr>
              <w:t> </w:t>
            </w:r>
            <w:r>
              <w:rPr>
                <w:sz w:val="22"/>
              </w:rPr>
              <w:t>of</w:t>
            </w:r>
            <w:r>
              <w:rPr>
                <w:spacing w:val="-4"/>
                <w:sz w:val="22"/>
              </w:rPr>
              <w:t> </w:t>
            </w:r>
            <w:r>
              <w:rPr>
                <w:sz w:val="22"/>
              </w:rPr>
              <w:t>recyclables</w:t>
            </w:r>
            <w:r>
              <w:rPr>
                <w:spacing w:val="-4"/>
                <w:sz w:val="22"/>
              </w:rPr>
              <w:t> </w:t>
            </w:r>
            <w:r>
              <w:rPr>
                <w:sz w:val="22"/>
              </w:rPr>
              <w:t>and</w:t>
            </w:r>
            <w:r>
              <w:rPr>
                <w:spacing w:val="-4"/>
                <w:sz w:val="22"/>
              </w:rPr>
              <w:t> green</w:t>
            </w:r>
          </w:p>
        </w:tc>
      </w:tr>
      <w:tr>
        <w:trPr>
          <w:trHeight w:val="252" w:hRule="atLeast"/>
        </w:trPr>
        <w:tc>
          <w:tcPr>
            <w:tcW w:w="1503" w:type="dxa"/>
            <w:tcBorders>
              <w:left w:val="single" w:sz="4" w:space="0" w:color="000000"/>
            </w:tcBorders>
          </w:tcPr>
          <w:p>
            <w:pPr>
              <w:pStyle w:val="TableParagraph"/>
              <w:spacing w:line="232" w:lineRule="exact"/>
              <w:ind w:left="107"/>
              <w:rPr>
                <w:sz w:val="22"/>
              </w:rPr>
            </w:pPr>
            <w:r>
              <w:rPr>
                <w:spacing w:val="-2"/>
                <w:sz w:val="22"/>
              </w:rPr>
              <w:t>management</w:t>
            </w:r>
          </w:p>
        </w:tc>
        <w:tc>
          <w:tcPr>
            <w:tcW w:w="1345" w:type="dxa"/>
          </w:tcPr>
          <w:p>
            <w:pPr>
              <w:pStyle w:val="TableParagraph"/>
              <w:spacing w:line="232" w:lineRule="exact"/>
              <w:ind w:left="114"/>
              <w:rPr>
                <w:sz w:val="22"/>
              </w:rPr>
            </w:pPr>
            <w:r>
              <w:rPr>
                <w:spacing w:val="-2"/>
                <w:sz w:val="22"/>
              </w:rPr>
              <w:t>Diversion</w:t>
            </w:r>
          </w:p>
        </w:tc>
        <w:tc>
          <w:tcPr>
            <w:tcW w:w="3869" w:type="dxa"/>
          </w:tcPr>
          <w:p>
            <w:pPr>
              <w:pStyle w:val="TableParagraph"/>
              <w:spacing w:line="232" w:lineRule="exact"/>
              <w:ind w:left="308"/>
              <w:rPr>
                <w:sz w:val="22"/>
              </w:rPr>
            </w:pPr>
            <w:r>
              <w:rPr>
                <w:sz w:val="22"/>
              </w:rPr>
              <w:t>from</w:t>
            </w:r>
            <w:r>
              <w:rPr>
                <w:spacing w:val="-6"/>
                <w:sz w:val="22"/>
              </w:rPr>
              <w:t> </w:t>
            </w:r>
            <w:r>
              <w:rPr>
                <w:sz w:val="22"/>
              </w:rPr>
              <w:t>landfill.</w:t>
            </w:r>
            <w:r>
              <w:rPr>
                <w:spacing w:val="54"/>
                <w:sz w:val="22"/>
              </w:rPr>
              <w:t> </w:t>
            </w:r>
            <w:r>
              <w:rPr>
                <w:sz w:val="22"/>
              </w:rPr>
              <w:t>(Percentage</w:t>
            </w:r>
            <w:r>
              <w:rPr>
                <w:spacing w:val="-2"/>
                <w:sz w:val="22"/>
              </w:rPr>
              <w:t> </w:t>
            </w:r>
            <w:r>
              <w:rPr>
                <w:spacing w:val="-5"/>
                <w:sz w:val="22"/>
              </w:rPr>
              <w:t>of</w:t>
            </w:r>
          </w:p>
        </w:tc>
        <w:tc>
          <w:tcPr>
            <w:tcW w:w="3762" w:type="dxa"/>
            <w:tcBorders>
              <w:right w:val="single" w:sz="4" w:space="0" w:color="000000"/>
            </w:tcBorders>
          </w:tcPr>
          <w:p>
            <w:pPr>
              <w:pStyle w:val="TableParagraph"/>
              <w:spacing w:line="232" w:lineRule="exact"/>
              <w:ind w:left="187"/>
              <w:rPr>
                <w:sz w:val="22"/>
              </w:rPr>
            </w:pPr>
            <w:r>
              <w:rPr>
                <w:sz w:val="22"/>
              </w:rPr>
              <w:t>organics</w:t>
            </w:r>
            <w:r>
              <w:rPr>
                <w:spacing w:val="-3"/>
                <w:sz w:val="22"/>
              </w:rPr>
              <w:t> </w:t>
            </w:r>
            <w:r>
              <w:rPr>
                <w:sz w:val="22"/>
              </w:rPr>
              <w:t>collected</w:t>
            </w:r>
            <w:r>
              <w:rPr>
                <w:spacing w:val="-4"/>
                <w:sz w:val="22"/>
              </w:rPr>
              <w:t> </w:t>
            </w:r>
            <w:r>
              <w:rPr>
                <w:sz w:val="22"/>
              </w:rPr>
              <w:t>from</w:t>
            </w:r>
            <w:r>
              <w:rPr>
                <w:spacing w:val="-4"/>
                <w:sz w:val="22"/>
              </w:rPr>
              <w:t> </w:t>
            </w:r>
            <w:r>
              <w:rPr>
                <w:spacing w:val="-2"/>
                <w:sz w:val="22"/>
              </w:rPr>
              <w:t>kerbside</w:t>
            </w:r>
          </w:p>
        </w:tc>
      </w:tr>
      <w:tr>
        <w:trPr>
          <w:trHeight w:val="253" w:hRule="atLeast"/>
        </w:trPr>
        <w:tc>
          <w:tcPr>
            <w:tcW w:w="1503" w:type="dxa"/>
            <w:tcBorders>
              <w:left w:val="single" w:sz="4" w:space="0" w:color="000000"/>
            </w:tcBorders>
          </w:tcPr>
          <w:p>
            <w:pPr>
              <w:pStyle w:val="TableParagraph"/>
              <w:rPr>
                <w:rFonts w:ascii="Times New Roman"/>
                <w:sz w:val="18"/>
              </w:rPr>
            </w:pPr>
          </w:p>
        </w:tc>
        <w:tc>
          <w:tcPr>
            <w:tcW w:w="1345" w:type="dxa"/>
          </w:tcPr>
          <w:p>
            <w:pPr>
              <w:pStyle w:val="TableParagraph"/>
              <w:rPr>
                <w:rFonts w:ascii="Times New Roman"/>
                <w:sz w:val="18"/>
              </w:rPr>
            </w:pPr>
          </w:p>
        </w:tc>
        <w:tc>
          <w:tcPr>
            <w:tcW w:w="3869" w:type="dxa"/>
          </w:tcPr>
          <w:p>
            <w:pPr>
              <w:pStyle w:val="TableParagraph"/>
              <w:spacing w:line="233" w:lineRule="exact"/>
              <w:ind w:left="308"/>
              <w:rPr>
                <w:sz w:val="22"/>
              </w:rPr>
            </w:pPr>
            <w:r>
              <w:rPr>
                <w:sz w:val="22"/>
              </w:rPr>
              <w:t>recyclables</w:t>
            </w:r>
            <w:r>
              <w:rPr>
                <w:spacing w:val="-3"/>
                <w:sz w:val="22"/>
              </w:rPr>
              <w:t> </w:t>
            </w:r>
            <w:r>
              <w:rPr>
                <w:sz w:val="22"/>
              </w:rPr>
              <w:t>and</w:t>
            </w:r>
            <w:r>
              <w:rPr>
                <w:spacing w:val="-4"/>
                <w:sz w:val="22"/>
              </w:rPr>
              <w:t> </w:t>
            </w:r>
            <w:r>
              <w:rPr>
                <w:sz w:val="22"/>
              </w:rPr>
              <w:t>green</w:t>
            </w:r>
            <w:r>
              <w:rPr>
                <w:spacing w:val="-3"/>
                <w:sz w:val="22"/>
              </w:rPr>
              <w:t> </w:t>
            </w:r>
            <w:r>
              <w:rPr>
                <w:spacing w:val="-2"/>
                <w:sz w:val="22"/>
              </w:rPr>
              <w:t>organics</w:t>
            </w:r>
          </w:p>
        </w:tc>
        <w:tc>
          <w:tcPr>
            <w:tcW w:w="3762" w:type="dxa"/>
            <w:tcBorders>
              <w:right w:val="single" w:sz="4" w:space="0" w:color="000000"/>
            </w:tcBorders>
          </w:tcPr>
          <w:p>
            <w:pPr>
              <w:pStyle w:val="TableParagraph"/>
              <w:spacing w:line="233" w:lineRule="exact"/>
              <w:ind w:left="187"/>
              <w:rPr>
                <w:sz w:val="22"/>
              </w:rPr>
            </w:pPr>
            <w:r>
              <w:rPr>
                <w:sz w:val="22"/>
              </w:rPr>
              <w:t>bins /</w:t>
            </w:r>
            <w:r>
              <w:rPr>
                <w:spacing w:val="-4"/>
                <w:sz w:val="22"/>
              </w:rPr>
              <w:t> </w:t>
            </w:r>
            <w:r>
              <w:rPr>
                <w:sz w:val="22"/>
              </w:rPr>
              <w:t>Weight</w:t>
            </w:r>
            <w:r>
              <w:rPr>
                <w:spacing w:val="-4"/>
                <w:sz w:val="22"/>
              </w:rPr>
              <w:t> </w:t>
            </w:r>
            <w:r>
              <w:rPr>
                <w:sz w:val="22"/>
              </w:rPr>
              <w:t>of</w:t>
            </w:r>
            <w:r>
              <w:rPr>
                <w:spacing w:val="-1"/>
                <w:sz w:val="22"/>
              </w:rPr>
              <w:t> </w:t>
            </w:r>
            <w:r>
              <w:rPr>
                <w:spacing w:val="-2"/>
                <w:sz w:val="22"/>
              </w:rPr>
              <w:t>garbage,</w:t>
            </w:r>
          </w:p>
        </w:tc>
      </w:tr>
      <w:tr>
        <w:trPr>
          <w:trHeight w:val="253" w:hRule="atLeast"/>
        </w:trPr>
        <w:tc>
          <w:tcPr>
            <w:tcW w:w="1503" w:type="dxa"/>
            <w:tcBorders>
              <w:left w:val="single" w:sz="4" w:space="0" w:color="000000"/>
            </w:tcBorders>
          </w:tcPr>
          <w:p>
            <w:pPr>
              <w:pStyle w:val="TableParagraph"/>
              <w:rPr>
                <w:rFonts w:ascii="Times New Roman"/>
                <w:sz w:val="18"/>
              </w:rPr>
            </w:pPr>
          </w:p>
        </w:tc>
        <w:tc>
          <w:tcPr>
            <w:tcW w:w="1345" w:type="dxa"/>
          </w:tcPr>
          <w:p>
            <w:pPr>
              <w:pStyle w:val="TableParagraph"/>
              <w:rPr>
                <w:rFonts w:ascii="Times New Roman"/>
                <w:sz w:val="18"/>
              </w:rPr>
            </w:pPr>
          </w:p>
        </w:tc>
        <w:tc>
          <w:tcPr>
            <w:tcW w:w="3869" w:type="dxa"/>
          </w:tcPr>
          <w:p>
            <w:pPr>
              <w:pStyle w:val="TableParagraph"/>
              <w:spacing w:line="233" w:lineRule="exact"/>
              <w:ind w:left="308"/>
              <w:rPr>
                <w:sz w:val="22"/>
              </w:rPr>
            </w:pPr>
            <w:r>
              <w:rPr>
                <w:sz w:val="22"/>
              </w:rPr>
              <w:t>collected</w:t>
            </w:r>
            <w:r>
              <w:rPr>
                <w:spacing w:val="-4"/>
                <w:sz w:val="22"/>
              </w:rPr>
              <w:t> </w:t>
            </w:r>
            <w:r>
              <w:rPr>
                <w:sz w:val="22"/>
              </w:rPr>
              <w:t>from</w:t>
            </w:r>
            <w:r>
              <w:rPr>
                <w:spacing w:val="-4"/>
                <w:sz w:val="22"/>
              </w:rPr>
              <w:t> </w:t>
            </w:r>
            <w:r>
              <w:rPr>
                <w:sz w:val="22"/>
              </w:rPr>
              <w:t>kerbside</w:t>
            </w:r>
            <w:r>
              <w:rPr>
                <w:spacing w:val="-3"/>
                <w:sz w:val="22"/>
              </w:rPr>
              <w:t> </w:t>
            </w:r>
            <w:r>
              <w:rPr>
                <w:sz w:val="22"/>
              </w:rPr>
              <w:t>bins</w:t>
            </w:r>
            <w:r>
              <w:rPr>
                <w:spacing w:val="-4"/>
                <w:sz w:val="22"/>
              </w:rPr>
              <w:t> </w:t>
            </w:r>
            <w:r>
              <w:rPr>
                <w:sz w:val="22"/>
              </w:rPr>
              <w:t>that</w:t>
            </w:r>
            <w:r>
              <w:rPr>
                <w:spacing w:val="-3"/>
                <w:sz w:val="22"/>
              </w:rPr>
              <w:t> </w:t>
            </w:r>
            <w:r>
              <w:rPr>
                <w:spacing w:val="-5"/>
                <w:sz w:val="22"/>
              </w:rPr>
              <w:t>is</w:t>
            </w:r>
          </w:p>
        </w:tc>
        <w:tc>
          <w:tcPr>
            <w:tcW w:w="3762" w:type="dxa"/>
            <w:tcBorders>
              <w:right w:val="single" w:sz="4" w:space="0" w:color="000000"/>
            </w:tcBorders>
          </w:tcPr>
          <w:p>
            <w:pPr>
              <w:pStyle w:val="TableParagraph"/>
              <w:spacing w:line="233" w:lineRule="exact"/>
              <w:ind w:left="187"/>
              <w:rPr>
                <w:sz w:val="22"/>
              </w:rPr>
            </w:pPr>
            <w:r>
              <w:rPr>
                <w:sz w:val="22"/>
              </w:rPr>
              <w:t>recyclables</w:t>
            </w:r>
            <w:r>
              <w:rPr>
                <w:spacing w:val="-3"/>
                <w:sz w:val="22"/>
              </w:rPr>
              <w:t> </w:t>
            </w:r>
            <w:r>
              <w:rPr>
                <w:sz w:val="22"/>
              </w:rPr>
              <w:t>and</w:t>
            </w:r>
            <w:r>
              <w:rPr>
                <w:spacing w:val="-4"/>
                <w:sz w:val="22"/>
              </w:rPr>
              <w:t> </w:t>
            </w:r>
            <w:r>
              <w:rPr>
                <w:sz w:val="22"/>
              </w:rPr>
              <w:t>green</w:t>
            </w:r>
            <w:r>
              <w:rPr>
                <w:spacing w:val="-3"/>
                <w:sz w:val="22"/>
              </w:rPr>
              <w:t> </w:t>
            </w:r>
            <w:r>
              <w:rPr>
                <w:spacing w:val="-2"/>
                <w:sz w:val="22"/>
              </w:rPr>
              <w:t>organics</w:t>
            </w:r>
          </w:p>
        </w:tc>
      </w:tr>
      <w:tr>
        <w:trPr>
          <w:trHeight w:val="250" w:hRule="atLeast"/>
        </w:trPr>
        <w:tc>
          <w:tcPr>
            <w:tcW w:w="1503" w:type="dxa"/>
            <w:tcBorders>
              <w:left w:val="single" w:sz="4" w:space="0" w:color="000000"/>
              <w:bottom w:val="single" w:sz="4" w:space="0" w:color="000000"/>
            </w:tcBorders>
          </w:tcPr>
          <w:p>
            <w:pPr>
              <w:pStyle w:val="TableParagraph"/>
              <w:rPr>
                <w:rFonts w:ascii="Times New Roman"/>
                <w:sz w:val="18"/>
              </w:rPr>
            </w:pPr>
          </w:p>
        </w:tc>
        <w:tc>
          <w:tcPr>
            <w:tcW w:w="1345" w:type="dxa"/>
            <w:tcBorders>
              <w:bottom w:val="single" w:sz="4" w:space="0" w:color="000000"/>
            </w:tcBorders>
          </w:tcPr>
          <w:p>
            <w:pPr>
              <w:pStyle w:val="TableParagraph"/>
              <w:rPr>
                <w:rFonts w:ascii="Times New Roman"/>
                <w:sz w:val="18"/>
              </w:rPr>
            </w:pPr>
          </w:p>
        </w:tc>
        <w:tc>
          <w:tcPr>
            <w:tcW w:w="3869" w:type="dxa"/>
            <w:tcBorders>
              <w:bottom w:val="single" w:sz="4" w:space="0" w:color="000000"/>
            </w:tcBorders>
          </w:tcPr>
          <w:p>
            <w:pPr>
              <w:pStyle w:val="TableParagraph"/>
              <w:spacing w:line="230" w:lineRule="exact"/>
              <w:ind w:left="308"/>
              <w:rPr>
                <w:sz w:val="22"/>
              </w:rPr>
            </w:pPr>
            <w:r>
              <w:rPr>
                <w:sz w:val="22"/>
              </w:rPr>
              <w:t>diverted</w:t>
            </w:r>
            <w:r>
              <w:rPr>
                <w:spacing w:val="-5"/>
                <w:sz w:val="22"/>
              </w:rPr>
              <w:t> </w:t>
            </w:r>
            <w:r>
              <w:rPr>
                <w:sz w:val="22"/>
              </w:rPr>
              <w:t>from</w:t>
            </w:r>
            <w:r>
              <w:rPr>
                <w:spacing w:val="-2"/>
                <w:sz w:val="22"/>
              </w:rPr>
              <w:t> landfill)</w:t>
            </w:r>
          </w:p>
        </w:tc>
        <w:tc>
          <w:tcPr>
            <w:tcW w:w="3762" w:type="dxa"/>
            <w:tcBorders>
              <w:bottom w:val="single" w:sz="4" w:space="0" w:color="000000"/>
              <w:right w:val="single" w:sz="4" w:space="0" w:color="000000"/>
            </w:tcBorders>
          </w:tcPr>
          <w:p>
            <w:pPr>
              <w:pStyle w:val="TableParagraph"/>
              <w:spacing w:line="230" w:lineRule="exact"/>
              <w:ind w:left="187"/>
              <w:rPr>
                <w:sz w:val="22"/>
              </w:rPr>
            </w:pPr>
            <w:r>
              <w:rPr>
                <w:sz w:val="22"/>
              </w:rPr>
              <w:t>collected</w:t>
            </w:r>
            <w:r>
              <w:rPr>
                <w:spacing w:val="-4"/>
                <w:sz w:val="22"/>
              </w:rPr>
              <w:t> </w:t>
            </w:r>
            <w:r>
              <w:rPr>
                <w:sz w:val="22"/>
              </w:rPr>
              <w:t>from</w:t>
            </w:r>
            <w:r>
              <w:rPr>
                <w:spacing w:val="-4"/>
                <w:sz w:val="22"/>
              </w:rPr>
              <w:t> </w:t>
            </w:r>
            <w:r>
              <w:rPr>
                <w:sz w:val="22"/>
              </w:rPr>
              <w:t>kerbside</w:t>
            </w:r>
            <w:r>
              <w:rPr>
                <w:spacing w:val="-4"/>
                <w:sz w:val="22"/>
              </w:rPr>
              <w:t> </w:t>
            </w:r>
            <w:r>
              <w:rPr>
                <w:sz w:val="22"/>
              </w:rPr>
              <w:t>bins]</w:t>
            </w:r>
            <w:r>
              <w:rPr>
                <w:spacing w:val="-2"/>
                <w:sz w:val="22"/>
              </w:rPr>
              <w:t> </w:t>
            </w:r>
            <w:r>
              <w:rPr>
                <w:spacing w:val="-4"/>
                <w:sz w:val="22"/>
              </w:rPr>
              <w:t>x100</w:t>
            </w:r>
          </w:p>
        </w:tc>
      </w:tr>
    </w:tbl>
    <w:p>
      <w:pPr>
        <w:spacing w:after="0" w:line="230" w:lineRule="exact"/>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391" w:right="1383" w:firstLine="0"/>
        <w:jc w:val="both"/>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5:</w:t>
      </w:r>
      <w:r>
        <w:rPr>
          <w:color w:val="4966AC"/>
          <w:spacing w:val="-4"/>
        </w:rPr>
        <w:t> </w:t>
      </w:r>
      <w:r>
        <w:rPr>
          <w:color w:val="4966AC"/>
        </w:rPr>
        <w:t>An</w:t>
      </w:r>
      <w:r>
        <w:rPr>
          <w:color w:val="4966AC"/>
          <w:spacing w:val="-4"/>
        </w:rPr>
        <w:t> </w:t>
      </w:r>
      <w:r>
        <w:rPr>
          <w:color w:val="4966AC"/>
        </w:rPr>
        <w:t>accessible</w:t>
      </w:r>
      <w:r>
        <w:rPr>
          <w:color w:val="4966AC"/>
          <w:spacing w:val="-6"/>
        </w:rPr>
        <w:t> </w:t>
      </w:r>
      <w:r>
        <w:rPr>
          <w:color w:val="4966AC"/>
        </w:rPr>
        <w:t>and</w:t>
      </w:r>
      <w:r>
        <w:rPr>
          <w:color w:val="4966AC"/>
          <w:spacing w:val="-4"/>
        </w:rPr>
        <w:t> </w:t>
      </w:r>
      <w:r>
        <w:rPr>
          <w:color w:val="4966AC"/>
        </w:rPr>
        <w:t>connected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9"/>
        <w:gridCol w:w="994"/>
        <w:gridCol w:w="1282"/>
        <w:gridCol w:w="1271"/>
        <w:gridCol w:w="1392"/>
      </w:tblGrid>
      <w:tr>
        <w:trPr>
          <w:trHeight w:val="858" w:hRule="atLeast"/>
        </w:trPr>
        <w:tc>
          <w:tcPr>
            <w:tcW w:w="5539" w:type="dxa"/>
            <w:tcBorders>
              <w:bottom w:val="nil"/>
              <w:right w:val="nil"/>
            </w:tcBorders>
            <w:shd w:val="clear" w:color="auto" w:fill="5B9AD4"/>
          </w:tcPr>
          <w:p>
            <w:pPr>
              <w:pStyle w:val="TableParagraph"/>
              <w:spacing w:before="5"/>
              <w:rPr>
                <w:b/>
                <w:sz w:val="26"/>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94" w:type="dxa"/>
            <w:tcBorders>
              <w:left w:val="nil"/>
              <w:bottom w:val="nil"/>
              <w:right w:val="nil"/>
            </w:tcBorders>
            <w:shd w:val="clear" w:color="auto" w:fill="5B9AD4"/>
          </w:tcPr>
          <w:p>
            <w:pPr>
              <w:pStyle w:val="TableParagraph"/>
              <w:rPr>
                <w:rFonts w:ascii="Times New Roman"/>
                <w:sz w:val="20"/>
              </w:rPr>
            </w:pPr>
          </w:p>
        </w:tc>
        <w:tc>
          <w:tcPr>
            <w:tcW w:w="1282" w:type="dxa"/>
            <w:tcBorders>
              <w:left w:val="nil"/>
              <w:bottom w:val="nil"/>
              <w:right w:val="nil"/>
            </w:tcBorders>
            <w:shd w:val="clear" w:color="auto" w:fill="5B9AD4"/>
          </w:tcPr>
          <w:p>
            <w:pPr>
              <w:pStyle w:val="TableParagraph"/>
              <w:spacing w:before="26"/>
              <w:ind w:left="109" w:right="106"/>
              <w:jc w:val="center"/>
              <w:rPr>
                <w:b/>
                <w:sz w:val="22"/>
              </w:rPr>
            </w:pPr>
            <w:r>
              <w:rPr>
                <w:b/>
                <w:color w:val="FFFFFF"/>
                <w:spacing w:val="-2"/>
                <w:sz w:val="22"/>
              </w:rPr>
              <w:t>2022/2023</w:t>
            </w:r>
          </w:p>
          <w:p>
            <w:pPr>
              <w:pStyle w:val="TableParagraph"/>
              <w:spacing w:before="25"/>
              <w:ind w:left="108" w:right="108"/>
              <w:jc w:val="center"/>
              <w:rPr>
                <w:b/>
                <w:sz w:val="22"/>
              </w:rPr>
            </w:pPr>
            <w:r>
              <w:rPr>
                <w:b/>
                <w:color w:val="FFFFFF"/>
                <w:spacing w:val="-2"/>
                <w:sz w:val="22"/>
              </w:rPr>
              <w:t>Actual</w:t>
            </w:r>
          </w:p>
          <w:p>
            <w:pPr>
              <w:pStyle w:val="TableParagraph"/>
              <w:spacing w:before="23"/>
              <w:ind w:left="108" w:right="108"/>
              <w:jc w:val="center"/>
              <w:rPr>
                <w:b/>
                <w:sz w:val="22"/>
              </w:rPr>
            </w:pPr>
            <w:r>
              <w:rPr>
                <w:b/>
                <w:color w:val="FFFFFF"/>
                <w:spacing w:val="-2"/>
                <w:sz w:val="22"/>
              </w:rPr>
              <w:t>$'000</w:t>
            </w:r>
          </w:p>
        </w:tc>
        <w:tc>
          <w:tcPr>
            <w:tcW w:w="1271" w:type="dxa"/>
            <w:tcBorders>
              <w:left w:val="nil"/>
              <w:bottom w:val="nil"/>
              <w:right w:val="nil"/>
            </w:tcBorders>
            <w:shd w:val="clear" w:color="auto" w:fill="5B9AD4"/>
          </w:tcPr>
          <w:p>
            <w:pPr>
              <w:pStyle w:val="TableParagraph"/>
              <w:spacing w:before="26"/>
              <w:ind w:left="102" w:right="98"/>
              <w:jc w:val="center"/>
              <w:rPr>
                <w:b/>
                <w:sz w:val="22"/>
              </w:rPr>
            </w:pPr>
            <w:r>
              <w:rPr>
                <w:b/>
                <w:color w:val="FFFFFF"/>
                <w:spacing w:val="-2"/>
                <w:sz w:val="22"/>
              </w:rPr>
              <w:t>2023/2024</w:t>
            </w:r>
          </w:p>
          <w:p>
            <w:pPr>
              <w:pStyle w:val="TableParagraph"/>
              <w:spacing w:before="25"/>
              <w:ind w:left="102" w:right="102"/>
              <w:jc w:val="center"/>
              <w:rPr>
                <w:b/>
                <w:sz w:val="22"/>
              </w:rPr>
            </w:pPr>
            <w:r>
              <w:rPr>
                <w:b/>
                <w:color w:val="FFFFFF"/>
                <w:spacing w:val="-2"/>
                <w:sz w:val="22"/>
              </w:rPr>
              <w:t>Forecast</w:t>
            </w:r>
          </w:p>
          <w:p>
            <w:pPr>
              <w:pStyle w:val="TableParagraph"/>
              <w:spacing w:before="23"/>
              <w:ind w:left="102" w:right="102"/>
              <w:jc w:val="center"/>
              <w:rPr>
                <w:b/>
                <w:sz w:val="22"/>
              </w:rPr>
            </w:pPr>
            <w:r>
              <w:rPr>
                <w:b/>
                <w:color w:val="FFFFFF"/>
                <w:spacing w:val="-2"/>
                <w:sz w:val="22"/>
              </w:rPr>
              <w:t>$'000</w:t>
            </w:r>
          </w:p>
        </w:tc>
        <w:tc>
          <w:tcPr>
            <w:tcW w:w="1392" w:type="dxa"/>
            <w:tcBorders>
              <w:left w:val="nil"/>
              <w:bottom w:val="nil"/>
            </w:tcBorders>
            <w:shd w:val="clear" w:color="auto" w:fill="5B9AD4"/>
          </w:tcPr>
          <w:p>
            <w:pPr>
              <w:pStyle w:val="TableParagraph"/>
              <w:spacing w:before="26"/>
              <w:ind w:left="162" w:right="153"/>
              <w:jc w:val="center"/>
              <w:rPr>
                <w:b/>
                <w:sz w:val="22"/>
              </w:rPr>
            </w:pPr>
            <w:r>
              <w:rPr>
                <w:b/>
                <w:color w:val="FFFFFF"/>
                <w:spacing w:val="-2"/>
                <w:sz w:val="22"/>
              </w:rPr>
              <w:t>2024/2025</w:t>
            </w:r>
          </w:p>
          <w:p>
            <w:pPr>
              <w:pStyle w:val="TableParagraph"/>
              <w:spacing w:before="25"/>
              <w:ind w:left="162" w:right="154"/>
              <w:jc w:val="center"/>
              <w:rPr>
                <w:b/>
                <w:sz w:val="22"/>
              </w:rPr>
            </w:pPr>
            <w:r>
              <w:rPr>
                <w:b/>
                <w:color w:val="FFFFFF"/>
                <w:spacing w:val="-2"/>
                <w:sz w:val="22"/>
              </w:rPr>
              <w:t>Budget</w:t>
            </w:r>
          </w:p>
          <w:p>
            <w:pPr>
              <w:pStyle w:val="TableParagraph"/>
              <w:spacing w:before="23"/>
              <w:ind w:left="162" w:right="152"/>
              <w:jc w:val="center"/>
              <w:rPr>
                <w:b/>
                <w:sz w:val="22"/>
              </w:rPr>
            </w:pPr>
            <w:r>
              <w:rPr>
                <w:b/>
                <w:color w:val="FFFFFF"/>
                <w:spacing w:val="-2"/>
                <w:sz w:val="22"/>
              </w:rPr>
              <w:t>$'000</w:t>
            </w:r>
          </w:p>
        </w:tc>
      </w:tr>
      <w:tr>
        <w:trPr>
          <w:trHeight w:val="304" w:hRule="atLeast"/>
        </w:trPr>
        <w:tc>
          <w:tcPr>
            <w:tcW w:w="10478" w:type="dxa"/>
            <w:gridSpan w:val="5"/>
            <w:tcBorders>
              <w:top w:val="nil"/>
            </w:tcBorders>
          </w:tcPr>
          <w:p>
            <w:pPr>
              <w:pStyle w:val="TableParagraph"/>
              <w:spacing w:before="26"/>
              <w:ind w:left="107"/>
              <w:rPr>
                <w:b/>
                <w:sz w:val="22"/>
              </w:rPr>
            </w:pPr>
            <w:r>
              <w:rPr>
                <w:b/>
                <w:color w:val="5B9AD4"/>
                <w:sz w:val="22"/>
              </w:rPr>
              <w:t>Built</w:t>
            </w:r>
            <w:r>
              <w:rPr>
                <w:b/>
                <w:color w:val="5B9AD4"/>
                <w:spacing w:val="-5"/>
                <w:sz w:val="22"/>
              </w:rPr>
              <w:t> </w:t>
            </w:r>
            <w:r>
              <w:rPr>
                <w:b/>
                <w:color w:val="5B9AD4"/>
                <w:sz w:val="22"/>
              </w:rPr>
              <w:t>Environment</w:t>
            </w:r>
            <w:r>
              <w:rPr>
                <w:b/>
                <w:color w:val="5B9AD4"/>
                <w:spacing w:val="-5"/>
                <w:sz w:val="22"/>
              </w:rPr>
              <w:t> </w:t>
            </w:r>
            <w:r>
              <w:rPr>
                <w:b/>
                <w:color w:val="5B9AD4"/>
                <w:spacing w:val="-2"/>
                <w:sz w:val="22"/>
              </w:rPr>
              <w:t>(Operations)</w:t>
            </w:r>
          </w:p>
        </w:tc>
      </w:tr>
      <w:tr>
        <w:trPr>
          <w:trHeight w:val="614" w:hRule="atLeast"/>
        </w:trPr>
        <w:tc>
          <w:tcPr>
            <w:tcW w:w="5539" w:type="dxa"/>
            <w:vMerge w:val="restart"/>
            <w:tcBorders>
              <w:right w:val="nil"/>
            </w:tcBorders>
          </w:tcPr>
          <w:p>
            <w:pPr>
              <w:pStyle w:val="TableParagraph"/>
              <w:ind w:left="107" w:right="100"/>
              <w:rPr>
                <w:sz w:val="22"/>
              </w:rPr>
            </w:pPr>
            <w:r>
              <w:rPr>
                <w:sz w:val="22"/>
              </w:rPr>
              <w:t>Built Environment provides proactive and reactive maintenance and construction services for Council’s infrastructure assets. This includes road and footpath maintenance, proactive cleansing of all drainage infrastructure within the road reserve, programmed street sweeping, reactive and proactive graffiti removal, proactive activity centre cleansing, and logistical and fleet maintenance services for Council. The</w:t>
            </w:r>
            <w:r>
              <w:rPr>
                <w:spacing w:val="-5"/>
                <w:sz w:val="22"/>
              </w:rPr>
              <w:t> </w:t>
            </w:r>
            <w:r>
              <w:rPr>
                <w:sz w:val="22"/>
              </w:rPr>
              <w:t>team</w:t>
            </w:r>
            <w:r>
              <w:rPr>
                <w:spacing w:val="-5"/>
                <w:sz w:val="22"/>
              </w:rPr>
              <w:t> </w:t>
            </w:r>
            <w:r>
              <w:rPr>
                <w:sz w:val="22"/>
              </w:rPr>
              <w:t>also</w:t>
            </w:r>
            <w:r>
              <w:rPr>
                <w:spacing w:val="-8"/>
                <w:sz w:val="22"/>
              </w:rPr>
              <w:t> </w:t>
            </w:r>
            <w:r>
              <w:rPr>
                <w:sz w:val="22"/>
              </w:rPr>
              <w:t>provides</w:t>
            </w:r>
            <w:r>
              <w:rPr>
                <w:spacing w:val="-6"/>
                <w:sz w:val="22"/>
              </w:rPr>
              <w:t> </w:t>
            </w:r>
            <w:r>
              <w:rPr>
                <w:sz w:val="22"/>
              </w:rPr>
              <w:t>the</w:t>
            </w:r>
            <w:r>
              <w:rPr>
                <w:spacing w:val="-4"/>
                <w:sz w:val="22"/>
              </w:rPr>
              <w:t> </w:t>
            </w:r>
            <w:r>
              <w:rPr>
                <w:sz w:val="22"/>
              </w:rPr>
              <w:t>emergency/after-hours</w:t>
            </w:r>
            <w:r>
              <w:rPr>
                <w:spacing w:val="-5"/>
                <w:sz w:val="22"/>
              </w:rPr>
              <w:t> </w:t>
            </w:r>
            <w:r>
              <w:rPr>
                <w:sz w:val="22"/>
              </w:rPr>
              <w:t>call out service and provides a seven day a week activity</w:t>
            </w:r>
          </w:p>
          <w:p>
            <w:pPr>
              <w:pStyle w:val="TableParagraph"/>
              <w:spacing w:line="232" w:lineRule="exact"/>
              <w:ind w:left="107"/>
              <w:rPr>
                <w:sz w:val="22"/>
              </w:rPr>
            </w:pPr>
            <w:r>
              <w:rPr>
                <w:sz w:val="22"/>
              </w:rPr>
              <w:t>centre</w:t>
            </w:r>
            <w:r>
              <w:rPr>
                <w:spacing w:val="-5"/>
                <w:sz w:val="22"/>
              </w:rPr>
              <w:t> </w:t>
            </w:r>
            <w:r>
              <w:rPr>
                <w:sz w:val="22"/>
              </w:rPr>
              <w:t>cleansing</w:t>
            </w:r>
            <w:r>
              <w:rPr>
                <w:spacing w:val="-3"/>
                <w:sz w:val="22"/>
              </w:rPr>
              <w:t> </w:t>
            </w:r>
            <w:r>
              <w:rPr>
                <w:spacing w:val="-2"/>
                <w:sz w:val="22"/>
              </w:rPr>
              <w:t>service.</w:t>
            </w:r>
          </w:p>
        </w:tc>
        <w:tc>
          <w:tcPr>
            <w:tcW w:w="994"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5"/>
              <w:ind w:left="110"/>
              <w:rPr>
                <w:sz w:val="18"/>
              </w:rPr>
            </w:pPr>
            <w:r>
              <w:rPr>
                <w:spacing w:val="-5"/>
                <w:sz w:val="18"/>
              </w:rPr>
              <w:t>Exp</w:t>
            </w:r>
          </w:p>
        </w:tc>
        <w:tc>
          <w:tcPr>
            <w:tcW w:w="1282" w:type="dxa"/>
            <w:tcBorders>
              <w:left w:val="nil"/>
              <w:right w:val="nil"/>
            </w:tcBorders>
          </w:tcPr>
          <w:p>
            <w:pPr>
              <w:pStyle w:val="TableParagraph"/>
              <w:spacing w:line="206" w:lineRule="exact"/>
              <w:ind w:left="722"/>
              <w:rPr>
                <w:sz w:val="18"/>
              </w:rPr>
            </w:pPr>
            <w:r>
              <w:rPr>
                <w:spacing w:val="-2"/>
                <w:sz w:val="18"/>
              </w:rPr>
              <w:t>4,227</w:t>
            </w:r>
          </w:p>
          <w:p>
            <w:pPr>
              <w:pStyle w:val="TableParagraph"/>
              <w:spacing w:before="105"/>
              <w:ind w:left="623"/>
              <w:rPr>
                <w:sz w:val="18"/>
              </w:rPr>
            </w:pPr>
            <w:r>
              <w:rPr>
                <w:spacing w:val="-2"/>
                <w:sz w:val="18"/>
              </w:rPr>
              <w:t>11,991</w:t>
            </w:r>
          </w:p>
        </w:tc>
        <w:tc>
          <w:tcPr>
            <w:tcW w:w="1271" w:type="dxa"/>
            <w:tcBorders>
              <w:left w:val="nil"/>
              <w:right w:val="nil"/>
            </w:tcBorders>
          </w:tcPr>
          <w:p>
            <w:pPr>
              <w:pStyle w:val="TableParagraph"/>
              <w:spacing w:line="206" w:lineRule="exact"/>
              <w:ind w:right="100"/>
              <w:jc w:val="right"/>
              <w:rPr>
                <w:sz w:val="18"/>
              </w:rPr>
            </w:pPr>
            <w:r>
              <w:rPr>
                <w:spacing w:val="-5"/>
                <w:sz w:val="18"/>
              </w:rPr>
              <w:t>181</w:t>
            </w:r>
          </w:p>
          <w:p>
            <w:pPr>
              <w:pStyle w:val="TableParagraph"/>
              <w:spacing w:before="105"/>
              <w:ind w:left="716"/>
              <w:rPr>
                <w:sz w:val="18"/>
              </w:rPr>
            </w:pPr>
            <w:r>
              <w:rPr>
                <w:spacing w:val="-2"/>
                <w:sz w:val="18"/>
              </w:rPr>
              <w:t>8,211</w:t>
            </w:r>
          </w:p>
        </w:tc>
        <w:tc>
          <w:tcPr>
            <w:tcW w:w="1392" w:type="dxa"/>
            <w:tcBorders>
              <w:left w:val="nil"/>
            </w:tcBorders>
            <w:shd w:val="clear" w:color="auto" w:fill="BCD6ED"/>
          </w:tcPr>
          <w:p>
            <w:pPr>
              <w:pStyle w:val="TableParagraph"/>
              <w:spacing w:line="206" w:lineRule="exact"/>
              <w:ind w:right="94"/>
              <w:jc w:val="right"/>
              <w:rPr>
                <w:sz w:val="18"/>
              </w:rPr>
            </w:pPr>
            <w:r>
              <w:rPr>
                <w:spacing w:val="-5"/>
                <w:sz w:val="18"/>
              </w:rPr>
              <w:t>88</w:t>
            </w:r>
          </w:p>
          <w:p>
            <w:pPr>
              <w:pStyle w:val="TableParagraph"/>
              <w:spacing w:before="105"/>
              <w:ind w:left="833"/>
              <w:rPr>
                <w:sz w:val="18"/>
              </w:rPr>
            </w:pPr>
            <w:r>
              <w:rPr>
                <w:spacing w:val="-2"/>
                <w:sz w:val="18"/>
              </w:rPr>
              <w:t>8,277</w:t>
            </w:r>
          </w:p>
        </w:tc>
      </w:tr>
      <w:tr>
        <w:trPr>
          <w:trHeight w:val="2157" w:hRule="atLeast"/>
        </w:trPr>
        <w:tc>
          <w:tcPr>
            <w:tcW w:w="5539" w:type="dxa"/>
            <w:vMerge/>
            <w:tcBorders>
              <w:top w:val="nil"/>
              <w:right w:val="nil"/>
            </w:tcBorders>
          </w:tcPr>
          <w:p>
            <w:pPr>
              <w:rPr>
                <w:sz w:val="2"/>
                <w:szCs w:val="2"/>
              </w:rPr>
            </w:pPr>
          </w:p>
        </w:tc>
        <w:tc>
          <w:tcPr>
            <w:tcW w:w="994" w:type="dxa"/>
            <w:tcBorders>
              <w:left w:val="nil"/>
              <w:right w:val="nil"/>
            </w:tcBorders>
          </w:tcPr>
          <w:p>
            <w:pPr>
              <w:pStyle w:val="TableParagraph"/>
              <w:spacing w:before="1"/>
              <w:ind w:left="110" w:right="106"/>
              <w:rPr>
                <w:b/>
                <w:sz w:val="18"/>
              </w:rPr>
            </w:pPr>
            <w:r>
              <w:rPr>
                <w:b/>
                <w:sz w:val="18"/>
              </w:rPr>
              <w:t>Surplus</w:t>
            </w:r>
            <w:r>
              <w:rPr>
                <w:b/>
                <w:spacing w:val="-13"/>
                <w:sz w:val="18"/>
              </w:rPr>
              <w:t> </w:t>
            </w:r>
            <w:r>
              <w:rPr>
                <w:b/>
                <w:sz w:val="18"/>
              </w:rPr>
              <w:t>/ </w:t>
            </w:r>
            <w:r>
              <w:rPr>
                <w:b/>
                <w:spacing w:val="-2"/>
                <w:sz w:val="18"/>
              </w:rPr>
              <w:t>(deficit)</w:t>
            </w:r>
          </w:p>
        </w:tc>
        <w:tc>
          <w:tcPr>
            <w:tcW w:w="1282" w:type="dxa"/>
            <w:tcBorders>
              <w:left w:val="nil"/>
              <w:right w:val="nil"/>
            </w:tcBorders>
          </w:tcPr>
          <w:p>
            <w:pPr>
              <w:pStyle w:val="TableParagraph"/>
              <w:spacing w:before="1"/>
              <w:ind w:right="104"/>
              <w:jc w:val="right"/>
              <w:rPr>
                <w:b/>
                <w:sz w:val="18"/>
              </w:rPr>
            </w:pPr>
            <w:r>
              <w:rPr>
                <w:b/>
                <w:spacing w:val="-2"/>
                <w:sz w:val="18"/>
              </w:rPr>
              <w:t>(7,764)</w:t>
            </w:r>
          </w:p>
        </w:tc>
        <w:tc>
          <w:tcPr>
            <w:tcW w:w="1271" w:type="dxa"/>
            <w:tcBorders>
              <w:left w:val="nil"/>
              <w:right w:val="nil"/>
            </w:tcBorders>
          </w:tcPr>
          <w:p>
            <w:pPr>
              <w:pStyle w:val="TableParagraph"/>
              <w:spacing w:before="1"/>
              <w:ind w:right="99"/>
              <w:jc w:val="right"/>
              <w:rPr>
                <w:b/>
                <w:sz w:val="18"/>
              </w:rPr>
            </w:pPr>
            <w:r>
              <w:rPr>
                <w:b/>
                <w:spacing w:val="-2"/>
                <w:sz w:val="18"/>
              </w:rPr>
              <w:t>(8,030)</w:t>
            </w:r>
          </w:p>
        </w:tc>
        <w:tc>
          <w:tcPr>
            <w:tcW w:w="1392" w:type="dxa"/>
            <w:tcBorders>
              <w:left w:val="nil"/>
            </w:tcBorders>
            <w:shd w:val="clear" w:color="auto" w:fill="BCD6ED"/>
          </w:tcPr>
          <w:p>
            <w:pPr>
              <w:pStyle w:val="TableParagraph"/>
              <w:spacing w:before="1"/>
              <w:ind w:right="94"/>
              <w:jc w:val="right"/>
              <w:rPr>
                <w:b/>
                <w:sz w:val="18"/>
              </w:rPr>
            </w:pPr>
            <w:r>
              <w:rPr>
                <w:b/>
                <w:spacing w:val="-2"/>
                <w:sz w:val="18"/>
              </w:rPr>
              <w:t>(8,189)</w:t>
            </w:r>
          </w:p>
        </w:tc>
      </w:tr>
      <w:tr>
        <w:trPr>
          <w:trHeight w:val="505" w:hRule="atLeast"/>
        </w:trPr>
        <w:tc>
          <w:tcPr>
            <w:tcW w:w="10478" w:type="dxa"/>
            <w:gridSpan w:val="5"/>
          </w:tcPr>
          <w:p>
            <w:pPr>
              <w:pStyle w:val="TableParagraph"/>
              <w:spacing w:line="254" w:lineRule="exact"/>
              <w:ind w:left="107" w:right="4423"/>
              <w:rPr>
                <w:b/>
                <w:sz w:val="22"/>
              </w:rPr>
            </w:pPr>
            <w:r>
              <w:rPr>
                <w:b/>
                <w:color w:val="5B9AD4"/>
                <w:sz w:val="22"/>
              </w:rPr>
              <w:t>Engineering</w:t>
            </w:r>
            <w:r>
              <w:rPr>
                <w:b/>
                <w:color w:val="5B9AD4"/>
                <w:spacing w:val="-11"/>
                <w:sz w:val="22"/>
              </w:rPr>
              <w:t> </w:t>
            </w:r>
            <w:r>
              <w:rPr>
                <w:b/>
                <w:color w:val="5B9AD4"/>
                <w:sz w:val="22"/>
              </w:rPr>
              <w:t>Services</w:t>
            </w:r>
            <w:r>
              <w:rPr>
                <w:b/>
                <w:color w:val="5B9AD4"/>
                <w:spacing w:val="-10"/>
                <w:sz w:val="22"/>
              </w:rPr>
              <w:t> </w:t>
            </w:r>
            <w:r>
              <w:rPr>
                <w:b/>
                <w:color w:val="5B9AD4"/>
                <w:sz w:val="22"/>
              </w:rPr>
              <w:t>(Engineering</w:t>
            </w:r>
            <w:r>
              <w:rPr>
                <w:b/>
                <w:color w:val="5B9AD4"/>
                <w:spacing w:val="-9"/>
                <w:sz w:val="22"/>
              </w:rPr>
              <w:t> </w:t>
            </w:r>
            <w:r>
              <w:rPr>
                <w:b/>
                <w:color w:val="5B9AD4"/>
                <w:sz w:val="22"/>
              </w:rPr>
              <w:t>and</w:t>
            </w:r>
            <w:r>
              <w:rPr>
                <w:b/>
                <w:color w:val="5B9AD4"/>
                <w:spacing w:val="-9"/>
                <w:sz w:val="22"/>
              </w:rPr>
              <w:t> </w:t>
            </w:r>
            <w:r>
              <w:rPr>
                <w:b/>
                <w:color w:val="5B9AD4"/>
                <w:sz w:val="22"/>
              </w:rPr>
              <w:t>Building </w:t>
            </w:r>
            <w:r>
              <w:rPr>
                <w:b/>
                <w:color w:val="5B9AD4"/>
                <w:spacing w:val="-2"/>
                <w:sz w:val="22"/>
              </w:rPr>
              <w:t>Services)</w:t>
            </w:r>
          </w:p>
        </w:tc>
      </w:tr>
      <w:tr>
        <w:trPr>
          <w:trHeight w:val="614" w:hRule="atLeast"/>
        </w:trPr>
        <w:tc>
          <w:tcPr>
            <w:tcW w:w="5539" w:type="dxa"/>
            <w:vMerge w:val="restart"/>
            <w:tcBorders>
              <w:right w:val="nil"/>
            </w:tcBorders>
          </w:tcPr>
          <w:p>
            <w:pPr>
              <w:pStyle w:val="TableParagraph"/>
              <w:ind w:left="107" w:right="126"/>
              <w:rPr>
                <w:sz w:val="22"/>
              </w:rPr>
            </w:pPr>
            <w:r>
              <w:rPr>
                <w:sz w:val="22"/>
              </w:rPr>
              <w:t>Engineering Services provides technical expertise in areas of traffic and transportation strategic planning and</w:t>
            </w:r>
            <w:r>
              <w:rPr>
                <w:spacing w:val="-6"/>
                <w:sz w:val="22"/>
              </w:rPr>
              <w:t> </w:t>
            </w:r>
            <w:r>
              <w:rPr>
                <w:sz w:val="22"/>
              </w:rPr>
              <w:t>advocacy,</w:t>
            </w:r>
            <w:r>
              <w:rPr>
                <w:spacing w:val="-4"/>
                <w:sz w:val="22"/>
              </w:rPr>
              <w:t> </w:t>
            </w:r>
            <w:r>
              <w:rPr>
                <w:sz w:val="22"/>
              </w:rPr>
              <w:t>including</w:t>
            </w:r>
            <w:r>
              <w:rPr>
                <w:spacing w:val="-8"/>
                <w:sz w:val="22"/>
              </w:rPr>
              <w:t> </w:t>
            </w:r>
            <w:r>
              <w:rPr>
                <w:sz w:val="22"/>
              </w:rPr>
              <w:t>pedestrian,</w:t>
            </w:r>
            <w:r>
              <w:rPr>
                <w:spacing w:val="-5"/>
                <w:sz w:val="22"/>
              </w:rPr>
              <w:t> </w:t>
            </w:r>
            <w:r>
              <w:rPr>
                <w:sz w:val="22"/>
              </w:rPr>
              <w:t>cycling</w:t>
            </w:r>
            <w:r>
              <w:rPr>
                <w:spacing w:val="-4"/>
                <w:sz w:val="22"/>
              </w:rPr>
              <w:t> </w:t>
            </w:r>
            <w:r>
              <w:rPr>
                <w:sz w:val="22"/>
              </w:rPr>
              <w:t>and</w:t>
            </w:r>
            <w:r>
              <w:rPr>
                <w:spacing w:val="-8"/>
                <w:sz w:val="22"/>
              </w:rPr>
              <w:t> </w:t>
            </w:r>
            <w:r>
              <w:rPr>
                <w:sz w:val="22"/>
              </w:rPr>
              <w:t>public transport improvements, drainage investigation and strategy including flood mitigation planning and works and integrated water outcomes, engineering development plan approvals and work inspections, and development related asset protection and infrastructure compliance.</w:t>
            </w:r>
          </w:p>
          <w:p>
            <w:pPr>
              <w:pStyle w:val="TableParagraph"/>
              <w:spacing w:line="242" w:lineRule="auto"/>
              <w:ind w:left="107"/>
              <w:rPr>
                <w:sz w:val="22"/>
              </w:rPr>
            </w:pPr>
            <w:r>
              <w:rPr>
                <w:sz w:val="22"/>
              </w:rPr>
              <w:t>The team also delivers the engineering related component of Council</w:t>
            </w:r>
            <w:r>
              <w:rPr>
                <w:rFonts w:ascii="MS Gothic" w:hAnsi="MS Gothic"/>
                <w:sz w:val="22"/>
              </w:rPr>
              <w:t>’</w:t>
            </w:r>
            <w:r>
              <w:rPr>
                <w:sz w:val="22"/>
              </w:rPr>
              <w:t>s Capital Works Program, including: the project management of design</w:t>
            </w:r>
          </w:p>
          <w:p>
            <w:pPr>
              <w:pStyle w:val="TableParagraph"/>
              <w:spacing w:line="252" w:lineRule="exact"/>
              <w:ind w:left="107" w:right="210"/>
              <w:rPr>
                <w:sz w:val="22"/>
              </w:rPr>
            </w:pPr>
            <w:r>
              <w:rPr>
                <w:sz w:val="22"/>
              </w:rPr>
              <w:t>consultants,</w:t>
            </w:r>
            <w:r>
              <w:rPr>
                <w:spacing w:val="-7"/>
                <w:sz w:val="22"/>
              </w:rPr>
              <w:t> </w:t>
            </w:r>
            <w:r>
              <w:rPr>
                <w:sz w:val="22"/>
              </w:rPr>
              <w:t>tendering</w:t>
            </w:r>
            <w:r>
              <w:rPr>
                <w:spacing w:val="-9"/>
                <w:sz w:val="22"/>
              </w:rPr>
              <w:t> </w:t>
            </w:r>
            <w:r>
              <w:rPr>
                <w:sz w:val="22"/>
              </w:rPr>
              <w:t>and</w:t>
            </w:r>
            <w:r>
              <w:rPr>
                <w:spacing w:val="-8"/>
                <w:sz w:val="22"/>
              </w:rPr>
              <w:t> </w:t>
            </w:r>
            <w:r>
              <w:rPr>
                <w:sz w:val="22"/>
              </w:rPr>
              <w:t>contract</w:t>
            </w:r>
            <w:r>
              <w:rPr>
                <w:spacing w:val="-10"/>
                <w:sz w:val="22"/>
              </w:rPr>
              <w:t> </w:t>
            </w:r>
            <w:r>
              <w:rPr>
                <w:sz w:val="22"/>
              </w:rPr>
              <w:t>administration, and supervision/approvals of construction works.</w:t>
            </w:r>
          </w:p>
        </w:tc>
        <w:tc>
          <w:tcPr>
            <w:tcW w:w="994" w:type="dxa"/>
            <w:tcBorders>
              <w:left w:val="nil"/>
              <w:right w:val="nil"/>
            </w:tcBorders>
          </w:tcPr>
          <w:p>
            <w:pPr>
              <w:pStyle w:val="TableParagraph"/>
              <w:spacing w:line="204" w:lineRule="exact"/>
              <w:ind w:left="110"/>
              <w:rPr>
                <w:sz w:val="18"/>
              </w:rPr>
            </w:pPr>
            <w:r>
              <w:rPr>
                <w:spacing w:val="-5"/>
                <w:sz w:val="18"/>
              </w:rPr>
              <w:t>Inc</w:t>
            </w:r>
          </w:p>
          <w:p>
            <w:pPr>
              <w:pStyle w:val="TableParagraph"/>
              <w:spacing w:before="107"/>
              <w:ind w:left="110"/>
              <w:rPr>
                <w:sz w:val="18"/>
              </w:rPr>
            </w:pPr>
            <w:r>
              <w:rPr>
                <w:spacing w:val="-5"/>
                <w:sz w:val="18"/>
              </w:rPr>
              <w:t>Exp</w:t>
            </w:r>
          </w:p>
        </w:tc>
        <w:tc>
          <w:tcPr>
            <w:tcW w:w="1282" w:type="dxa"/>
            <w:tcBorders>
              <w:left w:val="nil"/>
              <w:right w:val="nil"/>
            </w:tcBorders>
          </w:tcPr>
          <w:p>
            <w:pPr>
              <w:pStyle w:val="TableParagraph"/>
              <w:spacing w:line="204" w:lineRule="exact"/>
              <w:ind w:left="722"/>
              <w:rPr>
                <w:sz w:val="18"/>
              </w:rPr>
            </w:pPr>
            <w:r>
              <w:rPr>
                <w:spacing w:val="-2"/>
                <w:sz w:val="18"/>
              </w:rPr>
              <w:t>1,280</w:t>
            </w:r>
          </w:p>
          <w:p>
            <w:pPr>
              <w:pStyle w:val="TableParagraph"/>
              <w:spacing w:before="107"/>
              <w:ind w:left="722"/>
              <w:rPr>
                <w:sz w:val="18"/>
              </w:rPr>
            </w:pPr>
            <w:r>
              <w:rPr>
                <w:spacing w:val="-2"/>
                <w:sz w:val="18"/>
              </w:rPr>
              <w:t>2,404</w:t>
            </w:r>
          </w:p>
        </w:tc>
        <w:tc>
          <w:tcPr>
            <w:tcW w:w="1271" w:type="dxa"/>
            <w:tcBorders>
              <w:left w:val="nil"/>
              <w:right w:val="nil"/>
            </w:tcBorders>
          </w:tcPr>
          <w:p>
            <w:pPr>
              <w:pStyle w:val="TableParagraph"/>
              <w:spacing w:line="204" w:lineRule="exact"/>
              <w:ind w:left="716"/>
              <w:rPr>
                <w:sz w:val="18"/>
              </w:rPr>
            </w:pPr>
            <w:r>
              <w:rPr>
                <w:spacing w:val="-2"/>
                <w:sz w:val="18"/>
              </w:rPr>
              <w:t>1,388</w:t>
            </w:r>
          </w:p>
          <w:p>
            <w:pPr>
              <w:pStyle w:val="TableParagraph"/>
              <w:spacing w:before="107"/>
              <w:ind w:left="716"/>
              <w:rPr>
                <w:sz w:val="18"/>
              </w:rPr>
            </w:pPr>
            <w:r>
              <w:rPr>
                <w:spacing w:val="-2"/>
                <w:sz w:val="18"/>
              </w:rPr>
              <w:t>2,537</w:t>
            </w:r>
          </w:p>
        </w:tc>
        <w:tc>
          <w:tcPr>
            <w:tcW w:w="1392" w:type="dxa"/>
            <w:tcBorders>
              <w:left w:val="nil"/>
            </w:tcBorders>
            <w:shd w:val="clear" w:color="auto" w:fill="BCD6ED"/>
          </w:tcPr>
          <w:p>
            <w:pPr>
              <w:pStyle w:val="TableParagraph"/>
              <w:spacing w:line="204" w:lineRule="exact"/>
              <w:ind w:left="833"/>
              <w:rPr>
                <w:sz w:val="18"/>
              </w:rPr>
            </w:pPr>
            <w:r>
              <w:rPr>
                <w:spacing w:val="-2"/>
                <w:sz w:val="18"/>
              </w:rPr>
              <w:t>1,243</w:t>
            </w:r>
          </w:p>
          <w:p>
            <w:pPr>
              <w:pStyle w:val="TableParagraph"/>
              <w:spacing w:before="107"/>
              <w:ind w:left="833"/>
              <w:rPr>
                <w:sz w:val="18"/>
              </w:rPr>
            </w:pPr>
            <w:r>
              <w:rPr>
                <w:spacing w:val="-2"/>
                <w:sz w:val="18"/>
              </w:rPr>
              <w:t>2,514</w:t>
            </w:r>
          </w:p>
        </w:tc>
      </w:tr>
      <w:tr>
        <w:trPr>
          <w:trHeight w:val="2949" w:hRule="atLeast"/>
        </w:trPr>
        <w:tc>
          <w:tcPr>
            <w:tcW w:w="5539" w:type="dxa"/>
            <w:vMerge/>
            <w:tcBorders>
              <w:top w:val="nil"/>
              <w:right w:val="nil"/>
            </w:tcBorders>
          </w:tcPr>
          <w:p>
            <w:pPr>
              <w:rPr>
                <w:sz w:val="2"/>
                <w:szCs w:val="2"/>
              </w:rPr>
            </w:pPr>
          </w:p>
        </w:tc>
        <w:tc>
          <w:tcPr>
            <w:tcW w:w="994" w:type="dxa"/>
            <w:tcBorders>
              <w:left w:val="nil"/>
              <w:right w:val="nil"/>
            </w:tcBorders>
          </w:tcPr>
          <w:p>
            <w:pPr>
              <w:pStyle w:val="TableParagraph"/>
              <w:ind w:left="110" w:right="106"/>
              <w:rPr>
                <w:b/>
                <w:sz w:val="18"/>
              </w:rPr>
            </w:pPr>
            <w:r>
              <w:rPr>
                <w:b/>
                <w:sz w:val="18"/>
              </w:rPr>
              <w:t>Surplus</w:t>
            </w:r>
            <w:r>
              <w:rPr>
                <w:b/>
                <w:spacing w:val="-13"/>
                <w:sz w:val="18"/>
              </w:rPr>
              <w:t> </w:t>
            </w:r>
            <w:r>
              <w:rPr>
                <w:b/>
                <w:sz w:val="18"/>
              </w:rPr>
              <w:t>/ </w:t>
            </w:r>
            <w:r>
              <w:rPr>
                <w:b/>
                <w:spacing w:val="-2"/>
                <w:sz w:val="18"/>
              </w:rPr>
              <w:t>(deficit)</w:t>
            </w:r>
          </w:p>
        </w:tc>
        <w:tc>
          <w:tcPr>
            <w:tcW w:w="1282" w:type="dxa"/>
            <w:tcBorders>
              <w:left w:val="nil"/>
              <w:right w:val="nil"/>
            </w:tcBorders>
          </w:tcPr>
          <w:p>
            <w:pPr>
              <w:pStyle w:val="TableParagraph"/>
              <w:spacing w:line="206" w:lineRule="exact"/>
              <w:ind w:right="104"/>
              <w:jc w:val="right"/>
              <w:rPr>
                <w:b/>
                <w:sz w:val="18"/>
              </w:rPr>
            </w:pPr>
            <w:r>
              <w:rPr>
                <w:b/>
                <w:spacing w:val="-2"/>
                <w:sz w:val="18"/>
              </w:rPr>
              <w:t>(1,124)</w:t>
            </w:r>
          </w:p>
        </w:tc>
        <w:tc>
          <w:tcPr>
            <w:tcW w:w="1271" w:type="dxa"/>
            <w:tcBorders>
              <w:left w:val="nil"/>
              <w:right w:val="nil"/>
            </w:tcBorders>
          </w:tcPr>
          <w:p>
            <w:pPr>
              <w:pStyle w:val="TableParagraph"/>
              <w:spacing w:line="206" w:lineRule="exact"/>
              <w:ind w:right="99"/>
              <w:jc w:val="right"/>
              <w:rPr>
                <w:b/>
                <w:sz w:val="18"/>
              </w:rPr>
            </w:pPr>
            <w:r>
              <w:rPr>
                <w:b/>
                <w:spacing w:val="-2"/>
                <w:sz w:val="18"/>
              </w:rPr>
              <w:t>(1,149)</w:t>
            </w:r>
          </w:p>
        </w:tc>
        <w:tc>
          <w:tcPr>
            <w:tcW w:w="1392" w:type="dxa"/>
            <w:tcBorders>
              <w:left w:val="nil"/>
            </w:tcBorders>
            <w:shd w:val="clear" w:color="auto" w:fill="BCD6ED"/>
          </w:tcPr>
          <w:p>
            <w:pPr>
              <w:pStyle w:val="TableParagraph"/>
              <w:spacing w:line="206" w:lineRule="exact"/>
              <w:ind w:right="94"/>
              <w:jc w:val="right"/>
              <w:rPr>
                <w:b/>
                <w:sz w:val="18"/>
              </w:rPr>
            </w:pPr>
            <w:r>
              <w:rPr>
                <w:b/>
                <w:spacing w:val="-2"/>
                <w:sz w:val="18"/>
              </w:rPr>
              <w:t>(1,271)</w:t>
            </w:r>
          </w:p>
        </w:tc>
      </w:tr>
    </w:tbl>
    <w:p>
      <w:pPr>
        <w:pStyle w:val="Heading5"/>
        <w:spacing w:before="245"/>
        <w:ind w:left="391"/>
      </w:pPr>
      <w:r>
        <w:rPr/>
        <w:t>Major</w:t>
      </w:r>
      <w:r>
        <w:rPr>
          <w:spacing w:val="-5"/>
        </w:rPr>
        <w:t> </w:t>
      </w:r>
      <w:r>
        <w:rPr/>
        <w:t>Initiatives</w:t>
      </w:r>
      <w:r>
        <w:rPr>
          <w:spacing w:val="-5"/>
        </w:rPr>
        <w:t> </w:t>
      </w:r>
      <w:r>
        <w:rPr/>
        <w:t>(Priority</w:t>
      </w:r>
      <w:r>
        <w:rPr>
          <w:spacing w:val="-6"/>
        </w:rPr>
        <w:t> </w:t>
      </w:r>
      <w:r>
        <w:rPr>
          <w:spacing w:val="-2"/>
        </w:rPr>
        <w:t>Actions)</w:t>
      </w:r>
    </w:p>
    <w:p>
      <w:pPr>
        <w:pStyle w:val="BodyText"/>
        <w:rPr>
          <w:b/>
        </w:rPr>
      </w:pPr>
    </w:p>
    <w:p>
      <w:pPr>
        <w:pStyle w:val="ListParagraph"/>
        <w:numPr>
          <w:ilvl w:val="0"/>
          <w:numId w:val="13"/>
        </w:numPr>
        <w:tabs>
          <w:tab w:pos="960" w:val="left" w:leader="none"/>
        </w:tabs>
        <w:spacing w:line="240" w:lineRule="auto" w:before="1" w:after="0"/>
        <w:ind w:left="958" w:right="399" w:hanging="567"/>
        <w:jc w:val="both"/>
        <w:rPr>
          <w:sz w:val="22"/>
        </w:rPr>
      </w:pPr>
      <w:r>
        <w:rPr>
          <w:sz w:val="22"/>
        </w:rPr>
        <w:t>Work in partnership with the Victorian Government to implement road improvement works at: New Street, Ringwood; Reilly Street and Wantirna Road, Ringwood; Eastfield Road Ringwood East; Plymouth Road and Kirtain Drive, Croydon and Holloway Road, Croydon North. Undertake carpark improvement works at: McAlpin Reserve, Ringwood North; and Dorset Recreation Reserve, Croydon</w:t>
      </w:r>
    </w:p>
    <w:p>
      <w:pPr>
        <w:pStyle w:val="ListParagraph"/>
        <w:numPr>
          <w:ilvl w:val="0"/>
          <w:numId w:val="13"/>
        </w:numPr>
        <w:tabs>
          <w:tab w:pos="960" w:val="left" w:leader="none"/>
        </w:tabs>
        <w:spacing w:line="252" w:lineRule="exact" w:before="0" w:after="0"/>
        <w:ind w:left="959" w:right="0" w:hanging="569"/>
        <w:jc w:val="both"/>
        <w:rPr>
          <w:sz w:val="22"/>
        </w:rPr>
      </w:pPr>
      <w:r>
        <w:rPr>
          <w:sz w:val="22"/>
        </w:rPr>
        <w:t>Design</w:t>
      </w:r>
      <w:r>
        <w:rPr>
          <w:spacing w:val="-5"/>
          <w:sz w:val="22"/>
        </w:rPr>
        <w:t> </w:t>
      </w:r>
      <w:r>
        <w:rPr>
          <w:sz w:val="22"/>
        </w:rPr>
        <w:t>and</w:t>
      </w:r>
      <w:r>
        <w:rPr>
          <w:spacing w:val="-2"/>
          <w:sz w:val="22"/>
        </w:rPr>
        <w:t> </w:t>
      </w:r>
      <w:r>
        <w:rPr>
          <w:sz w:val="22"/>
        </w:rPr>
        <w:t>construct an</w:t>
      </w:r>
      <w:r>
        <w:rPr>
          <w:spacing w:val="-9"/>
          <w:sz w:val="22"/>
        </w:rPr>
        <w:t> </w:t>
      </w:r>
      <w:r>
        <w:rPr>
          <w:sz w:val="22"/>
        </w:rPr>
        <w:t>activity</w:t>
      </w:r>
      <w:r>
        <w:rPr>
          <w:spacing w:val="-4"/>
          <w:sz w:val="22"/>
        </w:rPr>
        <w:t> </w:t>
      </w:r>
      <w:r>
        <w:rPr>
          <w:sz w:val="22"/>
        </w:rPr>
        <w:t>centre</w:t>
      </w:r>
      <w:r>
        <w:rPr>
          <w:spacing w:val="-2"/>
          <w:sz w:val="22"/>
        </w:rPr>
        <w:t> </w:t>
      </w:r>
      <w:r>
        <w:rPr>
          <w:sz w:val="22"/>
        </w:rPr>
        <w:t>carpark</w:t>
      </w:r>
      <w:r>
        <w:rPr>
          <w:spacing w:val="-4"/>
          <w:sz w:val="22"/>
        </w:rPr>
        <w:t> </w:t>
      </w:r>
      <w:r>
        <w:rPr>
          <w:sz w:val="22"/>
        </w:rPr>
        <w:t>in</w:t>
      </w:r>
      <w:r>
        <w:rPr>
          <w:spacing w:val="-5"/>
          <w:sz w:val="22"/>
        </w:rPr>
        <w:t> </w:t>
      </w:r>
      <w:r>
        <w:rPr>
          <w:spacing w:val="-2"/>
          <w:sz w:val="22"/>
        </w:rPr>
        <w:t>Ringwood.</w:t>
      </w:r>
    </w:p>
    <w:p>
      <w:pPr>
        <w:pStyle w:val="ListParagraph"/>
        <w:numPr>
          <w:ilvl w:val="0"/>
          <w:numId w:val="13"/>
        </w:numPr>
        <w:tabs>
          <w:tab w:pos="960" w:val="left" w:leader="none"/>
        </w:tabs>
        <w:spacing w:line="240" w:lineRule="auto" w:before="0" w:after="0"/>
        <w:ind w:left="958" w:right="401" w:hanging="567"/>
        <w:jc w:val="both"/>
        <w:rPr>
          <w:sz w:val="22"/>
        </w:rPr>
      </w:pPr>
      <w:r>
        <w:rPr>
          <w:sz w:val="22"/>
        </w:rPr>
        <w:t>Work</w:t>
      </w:r>
      <w:r>
        <w:rPr>
          <w:spacing w:val="-8"/>
          <w:sz w:val="22"/>
        </w:rPr>
        <w:t> </w:t>
      </w:r>
      <w:r>
        <w:rPr>
          <w:sz w:val="22"/>
        </w:rPr>
        <w:t>in</w:t>
      </w:r>
      <w:r>
        <w:rPr>
          <w:spacing w:val="-8"/>
          <w:sz w:val="22"/>
        </w:rPr>
        <w:t> </w:t>
      </w:r>
      <w:r>
        <w:rPr>
          <w:sz w:val="22"/>
        </w:rPr>
        <w:t>partnership</w:t>
      </w:r>
      <w:r>
        <w:rPr>
          <w:spacing w:val="-8"/>
          <w:sz w:val="22"/>
        </w:rPr>
        <w:t> </w:t>
      </w:r>
      <w:r>
        <w:rPr>
          <w:sz w:val="22"/>
        </w:rPr>
        <w:t>with</w:t>
      </w:r>
      <w:r>
        <w:rPr>
          <w:spacing w:val="-12"/>
          <w:sz w:val="22"/>
        </w:rPr>
        <w:t> </w:t>
      </w:r>
      <w:r>
        <w:rPr>
          <w:sz w:val="22"/>
        </w:rPr>
        <w:t>the</w:t>
      </w:r>
      <w:r>
        <w:rPr>
          <w:spacing w:val="-8"/>
          <w:sz w:val="22"/>
        </w:rPr>
        <w:t> </w:t>
      </w:r>
      <w:r>
        <w:rPr>
          <w:sz w:val="22"/>
        </w:rPr>
        <w:t>Victorian</w:t>
      </w:r>
      <w:r>
        <w:rPr>
          <w:spacing w:val="-6"/>
          <w:sz w:val="22"/>
        </w:rPr>
        <w:t> </w:t>
      </w:r>
      <w:r>
        <w:rPr>
          <w:sz w:val="22"/>
        </w:rPr>
        <w:t>Government</w:t>
      </w:r>
      <w:r>
        <w:rPr>
          <w:spacing w:val="-6"/>
          <w:sz w:val="22"/>
        </w:rPr>
        <w:t> </w:t>
      </w:r>
      <w:r>
        <w:rPr>
          <w:sz w:val="22"/>
        </w:rPr>
        <w:t>to</w:t>
      </w:r>
      <w:r>
        <w:rPr>
          <w:spacing w:val="-10"/>
          <w:sz w:val="22"/>
        </w:rPr>
        <w:t> </w:t>
      </w:r>
      <w:r>
        <w:rPr>
          <w:sz w:val="22"/>
        </w:rPr>
        <w:t>support</w:t>
      </w:r>
      <w:r>
        <w:rPr>
          <w:spacing w:val="-8"/>
          <w:sz w:val="22"/>
        </w:rPr>
        <w:t> </w:t>
      </w:r>
      <w:r>
        <w:rPr>
          <w:sz w:val="22"/>
        </w:rPr>
        <w:t>the</w:t>
      </w:r>
      <w:r>
        <w:rPr>
          <w:spacing w:val="-8"/>
          <w:sz w:val="22"/>
        </w:rPr>
        <w:t> </w:t>
      </w:r>
      <w:r>
        <w:rPr>
          <w:sz w:val="22"/>
        </w:rPr>
        <w:t>removal</w:t>
      </w:r>
      <w:r>
        <w:rPr>
          <w:spacing w:val="-8"/>
          <w:sz w:val="22"/>
        </w:rPr>
        <w:t> </w:t>
      </w:r>
      <w:r>
        <w:rPr>
          <w:sz w:val="22"/>
        </w:rPr>
        <w:t>of</w:t>
      </w:r>
      <w:r>
        <w:rPr>
          <w:spacing w:val="-4"/>
          <w:sz w:val="22"/>
        </w:rPr>
        <w:t> </w:t>
      </w:r>
      <w:r>
        <w:rPr>
          <w:sz w:val="22"/>
        </w:rPr>
        <w:t>level</w:t>
      </w:r>
      <w:r>
        <w:rPr>
          <w:spacing w:val="-6"/>
          <w:sz w:val="22"/>
        </w:rPr>
        <w:t> </w:t>
      </w:r>
      <w:r>
        <w:rPr>
          <w:sz w:val="22"/>
        </w:rPr>
        <w:t>crossings</w:t>
      </w:r>
      <w:r>
        <w:rPr>
          <w:spacing w:val="-6"/>
          <w:sz w:val="22"/>
        </w:rPr>
        <w:t> </w:t>
      </w:r>
      <w:r>
        <w:rPr>
          <w:sz w:val="22"/>
        </w:rPr>
        <w:t>at</w:t>
      </w:r>
      <w:r>
        <w:rPr>
          <w:spacing w:val="-4"/>
          <w:sz w:val="22"/>
        </w:rPr>
        <w:t> </w:t>
      </w:r>
      <w:r>
        <w:rPr>
          <w:sz w:val="22"/>
        </w:rPr>
        <w:t>Bedford Road Ringwood; Dublin Road Ringwood East and Coolstore Road Croydon; and the construction of new stations at Ringwood East and Croydon.</w:t>
      </w:r>
    </w:p>
    <w:p>
      <w:pPr>
        <w:pStyle w:val="ListParagraph"/>
        <w:numPr>
          <w:ilvl w:val="0"/>
          <w:numId w:val="13"/>
        </w:numPr>
        <w:tabs>
          <w:tab w:pos="960" w:val="left" w:leader="none"/>
        </w:tabs>
        <w:spacing w:line="240" w:lineRule="auto" w:before="0" w:after="0"/>
        <w:ind w:left="958" w:right="404" w:hanging="567"/>
        <w:jc w:val="both"/>
        <w:rPr>
          <w:sz w:val="22"/>
        </w:rPr>
      </w:pPr>
      <w:r>
        <w:rPr>
          <w:sz w:val="22"/>
        </w:rPr>
        <w:t>Advocate to the Australian and Victorian Governments for the provision of new and upgraded transportation infrastructure in Maroondah.</w:t>
      </w:r>
    </w:p>
    <w:p>
      <w:pPr>
        <w:pStyle w:val="ListParagraph"/>
        <w:numPr>
          <w:ilvl w:val="0"/>
          <w:numId w:val="13"/>
        </w:numPr>
        <w:tabs>
          <w:tab w:pos="960" w:val="left" w:leader="none"/>
        </w:tabs>
        <w:spacing w:line="244" w:lineRule="auto" w:before="0" w:after="0"/>
        <w:ind w:left="958" w:right="402" w:hanging="567"/>
        <w:jc w:val="both"/>
        <w:rPr>
          <w:sz w:val="22"/>
        </w:rPr>
      </w:pPr>
      <w:r>
        <w:rPr>
          <w:sz w:val="22"/>
        </w:rPr>
        <w:t>Work</w:t>
      </w:r>
      <w:r>
        <w:rPr>
          <w:spacing w:val="-11"/>
          <w:sz w:val="22"/>
        </w:rPr>
        <w:t> </w:t>
      </w:r>
      <w:r>
        <w:rPr>
          <w:sz w:val="22"/>
        </w:rPr>
        <w:t>in</w:t>
      </w:r>
      <w:r>
        <w:rPr>
          <w:spacing w:val="-12"/>
          <w:sz w:val="22"/>
        </w:rPr>
        <w:t> </w:t>
      </w:r>
      <w:r>
        <w:rPr>
          <w:sz w:val="22"/>
        </w:rPr>
        <w:t>partnership</w:t>
      </w:r>
      <w:r>
        <w:rPr>
          <w:spacing w:val="-12"/>
          <w:sz w:val="22"/>
        </w:rPr>
        <w:t> </w:t>
      </w:r>
      <w:r>
        <w:rPr>
          <w:sz w:val="22"/>
        </w:rPr>
        <w:t>to</w:t>
      </w:r>
      <w:r>
        <w:rPr>
          <w:spacing w:val="-11"/>
          <w:sz w:val="22"/>
        </w:rPr>
        <w:t> </w:t>
      </w:r>
      <w:r>
        <w:rPr>
          <w:sz w:val="22"/>
        </w:rPr>
        <w:t>undertake</w:t>
      </w:r>
      <w:r>
        <w:rPr>
          <w:spacing w:val="-14"/>
          <w:sz w:val="22"/>
        </w:rPr>
        <w:t> </w:t>
      </w:r>
      <w:r>
        <w:rPr>
          <w:sz w:val="22"/>
        </w:rPr>
        <w:t>renewal</w:t>
      </w:r>
      <w:r>
        <w:rPr>
          <w:spacing w:val="-13"/>
          <w:sz w:val="22"/>
        </w:rPr>
        <w:t> </w:t>
      </w:r>
      <w:r>
        <w:rPr>
          <w:sz w:val="22"/>
        </w:rPr>
        <w:t>works</w:t>
      </w:r>
      <w:r>
        <w:rPr>
          <w:spacing w:val="-11"/>
          <w:sz w:val="22"/>
        </w:rPr>
        <w:t> </w:t>
      </w:r>
      <w:r>
        <w:rPr>
          <w:sz w:val="22"/>
        </w:rPr>
        <w:t>on</w:t>
      </w:r>
      <w:r>
        <w:rPr>
          <w:spacing w:val="-11"/>
          <w:sz w:val="22"/>
        </w:rPr>
        <w:t> </w:t>
      </w:r>
      <w:r>
        <w:rPr>
          <w:sz w:val="22"/>
        </w:rPr>
        <w:t>the</w:t>
      </w:r>
      <w:r>
        <w:rPr>
          <w:spacing w:val="-11"/>
          <w:sz w:val="22"/>
        </w:rPr>
        <w:t> </w:t>
      </w:r>
      <w:r>
        <w:rPr>
          <w:sz w:val="22"/>
        </w:rPr>
        <w:t>Mullum</w:t>
      </w:r>
      <w:r>
        <w:rPr>
          <w:spacing w:val="-13"/>
          <w:sz w:val="22"/>
        </w:rPr>
        <w:t> </w:t>
      </w:r>
      <w:r>
        <w:rPr>
          <w:sz w:val="22"/>
        </w:rPr>
        <w:t>Mullum</w:t>
      </w:r>
      <w:r>
        <w:rPr>
          <w:spacing w:val="-9"/>
          <w:sz w:val="22"/>
        </w:rPr>
        <w:t> </w:t>
      </w:r>
      <w:r>
        <w:rPr>
          <w:sz w:val="22"/>
        </w:rPr>
        <w:t>Creek</w:t>
      </w:r>
      <w:r>
        <w:rPr>
          <w:spacing w:val="-11"/>
          <w:sz w:val="22"/>
        </w:rPr>
        <w:t> </w:t>
      </w:r>
      <w:r>
        <w:rPr>
          <w:sz w:val="22"/>
        </w:rPr>
        <w:t>shared</w:t>
      </w:r>
      <w:r>
        <w:rPr>
          <w:spacing w:val="-13"/>
          <w:sz w:val="22"/>
        </w:rPr>
        <w:t> </w:t>
      </w:r>
      <w:r>
        <w:rPr>
          <w:sz w:val="22"/>
        </w:rPr>
        <w:t>trail;</w:t>
      </w:r>
      <w:r>
        <w:rPr>
          <w:spacing w:val="-8"/>
          <w:sz w:val="22"/>
        </w:rPr>
        <w:t> </w:t>
      </w:r>
      <w:r>
        <w:rPr>
          <w:sz w:val="22"/>
        </w:rPr>
        <w:t>and</w:t>
      </w:r>
      <w:r>
        <w:rPr>
          <w:spacing w:val="-11"/>
          <w:sz w:val="22"/>
        </w:rPr>
        <w:t> </w:t>
      </w:r>
      <w:r>
        <w:rPr>
          <w:sz w:val="22"/>
        </w:rPr>
        <w:t>continue footpath construction in the Principle Pedestrian Network.</w:t>
      </w:r>
    </w:p>
    <w:p>
      <w:pPr>
        <w:spacing w:after="0" w:line="244" w:lineRule="auto"/>
        <w:jc w:val="both"/>
        <w:rPr>
          <w:sz w:val="22"/>
        </w:rPr>
        <w:sectPr>
          <w:pgSz w:w="11910" w:h="16840"/>
          <w:pgMar w:header="0" w:footer="426" w:top="340" w:bottom="620" w:left="460" w:right="160"/>
        </w:sectPr>
      </w:pPr>
    </w:p>
    <w:p>
      <w:pPr>
        <w:spacing w:before="69"/>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spacing w:before="9"/>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64"/>
        <w:gridCol w:w="1315"/>
        <w:gridCol w:w="3950"/>
        <w:gridCol w:w="4150"/>
      </w:tblGrid>
      <w:tr>
        <w:trPr>
          <w:trHeight w:val="510" w:hRule="atLeast"/>
        </w:trPr>
        <w:tc>
          <w:tcPr>
            <w:tcW w:w="1064" w:type="dxa"/>
            <w:tcBorders>
              <w:right w:val="nil"/>
            </w:tcBorders>
            <w:shd w:val="clear" w:color="auto" w:fill="629CD1"/>
          </w:tcPr>
          <w:p>
            <w:pPr>
              <w:pStyle w:val="TableParagraph"/>
              <w:spacing w:before="129"/>
              <w:ind w:left="107"/>
              <w:rPr>
                <w:b/>
                <w:sz w:val="22"/>
              </w:rPr>
            </w:pPr>
            <w:r>
              <w:rPr>
                <w:b/>
                <w:spacing w:val="-2"/>
                <w:sz w:val="22"/>
              </w:rPr>
              <w:t>Service</w:t>
            </w:r>
          </w:p>
        </w:tc>
        <w:tc>
          <w:tcPr>
            <w:tcW w:w="1315" w:type="dxa"/>
            <w:tcBorders>
              <w:left w:val="nil"/>
              <w:right w:val="nil"/>
            </w:tcBorders>
            <w:shd w:val="clear" w:color="auto" w:fill="629CD1"/>
          </w:tcPr>
          <w:p>
            <w:pPr>
              <w:pStyle w:val="TableParagraph"/>
              <w:spacing w:before="129"/>
              <w:ind w:left="166" w:right="194"/>
              <w:jc w:val="center"/>
              <w:rPr>
                <w:b/>
                <w:sz w:val="22"/>
              </w:rPr>
            </w:pPr>
            <w:r>
              <w:rPr>
                <w:b/>
                <w:spacing w:val="-2"/>
                <w:sz w:val="22"/>
              </w:rPr>
              <w:t>Indicator</w:t>
            </w:r>
          </w:p>
        </w:tc>
        <w:tc>
          <w:tcPr>
            <w:tcW w:w="3950" w:type="dxa"/>
            <w:tcBorders>
              <w:left w:val="nil"/>
              <w:right w:val="nil"/>
            </w:tcBorders>
            <w:shd w:val="clear" w:color="auto" w:fill="629CD1"/>
          </w:tcPr>
          <w:p>
            <w:pPr>
              <w:pStyle w:val="TableParagraph"/>
              <w:spacing w:before="129"/>
              <w:ind w:left="217"/>
              <w:rPr>
                <w:b/>
                <w:sz w:val="22"/>
              </w:rPr>
            </w:pPr>
            <w:r>
              <w:rPr>
                <w:b/>
                <w:sz w:val="22"/>
              </w:rPr>
              <w:t>Performance</w:t>
            </w:r>
            <w:r>
              <w:rPr>
                <w:b/>
                <w:spacing w:val="-8"/>
                <w:sz w:val="22"/>
              </w:rPr>
              <w:t> </w:t>
            </w:r>
            <w:r>
              <w:rPr>
                <w:b/>
                <w:spacing w:val="-2"/>
                <w:sz w:val="22"/>
              </w:rPr>
              <w:t>Measure</w:t>
            </w:r>
          </w:p>
        </w:tc>
        <w:tc>
          <w:tcPr>
            <w:tcW w:w="4150" w:type="dxa"/>
            <w:tcBorders>
              <w:left w:val="nil"/>
            </w:tcBorders>
            <w:shd w:val="clear" w:color="auto" w:fill="629CD1"/>
          </w:tcPr>
          <w:p>
            <w:pPr>
              <w:pStyle w:val="TableParagraph"/>
              <w:spacing w:before="129"/>
              <w:ind w:left="150"/>
              <w:rPr>
                <w:b/>
                <w:sz w:val="22"/>
              </w:rPr>
            </w:pPr>
            <w:r>
              <w:rPr>
                <w:b/>
                <w:spacing w:val="-2"/>
                <w:sz w:val="22"/>
              </w:rPr>
              <w:t>Computation</w:t>
            </w:r>
          </w:p>
        </w:tc>
      </w:tr>
      <w:tr>
        <w:trPr>
          <w:trHeight w:val="1264" w:hRule="atLeast"/>
        </w:trPr>
        <w:tc>
          <w:tcPr>
            <w:tcW w:w="1064" w:type="dxa"/>
            <w:tcBorders>
              <w:right w:val="nil"/>
            </w:tcBorders>
          </w:tcPr>
          <w:p>
            <w:pPr>
              <w:pStyle w:val="TableParagraph"/>
              <w:ind w:left="107"/>
              <w:rPr>
                <w:sz w:val="22"/>
              </w:rPr>
            </w:pPr>
            <w:r>
              <w:rPr>
                <w:spacing w:val="-4"/>
                <w:sz w:val="22"/>
              </w:rPr>
              <w:t>Roads</w:t>
            </w:r>
          </w:p>
        </w:tc>
        <w:tc>
          <w:tcPr>
            <w:tcW w:w="1315" w:type="dxa"/>
            <w:tcBorders>
              <w:left w:val="nil"/>
              <w:right w:val="nil"/>
            </w:tcBorders>
          </w:tcPr>
          <w:p>
            <w:pPr>
              <w:pStyle w:val="TableParagraph"/>
              <w:ind w:left="166" w:right="196"/>
              <w:jc w:val="center"/>
              <w:rPr>
                <w:sz w:val="22"/>
              </w:rPr>
            </w:pPr>
            <w:r>
              <w:rPr>
                <w:spacing w:val="-2"/>
                <w:sz w:val="22"/>
              </w:rPr>
              <w:t>Condition</w:t>
            </w:r>
          </w:p>
        </w:tc>
        <w:tc>
          <w:tcPr>
            <w:tcW w:w="3950" w:type="dxa"/>
            <w:tcBorders>
              <w:left w:val="nil"/>
              <w:right w:val="nil"/>
            </w:tcBorders>
          </w:tcPr>
          <w:p>
            <w:pPr>
              <w:pStyle w:val="TableParagraph"/>
              <w:ind w:left="217" w:hanging="2"/>
              <w:rPr>
                <w:sz w:val="22"/>
              </w:rPr>
            </w:pPr>
            <w:r>
              <w:rPr>
                <w:sz w:val="22"/>
              </w:rPr>
              <w:t>Sealed local roads below the intervention level (percentage of sealed</w:t>
            </w:r>
            <w:r>
              <w:rPr>
                <w:spacing w:val="-6"/>
                <w:sz w:val="22"/>
              </w:rPr>
              <w:t> </w:t>
            </w:r>
            <w:r>
              <w:rPr>
                <w:sz w:val="22"/>
              </w:rPr>
              <w:t>local</w:t>
            </w:r>
            <w:r>
              <w:rPr>
                <w:spacing w:val="-6"/>
                <w:sz w:val="22"/>
              </w:rPr>
              <w:t> </w:t>
            </w:r>
            <w:r>
              <w:rPr>
                <w:sz w:val="22"/>
              </w:rPr>
              <w:t>roads</w:t>
            </w:r>
            <w:r>
              <w:rPr>
                <w:spacing w:val="-8"/>
                <w:sz w:val="22"/>
              </w:rPr>
              <w:t> </w:t>
            </w:r>
            <w:r>
              <w:rPr>
                <w:sz w:val="22"/>
              </w:rPr>
              <w:t>that</w:t>
            </w:r>
            <w:r>
              <w:rPr>
                <w:spacing w:val="-4"/>
                <w:sz w:val="22"/>
              </w:rPr>
              <w:t> </w:t>
            </w:r>
            <w:r>
              <w:rPr>
                <w:sz w:val="22"/>
              </w:rPr>
              <w:t>are</w:t>
            </w:r>
            <w:r>
              <w:rPr>
                <w:spacing w:val="-5"/>
                <w:sz w:val="22"/>
              </w:rPr>
              <w:t> </w:t>
            </w:r>
            <w:r>
              <w:rPr>
                <w:sz w:val="22"/>
              </w:rPr>
              <w:t>below</w:t>
            </w:r>
            <w:r>
              <w:rPr>
                <w:spacing w:val="-8"/>
                <w:sz w:val="22"/>
              </w:rPr>
              <w:t> </w:t>
            </w:r>
            <w:r>
              <w:rPr>
                <w:sz w:val="22"/>
              </w:rPr>
              <w:t>the renewal intervention level set by</w:t>
            </w:r>
          </w:p>
          <w:p>
            <w:pPr>
              <w:pStyle w:val="TableParagraph"/>
              <w:spacing w:line="232" w:lineRule="exact"/>
              <w:ind w:left="217"/>
              <w:rPr>
                <w:sz w:val="22"/>
              </w:rPr>
            </w:pPr>
            <w:r>
              <w:rPr>
                <w:sz w:val="22"/>
              </w:rPr>
              <w:t>Council</w:t>
            </w:r>
            <w:r>
              <w:rPr>
                <w:spacing w:val="-3"/>
                <w:sz w:val="22"/>
              </w:rPr>
              <w:t> </w:t>
            </w:r>
            <w:r>
              <w:rPr>
                <w:sz w:val="22"/>
              </w:rPr>
              <w:t>and</w:t>
            </w:r>
            <w:r>
              <w:rPr>
                <w:spacing w:val="-3"/>
                <w:sz w:val="22"/>
              </w:rPr>
              <w:t> </w:t>
            </w:r>
            <w:r>
              <w:rPr>
                <w:sz w:val="22"/>
              </w:rPr>
              <w:t>not</w:t>
            </w:r>
            <w:r>
              <w:rPr>
                <w:spacing w:val="-3"/>
                <w:sz w:val="22"/>
              </w:rPr>
              <w:t> </w:t>
            </w:r>
            <w:r>
              <w:rPr>
                <w:sz w:val="22"/>
              </w:rPr>
              <w:t>requiring</w:t>
            </w:r>
            <w:r>
              <w:rPr>
                <w:spacing w:val="-3"/>
                <w:sz w:val="22"/>
              </w:rPr>
              <w:t> </w:t>
            </w:r>
            <w:r>
              <w:rPr>
                <w:spacing w:val="-2"/>
                <w:sz w:val="22"/>
              </w:rPr>
              <w:t>renewal)</w:t>
            </w:r>
          </w:p>
        </w:tc>
        <w:tc>
          <w:tcPr>
            <w:tcW w:w="4150" w:type="dxa"/>
            <w:tcBorders>
              <w:left w:val="nil"/>
            </w:tcBorders>
          </w:tcPr>
          <w:p>
            <w:pPr>
              <w:pStyle w:val="TableParagraph"/>
              <w:ind w:left="150" w:right="4"/>
              <w:rPr>
                <w:sz w:val="22"/>
              </w:rPr>
            </w:pPr>
            <w:r>
              <w:rPr>
                <w:sz w:val="22"/>
              </w:rPr>
              <w:t>[Number</w:t>
            </w:r>
            <w:r>
              <w:rPr>
                <w:spacing w:val="-6"/>
                <w:sz w:val="22"/>
              </w:rPr>
              <w:t> </w:t>
            </w:r>
            <w:r>
              <w:rPr>
                <w:sz w:val="22"/>
              </w:rPr>
              <w:t>of</w:t>
            </w:r>
            <w:r>
              <w:rPr>
                <w:spacing w:val="-6"/>
                <w:sz w:val="22"/>
              </w:rPr>
              <w:t> </w:t>
            </w:r>
            <w:r>
              <w:rPr>
                <w:sz w:val="22"/>
              </w:rPr>
              <w:t>kilometres</w:t>
            </w:r>
            <w:r>
              <w:rPr>
                <w:spacing w:val="-8"/>
                <w:sz w:val="22"/>
              </w:rPr>
              <w:t> </w:t>
            </w:r>
            <w:r>
              <w:rPr>
                <w:sz w:val="22"/>
              </w:rPr>
              <w:t>of</w:t>
            </w:r>
            <w:r>
              <w:rPr>
                <w:spacing w:val="-5"/>
                <w:sz w:val="22"/>
              </w:rPr>
              <w:t> </w:t>
            </w:r>
            <w:r>
              <w:rPr>
                <w:sz w:val="22"/>
              </w:rPr>
              <w:t>sealed</w:t>
            </w:r>
            <w:r>
              <w:rPr>
                <w:spacing w:val="-5"/>
                <w:sz w:val="22"/>
              </w:rPr>
              <w:t> </w:t>
            </w:r>
            <w:r>
              <w:rPr>
                <w:sz w:val="22"/>
              </w:rPr>
              <w:t>local roads below the renewal intervention level set by Council / Kilometres of sealed local roads] x100</w:t>
            </w:r>
          </w:p>
        </w:tc>
      </w:tr>
    </w:tbl>
    <w:p>
      <w:pPr>
        <w:spacing w:after="0"/>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391" w:right="560" w:firstLine="0"/>
        <w:jc w:val="left"/>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6:</w:t>
      </w:r>
      <w:r>
        <w:rPr>
          <w:color w:val="4966AC"/>
          <w:spacing w:val="-4"/>
        </w:rPr>
        <w:t> </w:t>
      </w:r>
      <w:r>
        <w:rPr>
          <w:color w:val="4966AC"/>
        </w:rPr>
        <w:t>An</w:t>
      </w:r>
      <w:r>
        <w:rPr>
          <w:color w:val="4966AC"/>
          <w:spacing w:val="-4"/>
        </w:rPr>
        <w:t> </w:t>
      </w:r>
      <w:r>
        <w:rPr>
          <w:color w:val="4966AC"/>
        </w:rPr>
        <w:t>attractive,</w:t>
      </w:r>
      <w:r>
        <w:rPr>
          <w:color w:val="4966AC"/>
          <w:spacing w:val="-1"/>
        </w:rPr>
        <w:t> </w:t>
      </w:r>
      <w:r>
        <w:rPr>
          <w:color w:val="4966AC"/>
        </w:rPr>
        <w:t>thriving</w:t>
      </w:r>
      <w:r>
        <w:rPr>
          <w:color w:val="4966AC"/>
          <w:spacing w:val="-4"/>
        </w:rPr>
        <w:t> </w:t>
      </w:r>
      <w:r>
        <w:rPr>
          <w:color w:val="4966AC"/>
        </w:rPr>
        <w:t>and</w:t>
      </w:r>
      <w:r>
        <w:rPr>
          <w:color w:val="4966AC"/>
          <w:spacing w:val="-4"/>
        </w:rPr>
        <w:t> </w:t>
      </w:r>
      <w:r>
        <w:rPr>
          <w:color w:val="4966AC"/>
        </w:rPr>
        <w:t>well-built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4"/>
        <w:gridCol w:w="1160"/>
        <w:gridCol w:w="723"/>
        <w:gridCol w:w="890"/>
        <w:gridCol w:w="106"/>
        <w:gridCol w:w="999"/>
        <w:gridCol w:w="1279"/>
        <w:gridCol w:w="1271"/>
        <w:gridCol w:w="1392"/>
      </w:tblGrid>
      <w:tr>
        <w:trPr>
          <w:trHeight w:val="854" w:hRule="atLeast"/>
        </w:trPr>
        <w:tc>
          <w:tcPr>
            <w:tcW w:w="2664" w:type="dxa"/>
            <w:tcBorders>
              <w:bottom w:val="nil"/>
              <w:right w:val="nil"/>
            </w:tcBorders>
            <w:shd w:val="clear" w:color="auto" w:fill="5B9AD4"/>
          </w:tcPr>
          <w:p>
            <w:pPr>
              <w:pStyle w:val="TableParagraph"/>
              <w:rPr>
                <w:b/>
                <w:sz w:val="26"/>
              </w:rPr>
            </w:pPr>
          </w:p>
          <w:p>
            <w:pPr>
              <w:pStyle w:val="TableParagraph"/>
              <w:spacing w:before="1"/>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1160" w:type="dxa"/>
            <w:tcBorders>
              <w:left w:val="nil"/>
              <w:bottom w:val="nil"/>
              <w:right w:val="nil"/>
            </w:tcBorders>
            <w:shd w:val="clear" w:color="auto" w:fill="5B9AD4"/>
          </w:tcPr>
          <w:p>
            <w:pPr>
              <w:pStyle w:val="TableParagraph"/>
              <w:rPr>
                <w:rFonts w:ascii="Times New Roman"/>
                <w:sz w:val="20"/>
              </w:rPr>
            </w:pPr>
          </w:p>
        </w:tc>
        <w:tc>
          <w:tcPr>
            <w:tcW w:w="723" w:type="dxa"/>
            <w:tcBorders>
              <w:left w:val="nil"/>
              <w:bottom w:val="nil"/>
              <w:right w:val="nil"/>
            </w:tcBorders>
            <w:shd w:val="clear" w:color="auto" w:fill="5B9AD4"/>
          </w:tcPr>
          <w:p>
            <w:pPr>
              <w:pStyle w:val="TableParagraph"/>
              <w:rPr>
                <w:rFonts w:ascii="Times New Roman"/>
                <w:sz w:val="20"/>
              </w:rPr>
            </w:pPr>
          </w:p>
        </w:tc>
        <w:tc>
          <w:tcPr>
            <w:tcW w:w="890" w:type="dxa"/>
            <w:tcBorders>
              <w:left w:val="nil"/>
              <w:bottom w:val="nil"/>
              <w:right w:val="nil"/>
            </w:tcBorders>
            <w:shd w:val="clear" w:color="auto" w:fill="5B9AD4"/>
          </w:tcPr>
          <w:p>
            <w:pPr>
              <w:pStyle w:val="TableParagraph"/>
              <w:rPr>
                <w:rFonts w:ascii="Times New Roman"/>
                <w:sz w:val="20"/>
              </w:rPr>
            </w:pPr>
          </w:p>
        </w:tc>
        <w:tc>
          <w:tcPr>
            <w:tcW w:w="106" w:type="dxa"/>
            <w:tcBorders>
              <w:left w:val="nil"/>
              <w:bottom w:val="nil"/>
              <w:right w:val="nil"/>
            </w:tcBorders>
            <w:shd w:val="clear" w:color="auto" w:fill="5B9AD4"/>
          </w:tcPr>
          <w:p>
            <w:pPr>
              <w:pStyle w:val="TableParagraph"/>
              <w:rPr>
                <w:rFonts w:ascii="Times New Roman"/>
                <w:sz w:val="20"/>
              </w:rPr>
            </w:pPr>
          </w:p>
        </w:tc>
        <w:tc>
          <w:tcPr>
            <w:tcW w:w="999" w:type="dxa"/>
            <w:tcBorders>
              <w:left w:val="nil"/>
              <w:bottom w:val="nil"/>
              <w:right w:val="nil"/>
            </w:tcBorders>
            <w:shd w:val="clear" w:color="auto" w:fill="5B9AD4"/>
          </w:tcPr>
          <w:p>
            <w:pPr>
              <w:pStyle w:val="TableParagraph"/>
              <w:rPr>
                <w:rFonts w:ascii="Times New Roman"/>
                <w:sz w:val="20"/>
              </w:rPr>
            </w:pPr>
          </w:p>
        </w:tc>
        <w:tc>
          <w:tcPr>
            <w:tcW w:w="1279" w:type="dxa"/>
            <w:tcBorders>
              <w:left w:val="nil"/>
              <w:bottom w:val="nil"/>
              <w:right w:val="nil"/>
            </w:tcBorders>
            <w:shd w:val="clear" w:color="auto" w:fill="5B9AD4"/>
          </w:tcPr>
          <w:p>
            <w:pPr>
              <w:pStyle w:val="TableParagraph"/>
              <w:spacing w:before="24"/>
              <w:ind w:left="104" w:right="113"/>
              <w:jc w:val="center"/>
              <w:rPr>
                <w:b/>
                <w:sz w:val="22"/>
              </w:rPr>
            </w:pPr>
            <w:r>
              <w:rPr>
                <w:b/>
                <w:color w:val="FFFFFF"/>
                <w:spacing w:val="-2"/>
                <w:sz w:val="22"/>
              </w:rPr>
              <w:t>2022/2023</w:t>
            </w:r>
          </w:p>
          <w:p>
            <w:pPr>
              <w:pStyle w:val="TableParagraph"/>
              <w:spacing w:before="23"/>
              <w:ind w:left="101" w:right="113"/>
              <w:jc w:val="center"/>
              <w:rPr>
                <w:b/>
                <w:sz w:val="22"/>
              </w:rPr>
            </w:pPr>
            <w:r>
              <w:rPr>
                <w:b/>
                <w:color w:val="FFFFFF"/>
                <w:spacing w:val="-2"/>
                <w:sz w:val="22"/>
              </w:rPr>
              <w:t>Actual</w:t>
            </w:r>
          </w:p>
          <w:p>
            <w:pPr>
              <w:pStyle w:val="TableParagraph"/>
              <w:spacing w:before="25"/>
              <w:ind w:left="100" w:right="113"/>
              <w:jc w:val="center"/>
              <w:rPr>
                <w:b/>
                <w:sz w:val="22"/>
              </w:rPr>
            </w:pPr>
            <w:r>
              <w:rPr>
                <w:b/>
                <w:color w:val="FFFFFF"/>
                <w:spacing w:val="-2"/>
                <w:sz w:val="22"/>
              </w:rPr>
              <w:t>$'000</w:t>
            </w:r>
          </w:p>
        </w:tc>
        <w:tc>
          <w:tcPr>
            <w:tcW w:w="1271" w:type="dxa"/>
            <w:tcBorders>
              <w:left w:val="nil"/>
              <w:bottom w:val="nil"/>
              <w:right w:val="nil"/>
            </w:tcBorders>
            <w:shd w:val="clear" w:color="auto" w:fill="5B9AD4"/>
          </w:tcPr>
          <w:p>
            <w:pPr>
              <w:pStyle w:val="TableParagraph"/>
              <w:spacing w:before="24"/>
              <w:ind w:left="97" w:right="102"/>
              <w:jc w:val="center"/>
              <w:rPr>
                <w:b/>
                <w:sz w:val="22"/>
              </w:rPr>
            </w:pPr>
            <w:r>
              <w:rPr>
                <w:b/>
                <w:color w:val="FFFFFF"/>
                <w:spacing w:val="-2"/>
                <w:sz w:val="22"/>
              </w:rPr>
              <w:t>2023/2024</w:t>
            </w:r>
          </w:p>
          <w:p>
            <w:pPr>
              <w:pStyle w:val="TableParagraph"/>
              <w:spacing w:before="23"/>
              <w:ind w:left="93" w:right="102"/>
              <w:jc w:val="center"/>
              <w:rPr>
                <w:b/>
                <w:sz w:val="22"/>
              </w:rPr>
            </w:pPr>
            <w:r>
              <w:rPr>
                <w:b/>
                <w:color w:val="FFFFFF"/>
                <w:spacing w:val="-2"/>
                <w:sz w:val="22"/>
              </w:rPr>
              <w:t>Forecast</w:t>
            </w:r>
          </w:p>
          <w:p>
            <w:pPr>
              <w:pStyle w:val="TableParagraph"/>
              <w:spacing w:before="25"/>
              <w:ind w:left="92" w:right="102"/>
              <w:jc w:val="center"/>
              <w:rPr>
                <w:b/>
                <w:sz w:val="22"/>
              </w:rPr>
            </w:pPr>
            <w:r>
              <w:rPr>
                <w:b/>
                <w:color w:val="FFFFFF"/>
                <w:spacing w:val="-2"/>
                <w:sz w:val="22"/>
              </w:rPr>
              <w:t>$'000</w:t>
            </w:r>
          </w:p>
        </w:tc>
        <w:tc>
          <w:tcPr>
            <w:tcW w:w="1392" w:type="dxa"/>
            <w:tcBorders>
              <w:left w:val="nil"/>
              <w:bottom w:val="nil"/>
            </w:tcBorders>
            <w:shd w:val="clear" w:color="auto" w:fill="5B9AD4"/>
          </w:tcPr>
          <w:p>
            <w:pPr>
              <w:pStyle w:val="TableParagraph"/>
              <w:spacing w:before="24"/>
              <w:ind w:left="158" w:right="158"/>
              <w:jc w:val="center"/>
              <w:rPr>
                <w:b/>
                <w:sz w:val="22"/>
              </w:rPr>
            </w:pPr>
            <w:r>
              <w:rPr>
                <w:b/>
                <w:color w:val="FFFFFF"/>
                <w:spacing w:val="-2"/>
                <w:sz w:val="22"/>
              </w:rPr>
              <w:t>2024/2025</w:t>
            </w:r>
          </w:p>
          <w:p>
            <w:pPr>
              <w:pStyle w:val="TableParagraph"/>
              <w:spacing w:before="23"/>
              <w:ind w:left="157" w:right="158"/>
              <w:jc w:val="center"/>
              <w:rPr>
                <w:b/>
                <w:sz w:val="22"/>
              </w:rPr>
            </w:pPr>
            <w:r>
              <w:rPr>
                <w:b/>
                <w:color w:val="FFFFFF"/>
                <w:spacing w:val="-2"/>
                <w:sz w:val="22"/>
              </w:rPr>
              <w:t>Budget</w:t>
            </w:r>
          </w:p>
          <w:p>
            <w:pPr>
              <w:pStyle w:val="TableParagraph"/>
              <w:spacing w:before="25"/>
              <w:ind w:left="157" w:right="158"/>
              <w:jc w:val="center"/>
              <w:rPr>
                <w:b/>
                <w:sz w:val="22"/>
              </w:rPr>
            </w:pPr>
            <w:r>
              <w:rPr>
                <w:b/>
                <w:color w:val="FFFFFF"/>
                <w:spacing w:val="-2"/>
                <w:sz w:val="22"/>
              </w:rPr>
              <w:t>$'000</w:t>
            </w:r>
          </w:p>
        </w:tc>
      </w:tr>
      <w:tr>
        <w:trPr>
          <w:trHeight w:val="506" w:hRule="atLeast"/>
        </w:trPr>
        <w:tc>
          <w:tcPr>
            <w:tcW w:w="2664" w:type="dxa"/>
            <w:tcBorders>
              <w:top w:val="nil"/>
              <w:right w:val="nil"/>
            </w:tcBorders>
          </w:tcPr>
          <w:p>
            <w:pPr>
              <w:pStyle w:val="TableParagraph"/>
              <w:tabs>
                <w:tab w:pos="1037" w:val="left" w:leader="none"/>
              </w:tabs>
              <w:spacing w:line="252" w:lineRule="exact"/>
              <w:ind w:left="107" w:right="267"/>
              <w:rPr>
                <w:b/>
                <w:sz w:val="22"/>
              </w:rPr>
            </w:pPr>
            <w:r>
              <w:rPr>
                <w:b/>
                <w:color w:val="5B9AD4"/>
                <w:spacing w:val="-2"/>
                <w:sz w:val="22"/>
              </w:rPr>
              <w:t>Asset</w:t>
            </w:r>
            <w:r>
              <w:rPr>
                <w:b/>
                <w:color w:val="5B9AD4"/>
                <w:sz w:val="22"/>
              </w:rPr>
              <w:tab/>
            </w:r>
            <w:r>
              <w:rPr>
                <w:b/>
                <w:color w:val="5B9AD4"/>
                <w:spacing w:val="-2"/>
                <w:sz w:val="22"/>
              </w:rPr>
              <w:t>Management Management)</w:t>
            </w:r>
          </w:p>
        </w:tc>
        <w:tc>
          <w:tcPr>
            <w:tcW w:w="1160" w:type="dxa"/>
            <w:tcBorders>
              <w:top w:val="nil"/>
              <w:left w:val="nil"/>
              <w:right w:val="nil"/>
            </w:tcBorders>
          </w:tcPr>
          <w:p>
            <w:pPr>
              <w:pStyle w:val="TableParagraph"/>
              <w:ind w:left="54"/>
              <w:rPr>
                <w:b/>
                <w:sz w:val="22"/>
              </w:rPr>
            </w:pPr>
            <w:r>
              <w:rPr>
                <w:b/>
                <w:color w:val="5B9AD4"/>
                <w:spacing w:val="-2"/>
                <w:sz w:val="22"/>
              </w:rPr>
              <w:t>(Projects</w:t>
            </w:r>
          </w:p>
        </w:tc>
        <w:tc>
          <w:tcPr>
            <w:tcW w:w="723" w:type="dxa"/>
            <w:tcBorders>
              <w:top w:val="nil"/>
              <w:left w:val="nil"/>
              <w:right w:val="nil"/>
            </w:tcBorders>
          </w:tcPr>
          <w:p>
            <w:pPr>
              <w:pStyle w:val="TableParagraph"/>
              <w:ind w:left="168"/>
              <w:rPr>
                <w:b/>
                <w:sz w:val="22"/>
              </w:rPr>
            </w:pPr>
            <w:r>
              <w:rPr>
                <w:b/>
                <w:color w:val="5B9AD4"/>
                <w:spacing w:val="-5"/>
                <w:sz w:val="22"/>
              </w:rPr>
              <w:t>and</w:t>
            </w:r>
          </w:p>
        </w:tc>
        <w:tc>
          <w:tcPr>
            <w:tcW w:w="890" w:type="dxa"/>
            <w:tcBorders>
              <w:top w:val="nil"/>
              <w:left w:val="nil"/>
              <w:right w:val="nil"/>
            </w:tcBorders>
          </w:tcPr>
          <w:p>
            <w:pPr>
              <w:pStyle w:val="TableParagraph"/>
              <w:ind w:left="167" w:right="-15"/>
              <w:rPr>
                <w:b/>
                <w:sz w:val="22"/>
              </w:rPr>
            </w:pPr>
            <w:r>
              <w:rPr>
                <w:b/>
                <w:color w:val="5B9AD4"/>
                <w:spacing w:val="-2"/>
                <w:sz w:val="22"/>
              </w:rPr>
              <w:t>Assets</w:t>
            </w:r>
          </w:p>
        </w:tc>
        <w:tc>
          <w:tcPr>
            <w:tcW w:w="106" w:type="dxa"/>
            <w:tcBorders>
              <w:top w:val="nil"/>
              <w:left w:val="nil"/>
              <w:right w:val="nil"/>
            </w:tcBorders>
          </w:tcPr>
          <w:p>
            <w:pPr>
              <w:pStyle w:val="TableParagraph"/>
              <w:rPr>
                <w:rFonts w:ascii="Times New Roman"/>
                <w:sz w:val="20"/>
              </w:rPr>
            </w:pPr>
          </w:p>
        </w:tc>
        <w:tc>
          <w:tcPr>
            <w:tcW w:w="999" w:type="dxa"/>
            <w:tcBorders>
              <w:top w:val="nil"/>
              <w:left w:val="nil"/>
              <w:right w:val="nil"/>
            </w:tcBorders>
          </w:tcPr>
          <w:p>
            <w:pPr>
              <w:pStyle w:val="TableParagraph"/>
              <w:rPr>
                <w:rFonts w:ascii="Times New Roman"/>
                <w:sz w:val="20"/>
              </w:rPr>
            </w:pPr>
          </w:p>
        </w:tc>
        <w:tc>
          <w:tcPr>
            <w:tcW w:w="1279" w:type="dxa"/>
            <w:tcBorders>
              <w:top w:val="nil"/>
              <w:left w:val="nil"/>
              <w:right w:val="nil"/>
            </w:tcBorders>
          </w:tcPr>
          <w:p>
            <w:pPr>
              <w:pStyle w:val="TableParagraph"/>
              <w:rPr>
                <w:rFonts w:ascii="Times New Roman"/>
                <w:sz w:val="20"/>
              </w:rPr>
            </w:pPr>
          </w:p>
        </w:tc>
        <w:tc>
          <w:tcPr>
            <w:tcW w:w="1271" w:type="dxa"/>
            <w:tcBorders>
              <w:top w:val="nil"/>
              <w:left w:val="nil"/>
              <w:right w:val="nil"/>
            </w:tcBorders>
          </w:tcPr>
          <w:p>
            <w:pPr>
              <w:pStyle w:val="TableParagraph"/>
              <w:rPr>
                <w:rFonts w:ascii="Times New Roman"/>
                <w:sz w:val="20"/>
              </w:rPr>
            </w:pPr>
          </w:p>
        </w:tc>
        <w:tc>
          <w:tcPr>
            <w:tcW w:w="1392" w:type="dxa"/>
            <w:tcBorders>
              <w:top w:val="nil"/>
              <w:left w:val="nil"/>
            </w:tcBorders>
          </w:tcPr>
          <w:p>
            <w:pPr>
              <w:pStyle w:val="TableParagraph"/>
              <w:rPr>
                <w:rFonts w:ascii="Times New Roman"/>
                <w:sz w:val="20"/>
              </w:rPr>
            </w:pPr>
          </w:p>
        </w:tc>
      </w:tr>
      <w:tr>
        <w:trPr>
          <w:trHeight w:val="609" w:hRule="atLeast"/>
        </w:trPr>
        <w:tc>
          <w:tcPr>
            <w:tcW w:w="5543" w:type="dxa"/>
            <w:gridSpan w:val="5"/>
            <w:vMerge w:val="restart"/>
            <w:tcBorders>
              <w:right w:val="nil"/>
            </w:tcBorders>
          </w:tcPr>
          <w:p>
            <w:pPr>
              <w:pStyle w:val="TableParagraph"/>
              <w:ind w:left="107" w:right="495"/>
              <w:rPr>
                <w:sz w:val="22"/>
              </w:rPr>
            </w:pPr>
            <w:r>
              <w:rPr>
                <w:sz w:val="22"/>
              </w:rPr>
              <w:t>Asset Management is responsible for the strategic long-term planning and management of Council’s community</w:t>
            </w:r>
            <w:r>
              <w:rPr>
                <w:spacing w:val="-4"/>
                <w:sz w:val="22"/>
              </w:rPr>
              <w:t> </w:t>
            </w:r>
            <w:r>
              <w:rPr>
                <w:sz w:val="22"/>
              </w:rPr>
              <w:t>assets,</w:t>
            </w:r>
            <w:r>
              <w:rPr>
                <w:spacing w:val="-4"/>
                <w:sz w:val="22"/>
              </w:rPr>
              <w:t> </w:t>
            </w:r>
            <w:r>
              <w:rPr>
                <w:sz w:val="22"/>
              </w:rPr>
              <w:t>with</w:t>
            </w:r>
            <w:r>
              <w:rPr>
                <w:spacing w:val="-8"/>
                <w:sz w:val="22"/>
              </w:rPr>
              <w:t> </w:t>
            </w:r>
            <w:r>
              <w:rPr>
                <w:sz w:val="22"/>
              </w:rPr>
              <w:t>a</w:t>
            </w:r>
            <w:r>
              <w:rPr>
                <w:spacing w:val="-3"/>
                <w:sz w:val="22"/>
              </w:rPr>
              <w:t> </w:t>
            </w:r>
            <w:r>
              <w:rPr>
                <w:sz w:val="22"/>
              </w:rPr>
              <w:t>focus</w:t>
            </w:r>
            <w:r>
              <w:rPr>
                <w:spacing w:val="-6"/>
                <w:sz w:val="22"/>
              </w:rPr>
              <w:t> </w:t>
            </w:r>
            <w:r>
              <w:rPr>
                <w:sz w:val="22"/>
              </w:rPr>
              <w:t>on</w:t>
            </w:r>
            <w:r>
              <w:rPr>
                <w:spacing w:val="-6"/>
                <w:sz w:val="22"/>
              </w:rPr>
              <w:t> </w:t>
            </w:r>
            <w:r>
              <w:rPr>
                <w:sz w:val="22"/>
              </w:rPr>
              <w:t>roads,</w:t>
            </w:r>
            <w:r>
              <w:rPr>
                <w:spacing w:val="-4"/>
                <w:sz w:val="22"/>
              </w:rPr>
              <w:t> </w:t>
            </w:r>
            <w:r>
              <w:rPr>
                <w:sz w:val="22"/>
              </w:rPr>
              <w:t>facilities, and open space asset groups.</w:t>
            </w:r>
          </w:p>
          <w:p>
            <w:pPr>
              <w:pStyle w:val="TableParagraph"/>
              <w:ind w:left="107" w:right="131"/>
              <w:rPr>
                <w:sz w:val="22"/>
              </w:rPr>
            </w:pPr>
            <w:r>
              <w:rPr>
                <w:sz w:val="22"/>
              </w:rPr>
              <w:t>The team provides specialist advice and support to maximise service delivery potential, longevity, and improved asset management capabilities, including</w:t>
            </w:r>
          </w:p>
          <w:p>
            <w:pPr>
              <w:pStyle w:val="TableParagraph"/>
              <w:spacing w:line="252" w:lineRule="exact"/>
              <w:ind w:left="107" w:right="131"/>
              <w:rPr>
                <w:sz w:val="22"/>
              </w:rPr>
            </w:pPr>
            <w:r>
              <w:rPr>
                <w:sz w:val="22"/>
              </w:rPr>
              <w:t>advice</w:t>
            </w:r>
            <w:r>
              <w:rPr>
                <w:spacing w:val="-8"/>
                <w:sz w:val="22"/>
              </w:rPr>
              <w:t> </w:t>
            </w:r>
            <w:r>
              <w:rPr>
                <w:sz w:val="22"/>
              </w:rPr>
              <w:t>on</w:t>
            </w:r>
            <w:r>
              <w:rPr>
                <w:spacing w:val="-4"/>
                <w:sz w:val="22"/>
              </w:rPr>
              <w:t> </w:t>
            </w:r>
            <w:r>
              <w:rPr>
                <w:sz w:val="22"/>
              </w:rPr>
              <w:t>strategic</w:t>
            </w:r>
            <w:r>
              <w:rPr>
                <w:spacing w:val="-6"/>
                <w:sz w:val="22"/>
              </w:rPr>
              <w:t> </w:t>
            </w:r>
            <w:r>
              <w:rPr>
                <w:sz w:val="22"/>
              </w:rPr>
              <w:t>direction,</w:t>
            </w:r>
            <w:r>
              <w:rPr>
                <w:spacing w:val="-4"/>
                <w:sz w:val="22"/>
              </w:rPr>
              <w:t> </w:t>
            </w:r>
            <w:r>
              <w:rPr>
                <w:sz w:val="22"/>
              </w:rPr>
              <w:t>policy</w:t>
            </w:r>
            <w:r>
              <w:rPr>
                <w:spacing w:val="-6"/>
                <w:sz w:val="22"/>
              </w:rPr>
              <w:t> </w:t>
            </w:r>
            <w:r>
              <w:rPr>
                <w:sz w:val="22"/>
              </w:rPr>
              <w:t>development</w:t>
            </w:r>
            <w:r>
              <w:rPr>
                <w:spacing w:val="-5"/>
                <w:sz w:val="22"/>
              </w:rPr>
              <w:t> </w:t>
            </w:r>
            <w:r>
              <w:rPr>
                <w:sz w:val="22"/>
              </w:rPr>
              <w:t>and capital works.</w:t>
            </w:r>
          </w:p>
        </w:tc>
        <w:tc>
          <w:tcPr>
            <w:tcW w:w="999" w:type="dxa"/>
            <w:tcBorders>
              <w:left w:val="nil"/>
              <w:right w:val="nil"/>
            </w:tcBorders>
          </w:tcPr>
          <w:p>
            <w:pPr>
              <w:pStyle w:val="TableParagraph"/>
              <w:spacing w:line="206" w:lineRule="exact"/>
              <w:ind w:left="106"/>
              <w:rPr>
                <w:sz w:val="18"/>
              </w:rPr>
            </w:pPr>
            <w:r>
              <w:rPr>
                <w:spacing w:val="-5"/>
                <w:sz w:val="18"/>
              </w:rPr>
              <w:t>Inc</w:t>
            </w:r>
          </w:p>
          <w:p>
            <w:pPr>
              <w:pStyle w:val="TableParagraph"/>
              <w:spacing w:before="102"/>
              <w:ind w:left="106"/>
              <w:rPr>
                <w:sz w:val="18"/>
              </w:rPr>
            </w:pPr>
            <w:r>
              <w:rPr>
                <w:spacing w:val="-5"/>
                <w:sz w:val="18"/>
              </w:rPr>
              <w:t>Exp</w:t>
            </w:r>
          </w:p>
        </w:tc>
        <w:tc>
          <w:tcPr>
            <w:tcW w:w="1279" w:type="dxa"/>
            <w:tcBorders>
              <w:left w:val="nil"/>
              <w:right w:val="nil"/>
            </w:tcBorders>
          </w:tcPr>
          <w:p>
            <w:pPr>
              <w:pStyle w:val="TableParagraph"/>
              <w:spacing w:line="206" w:lineRule="exact"/>
              <w:ind w:right="112"/>
              <w:jc w:val="right"/>
              <w:rPr>
                <w:sz w:val="18"/>
              </w:rPr>
            </w:pPr>
            <w:r>
              <w:rPr>
                <w:sz w:val="18"/>
              </w:rPr>
              <w:t>-</w:t>
            </w:r>
          </w:p>
          <w:p>
            <w:pPr>
              <w:pStyle w:val="TableParagraph"/>
              <w:spacing w:before="102"/>
              <w:ind w:right="110"/>
              <w:jc w:val="right"/>
              <w:rPr>
                <w:sz w:val="18"/>
              </w:rPr>
            </w:pPr>
            <w:r>
              <w:rPr>
                <w:spacing w:val="-2"/>
                <w:sz w:val="18"/>
              </w:rPr>
              <w:t>1,566</w:t>
            </w:r>
          </w:p>
        </w:tc>
        <w:tc>
          <w:tcPr>
            <w:tcW w:w="1271" w:type="dxa"/>
            <w:tcBorders>
              <w:left w:val="nil"/>
              <w:right w:val="nil"/>
            </w:tcBorders>
          </w:tcPr>
          <w:p>
            <w:pPr>
              <w:pStyle w:val="TableParagraph"/>
              <w:spacing w:line="206" w:lineRule="exact"/>
              <w:ind w:right="106"/>
              <w:jc w:val="right"/>
              <w:rPr>
                <w:sz w:val="18"/>
              </w:rPr>
            </w:pPr>
            <w:r>
              <w:rPr>
                <w:sz w:val="18"/>
              </w:rPr>
              <w:t>-</w:t>
            </w:r>
          </w:p>
          <w:p>
            <w:pPr>
              <w:pStyle w:val="TableParagraph"/>
              <w:spacing w:before="102"/>
              <w:ind w:right="105"/>
              <w:jc w:val="right"/>
              <w:rPr>
                <w:sz w:val="18"/>
              </w:rPr>
            </w:pPr>
            <w:r>
              <w:rPr>
                <w:spacing w:val="-2"/>
                <w:sz w:val="18"/>
              </w:rPr>
              <w:t>1,691</w:t>
            </w:r>
          </w:p>
        </w:tc>
        <w:tc>
          <w:tcPr>
            <w:tcW w:w="1392" w:type="dxa"/>
            <w:tcBorders>
              <w:left w:val="nil"/>
            </w:tcBorders>
            <w:shd w:val="clear" w:color="auto" w:fill="BCD6ED"/>
          </w:tcPr>
          <w:p>
            <w:pPr>
              <w:pStyle w:val="TableParagraph"/>
              <w:spacing w:line="206" w:lineRule="exact"/>
              <w:ind w:right="101"/>
              <w:jc w:val="right"/>
              <w:rPr>
                <w:sz w:val="18"/>
              </w:rPr>
            </w:pPr>
            <w:r>
              <w:rPr>
                <w:sz w:val="18"/>
              </w:rPr>
              <w:t>-</w:t>
            </w:r>
          </w:p>
          <w:p>
            <w:pPr>
              <w:pStyle w:val="TableParagraph"/>
              <w:spacing w:before="102"/>
              <w:ind w:right="100"/>
              <w:jc w:val="right"/>
              <w:rPr>
                <w:sz w:val="18"/>
              </w:rPr>
            </w:pPr>
            <w:r>
              <w:rPr>
                <w:spacing w:val="-2"/>
                <w:sz w:val="18"/>
              </w:rPr>
              <w:t>1,841</w:t>
            </w:r>
          </w:p>
        </w:tc>
      </w:tr>
      <w:tr>
        <w:trPr>
          <w:trHeight w:val="1655" w:hRule="atLeast"/>
        </w:trPr>
        <w:tc>
          <w:tcPr>
            <w:tcW w:w="5543" w:type="dxa"/>
            <w:gridSpan w:val="5"/>
            <w:vMerge/>
            <w:tcBorders>
              <w:top w:val="nil"/>
              <w:right w:val="nil"/>
            </w:tcBorders>
          </w:tcPr>
          <w:p>
            <w:pPr>
              <w:rPr>
                <w:sz w:val="2"/>
                <w:szCs w:val="2"/>
              </w:rPr>
            </w:pPr>
          </w:p>
        </w:tc>
        <w:tc>
          <w:tcPr>
            <w:tcW w:w="999" w:type="dxa"/>
            <w:tcBorders>
              <w:left w:val="nil"/>
              <w:right w:val="nil"/>
            </w:tcBorders>
          </w:tcPr>
          <w:p>
            <w:pPr>
              <w:pStyle w:val="TableParagraph"/>
              <w:ind w:left="106" w:right="115"/>
              <w:rPr>
                <w:b/>
                <w:sz w:val="18"/>
              </w:rPr>
            </w:pPr>
            <w:r>
              <w:rPr>
                <w:b/>
                <w:sz w:val="18"/>
              </w:rPr>
              <w:t>Surplus</w:t>
            </w:r>
            <w:r>
              <w:rPr>
                <w:b/>
                <w:spacing w:val="-13"/>
                <w:sz w:val="18"/>
              </w:rPr>
              <w:t> </w:t>
            </w:r>
            <w:r>
              <w:rPr>
                <w:b/>
                <w:sz w:val="18"/>
              </w:rPr>
              <w:t>/ </w:t>
            </w:r>
            <w:r>
              <w:rPr>
                <w:b/>
                <w:spacing w:val="-2"/>
                <w:sz w:val="18"/>
              </w:rPr>
              <w:t>(deficit)</w:t>
            </w:r>
          </w:p>
        </w:tc>
        <w:tc>
          <w:tcPr>
            <w:tcW w:w="1279" w:type="dxa"/>
            <w:tcBorders>
              <w:left w:val="nil"/>
              <w:right w:val="nil"/>
            </w:tcBorders>
          </w:tcPr>
          <w:p>
            <w:pPr>
              <w:pStyle w:val="TableParagraph"/>
              <w:spacing w:line="206" w:lineRule="exact"/>
              <w:ind w:right="110"/>
              <w:jc w:val="right"/>
              <w:rPr>
                <w:b/>
                <w:sz w:val="18"/>
              </w:rPr>
            </w:pPr>
            <w:r>
              <w:rPr>
                <w:b/>
                <w:spacing w:val="-2"/>
                <w:sz w:val="18"/>
              </w:rPr>
              <w:t>(1,566)</w:t>
            </w:r>
          </w:p>
        </w:tc>
        <w:tc>
          <w:tcPr>
            <w:tcW w:w="1271" w:type="dxa"/>
            <w:tcBorders>
              <w:left w:val="nil"/>
              <w:right w:val="nil"/>
            </w:tcBorders>
          </w:tcPr>
          <w:p>
            <w:pPr>
              <w:pStyle w:val="TableParagraph"/>
              <w:spacing w:line="206" w:lineRule="exact"/>
              <w:ind w:right="105"/>
              <w:jc w:val="right"/>
              <w:rPr>
                <w:b/>
                <w:sz w:val="18"/>
              </w:rPr>
            </w:pPr>
            <w:r>
              <w:rPr>
                <w:b/>
                <w:spacing w:val="-2"/>
                <w:sz w:val="18"/>
              </w:rPr>
              <w:t>(1,691)</w:t>
            </w:r>
          </w:p>
        </w:tc>
        <w:tc>
          <w:tcPr>
            <w:tcW w:w="1392" w:type="dxa"/>
            <w:tcBorders>
              <w:left w:val="nil"/>
            </w:tcBorders>
            <w:shd w:val="clear" w:color="auto" w:fill="BCD6ED"/>
          </w:tcPr>
          <w:p>
            <w:pPr>
              <w:pStyle w:val="TableParagraph"/>
              <w:spacing w:line="206" w:lineRule="exact"/>
              <w:ind w:right="100"/>
              <w:jc w:val="right"/>
              <w:rPr>
                <w:b/>
                <w:sz w:val="18"/>
              </w:rPr>
            </w:pPr>
            <w:r>
              <w:rPr>
                <w:b/>
                <w:spacing w:val="-2"/>
                <w:sz w:val="18"/>
              </w:rPr>
              <w:t>(1,841)</w:t>
            </w:r>
          </w:p>
        </w:tc>
      </w:tr>
      <w:tr>
        <w:trPr>
          <w:trHeight w:val="793" w:hRule="atLeast"/>
        </w:trPr>
        <w:tc>
          <w:tcPr>
            <w:tcW w:w="10484" w:type="dxa"/>
            <w:gridSpan w:val="9"/>
          </w:tcPr>
          <w:p>
            <w:pPr>
              <w:pStyle w:val="TableParagraph"/>
              <w:spacing w:before="146"/>
              <w:ind w:left="107" w:right="4817"/>
              <w:rPr>
                <w:b/>
                <w:sz w:val="22"/>
              </w:rPr>
            </w:pPr>
            <w:r>
              <w:rPr>
                <w:b/>
                <w:color w:val="5B9AD4"/>
                <w:sz w:val="22"/>
              </w:rPr>
              <w:t>Asset Projects and Facilities (Projects and Assets </w:t>
            </w:r>
            <w:r>
              <w:rPr>
                <w:b/>
                <w:color w:val="5B9AD4"/>
                <w:spacing w:val="-2"/>
                <w:sz w:val="22"/>
              </w:rPr>
              <w:t>Management)</w:t>
            </w:r>
          </w:p>
        </w:tc>
      </w:tr>
      <w:tr>
        <w:trPr>
          <w:trHeight w:val="611" w:hRule="atLeast"/>
        </w:trPr>
        <w:tc>
          <w:tcPr>
            <w:tcW w:w="5543" w:type="dxa"/>
            <w:gridSpan w:val="5"/>
            <w:vMerge w:val="restart"/>
            <w:tcBorders>
              <w:right w:val="nil"/>
            </w:tcBorders>
          </w:tcPr>
          <w:p>
            <w:pPr>
              <w:pStyle w:val="TableParagraph"/>
              <w:spacing w:before="2"/>
              <w:ind w:left="107" w:right="131"/>
              <w:rPr>
                <w:sz w:val="22"/>
              </w:rPr>
            </w:pPr>
            <w:r>
              <w:rPr>
                <w:sz w:val="22"/>
              </w:rPr>
              <w:t>Asset Projects and Facilities is responsible for the delivery of building and open space projects including design management, construction management and contract administration;</w:t>
            </w:r>
            <w:r>
              <w:rPr>
                <w:spacing w:val="-4"/>
                <w:sz w:val="22"/>
              </w:rPr>
              <w:t> </w:t>
            </w:r>
            <w:r>
              <w:rPr>
                <w:sz w:val="22"/>
              </w:rPr>
              <w:t>and</w:t>
            </w:r>
            <w:r>
              <w:rPr>
                <w:spacing w:val="-1"/>
                <w:sz w:val="22"/>
              </w:rPr>
              <w:t> </w:t>
            </w:r>
            <w:r>
              <w:rPr>
                <w:sz w:val="22"/>
              </w:rPr>
              <w:t>provides</w:t>
            </w:r>
            <w:r>
              <w:rPr>
                <w:spacing w:val="-4"/>
                <w:sz w:val="22"/>
              </w:rPr>
              <w:t> </w:t>
            </w:r>
            <w:r>
              <w:rPr>
                <w:sz w:val="22"/>
              </w:rPr>
              <w:t>specialist advice and support in relation to all major building construction</w:t>
            </w:r>
            <w:r>
              <w:rPr>
                <w:spacing w:val="-8"/>
                <w:sz w:val="22"/>
              </w:rPr>
              <w:t> </w:t>
            </w:r>
            <w:r>
              <w:rPr>
                <w:sz w:val="22"/>
              </w:rPr>
              <w:t>works</w:t>
            </w:r>
            <w:r>
              <w:rPr>
                <w:spacing w:val="-8"/>
                <w:sz w:val="22"/>
              </w:rPr>
              <w:t> </w:t>
            </w:r>
            <w:r>
              <w:rPr>
                <w:sz w:val="22"/>
              </w:rPr>
              <w:t>and</w:t>
            </w:r>
            <w:r>
              <w:rPr>
                <w:spacing w:val="-9"/>
                <w:sz w:val="22"/>
              </w:rPr>
              <w:t> </w:t>
            </w:r>
            <w:r>
              <w:rPr>
                <w:sz w:val="22"/>
              </w:rPr>
              <w:t>building</w:t>
            </w:r>
            <w:r>
              <w:rPr>
                <w:spacing w:val="-7"/>
                <w:sz w:val="22"/>
              </w:rPr>
              <w:t> </w:t>
            </w:r>
            <w:r>
              <w:rPr>
                <w:sz w:val="22"/>
              </w:rPr>
              <w:t>regulatory/compliance inspections/ assessments.</w:t>
            </w:r>
          </w:p>
          <w:p>
            <w:pPr>
              <w:pStyle w:val="TableParagraph"/>
              <w:spacing w:line="251" w:lineRule="exact"/>
              <w:ind w:left="107"/>
              <w:rPr>
                <w:sz w:val="22"/>
              </w:rPr>
            </w:pPr>
            <w:r>
              <w:rPr>
                <w:sz w:val="22"/>
              </w:rPr>
              <w:t>The</w:t>
            </w:r>
            <w:r>
              <w:rPr>
                <w:spacing w:val="-2"/>
                <w:sz w:val="22"/>
              </w:rPr>
              <w:t> </w:t>
            </w:r>
            <w:r>
              <w:rPr>
                <w:sz w:val="22"/>
              </w:rPr>
              <w:t>team</w:t>
            </w:r>
            <w:r>
              <w:rPr>
                <w:spacing w:val="-2"/>
                <w:sz w:val="22"/>
              </w:rPr>
              <w:t> </w:t>
            </w:r>
            <w:r>
              <w:rPr>
                <w:sz w:val="22"/>
              </w:rPr>
              <w:t>also</w:t>
            </w:r>
            <w:r>
              <w:rPr>
                <w:spacing w:val="-6"/>
                <w:sz w:val="22"/>
              </w:rPr>
              <w:t> </w:t>
            </w:r>
            <w:r>
              <w:rPr>
                <w:sz w:val="22"/>
              </w:rPr>
              <w:t>provides</w:t>
            </w:r>
            <w:r>
              <w:rPr>
                <w:spacing w:val="-6"/>
                <w:sz w:val="22"/>
              </w:rPr>
              <w:t> </w:t>
            </w:r>
            <w:r>
              <w:rPr>
                <w:sz w:val="22"/>
              </w:rPr>
              <w:t>oversight</w:t>
            </w:r>
            <w:r>
              <w:rPr>
                <w:spacing w:val="-1"/>
                <w:sz w:val="22"/>
              </w:rPr>
              <w:t> </w:t>
            </w:r>
            <w:r>
              <w:rPr>
                <w:sz w:val="22"/>
              </w:rPr>
              <w:t>for</w:t>
            </w:r>
            <w:r>
              <w:rPr>
                <w:spacing w:val="-2"/>
                <w:sz w:val="22"/>
              </w:rPr>
              <w:t> </w:t>
            </w:r>
            <w:r>
              <w:rPr>
                <w:sz w:val="22"/>
              </w:rPr>
              <w:t>the</w:t>
            </w:r>
            <w:r>
              <w:rPr>
                <w:spacing w:val="1"/>
                <w:sz w:val="22"/>
              </w:rPr>
              <w:t> </w:t>
            </w:r>
            <w:r>
              <w:rPr>
                <w:spacing w:val="-2"/>
                <w:sz w:val="22"/>
              </w:rPr>
              <w:t>ongoing</w:t>
            </w:r>
          </w:p>
          <w:p>
            <w:pPr>
              <w:pStyle w:val="TableParagraph"/>
              <w:spacing w:line="252" w:lineRule="exact"/>
              <w:ind w:left="107" w:right="495"/>
              <w:rPr>
                <w:sz w:val="22"/>
              </w:rPr>
            </w:pPr>
            <w:r>
              <w:rPr>
                <w:sz w:val="22"/>
              </w:rPr>
              <w:t>maintenance</w:t>
            </w:r>
            <w:r>
              <w:rPr>
                <w:spacing w:val="-9"/>
                <w:sz w:val="22"/>
              </w:rPr>
              <w:t> </w:t>
            </w:r>
            <w:r>
              <w:rPr>
                <w:sz w:val="22"/>
              </w:rPr>
              <w:t>and</w:t>
            </w:r>
            <w:r>
              <w:rPr>
                <w:spacing w:val="-9"/>
                <w:sz w:val="22"/>
              </w:rPr>
              <w:t> </w:t>
            </w:r>
            <w:r>
              <w:rPr>
                <w:sz w:val="22"/>
              </w:rPr>
              <w:t>management</w:t>
            </w:r>
            <w:r>
              <w:rPr>
                <w:spacing w:val="-9"/>
                <w:sz w:val="22"/>
              </w:rPr>
              <w:t> </w:t>
            </w:r>
            <w:r>
              <w:rPr>
                <w:sz w:val="22"/>
              </w:rPr>
              <w:t>of</w:t>
            </w:r>
            <w:r>
              <w:rPr>
                <w:spacing w:val="-7"/>
                <w:sz w:val="22"/>
              </w:rPr>
              <w:t> </w:t>
            </w:r>
            <w:r>
              <w:rPr>
                <w:sz w:val="22"/>
              </w:rPr>
              <w:t>Council’s community facilities.</w:t>
            </w:r>
          </w:p>
        </w:tc>
        <w:tc>
          <w:tcPr>
            <w:tcW w:w="999" w:type="dxa"/>
            <w:tcBorders>
              <w:left w:val="nil"/>
              <w:right w:val="nil"/>
            </w:tcBorders>
          </w:tcPr>
          <w:p>
            <w:pPr>
              <w:pStyle w:val="TableParagraph"/>
              <w:spacing w:before="1"/>
              <w:ind w:left="106"/>
              <w:rPr>
                <w:sz w:val="18"/>
              </w:rPr>
            </w:pPr>
            <w:r>
              <w:rPr>
                <w:spacing w:val="-5"/>
                <w:sz w:val="18"/>
              </w:rPr>
              <w:t>Inc</w:t>
            </w:r>
          </w:p>
          <w:p>
            <w:pPr>
              <w:pStyle w:val="TableParagraph"/>
              <w:spacing w:before="103"/>
              <w:ind w:left="106"/>
              <w:rPr>
                <w:sz w:val="18"/>
              </w:rPr>
            </w:pPr>
            <w:r>
              <w:rPr>
                <w:spacing w:val="-5"/>
                <w:sz w:val="18"/>
              </w:rPr>
              <w:t>Exp</w:t>
            </w:r>
          </w:p>
        </w:tc>
        <w:tc>
          <w:tcPr>
            <w:tcW w:w="1279" w:type="dxa"/>
            <w:tcBorders>
              <w:left w:val="nil"/>
              <w:right w:val="nil"/>
            </w:tcBorders>
          </w:tcPr>
          <w:p>
            <w:pPr>
              <w:pStyle w:val="TableParagraph"/>
              <w:spacing w:before="1"/>
              <w:ind w:right="111"/>
              <w:jc w:val="right"/>
              <w:rPr>
                <w:sz w:val="18"/>
              </w:rPr>
            </w:pPr>
            <w:r>
              <w:rPr>
                <w:spacing w:val="-5"/>
                <w:sz w:val="18"/>
              </w:rPr>
              <w:t>92</w:t>
            </w:r>
          </w:p>
          <w:p>
            <w:pPr>
              <w:pStyle w:val="TableParagraph"/>
              <w:spacing w:before="103"/>
              <w:ind w:right="110"/>
              <w:jc w:val="right"/>
              <w:rPr>
                <w:sz w:val="18"/>
              </w:rPr>
            </w:pPr>
            <w:r>
              <w:rPr>
                <w:spacing w:val="-2"/>
                <w:sz w:val="18"/>
              </w:rPr>
              <w:t>2,779</w:t>
            </w:r>
          </w:p>
        </w:tc>
        <w:tc>
          <w:tcPr>
            <w:tcW w:w="1271" w:type="dxa"/>
            <w:tcBorders>
              <w:left w:val="nil"/>
              <w:right w:val="nil"/>
            </w:tcBorders>
          </w:tcPr>
          <w:p>
            <w:pPr>
              <w:pStyle w:val="TableParagraph"/>
              <w:spacing w:before="1"/>
              <w:ind w:right="106"/>
              <w:jc w:val="right"/>
              <w:rPr>
                <w:sz w:val="18"/>
              </w:rPr>
            </w:pPr>
            <w:r>
              <w:rPr>
                <w:sz w:val="18"/>
              </w:rPr>
              <w:t>-</w:t>
            </w:r>
          </w:p>
          <w:p>
            <w:pPr>
              <w:pStyle w:val="TableParagraph"/>
              <w:spacing w:before="103"/>
              <w:ind w:right="105"/>
              <w:jc w:val="right"/>
              <w:rPr>
                <w:sz w:val="18"/>
              </w:rPr>
            </w:pPr>
            <w:r>
              <w:rPr>
                <w:spacing w:val="-2"/>
                <w:sz w:val="18"/>
              </w:rPr>
              <w:t>2,261</w:t>
            </w:r>
          </w:p>
        </w:tc>
        <w:tc>
          <w:tcPr>
            <w:tcW w:w="1392" w:type="dxa"/>
            <w:tcBorders>
              <w:left w:val="nil"/>
            </w:tcBorders>
            <w:shd w:val="clear" w:color="auto" w:fill="BCD6ED"/>
          </w:tcPr>
          <w:p>
            <w:pPr>
              <w:pStyle w:val="TableParagraph"/>
              <w:spacing w:before="1"/>
              <w:ind w:right="101"/>
              <w:jc w:val="right"/>
              <w:rPr>
                <w:sz w:val="18"/>
              </w:rPr>
            </w:pPr>
            <w:r>
              <w:rPr>
                <w:sz w:val="18"/>
              </w:rPr>
              <w:t>-</w:t>
            </w:r>
          </w:p>
          <w:p>
            <w:pPr>
              <w:pStyle w:val="TableParagraph"/>
              <w:spacing w:before="103"/>
              <w:ind w:right="100"/>
              <w:jc w:val="right"/>
              <w:rPr>
                <w:sz w:val="18"/>
              </w:rPr>
            </w:pPr>
            <w:r>
              <w:rPr>
                <w:spacing w:val="-2"/>
                <w:sz w:val="18"/>
              </w:rPr>
              <w:t>2,605</w:t>
            </w:r>
          </w:p>
        </w:tc>
      </w:tr>
      <w:tr>
        <w:trPr>
          <w:trHeight w:val="1910" w:hRule="atLeast"/>
        </w:trPr>
        <w:tc>
          <w:tcPr>
            <w:tcW w:w="5543" w:type="dxa"/>
            <w:gridSpan w:val="5"/>
            <w:vMerge/>
            <w:tcBorders>
              <w:top w:val="nil"/>
              <w:right w:val="nil"/>
            </w:tcBorders>
          </w:tcPr>
          <w:p>
            <w:pPr>
              <w:rPr>
                <w:sz w:val="2"/>
                <w:szCs w:val="2"/>
              </w:rPr>
            </w:pPr>
          </w:p>
        </w:tc>
        <w:tc>
          <w:tcPr>
            <w:tcW w:w="999" w:type="dxa"/>
            <w:tcBorders>
              <w:left w:val="nil"/>
              <w:right w:val="nil"/>
            </w:tcBorders>
          </w:tcPr>
          <w:p>
            <w:pPr>
              <w:pStyle w:val="TableParagraph"/>
              <w:ind w:left="106" w:right="115"/>
              <w:rPr>
                <w:b/>
                <w:sz w:val="18"/>
              </w:rPr>
            </w:pPr>
            <w:r>
              <w:rPr>
                <w:b/>
                <w:sz w:val="18"/>
              </w:rPr>
              <w:t>Surplus</w:t>
            </w:r>
            <w:r>
              <w:rPr>
                <w:b/>
                <w:spacing w:val="-13"/>
                <w:sz w:val="18"/>
              </w:rPr>
              <w:t> </w:t>
            </w:r>
            <w:r>
              <w:rPr>
                <w:b/>
                <w:sz w:val="18"/>
              </w:rPr>
              <w:t>/ </w:t>
            </w:r>
            <w:r>
              <w:rPr>
                <w:b/>
                <w:spacing w:val="-2"/>
                <w:sz w:val="18"/>
              </w:rPr>
              <w:t>(deficit)</w:t>
            </w:r>
          </w:p>
        </w:tc>
        <w:tc>
          <w:tcPr>
            <w:tcW w:w="1279" w:type="dxa"/>
            <w:tcBorders>
              <w:left w:val="nil"/>
              <w:right w:val="nil"/>
            </w:tcBorders>
          </w:tcPr>
          <w:p>
            <w:pPr>
              <w:pStyle w:val="TableParagraph"/>
              <w:spacing w:line="206" w:lineRule="exact"/>
              <w:ind w:right="110"/>
              <w:jc w:val="right"/>
              <w:rPr>
                <w:b/>
                <w:sz w:val="18"/>
              </w:rPr>
            </w:pPr>
            <w:r>
              <w:rPr>
                <w:b/>
                <w:spacing w:val="-2"/>
                <w:sz w:val="18"/>
              </w:rPr>
              <w:t>(2,687)</w:t>
            </w:r>
          </w:p>
        </w:tc>
        <w:tc>
          <w:tcPr>
            <w:tcW w:w="1271" w:type="dxa"/>
            <w:tcBorders>
              <w:left w:val="nil"/>
              <w:right w:val="nil"/>
            </w:tcBorders>
          </w:tcPr>
          <w:p>
            <w:pPr>
              <w:pStyle w:val="TableParagraph"/>
              <w:spacing w:line="206" w:lineRule="exact"/>
              <w:ind w:right="105"/>
              <w:jc w:val="right"/>
              <w:rPr>
                <w:b/>
                <w:sz w:val="18"/>
              </w:rPr>
            </w:pPr>
            <w:r>
              <w:rPr>
                <w:b/>
                <w:spacing w:val="-2"/>
                <w:sz w:val="18"/>
              </w:rPr>
              <w:t>(2,261)</w:t>
            </w:r>
          </w:p>
        </w:tc>
        <w:tc>
          <w:tcPr>
            <w:tcW w:w="1392" w:type="dxa"/>
            <w:tcBorders>
              <w:left w:val="nil"/>
            </w:tcBorders>
            <w:shd w:val="clear" w:color="auto" w:fill="BCD6ED"/>
          </w:tcPr>
          <w:p>
            <w:pPr>
              <w:pStyle w:val="TableParagraph"/>
              <w:spacing w:line="206" w:lineRule="exact"/>
              <w:ind w:right="100"/>
              <w:jc w:val="right"/>
              <w:rPr>
                <w:b/>
                <w:sz w:val="18"/>
              </w:rPr>
            </w:pPr>
            <w:r>
              <w:rPr>
                <w:b/>
                <w:spacing w:val="-2"/>
                <w:sz w:val="18"/>
              </w:rPr>
              <w:t>(2,605)</w:t>
            </w:r>
          </w:p>
        </w:tc>
      </w:tr>
      <w:tr>
        <w:trPr>
          <w:trHeight w:val="505" w:hRule="atLeast"/>
        </w:trPr>
        <w:tc>
          <w:tcPr>
            <w:tcW w:w="10484" w:type="dxa"/>
            <w:gridSpan w:val="9"/>
          </w:tcPr>
          <w:p>
            <w:pPr>
              <w:pStyle w:val="TableParagraph"/>
              <w:spacing w:line="252" w:lineRule="exact"/>
              <w:ind w:left="107" w:right="4817"/>
              <w:rPr>
                <w:b/>
                <w:sz w:val="22"/>
              </w:rPr>
            </w:pPr>
            <w:r>
              <w:rPr>
                <w:b/>
                <w:color w:val="5B9AD4"/>
                <w:sz w:val="22"/>
              </w:rPr>
              <w:t>Building</w:t>
            </w:r>
            <w:r>
              <w:rPr>
                <w:b/>
                <w:color w:val="5B9AD4"/>
                <w:spacing w:val="-9"/>
                <w:sz w:val="22"/>
              </w:rPr>
              <w:t> </w:t>
            </w:r>
            <w:r>
              <w:rPr>
                <w:b/>
                <w:color w:val="5B9AD4"/>
                <w:sz w:val="22"/>
              </w:rPr>
              <w:t>Services</w:t>
            </w:r>
            <w:r>
              <w:rPr>
                <w:b/>
                <w:color w:val="5B9AD4"/>
                <w:spacing w:val="-9"/>
                <w:sz w:val="22"/>
              </w:rPr>
              <w:t> </w:t>
            </w:r>
            <w:r>
              <w:rPr>
                <w:b/>
                <w:color w:val="5B9AD4"/>
                <w:sz w:val="22"/>
              </w:rPr>
              <w:t>(Engineering</w:t>
            </w:r>
            <w:r>
              <w:rPr>
                <w:b/>
                <w:color w:val="5B9AD4"/>
                <w:spacing w:val="-9"/>
                <w:sz w:val="22"/>
              </w:rPr>
              <w:t> </w:t>
            </w:r>
            <w:r>
              <w:rPr>
                <w:b/>
                <w:color w:val="5B9AD4"/>
                <w:sz w:val="22"/>
              </w:rPr>
              <w:t>and</w:t>
            </w:r>
            <w:r>
              <w:rPr>
                <w:b/>
                <w:color w:val="5B9AD4"/>
                <w:spacing w:val="-9"/>
                <w:sz w:val="22"/>
              </w:rPr>
              <w:t> </w:t>
            </w:r>
            <w:r>
              <w:rPr>
                <w:b/>
                <w:color w:val="5B9AD4"/>
                <w:sz w:val="22"/>
              </w:rPr>
              <w:t>Building </w:t>
            </w:r>
            <w:r>
              <w:rPr>
                <w:b/>
                <w:color w:val="5B9AD4"/>
                <w:spacing w:val="-2"/>
                <w:sz w:val="22"/>
              </w:rPr>
              <w:t>Services)</w:t>
            </w:r>
          </w:p>
        </w:tc>
      </w:tr>
      <w:tr>
        <w:trPr>
          <w:trHeight w:val="609" w:hRule="atLeast"/>
        </w:trPr>
        <w:tc>
          <w:tcPr>
            <w:tcW w:w="5543" w:type="dxa"/>
            <w:gridSpan w:val="5"/>
            <w:vMerge w:val="restart"/>
            <w:tcBorders>
              <w:right w:val="nil"/>
            </w:tcBorders>
          </w:tcPr>
          <w:p>
            <w:pPr>
              <w:pStyle w:val="TableParagraph"/>
              <w:ind w:left="107" w:right="131"/>
              <w:rPr>
                <w:sz w:val="22"/>
              </w:rPr>
            </w:pPr>
            <w:r>
              <w:rPr>
                <w:sz w:val="22"/>
              </w:rPr>
              <w:t>Building Services provides building related approval and</w:t>
            </w:r>
            <w:r>
              <w:rPr>
                <w:spacing w:val="-4"/>
                <w:sz w:val="22"/>
              </w:rPr>
              <w:t> </w:t>
            </w:r>
            <w:r>
              <w:rPr>
                <w:sz w:val="22"/>
              </w:rPr>
              <w:t>compliance</w:t>
            </w:r>
            <w:r>
              <w:rPr>
                <w:spacing w:val="-6"/>
                <w:sz w:val="22"/>
              </w:rPr>
              <w:t> </w:t>
            </w:r>
            <w:r>
              <w:rPr>
                <w:sz w:val="22"/>
              </w:rPr>
              <w:t>services</w:t>
            </w:r>
            <w:r>
              <w:rPr>
                <w:spacing w:val="-6"/>
                <w:sz w:val="22"/>
              </w:rPr>
              <w:t> </w:t>
            </w:r>
            <w:r>
              <w:rPr>
                <w:sz w:val="22"/>
              </w:rPr>
              <w:t>prescribed</w:t>
            </w:r>
            <w:r>
              <w:rPr>
                <w:spacing w:val="-3"/>
                <w:sz w:val="22"/>
              </w:rPr>
              <w:t> </w:t>
            </w:r>
            <w:r>
              <w:rPr>
                <w:sz w:val="22"/>
              </w:rPr>
              <w:t>by</w:t>
            </w:r>
            <w:r>
              <w:rPr>
                <w:spacing w:val="-6"/>
                <w:sz w:val="22"/>
              </w:rPr>
              <w:t> </w:t>
            </w:r>
            <w:r>
              <w:rPr>
                <w:sz w:val="22"/>
              </w:rPr>
              <w:t>statutory</w:t>
            </w:r>
            <w:r>
              <w:rPr>
                <w:spacing w:val="-8"/>
                <w:sz w:val="22"/>
              </w:rPr>
              <w:t> </w:t>
            </w:r>
            <w:r>
              <w:rPr>
                <w:sz w:val="22"/>
              </w:rPr>
              <w:t>and legislative requirements, to ensure that Council buildings within Maroondah are</w:t>
            </w:r>
            <w:r>
              <w:rPr>
                <w:spacing w:val="-2"/>
                <w:sz w:val="22"/>
              </w:rPr>
              <w:t> </w:t>
            </w:r>
            <w:r>
              <w:rPr>
                <w:sz w:val="22"/>
              </w:rPr>
              <w:t>safe and suitable</w:t>
            </w:r>
            <w:r>
              <w:rPr>
                <w:spacing w:val="-1"/>
                <w:sz w:val="22"/>
              </w:rPr>
              <w:t> </w:t>
            </w:r>
            <w:r>
              <w:rPr>
                <w:sz w:val="22"/>
              </w:rPr>
              <w:t>for </w:t>
            </w:r>
            <w:r>
              <w:rPr>
                <w:spacing w:val="-4"/>
                <w:sz w:val="22"/>
              </w:rPr>
              <w:t>use.</w:t>
            </w:r>
          </w:p>
          <w:p>
            <w:pPr>
              <w:pStyle w:val="TableParagraph"/>
              <w:ind w:left="107" w:right="131"/>
              <w:rPr>
                <w:sz w:val="22"/>
              </w:rPr>
            </w:pPr>
            <w:r>
              <w:rPr>
                <w:sz w:val="22"/>
              </w:rPr>
              <w:t>Services include building permit and inspection services, building safety and regulatory compliance advice and inspections; essential services management; swimming pool and spa registration; barrier compliance program; general building regulatory</w:t>
            </w:r>
            <w:r>
              <w:rPr>
                <w:spacing w:val="-7"/>
                <w:sz w:val="22"/>
              </w:rPr>
              <w:t> </w:t>
            </w:r>
            <w:r>
              <w:rPr>
                <w:sz w:val="22"/>
              </w:rPr>
              <w:t>administrative</w:t>
            </w:r>
            <w:r>
              <w:rPr>
                <w:spacing w:val="-4"/>
                <w:sz w:val="22"/>
              </w:rPr>
              <w:t> </w:t>
            </w:r>
            <w:r>
              <w:rPr>
                <w:sz w:val="22"/>
              </w:rPr>
              <w:t>duties;</w:t>
            </w:r>
            <w:r>
              <w:rPr>
                <w:spacing w:val="-5"/>
                <w:sz w:val="22"/>
              </w:rPr>
              <w:t> </w:t>
            </w:r>
            <w:r>
              <w:rPr>
                <w:sz w:val="22"/>
              </w:rPr>
              <w:t>as</w:t>
            </w:r>
            <w:r>
              <w:rPr>
                <w:spacing w:val="-7"/>
                <w:sz w:val="22"/>
              </w:rPr>
              <w:t> </w:t>
            </w:r>
            <w:r>
              <w:rPr>
                <w:sz w:val="22"/>
              </w:rPr>
              <w:t>well</w:t>
            </w:r>
            <w:r>
              <w:rPr>
                <w:spacing w:val="-6"/>
                <w:sz w:val="22"/>
              </w:rPr>
              <w:t> </w:t>
            </w:r>
            <w:r>
              <w:rPr>
                <w:sz w:val="22"/>
              </w:rPr>
              <w:t>as</w:t>
            </w:r>
            <w:r>
              <w:rPr>
                <w:spacing w:val="-4"/>
                <w:sz w:val="22"/>
              </w:rPr>
              <w:t> </w:t>
            </w:r>
            <w:r>
              <w:rPr>
                <w:sz w:val="22"/>
              </w:rPr>
              <w:t>requests</w:t>
            </w:r>
          </w:p>
          <w:p>
            <w:pPr>
              <w:pStyle w:val="TableParagraph"/>
              <w:spacing w:line="233" w:lineRule="exact"/>
              <w:ind w:left="107"/>
              <w:rPr>
                <w:sz w:val="22"/>
              </w:rPr>
            </w:pPr>
            <w:r>
              <w:rPr>
                <w:sz w:val="22"/>
              </w:rPr>
              <w:t>for </w:t>
            </w:r>
            <w:r>
              <w:rPr>
                <w:spacing w:val="-2"/>
                <w:sz w:val="22"/>
              </w:rPr>
              <w:t>information.</w:t>
            </w:r>
          </w:p>
        </w:tc>
        <w:tc>
          <w:tcPr>
            <w:tcW w:w="999" w:type="dxa"/>
            <w:tcBorders>
              <w:left w:val="nil"/>
              <w:right w:val="nil"/>
            </w:tcBorders>
          </w:tcPr>
          <w:p>
            <w:pPr>
              <w:pStyle w:val="TableParagraph"/>
              <w:spacing w:line="206" w:lineRule="exact"/>
              <w:ind w:left="106"/>
              <w:rPr>
                <w:sz w:val="18"/>
              </w:rPr>
            </w:pPr>
            <w:r>
              <w:rPr>
                <w:spacing w:val="-5"/>
                <w:sz w:val="18"/>
              </w:rPr>
              <w:t>Inc</w:t>
            </w:r>
          </w:p>
          <w:p>
            <w:pPr>
              <w:pStyle w:val="TableParagraph"/>
              <w:spacing w:before="102"/>
              <w:ind w:left="106"/>
              <w:rPr>
                <w:sz w:val="18"/>
              </w:rPr>
            </w:pPr>
            <w:r>
              <w:rPr>
                <w:spacing w:val="-5"/>
                <w:sz w:val="18"/>
              </w:rPr>
              <w:t>Exp</w:t>
            </w:r>
          </w:p>
        </w:tc>
        <w:tc>
          <w:tcPr>
            <w:tcW w:w="1279" w:type="dxa"/>
            <w:tcBorders>
              <w:left w:val="nil"/>
              <w:right w:val="nil"/>
            </w:tcBorders>
          </w:tcPr>
          <w:p>
            <w:pPr>
              <w:pStyle w:val="TableParagraph"/>
              <w:spacing w:line="206" w:lineRule="exact"/>
              <w:ind w:right="112"/>
              <w:jc w:val="right"/>
              <w:rPr>
                <w:sz w:val="18"/>
              </w:rPr>
            </w:pPr>
            <w:r>
              <w:rPr>
                <w:spacing w:val="-5"/>
                <w:sz w:val="18"/>
              </w:rPr>
              <w:t>619</w:t>
            </w:r>
          </w:p>
          <w:p>
            <w:pPr>
              <w:pStyle w:val="TableParagraph"/>
              <w:spacing w:before="102"/>
              <w:ind w:right="110"/>
              <w:jc w:val="right"/>
              <w:rPr>
                <w:sz w:val="18"/>
              </w:rPr>
            </w:pPr>
            <w:r>
              <w:rPr>
                <w:spacing w:val="-2"/>
                <w:sz w:val="18"/>
              </w:rPr>
              <w:t>1,505</w:t>
            </w:r>
          </w:p>
        </w:tc>
        <w:tc>
          <w:tcPr>
            <w:tcW w:w="1271" w:type="dxa"/>
            <w:tcBorders>
              <w:left w:val="nil"/>
              <w:right w:val="nil"/>
            </w:tcBorders>
          </w:tcPr>
          <w:p>
            <w:pPr>
              <w:pStyle w:val="TableParagraph"/>
              <w:spacing w:line="206" w:lineRule="exact"/>
              <w:ind w:right="106"/>
              <w:jc w:val="right"/>
              <w:rPr>
                <w:sz w:val="18"/>
              </w:rPr>
            </w:pPr>
            <w:r>
              <w:rPr>
                <w:spacing w:val="-5"/>
                <w:sz w:val="18"/>
              </w:rPr>
              <w:t>622</w:t>
            </w:r>
          </w:p>
          <w:p>
            <w:pPr>
              <w:pStyle w:val="TableParagraph"/>
              <w:spacing w:before="102"/>
              <w:ind w:right="105"/>
              <w:jc w:val="right"/>
              <w:rPr>
                <w:sz w:val="18"/>
              </w:rPr>
            </w:pPr>
            <w:r>
              <w:rPr>
                <w:spacing w:val="-2"/>
                <w:sz w:val="18"/>
              </w:rPr>
              <w:t>1,456</w:t>
            </w:r>
          </w:p>
        </w:tc>
        <w:tc>
          <w:tcPr>
            <w:tcW w:w="1392" w:type="dxa"/>
            <w:tcBorders>
              <w:left w:val="nil"/>
            </w:tcBorders>
            <w:shd w:val="clear" w:color="auto" w:fill="BCD6ED"/>
          </w:tcPr>
          <w:p>
            <w:pPr>
              <w:pStyle w:val="TableParagraph"/>
              <w:spacing w:line="206" w:lineRule="exact"/>
              <w:ind w:right="101"/>
              <w:jc w:val="right"/>
              <w:rPr>
                <w:sz w:val="18"/>
              </w:rPr>
            </w:pPr>
            <w:r>
              <w:rPr>
                <w:spacing w:val="-5"/>
                <w:sz w:val="18"/>
              </w:rPr>
              <w:t>602</w:t>
            </w:r>
          </w:p>
          <w:p>
            <w:pPr>
              <w:pStyle w:val="TableParagraph"/>
              <w:spacing w:before="102"/>
              <w:ind w:right="100"/>
              <w:jc w:val="right"/>
              <w:rPr>
                <w:sz w:val="18"/>
              </w:rPr>
            </w:pPr>
            <w:r>
              <w:rPr>
                <w:spacing w:val="-2"/>
                <w:sz w:val="18"/>
              </w:rPr>
              <w:t>1,575</w:t>
            </w:r>
          </w:p>
        </w:tc>
      </w:tr>
      <w:tr>
        <w:trPr>
          <w:trHeight w:val="2416" w:hRule="atLeast"/>
        </w:trPr>
        <w:tc>
          <w:tcPr>
            <w:tcW w:w="5543" w:type="dxa"/>
            <w:gridSpan w:val="5"/>
            <w:vMerge/>
            <w:tcBorders>
              <w:top w:val="nil"/>
              <w:right w:val="nil"/>
            </w:tcBorders>
          </w:tcPr>
          <w:p>
            <w:pPr>
              <w:rPr>
                <w:sz w:val="2"/>
                <w:szCs w:val="2"/>
              </w:rPr>
            </w:pPr>
          </w:p>
        </w:tc>
        <w:tc>
          <w:tcPr>
            <w:tcW w:w="999" w:type="dxa"/>
            <w:tcBorders>
              <w:left w:val="nil"/>
              <w:right w:val="nil"/>
            </w:tcBorders>
          </w:tcPr>
          <w:p>
            <w:pPr>
              <w:pStyle w:val="TableParagraph"/>
              <w:ind w:left="106"/>
              <w:rPr>
                <w:b/>
                <w:sz w:val="18"/>
              </w:rPr>
            </w:pPr>
            <w:r>
              <w:rPr>
                <w:b/>
                <w:sz w:val="18"/>
              </w:rPr>
              <w:t>Surplus</w:t>
            </w:r>
            <w:r>
              <w:rPr>
                <w:b/>
                <w:spacing w:val="-13"/>
                <w:sz w:val="18"/>
              </w:rPr>
              <w:t> </w:t>
            </w:r>
            <w:r>
              <w:rPr>
                <w:b/>
                <w:sz w:val="18"/>
              </w:rPr>
              <w:t>/ </w:t>
            </w:r>
            <w:r>
              <w:rPr>
                <w:b/>
                <w:spacing w:val="-2"/>
                <w:sz w:val="18"/>
              </w:rPr>
              <w:t>(deficit)</w:t>
            </w:r>
          </w:p>
        </w:tc>
        <w:tc>
          <w:tcPr>
            <w:tcW w:w="1279" w:type="dxa"/>
            <w:tcBorders>
              <w:left w:val="nil"/>
              <w:right w:val="nil"/>
            </w:tcBorders>
          </w:tcPr>
          <w:p>
            <w:pPr>
              <w:pStyle w:val="TableParagraph"/>
              <w:spacing w:line="206" w:lineRule="exact"/>
              <w:ind w:right="109"/>
              <w:jc w:val="right"/>
              <w:rPr>
                <w:b/>
                <w:sz w:val="18"/>
              </w:rPr>
            </w:pPr>
            <w:r>
              <w:rPr>
                <w:b/>
                <w:spacing w:val="-2"/>
                <w:sz w:val="18"/>
              </w:rPr>
              <w:t>(886)</w:t>
            </w:r>
          </w:p>
        </w:tc>
        <w:tc>
          <w:tcPr>
            <w:tcW w:w="1271" w:type="dxa"/>
            <w:tcBorders>
              <w:left w:val="nil"/>
              <w:right w:val="nil"/>
            </w:tcBorders>
          </w:tcPr>
          <w:p>
            <w:pPr>
              <w:pStyle w:val="TableParagraph"/>
              <w:spacing w:line="206" w:lineRule="exact"/>
              <w:ind w:right="104"/>
              <w:jc w:val="right"/>
              <w:rPr>
                <w:b/>
                <w:sz w:val="18"/>
              </w:rPr>
            </w:pPr>
            <w:r>
              <w:rPr>
                <w:b/>
                <w:spacing w:val="-2"/>
                <w:sz w:val="18"/>
              </w:rPr>
              <w:t>(834)</w:t>
            </w:r>
          </w:p>
        </w:tc>
        <w:tc>
          <w:tcPr>
            <w:tcW w:w="1392" w:type="dxa"/>
            <w:tcBorders>
              <w:left w:val="nil"/>
            </w:tcBorders>
            <w:shd w:val="clear" w:color="auto" w:fill="BCD6ED"/>
          </w:tcPr>
          <w:p>
            <w:pPr>
              <w:pStyle w:val="TableParagraph"/>
              <w:spacing w:line="206" w:lineRule="exact"/>
              <w:ind w:right="99"/>
              <w:jc w:val="right"/>
              <w:rPr>
                <w:b/>
                <w:sz w:val="18"/>
              </w:rPr>
            </w:pPr>
            <w:r>
              <w:rPr>
                <w:b/>
                <w:spacing w:val="-2"/>
                <w:sz w:val="18"/>
              </w:rPr>
              <w:t>(973)</w:t>
            </w:r>
          </w:p>
        </w:tc>
      </w:tr>
      <w:tr>
        <w:trPr>
          <w:trHeight w:val="299" w:hRule="atLeast"/>
        </w:trPr>
        <w:tc>
          <w:tcPr>
            <w:tcW w:w="10484" w:type="dxa"/>
            <w:gridSpan w:val="9"/>
          </w:tcPr>
          <w:p>
            <w:pPr>
              <w:pStyle w:val="TableParagraph"/>
              <w:spacing w:before="24"/>
              <w:ind w:left="107"/>
              <w:rPr>
                <w:b/>
                <w:sz w:val="22"/>
              </w:rPr>
            </w:pPr>
            <w:r>
              <w:rPr>
                <w:b/>
                <w:color w:val="5B9AD4"/>
                <w:sz w:val="22"/>
              </w:rPr>
              <w:t>Statutory</w:t>
            </w:r>
            <w:r>
              <w:rPr>
                <w:b/>
                <w:color w:val="5B9AD4"/>
                <w:spacing w:val="-8"/>
                <w:sz w:val="22"/>
              </w:rPr>
              <w:t> </w:t>
            </w:r>
            <w:r>
              <w:rPr>
                <w:b/>
                <w:color w:val="5B9AD4"/>
                <w:spacing w:val="-2"/>
                <w:sz w:val="22"/>
              </w:rPr>
              <w:t>Planning</w:t>
            </w:r>
          </w:p>
        </w:tc>
      </w:tr>
      <w:tr>
        <w:trPr>
          <w:trHeight w:val="609" w:hRule="atLeast"/>
        </w:trPr>
        <w:tc>
          <w:tcPr>
            <w:tcW w:w="5543" w:type="dxa"/>
            <w:gridSpan w:val="5"/>
            <w:vMerge w:val="restart"/>
            <w:tcBorders>
              <w:right w:val="nil"/>
            </w:tcBorders>
          </w:tcPr>
          <w:p>
            <w:pPr>
              <w:pStyle w:val="TableParagraph"/>
              <w:ind w:left="107" w:right="131"/>
              <w:rPr>
                <w:sz w:val="22"/>
              </w:rPr>
            </w:pPr>
            <w:r>
              <w:rPr>
                <w:sz w:val="22"/>
              </w:rPr>
              <w:t>Statutory Planning is responsible for delivering town planning land use and development advice, assessments, and decisions for Maroondah, in accordance with the provisions of the Planning and Environment</w:t>
            </w:r>
            <w:r>
              <w:rPr>
                <w:spacing w:val="-6"/>
                <w:sz w:val="22"/>
              </w:rPr>
              <w:t> </w:t>
            </w:r>
            <w:r>
              <w:rPr>
                <w:sz w:val="22"/>
              </w:rPr>
              <w:t>Act</w:t>
            </w:r>
            <w:r>
              <w:rPr>
                <w:spacing w:val="-8"/>
                <w:sz w:val="22"/>
              </w:rPr>
              <w:t> </w:t>
            </w:r>
            <w:r>
              <w:rPr>
                <w:sz w:val="22"/>
              </w:rPr>
              <w:t>1987,</w:t>
            </w:r>
            <w:r>
              <w:rPr>
                <w:spacing w:val="-5"/>
                <w:sz w:val="22"/>
              </w:rPr>
              <w:t> </w:t>
            </w:r>
            <w:r>
              <w:rPr>
                <w:sz w:val="22"/>
              </w:rPr>
              <w:t>Subdivision</w:t>
            </w:r>
            <w:r>
              <w:rPr>
                <w:spacing w:val="-5"/>
                <w:sz w:val="22"/>
              </w:rPr>
              <w:t> </w:t>
            </w:r>
            <w:r>
              <w:rPr>
                <w:sz w:val="22"/>
              </w:rPr>
              <w:t>Act</w:t>
            </w:r>
            <w:r>
              <w:rPr>
                <w:spacing w:val="-5"/>
                <w:sz w:val="22"/>
              </w:rPr>
              <w:t> </w:t>
            </w:r>
            <w:r>
              <w:rPr>
                <w:sz w:val="22"/>
              </w:rPr>
              <w:t>1988,</w:t>
            </w:r>
            <w:r>
              <w:rPr>
                <w:spacing w:val="-7"/>
                <w:sz w:val="22"/>
              </w:rPr>
              <w:t> </w:t>
            </w:r>
            <w:r>
              <w:rPr>
                <w:sz w:val="22"/>
              </w:rPr>
              <w:t>Building Regulations (amongst others), and the Maroondah Planning Scheme.</w:t>
            </w:r>
          </w:p>
          <w:p>
            <w:pPr>
              <w:pStyle w:val="TableParagraph"/>
              <w:ind w:left="107" w:right="131"/>
              <w:rPr>
                <w:sz w:val="22"/>
              </w:rPr>
            </w:pPr>
            <w:r>
              <w:rPr>
                <w:sz w:val="22"/>
              </w:rPr>
              <w:t>The team engage with the community to ensure that land</w:t>
            </w:r>
            <w:r>
              <w:rPr>
                <w:spacing w:val="-4"/>
                <w:sz w:val="22"/>
              </w:rPr>
              <w:t> </w:t>
            </w:r>
            <w:r>
              <w:rPr>
                <w:sz w:val="22"/>
              </w:rPr>
              <w:t>use</w:t>
            </w:r>
            <w:r>
              <w:rPr>
                <w:spacing w:val="-6"/>
                <w:sz w:val="22"/>
              </w:rPr>
              <w:t> </w:t>
            </w:r>
            <w:r>
              <w:rPr>
                <w:sz w:val="22"/>
              </w:rPr>
              <w:t>and</w:t>
            </w:r>
            <w:r>
              <w:rPr>
                <w:spacing w:val="-5"/>
                <w:sz w:val="22"/>
              </w:rPr>
              <w:t> </w:t>
            </w:r>
            <w:r>
              <w:rPr>
                <w:sz w:val="22"/>
              </w:rPr>
              <w:t>development</w:t>
            </w:r>
            <w:r>
              <w:rPr>
                <w:spacing w:val="-2"/>
                <w:sz w:val="22"/>
              </w:rPr>
              <w:t> </w:t>
            </w:r>
            <w:r>
              <w:rPr>
                <w:sz w:val="22"/>
              </w:rPr>
              <w:t>changes</w:t>
            </w:r>
            <w:r>
              <w:rPr>
                <w:spacing w:val="-6"/>
                <w:sz w:val="22"/>
              </w:rPr>
              <w:t> </w:t>
            </w:r>
            <w:r>
              <w:rPr>
                <w:sz w:val="22"/>
              </w:rPr>
              <w:t>benefit</w:t>
            </w:r>
            <w:r>
              <w:rPr>
                <w:spacing w:val="-6"/>
                <w:sz w:val="22"/>
              </w:rPr>
              <w:t> </w:t>
            </w:r>
            <w:r>
              <w:rPr>
                <w:sz w:val="22"/>
              </w:rPr>
              <w:t>the</w:t>
            </w:r>
            <w:r>
              <w:rPr>
                <w:spacing w:val="-6"/>
                <w:sz w:val="22"/>
              </w:rPr>
              <w:t> </w:t>
            </w:r>
            <w:r>
              <w:rPr>
                <w:sz w:val="22"/>
              </w:rPr>
              <w:t>social,</w:t>
            </w:r>
          </w:p>
          <w:p>
            <w:pPr>
              <w:pStyle w:val="TableParagraph"/>
              <w:spacing w:line="232" w:lineRule="exact"/>
              <w:ind w:left="107"/>
              <w:rPr>
                <w:sz w:val="22"/>
              </w:rPr>
            </w:pPr>
            <w:r>
              <w:rPr>
                <w:sz w:val="22"/>
              </w:rPr>
              <w:t>environmental,</w:t>
            </w:r>
            <w:r>
              <w:rPr>
                <w:spacing w:val="-4"/>
                <w:sz w:val="22"/>
              </w:rPr>
              <w:t> </w:t>
            </w:r>
            <w:r>
              <w:rPr>
                <w:sz w:val="22"/>
              </w:rPr>
              <w:t>and</w:t>
            </w:r>
            <w:r>
              <w:rPr>
                <w:spacing w:val="-5"/>
                <w:sz w:val="22"/>
              </w:rPr>
              <w:t> </w:t>
            </w:r>
            <w:r>
              <w:rPr>
                <w:sz w:val="22"/>
              </w:rPr>
              <w:t>economic</w:t>
            </w:r>
            <w:r>
              <w:rPr>
                <w:spacing w:val="-5"/>
                <w:sz w:val="22"/>
              </w:rPr>
              <w:t> </w:t>
            </w:r>
            <w:r>
              <w:rPr>
                <w:sz w:val="22"/>
              </w:rPr>
              <w:t>aspects</w:t>
            </w:r>
            <w:r>
              <w:rPr>
                <w:spacing w:val="-4"/>
                <w:sz w:val="22"/>
              </w:rPr>
              <w:t> </w:t>
            </w:r>
            <w:r>
              <w:rPr>
                <w:sz w:val="22"/>
              </w:rPr>
              <w:t>of</w:t>
            </w:r>
            <w:r>
              <w:rPr>
                <w:spacing w:val="-5"/>
                <w:sz w:val="22"/>
              </w:rPr>
              <w:t> </w:t>
            </w:r>
            <w:r>
              <w:rPr>
                <w:spacing w:val="-2"/>
                <w:sz w:val="22"/>
              </w:rPr>
              <w:t>Maroondah.</w:t>
            </w:r>
          </w:p>
        </w:tc>
        <w:tc>
          <w:tcPr>
            <w:tcW w:w="999" w:type="dxa"/>
            <w:tcBorders>
              <w:left w:val="nil"/>
              <w:right w:val="nil"/>
            </w:tcBorders>
          </w:tcPr>
          <w:p>
            <w:pPr>
              <w:pStyle w:val="TableParagraph"/>
              <w:spacing w:line="206" w:lineRule="exact"/>
              <w:ind w:left="106"/>
              <w:rPr>
                <w:sz w:val="18"/>
              </w:rPr>
            </w:pPr>
            <w:r>
              <w:rPr>
                <w:spacing w:val="-5"/>
                <w:sz w:val="18"/>
              </w:rPr>
              <w:t>Inc</w:t>
            </w:r>
          </w:p>
          <w:p>
            <w:pPr>
              <w:pStyle w:val="TableParagraph"/>
              <w:spacing w:before="102"/>
              <w:ind w:left="106"/>
              <w:rPr>
                <w:sz w:val="18"/>
              </w:rPr>
            </w:pPr>
            <w:r>
              <w:rPr>
                <w:spacing w:val="-5"/>
                <w:sz w:val="18"/>
              </w:rPr>
              <w:t>Exp</w:t>
            </w:r>
          </w:p>
        </w:tc>
        <w:tc>
          <w:tcPr>
            <w:tcW w:w="1279" w:type="dxa"/>
            <w:tcBorders>
              <w:left w:val="nil"/>
              <w:right w:val="nil"/>
            </w:tcBorders>
          </w:tcPr>
          <w:p>
            <w:pPr>
              <w:pStyle w:val="TableParagraph"/>
              <w:spacing w:line="206" w:lineRule="exact"/>
              <w:ind w:left="713"/>
              <w:rPr>
                <w:sz w:val="18"/>
              </w:rPr>
            </w:pPr>
            <w:r>
              <w:rPr>
                <w:spacing w:val="-2"/>
                <w:sz w:val="18"/>
              </w:rPr>
              <w:t>4,670</w:t>
            </w:r>
          </w:p>
          <w:p>
            <w:pPr>
              <w:pStyle w:val="TableParagraph"/>
              <w:spacing w:before="102"/>
              <w:ind w:left="713"/>
              <w:rPr>
                <w:sz w:val="18"/>
              </w:rPr>
            </w:pPr>
            <w:r>
              <w:rPr>
                <w:spacing w:val="-2"/>
                <w:sz w:val="18"/>
              </w:rPr>
              <w:t>2,649</w:t>
            </w:r>
          </w:p>
        </w:tc>
        <w:tc>
          <w:tcPr>
            <w:tcW w:w="1271" w:type="dxa"/>
            <w:tcBorders>
              <w:left w:val="nil"/>
              <w:right w:val="nil"/>
            </w:tcBorders>
          </w:tcPr>
          <w:p>
            <w:pPr>
              <w:pStyle w:val="TableParagraph"/>
              <w:spacing w:line="206" w:lineRule="exact"/>
              <w:ind w:left="710"/>
              <w:rPr>
                <w:sz w:val="18"/>
              </w:rPr>
            </w:pPr>
            <w:r>
              <w:rPr>
                <w:spacing w:val="-2"/>
                <w:sz w:val="18"/>
              </w:rPr>
              <w:t>6,615</w:t>
            </w:r>
          </w:p>
          <w:p>
            <w:pPr>
              <w:pStyle w:val="TableParagraph"/>
              <w:spacing w:before="102"/>
              <w:ind w:left="710"/>
              <w:rPr>
                <w:sz w:val="18"/>
              </w:rPr>
            </w:pPr>
            <w:r>
              <w:rPr>
                <w:spacing w:val="-2"/>
                <w:sz w:val="18"/>
              </w:rPr>
              <w:t>2,888</w:t>
            </w:r>
          </w:p>
        </w:tc>
        <w:tc>
          <w:tcPr>
            <w:tcW w:w="1392" w:type="dxa"/>
            <w:tcBorders>
              <w:left w:val="nil"/>
            </w:tcBorders>
            <w:shd w:val="clear" w:color="auto" w:fill="BCD6ED"/>
          </w:tcPr>
          <w:p>
            <w:pPr>
              <w:pStyle w:val="TableParagraph"/>
              <w:spacing w:line="206" w:lineRule="exact"/>
              <w:ind w:left="827"/>
              <w:rPr>
                <w:sz w:val="18"/>
              </w:rPr>
            </w:pPr>
            <w:r>
              <w:rPr>
                <w:spacing w:val="-2"/>
                <w:sz w:val="18"/>
              </w:rPr>
              <w:t>7,466</w:t>
            </w:r>
          </w:p>
          <w:p>
            <w:pPr>
              <w:pStyle w:val="TableParagraph"/>
              <w:spacing w:before="102"/>
              <w:ind w:left="827"/>
              <w:rPr>
                <w:sz w:val="18"/>
              </w:rPr>
            </w:pPr>
            <w:r>
              <w:rPr>
                <w:spacing w:val="-2"/>
                <w:sz w:val="18"/>
              </w:rPr>
              <w:t>3,140</w:t>
            </w:r>
          </w:p>
        </w:tc>
      </w:tr>
      <w:tr>
        <w:trPr>
          <w:trHeight w:val="1910" w:hRule="atLeast"/>
        </w:trPr>
        <w:tc>
          <w:tcPr>
            <w:tcW w:w="5543" w:type="dxa"/>
            <w:gridSpan w:val="5"/>
            <w:vMerge/>
            <w:tcBorders>
              <w:top w:val="nil"/>
              <w:right w:val="nil"/>
            </w:tcBorders>
          </w:tcPr>
          <w:p>
            <w:pPr>
              <w:rPr>
                <w:sz w:val="2"/>
                <w:szCs w:val="2"/>
              </w:rPr>
            </w:pPr>
          </w:p>
        </w:tc>
        <w:tc>
          <w:tcPr>
            <w:tcW w:w="999" w:type="dxa"/>
            <w:tcBorders>
              <w:left w:val="nil"/>
              <w:right w:val="nil"/>
            </w:tcBorders>
          </w:tcPr>
          <w:p>
            <w:pPr>
              <w:pStyle w:val="TableParagraph"/>
              <w:ind w:left="106" w:right="115"/>
              <w:rPr>
                <w:b/>
                <w:sz w:val="18"/>
              </w:rPr>
            </w:pPr>
            <w:r>
              <w:rPr>
                <w:b/>
                <w:sz w:val="18"/>
              </w:rPr>
              <w:t>Surplus</w:t>
            </w:r>
            <w:r>
              <w:rPr>
                <w:b/>
                <w:spacing w:val="-13"/>
                <w:sz w:val="18"/>
              </w:rPr>
              <w:t> </w:t>
            </w:r>
            <w:r>
              <w:rPr>
                <w:b/>
                <w:sz w:val="18"/>
              </w:rPr>
              <w:t>/ </w:t>
            </w:r>
            <w:r>
              <w:rPr>
                <w:b/>
                <w:spacing w:val="-2"/>
                <w:sz w:val="18"/>
              </w:rPr>
              <w:t>(deficit)</w:t>
            </w:r>
          </w:p>
        </w:tc>
        <w:tc>
          <w:tcPr>
            <w:tcW w:w="1279" w:type="dxa"/>
            <w:tcBorders>
              <w:left w:val="nil"/>
              <w:right w:val="nil"/>
            </w:tcBorders>
          </w:tcPr>
          <w:p>
            <w:pPr>
              <w:pStyle w:val="TableParagraph"/>
              <w:spacing w:line="206" w:lineRule="exact"/>
              <w:ind w:right="110"/>
              <w:jc w:val="right"/>
              <w:rPr>
                <w:b/>
                <w:sz w:val="18"/>
              </w:rPr>
            </w:pPr>
            <w:r>
              <w:rPr>
                <w:b/>
                <w:spacing w:val="-2"/>
                <w:sz w:val="18"/>
              </w:rPr>
              <w:t>2,021</w:t>
            </w:r>
          </w:p>
        </w:tc>
        <w:tc>
          <w:tcPr>
            <w:tcW w:w="1271" w:type="dxa"/>
            <w:tcBorders>
              <w:left w:val="nil"/>
              <w:right w:val="nil"/>
            </w:tcBorders>
          </w:tcPr>
          <w:p>
            <w:pPr>
              <w:pStyle w:val="TableParagraph"/>
              <w:spacing w:line="206" w:lineRule="exact"/>
              <w:ind w:right="105"/>
              <w:jc w:val="right"/>
              <w:rPr>
                <w:b/>
                <w:sz w:val="18"/>
              </w:rPr>
            </w:pPr>
            <w:r>
              <w:rPr>
                <w:b/>
                <w:spacing w:val="-2"/>
                <w:sz w:val="18"/>
              </w:rPr>
              <w:t>3,727</w:t>
            </w:r>
          </w:p>
        </w:tc>
        <w:tc>
          <w:tcPr>
            <w:tcW w:w="1392" w:type="dxa"/>
            <w:tcBorders>
              <w:left w:val="nil"/>
            </w:tcBorders>
            <w:shd w:val="clear" w:color="auto" w:fill="BCD6ED"/>
          </w:tcPr>
          <w:p>
            <w:pPr>
              <w:pStyle w:val="TableParagraph"/>
              <w:spacing w:line="206" w:lineRule="exact"/>
              <w:ind w:right="100"/>
              <w:jc w:val="right"/>
              <w:rPr>
                <w:b/>
                <w:sz w:val="18"/>
              </w:rPr>
            </w:pPr>
            <w:r>
              <w:rPr>
                <w:b/>
                <w:spacing w:val="-2"/>
                <w:sz w:val="18"/>
              </w:rPr>
              <w:t>4,326</w:t>
            </w:r>
          </w:p>
        </w:tc>
      </w:tr>
    </w:tbl>
    <w:p>
      <w:pPr>
        <w:spacing w:after="0" w:line="206" w:lineRule="exact"/>
        <w:jc w:val="right"/>
        <w:rPr>
          <w:sz w:val="18"/>
        </w:rPr>
        <w:sectPr>
          <w:pgSz w:w="11910" w:h="16840"/>
          <w:pgMar w:header="0" w:footer="426" w:top="340" w:bottom="620" w:left="460" w:right="160"/>
        </w:sectPr>
      </w:pPr>
    </w:p>
    <w:p>
      <w:pPr>
        <w:pStyle w:val="BodyText"/>
        <w:spacing w:before="5"/>
        <w:rPr>
          <w:b/>
          <w:sz w:val="2"/>
        </w:rPr>
      </w:pPr>
    </w:p>
    <w:tbl>
      <w:tblPr>
        <w:tblW w:w="0" w:type="auto"/>
        <w:jc w:val="left"/>
        <w:tblInd w:w="4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8"/>
        <w:gridCol w:w="911"/>
        <w:gridCol w:w="1307"/>
        <w:gridCol w:w="1282"/>
        <w:gridCol w:w="1291"/>
      </w:tblGrid>
      <w:tr>
        <w:trPr>
          <w:trHeight w:val="897" w:hRule="atLeast"/>
        </w:trPr>
        <w:tc>
          <w:tcPr>
            <w:tcW w:w="5688" w:type="dxa"/>
            <w:tcBorders>
              <w:top w:val="single" w:sz="4" w:space="0" w:color="000000"/>
              <w:left w:val="single" w:sz="4" w:space="0" w:color="000000"/>
            </w:tcBorders>
            <w:shd w:val="clear" w:color="auto" w:fill="5B9AD4"/>
          </w:tcPr>
          <w:p>
            <w:pPr>
              <w:pStyle w:val="TableParagraph"/>
              <w:spacing w:before="10"/>
              <w:rPr>
                <w:b/>
                <w:sz w:val="27"/>
              </w:rPr>
            </w:pPr>
          </w:p>
          <w:p>
            <w:pPr>
              <w:pStyle w:val="TableParagraph"/>
              <w:spacing w:before="1"/>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11" w:type="dxa"/>
            <w:tcBorders>
              <w:top w:val="single" w:sz="4" w:space="0" w:color="000000"/>
            </w:tcBorders>
            <w:shd w:val="clear" w:color="auto" w:fill="5B9AD4"/>
          </w:tcPr>
          <w:p>
            <w:pPr>
              <w:pStyle w:val="TableParagraph"/>
              <w:rPr>
                <w:rFonts w:ascii="Times New Roman"/>
                <w:sz w:val="20"/>
              </w:rPr>
            </w:pPr>
          </w:p>
        </w:tc>
        <w:tc>
          <w:tcPr>
            <w:tcW w:w="1307" w:type="dxa"/>
            <w:tcBorders>
              <w:top w:val="single" w:sz="4" w:space="0" w:color="000000"/>
            </w:tcBorders>
            <w:shd w:val="clear" w:color="auto" w:fill="5B9AD4"/>
          </w:tcPr>
          <w:p>
            <w:pPr>
              <w:pStyle w:val="TableParagraph"/>
              <w:spacing w:before="21"/>
              <w:ind w:left="123" w:right="119"/>
              <w:jc w:val="center"/>
              <w:rPr>
                <w:b/>
                <w:sz w:val="22"/>
              </w:rPr>
            </w:pPr>
            <w:r>
              <w:rPr>
                <w:b/>
                <w:color w:val="FFFFFF"/>
                <w:spacing w:val="-2"/>
                <w:sz w:val="22"/>
              </w:rPr>
              <w:t>2022/2023</w:t>
            </w:r>
          </w:p>
          <w:p>
            <w:pPr>
              <w:pStyle w:val="TableParagraph"/>
              <w:spacing w:before="47"/>
              <w:ind w:left="124" w:right="118"/>
              <w:jc w:val="center"/>
              <w:rPr>
                <w:b/>
                <w:sz w:val="22"/>
              </w:rPr>
            </w:pPr>
            <w:r>
              <w:rPr>
                <w:b/>
                <w:color w:val="FFFFFF"/>
                <w:spacing w:val="-2"/>
                <w:sz w:val="22"/>
              </w:rPr>
              <w:t>Actual</w:t>
            </w:r>
          </w:p>
          <w:p>
            <w:pPr>
              <w:pStyle w:val="TableParagraph"/>
              <w:spacing w:before="47"/>
              <w:ind w:left="124" w:right="119"/>
              <w:jc w:val="center"/>
              <w:rPr>
                <w:b/>
                <w:sz w:val="22"/>
              </w:rPr>
            </w:pPr>
            <w:r>
              <w:rPr>
                <w:b/>
                <w:color w:val="FFFFFF"/>
                <w:spacing w:val="-2"/>
                <w:sz w:val="22"/>
              </w:rPr>
              <w:t>$'000</w:t>
            </w:r>
          </w:p>
        </w:tc>
        <w:tc>
          <w:tcPr>
            <w:tcW w:w="1282" w:type="dxa"/>
            <w:tcBorders>
              <w:top w:val="single" w:sz="4" w:space="0" w:color="000000"/>
            </w:tcBorders>
            <w:shd w:val="clear" w:color="auto" w:fill="5B9AD4"/>
          </w:tcPr>
          <w:p>
            <w:pPr>
              <w:pStyle w:val="TableParagraph"/>
              <w:spacing w:before="21"/>
              <w:ind w:left="107" w:right="108"/>
              <w:jc w:val="center"/>
              <w:rPr>
                <w:b/>
                <w:sz w:val="22"/>
              </w:rPr>
            </w:pPr>
            <w:r>
              <w:rPr>
                <w:b/>
                <w:color w:val="FFFFFF"/>
                <w:spacing w:val="-2"/>
                <w:sz w:val="22"/>
              </w:rPr>
              <w:t>2023/2024</w:t>
            </w:r>
          </w:p>
          <w:p>
            <w:pPr>
              <w:pStyle w:val="TableParagraph"/>
              <w:spacing w:before="47"/>
              <w:ind w:left="108" w:right="108"/>
              <w:jc w:val="center"/>
              <w:rPr>
                <w:b/>
                <w:sz w:val="22"/>
              </w:rPr>
            </w:pPr>
            <w:r>
              <w:rPr>
                <w:b/>
                <w:color w:val="FFFFFF"/>
                <w:spacing w:val="-2"/>
                <w:sz w:val="22"/>
              </w:rPr>
              <w:t>Forecast</w:t>
            </w:r>
          </w:p>
          <w:p>
            <w:pPr>
              <w:pStyle w:val="TableParagraph"/>
              <w:spacing w:before="47"/>
              <w:ind w:left="107" w:right="108"/>
              <w:jc w:val="center"/>
              <w:rPr>
                <w:b/>
                <w:sz w:val="22"/>
              </w:rPr>
            </w:pPr>
            <w:r>
              <w:rPr>
                <w:b/>
                <w:color w:val="FFFFFF"/>
                <w:spacing w:val="-2"/>
                <w:sz w:val="22"/>
              </w:rPr>
              <w:t>$'000</w:t>
            </w:r>
          </w:p>
        </w:tc>
        <w:tc>
          <w:tcPr>
            <w:tcW w:w="1291" w:type="dxa"/>
            <w:tcBorders>
              <w:top w:val="single" w:sz="4" w:space="0" w:color="000000"/>
              <w:right w:val="single" w:sz="4" w:space="0" w:color="000000"/>
            </w:tcBorders>
            <w:shd w:val="clear" w:color="auto" w:fill="5B9AD4"/>
          </w:tcPr>
          <w:p>
            <w:pPr>
              <w:pStyle w:val="TableParagraph"/>
              <w:spacing w:before="21"/>
              <w:ind w:left="113" w:right="106"/>
              <w:jc w:val="center"/>
              <w:rPr>
                <w:b/>
                <w:sz w:val="22"/>
              </w:rPr>
            </w:pPr>
            <w:r>
              <w:rPr>
                <w:b/>
                <w:color w:val="FFFFFF"/>
                <w:spacing w:val="-2"/>
                <w:sz w:val="22"/>
              </w:rPr>
              <w:t>2024/2025</w:t>
            </w:r>
          </w:p>
          <w:p>
            <w:pPr>
              <w:pStyle w:val="TableParagraph"/>
              <w:spacing w:before="47"/>
              <w:ind w:left="112" w:right="106"/>
              <w:jc w:val="center"/>
              <w:rPr>
                <w:b/>
                <w:sz w:val="22"/>
              </w:rPr>
            </w:pPr>
            <w:r>
              <w:rPr>
                <w:b/>
                <w:color w:val="FFFFFF"/>
                <w:spacing w:val="-2"/>
                <w:sz w:val="22"/>
              </w:rPr>
              <w:t>Budget</w:t>
            </w:r>
          </w:p>
          <w:p>
            <w:pPr>
              <w:pStyle w:val="TableParagraph"/>
              <w:spacing w:before="47"/>
              <w:ind w:left="114" w:right="106"/>
              <w:jc w:val="center"/>
              <w:rPr>
                <w:b/>
                <w:sz w:val="22"/>
              </w:rPr>
            </w:pPr>
            <w:r>
              <w:rPr>
                <w:b/>
                <w:color w:val="FFFFFF"/>
                <w:spacing w:val="-2"/>
                <w:sz w:val="22"/>
              </w:rPr>
              <w:t>$'000</w:t>
            </w:r>
          </w:p>
        </w:tc>
      </w:tr>
      <w:tr>
        <w:trPr>
          <w:trHeight w:val="299" w:hRule="atLeast"/>
        </w:trPr>
        <w:tc>
          <w:tcPr>
            <w:tcW w:w="10479" w:type="dxa"/>
            <w:gridSpan w:val="5"/>
            <w:tcBorders>
              <w:left w:val="single" w:sz="4" w:space="0" w:color="000000"/>
              <w:bottom w:val="single" w:sz="4" w:space="0" w:color="000000"/>
              <w:right w:val="single" w:sz="4" w:space="0" w:color="000000"/>
            </w:tcBorders>
          </w:tcPr>
          <w:p>
            <w:pPr>
              <w:pStyle w:val="TableParagraph"/>
              <w:spacing w:before="24"/>
              <w:ind w:left="107"/>
              <w:rPr>
                <w:b/>
                <w:sz w:val="22"/>
              </w:rPr>
            </w:pPr>
            <w:r>
              <w:rPr>
                <w:b/>
                <w:color w:val="5B9AD4"/>
                <w:sz w:val="22"/>
              </w:rPr>
              <w:t>Strategic</w:t>
            </w:r>
            <w:r>
              <w:rPr>
                <w:b/>
                <w:color w:val="5B9AD4"/>
                <w:spacing w:val="-3"/>
                <w:sz w:val="22"/>
              </w:rPr>
              <w:t> </w:t>
            </w:r>
            <w:r>
              <w:rPr>
                <w:b/>
                <w:color w:val="5B9AD4"/>
                <w:sz w:val="22"/>
              </w:rPr>
              <w:t>Planning</w:t>
            </w:r>
            <w:r>
              <w:rPr>
                <w:b/>
                <w:color w:val="5B9AD4"/>
                <w:spacing w:val="-5"/>
                <w:sz w:val="22"/>
              </w:rPr>
              <w:t> </w:t>
            </w:r>
            <w:r>
              <w:rPr>
                <w:b/>
                <w:color w:val="5B9AD4"/>
                <w:sz w:val="22"/>
              </w:rPr>
              <w:t>and</w:t>
            </w:r>
            <w:r>
              <w:rPr>
                <w:b/>
                <w:color w:val="5B9AD4"/>
                <w:spacing w:val="-5"/>
                <w:sz w:val="22"/>
              </w:rPr>
              <w:t> </w:t>
            </w:r>
            <w:r>
              <w:rPr>
                <w:b/>
                <w:color w:val="5B9AD4"/>
                <w:sz w:val="22"/>
              </w:rPr>
              <w:t>Sustainability</w:t>
            </w:r>
            <w:r>
              <w:rPr>
                <w:b/>
                <w:color w:val="5B9AD4"/>
                <w:spacing w:val="-6"/>
                <w:sz w:val="22"/>
              </w:rPr>
              <w:t> </w:t>
            </w:r>
            <w:r>
              <w:rPr>
                <w:b/>
                <w:color w:val="5B9AD4"/>
                <w:sz w:val="22"/>
              </w:rPr>
              <w:t>(City</w:t>
            </w:r>
            <w:r>
              <w:rPr>
                <w:b/>
                <w:color w:val="5B9AD4"/>
                <w:spacing w:val="-2"/>
                <w:sz w:val="22"/>
              </w:rPr>
              <w:t> Futures)</w:t>
            </w:r>
          </w:p>
        </w:tc>
      </w:tr>
      <w:tr>
        <w:trPr>
          <w:trHeight w:val="611" w:hRule="atLeast"/>
        </w:trPr>
        <w:tc>
          <w:tcPr>
            <w:tcW w:w="5688" w:type="dxa"/>
            <w:vMerge w:val="restart"/>
            <w:tcBorders>
              <w:top w:val="single" w:sz="4" w:space="0" w:color="000000"/>
            </w:tcBorders>
          </w:tcPr>
          <w:p>
            <w:pPr>
              <w:pStyle w:val="TableParagraph"/>
              <w:ind w:left="112" w:right="177"/>
              <w:rPr>
                <w:sz w:val="22"/>
              </w:rPr>
            </w:pPr>
            <w:r>
              <w:rPr>
                <w:sz w:val="22"/>
              </w:rPr>
              <w:t>Strategic</w:t>
            </w:r>
            <w:r>
              <w:rPr>
                <w:spacing w:val="-2"/>
                <w:sz w:val="22"/>
              </w:rPr>
              <w:t> </w:t>
            </w:r>
            <w:r>
              <w:rPr>
                <w:sz w:val="22"/>
              </w:rPr>
              <w:t>Planning and Sustainability is responsible</w:t>
            </w:r>
            <w:r>
              <w:rPr>
                <w:spacing w:val="-2"/>
                <w:sz w:val="22"/>
              </w:rPr>
              <w:t> </w:t>
            </w:r>
            <w:r>
              <w:rPr>
                <w:sz w:val="22"/>
              </w:rPr>
              <w:t>for shaping and delivering land use and environmental strategies</w:t>
            </w:r>
            <w:r>
              <w:rPr>
                <w:spacing w:val="-5"/>
                <w:sz w:val="22"/>
              </w:rPr>
              <w:t> </w:t>
            </w:r>
            <w:r>
              <w:rPr>
                <w:sz w:val="22"/>
              </w:rPr>
              <w:t>and</w:t>
            </w:r>
            <w:r>
              <w:rPr>
                <w:spacing w:val="-7"/>
                <w:sz w:val="22"/>
              </w:rPr>
              <w:t> </w:t>
            </w:r>
            <w:r>
              <w:rPr>
                <w:sz w:val="22"/>
              </w:rPr>
              <w:t>policies</w:t>
            </w:r>
            <w:r>
              <w:rPr>
                <w:spacing w:val="-3"/>
                <w:sz w:val="22"/>
              </w:rPr>
              <w:t> </w:t>
            </w:r>
            <w:r>
              <w:rPr>
                <w:sz w:val="22"/>
              </w:rPr>
              <w:t>for</w:t>
            </w:r>
            <w:r>
              <w:rPr>
                <w:spacing w:val="-4"/>
                <w:sz w:val="22"/>
              </w:rPr>
              <w:t> </w:t>
            </w:r>
            <w:r>
              <w:rPr>
                <w:sz w:val="22"/>
              </w:rPr>
              <w:t>Council,</w:t>
            </w:r>
            <w:r>
              <w:rPr>
                <w:spacing w:val="-5"/>
                <w:sz w:val="22"/>
              </w:rPr>
              <w:t> </w:t>
            </w:r>
            <w:r>
              <w:rPr>
                <w:sz w:val="22"/>
              </w:rPr>
              <w:t>and</w:t>
            </w:r>
            <w:r>
              <w:rPr>
                <w:spacing w:val="-7"/>
                <w:sz w:val="22"/>
              </w:rPr>
              <w:t> </w:t>
            </w:r>
            <w:r>
              <w:rPr>
                <w:sz w:val="22"/>
              </w:rPr>
              <w:t>the</w:t>
            </w:r>
            <w:r>
              <w:rPr>
                <w:spacing w:val="-6"/>
                <w:sz w:val="22"/>
              </w:rPr>
              <w:t> </w:t>
            </w:r>
            <w:r>
              <w:rPr>
                <w:sz w:val="22"/>
              </w:rPr>
              <w:t>community, in a way that improves quality of life, both now and in the future.</w:t>
            </w:r>
          </w:p>
          <w:p>
            <w:pPr>
              <w:pStyle w:val="TableParagraph"/>
              <w:ind w:left="112" w:right="177"/>
              <w:rPr>
                <w:sz w:val="22"/>
              </w:rPr>
            </w:pPr>
            <w:r>
              <w:rPr>
                <w:sz w:val="22"/>
              </w:rPr>
              <w:t>The</w:t>
            </w:r>
            <w:r>
              <w:rPr>
                <w:spacing w:val="-3"/>
                <w:sz w:val="22"/>
              </w:rPr>
              <w:t> </w:t>
            </w:r>
            <w:r>
              <w:rPr>
                <w:sz w:val="22"/>
              </w:rPr>
              <w:t>team</w:t>
            </w:r>
            <w:r>
              <w:rPr>
                <w:spacing w:val="-3"/>
                <w:sz w:val="22"/>
              </w:rPr>
              <w:t> </w:t>
            </w:r>
            <w:r>
              <w:rPr>
                <w:sz w:val="22"/>
              </w:rPr>
              <w:t>works</w:t>
            </w:r>
            <w:r>
              <w:rPr>
                <w:spacing w:val="-3"/>
                <w:sz w:val="22"/>
              </w:rPr>
              <w:t> </w:t>
            </w:r>
            <w:r>
              <w:rPr>
                <w:sz w:val="22"/>
              </w:rPr>
              <w:t>with</w:t>
            </w:r>
            <w:r>
              <w:rPr>
                <w:spacing w:val="-4"/>
                <w:sz w:val="22"/>
              </w:rPr>
              <w:t> </w:t>
            </w:r>
            <w:r>
              <w:rPr>
                <w:sz w:val="22"/>
              </w:rPr>
              <w:t>the</w:t>
            </w:r>
            <w:r>
              <w:rPr>
                <w:spacing w:val="-9"/>
                <w:sz w:val="22"/>
              </w:rPr>
              <w:t> </w:t>
            </w:r>
            <w:r>
              <w:rPr>
                <w:sz w:val="22"/>
              </w:rPr>
              <w:t>Council</w:t>
            </w:r>
            <w:r>
              <w:rPr>
                <w:spacing w:val="-3"/>
                <w:sz w:val="22"/>
              </w:rPr>
              <w:t> </w:t>
            </w:r>
            <w:r>
              <w:rPr>
                <w:sz w:val="22"/>
              </w:rPr>
              <w:t>and</w:t>
            </w:r>
            <w:r>
              <w:rPr>
                <w:spacing w:val="-3"/>
                <w:sz w:val="22"/>
              </w:rPr>
              <w:t> </w:t>
            </w:r>
            <w:r>
              <w:rPr>
                <w:sz w:val="22"/>
              </w:rPr>
              <w:t>the</w:t>
            </w:r>
            <w:r>
              <w:rPr>
                <w:spacing w:val="-5"/>
                <w:sz w:val="22"/>
              </w:rPr>
              <w:t> </w:t>
            </w:r>
            <w:r>
              <w:rPr>
                <w:sz w:val="22"/>
              </w:rPr>
              <w:t>community</w:t>
            </w:r>
            <w:r>
              <w:rPr>
                <w:spacing w:val="-3"/>
                <w:sz w:val="22"/>
              </w:rPr>
              <w:t> </w:t>
            </w:r>
            <w:r>
              <w:rPr>
                <w:sz w:val="22"/>
              </w:rPr>
              <w:t>to develop a Planning Scheme that reflects Maroondah’s vision to encourage, develop and manage urban design, landscapes, buildings, and land uses across </w:t>
            </w:r>
            <w:r>
              <w:rPr>
                <w:spacing w:val="-2"/>
                <w:sz w:val="22"/>
              </w:rPr>
              <w:t>Maroondah.</w:t>
            </w:r>
          </w:p>
          <w:p>
            <w:pPr>
              <w:pStyle w:val="TableParagraph"/>
              <w:ind w:left="112" w:right="97"/>
              <w:jc w:val="both"/>
              <w:rPr>
                <w:sz w:val="22"/>
              </w:rPr>
            </w:pPr>
            <w:r>
              <w:rPr>
                <w:sz w:val="22"/>
              </w:rPr>
              <w:t>The team also enables the integration of sustainability practice into Council and community activities and operations. Council’s holistic and strategic approach includes focusing on reducing Council’s environmental footprint; helping the community to adapt to a changing climate;</w:t>
            </w:r>
            <w:r>
              <w:rPr>
                <w:spacing w:val="13"/>
                <w:sz w:val="22"/>
              </w:rPr>
              <w:t> </w:t>
            </w:r>
            <w:r>
              <w:rPr>
                <w:sz w:val="22"/>
              </w:rPr>
              <w:t>enhancing</w:t>
            </w:r>
            <w:r>
              <w:rPr>
                <w:spacing w:val="13"/>
                <w:sz w:val="22"/>
              </w:rPr>
              <w:t> </w:t>
            </w:r>
            <w:r>
              <w:rPr>
                <w:sz w:val="22"/>
              </w:rPr>
              <w:t>the</w:t>
            </w:r>
            <w:r>
              <w:rPr>
                <w:spacing w:val="14"/>
                <w:sz w:val="22"/>
              </w:rPr>
              <w:t> </w:t>
            </w:r>
            <w:r>
              <w:rPr>
                <w:sz w:val="22"/>
              </w:rPr>
              <w:t>quality</w:t>
            </w:r>
            <w:r>
              <w:rPr>
                <w:spacing w:val="14"/>
                <w:sz w:val="22"/>
              </w:rPr>
              <w:t> </w:t>
            </w:r>
            <w:r>
              <w:rPr>
                <w:sz w:val="22"/>
              </w:rPr>
              <w:t>of</w:t>
            </w:r>
            <w:r>
              <w:rPr>
                <w:spacing w:val="13"/>
                <w:sz w:val="22"/>
              </w:rPr>
              <w:t> </w:t>
            </w:r>
            <w:r>
              <w:rPr>
                <w:sz w:val="22"/>
              </w:rPr>
              <w:t>the</w:t>
            </w:r>
            <w:r>
              <w:rPr>
                <w:spacing w:val="11"/>
                <w:sz w:val="22"/>
              </w:rPr>
              <w:t> </w:t>
            </w:r>
            <w:r>
              <w:rPr>
                <w:sz w:val="22"/>
              </w:rPr>
              <w:t>local</w:t>
            </w:r>
            <w:r>
              <w:rPr>
                <w:spacing w:val="14"/>
                <w:sz w:val="22"/>
              </w:rPr>
              <w:t> </w:t>
            </w:r>
            <w:r>
              <w:rPr>
                <w:spacing w:val="-2"/>
                <w:sz w:val="22"/>
              </w:rPr>
              <w:t>environment;</w:t>
            </w:r>
          </w:p>
          <w:p>
            <w:pPr>
              <w:pStyle w:val="TableParagraph"/>
              <w:spacing w:line="252" w:lineRule="exact"/>
              <w:ind w:left="112" w:right="98"/>
              <w:jc w:val="both"/>
              <w:rPr>
                <w:sz w:val="22"/>
              </w:rPr>
            </w:pPr>
            <w:r>
              <w:rPr>
                <w:sz w:val="22"/>
              </w:rPr>
              <w:t>and promoting sustainable transport and active travel </w:t>
            </w:r>
            <w:r>
              <w:rPr>
                <w:spacing w:val="-2"/>
                <w:sz w:val="22"/>
              </w:rPr>
              <w:t>options.</w:t>
            </w:r>
          </w:p>
        </w:tc>
        <w:tc>
          <w:tcPr>
            <w:tcW w:w="911" w:type="dxa"/>
            <w:tcBorders>
              <w:top w:val="single" w:sz="4" w:space="0" w:color="000000"/>
              <w:bottom w:val="single" w:sz="4" w:space="0" w:color="000000"/>
            </w:tcBorders>
          </w:tcPr>
          <w:p>
            <w:pPr>
              <w:pStyle w:val="TableParagraph"/>
              <w:spacing w:line="206" w:lineRule="exact"/>
              <w:ind w:left="112"/>
              <w:rPr>
                <w:sz w:val="18"/>
              </w:rPr>
            </w:pPr>
            <w:r>
              <w:rPr>
                <w:spacing w:val="-5"/>
                <w:sz w:val="18"/>
              </w:rPr>
              <w:t>Inc</w:t>
            </w:r>
          </w:p>
          <w:p>
            <w:pPr>
              <w:pStyle w:val="TableParagraph"/>
              <w:spacing w:before="105"/>
              <w:ind w:left="112"/>
              <w:rPr>
                <w:sz w:val="18"/>
              </w:rPr>
            </w:pPr>
            <w:r>
              <w:rPr>
                <w:spacing w:val="-5"/>
                <w:sz w:val="18"/>
              </w:rPr>
              <w:t>Exp</w:t>
            </w:r>
          </w:p>
        </w:tc>
        <w:tc>
          <w:tcPr>
            <w:tcW w:w="1307" w:type="dxa"/>
            <w:tcBorders>
              <w:top w:val="single" w:sz="4" w:space="0" w:color="000000"/>
              <w:bottom w:val="single" w:sz="4" w:space="0" w:color="000000"/>
            </w:tcBorders>
          </w:tcPr>
          <w:p>
            <w:pPr>
              <w:pStyle w:val="TableParagraph"/>
              <w:spacing w:line="206" w:lineRule="exact"/>
              <w:ind w:right="110"/>
              <w:jc w:val="right"/>
              <w:rPr>
                <w:sz w:val="18"/>
              </w:rPr>
            </w:pPr>
            <w:r>
              <w:rPr>
                <w:spacing w:val="-5"/>
                <w:sz w:val="18"/>
              </w:rPr>
              <w:t>885</w:t>
            </w:r>
          </w:p>
          <w:p>
            <w:pPr>
              <w:pStyle w:val="TableParagraph"/>
              <w:spacing w:before="105"/>
              <w:ind w:left="742"/>
              <w:rPr>
                <w:sz w:val="18"/>
              </w:rPr>
            </w:pPr>
            <w:r>
              <w:rPr>
                <w:spacing w:val="-2"/>
                <w:sz w:val="18"/>
              </w:rPr>
              <w:t>2,893</w:t>
            </w:r>
          </w:p>
        </w:tc>
        <w:tc>
          <w:tcPr>
            <w:tcW w:w="1282" w:type="dxa"/>
            <w:tcBorders>
              <w:top w:val="single" w:sz="4" w:space="0" w:color="000000"/>
              <w:bottom w:val="single" w:sz="4" w:space="0" w:color="000000"/>
            </w:tcBorders>
          </w:tcPr>
          <w:p>
            <w:pPr>
              <w:pStyle w:val="TableParagraph"/>
              <w:spacing w:line="206" w:lineRule="exact"/>
              <w:ind w:left="726"/>
              <w:rPr>
                <w:sz w:val="18"/>
              </w:rPr>
            </w:pPr>
            <w:r>
              <w:rPr>
                <w:spacing w:val="-2"/>
                <w:sz w:val="18"/>
              </w:rPr>
              <w:t>1,003</w:t>
            </w:r>
          </w:p>
          <w:p>
            <w:pPr>
              <w:pStyle w:val="TableParagraph"/>
              <w:spacing w:before="105"/>
              <w:ind w:left="726"/>
              <w:rPr>
                <w:sz w:val="18"/>
              </w:rPr>
            </w:pPr>
            <w:r>
              <w:rPr>
                <w:spacing w:val="-2"/>
                <w:sz w:val="18"/>
              </w:rPr>
              <w:t>3,489</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6"/>
              <w:jc w:val="right"/>
              <w:rPr>
                <w:sz w:val="18"/>
              </w:rPr>
            </w:pPr>
            <w:r>
              <w:rPr>
                <w:spacing w:val="-5"/>
                <w:sz w:val="18"/>
              </w:rPr>
              <w:t>812</w:t>
            </w:r>
          </w:p>
          <w:p>
            <w:pPr>
              <w:pStyle w:val="TableParagraph"/>
              <w:spacing w:before="105"/>
              <w:ind w:left="731"/>
              <w:rPr>
                <w:sz w:val="18"/>
              </w:rPr>
            </w:pPr>
            <w:r>
              <w:rPr>
                <w:spacing w:val="-2"/>
                <w:sz w:val="18"/>
              </w:rPr>
              <w:t>3,305</w:t>
            </w:r>
          </w:p>
        </w:tc>
      </w:tr>
      <w:tr>
        <w:trPr>
          <w:trHeight w:val="3933" w:hRule="atLeast"/>
        </w:trPr>
        <w:tc>
          <w:tcPr>
            <w:tcW w:w="5688" w:type="dxa"/>
            <w:vMerge/>
            <w:tcBorders>
              <w:top w:val="nil"/>
            </w:tcBorders>
          </w:tcPr>
          <w:p>
            <w:pPr>
              <w:rPr>
                <w:sz w:val="2"/>
                <w:szCs w:val="2"/>
              </w:rPr>
            </w:pPr>
          </w:p>
        </w:tc>
        <w:tc>
          <w:tcPr>
            <w:tcW w:w="911" w:type="dxa"/>
            <w:tcBorders>
              <w:top w:val="single" w:sz="4" w:space="0" w:color="000000"/>
              <w:bottom w:val="single" w:sz="4" w:space="0" w:color="000000"/>
            </w:tcBorders>
          </w:tcPr>
          <w:p>
            <w:pPr>
              <w:pStyle w:val="TableParagraph"/>
              <w:spacing w:line="206" w:lineRule="exact"/>
              <w:ind w:left="112"/>
              <w:rPr>
                <w:b/>
                <w:sz w:val="18"/>
              </w:rPr>
            </w:pPr>
            <w:r>
              <w:rPr>
                <w:b/>
                <w:spacing w:val="-2"/>
                <w:sz w:val="18"/>
              </w:rPr>
              <w:t>Surplus</w:t>
            </w:r>
          </w:p>
          <w:p>
            <w:pPr>
              <w:pStyle w:val="TableParagraph"/>
              <w:ind w:left="112" w:right="142"/>
              <w:rPr>
                <w:b/>
                <w:sz w:val="18"/>
              </w:rPr>
            </w:pPr>
            <w:r>
              <w:rPr>
                <w:b/>
                <w:spacing w:val="-10"/>
                <w:sz w:val="18"/>
              </w:rPr>
              <w:t>/</w:t>
            </w:r>
            <w:r>
              <w:rPr>
                <w:b/>
                <w:spacing w:val="-2"/>
                <w:sz w:val="18"/>
              </w:rPr>
              <w:t> (deficit)</w:t>
            </w:r>
          </w:p>
        </w:tc>
        <w:tc>
          <w:tcPr>
            <w:tcW w:w="1307" w:type="dxa"/>
            <w:tcBorders>
              <w:top w:val="single" w:sz="4" w:space="0" w:color="000000"/>
              <w:bottom w:val="single" w:sz="4" w:space="0" w:color="000000"/>
            </w:tcBorders>
          </w:tcPr>
          <w:p>
            <w:pPr>
              <w:pStyle w:val="TableParagraph"/>
              <w:spacing w:line="206" w:lineRule="exact"/>
              <w:ind w:left="622"/>
              <w:rPr>
                <w:b/>
                <w:sz w:val="18"/>
              </w:rPr>
            </w:pPr>
            <w:r>
              <w:rPr>
                <w:b/>
                <w:spacing w:val="-2"/>
                <w:sz w:val="18"/>
              </w:rPr>
              <w:t>(2,008)</w:t>
            </w:r>
          </w:p>
        </w:tc>
        <w:tc>
          <w:tcPr>
            <w:tcW w:w="1282" w:type="dxa"/>
            <w:tcBorders>
              <w:top w:val="single" w:sz="4" w:space="0" w:color="000000"/>
              <w:bottom w:val="single" w:sz="4" w:space="0" w:color="000000"/>
            </w:tcBorders>
          </w:tcPr>
          <w:p>
            <w:pPr>
              <w:pStyle w:val="TableParagraph"/>
              <w:spacing w:line="206" w:lineRule="exact"/>
              <w:ind w:left="606"/>
              <w:rPr>
                <w:b/>
                <w:sz w:val="18"/>
              </w:rPr>
            </w:pPr>
            <w:r>
              <w:rPr>
                <w:b/>
                <w:spacing w:val="-2"/>
                <w:sz w:val="18"/>
              </w:rPr>
              <w:t>(2,486)</w:t>
            </w:r>
          </w:p>
        </w:tc>
        <w:tc>
          <w:tcPr>
            <w:tcW w:w="1291"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left="611"/>
              <w:rPr>
                <w:b/>
                <w:sz w:val="18"/>
              </w:rPr>
            </w:pPr>
            <w:r>
              <w:rPr>
                <w:b/>
                <w:spacing w:val="-2"/>
                <w:sz w:val="18"/>
              </w:rPr>
              <w:t>(2,493)</w:t>
            </w:r>
          </w:p>
        </w:tc>
      </w:tr>
    </w:tbl>
    <w:p>
      <w:pPr>
        <w:pStyle w:val="BodyText"/>
        <w:spacing w:before="4"/>
        <w:rPr>
          <w:b/>
          <w:sz w:val="13"/>
        </w:rPr>
      </w:pPr>
    </w:p>
    <w:p>
      <w:pPr>
        <w:pStyle w:val="Heading5"/>
        <w:spacing w:before="93"/>
        <w:ind w:left="391"/>
      </w:pPr>
      <w:r>
        <w:rPr/>
        <w:t>Major</w:t>
      </w:r>
      <w:r>
        <w:rPr>
          <w:spacing w:val="-5"/>
        </w:rPr>
        <w:t> </w:t>
      </w:r>
      <w:r>
        <w:rPr/>
        <w:t>Initiatives</w:t>
      </w:r>
      <w:r>
        <w:rPr>
          <w:spacing w:val="-5"/>
        </w:rPr>
        <w:t> </w:t>
      </w:r>
      <w:r>
        <w:rPr/>
        <w:t>(Priority</w:t>
      </w:r>
      <w:r>
        <w:rPr>
          <w:spacing w:val="-6"/>
        </w:rPr>
        <w:t> </w:t>
      </w:r>
      <w:r>
        <w:rPr>
          <w:spacing w:val="-2"/>
        </w:rPr>
        <w:t>Actions)</w:t>
      </w:r>
    </w:p>
    <w:p>
      <w:pPr>
        <w:pStyle w:val="BodyText"/>
        <w:spacing w:before="10"/>
        <w:rPr>
          <w:b/>
          <w:sz w:val="21"/>
        </w:rPr>
      </w:pPr>
    </w:p>
    <w:p>
      <w:pPr>
        <w:pStyle w:val="ListParagraph"/>
        <w:numPr>
          <w:ilvl w:val="0"/>
          <w:numId w:val="13"/>
        </w:numPr>
        <w:tabs>
          <w:tab w:pos="960" w:val="left" w:leader="none"/>
        </w:tabs>
        <w:spacing w:line="240" w:lineRule="auto" w:before="0" w:after="0"/>
        <w:ind w:left="958" w:right="402" w:hanging="567"/>
        <w:jc w:val="both"/>
        <w:rPr>
          <w:sz w:val="22"/>
        </w:rPr>
      </w:pPr>
      <w:r>
        <w:rPr>
          <w:sz w:val="22"/>
        </w:rPr>
        <w:t>Develop</w:t>
      </w:r>
      <w:r>
        <w:rPr>
          <w:spacing w:val="-4"/>
          <w:sz w:val="22"/>
        </w:rPr>
        <w:t> </w:t>
      </w:r>
      <w:r>
        <w:rPr>
          <w:sz w:val="22"/>
        </w:rPr>
        <w:t>a</w:t>
      </w:r>
      <w:r>
        <w:rPr>
          <w:spacing w:val="-5"/>
          <w:sz w:val="22"/>
        </w:rPr>
        <w:t> </w:t>
      </w:r>
      <w:r>
        <w:rPr>
          <w:sz w:val="22"/>
        </w:rPr>
        <w:t>new</w:t>
      </w:r>
      <w:r>
        <w:rPr>
          <w:spacing w:val="-4"/>
          <w:sz w:val="22"/>
        </w:rPr>
        <w:t> </w:t>
      </w:r>
      <w:r>
        <w:rPr>
          <w:sz w:val="22"/>
        </w:rPr>
        <w:t>Croydon</w:t>
      </w:r>
      <w:r>
        <w:rPr>
          <w:spacing w:val="-8"/>
          <w:sz w:val="22"/>
        </w:rPr>
        <w:t> </w:t>
      </w:r>
      <w:r>
        <w:rPr>
          <w:sz w:val="22"/>
        </w:rPr>
        <w:t>Structure</w:t>
      </w:r>
      <w:r>
        <w:rPr>
          <w:spacing w:val="-8"/>
          <w:sz w:val="22"/>
        </w:rPr>
        <w:t> </w:t>
      </w:r>
      <w:r>
        <w:rPr>
          <w:sz w:val="22"/>
        </w:rPr>
        <w:t>Plan</w:t>
      </w:r>
      <w:r>
        <w:rPr>
          <w:spacing w:val="-5"/>
          <w:sz w:val="22"/>
        </w:rPr>
        <w:t> </w:t>
      </w:r>
      <w:r>
        <w:rPr>
          <w:sz w:val="22"/>
        </w:rPr>
        <w:t>and</w:t>
      </w:r>
      <w:r>
        <w:rPr>
          <w:spacing w:val="-4"/>
          <w:sz w:val="22"/>
        </w:rPr>
        <w:t> </w:t>
      </w:r>
      <w:r>
        <w:rPr>
          <w:sz w:val="22"/>
        </w:rPr>
        <w:t>prepare</w:t>
      </w:r>
      <w:r>
        <w:rPr>
          <w:spacing w:val="-4"/>
          <w:sz w:val="22"/>
        </w:rPr>
        <w:t> </w:t>
      </w:r>
      <w:r>
        <w:rPr>
          <w:sz w:val="22"/>
        </w:rPr>
        <w:t>a</w:t>
      </w:r>
      <w:r>
        <w:rPr>
          <w:spacing w:val="-6"/>
          <w:sz w:val="22"/>
        </w:rPr>
        <w:t> </w:t>
      </w:r>
      <w:r>
        <w:rPr>
          <w:sz w:val="22"/>
        </w:rPr>
        <w:t>planning</w:t>
      </w:r>
      <w:r>
        <w:rPr>
          <w:spacing w:val="-4"/>
          <w:sz w:val="22"/>
        </w:rPr>
        <w:t> </w:t>
      </w:r>
      <w:r>
        <w:rPr>
          <w:sz w:val="22"/>
        </w:rPr>
        <w:t>scheme</w:t>
      </w:r>
      <w:r>
        <w:rPr>
          <w:spacing w:val="-8"/>
          <w:sz w:val="22"/>
        </w:rPr>
        <w:t> </w:t>
      </w:r>
      <w:r>
        <w:rPr>
          <w:sz w:val="22"/>
        </w:rPr>
        <w:t>amendment</w:t>
      </w:r>
      <w:r>
        <w:rPr>
          <w:spacing w:val="-6"/>
          <w:sz w:val="22"/>
        </w:rPr>
        <w:t> </w:t>
      </w:r>
      <w:r>
        <w:rPr>
          <w:sz w:val="22"/>
        </w:rPr>
        <w:t>to</w:t>
      </w:r>
      <w:r>
        <w:rPr>
          <w:spacing w:val="-2"/>
          <w:sz w:val="22"/>
        </w:rPr>
        <w:t> </w:t>
      </w:r>
      <w:r>
        <w:rPr>
          <w:sz w:val="22"/>
        </w:rPr>
        <w:t>incorporate</w:t>
      </w:r>
      <w:r>
        <w:rPr>
          <w:spacing w:val="-5"/>
          <w:sz w:val="22"/>
        </w:rPr>
        <w:t> </w:t>
      </w:r>
      <w:r>
        <w:rPr>
          <w:sz w:val="22"/>
        </w:rPr>
        <w:t>the policy into the Maroondah Planning Scheme.</w:t>
      </w:r>
    </w:p>
    <w:p>
      <w:pPr>
        <w:pStyle w:val="ListParagraph"/>
        <w:numPr>
          <w:ilvl w:val="0"/>
          <w:numId w:val="13"/>
        </w:numPr>
        <w:tabs>
          <w:tab w:pos="960" w:val="left" w:leader="none"/>
        </w:tabs>
        <w:spacing w:line="240" w:lineRule="auto" w:before="0" w:after="0"/>
        <w:ind w:left="958" w:right="403" w:hanging="567"/>
        <w:jc w:val="both"/>
        <w:rPr>
          <w:sz w:val="22"/>
        </w:rPr>
      </w:pPr>
      <w:r>
        <w:rPr>
          <w:sz w:val="22"/>
        </w:rPr>
        <w:t>Work in partnership to implement the Greening the Greyfields project to facilitate a sustainable approach to urban redevelopment in identified residential precincts.</w:t>
      </w:r>
    </w:p>
    <w:p>
      <w:pPr>
        <w:pStyle w:val="ListParagraph"/>
        <w:numPr>
          <w:ilvl w:val="0"/>
          <w:numId w:val="13"/>
        </w:numPr>
        <w:tabs>
          <w:tab w:pos="960" w:val="left" w:leader="none"/>
        </w:tabs>
        <w:spacing w:line="240" w:lineRule="auto" w:before="1" w:after="0"/>
        <w:ind w:left="958" w:right="404" w:hanging="567"/>
        <w:jc w:val="both"/>
        <w:rPr>
          <w:sz w:val="22"/>
        </w:rPr>
      </w:pPr>
      <w:r>
        <w:rPr>
          <w:sz w:val="22"/>
        </w:rPr>
        <w:t>Undertake</w:t>
      </w:r>
      <w:r>
        <w:rPr>
          <w:spacing w:val="-16"/>
          <w:sz w:val="22"/>
        </w:rPr>
        <w:t> </w:t>
      </w:r>
      <w:r>
        <w:rPr>
          <w:sz w:val="22"/>
        </w:rPr>
        <w:t>the</w:t>
      </w:r>
      <w:r>
        <w:rPr>
          <w:spacing w:val="-15"/>
          <w:sz w:val="22"/>
        </w:rPr>
        <w:t> </w:t>
      </w:r>
      <w:r>
        <w:rPr>
          <w:sz w:val="22"/>
        </w:rPr>
        <w:t>staged</w:t>
      </w:r>
      <w:r>
        <w:rPr>
          <w:spacing w:val="-15"/>
          <w:sz w:val="22"/>
        </w:rPr>
        <w:t> </w:t>
      </w:r>
      <w:r>
        <w:rPr>
          <w:sz w:val="22"/>
        </w:rPr>
        <w:t>redevelopment</w:t>
      </w:r>
      <w:r>
        <w:rPr>
          <w:spacing w:val="-15"/>
          <w:sz w:val="22"/>
        </w:rPr>
        <w:t> </w:t>
      </w:r>
      <w:r>
        <w:rPr>
          <w:sz w:val="22"/>
        </w:rPr>
        <w:t>of</w:t>
      </w:r>
      <w:r>
        <w:rPr>
          <w:spacing w:val="-15"/>
          <w:sz w:val="22"/>
        </w:rPr>
        <w:t> </w:t>
      </w:r>
      <w:r>
        <w:rPr>
          <w:sz w:val="22"/>
        </w:rPr>
        <w:t>the</w:t>
      </w:r>
      <w:r>
        <w:rPr>
          <w:spacing w:val="-14"/>
          <w:sz w:val="22"/>
        </w:rPr>
        <w:t> </w:t>
      </w:r>
      <w:r>
        <w:rPr>
          <w:sz w:val="22"/>
        </w:rPr>
        <w:t>Croydon</w:t>
      </w:r>
      <w:r>
        <w:rPr>
          <w:spacing w:val="-14"/>
          <w:sz w:val="22"/>
        </w:rPr>
        <w:t> </w:t>
      </w:r>
      <w:r>
        <w:rPr>
          <w:sz w:val="22"/>
        </w:rPr>
        <w:t>Community</w:t>
      </w:r>
      <w:r>
        <w:rPr>
          <w:spacing w:val="-16"/>
          <w:sz w:val="22"/>
        </w:rPr>
        <w:t> </w:t>
      </w:r>
      <w:r>
        <w:rPr>
          <w:sz w:val="22"/>
        </w:rPr>
        <w:t>Wellbeing</w:t>
      </w:r>
      <w:r>
        <w:rPr>
          <w:spacing w:val="-14"/>
          <w:sz w:val="22"/>
        </w:rPr>
        <w:t> </w:t>
      </w:r>
      <w:r>
        <w:rPr>
          <w:sz w:val="22"/>
        </w:rPr>
        <w:t>Precinct</w:t>
      </w:r>
      <w:r>
        <w:rPr>
          <w:spacing w:val="-16"/>
          <w:sz w:val="22"/>
        </w:rPr>
        <w:t> </w:t>
      </w:r>
      <w:r>
        <w:rPr>
          <w:sz w:val="22"/>
        </w:rPr>
        <w:t>(CCWP),</w:t>
      </w:r>
      <w:r>
        <w:rPr>
          <w:spacing w:val="-15"/>
          <w:sz w:val="22"/>
        </w:rPr>
        <w:t> </w:t>
      </w:r>
      <w:r>
        <w:rPr>
          <w:sz w:val="22"/>
        </w:rPr>
        <w:t>including the design and construction of the CCWP Hub A and open space enhancements.</w:t>
      </w:r>
    </w:p>
    <w:p>
      <w:pPr>
        <w:pStyle w:val="ListParagraph"/>
        <w:numPr>
          <w:ilvl w:val="0"/>
          <w:numId w:val="13"/>
        </w:numPr>
        <w:tabs>
          <w:tab w:pos="960" w:val="left" w:leader="none"/>
        </w:tabs>
        <w:spacing w:line="240" w:lineRule="auto" w:before="0" w:after="0"/>
        <w:ind w:left="958" w:right="400" w:hanging="567"/>
        <w:jc w:val="both"/>
        <w:rPr>
          <w:sz w:val="22"/>
        </w:rPr>
      </w:pPr>
      <w:r>
        <w:rPr>
          <w:sz w:val="22"/>
        </w:rPr>
        <w:t>Undertake</w:t>
      </w:r>
      <w:r>
        <w:rPr>
          <w:spacing w:val="-14"/>
          <w:sz w:val="22"/>
        </w:rPr>
        <w:t> </w:t>
      </w:r>
      <w:r>
        <w:rPr>
          <w:sz w:val="22"/>
        </w:rPr>
        <w:t>flood</w:t>
      </w:r>
      <w:r>
        <w:rPr>
          <w:spacing w:val="-12"/>
          <w:sz w:val="22"/>
        </w:rPr>
        <w:t> </w:t>
      </w:r>
      <w:r>
        <w:rPr>
          <w:sz w:val="22"/>
        </w:rPr>
        <w:t>mitigation</w:t>
      </w:r>
      <w:r>
        <w:rPr>
          <w:spacing w:val="-13"/>
          <w:sz w:val="22"/>
        </w:rPr>
        <w:t> </w:t>
      </w:r>
      <w:r>
        <w:rPr>
          <w:sz w:val="22"/>
        </w:rPr>
        <w:t>works</w:t>
      </w:r>
      <w:r>
        <w:rPr>
          <w:spacing w:val="-12"/>
          <w:sz w:val="22"/>
        </w:rPr>
        <w:t> </w:t>
      </w:r>
      <w:r>
        <w:rPr>
          <w:sz w:val="22"/>
        </w:rPr>
        <w:t>in</w:t>
      </w:r>
      <w:r>
        <w:rPr>
          <w:spacing w:val="-13"/>
          <w:sz w:val="22"/>
        </w:rPr>
        <w:t> </w:t>
      </w:r>
      <w:r>
        <w:rPr>
          <w:sz w:val="22"/>
        </w:rPr>
        <w:t>New</w:t>
      </w:r>
      <w:r>
        <w:rPr>
          <w:spacing w:val="-14"/>
          <w:sz w:val="22"/>
        </w:rPr>
        <w:t> </w:t>
      </w:r>
      <w:r>
        <w:rPr>
          <w:sz w:val="22"/>
        </w:rPr>
        <w:t>Street,</w:t>
      </w:r>
      <w:r>
        <w:rPr>
          <w:spacing w:val="-12"/>
          <w:sz w:val="22"/>
        </w:rPr>
        <w:t> </w:t>
      </w:r>
      <w:r>
        <w:rPr>
          <w:sz w:val="22"/>
        </w:rPr>
        <w:t>Ringwood,</w:t>
      </w:r>
      <w:r>
        <w:rPr>
          <w:spacing w:val="-9"/>
          <w:sz w:val="22"/>
        </w:rPr>
        <w:t> </w:t>
      </w:r>
      <w:r>
        <w:rPr>
          <w:sz w:val="22"/>
        </w:rPr>
        <w:t>Sherbrook</w:t>
      </w:r>
      <w:r>
        <w:rPr>
          <w:spacing w:val="-12"/>
          <w:sz w:val="22"/>
        </w:rPr>
        <w:t> </w:t>
      </w:r>
      <w:r>
        <w:rPr>
          <w:sz w:val="22"/>
        </w:rPr>
        <w:t>Avenue</w:t>
      </w:r>
      <w:r>
        <w:rPr>
          <w:spacing w:val="-12"/>
          <w:sz w:val="22"/>
        </w:rPr>
        <w:t> </w:t>
      </w:r>
      <w:r>
        <w:rPr>
          <w:sz w:val="22"/>
        </w:rPr>
        <w:t>catchment</w:t>
      </w:r>
      <w:r>
        <w:rPr>
          <w:spacing w:val="-9"/>
          <w:sz w:val="22"/>
        </w:rPr>
        <w:t> </w:t>
      </w:r>
      <w:r>
        <w:rPr>
          <w:sz w:val="22"/>
        </w:rPr>
        <w:t>in</w:t>
      </w:r>
      <w:r>
        <w:rPr>
          <w:spacing w:val="-12"/>
          <w:sz w:val="22"/>
        </w:rPr>
        <w:t> </w:t>
      </w:r>
      <w:r>
        <w:rPr>
          <w:sz w:val="22"/>
        </w:rPr>
        <w:t>Ringwood, and Scenic Avenue and Wingate Avenue catchments in Ringwood East; and work in partnership to develop flood mitigation solutions for central Croydon.</w:t>
      </w:r>
    </w:p>
    <w:p>
      <w:pPr>
        <w:pStyle w:val="ListParagraph"/>
        <w:numPr>
          <w:ilvl w:val="0"/>
          <w:numId w:val="13"/>
        </w:numPr>
        <w:tabs>
          <w:tab w:pos="960" w:val="left" w:leader="none"/>
        </w:tabs>
        <w:spacing w:line="240" w:lineRule="auto" w:before="0" w:after="0"/>
        <w:ind w:left="958" w:right="401" w:hanging="567"/>
        <w:jc w:val="both"/>
        <w:rPr>
          <w:sz w:val="22"/>
        </w:rPr>
      </w:pPr>
      <w:r>
        <w:rPr>
          <w:sz w:val="22"/>
        </w:rPr>
        <w:t>Work in partnership with the Victorian Government to implement the objectives of Victoria’s Housing Statement for the Ringwood Metropolitan Activity Centre.</w:t>
      </w:r>
    </w:p>
    <w:p>
      <w:pPr>
        <w:pStyle w:val="ListParagraph"/>
        <w:numPr>
          <w:ilvl w:val="0"/>
          <w:numId w:val="13"/>
        </w:numPr>
        <w:tabs>
          <w:tab w:pos="960" w:val="left" w:leader="none"/>
        </w:tabs>
        <w:spacing w:line="240" w:lineRule="auto" w:before="0" w:after="0"/>
        <w:ind w:left="958" w:right="401" w:hanging="567"/>
        <w:jc w:val="both"/>
        <w:rPr>
          <w:sz w:val="22"/>
        </w:rPr>
      </w:pPr>
      <w:r>
        <w:rPr>
          <w:sz w:val="22"/>
        </w:rPr>
        <w:t>Undertake enhancements in the Ringwood Metropolitan Activity Centre, including the Maroondah Highway Boulevard and Staley Gardens.</w:t>
      </w:r>
    </w:p>
    <w:p>
      <w:pPr>
        <w:pStyle w:val="ListParagraph"/>
        <w:numPr>
          <w:ilvl w:val="0"/>
          <w:numId w:val="13"/>
        </w:numPr>
        <w:tabs>
          <w:tab w:pos="960" w:val="left" w:leader="none"/>
        </w:tabs>
        <w:spacing w:line="240" w:lineRule="auto" w:before="3" w:after="0"/>
        <w:ind w:left="959" w:right="0" w:hanging="569"/>
        <w:jc w:val="both"/>
        <w:rPr>
          <w:sz w:val="22"/>
        </w:rPr>
      </w:pPr>
      <w:r>
        <w:rPr>
          <w:sz w:val="22"/>
        </w:rPr>
        <w:t>Undertake</w:t>
      </w:r>
      <w:r>
        <w:rPr>
          <w:spacing w:val="-6"/>
          <w:sz w:val="22"/>
        </w:rPr>
        <w:t> </w:t>
      </w:r>
      <w:r>
        <w:rPr>
          <w:sz w:val="22"/>
        </w:rPr>
        <w:t>a</w:t>
      </w:r>
      <w:r>
        <w:rPr>
          <w:spacing w:val="-5"/>
          <w:sz w:val="22"/>
        </w:rPr>
        <w:t> </w:t>
      </w:r>
      <w:r>
        <w:rPr>
          <w:sz w:val="22"/>
        </w:rPr>
        <w:t>review</w:t>
      </w:r>
      <w:r>
        <w:rPr>
          <w:spacing w:val="-4"/>
          <w:sz w:val="22"/>
        </w:rPr>
        <w:t> </w:t>
      </w:r>
      <w:r>
        <w:rPr>
          <w:sz w:val="22"/>
        </w:rPr>
        <w:t>of</w:t>
      </w:r>
      <w:r>
        <w:rPr>
          <w:spacing w:val="-2"/>
          <w:sz w:val="22"/>
        </w:rPr>
        <w:t> </w:t>
      </w:r>
      <w:r>
        <w:rPr>
          <w:sz w:val="22"/>
        </w:rPr>
        <w:t>the</w:t>
      </w:r>
      <w:r>
        <w:rPr>
          <w:spacing w:val="-3"/>
          <w:sz w:val="22"/>
        </w:rPr>
        <w:t> </w:t>
      </w:r>
      <w:r>
        <w:rPr>
          <w:sz w:val="22"/>
        </w:rPr>
        <w:t>Maroondah</w:t>
      </w:r>
      <w:r>
        <w:rPr>
          <w:spacing w:val="-2"/>
          <w:sz w:val="22"/>
        </w:rPr>
        <w:t> </w:t>
      </w:r>
      <w:r>
        <w:rPr>
          <w:sz w:val="22"/>
        </w:rPr>
        <w:t>Planning</w:t>
      </w:r>
      <w:r>
        <w:rPr>
          <w:spacing w:val="-2"/>
          <w:sz w:val="22"/>
        </w:rPr>
        <w:t> Scheme.</w:t>
      </w:r>
    </w:p>
    <w:p>
      <w:pPr>
        <w:spacing w:before="198"/>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spacing w:before="10"/>
        <w:rPr>
          <w:b/>
          <w:sz w:val="21"/>
        </w:rPr>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4"/>
        <w:gridCol w:w="1265"/>
        <w:gridCol w:w="3924"/>
        <w:gridCol w:w="4173"/>
      </w:tblGrid>
      <w:tr>
        <w:trPr>
          <w:trHeight w:val="510" w:hRule="atLeast"/>
        </w:trPr>
        <w:tc>
          <w:tcPr>
            <w:tcW w:w="1114" w:type="dxa"/>
            <w:tcBorders>
              <w:top w:val="single" w:sz="4" w:space="0" w:color="000000"/>
              <w:left w:val="single" w:sz="4" w:space="0" w:color="000000"/>
              <w:bottom w:val="single" w:sz="4" w:space="0" w:color="000000"/>
            </w:tcBorders>
            <w:shd w:val="clear" w:color="auto" w:fill="629CD1"/>
          </w:tcPr>
          <w:p>
            <w:pPr>
              <w:pStyle w:val="TableParagraph"/>
              <w:spacing w:before="129"/>
              <w:ind w:left="107"/>
              <w:rPr>
                <w:b/>
                <w:sz w:val="22"/>
              </w:rPr>
            </w:pPr>
            <w:r>
              <w:rPr>
                <w:b/>
                <w:spacing w:val="-2"/>
                <w:sz w:val="22"/>
              </w:rPr>
              <w:t>Service</w:t>
            </w:r>
          </w:p>
        </w:tc>
        <w:tc>
          <w:tcPr>
            <w:tcW w:w="1265" w:type="dxa"/>
            <w:tcBorders>
              <w:top w:val="single" w:sz="4" w:space="0" w:color="000000"/>
              <w:bottom w:val="single" w:sz="4" w:space="0" w:color="000000"/>
            </w:tcBorders>
            <w:shd w:val="clear" w:color="auto" w:fill="629CD1"/>
          </w:tcPr>
          <w:p>
            <w:pPr>
              <w:pStyle w:val="TableParagraph"/>
              <w:spacing w:before="129"/>
              <w:ind w:left="126"/>
              <w:rPr>
                <w:b/>
                <w:sz w:val="22"/>
              </w:rPr>
            </w:pPr>
            <w:r>
              <w:rPr>
                <w:b/>
                <w:spacing w:val="-2"/>
                <w:sz w:val="22"/>
              </w:rPr>
              <w:t>Indicator</w:t>
            </w:r>
          </w:p>
        </w:tc>
        <w:tc>
          <w:tcPr>
            <w:tcW w:w="3924" w:type="dxa"/>
            <w:tcBorders>
              <w:top w:val="single" w:sz="4" w:space="0" w:color="000000"/>
              <w:bottom w:val="single" w:sz="4" w:space="0" w:color="000000"/>
            </w:tcBorders>
            <w:shd w:val="clear" w:color="auto" w:fill="629CD1"/>
          </w:tcPr>
          <w:p>
            <w:pPr>
              <w:pStyle w:val="TableParagraph"/>
              <w:spacing w:before="129"/>
              <w:ind w:left="217"/>
              <w:rPr>
                <w:b/>
                <w:sz w:val="22"/>
              </w:rPr>
            </w:pPr>
            <w:r>
              <w:rPr>
                <w:b/>
                <w:sz w:val="22"/>
              </w:rPr>
              <w:t>Performance</w:t>
            </w:r>
            <w:r>
              <w:rPr>
                <w:b/>
                <w:spacing w:val="-8"/>
                <w:sz w:val="22"/>
              </w:rPr>
              <w:t> </w:t>
            </w:r>
            <w:r>
              <w:rPr>
                <w:b/>
                <w:spacing w:val="-2"/>
                <w:sz w:val="22"/>
              </w:rPr>
              <w:t>Measure</w:t>
            </w:r>
          </w:p>
        </w:tc>
        <w:tc>
          <w:tcPr>
            <w:tcW w:w="4173" w:type="dxa"/>
            <w:tcBorders>
              <w:top w:val="single" w:sz="4" w:space="0" w:color="000000"/>
              <w:bottom w:val="single" w:sz="4" w:space="0" w:color="000000"/>
              <w:right w:val="single" w:sz="4" w:space="0" w:color="000000"/>
            </w:tcBorders>
            <w:shd w:val="clear" w:color="auto" w:fill="629CD1"/>
          </w:tcPr>
          <w:p>
            <w:pPr>
              <w:pStyle w:val="TableParagraph"/>
              <w:spacing w:before="129"/>
              <w:ind w:left="176"/>
              <w:rPr>
                <w:b/>
                <w:sz w:val="22"/>
              </w:rPr>
            </w:pPr>
            <w:r>
              <w:rPr>
                <w:b/>
                <w:spacing w:val="-2"/>
                <w:sz w:val="22"/>
              </w:rPr>
              <w:t>Computation</w:t>
            </w:r>
          </w:p>
        </w:tc>
      </w:tr>
      <w:tr>
        <w:trPr>
          <w:trHeight w:val="256" w:hRule="atLeast"/>
        </w:trPr>
        <w:tc>
          <w:tcPr>
            <w:tcW w:w="1114" w:type="dxa"/>
            <w:tcBorders>
              <w:top w:val="single" w:sz="4" w:space="0" w:color="000000"/>
              <w:left w:val="single" w:sz="4" w:space="0" w:color="000000"/>
            </w:tcBorders>
          </w:tcPr>
          <w:p>
            <w:pPr>
              <w:pStyle w:val="TableParagraph"/>
              <w:spacing w:line="237" w:lineRule="exact"/>
              <w:ind w:left="107"/>
              <w:rPr>
                <w:sz w:val="22"/>
              </w:rPr>
            </w:pPr>
            <w:r>
              <w:rPr>
                <w:spacing w:val="-2"/>
                <w:sz w:val="22"/>
              </w:rPr>
              <w:t>Statutory</w:t>
            </w:r>
          </w:p>
        </w:tc>
        <w:tc>
          <w:tcPr>
            <w:tcW w:w="1265" w:type="dxa"/>
            <w:tcBorders>
              <w:top w:val="single" w:sz="4" w:space="0" w:color="000000"/>
            </w:tcBorders>
          </w:tcPr>
          <w:p>
            <w:pPr>
              <w:pStyle w:val="TableParagraph"/>
              <w:spacing w:line="237" w:lineRule="exact"/>
              <w:ind w:left="126"/>
              <w:rPr>
                <w:sz w:val="22"/>
              </w:rPr>
            </w:pPr>
            <w:r>
              <w:rPr>
                <w:spacing w:val="-2"/>
                <w:sz w:val="22"/>
              </w:rPr>
              <w:t>Service</w:t>
            </w:r>
          </w:p>
        </w:tc>
        <w:tc>
          <w:tcPr>
            <w:tcW w:w="3924" w:type="dxa"/>
            <w:tcBorders>
              <w:top w:val="single" w:sz="4" w:space="0" w:color="000000"/>
            </w:tcBorders>
          </w:tcPr>
          <w:p>
            <w:pPr>
              <w:pStyle w:val="TableParagraph"/>
              <w:spacing w:line="237" w:lineRule="exact"/>
              <w:ind w:left="217"/>
              <w:rPr>
                <w:sz w:val="22"/>
              </w:rPr>
            </w:pPr>
            <w:r>
              <w:rPr>
                <w:sz w:val="22"/>
              </w:rPr>
              <w:t>Planning</w:t>
            </w:r>
            <w:r>
              <w:rPr>
                <w:spacing w:val="-7"/>
                <w:sz w:val="22"/>
              </w:rPr>
              <w:t> </w:t>
            </w:r>
            <w:r>
              <w:rPr>
                <w:sz w:val="22"/>
              </w:rPr>
              <w:t>applications</w:t>
            </w:r>
            <w:r>
              <w:rPr>
                <w:spacing w:val="-6"/>
                <w:sz w:val="22"/>
              </w:rPr>
              <w:t> </w:t>
            </w:r>
            <w:r>
              <w:rPr>
                <w:sz w:val="22"/>
              </w:rPr>
              <w:t>decided</w:t>
            </w:r>
            <w:r>
              <w:rPr>
                <w:spacing w:val="-4"/>
                <w:sz w:val="22"/>
              </w:rPr>
              <w:t> </w:t>
            </w:r>
            <w:r>
              <w:rPr>
                <w:spacing w:val="-2"/>
                <w:sz w:val="22"/>
              </w:rPr>
              <w:t>within</w:t>
            </w:r>
          </w:p>
        </w:tc>
        <w:tc>
          <w:tcPr>
            <w:tcW w:w="4173" w:type="dxa"/>
            <w:tcBorders>
              <w:top w:val="single" w:sz="4" w:space="0" w:color="000000"/>
              <w:right w:val="single" w:sz="4" w:space="0" w:color="000000"/>
            </w:tcBorders>
          </w:tcPr>
          <w:p>
            <w:pPr>
              <w:pStyle w:val="TableParagraph"/>
              <w:spacing w:line="237" w:lineRule="exact"/>
              <w:ind w:left="176"/>
              <w:rPr>
                <w:sz w:val="22"/>
              </w:rPr>
            </w:pPr>
            <w:r>
              <w:rPr>
                <w:sz w:val="22"/>
              </w:rPr>
              <w:t>[Number</w:t>
            </w:r>
            <w:r>
              <w:rPr>
                <w:spacing w:val="-4"/>
                <w:sz w:val="22"/>
              </w:rPr>
              <w:t> </w:t>
            </w:r>
            <w:r>
              <w:rPr>
                <w:sz w:val="22"/>
              </w:rPr>
              <w:t>of</w:t>
            </w:r>
            <w:r>
              <w:rPr>
                <w:spacing w:val="-4"/>
                <w:sz w:val="22"/>
              </w:rPr>
              <w:t> </w:t>
            </w:r>
            <w:r>
              <w:rPr>
                <w:sz w:val="22"/>
              </w:rPr>
              <w:t>planning</w:t>
            </w:r>
            <w:r>
              <w:rPr>
                <w:spacing w:val="-1"/>
                <w:sz w:val="22"/>
              </w:rPr>
              <w:t> </w:t>
            </w:r>
            <w:r>
              <w:rPr>
                <w:spacing w:val="-2"/>
                <w:sz w:val="22"/>
              </w:rPr>
              <w:t>application</w:t>
            </w:r>
          </w:p>
        </w:tc>
      </w:tr>
      <w:tr>
        <w:trPr>
          <w:trHeight w:val="253" w:hRule="atLeast"/>
        </w:trPr>
        <w:tc>
          <w:tcPr>
            <w:tcW w:w="1114" w:type="dxa"/>
            <w:tcBorders>
              <w:left w:val="single" w:sz="4" w:space="0" w:color="000000"/>
            </w:tcBorders>
          </w:tcPr>
          <w:p>
            <w:pPr>
              <w:pStyle w:val="TableParagraph"/>
              <w:spacing w:line="233" w:lineRule="exact"/>
              <w:ind w:left="107"/>
              <w:rPr>
                <w:sz w:val="22"/>
              </w:rPr>
            </w:pPr>
            <w:r>
              <w:rPr>
                <w:spacing w:val="-2"/>
                <w:sz w:val="22"/>
              </w:rPr>
              <w:t>Planning</w:t>
            </w:r>
          </w:p>
        </w:tc>
        <w:tc>
          <w:tcPr>
            <w:tcW w:w="1265" w:type="dxa"/>
          </w:tcPr>
          <w:p>
            <w:pPr>
              <w:pStyle w:val="TableParagraph"/>
              <w:spacing w:line="233" w:lineRule="exact"/>
              <w:ind w:left="126"/>
              <w:rPr>
                <w:sz w:val="22"/>
              </w:rPr>
            </w:pPr>
            <w:r>
              <w:rPr>
                <w:spacing w:val="-2"/>
                <w:sz w:val="22"/>
              </w:rPr>
              <w:t>standard</w:t>
            </w:r>
          </w:p>
        </w:tc>
        <w:tc>
          <w:tcPr>
            <w:tcW w:w="3924" w:type="dxa"/>
          </w:tcPr>
          <w:p>
            <w:pPr>
              <w:pStyle w:val="TableParagraph"/>
              <w:spacing w:line="233" w:lineRule="exact"/>
              <w:ind w:left="217"/>
              <w:rPr>
                <w:sz w:val="22"/>
              </w:rPr>
            </w:pPr>
            <w:r>
              <w:rPr>
                <w:sz w:val="22"/>
              </w:rPr>
              <w:t>required</w:t>
            </w:r>
            <w:r>
              <w:rPr>
                <w:spacing w:val="-9"/>
                <w:sz w:val="22"/>
              </w:rPr>
              <w:t> </w:t>
            </w:r>
            <w:r>
              <w:rPr>
                <w:sz w:val="22"/>
              </w:rPr>
              <w:t>timeframes</w:t>
            </w:r>
            <w:r>
              <w:rPr>
                <w:spacing w:val="-6"/>
                <w:sz w:val="22"/>
              </w:rPr>
              <w:t> </w:t>
            </w:r>
            <w:r>
              <w:rPr>
                <w:sz w:val="22"/>
              </w:rPr>
              <w:t>(percentage</w:t>
            </w:r>
            <w:r>
              <w:rPr>
                <w:spacing w:val="-4"/>
                <w:sz w:val="22"/>
              </w:rPr>
              <w:t> </w:t>
            </w:r>
            <w:r>
              <w:rPr>
                <w:spacing w:val="-5"/>
                <w:sz w:val="22"/>
              </w:rPr>
              <w:t>of</w:t>
            </w:r>
          </w:p>
        </w:tc>
        <w:tc>
          <w:tcPr>
            <w:tcW w:w="4173" w:type="dxa"/>
            <w:tcBorders>
              <w:right w:val="single" w:sz="4" w:space="0" w:color="000000"/>
            </w:tcBorders>
          </w:tcPr>
          <w:p>
            <w:pPr>
              <w:pStyle w:val="TableParagraph"/>
              <w:spacing w:line="233" w:lineRule="exact"/>
              <w:ind w:left="176"/>
              <w:rPr>
                <w:sz w:val="22"/>
              </w:rPr>
            </w:pPr>
            <w:r>
              <w:rPr>
                <w:sz w:val="22"/>
              </w:rPr>
              <w:t>decisions</w:t>
            </w:r>
            <w:r>
              <w:rPr>
                <w:spacing w:val="-3"/>
                <w:sz w:val="22"/>
              </w:rPr>
              <w:t> </w:t>
            </w:r>
            <w:r>
              <w:rPr>
                <w:sz w:val="22"/>
              </w:rPr>
              <w:t>made</w:t>
            </w:r>
            <w:r>
              <w:rPr>
                <w:spacing w:val="-4"/>
                <w:sz w:val="22"/>
              </w:rPr>
              <w:t> </w:t>
            </w:r>
            <w:r>
              <w:rPr>
                <w:sz w:val="22"/>
              </w:rPr>
              <w:t>within</w:t>
            </w:r>
            <w:r>
              <w:rPr>
                <w:spacing w:val="-5"/>
                <w:sz w:val="22"/>
              </w:rPr>
              <w:t> </w:t>
            </w:r>
            <w:r>
              <w:rPr>
                <w:sz w:val="22"/>
              </w:rPr>
              <w:t>60</w:t>
            </w:r>
            <w:r>
              <w:rPr>
                <w:spacing w:val="-2"/>
                <w:sz w:val="22"/>
              </w:rPr>
              <w:t> </w:t>
            </w:r>
            <w:r>
              <w:rPr>
                <w:sz w:val="22"/>
              </w:rPr>
              <w:t>days</w:t>
            </w:r>
            <w:r>
              <w:rPr>
                <w:spacing w:val="-2"/>
                <w:sz w:val="22"/>
              </w:rPr>
              <w:t> </w:t>
            </w:r>
            <w:r>
              <w:rPr>
                <w:spacing w:val="-5"/>
                <w:sz w:val="22"/>
              </w:rPr>
              <w:t>for</w:t>
            </w:r>
          </w:p>
        </w:tc>
      </w:tr>
      <w:tr>
        <w:trPr>
          <w:trHeight w:val="251" w:hRule="atLeast"/>
        </w:trPr>
        <w:tc>
          <w:tcPr>
            <w:tcW w:w="1114" w:type="dxa"/>
            <w:tcBorders>
              <w:left w:val="single" w:sz="4" w:space="0" w:color="000000"/>
            </w:tcBorders>
          </w:tcPr>
          <w:p>
            <w:pPr>
              <w:pStyle w:val="TableParagraph"/>
              <w:rPr>
                <w:rFonts w:ascii="Times New Roman"/>
                <w:sz w:val="18"/>
              </w:rPr>
            </w:pPr>
          </w:p>
        </w:tc>
        <w:tc>
          <w:tcPr>
            <w:tcW w:w="1265" w:type="dxa"/>
          </w:tcPr>
          <w:p>
            <w:pPr>
              <w:pStyle w:val="TableParagraph"/>
              <w:rPr>
                <w:rFonts w:ascii="Times New Roman"/>
                <w:sz w:val="18"/>
              </w:rPr>
            </w:pPr>
          </w:p>
        </w:tc>
        <w:tc>
          <w:tcPr>
            <w:tcW w:w="3924" w:type="dxa"/>
          </w:tcPr>
          <w:p>
            <w:pPr>
              <w:pStyle w:val="TableParagraph"/>
              <w:spacing w:line="232" w:lineRule="exact"/>
              <w:ind w:left="217"/>
              <w:rPr>
                <w:sz w:val="22"/>
              </w:rPr>
            </w:pPr>
            <w:r>
              <w:rPr>
                <w:sz w:val="22"/>
              </w:rPr>
              <w:t>regular</w:t>
            </w:r>
            <w:r>
              <w:rPr>
                <w:spacing w:val="-3"/>
                <w:sz w:val="22"/>
              </w:rPr>
              <w:t> </w:t>
            </w:r>
            <w:r>
              <w:rPr>
                <w:sz w:val="22"/>
              </w:rPr>
              <w:t>and</w:t>
            </w:r>
            <w:r>
              <w:rPr>
                <w:spacing w:val="-4"/>
                <w:sz w:val="22"/>
              </w:rPr>
              <w:t> </w:t>
            </w:r>
            <w:r>
              <w:rPr>
                <w:sz w:val="22"/>
              </w:rPr>
              <w:t>VicSmart</w:t>
            </w:r>
            <w:r>
              <w:rPr>
                <w:spacing w:val="-3"/>
                <w:sz w:val="22"/>
              </w:rPr>
              <w:t> </w:t>
            </w:r>
            <w:r>
              <w:rPr>
                <w:spacing w:val="-2"/>
                <w:sz w:val="22"/>
              </w:rPr>
              <w:t>planning</w:t>
            </w:r>
          </w:p>
        </w:tc>
        <w:tc>
          <w:tcPr>
            <w:tcW w:w="4173" w:type="dxa"/>
            <w:tcBorders>
              <w:right w:val="single" w:sz="4" w:space="0" w:color="000000"/>
            </w:tcBorders>
          </w:tcPr>
          <w:p>
            <w:pPr>
              <w:pStyle w:val="TableParagraph"/>
              <w:spacing w:line="232" w:lineRule="exact"/>
              <w:ind w:left="176"/>
              <w:rPr>
                <w:sz w:val="22"/>
              </w:rPr>
            </w:pPr>
            <w:r>
              <w:rPr>
                <w:sz w:val="22"/>
              </w:rPr>
              <w:t>regular</w:t>
            </w:r>
            <w:r>
              <w:rPr>
                <w:spacing w:val="-3"/>
                <w:sz w:val="22"/>
              </w:rPr>
              <w:t> </w:t>
            </w:r>
            <w:r>
              <w:rPr>
                <w:sz w:val="22"/>
              </w:rPr>
              <w:t>permits</w:t>
            </w:r>
            <w:r>
              <w:rPr>
                <w:spacing w:val="-3"/>
                <w:sz w:val="22"/>
              </w:rPr>
              <w:t> </w:t>
            </w:r>
            <w:r>
              <w:rPr>
                <w:sz w:val="22"/>
              </w:rPr>
              <w:t>and</w:t>
            </w:r>
            <w:r>
              <w:rPr>
                <w:spacing w:val="-3"/>
                <w:sz w:val="22"/>
              </w:rPr>
              <w:t> </w:t>
            </w:r>
            <w:r>
              <w:rPr>
                <w:sz w:val="22"/>
              </w:rPr>
              <w:t>10</w:t>
            </w:r>
            <w:r>
              <w:rPr>
                <w:spacing w:val="-2"/>
                <w:sz w:val="22"/>
              </w:rPr>
              <w:t> </w:t>
            </w:r>
            <w:r>
              <w:rPr>
                <w:sz w:val="22"/>
              </w:rPr>
              <w:t>days</w:t>
            </w:r>
            <w:r>
              <w:rPr>
                <w:spacing w:val="-3"/>
                <w:sz w:val="22"/>
              </w:rPr>
              <w:t> </w:t>
            </w:r>
            <w:r>
              <w:rPr>
                <w:spacing w:val="-5"/>
                <w:sz w:val="22"/>
              </w:rPr>
              <w:t>for</w:t>
            </w:r>
          </w:p>
        </w:tc>
      </w:tr>
      <w:tr>
        <w:trPr>
          <w:trHeight w:val="253" w:hRule="atLeast"/>
        </w:trPr>
        <w:tc>
          <w:tcPr>
            <w:tcW w:w="1114" w:type="dxa"/>
            <w:tcBorders>
              <w:left w:val="single" w:sz="4" w:space="0" w:color="000000"/>
            </w:tcBorders>
          </w:tcPr>
          <w:p>
            <w:pPr>
              <w:pStyle w:val="TableParagraph"/>
              <w:rPr>
                <w:rFonts w:ascii="Times New Roman"/>
                <w:sz w:val="18"/>
              </w:rPr>
            </w:pPr>
          </w:p>
        </w:tc>
        <w:tc>
          <w:tcPr>
            <w:tcW w:w="1265" w:type="dxa"/>
          </w:tcPr>
          <w:p>
            <w:pPr>
              <w:pStyle w:val="TableParagraph"/>
              <w:rPr>
                <w:rFonts w:ascii="Times New Roman"/>
                <w:sz w:val="18"/>
              </w:rPr>
            </w:pPr>
          </w:p>
        </w:tc>
        <w:tc>
          <w:tcPr>
            <w:tcW w:w="3924" w:type="dxa"/>
          </w:tcPr>
          <w:p>
            <w:pPr>
              <w:pStyle w:val="TableParagraph"/>
              <w:spacing w:line="233" w:lineRule="exact"/>
              <w:ind w:left="217"/>
              <w:rPr>
                <w:sz w:val="22"/>
              </w:rPr>
            </w:pPr>
            <w:r>
              <w:rPr>
                <w:sz w:val="22"/>
              </w:rPr>
              <w:t>application</w:t>
            </w:r>
            <w:r>
              <w:rPr>
                <w:spacing w:val="-7"/>
                <w:sz w:val="22"/>
              </w:rPr>
              <w:t> </w:t>
            </w:r>
            <w:r>
              <w:rPr>
                <w:sz w:val="22"/>
              </w:rPr>
              <w:t>decisions</w:t>
            </w:r>
            <w:r>
              <w:rPr>
                <w:spacing w:val="-5"/>
                <w:sz w:val="22"/>
              </w:rPr>
              <w:t> </w:t>
            </w:r>
            <w:r>
              <w:rPr>
                <w:sz w:val="22"/>
              </w:rPr>
              <w:t>made</w:t>
            </w:r>
            <w:r>
              <w:rPr>
                <w:spacing w:val="-4"/>
                <w:sz w:val="22"/>
              </w:rPr>
              <w:t> </w:t>
            </w:r>
            <w:r>
              <w:rPr>
                <w:spacing w:val="-2"/>
                <w:sz w:val="22"/>
              </w:rPr>
              <w:t>within</w:t>
            </w:r>
          </w:p>
        </w:tc>
        <w:tc>
          <w:tcPr>
            <w:tcW w:w="4173" w:type="dxa"/>
            <w:tcBorders>
              <w:right w:val="single" w:sz="4" w:space="0" w:color="000000"/>
            </w:tcBorders>
          </w:tcPr>
          <w:p>
            <w:pPr>
              <w:pStyle w:val="TableParagraph"/>
              <w:spacing w:line="233" w:lineRule="exact"/>
              <w:ind w:left="176"/>
              <w:rPr>
                <w:sz w:val="22"/>
              </w:rPr>
            </w:pPr>
            <w:r>
              <w:rPr>
                <w:sz w:val="22"/>
              </w:rPr>
              <w:t>VicSmart</w:t>
            </w:r>
            <w:r>
              <w:rPr>
                <w:spacing w:val="-5"/>
                <w:sz w:val="22"/>
              </w:rPr>
              <w:t> </w:t>
            </w:r>
            <w:r>
              <w:rPr>
                <w:sz w:val="22"/>
              </w:rPr>
              <w:t>permits</w:t>
            </w:r>
            <w:r>
              <w:rPr>
                <w:spacing w:val="-4"/>
                <w:sz w:val="22"/>
              </w:rPr>
              <w:t> </w:t>
            </w:r>
            <w:r>
              <w:rPr>
                <w:sz w:val="22"/>
              </w:rPr>
              <w:t>/</w:t>
            </w:r>
            <w:r>
              <w:rPr>
                <w:spacing w:val="-2"/>
                <w:sz w:val="22"/>
              </w:rPr>
              <w:t> </w:t>
            </w:r>
            <w:r>
              <w:rPr>
                <w:sz w:val="22"/>
              </w:rPr>
              <w:t>Number</w:t>
            </w:r>
            <w:r>
              <w:rPr>
                <w:spacing w:val="-1"/>
                <w:sz w:val="22"/>
              </w:rPr>
              <w:t> </w:t>
            </w:r>
            <w:r>
              <w:rPr>
                <w:sz w:val="22"/>
              </w:rPr>
              <w:t>of</w:t>
            </w:r>
            <w:r>
              <w:rPr>
                <w:spacing w:val="-2"/>
                <w:sz w:val="22"/>
              </w:rPr>
              <w:t> planning</w:t>
            </w:r>
          </w:p>
        </w:tc>
      </w:tr>
      <w:tr>
        <w:trPr>
          <w:trHeight w:val="249" w:hRule="atLeast"/>
        </w:trPr>
        <w:tc>
          <w:tcPr>
            <w:tcW w:w="1114" w:type="dxa"/>
            <w:tcBorders>
              <w:left w:val="single" w:sz="4" w:space="0" w:color="000000"/>
              <w:bottom w:val="single" w:sz="4" w:space="0" w:color="000000"/>
            </w:tcBorders>
          </w:tcPr>
          <w:p>
            <w:pPr>
              <w:pStyle w:val="TableParagraph"/>
              <w:rPr>
                <w:rFonts w:ascii="Times New Roman"/>
                <w:sz w:val="18"/>
              </w:rPr>
            </w:pPr>
          </w:p>
        </w:tc>
        <w:tc>
          <w:tcPr>
            <w:tcW w:w="1265" w:type="dxa"/>
            <w:tcBorders>
              <w:bottom w:val="single" w:sz="4" w:space="0" w:color="000000"/>
            </w:tcBorders>
          </w:tcPr>
          <w:p>
            <w:pPr>
              <w:pStyle w:val="TableParagraph"/>
              <w:rPr>
                <w:rFonts w:ascii="Times New Roman"/>
                <w:sz w:val="18"/>
              </w:rPr>
            </w:pPr>
          </w:p>
        </w:tc>
        <w:tc>
          <w:tcPr>
            <w:tcW w:w="3924" w:type="dxa"/>
            <w:tcBorders>
              <w:bottom w:val="single" w:sz="4" w:space="0" w:color="000000"/>
            </w:tcBorders>
          </w:tcPr>
          <w:p>
            <w:pPr>
              <w:pStyle w:val="TableParagraph"/>
              <w:spacing w:line="229" w:lineRule="exact"/>
              <w:ind w:left="217"/>
              <w:rPr>
                <w:sz w:val="22"/>
              </w:rPr>
            </w:pPr>
            <w:r>
              <w:rPr>
                <w:sz w:val="22"/>
              </w:rPr>
              <w:t>legislated</w:t>
            </w:r>
            <w:r>
              <w:rPr>
                <w:spacing w:val="-6"/>
                <w:sz w:val="22"/>
              </w:rPr>
              <w:t> </w:t>
            </w:r>
            <w:r>
              <w:rPr>
                <w:spacing w:val="-2"/>
                <w:sz w:val="22"/>
              </w:rPr>
              <w:t>timeframes)</w:t>
            </w:r>
          </w:p>
        </w:tc>
        <w:tc>
          <w:tcPr>
            <w:tcW w:w="4173" w:type="dxa"/>
            <w:tcBorders>
              <w:bottom w:val="single" w:sz="4" w:space="0" w:color="000000"/>
              <w:right w:val="single" w:sz="4" w:space="0" w:color="000000"/>
            </w:tcBorders>
          </w:tcPr>
          <w:p>
            <w:pPr>
              <w:pStyle w:val="TableParagraph"/>
              <w:spacing w:line="229" w:lineRule="exact"/>
              <w:ind w:left="176"/>
              <w:rPr>
                <w:sz w:val="22"/>
              </w:rPr>
            </w:pPr>
            <w:r>
              <w:rPr>
                <w:sz w:val="22"/>
              </w:rPr>
              <w:t>application</w:t>
            </w:r>
            <w:r>
              <w:rPr>
                <w:spacing w:val="-4"/>
                <w:sz w:val="22"/>
              </w:rPr>
              <w:t> </w:t>
            </w:r>
            <w:r>
              <w:rPr>
                <w:sz w:val="22"/>
              </w:rPr>
              <w:t>decisions</w:t>
            </w:r>
            <w:r>
              <w:rPr>
                <w:spacing w:val="-5"/>
                <w:sz w:val="22"/>
              </w:rPr>
              <w:t> </w:t>
            </w:r>
            <w:r>
              <w:rPr>
                <w:sz w:val="22"/>
              </w:rPr>
              <w:t>made]</w:t>
            </w:r>
            <w:r>
              <w:rPr>
                <w:spacing w:val="-3"/>
                <w:sz w:val="22"/>
              </w:rPr>
              <w:t> </w:t>
            </w:r>
            <w:r>
              <w:rPr>
                <w:spacing w:val="-4"/>
                <w:sz w:val="22"/>
              </w:rPr>
              <w:t>x100</w:t>
            </w:r>
          </w:p>
        </w:tc>
      </w:tr>
    </w:tbl>
    <w:p>
      <w:pPr>
        <w:spacing w:after="0" w:line="229" w:lineRule="exact"/>
        <w:rPr>
          <w:sz w:val="22"/>
        </w:rPr>
        <w:sectPr>
          <w:pgSz w:w="11910" w:h="16840"/>
          <w:pgMar w:header="0" w:footer="426" w:top="380" w:bottom="620" w:left="460" w:right="160"/>
        </w:sectPr>
      </w:pPr>
    </w:p>
    <w:p>
      <w:pPr>
        <w:pStyle w:val="Heading2"/>
        <w:numPr>
          <w:ilvl w:val="1"/>
          <w:numId w:val="11"/>
        </w:numPr>
        <w:tabs>
          <w:tab w:pos="861" w:val="left" w:leader="none"/>
        </w:tabs>
        <w:spacing w:line="240" w:lineRule="auto" w:before="70" w:after="0"/>
        <w:ind w:left="860" w:right="0" w:hanging="470"/>
        <w:jc w:val="left"/>
      </w:pPr>
      <w:r>
        <w:rPr>
          <w:color w:val="4966AC"/>
        </w:rPr>
        <w:t>Outcome</w:t>
      </w:r>
      <w:r>
        <w:rPr>
          <w:color w:val="4966AC"/>
          <w:spacing w:val="-6"/>
        </w:rPr>
        <w:t> </w:t>
      </w:r>
      <w:r>
        <w:rPr>
          <w:color w:val="4966AC"/>
        </w:rPr>
        <w:t>Area</w:t>
      </w:r>
      <w:r>
        <w:rPr>
          <w:color w:val="4966AC"/>
          <w:spacing w:val="-5"/>
        </w:rPr>
        <w:t> </w:t>
      </w:r>
      <w:r>
        <w:rPr>
          <w:color w:val="4966AC"/>
        </w:rPr>
        <w:t>(Strategic</w:t>
      </w:r>
      <w:r>
        <w:rPr>
          <w:color w:val="4966AC"/>
          <w:spacing w:val="-5"/>
        </w:rPr>
        <w:t> </w:t>
      </w:r>
      <w:r>
        <w:rPr>
          <w:color w:val="4966AC"/>
        </w:rPr>
        <w:t>Objective)</w:t>
      </w:r>
      <w:r>
        <w:rPr>
          <w:color w:val="4966AC"/>
          <w:spacing w:val="-2"/>
        </w:rPr>
        <w:t> </w:t>
      </w:r>
      <w:r>
        <w:rPr>
          <w:color w:val="4966AC"/>
        </w:rPr>
        <w:t>7:</w:t>
      </w:r>
      <w:r>
        <w:rPr>
          <w:color w:val="4966AC"/>
          <w:spacing w:val="-3"/>
        </w:rPr>
        <w:t> </w:t>
      </w:r>
      <w:r>
        <w:rPr>
          <w:color w:val="4966AC"/>
        </w:rPr>
        <w:t>An</w:t>
      </w:r>
      <w:r>
        <w:rPr>
          <w:color w:val="4966AC"/>
          <w:spacing w:val="-3"/>
        </w:rPr>
        <w:t> </w:t>
      </w:r>
      <w:r>
        <w:rPr>
          <w:color w:val="4966AC"/>
        </w:rPr>
        <w:t>inclusive</w:t>
      </w:r>
      <w:r>
        <w:rPr>
          <w:color w:val="4966AC"/>
          <w:spacing w:val="-1"/>
        </w:rPr>
        <w:t> </w:t>
      </w:r>
      <w:r>
        <w:rPr>
          <w:color w:val="4966AC"/>
        </w:rPr>
        <w:t>and</w:t>
      </w:r>
      <w:r>
        <w:rPr>
          <w:color w:val="4966AC"/>
          <w:spacing w:val="-6"/>
        </w:rPr>
        <w:t> </w:t>
      </w:r>
      <w:r>
        <w:rPr>
          <w:color w:val="4966AC"/>
        </w:rPr>
        <w:t>diverse</w:t>
      </w:r>
      <w:r>
        <w:rPr>
          <w:color w:val="4966AC"/>
          <w:spacing w:val="-5"/>
        </w:rPr>
        <w:t> </w:t>
      </w:r>
      <w:r>
        <w:rPr>
          <w:color w:val="4966AC"/>
          <w:spacing w:val="-2"/>
        </w:rPr>
        <w:t>community</w:t>
      </w:r>
    </w:p>
    <w:p>
      <w:pPr>
        <w:pStyle w:val="BodyText"/>
        <w:spacing w:before="8" w:after="1"/>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74"/>
        <w:gridCol w:w="886"/>
        <w:gridCol w:w="1257"/>
        <w:gridCol w:w="1257"/>
        <w:gridCol w:w="1256"/>
      </w:tblGrid>
      <w:tr>
        <w:trPr>
          <w:trHeight w:val="878" w:hRule="atLeast"/>
        </w:trPr>
        <w:tc>
          <w:tcPr>
            <w:tcW w:w="5974" w:type="dxa"/>
            <w:tcBorders>
              <w:bottom w:val="nil"/>
              <w:right w:val="nil"/>
            </w:tcBorders>
            <w:shd w:val="clear" w:color="auto" w:fill="5B9AD4"/>
          </w:tcPr>
          <w:p>
            <w:pPr>
              <w:pStyle w:val="TableParagraph"/>
              <w:spacing w:before="1"/>
              <w:rPr>
                <w:b/>
                <w:sz w:val="27"/>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886" w:type="dxa"/>
            <w:tcBorders>
              <w:left w:val="nil"/>
              <w:bottom w:val="nil"/>
              <w:right w:val="nil"/>
            </w:tcBorders>
            <w:shd w:val="clear" w:color="auto" w:fill="5B9AD4"/>
          </w:tcPr>
          <w:p>
            <w:pPr>
              <w:pStyle w:val="TableParagraph"/>
              <w:rPr>
                <w:rFonts w:ascii="Times New Roman"/>
                <w:sz w:val="20"/>
              </w:rPr>
            </w:pPr>
          </w:p>
        </w:tc>
        <w:tc>
          <w:tcPr>
            <w:tcW w:w="1257" w:type="dxa"/>
            <w:tcBorders>
              <w:left w:val="nil"/>
              <w:bottom w:val="nil"/>
              <w:right w:val="nil"/>
            </w:tcBorders>
            <w:shd w:val="clear" w:color="auto" w:fill="5B9AD4"/>
          </w:tcPr>
          <w:p>
            <w:pPr>
              <w:pStyle w:val="TableParagraph"/>
              <w:spacing w:before="14"/>
              <w:ind w:left="99" w:right="91"/>
              <w:jc w:val="center"/>
              <w:rPr>
                <w:b/>
                <w:sz w:val="22"/>
              </w:rPr>
            </w:pPr>
            <w:r>
              <w:rPr>
                <w:b/>
                <w:color w:val="FFFFFF"/>
                <w:spacing w:val="-2"/>
                <w:sz w:val="22"/>
              </w:rPr>
              <w:t>2022/2023</w:t>
            </w:r>
          </w:p>
          <w:p>
            <w:pPr>
              <w:pStyle w:val="TableParagraph"/>
              <w:spacing w:before="45"/>
              <w:ind w:left="97" w:right="93"/>
              <w:jc w:val="center"/>
              <w:rPr>
                <w:b/>
                <w:sz w:val="22"/>
              </w:rPr>
            </w:pPr>
            <w:r>
              <w:rPr>
                <w:b/>
                <w:color w:val="FFFFFF"/>
                <w:spacing w:val="-2"/>
                <w:sz w:val="22"/>
              </w:rPr>
              <w:t>Actual</w:t>
            </w:r>
          </w:p>
          <w:p>
            <w:pPr>
              <w:pStyle w:val="TableParagraph"/>
              <w:spacing w:line="246" w:lineRule="exact" w:before="47"/>
              <w:ind w:left="96" w:right="93"/>
              <w:jc w:val="center"/>
              <w:rPr>
                <w:b/>
                <w:sz w:val="22"/>
              </w:rPr>
            </w:pPr>
            <w:r>
              <w:rPr>
                <w:b/>
                <w:color w:val="FFFFFF"/>
                <w:spacing w:val="-2"/>
                <w:sz w:val="22"/>
              </w:rPr>
              <w:t>$'000</w:t>
            </w:r>
          </w:p>
        </w:tc>
        <w:tc>
          <w:tcPr>
            <w:tcW w:w="1257" w:type="dxa"/>
            <w:tcBorders>
              <w:left w:val="nil"/>
              <w:bottom w:val="nil"/>
              <w:right w:val="nil"/>
            </w:tcBorders>
            <w:shd w:val="clear" w:color="auto" w:fill="5B9AD4"/>
          </w:tcPr>
          <w:p>
            <w:pPr>
              <w:pStyle w:val="TableParagraph"/>
              <w:spacing w:before="14"/>
              <w:ind w:left="97" w:right="93"/>
              <w:jc w:val="center"/>
              <w:rPr>
                <w:b/>
                <w:sz w:val="22"/>
              </w:rPr>
            </w:pPr>
            <w:r>
              <w:rPr>
                <w:b/>
                <w:color w:val="FFFFFF"/>
                <w:spacing w:val="-2"/>
                <w:sz w:val="22"/>
              </w:rPr>
              <w:t>2023/2024</w:t>
            </w:r>
          </w:p>
          <w:p>
            <w:pPr>
              <w:pStyle w:val="TableParagraph"/>
              <w:spacing w:before="45"/>
              <w:ind w:left="94" w:right="93"/>
              <w:jc w:val="center"/>
              <w:rPr>
                <w:b/>
                <w:sz w:val="22"/>
              </w:rPr>
            </w:pPr>
            <w:r>
              <w:rPr>
                <w:b/>
                <w:color w:val="FFFFFF"/>
                <w:spacing w:val="-2"/>
                <w:sz w:val="22"/>
              </w:rPr>
              <w:t>Forecast</w:t>
            </w:r>
          </w:p>
          <w:p>
            <w:pPr>
              <w:pStyle w:val="TableParagraph"/>
              <w:spacing w:line="246" w:lineRule="exact" w:before="47"/>
              <w:ind w:left="93" w:right="93"/>
              <w:jc w:val="center"/>
              <w:rPr>
                <w:b/>
                <w:sz w:val="22"/>
              </w:rPr>
            </w:pPr>
            <w:r>
              <w:rPr>
                <w:b/>
                <w:color w:val="FFFFFF"/>
                <w:spacing w:val="-2"/>
                <w:sz w:val="22"/>
              </w:rPr>
              <w:t>$'000</w:t>
            </w:r>
          </w:p>
        </w:tc>
        <w:tc>
          <w:tcPr>
            <w:tcW w:w="1256" w:type="dxa"/>
            <w:tcBorders>
              <w:left w:val="nil"/>
              <w:bottom w:val="nil"/>
            </w:tcBorders>
            <w:shd w:val="clear" w:color="auto" w:fill="5B9AD4"/>
          </w:tcPr>
          <w:p>
            <w:pPr>
              <w:pStyle w:val="TableParagraph"/>
              <w:spacing w:before="14"/>
              <w:ind w:left="97" w:right="91"/>
              <w:jc w:val="center"/>
              <w:rPr>
                <w:b/>
                <w:sz w:val="22"/>
              </w:rPr>
            </w:pPr>
            <w:r>
              <w:rPr>
                <w:b/>
                <w:color w:val="FFFFFF"/>
                <w:spacing w:val="-2"/>
                <w:sz w:val="22"/>
              </w:rPr>
              <w:t>2024/2025</w:t>
            </w:r>
          </w:p>
          <w:p>
            <w:pPr>
              <w:pStyle w:val="TableParagraph"/>
              <w:spacing w:before="45"/>
              <w:ind w:left="91" w:right="91"/>
              <w:jc w:val="center"/>
              <w:rPr>
                <w:b/>
                <w:sz w:val="22"/>
              </w:rPr>
            </w:pPr>
            <w:r>
              <w:rPr>
                <w:b/>
                <w:color w:val="FFFFFF"/>
                <w:spacing w:val="-2"/>
                <w:sz w:val="22"/>
              </w:rPr>
              <w:t>Budget</w:t>
            </w:r>
          </w:p>
          <w:p>
            <w:pPr>
              <w:pStyle w:val="TableParagraph"/>
              <w:spacing w:line="246" w:lineRule="exact" w:before="47"/>
              <w:ind w:left="93" w:right="91"/>
              <w:jc w:val="center"/>
              <w:rPr>
                <w:b/>
                <w:sz w:val="22"/>
              </w:rPr>
            </w:pPr>
            <w:r>
              <w:rPr>
                <w:b/>
                <w:color w:val="FFFFFF"/>
                <w:spacing w:val="-2"/>
                <w:sz w:val="22"/>
              </w:rPr>
              <w:t>$'000</w:t>
            </w:r>
          </w:p>
        </w:tc>
      </w:tr>
      <w:tr>
        <w:trPr>
          <w:trHeight w:val="278" w:hRule="atLeast"/>
        </w:trPr>
        <w:tc>
          <w:tcPr>
            <w:tcW w:w="10630" w:type="dxa"/>
            <w:gridSpan w:val="5"/>
            <w:tcBorders>
              <w:top w:val="nil"/>
            </w:tcBorders>
          </w:tcPr>
          <w:p>
            <w:pPr>
              <w:pStyle w:val="TableParagraph"/>
              <w:spacing w:line="246" w:lineRule="exact" w:before="12"/>
              <w:ind w:left="107"/>
              <w:rPr>
                <w:b/>
                <w:sz w:val="22"/>
              </w:rPr>
            </w:pPr>
            <w:r>
              <w:rPr>
                <w:b/>
                <w:color w:val="5B9AD4"/>
                <w:sz w:val="22"/>
              </w:rPr>
              <w:t>Aged</w:t>
            </w:r>
            <w:r>
              <w:rPr>
                <w:b/>
                <w:color w:val="5B9AD4"/>
                <w:spacing w:val="-4"/>
                <w:sz w:val="22"/>
              </w:rPr>
              <w:t> </w:t>
            </w:r>
            <w:r>
              <w:rPr>
                <w:b/>
                <w:color w:val="5B9AD4"/>
                <w:sz w:val="22"/>
              </w:rPr>
              <w:t>and</w:t>
            </w:r>
            <w:r>
              <w:rPr>
                <w:b/>
                <w:color w:val="5B9AD4"/>
                <w:spacing w:val="-7"/>
                <w:sz w:val="22"/>
              </w:rPr>
              <w:t> </w:t>
            </w:r>
            <w:r>
              <w:rPr>
                <w:b/>
                <w:color w:val="5B9AD4"/>
                <w:sz w:val="22"/>
              </w:rPr>
              <w:t>Disability</w:t>
            </w:r>
            <w:r>
              <w:rPr>
                <w:b/>
                <w:color w:val="5B9AD4"/>
                <w:spacing w:val="-5"/>
                <w:sz w:val="22"/>
              </w:rPr>
              <w:t> </w:t>
            </w:r>
            <w:r>
              <w:rPr>
                <w:b/>
                <w:color w:val="5B9AD4"/>
                <w:sz w:val="22"/>
              </w:rPr>
              <w:t>Services</w:t>
            </w:r>
            <w:r>
              <w:rPr>
                <w:b/>
                <w:color w:val="5B9AD4"/>
                <w:spacing w:val="-6"/>
                <w:sz w:val="22"/>
              </w:rPr>
              <w:t> </w:t>
            </w:r>
            <w:r>
              <w:rPr>
                <w:b/>
                <w:color w:val="5B9AD4"/>
                <w:sz w:val="22"/>
              </w:rPr>
              <w:t>(Community</w:t>
            </w:r>
            <w:r>
              <w:rPr>
                <w:b/>
                <w:color w:val="5B9AD4"/>
                <w:spacing w:val="-3"/>
                <w:sz w:val="22"/>
              </w:rPr>
              <w:t> </w:t>
            </w:r>
            <w:r>
              <w:rPr>
                <w:b/>
                <w:color w:val="5B9AD4"/>
                <w:spacing w:val="-2"/>
                <w:sz w:val="22"/>
              </w:rPr>
              <w:t>Services)</w:t>
            </w:r>
          </w:p>
        </w:tc>
      </w:tr>
      <w:tr>
        <w:trPr>
          <w:trHeight w:val="568" w:hRule="atLeast"/>
        </w:trPr>
        <w:tc>
          <w:tcPr>
            <w:tcW w:w="5974" w:type="dxa"/>
            <w:vMerge w:val="restart"/>
            <w:tcBorders>
              <w:right w:val="nil"/>
            </w:tcBorders>
          </w:tcPr>
          <w:p>
            <w:pPr>
              <w:pStyle w:val="TableParagraph"/>
              <w:ind w:left="107" w:right="118"/>
              <w:rPr>
                <w:sz w:val="22"/>
              </w:rPr>
            </w:pPr>
            <w:r>
              <w:rPr>
                <w:sz w:val="22"/>
              </w:rPr>
              <w:t>Council’s</w:t>
            </w:r>
            <w:r>
              <w:rPr>
                <w:spacing w:val="-4"/>
                <w:sz w:val="22"/>
              </w:rPr>
              <w:t> </w:t>
            </w:r>
            <w:r>
              <w:rPr>
                <w:sz w:val="22"/>
              </w:rPr>
              <w:t>Aged</w:t>
            </w:r>
            <w:r>
              <w:rPr>
                <w:spacing w:val="-4"/>
                <w:sz w:val="22"/>
              </w:rPr>
              <w:t> </w:t>
            </w:r>
            <w:r>
              <w:rPr>
                <w:sz w:val="22"/>
              </w:rPr>
              <w:t>and</w:t>
            </w:r>
            <w:r>
              <w:rPr>
                <w:spacing w:val="-4"/>
                <w:sz w:val="22"/>
              </w:rPr>
              <w:t> </w:t>
            </w:r>
            <w:r>
              <w:rPr>
                <w:sz w:val="22"/>
              </w:rPr>
              <w:t>Disability</w:t>
            </w:r>
            <w:r>
              <w:rPr>
                <w:spacing w:val="-4"/>
                <w:sz w:val="22"/>
              </w:rPr>
              <w:t> </w:t>
            </w:r>
            <w:r>
              <w:rPr>
                <w:sz w:val="22"/>
              </w:rPr>
              <w:t>Services</w:t>
            </w:r>
            <w:r>
              <w:rPr>
                <w:spacing w:val="-4"/>
                <w:sz w:val="22"/>
              </w:rPr>
              <w:t> </w:t>
            </w:r>
            <w:r>
              <w:rPr>
                <w:sz w:val="22"/>
              </w:rPr>
              <w:t>enable</w:t>
            </w:r>
            <w:r>
              <w:rPr>
                <w:spacing w:val="-6"/>
                <w:sz w:val="22"/>
              </w:rPr>
              <w:t> </w:t>
            </w:r>
            <w:r>
              <w:rPr>
                <w:sz w:val="22"/>
              </w:rPr>
              <w:t>older</w:t>
            </w:r>
            <w:r>
              <w:rPr>
                <w:spacing w:val="-3"/>
                <w:sz w:val="22"/>
              </w:rPr>
              <w:t> </w:t>
            </w:r>
            <w:r>
              <w:rPr>
                <w:sz w:val="22"/>
              </w:rPr>
              <w:t>people with support needs and people with a disability and their carers to remain independent and active through</w:t>
            </w:r>
            <w:r>
              <w:rPr>
                <w:spacing w:val="40"/>
                <w:sz w:val="22"/>
              </w:rPr>
              <w:t> </w:t>
            </w:r>
            <w:r>
              <w:rPr>
                <w:sz w:val="22"/>
              </w:rPr>
              <w:t>advocacy, information, advice, referrals, and provision of support services.</w:t>
            </w:r>
          </w:p>
          <w:p>
            <w:pPr>
              <w:pStyle w:val="TableParagraph"/>
              <w:spacing w:before="2"/>
              <w:ind w:left="107"/>
              <w:rPr>
                <w:sz w:val="22"/>
              </w:rPr>
            </w:pPr>
            <w:r>
              <w:rPr>
                <w:sz w:val="22"/>
              </w:rPr>
              <w:t>Services</w:t>
            </w:r>
            <w:r>
              <w:rPr>
                <w:spacing w:val="-7"/>
                <w:sz w:val="22"/>
              </w:rPr>
              <w:t> </w:t>
            </w:r>
            <w:r>
              <w:rPr>
                <w:sz w:val="22"/>
              </w:rPr>
              <w:t>provided</w:t>
            </w:r>
            <w:r>
              <w:rPr>
                <w:spacing w:val="-6"/>
                <w:sz w:val="22"/>
              </w:rPr>
              <w:t> </w:t>
            </w:r>
            <w:r>
              <w:rPr>
                <w:sz w:val="22"/>
              </w:rPr>
              <w:t>include</w:t>
            </w:r>
            <w:r>
              <w:rPr>
                <w:spacing w:val="-6"/>
                <w:sz w:val="22"/>
              </w:rPr>
              <w:t> </w:t>
            </w:r>
            <w:r>
              <w:rPr>
                <w:sz w:val="22"/>
              </w:rPr>
              <w:t>Commonwealth</w:t>
            </w:r>
            <w:r>
              <w:rPr>
                <w:spacing w:val="-6"/>
                <w:sz w:val="22"/>
              </w:rPr>
              <w:t> </w:t>
            </w:r>
            <w:r>
              <w:rPr>
                <w:sz w:val="22"/>
              </w:rPr>
              <w:t>Home</w:t>
            </w:r>
            <w:r>
              <w:rPr>
                <w:spacing w:val="-8"/>
                <w:sz w:val="22"/>
              </w:rPr>
              <w:t> </w:t>
            </w:r>
            <w:r>
              <w:rPr>
                <w:sz w:val="22"/>
              </w:rPr>
              <w:t>Support Program services which comprise of assessment, occupational therapy, delivered meals and</w:t>
            </w:r>
            <w:r>
              <w:rPr>
                <w:spacing w:val="-1"/>
                <w:sz w:val="22"/>
              </w:rPr>
              <w:t> </w:t>
            </w:r>
            <w:r>
              <w:rPr>
                <w:sz w:val="22"/>
              </w:rPr>
              <w:t>social</w:t>
            </w:r>
            <w:r>
              <w:rPr>
                <w:spacing w:val="-1"/>
                <w:sz w:val="22"/>
              </w:rPr>
              <w:t> </w:t>
            </w:r>
            <w:r>
              <w:rPr>
                <w:sz w:val="22"/>
              </w:rPr>
              <w:t>support programs for eligible residents.</w:t>
            </w:r>
          </w:p>
          <w:p>
            <w:pPr>
              <w:pStyle w:val="TableParagraph"/>
              <w:ind w:left="107" w:right="109"/>
              <w:rPr>
                <w:sz w:val="22"/>
              </w:rPr>
            </w:pPr>
            <w:r>
              <w:rPr>
                <w:sz w:val="22"/>
              </w:rPr>
              <w:t>The team also provides support to people through the National Disability Insurance Scheme (NDIS) through the provision of information, navigation and advocacy, carer groups, Maroondah Police Seniors Register and specialised support service for vulnerable people, along</w:t>
            </w:r>
          </w:p>
          <w:p>
            <w:pPr>
              <w:pStyle w:val="TableParagraph"/>
              <w:spacing w:line="254" w:lineRule="exact"/>
              <w:ind w:left="107"/>
              <w:rPr>
                <w:sz w:val="22"/>
              </w:rPr>
            </w:pPr>
            <w:r>
              <w:rPr>
                <w:sz w:val="22"/>
              </w:rPr>
              <w:t>with</w:t>
            </w:r>
            <w:r>
              <w:rPr>
                <w:spacing w:val="-5"/>
                <w:sz w:val="22"/>
              </w:rPr>
              <w:t> </w:t>
            </w:r>
            <w:r>
              <w:rPr>
                <w:sz w:val="22"/>
              </w:rPr>
              <w:t>positive</w:t>
            </w:r>
            <w:r>
              <w:rPr>
                <w:spacing w:val="-5"/>
                <w:sz w:val="22"/>
              </w:rPr>
              <w:t> </w:t>
            </w:r>
            <w:r>
              <w:rPr>
                <w:sz w:val="22"/>
              </w:rPr>
              <w:t>ageing</w:t>
            </w:r>
            <w:r>
              <w:rPr>
                <w:spacing w:val="-3"/>
                <w:sz w:val="22"/>
              </w:rPr>
              <w:t> </w:t>
            </w:r>
            <w:r>
              <w:rPr>
                <w:sz w:val="22"/>
              </w:rPr>
              <w:t>activities</w:t>
            </w:r>
            <w:r>
              <w:rPr>
                <w:spacing w:val="-3"/>
                <w:sz w:val="22"/>
              </w:rPr>
              <w:t> </w:t>
            </w:r>
            <w:r>
              <w:rPr>
                <w:sz w:val="22"/>
              </w:rPr>
              <w:t>and</w:t>
            </w:r>
            <w:r>
              <w:rPr>
                <w:spacing w:val="-3"/>
                <w:sz w:val="22"/>
              </w:rPr>
              <w:t> </w:t>
            </w:r>
            <w:r>
              <w:rPr>
                <w:sz w:val="22"/>
              </w:rPr>
              <w:t>support</w:t>
            </w:r>
            <w:r>
              <w:rPr>
                <w:spacing w:val="-5"/>
                <w:sz w:val="22"/>
              </w:rPr>
              <w:t> </w:t>
            </w:r>
            <w:r>
              <w:rPr>
                <w:sz w:val="22"/>
              </w:rPr>
              <w:t>to</w:t>
            </w:r>
            <w:r>
              <w:rPr>
                <w:spacing w:val="-4"/>
                <w:sz w:val="22"/>
              </w:rPr>
              <w:t> </w:t>
            </w:r>
            <w:r>
              <w:rPr>
                <w:sz w:val="22"/>
              </w:rPr>
              <w:t>older</w:t>
            </w:r>
            <w:r>
              <w:rPr>
                <w:spacing w:val="-3"/>
                <w:sz w:val="22"/>
              </w:rPr>
              <w:t> </w:t>
            </w:r>
            <w:r>
              <w:rPr>
                <w:sz w:val="22"/>
              </w:rPr>
              <w:t>person’s </w:t>
            </w:r>
            <w:r>
              <w:rPr>
                <w:spacing w:val="-2"/>
                <w:sz w:val="22"/>
              </w:rPr>
              <w:t>groups.</w:t>
            </w:r>
          </w:p>
        </w:tc>
        <w:tc>
          <w:tcPr>
            <w:tcW w:w="886" w:type="dxa"/>
            <w:tcBorders>
              <w:left w:val="nil"/>
              <w:right w:val="nil"/>
            </w:tcBorders>
          </w:tcPr>
          <w:p>
            <w:pPr>
              <w:pStyle w:val="TableParagraph"/>
              <w:spacing w:line="206" w:lineRule="exact"/>
              <w:ind w:left="109"/>
              <w:rPr>
                <w:sz w:val="18"/>
              </w:rPr>
            </w:pPr>
            <w:r>
              <w:rPr>
                <w:spacing w:val="-5"/>
                <w:sz w:val="18"/>
              </w:rPr>
              <w:t>Inc</w:t>
            </w:r>
          </w:p>
          <w:p>
            <w:pPr>
              <w:pStyle w:val="TableParagraph"/>
              <w:spacing w:before="83"/>
              <w:ind w:left="109"/>
              <w:rPr>
                <w:sz w:val="18"/>
              </w:rPr>
            </w:pPr>
            <w:r>
              <w:rPr>
                <w:spacing w:val="-5"/>
                <w:sz w:val="18"/>
              </w:rPr>
              <w:t>Exp</w:t>
            </w:r>
          </w:p>
        </w:tc>
        <w:tc>
          <w:tcPr>
            <w:tcW w:w="1257" w:type="dxa"/>
            <w:tcBorders>
              <w:left w:val="nil"/>
              <w:right w:val="nil"/>
            </w:tcBorders>
          </w:tcPr>
          <w:p>
            <w:pPr>
              <w:pStyle w:val="TableParagraph"/>
              <w:spacing w:line="206" w:lineRule="exact"/>
              <w:ind w:left="699"/>
              <w:rPr>
                <w:sz w:val="18"/>
              </w:rPr>
            </w:pPr>
            <w:r>
              <w:rPr>
                <w:spacing w:val="-2"/>
                <w:sz w:val="18"/>
              </w:rPr>
              <w:t>2,219</w:t>
            </w:r>
          </w:p>
          <w:p>
            <w:pPr>
              <w:pStyle w:val="TableParagraph"/>
              <w:spacing w:before="83"/>
              <w:ind w:left="699"/>
              <w:rPr>
                <w:sz w:val="18"/>
              </w:rPr>
            </w:pPr>
            <w:r>
              <w:rPr>
                <w:spacing w:val="-2"/>
                <w:sz w:val="18"/>
              </w:rPr>
              <w:t>3,045</w:t>
            </w:r>
          </w:p>
        </w:tc>
        <w:tc>
          <w:tcPr>
            <w:tcW w:w="1257" w:type="dxa"/>
            <w:tcBorders>
              <w:left w:val="nil"/>
              <w:right w:val="nil"/>
            </w:tcBorders>
          </w:tcPr>
          <w:p>
            <w:pPr>
              <w:pStyle w:val="TableParagraph"/>
              <w:spacing w:line="206" w:lineRule="exact"/>
              <w:ind w:left="698"/>
              <w:rPr>
                <w:sz w:val="18"/>
              </w:rPr>
            </w:pPr>
            <w:r>
              <w:rPr>
                <w:spacing w:val="-2"/>
                <w:sz w:val="18"/>
              </w:rPr>
              <w:t>2,330</w:t>
            </w:r>
          </w:p>
          <w:p>
            <w:pPr>
              <w:pStyle w:val="TableParagraph"/>
              <w:spacing w:before="83"/>
              <w:ind w:left="698"/>
              <w:rPr>
                <w:sz w:val="18"/>
              </w:rPr>
            </w:pPr>
            <w:r>
              <w:rPr>
                <w:spacing w:val="-2"/>
                <w:sz w:val="18"/>
              </w:rPr>
              <w:t>3,666</w:t>
            </w:r>
          </w:p>
        </w:tc>
        <w:tc>
          <w:tcPr>
            <w:tcW w:w="1256" w:type="dxa"/>
            <w:tcBorders>
              <w:left w:val="nil"/>
            </w:tcBorders>
            <w:shd w:val="clear" w:color="auto" w:fill="BCD6ED"/>
          </w:tcPr>
          <w:p>
            <w:pPr>
              <w:pStyle w:val="TableParagraph"/>
              <w:spacing w:line="206" w:lineRule="exact"/>
              <w:ind w:left="693"/>
              <w:rPr>
                <w:sz w:val="18"/>
              </w:rPr>
            </w:pPr>
            <w:r>
              <w:rPr>
                <w:spacing w:val="-2"/>
                <w:sz w:val="18"/>
              </w:rPr>
              <w:t>2,444</w:t>
            </w:r>
          </w:p>
          <w:p>
            <w:pPr>
              <w:pStyle w:val="TableParagraph"/>
              <w:spacing w:before="83"/>
              <w:ind w:left="693"/>
              <w:rPr>
                <w:sz w:val="18"/>
              </w:rPr>
            </w:pPr>
            <w:r>
              <w:rPr>
                <w:spacing w:val="-2"/>
                <w:sz w:val="18"/>
              </w:rPr>
              <w:t>3,621</w:t>
            </w:r>
          </w:p>
        </w:tc>
      </w:tr>
      <w:tr>
        <w:trPr>
          <w:trHeight w:val="3470" w:hRule="atLeast"/>
        </w:trPr>
        <w:tc>
          <w:tcPr>
            <w:tcW w:w="5974" w:type="dxa"/>
            <w:vMerge/>
            <w:tcBorders>
              <w:top w:val="nil"/>
              <w:right w:val="nil"/>
            </w:tcBorders>
          </w:tcPr>
          <w:p>
            <w:pPr>
              <w:rPr>
                <w:sz w:val="2"/>
                <w:szCs w:val="2"/>
              </w:rPr>
            </w:pPr>
          </w:p>
        </w:tc>
        <w:tc>
          <w:tcPr>
            <w:tcW w:w="886" w:type="dxa"/>
            <w:tcBorders>
              <w:left w:val="nil"/>
              <w:right w:val="nil"/>
            </w:tcBorders>
          </w:tcPr>
          <w:p>
            <w:pPr>
              <w:pStyle w:val="TableParagraph"/>
              <w:spacing w:line="206" w:lineRule="exact"/>
              <w:ind w:left="109"/>
              <w:rPr>
                <w:b/>
                <w:sz w:val="18"/>
              </w:rPr>
            </w:pPr>
            <w:r>
              <w:rPr>
                <w:b/>
                <w:spacing w:val="-2"/>
                <w:sz w:val="18"/>
              </w:rPr>
              <w:t>Surplus</w:t>
            </w:r>
          </w:p>
          <w:p>
            <w:pPr>
              <w:pStyle w:val="TableParagraph"/>
              <w:spacing w:before="2"/>
              <w:ind w:left="109" w:right="120"/>
              <w:rPr>
                <w:b/>
                <w:sz w:val="18"/>
              </w:rPr>
            </w:pPr>
            <w:r>
              <w:rPr>
                <w:b/>
                <w:spacing w:val="-10"/>
                <w:sz w:val="18"/>
              </w:rPr>
              <w:t>/</w:t>
            </w:r>
            <w:r>
              <w:rPr>
                <w:b/>
                <w:spacing w:val="-2"/>
                <w:sz w:val="18"/>
              </w:rPr>
              <w:t> (deficit)</w:t>
            </w:r>
          </w:p>
        </w:tc>
        <w:tc>
          <w:tcPr>
            <w:tcW w:w="1257" w:type="dxa"/>
            <w:tcBorders>
              <w:left w:val="nil"/>
              <w:right w:val="nil"/>
            </w:tcBorders>
          </w:tcPr>
          <w:p>
            <w:pPr>
              <w:pStyle w:val="TableParagraph"/>
              <w:spacing w:line="206" w:lineRule="exact"/>
              <w:ind w:right="101"/>
              <w:jc w:val="right"/>
              <w:rPr>
                <w:b/>
                <w:sz w:val="18"/>
              </w:rPr>
            </w:pPr>
            <w:r>
              <w:rPr>
                <w:b/>
                <w:spacing w:val="-2"/>
                <w:sz w:val="18"/>
              </w:rPr>
              <w:t>(826)</w:t>
            </w:r>
          </w:p>
        </w:tc>
        <w:tc>
          <w:tcPr>
            <w:tcW w:w="1257" w:type="dxa"/>
            <w:tcBorders>
              <w:left w:val="nil"/>
              <w:right w:val="nil"/>
            </w:tcBorders>
          </w:tcPr>
          <w:p>
            <w:pPr>
              <w:pStyle w:val="TableParagraph"/>
              <w:spacing w:line="206" w:lineRule="exact"/>
              <w:ind w:right="103"/>
              <w:jc w:val="right"/>
              <w:rPr>
                <w:b/>
                <w:sz w:val="18"/>
              </w:rPr>
            </w:pPr>
            <w:r>
              <w:rPr>
                <w:b/>
                <w:spacing w:val="-2"/>
                <w:sz w:val="18"/>
              </w:rPr>
              <w:t>(1,336)</w:t>
            </w:r>
          </w:p>
        </w:tc>
        <w:tc>
          <w:tcPr>
            <w:tcW w:w="1256" w:type="dxa"/>
            <w:tcBorders>
              <w:left w:val="nil"/>
            </w:tcBorders>
            <w:shd w:val="clear" w:color="auto" w:fill="BCD6ED"/>
          </w:tcPr>
          <w:p>
            <w:pPr>
              <w:pStyle w:val="TableParagraph"/>
              <w:spacing w:line="206" w:lineRule="exact"/>
              <w:ind w:right="97"/>
              <w:jc w:val="right"/>
              <w:rPr>
                <w:b/>
                <w:sz w:val="18"/>
              </w:rPr>
            </w:pPr>
            <w:r>
              <w:rPr>
                <w:b/>
                <w:spacing w:val="-2"/>
                <w:sz w:val="18"/>
              </w:rPr>
              <w:t>(1,177)</w:t>
            </w:r>
          </w:p>
        </w:tc>
      </w:tr>
      <w:tr>
        <w:trPr>
          <w:trHeight w:val="274" w:hRule="atLeast"/>
        </w:trPr>
        <w:tc>
          <w:tcPr>
            <w:tcW w:w="10630" w:type="dxa"/>
            <w:gridSpan w:val="5"/>
          </w:tcPr>
          <w:p>
            <w:pPr>
              <w:pStyle w:val="TableParagraph"/>
              <w:spacing w:line="244" w:lineRule="exact" w:before="11"/>
              <w:ind w:left="107"/>
              <w:rPr>
                <w:b/>
                <w:sz w:val="22"/>
              </w:rPr>
            </w:pPr>
            <w:r>
              <w:rPr>
                <w:b/>
                <w:color w:val="5B9AD4"/>
                <w:sz w:val="22"/>
              </w:rPr>
              <w:t>Community</w:t>
            </w:r>
            <w:r>
              <w:rPr>
                <w:b/>
                <w:color w:val="5B9AD4"/>
                <w:spacing w:val="-5"/>
                <w:sz w:val="22"/>
              </w:rPr>
              <w:t> </w:t>
            </w:r>
            <w:r>
              <w:rPr>
                <w:b/>
                <w:color w:val="5B9AD4"/>
                <w:sz w:val="22"/>
              </w:rPr>
              <w:t>Wellbeing</w:t>
            </w:r>
            <w:r>
              <w:rPr>
                <w:b/>
                <w:color w:val="5B9AD4"/>
                <w:spacing w:val="-6"/>
                <w:sz w:val="22"/>
              </w:rPr>
              <w:t> </w:t>
            </w:r>
            <w:r>
              <w:rPr>
                <w:b/>
                <w:color w:val="5B9AD4"/>
                <w:sz w:val="22"/>
              </w:rPr>
              <w:t>(City</w:t>
            </w:r>
            <w:r>
              <w:rPr>
                <w:b/>
                <w:color w:val="5B9AD4"/>
                <w:spacing w:val="-4"/>
                <w:sz w:val="22"/>
              </w:rPr>
              <w:t> </w:t>
            </w:r>
            <w:r>
              <w:rPr>
                <w:b/>
                <w:color w:val="5B9AD4"/>
                <w:spacing w:val="-2"/>
                <w:sz w:val="22"/>
              </w:rPr>
              <w:t>Futures)</w:t>
            </w:r>
          </w:p>
        </w:tc>
      </w:tr>
      <w:tr>
        <w:trPr>
          <w:trHeight w:val="568" w:hRule="atLeast"/>
        </w:trPr>
        <w:tc>
          <w:tcPr>
            <w:tcW w:w="5974" w:type="dxa"/>
            <w:vMerge w:val="restart"/>
            <w:tcBorders>
              <w:right w:val="nil"/>
            </w:tcBorders>
          </w:tcPr>
          <w:p>
            <w:pPr>
              <w:pStyle w:val="TableParagraph"/>
              <w:spacing w:before="2"/>
              <w:ind w:left="107" w:right="109"/>
              <w:rPr>
                <w:sz w:val="22"/>
              </w:rPr>
            </w:pPr>
            <w:r>
              <w:rPr>
                <w:sz w:val="22"/>
              </w:rPr>
              <w:t>Community Wellbeing oversees Council's activities regarding</w:t>
            </w:r>
            <w:r>
              <w:rPr>
                <w:spacing w:val="-7"/>
                <w:sz w:val="22"/>
              </w:rPr>
              <w:t> </w:t>
            </w:r>
            <w:r>
              <w:rPr>
                <w:sz w:val="22"/>
              </w:rPr>
              <w:t>community,</w:t>
            </w:r>
            <w:r>
              <w:rPr>
                <w:spacing w:val="-6"/>
                <w:sz w:val="22"/>
              </w:rPr>
              <w:t> </w:t>
            </w:r>
            <w:r>
              <w:rPr>
                <w:sz w:val="22"/>
              </w:rPr>
              <w:t>development,</w:t>
            </w:r>
            <w:r>
              <w:rPr>
                <w:spacing w:val="-6"/>
                <w:sz w:val="22"/>
              </w:rPr>
              <w:t> </w:t>
            </w:r>
            <w:r>
              <w:rPr>
                <w:sz w:val="22"/>
              </w:rPr>
              <w:t>social</w:t>
            </w:r>
            <w:r>
              <w:rPr>
                <w:spacing w:val="-8"/>
                <w:sz w:val="22"/>
              </w:rPr>
              <w:t> </w:t>
            </w:r>
            <w:r>
              <w:rPr>
                <w:sz w:val="22"/>
              </w:rPr>
              <w:t>planning,</w:t>
            </w:r>
            <w:r>
              <w:rPr>
                <w:spacing w:val="-6"/>
                <w:sz w:val="22"/>
              </w:rPr>
              <w:t> </w:t>
            </w:r>
            <w:r>
              <w:rPr>
                <w:sz w:val="22"/>
              </w:rPr>
              <w:t>and the Croydon Community Wellbeing Precinct.</w:t>
            </w:r>
          </w:p>
          <w:p>
            <w:pPr>
              <w:pStyle w:val="TableParagraph"/>
              <w:ind w:left="107" w:right="109"/>
              <w:rPr>
                <w:sz w:val="22"/>
              </w:rPr>
            </w:pPr>
            <w:r>
              <w:rPr>
                <w:sz w:val="22"/>
              </w:rPr>
              <w:t>Community Wellbeing undertakes social research, advocacy, strategy and policy development and coordinates Council-wide activities that support the local community’s health and wellbeing, including residents with disabilities,</w:t>
            </w:r>
            <w:r>
              <w:rPr>
                <w:spacing w:val="-4"/>
                <w:sz w:val="22"/>
              </w:rPr>
              <w:t> </w:t>
            </w:r>
            <w:r>
              <w:rPr>
                <w:sz w:val="22"/>
              </w:rPr>
              <w:t>culturally</w:t>
            </w:r>
            <w:r>
              <w:rPr>
                <w:spacing w:val="-6"/>
                <w:sz w:val="22"/>
              </w:rPr>
              <w:t> </w:t>
            </w:r>
            <w:r>
              <w:rPr>
                <w:sz w:val="22"/>
              </w:rPr>
              <w:t>and</w:t>
            </w:r>
            <w:r>
              <w:rPr>
                <w:spacing w:val="-8"/>
                <w:sz w:val="22"/>
              </w:rPr>
              <w:t> </w:t>
            </w:r>
            <w:r>
              <w:rPr>
                <w:sz w:val="22"/>
              </w:rPr>
              <w:t>linguistically</w:t>
            </w:r>
            <w:r>
              <w:rPr>
                <w:spacing w:val="-6"/>
                <w:sz w:val="22"/>
              </w:rPr>
              <w:t> </w:t>
            </w:r>
            <w:r>
              <w:rPr>
                <w:sz w:val="22"/>
              </w:rPr>
              <w:t>diverse</w:t>
            </w:r>
            <w:r>
              <w:rPr>
                <w:spacing w:val="-8"/>
                <w:sz w:val="22"/>
              </w:rPr>
              <w:t> </w:t>
            </w:r>
            <w:r>
              <w:rPr>
                <w:sz w:val="22"/>
              </w:rPr>
              <w:t>communities and marginalised and disadvantaged communities.</w:t>
            </w:r>
          </w:p>
          <w:p>
            <w:pPr>
              <w:pStyle w:val="TableParagraph"/>
              <w:ind w:left="107"/>
              <w:rPr>
                <w:sz w:val="22"/>
              </w:rPr>
            </w:pPr>
            <w:r>
              <w:rPr>
                <w:sz w:val="22"/>
              </w:rPr>
              <w:t>The</w:t>
            </w:r>
            <w:r>
              <w:rPr>
                <w:spacing w:val="-5"/>
                <w:sz w:val="22"/>
              </w:rPr>
              <w:t> </w:t>
            </w:r>
            <w:r>
              <w:rPr>
                <w:sz w:val="22"/>
              </w:rPr>
              <w:t>team</w:t>
            </w:r>
            <w:r>
              <w:rPr>
                <w:spacing w:val="-5"/>
                <w:sz w:val="22"/>
              </w:rPr>
              <w:t> </w:t>
            </w:r>
            <w:r>
              <w:rPr>
                <w:sz w:val="22"/>
              </w:rPr>
              <w:t>supports</w:t>
            </w:r>
            <w:r>
              <w:rPr>
                <w:spacing w:val="-5"/>
                <w:sz w:val="22"/>
              </w:rPr>
              <w:t> </w:t>
            </w:r>
            <w:r>
              <w:rPr>
                <w:sz w:val="22"/>
              </w:rPr>
              <w:t>and</w:t>
            </w:r>
            <w:r>
              <w:rPr>
                <w:spacing w:val="-6"/>
                <w:sz w:val="22"/>
              </w:rPr>
              <w:t> </w:t>
            </w:r>
            <w:r>
              <w:rPr>
                <w:sz w:val="22"/>
              </w:rPr>
              <w:t>strengthens</w:t>
            </w:r>
            <w:r>
              <w:rPr>
                <w:spacing w:val="-3"/>
                <w:sz w:val="22"/>
              </w:rPr>
              <w:t> </w:t>
            </w:r>
            <w:r>
              <w:rPr>
                <w:sz w:val="22"/>
              </w:rPr>
              <w:t>community</w:t>
            </w:r>
            <w:r>
              <w:rPr>
                <w:spacing w:val="-7"/>
                <w:sz w:val="22"/>
              </w:rPr>
              <w:t> </w:t>
            </w:r>
            <w:r>
              <w:rPr>
                <w:sz w:val="22"/>
              </w:rPr>
              <w:t>health</w:t>
            </w:r>
            <w:r>
              <w:rPr>
                <w:spacing w:val="-4"/>
                <w:sz w:val="22"/>
              </w:rPr>
              <w:t> </w:t>
            </w:r>
            <w:r>
              <w:rPr>
                <w:sz w:val="22"/>
              </w:rPr>
              <w:t>and wellbeing through partnerships and initiatives that seek to identify and</w:t>
            </w:r>
            <w:r>
              <w:rPr>
                <w:spacing w:val="-3"/>
                <w:sz w:val="22"/>
              </w:rPr>
              <w:t> </w:t>
            </w:r>
            <w:r>
              <w:rPr>
                <w:sz w:val="22"/>
              </w:rPr>
              <w:t>respond</w:t>
            </w:r>
            <w:r>
              <w:rPr>
                <w:spacing w:val="-3"/>
                <w:sz w:val="22"/>
              </w:rPr>
              <w:t> </w:t>
            </w:r>
            <w:r>
              <w:rPr>
                <w:sz w:val="22"/>
              </w:rPr>
              <w:t>to</w:t>
            </w:r>
            <w:r>
              <w:rPr>
                <w:spacing w:val="-5"/>
                <w:sz w:val="22"/>
              </w:rPr>
              <w:t> </w:t>
            </w:r>
            <w:r>
              <w:rPr>
                <w:sz w:val="22"/>
              </w:rPr>
              <w:t>community</w:t>
            </w:r>
            <w:r>
              <w:rPr>
                <w:spacing w:val="-1"/>
                <w:sz w:val="22"/>
              </w:rPr>
              <w:t> </w:t>
            </w:r>
            <w:r>
              <w:rPr>
                <w:sz w:val="22"/>
              </w:rPr>
              <w:t>needs, with</w:t>
            </w:r>
            <w:r>
              <w:rPr>
                <w:spacing w:val="-5"/>
                <w:sz w:val="22"/>
              </w:rPr>
              <w:t> </w:t>
            </w:r>
            <w:r>
              <w:rPr>
                <w:sz w:val="22"/>
              </w:rPr>
              <w:t>a</w:t>
            </w:r>
            <w:r>
              <w:rPr>
                <w:spacing w:val="-4"/>
                <w:sz w:val="22"/>
              </w:rPr>
              <w:t> </w:t>
            </w:r>
            <w:r>
              <w:rPr>
                <w:sz w:val="22"/>
              </w:rPr>
              <w:t>particular focus on building the capacity of the community.</w:t>
            </w:r>
          </w:p>
          <w:p>
            <w:pPr>
              <w:pStyle w:val="TableParagraph"/>
              <w:ind w:left="107"/>
              <w:rPr>
                <w:sz w:val="22"/>
              </w:rPr>
            </w:pPr>
            <w:r>
              <w:rPr>
                <w:sz w:val="22"/>
              </w:rPr>
              <w:t>The Croydon Community Wellbeing Precinct project facilitates the planning, coordination and oversight of the operations and activities of the Croydon Community Wellbeing Precinct. It represents the interests of end user/service providers and works closely with several key stakeholders.</w:t>
            </w:r>
            <w:r>
              <w:rPr>
                <w:spacing w:val="-1"/>
                <w:sz w:val="22"/>
              </w:rPr>
              <w:t> </w:t>
            </w:r>
            <w:r>
              <w:rPr>
                <w:sz w:val="22"/>
              </w:rPr>
              <w:t>It</w:t>
            </w:r>
            <w:r>
              <w:rPr>
                <w:spacing w:val="-1"/>
                <w:sz w:val="22"/>
              </w:rPr>
              <w:t> </w:t>
            </w:r>
            <w:r>
              <w:rPr>
                <w:sz w:val="22"/>
              </w:rPr>
              <w:t>also</w:t>
            </w:r>
            <w:r>
              <w:rPr>
                <w:spacing w:val="-1"/>
                <w:sz w:val="22"/>
              </w:rPr>
              <w:t> </w:t>
            </w:r>
            <w:r>
              <w:rPr>
                <w:sz w:val="22"/>
              </w:rPr>
              <w:t>oversees stakeholder engagement to maximise</w:t>
            </w:r>
            <w:r>
              <w:rPr>
                <w:spacing w:val="-6"/>
                <w:sz w:val="22"/>
              </w:rPr>
              <w:t> </w:t>
            </w:r>
            <w:r>
              <w:rPr>
                <w:sz w:val="22"/>
              </w:rPr>
              <w:t>outcomes</w:t>
            </w:r>
            <w:r>
              <w:rPr>
                <w:spacing w:val="-5"/>
                <w:sz w:val="22"/>
              </w:rPr>
              <w:t> </w:t>
            </w:r>
            <w:r>
              <w:rPr>
                <w:sz w:val="22"/>
              </w:rPr>
              <w:t>and</w:t>
            </w:r>
            <w:r>
              <w:rPr>
                <w:spacing w:val="-6"/>
                <w:sz w:val="22"/>
              </w:rPr>
              <w:t> </w:t>
            </w:r>
            <w:r>
              <w:rPr>
                <w:sz w:val="22"/>
              </w:rPr>
              <w:t>advance</w:t>
            </w:r>
            <w:r>
              <w:rPr>
                <w:spacing w:val="-3"/>
                <w:sz w:val="22"/>
              </w:rPr>
              <w:t> </w:t>
            </w:r>
            <w:r>
              <w:rPr>
                <w:sz w:val="22"/>
              </w:rPr>
              <w:t>community-led</w:t>
            </w:r>
            <w:r>
              <w:rPr>
                <w:spacing w:val="-5"/>
                <w:sz w:val="22"/>
              </w:rPr>
              <w:t> </w:t>
            </w:r>
            <w:r>
              <w:rPr>
                <w:spacing w:val="-2"/>
                <w:sz w:val="22"/>
              </w:rPr>
              <w:t>visioning</w:t>
            </w:r>
          </w:p>
          <w:p>
            <w:pPr>
              <w:pStyle w:val="TableParagraph"/>
              <w:spacing w:line="232" w:lineRule="exact"/>
              <w:ind w:left="107"/>
              <w:rPr>
                <w:sz w:val="22"/>
              </w:rPr>
            </w:pPr>
            <w:r>
              <w:rPr>
                <w:sz w:val="22"/>
              </w:rPr>
              <w:t>and</w:t>
            </w:r>
            <w:r>
              <w:rPr>
                <w:spacing w:val="-2"/>
                <w:sz w:val="22"/>
              </w:rPr>
              <w:t> </w:t>
            </w:r>
            <w:r>
              <w:rPr>
                <w:sz w:val="22"/>
              </w:rPr>
              <w:t>participation</w:t>
            </w:r>
            <w:r>
              <w:rPr>
                <w:spacing w:val="-3"/>
                <w:sz w:val="22"/>
              </w:rPr>
              <w:t> </w:t>
            </w:r>
            <w:r>
              <w:rPr>
                <w:sz w:val="22"/>
              </w:rPr>
              <w:t>in</w:t>
            </w:r>
            <w:r>
              <w:rPr>
                <w:spacing w:val="-3"/>
                <w:sz w:val="22"/>
              </w:rPr>
              <w:t> </w:t>
            </w:r>
            <w:r>
              <w:rPr>
                <w:sz w:val="22"/>
              </w:rPr>
              <w:t>the</w:t>
            </w:r>
            <w:r>
              <w:rPr>
                <w:spacing w:val="-1"/>
                <w:sz w:val="22"/>
              </w:rPr>
              <w:t> </w:t>
            </w:r>
            <w:r>
              <w:rPr>
                <w:spacing w:val="-2"/>
                <w:sz w:val="22"/>
              </w:rPr>
              <w:t>precinct.</w:t>
            </w:r>
          </w:p>
        </w:tc>
        <w:tc>
          <w:tcPr>
            <w:tcW w:w="886" w:type="dxa"/>
            <w:tcBorders>
              <w:left w:val="nil"/>
              <w:right w:val="nil"/>
            </w:tcBorders>
          </w:tcPr>
          <w:p>
            <w:pPr>
              <w:pStyle w:val="TableParagraph"/>
              <w:spacing w:before="1"/>
              <w:ind w:left="109"/>
              <w:rPr>
                <w:sz w:val="18"/>
              </w:rPr>
            </w:pPr>
            <w:r>
              <w:rPr>
                <w:spacing w:val="-5"/>
                <w:sz w:val="18"/>
              </w:rPr>
              <w:t>Inc</w:t>
            </w:r>
          </w:p>
          <w:p>
            <w:pPr>
              <w:pStyle w:val="TableParagraph"/>
              <w:spacing w:before="81"/>
              <w:ind w:left="109"/>
              <w:rPr>
                <w:sz w:val="18"/>
              </w:rPr>
            </w:pPr>
            <w:r>
              <w:rPr>
                <w:spacing w:val="-5"/>
                <w:sz w:val="18"/>
              </w:rPr>
              <w:t>Exp</w:t>
            </w:r>
          </w:p>
        </w:tc>
        <w:tc>
          <w:tcPr>
            <w:tcW w:w="1257" w:type="dxa"/>
            <w:tcBorders>
              <w:left w:val="nil"/>
              <w:right w:val="nil"/>
            </w:tcBorders>
          </w:tcPr>
          <w:p>
            <w:pPr>
              <w:pStyle w:val="TableParagraph"/>
              <w:spacing w:before="1"/>
              <w:ind w:right="102"/>
              <w:jc w:val="right"/>
              <w:rPr>
                <w:sz w:val="18"/>
              </w:rPr>
            </w:pPr>
            <w:r>
              <w:rPr>
                <w:spacing w:val="-5"/>
                <w:sz w:val="18"/>
              </w:rPr>
              <w:t>71</w:t>
            </w:r>
          </w:p>
          <w:p>
            <w:pPr>
              <w:pStyle w:val="TableParagraph"/>
              <w:spacing w:before="81"/>
              <w:ind w:right="102"/>
              <w:jc w:val="right"/>
              <w:rPr>
                <w:sz w:val="18"/>
              </w:rPr>
            </w:pPr>
            <w:r>
              <w:rPr>
                <w:spacing w:val="-2"/>
                <w:sz w:val="18"/>
              </w:rPr>
              <w:t>1,637</w:t>
            </w:r>
          </w:p>
        </w:tc>
        <w:tc>
          <w:tcPr>
            <w:tcW w:w="1257" w:type="dxa"/>
            <w:tcBorders>
              <w:left w:val="nil"/>
              <w:right w:val="nil"/>
            </w:tcBorders>
          </w:tcPr>
          <w:p>
            <w:pPr>
              <w:pStyle w:val="TableParagraph"/>
              <w:spacing w:before="1"/>
              <w:ind w:right="105"/>
              <w:jc w:val="right"/>
              <w:rPr>
                <w:sz w:val="18"/>
              </w:rPr>
            </w:pPr>
            <w:r>
              <w:rPr>
                <w:spacing w:val="-5"/>
                <w:sz w:val="18"/>
              </w:rPr>
              <w:t>163</w:t>
            </w:r>
          </w:p>
          <w:p>
            <w:pPr>
              <w:pStyle w:val="TableParagraph"/>
              <w:spacing w:before="81"/>
              <w:ind w:right="103"/>
              <w:jc w:val="right"/>
              <w:rPr>
                <w:sz w:val="18"/>
              </w:rPr>
            </w:pPr>
            <w:r>
              <w:rPr>
                <w:spacing w:val="-2"/>
                <w:sz w:val="18"/>
              </w:rPr>
              <w:t>1,874</w:t>
            </w:r>
          </w:p>
        </w:tc>
        <w:tc>
          <w:tcPr>
            <w:tcW w:w="1256" w:type="dxa"/>
            <w:tcBorders>
              <w:left w:val="nil"/>
            </w:tcBorders>
            <w:shd w:val="clear" w:color="auto" w:fill="BCD6ED"/>
          </w:tcPr>
          <w:p>
            <w:pPr>
              <w:pStyle w:val="TableParagraph"/>
              <w:spacing w:before="1"/>
              <w:ind w:right="99"/>
              <w:jc w:val="right"/>
              <w:rPr>
                <w:sz w:val="18"/>
              </w:rPr>
            </w:pPr>
            <w:r>
              <w:rPr>
                <w:sz w:val="18"/>
              </w:rPr>
              <w:t>8</w:t>
            </w:r>
          </w:p>
          <w:p>
            <w:pPr>
              <w:pStyle w:val="TableParagraph"/>
              <w:spacing w:before="81"/>
              <w:ind w:right="97"/>
              <w:jc w:val="right"/>
              <w:rPr>
                <w:sz w:val="18"/>
              </w:rPr>
            </w:pPr>
            <w:r>
              <w:rPr>
                <w:spacing w:val="-2"/>
                <w:sz w:val="18"/>
              </w:rPr>
              <w:t>1,613</w:t>
            </w:r>
          </w:p>
        </w:tc>
      </w:tr>
      <w:tr>
        <w:trPr>
          <w:trHeight w:val="4734" w:hRule="atLeast"/>
        </w:trPr>
        <w:tc>
          <w:tcPr>
            <w:tcW w:w="5974" w:type="dxa"/>
            <w:vMerge/>
            <w:tcBorders>
              <w:top w:val="nil"/>
              <w:right w:val="nil"/>
            </w:tcBorders>
          </w:tcPr>
          <w:p>
            <w:pPr>
              <w:rPr>
                <w:sz w:val="2"/>
                <w:szCs w:val="2"/>
              </w:rPr>
            </w:pPr>
          </w:p>
        </w:tc>
        <w:tc>
          <w:tcPr>
            <w:tcW w:w="886" w:type="dxa"/>
            <w:tcBorders>
              <w:left w:val="nil"/>
              <w:right w:val="nil"/>
            </w:tcBorders>
          </w:tcPr>
          <w:p>
            <w:pPr>
              <w:pStyle w:val="TableParagraph"/>
              <w:spacing w:line="206" w:lineRule="exact"/>
              <w:ind w:left="109"/>
              <w:rPr>
                <w:b/>
                <w:sz w:val="18"/>
              </w:rPr>
            </w:pPr>
            <w:r>
              <w:rPr>
                <w:b/>
                <w:spacing w:val="-2"/>
                <w:sz w:val="18"/>
              </w:rPr>
              <w:t>Surplus</w:t>
            </w:r>
          </w:p>
          <w:p>
            <w:pPr>
              <w:pStyle w:val="TableParagraph"/>
              <w:spacing w:before="2"/>
              <w:ind w:left="109" w:right="120"/>
              <w:rPr>
                <w:b/>
                <w:sz w:val="18"/>
              </w:rPr>
            </w:pPr>
            <w:r>
              <w:rPr>
                <w:b/>
                <w:spacing w:val="-10"/>
                <w:sz w:val="18"/>
              </w:rPr>
              <w:t>/</w:t>
            </w:r>
            <w:r>
              <w:rPr>
                <w:b/>
                <w:spacing w:val="-2"/>
                <w:sz w:val="18"/>
              </w:rPr>
              <w:t> (deficit)</w:t>
            </w:r>
          </w:p>
        </w:tc>
        <w:tc>
          <w:tcPr>
            <w:tcW w:w="1257" w:type="dxa"/>
            <w:tcBorders>
              <w:left w:val="nil"/>
              <w:right w:val="nil"/>
            </w:tcBorders>
          </w:tcPr>
          <w:p>
            <w:pPr>
              <w:pStyle w:val="TableParagraph"/>
              <w:spacing w:line="206" w:lineRule="exact"/>
              <w:ind w:right="102"/>
              <w:jc w:val="right"/>
              <w:rPr>
                <w:b/>
                <w:sz w:val="18"/>
              </w:rPr>
            </w:pPr>
            <w:r>
              <w:rPr>
                <w:b/>
                <w:spacing w:val="-2"/>
                <w:sz w:val="18"/>
              </w:rPr>
              <w:t>(1,566)</w:t>
            </w:r>
          </w:p>
        </w:tc>
        <w:tc>
          <w:tcPr>
            <w:tcW w:w="1257" w:type="dxa"/>
            <w:tcBorders>
              <w:left w:val="nil"/>
              <w:right w:val="nil"/>
            </w:tcBorders>
          </w:tcPr>
          <w:p>
            <w:pPr>
              <w:pStyle w:val="TableParagraph"/>
              <w:spacing w:line="206" w:lineRule="exact"/>
              <w:ind w:right="103"/>
              <w:jc w:val="right"/>
              <w:rPr>
                <w:b/>
                <w:sz w:val="18"/>
              </w:rPr>
            </w:pPr>
            <w:r>
              <w:rPr>
                <w:b/>
                <w:spacing w:val="-2"/>
                <w:sz w:val="18"/>
              </w:rPr>
              <w:t>(1,711)</w:t>
            </w:r>
          </w:p>
        </w:tc>
        <w:tc>
          <w:tcPr>
            <w:tcW w:w="1256" w:type="dxa"/>
            <w:tcBorders>
              <w:left w:val="nil"/>
            </w:tcBorders>
          </w:tcPr>
          <w:p>
            <w:pPr>
              <w:pStyle w:val="TableParagraph"/>
              <w:spacing w:line="206" w:lineRule="exact"/>
              <w:ind w:right="97"/>
              <w:jc w:val="right"/>
              <w:rPr>
                <w:b/>
                <w:sz w:val="18"/>
              </w:rPr>
            </w:pPr>
            <w:r>
              <w:rPr>
                <w:b/>
                <w:spacing w:val="-2"/>
                <w:sz w:val="18"/>
              </w:rPr>
              <w:t>(1,605)</w:t>
            </w:r>
          </w:p>
        </w:tc>
      </w:tr>
    </w:tbl>
    <w:p>
      <w:pPr>
        <w:spacing w:after="0" w:line="206" w:lineRule="exact"/>
        <w:jc w:val="right"/>
        <w:rPr>
          <w:sz w:val="18"/>
        </w:rPr>
        <w:sectPr>
          <w:pgSz w:w="11910" w:h="16840"/>
          <w:pgMar w:header="0" w:footer="426" w:top="340" w:bottom="620" w:left="460" w:right="160"/>
        </w:sectPr>
      </w:pPr>
    </w:p>
    <w:p>
      <w:pPr>
        <w:pStyle w:val="BodyText"/>
        <w:spacing w:before="5"/>
        <w:rPr>
          <w:b/>
          <w:sz w:val="2"/>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30"/>
        <w:gridCol w:w="887"/>
        <w:gridCol w:w="1257"/>
        <w:gridCol w:w="1256"/>
        <w:gridCol w:w="1258"/>
      </w:tblGrid>
      <w:tr>
        <w:trPr>
          <w:trHeight w:val="914" w:hRule="atLeast"/>
        </w:trPr>
        <w:tc>
          <w:tcPr>
            <w:tcW w:w="5830" w:type="dxa"/>
            <w:tcBorders>
              <w:bottom w:val="nil"/>
              <w:right w:val="nil"/>
            </w:tcBorders>
            <w:shd w:val="clear" w:color="auto" w:fill="5B9AD4"/>
          </w:tcPr>
          <w:p>
            <w:pPr>
              <w:pStyle w:val="TableParagraph"/>
              <w:spacing w:before="9"/>
              <w:rPr>
                <w:b/>
                <w:sz w:val="28"/>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887" w:type="dxa"/>
            <w:tcBorders>
              <w:left w:val="nil"/>
              <w:bottom w:val="nil"/>
              <w:right w:val="nil"/>
            </w:tcBorders>
            <w:shd w:val="clear" w:color="auto" w:fill="5B9AD4"/>
          </w:tcPr>
          <w:p>
            <w:pPr>
              <w:pStyle w:val="TableParagraph"/>
              <w:rPr>
                <w:rFonts w:ascii="Times New Roman"/>
                <w:sz w:val="20"/>
              </w:rPr>
            </w:pPr>
          </w:p>
        </w:tc>
        <w:tc>
          <w:tcPr>
            <w:tcW w:w="1257" w:type="dxa"/>
            <w:tcBorders>
              <w:left w:val="nil"/>
              <w:bottom w:val="nil"/>
              <w:right w:val="nil"/>
            </w:tcBorders>
            <w:shd w:val="clear" w:color="auto" w:fill="5B9AD4"/>
          </w:tcPr>
          <w:p>
            <w:pPr>
              <w:pStyle w:val="TableParagraph"/>
              <w:spacing w:before="12"/>
              <w:ind w:left="99" w:right="93"/>
              <w:jc w:val="center"/>
              <w:rPr>
                <w:b/>
                <w:sz w:val="22"/>
              </w:rPr>
            </w:pPr>
            <w:r>
              <w:rPr>
                <w:b/>
                <w:color w:val="FFFFFF"/>
                <w:spacing w:val="-2"/>
                <w:sz w:val="22"/>
              </w:rPr>
              <w:t>2022/2023</w:t>
            </w:r>
          </w:p>
          <w:p>
            <w:pPr>
              <w:pStyle w:val="TableParagraph"/>
              <w:spacing w:before="66"/>
              <w:ind w:left="95" w:right="93"/>
              <w:jc w:val="center"/>
              <w:rPr>
                <w:b/>
                <w:sz w:val="22"/>
              </w:rPr>
            </w:pPr>
            <w:r>
              <w:rPr>
                <w:b/>
                <w:color w:val="FFFFFF"/>
                <w:spacing w:val="-2"/>
                <w:sz w:val="22"/>
              </w:rPr>
              <w:t>Actual</w:t>
            </w:r>
          </w:p>
          <w:p>
            <w:pPr>
              <w:pStyle w:val="TableParagraph"/>
              <w:spacing w:line="244" w:lineRule="exact" w:before="66"/>
              <w:ind w:left="94" w:right="93"/>
              <w:jc w:val="center"/>
              <w:rPr>
                <w:b/>
                <w:sz w:val="22"/>
              </w:rPr>
            </w:pPr>
            <w:r>
              <w:rPr>
                <w:b/>
                <w:color w:val="FFFFFF"/>
                <w:spacing w:val="-2"/>
                <w:sz w:val="22"/>
              </w:rPr>
              <w:t>$'000</w:t>
            </w:r>
          </w:p>
        </w:tc>
        <w:tc>
          <w:tcPr>
            <w:tcW w:w="1256" w:type="dxa"/>
            <w:tcBorders>
              <w:left w:val="nil"/>
              <w:bottom w:val="nil"/>
              <w:right w:val="nil"/>
            </w:tcBorders>
            <w:shd w:val="clear" w:color="auto" w:fill="5B9AD4"/>
          </w:tcPr>
          <w:p>
            <w:pPr>
              <w:pStyle w:val="TableParagraph"/>
              <w:spacing w:before="12"/>
              <w:ind w:left="99" w:right="91"/>
              <w:jc w:val="center"/>
              <w:rPr>
                <w:b/>
                <w:sz w:val="22"/>
              </w:rPr>
            </w:pPr>
            <w:r>
              <w:rPr>
                <w:b/>
                <w:color w:val="FFFFFF"/>
                <w:spacing w:val="-2"/>
                <w:sz w:val="22"/>
              </w:rPr>
              <w:t>2023/2024</w:t>
            </w:r>
          </w:p>
          <w:p>
            <w:pPr>
              <w:pStyle w:val="TableParagraph"/>
              <w:spacing w:before="66"/>
              <w:ind w:left="95" w:right="91"/>
              <w:jc w:val="center"/>
              <w:rPr>
                <w:b/>
                <w:sz w:val="22"/>
              </w:rPr>
            </w:pPr>
            <w:r>
              <w:rPr>
                <w:b/>
                <w:color w:val="FFFFFF"/>
                <w:spacing w:val="-2"/>
                <w:sz w:val="22"/>
              </w:rPr>
              <w:t>Forecast</w:t>
            </w:r>
          </w:p>
          <w:p>
            <w:pPr>
              <w:pStyle w:val="TableParagraph"/>
              <w:spacing w:line="244" w:lineRule="exact" w:before="66"/>
              <w:ind w:left="94" w:right="91"/>
              <w:jc w:val="center"/>
              <w:rPr>
                <w:b/>
                <w:sz w:val="22"/>
              </w:rPr>
            </w:pPr>
            <w:r>
              <w:rPr>
                <w:b/>
                <w:color w:val="FFFFFF"/>
                <w:spacing w:val="-2"/>
                <w:sz w:val="22"/>
              </w:rPr>
              <w:t>$'000</w:t>
            </w:r>
          </w:p>
        </w:tc>
        <w:tc>
          <w:tcPr>
            <w:tcW w:w="1258" w:type="dxa"/>
            <w:tcBorders>
              <w:left w:val="nil"/>
              <w:bottom w:val="nil"/>
            </w:tcBorders>
            <w:shd w:val="clear" w:color="auto" w:fill="5B9AD4"/>
          </w:tcPr>
          <w:p>
            <w:pPr>
              <w:pStyle w:val="TableParagraph"/>
              <w:spacing w:before="12"/>
              <w:ind w:left="97" w:right="93"/>
              <w:jc w:val="center"/>
              <w:rPr>
                <w:b/>
                <w:sz w:val="22"/>
              </w:rPr>
            </w:pPr>
            <w:r>
              <w:rPr>
                <w:b/>
                <w:color w:val="FFFFFF"/>
                <w:spacing w:val="-2"/>
                <w:sz w:val="22"/>
              </w:rPr>
              <w:t>2024/2025</w:t>
            </w:r>
          </w:p>
          <w:p>
            <w:pPr>
              <w:pStyle w:val="TableParagraph"/>
              <w:spacing w:before="66"/>
              <w:ind w:left="92" w:right="93"/>
              <w:jc w:val="center"/>
              <w:rPr>
                <w:b/>
                <w:sz w:val="22"/>
              </w:rPr>
            </w:pPr>
            <w:r>
              <w:rPr>
                <w:b/>
                <w:color w:val="FFFFFF"/>
                <w:spacing w:val="-2"/>
                <w:sz w:val="22"/>
              </w:rPr>
              <w:t>Budget</w:t>
            </w:r>
          </w:p>
          <w:p>
            <w:pPr>
              <w:pStyle w:val="TableParagraph"/>
              <w:spacing w:line="244" w:lineRule="exact" w:before="66"/>
              <w:ind w:left="93" w:right="93"/>
              <w:jc w:val="center"/>
              <w:rPr>
                <w:b/>
                <w:sz w:val="22"/>
              </w:rPr>
            </w:pPr>
            <w:r>
              <w:rPr>
                <w:b/>
                <w:color w:val="FFFFFF"/>
                <w:spacing w:val="-2"/>
                <w:sz w:val="22"/>
              </w:rPr>
              <w:t>$'000</w:t>
            </w:r>
          </w:p>
        </w:tc>
      </w:tr>
      <w:tr>
        <w:trPr>
          <w:trHeight w:val="280" w:hRule="atLeast"/>
        </w:trPr>
        <w:tc>
          <w:tcPr>
            <w:tcW w:w="10488" w:type="dxa"/>
            <w:gridSpan w:val="5"/>
            <w:tcBorders>
              <w:top w:val="nil"/>
            </w:tcBorders>
          </w:tcPr>
          <w:p>
            <w:pPr>
              <w:pStyle w:val="TableParagraph"/>
              <w:spacing w:line="246" w:lineRule="exact" w:before="14"/>
              <w:ind w:left="107"/>
              <w:rPr>
                <w:b/>
                <w:sz w:val="22"/>
              </w:rPr>
            </w:pPr>
            <w:r>
              <w:rPr>
                <w:b/>
                <w:color w:val="5B9AD4"/>
                <w:sz w:val="22"/>
              </w:rPr>
              <w:t>Youth</w:t>
            </w:r>
            <w:r>
              <w:rPr>
                <w:b/>
                <w:color w:val="5B9AD4"/>
                <w:spacing w:val="-5"/>
                <w:sz w:val="22"/>
              </w:rPr>
              <w:t> </w:t>
            </w:r>
            <w:r>
              <w:rPr>
                <w:b/>
                <w:color w:val="5B9AD4"/>
                <w:sz w:val="22"/>
              </w:rPr>
              <w:t>and</w:t>
            </w:r>
            <w:r>
              <w:rPr>
                <w:b/>
                <w:color w:val="5B9AD4"/>
                <w:spacing w:val="-4"/>
                <w:sz w:val="22"/>
              </w:rPr>
              <w:t> </w:t>
            </w:r>
            <w:r>
              <w:rPr>
                <w:b/>
                <w:color w:val="5B9AD4"/>
                <w:sz w:val="22"/>
              </w:rPr>
              <w:t>Children’s</w:t>
            </w:r>
            <w:r>
              <w:rPr>
                <w:b/>
                <w:color w:val="5B9AD4"/>
                <w:spacing w:val="-5"/>
                <w:sz w:val="22"/>
              </w:rPr>
              <w:t> </w:t>
            </w:r>
            <w:r>
              <w:rPr>
                <w:b/>
                <w:color w:val="5B9AD4"/>
                <w:sz w:val="22"/>
              </w:rPr>
              <w:t>Services</w:t>
            </w:r>
            <w:r>
              <w:rPr>
                <w:b/>
                <w:color w:val="5B9AD4"/>
                <w:spacing w:val="-6"/>
                <w:sz w:val="22"/>
              </w:rPr>
              <w:t> </w:t>
            </w:r>
            <w:r>
              <w:rPr>
                <w:b/>
                <w:color w:val="5B9AD4"/>
                <w:sz w:val="22"/>
              </w:rPr>
              <w:t>(Community</w:t>
            </w:r>
            <w:r>
              <w:rPr>
                <w:b/>
                <w:color w:val="5B9AD4"/>
                <w:spacing w:val="-3"/>
                <w:sz w:val="22"/>
              </w:rPr>
              <w:t> </w:t>
            </w:r>
            <w:r>
              <w:rPr>
                <w:b/>
                <w:color w:val="5B9AD4"/>
                <w:spacing w:val="-2"/>
                <w:sz w:val="22"/>
              </w:rPr>
              <w:t>Services)</w:t>
            </w:r>
          </w:p>
        </w:tc>
      </w:tr>
      <w:tr>
        <w:trPr>
          <w:trHeight w:val="565" w:hRule="atLeast"/>
        </w:trPr>
        <w:tc>
          <w:tcPr>
            <w:tcW w:w="5830" w:type="dxa"/>
            <w:vMerge w:val="restart"/>
            <w:tcBorders>
              <w:right w:val="nil"/>
            </w:tcBorders>
          </w:tcPr>
          <w:p>
            <w:pPr>
              <w:pStyle w:val="TableParagraph"/>
              <w:ind w:left="107" w:right="39"/>
              <w:rPr>
                <w:sz w:val="22"/>
              </w:rPr>
            </w:pPr>
            <w:r>
              <w:rPr>
                <w:sz w:val="22"/>
              </w:rPr>
              <w:t>Youth and Children’s Services provides a range of services and programs focused on enhancing the wellbeing</w:t>
            </w:r>
            <w:r>
              <w:rPr>
                <w:spacing w:val="-3"/>
                <w:sz w:val="22"/>
              </w:rPr>
              <w:t> </w:t>
            </w:r>
            <w:r>
              <w:rPr>
                <w:sz w:val="22"/>
              </w:rPr>
              <w:t>of</w:t>
            </w:r>
            <w:r>
              <w:rPr>
                <w:spacing w:val="-3"/>
                <w:sz w:val="22"/>
              </w:rPr>
              <w:t> </w:t>
            </w:r>
            <w:r>
              <w:rPr>
                <w:sz w:val="22"/>
              </w:rPr>
              <w:t>children,</w:t>
            </w:r>
            <w:r>
              <w:rPr>
                <w:spacing w:val="-5"/>
                <w:sz w:val="22"/>
              </w:rPr>
              <w:t> </w:t>
            </w:r>
            <w:r>
              <w:rPr>
                <w:sz w:val="22"/>
              </w:rPr>
              <w:t>young</w:t>
            </w:r>
            <w:r>
              <w:rPr>
                <w:spacing w:val="-4"/>
                <w:sz w:val="22"/>
              </w:rPr>
              <w:t> </w:t>
            </w:r>
            <w:r>
              <w:rPr>
                <w:sz w:val="22"/>
              </w:rPr>
              <w:t>people,</w:t>
            </w:r>
            <w:r>
              <w:rPr>
                <w:spacing w:val="-3"/>
                <w:sz w:val="22"/>
              </w:rPr>
              <w:t> </w:t>
            </w:r>
            <w:r>
              <w:rPr>
                <w:sz w:val="22"/>
              </w:rPr>
              <w:t>and</w:t>
            </w:r>
            <w:r>
              <w:rPr>
                <w:spacing w:val="-6"/>
                <w:sz w:val="22"/>
              </w:rPr>
              <w:t> </w:t>
            </w:r>
            <w:r>
              <w:rPr>
                <w:sz w:val="22"/>
              </w:rPr>
              <w:t>their</w:t>
            </w:r>
            <w:r>
              <w:rPr>
                <w:spacing w:val="-5"/>
                <w:sz w:val="22"/>
              </w:rPr>
              <w:t> </w:t>
            </w:r>
            <w:r>
              <w:rPr>
                <w:sz w:val="22"/>
              </w:rPr>
              <w:t>families,</w:t>
            </w:r>
            <w:r>
              <w:rPr>
                <w:spacing w:val="-3"/>
                <w:sz w:val="22"/>
              </w:rPr>
              <w:t> </w:t>
            </w:r>
            <w:r>
              <w:rPr>
                <w:sz w:val="22"/>
              </w:rPr>
              <w:t>in </w:t>
            </w:r>
            <w:r>
              <w:rPr>
                <w:spacing w:val="-2"/>
                <w:sz w:val="22"/>
              </w:rPr>
              <w:t>Maroondah.</w:t>
            </w:r>
          </w:p>
          <w:p>
            <w:pPr>
              <w:pStyle w:val="TableParagraph"/>
              <w:ind w:left="107"/>
              <w:rPr>
                <w:sz w:val="22"/>
              </w:rPr>
            </w:pPr>
            <w:r>
              <w:rPr>
                <w:sz w:val="22"/>
              </w:rPr>
              <w:t>The team delivers a wide range of services including programs, services, and events for the community; the provision</w:t>
            </w:r>
            <w:r>
              <w:rPr>
                <w:spacing w:val="-4"/>
                <w:sz w:val="22"/>
              </w:rPr>
              <w:t> </w:t>
            </w:r>
            <w:r>
              <w:rPr>
                <w:sz w:val="22"/>
              </w:rPr>
              <w:t>of</w:t>
            </w:r>
            <w:r>
              <w:rPr>
                <w:spacing w:val="-8"/>
                <w:sz w:val="22"/>
              </w:rPr>
              <w:t> </w:t>
            </w:r>
            <w:r>
              <w:rPr>
                <w:sz w:val="22"/>
              </w:rPr>
              <w:t>information</w:t>
            </w:r>
            <w:r>
              <w:rPr>
                <w:spacing w:val="-8"/>
                <w:sz w:val="22"/>
              </w:rPr>
              <w:t> </w:t>
            </w:r>
            <w:r>
              <w:rPr>
                <w:sz w:val="22"/>
              </w:rPr>
              <w:t>and</w:t>
            </w:r>
            <w:r>
              <w:rPr>
                <w:spacing w:val="-6"/>
                <w:sz w:val="22"/>
              </w:rPr>
              <w:t> </w:t>
            </w:r>
            <w:r>
              <w:rPr>
                <w:sz w:val="22"/>
              </w:rPr>
              <w:t>resources</w:t>
            </w:r>
            <w:r>
              <w:rPr>
                <w:spacing w:val="-6"/>
                <w:sz w:val="22"/>
              </w:rPr>
              <w:t> </w:t>
            </w:r>
            <w:r>
              <w:rPr>
                <w:sz w:val="22"/>
              </w:rPr>
              <w:t>and</w:t>
            </w:r>
            <w:r>
              <w:rPr>
                <w:spacing w:val="-4"/>
                <w:sz w:val="22"/>
              </w:rPr>
              <w:t> </w:t>
            </w:r>
            <w:r>
              <w:rPr>
                <w:sz w:val="22"/>
              </w:rPr>
              <w:t>professional services across Maroondah; provides support and coordination to the local child and youth sectors; and</w:t>
            </w:r>
          </w:p>
          <w:p>
            <w:pPr>
              <w:pStyle w:val="TableParagraph"/>
              <w:spacing w:line="254" w:lineRule="exact"/>
              <w:ind w:left="107"/>
              <w:rPr>
                <w:sz w:val="22"/>
              </w:rPr>
            </w:pPr>
            <w:r>
              <w:rPr>
                <w:sz w:val="22"/>
              </w:rPr>
              <w:t>undertakes strategic planning and advocacy to benefit children,</w:t>
            </w:r>
            <w:r>
              <w:rPr>
                <w:spacing w:val="-3"/>
                <w:sz w:val="22"/>
              </w:rPr>
              <w:t> </w:t>
            </w:r>
            <w:r>
              <w:rPr>
                <w:sz w:val="22"/>
              </w:rPr>
              <w:t>young</w:t>
            </w:r>
            <w:r>
              <w:rPr>
                <w:spacing w:val="-5"/>
                <w:sz w:val="22"/>
              </w:rPr>
              <w:t> </w:t>
            </w:r>
            <w:r>
              <w:rPr>
                <w:sz w:val="22"/>
              </w:rPr>
              <w:t>people,</w:t>
            </w:r>
            <w:r>
              <w:rPr>
                <w:spacing w:val="-7"/>
                <w:sz w:val="22"/>
              </w:rPr>
              <w:t> </w:t>
            </w:r>
            <w:r>
              <w:rPr>
                <w:sz w:val="22"/>
              </w:rPr>
              <w:t>and</w:t>
            </w:r>
            <w:r>
              <w:rPr>
                <w:spacing w:val="-5"/>
                <w:sz w:val="22"/>
              </w:rPr>
              <w:t> </w:t>
            </w:r>
            <w:r>
              <w:rPr>
                <w:sz w:val="22"/>
              </w:rPr>
              <w:t>their</w:t>
            </w:r>
            <w:r>
              <w:rPr>
                <w:spacing w:val="-7"/>
                <w:sz w:val="22"/>
              </w:rPr>
              <w:t> </w:t>
            </w:r>
            <w:r>
              <w:rPr>
                <w:sz w:val="22"/>
              </w:rPr>
              <w:t>families</w:t>
            </w:r>
            <w:r>
              <w:rPr>
                <w:spacing w:val="-5"/>
                <w:sz w:val="22"/>
              </w:rPr>
              <w:t> </w:t>
            </w:r>
            <w:r>
              <w:rPr>
                <w:sz w:val="22"/>
              </w:rPr>
              <w:t>in</w:t>
            </w:r>
            <w:r>
              <w:rPr>
                <w:spacing w:val="-5"/>
                <w:sz w:val="22"/>
              </w:rPr>
              <w:t> </w:t>
            </w:r>
            <w:r>
              <w:rPr>
                <w:sz w:val="22"/>
              </w:rPr>
              <w:t>Maroondah.</w:t>
            </w:r>
          </w:p>
        </w:tc>
        <w:tc>
          <w:tcPr>
            <w:tcW w:w="887" w:type="dxa"/>
            <w:tcBorders>
              <w:left w:val="nil"/>
              <w:right w:val="nil"/>
            </w:tcBorders>
          </w:tcPr>
          <w:p>
            <w:pPr>
              <w:pStyle w:val="TableParagraph"/>
              <w:spacing w:line="206" w:lineRule="exact"/>
              <w:ind w:left="112"/>
              <w:rPr>
                <w:sz w:val="18"/>
              </w:rPr>
            </w:pPr>
            <w:r>
              <w:rPr>
                <w:spacing w:val="-5"/>
                <w:sz w:val="18"/>
              </w:rPr>
              <w:t>Inc</w:t>
            </w:r>
          </w:p>
          <w:p>
            <w:pPr>
              <w:pStyle w:val="TableParagraph"/>
              <w:spacing w:before="81"/>
              <w:ind w:left="112"/>
              <w:rPr>
                <w:sz w:val="18"/>
              </w:rPr>
            </w:pPr>
            <w:r>
              <w:rPr>
                <w:spacing w:val="-5"/>
                <w:sz w:val="18"/>
              </w:rPr>
              <w:t>Exp</w:t>
            </w:r>
          </w:p>
        </w:tc>
        <w:tc>
          <w:tcPr>
            <w:tcW w:w="1257" w:type="dxa"/>
            <w:tcBorders>
              <w:left w:val="nil"/>
              <w:right w:val="nil"/>
            </w:tcBorders>
          </w:tcPr>
          <w:p>
            <w:pPr>
              <w:pStyle w:val="TableParagraph"/>
              <w:spacing w:line="206" w:lineRule="exact"/>
              <w:ind w:left="699"/>
              <w:rPr>
                <w:sz w:val="18"/>
              </w:rPr>
            </w:pPr>
            <w:r>
              <w:rPr>
                <w:spacing w:val="-2"/>
                <w:sz w:val="18"/>
              </w:rPr>
              <w:t>1,100</w:t>
            </w:r>
          </w:p>
          <w:p>
            <w:pPr>
              <w:pStyle w:val="TableParagraph"/>
              <w:spacing w:before="81"/>
              <w:ind w:left="699"/>
              <w:rPr>
                <w:sz w:val="18"/>
              </w:rPr>
            </w:pPr>
            <w:r>
              <w:rPr>
                <w:spacing w:val="-2"/>
                <w:sz w:val="18"/>
              </w:rPr>
              <w:t>3,083</w:t>
            </w:r>
          </w:p>
        </w:tc>
        <w:tc>
          <w:tcPr>
            <w:tcW w:w="1256" w:type="dxa"/>
            <w:tcBorders>
              <w:left w:val="nil"/>
              <w:right w:val="nil"/>
            </w:tcBorders>
          </w:tcPr>
          <w:p>
            <w:pPr>
              <w:pStyle w:val="TableParagraph"/>
              <w:spacing w:line="206" w:lineRule="exact"/>
              <w:ind w:left="699"/>
              <w:rPr>
                <w:sz w:val="18"/>
              </w:rPr>
            </w:pPr>
            <w:r>
              <w:rPr>
                <w:spacing w:val="-2"/>
                <w:sz w:val="18"/>
              </w:rPr>
              <w:t>1,060</w:t>
            </w:r>
          </w:p>
          <w:p>
            <w:pPr>
              <w:pStyle w:val="TableParagraph"/>
              <w:spacing w:before="81"/>
              <w:ind w:left="699"/>
              <w:rPr>
                <w:sz w:val="18"/>
              </w:rPr>
            </w:pPr>
            <w:r>
              <w:rPr>
                <w:spacing w:val="-2"/>
                <w:sz w:val="18"/>
              </w:rPr>
              <w:t>3,107</w:t>
            </w:r>
          </w:p>
        </w:tc>
        <w:tc>
          <w:tcPr>
            <w:tcW w:w="1258" w:type="dxa"/>
            <w:tcBorders>
              <w:left w:val="nil"/>
            </w:tcBorders>
            <w:shd w:val="clear" w:color="auto" w:fill="BCD6ED"/>
          </w:tcPr>
          <w:p>
            <w:pPr>
              <w:pStyle w:val="TableParagraph"/>
              <w:spacing w:line="206" w:lineRule="exact"/>
              <w:ind w:right="100"/>
              <w:jc w:val="right"/>
              <w:rPr>
                <w:sz w:val="18"/>
              </w:rPr>
            </w:pPr>
            <w:r>
              <w:rPr>
                <w:spacing w:val="-5"/>
                <w:sz w:val="18"/>
              </w:rPr>
              <w:t>672</w:t>
            </w:r>
          </w:p>
          <w:p>
            <w:pPr>
              <w:pStyle w:val="TableParagraph"/>
              <w:spacing w:before="81"/>
              <w:ind w:right="99"/>
              <w:jc w:val="right"/>
              <w:rPr>
                <w:sz w:val="18"/>
              </w:rPr>
            </w:pPr>
            <w:r>
              <w:rPr>
                <w:spacing w:val="-2"/>
                <w:sz w:val="18"/>
              </w:rPr>
              <w:t>2,623</w:t>
            </w:r>
          </w:p>
        </w:tc>
      </w:tr>
      <w:tr>
        <w:trPr>
          <w:trHeight w:val="2205" w:hRule="atLeast"/>
        </w:trPr>
        <w:tc>
          <w:tcPr>
            <w:tcW w:w="5830" w:type="dxa"/>
            <w:vMerge/>
            <w:tcBorders>
              <w:top w:val="nil"/>
              <w:right w:val="nil"/>
            </w:tcBorders>
          </w:tcPr>
          <w:p>
            <w:pPr>
              <w:rPr>
                <w:sz w:val="2"/>
                <w:szCs w:val="2"/>
              </w:rPr>
            </w:pPr>
          </w:p>
        </w:tc>
        <w:tc>
          <w:tcPr>
            <w:tcW w:w="887" w:type="dxa"/>
            <w:tcBorders>
              <w:left w:val="nil"/>
              <w:right w:val="nil"/>
            </w:tcBorders>
          </w:tcPr>
          <w:p>
            <w:pPr>
              <w:pStyle w:val="TableParagraph"/>
              <w:spacing w:line="207" w:lineRule="exact" w:before="1"/>
              <w:ind w:left="112"/>
              <w:rPr>
                <w:b/>
                <w:sz w:val="18"/>
              </w:rPr>
            </w:pPr>
            <w:r>
              <w:rPr>
                <w:b/>
                <w:spacing w:val="-2"/>
                <w:sz w:val="18"/>
              </w:rPr>
              <w:t>Surplus</w:t>
            </w:r>
          </w:p>
          <w:p>
            <w:pPr>
              <w:pStyle w:val="TableParagraph"/>
              <w:ind w:left="112" w:right="119"/>
              <w:rPr>
                <w:b/>
                <w:sz w:val="18"/>
              </w:rPr>
            </w:pPr>
            <w:r>
              <w:rPr>
                <w:b/>
                <w:spacing w:val="-10"/>
                <w:sz w:val="18"/>
              </w:rPr>
              <w:t>/</w:t>
            </w:r>
            <w:r>
              <w:rPr>
                <w:b/>
                <w:spacing w:val="-2"/>
                <w:sz w:val="18"/>
              </w:rPr>
              <w:t> (deficit)</w:t>
            </w:r>
          </w:p>
        </w:tc>
        <w:tc>
          <w:tcPr>
            <w:tcW w:w="1257" w:type="dxa"/>
            <w:tcBorders>
              <w:left w:val="nil"/>
              <w:right w:val="nil"/>
            </w:tcBorders>
          </w:tcPr>
          <w:p>
            <w:pPr>
              <w:pStyle w:val="TableParagraph"/>
              <w:spacing w:before="1"/>
              <w:ind w:left="579"/>
              <w:rPr>
                <w:b/>
                <w:sz w:val="18"/>
              </w:rPr>
            </w:pPr>
            <w:r>
              <w:rPr>
                <w:b/>
                <w:spacing w:val="-2"/>
                <w:sz w:val="18"/>
              </w:rPr>
              <w:t>(1,983)</w:t>
            </w:r>
          </w:p>
        </w:tc>
        <w:tc>
          <w:tcPr>
            <w:tcW w:w="1256" w:type="dxa"/>
            <w:tcBorders>
              <w:left w:val="nil"/>
              <w:right w:val="nil"/>
            </w:tcBorders>
          </w:tcPr>
          <w:p>
            <w:pPr>
              <w:pStyle w:val="TableParagraph"/>
              <w:spacing w:before="1"/>
              <w:ind w:left="579"/>
              <w:rPr>
                <w:b/>
                <w:sz w:val="18"/>
              </w:rPr>
            </w:pPr>
            <w:r>
              <w:rPr>
                <w:b/>
                <w:spacing w:val="-2"/>
                <w:sz w:val="18"/>
              </w:rPr>
              <w:t>(2,047)</w:t>
            </w:r>
          </w:p>
        </w:tc>
        <w:tc>
          <w:tcPr>
            <w:tcW w:w="1258" w:type="dxa"/>
            <w:tcBorders>
              <w:left w:val="nil"/>
            </w:tcBorders>
          </w:tcPr>
          <w:p>
            <w:pPr>
              <w:pStyle w:val="TableParagraph"/>
              <w:spacing w:before="1"/>
              <w:ind w:left="573"/>
              <w:rPr>
                <w:b/>
                <w:sz w:val="18"/>
              </w:rPr>
            </w:pPr>
            <w:r>
              <w:rPr>
                <w:b/>
                <w:spacing w:val="-2"/>
                <w:sz w:val="18"/>
              </w:rPr>
              <w:t>(1,951)</w:t>
            </w:r>
          </w:p>
        </w:tc>
      </w:tr>
    </w:tbl>
    <w:p>
      <w:pPr>
        <w:pStyle w:val="BodyText"/>
        <w:spacing w:before="2"/>
        <w:rPr>
          <w:b/>
          <w:sz w:val="14"/>
        </w:rPr>
      </w:pPr>
    </w:p>
    <w:p>
      <w:pPr>
        <w:pStyle w:val="Heading5"/>
        <w:spacing w:before="94"/>
        <w:ind w:left="391"/>
      </w:pPr>
      <w:r>
        <w:rPr/>
        <w:t>Major</w:t>
      </w:r>
      <w:r>
        <w:rPr>
          <w:spacing w:val="-5"/>
        </w:rPr>
        <w:t> </w:t>
      </w:r>
      <w:r>
        <w:rPr/>
        <w:t>Initiatives</w:t>
      </w:r>
      <w:r>
        <w:rPr>
          <w:spacing w:val="-5"/>
        </w:rPr>
        <w:t> </w:t>
      </w:r>
      <w:r>
        <w:rPr/>
        <w:t>(Priority</w:t>
      </w:r>
      <w:r>
        <w:rPr>
          <w:spacing w:val="-6"/>
        </w:rPr>
        <w:t> </w:t>
      </w:r>
      <w:r>
        <w:rPr>
          <w:spacing w:val="-2"/>
        </w:rPr>
        <w:t>Actions)</w:t>
      </w:r>
    </w:p>
    <w:p>
      <w:pPr>
        <w:pStyle w:val="BodyText"/>
        <w:rPr>
          <w:b/>
        </w:rPr>
      </w:pPr>
    </w:p>
    <w:p>
      <w:pPr>
        <w:pStyle w:val="ListParagraph"/>
        <w:numPr>
          <w:ilvl w:val="0"/>
          <w:numId w:val="13"/>
        </w:numPr>
        <w:tabs>
          <w:tab w:pos="960" w:val="left" w:leader="none"/>
        </w:tabs>
        <w:spacing w:line="240" w:lineRule="auto" w:before="0" w:after="0"/>
        <w:ind w:left="958" w:right="402" w:hanging="567"/>
        <w:jc w:val="both"/>
        <w:rPr>
          <w:sz w:val="22"/>
        </w:rPr>
      </w:pPr>
      <w:r>
        <w:rPr>
          <w:sz w:val="22"/>
        </w:rPr>
        <w:t>Continue</w:t>
      </w:r>
      <w:r>
        <w:rPr>
          <w:spacing w:val="-4"/>
          <w:sz w:val="22"/>
        </w:rPr>
        <w:t> </w:t>
      </w:r>
      <w:r>
        <w:rPr>
          <w:sz w:val="22"/>
        </w:rPr>
        <w:t>to</w:t>
      </w:r>
      <w:r>
        <w:rPr>
          <w:spacing w:val="-8"/>
          <w:sz w:val="22"/>
        </w:rPr>
        <w:t> </w:t>
      </w:r>
      <w:r>
        <w:rPr>
          <w:sz w:val="22"/>
        </w:rPr>
        <w:t>monitor</w:t>
      </w:r>
      <w:r>
        <w:rPr>
          <w:spacing w:val="-2"/>
          <w:sz w:val="22"/>
        </w:rPr>
        <w:t> </w:t>
      </w:r>
      <w:r>
        <w:rPr>
          <w:sz w:val="22"/>
        </w:rPr>
        <w:t>and</w:t>
      </w:r>
      <w:r>
        <w:rPr>
          <w:spacing w:val="-6"/>
          <w:sz w:val="22"/>
        </w:rPr>
        <w:t> </w:t>
      </w:r>
      <w:r>
        <w:rPr>
          <w:sz w:val="22"/>
        </w:rPr>
        <w:t>respond</w:t>
      </w:r>
      <w:r>
        <w:rPr>
          <w:spacing w:val="-8"/>
          <w:sz w:val="22"/>
        </w:rPr>
        <w:t> </w:t>
      </w:r>
      <w:r>
        <w:rPr>
          <w:sz w:val="22"/>
        </w:rPr>
        <w:t>to</w:t>
      </w:r>
      <w:r>
        <w:rPr>
          <w:spacing w:val="-8"/>
          <w:sz w:val="22"/>
        </w:rPr>
        <w:t> </w:t>
      </w:r>
      <w:r>
        <w:rPr>
          <w:sz w:val="22"/>
        </w:rPr>
        <w:t>Australian</w:t>
      </w:r>
      <w:r>
        <w:rPr>
          <w:spacing w:val="-6"/>
          <w:sz w:val="22"/>
        </w:rPr>
        <w:t> </w:t>
      </w:r>
      <w:r>
        <w:rPr>
          <w:sz w:val="22"/>
        </w:rPr>
        <w:t>Government</w:t>
      </w:r>
      <w:r>
        <w:rPr>
          <w:spacing w:val="-4"/>
          <w:sz w:val="22"/>
        </w:rPr>
        <w:t> </w:t>
      </w:r>
      <w:r>
        <w:rPr>
          <w:sz w:val="22"/>
        </w:rPr>
        <w:t>Aged</w:t>
      </w:r>
      <w:r>
        <w:rPr>
          <w:spacing w:val="-4"/>
          <w:sz w:val="22"/>
        </w:rPr>
        <w:t> </w:t>
      </w:r>
      <w:r>
        <w:rPr>
          <w:sz w:val="22"/>
        </w:rPr>
        <w:t>Care</w:t>
      </w:r>
      <w:r>
        <w:rPr>
          <w:spacing w:val="-8"/>
          <w:sz w:val="22"/>
        </w:rPr>
        <w:t> </w:t>
      </w:r>
      <w:r>
        <w:rPr>
          <w:sz w:val="22"/>
        </w:rPr>
        <w:t>Reforms</w:t>
      </w:r>
      <w:r>
        <w:rPr>
          <w:spacing w:val="-8"/>
          <w:sz w:val="22"/>
        </w:rPr>
        <w:t> </w:t>
      </w:r>
      <w:r>
        <w:rPr>
          <w:sz w:val="22"/>
        </w:rPr>
        <w:t>to</w:t>
      </w:r>
      <w:r>
        <w:rPr>
          <w:spacing w:val="-5"/>
          <w:sz w:val="22"/>
        </w:rPr>
        <w:t> </w:t>
      </w:r>
      <w:r>
        <w:rPr>
          <w:sz w:val="22"/>
        </w:rPr>
        <w:t>ensure</w:t>
      </w:r>
      <w:r>
        <w:rPr>
          <w:spacing w:val="-10"/>
          <w:sz w:val="22"/>
        </w:rPr>
        <w:t> </w:t>
      </w:r>
      <w:r>
        <w:rPr>
          <w:sz w:val="22"/>
        </w:rPr>
        <w:t>that</w:t>
      </w:r>
      <w:r>
        <w:rPr>
          <w:spacing w:val="-4"/>
          <w:sz w:val="22"/>
        </w:rPr>
        <w:t> </w:t>
      </w:r>
      <w:r>
        <w:rPr>
          <w:sz w:val="22"/>
        </w:rPr>
        <w:t>Council services adapt appropriately to meet current and future community needs, and advocate for ongoing support and care for Maroondah senior citizens.</w:t>
      </w:r>
    </w:p>
    <w:p>
      <w:pPr>
        <w:spacing w:after="0" w:line="240" w:lineRule="auto"/>
        <w:jc w:val="both"/>
        <w:rPr>
          <w:sz w:val="22"/>
        </w:rPr>
        <w:sectPr>
          <w:pgSz w:w="11910" w:h="16840"/>
          <w:pgMar w:header="0" w:footer="426" w:top="380" w:bottom="620" w:left="460" w:right="160"/>
        </w:sectPr>
      </w:pPr>
    </w:p>
    <w:p>
      <w:pPr>
        <w:pStyle w:val="Heading2"/>
        <w:numPr>
          <w:ilvl w:val="1"/>
          <w:numId w:val="11"/>
        </w:numPr>
        <w:tabs>
          <w:tab w:pos="861" w:val="left" w:leader="none"/>
        </w:tabs>
        <w:spacing w:line="240" w:lineRule="auto" w:before="70" w:after="0"/>
        <w:ind w:left="391" w:right="948" w:firstLine="0"/>
        <w:jc w:val="left"/>
      </w:pPr>
      <w:r>
        <w:rPr>
          <w:color w:val="4966AC"/>
        </w:rPr>
        <w:t>Outcome</w:t>
      </w:r>
      <w:r>
        <w:rPr>
          <w:color w:val="4966AC"/>
          <w:spacing w:val="-6"/>
        </w:rPr>
        <w:t> </w:t>
      </w:r>
      <w:r>
        <w:rPr>
          <w:color w:val="4966AC"/>
        </w:rPr>
        <w:t>Area</w:t>
      </w:r>
      <w:r>
        <w:rPr>
          <w:color w:val="4966AC"/>
          <w:spacing w:val="-6"/>
        </w:rPr>
        <w:t> </w:t>
      </w:r>
      <w:r>
        <w:rPr>
          <w:color w:val="4966AC"/>
        </w:rPr>
        <w:t>(Strategic</w:t>
      </w:r>
      <w:r>
        <w:rPr>
          <w:color w:val="4966AC"/>
          <w:spacing w:val="-6"/>
        </w:rPr>
        <w:t> </w:t>
      </w:r>
      <w:r>
        <w:rPr>
          <w:color w:val="4966AC"/>
        </w:rPr>
        <w:t>Objective)</w:t>
      </w:r>
      <w:r>
        <w:rPr>
          <w:color w:val="4966AC"/>
          <w:spacing w:val="-2"/>
        </w:rPr>
        <w:t> </w:t>
      </w:r>
      <w:r>
        <w:rPr>
          <w:color w:val="4966AC"/>
        </w:rPr>
        <w:t>8:</w:t>
      </w:r>
      <w:r>
        <w:rPr>
          <w:color w:val="4966AC"/>
          <w:spacing w:val="-4"/>
        </w:rPr>
        <w:t> </w:t>
      </w:r>
      <w:r>
        <w:rPr>
          <w:color w:val="4966AC"/>
        </w:rPr>
        <w:t>A</w:t>
      </w:r>
      <w:r>
        <w:rPr>
          <w:color w:val="4966AC"/>
          <w:spacing w:val="-4"/>
        </w:rPr>
        <w:t> </w:t>
      </w:r>
      <w:r>
        <w:rPr>
          <w:color w:val="4966AC"/>
        </w:rPr>
        <w:t>well</w:t>
      </w:r>
      <w:r>
        <w:rPr>
          <w:color w:val="4966AC"/>
          <w:spacing w:val="-4"/>
        </w:rPr>
        <w:t> </w:t>
      </w:r>
      <w:r>
        <w:rPr>
          <w:color w:val="4966AC"/>
        </w:rPr>
        <w:t>governed</w:t>
      </w:r>
      <w:r>
        <w:rPr>
          <w:color w:val="4966AC"/>
          <w:spacing w:val="-4"/>
        </w:rPr>
        <w:t> </w:t>
      </w:r>
      <w:r>
        <w:rPr>
          <w:color w:val="4966AC"/>
        </w:rPr>
        <w:t>and</w:t>
      </w:r>
      <w:r>
        <w:rPr>
          <w:color w:val="4966AC"/>
          <w:spacing w:val="-4"/>
        </w:rPr>
        <w:t> </w:t>
      </w:r>
      <w:r>
        <w:rPr>
          <w:color w:val="4966AC"/>
        </w:rPr>
        <w:t>empowered </w:t>
      </w:r>
      <w:r>
        <w:rPr>
          <w:color w:val="4966AC"/>
          <w:spacing w:val="-2"/>
        </w:rPr>
        <w:t>community</w:t>
      </w:r>
    </w:p>
    <w:p>
      <w:pPr>
        <w:pStyle w:val="BodyText"/>
        <w:spacing w:before="8"/>
        <w:rPr>
          <w:b/>
          <w:sz w:val="21"/>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42"/>
        <w:gridCol w:w="995"/>
        <w:gridCol w:w="1280"/>
        <w:gridCol w:w="1272"/>
        <w:gridCol w:w="1393"/>
      </w:tblGrid>
      <w:tr>
        <w:trPr>
          <w:trHeight w:val="863" w:hRule="atLeast"/>
        </w:trPr>
        <w:tc>
          <w:tcPr>
            <w:tcW w:w="6537" w:type="dxa"/>
            <w:gridSpan w:val="2"/>
            <w:tcBorders>
              <w:bottom w:val="nil"/>
              <w:right w:val="nil"/>
            </w:tcBorders>
            <w:shd w:val="clear" w:color="auto" w:fill="5B9AD4"/>
          </w:tcPr>
          <w:p>
            <w:pPr>
              <w:pStyle w:val="TableParagraph"/>
              <w:spacing w:before="8"/>
              <w:rPr>
                <w:b/>
                <w:sz w:val="26"/>
              </w:rPr>
            </w:pPr>
          </w:p>
          <w:p>
            <w:pPr>
              <w:pStyle w:val="TableParagraph"/>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1280" w:type="dxa"/>
            <w:tcBorders>
              <w:left w:val="nil"/>
              <w:bottom w:val="nil"/>
              <w:right w:val="nil"/>
            </w:tcBorders>
            <w:shd w:val="clear" w:color="auto" w:fill="5B9AD4"/>
          </w:tcPr>
          <w:p>
            <w:pPr>
              <w:pStyle w:val="TableParagraph"/>
              <w:spacing w:before="19"/>
              <w:ind w:left="109" w:right="109"/>
              <w:jc w:val="center"/>
              <w:rPr>
                <w:b/>
                <w:sz w:val="22"/>
              </w:rPr>
            </w:pPr>
            <w:r>
              <w:rPr>
                <w:b/>
                <w:color w:val="FFFFFF"/>
                <w:spacing w:val="-2"/>
                <w:sz w:val="22"/>
              </w:rPr>
              <w:t>2022/2023</w:t>
            </w:r>
          </w:p>
          <w:p>
            <w:pPr>
              <w:pStyle w:val="TableParagraph"/>
              <w:spacing w:before="35"/>
              <w:ind w:left="106" w:right="109"/>
              <w:jc w:val="center"/>
              <w:rPr>
                <w:b/>
                <w:sz w:val="22"/>
              </w:rPr>
            </w:pPr>
            <w:r>
              <w:rPr>
                <w:b/>
                <w:color w:val="FFFFFF"/>
                <w:spacing w:val="-2"/>
                <w:sz w:val="22"/>
              </w:rPr>
              <w:t>Actual</w:t>
            </w:r>
          </w:p>
          <w:p>
            <w:pPr>
              <w:pStyle w:val="TableParagraph"/>
              <w:spacing w:line="249" w:lineRule="exact" w:before="35"/>
              <w:ind w:left="105" w:right="109"/>
              <w:jc w:val="center"/>
              <w:rPr>
                <w:b/>
                <w:sz w:val="22"/>
              </w:rPr>
            </w:pPr>
            <w:r>
              <w:rPr>
                <w:b/>
                <w:color w:val="FFFFFF"/>
                <w:spacing w:val="-2"/>
                <w:sz w:val="22"/>
              </w:rPr>
              <w:t>$'000</w:t>
            </w:r>
          </w:p>
        </w:tc>
        <w:tc>
          <w:tcPr>
            <w:tcW w:w="1272" w:type="dxa"/>
            <w:tcBorders>
              <w:left w:val="nil"/>
              <w:bottom w:val="nil"/>
              <w:right w:val="nil"/>
            </w:tcBorders>
            <w:shd w:val="clear" w:color="auto" w:fill="5B9AD4"/>
          </w:tcPr>
          <w:p>
            <w:pPr>
              <w:pStyle w:val="TableParagraph"/>
              <w:spacing w:before="19"/>
              <w:ind w:left="102" w:right="102"/>
              <w:jc w:val="center"/>
              <w:rPr>
                <w:b/>
                <w:sz w:val="22"/>
              </w:rPr>
            </w:pPr>
            <w:r>
              <w:rPr>
                <w:b/>
                <w:color w:val="FFFFFF"/>
                <w:spacing w:val="-2"/>
                <w:sz w:val="22"/>
              </w:rPr>
              <w:t>2023/2024</w:t>
            </w:r>
          </w:p>
          <w:p>
            <w:pPr>
              <w:pStyle w:val="TableParagraph"/>
              <w:spacing w:before="35"/>
              <w:ind w:left="100" w:right="102"/>
              <w:jc w:val="center"/>
              <w:rPr>
                <w:b/>
                <w:sz w:val="22"/>
              </w:rPr>
            </w:pPr>
            <w:r>
              <w:rPr>
                <w:b/>
                <w:color w:val="FFFFFF"/>
                <w:spacing w:val="-2"/>
                <w:sz w:val="22"/>
              </w:rPr>
              <w:t>Forecast</w:t>
            </w:r>
          </w:p>
          <w:p>
            <w:pPr>
              <w:pStyle w:val="TableParagraph"/>
              <w:spacing w:line="249" w:lineRule="exact" w:before="35"/>
              <w:ind w:left="99" w:right="102"/>
              <w:jc w:val="center"/>
              <w:rPr>
                <w:b/>
                <w:sz w:val="22"/>
              </w:rPr>
            </w:pPr>
            <w:r>
              <w:rPr>
                <w:b/>
                <w:color w:val="FFFFFF"/>
                <w:spacing w:val="-2"/>
                <w:sz w:val="22"/>
              </w:rPr>
              <w:t>$'000</w:t>
            </w:r>
          </w:p>
        </w:tc>
        <w:tc>
          <w:tcPr>
            <w:tcW w:w="1393" w:type="dxa"/>
            <w:tcBorders>
              <w:left w:val="nil"/>
              <w:bottom w:val="nil"/>
            </w:tcBorders>
            <w:shd w:val="clear" w:color="auto" w:fill="5B9AD4"/>
          </w:tcPr>
          <w:p>
            <w:pPr>
              <w:pStyle w:val="TableParagraph"/>
              <w:spacing w:before="19"/>
              <w:ind w:left="164" w:right="162"/>
              <w:jc w:val="center"/>
              <w:rPr>
                <w:b/>
                <w:sz w:val="22"/>
              </w:rPr>
            </w:pPr>
            <w:r>
              <w:rPr>
                <w:b/>
                <w:color w:val="FFFFFF"/>
                <w:spacing w:val="-2"/>
                <w:sz w:val="22"/>
              </w:rPr>
              <w:t>2024/2025</w:t>
            </w:r>
          </w:p>
          <w:p>
            <w:pPr>
              <w:pStyle w:val="TableParagraph"/>
              <w:spacing w:before="35"/>
              <w:ind w:left="163" w:right="162"/>
              <w:jc w:val="center"/>
              <w:rPr>
                <w:b/>
                <w:sz w:val="22"/>
              </w:rPr>
            </w:pPr>
            <w:r>
              <w:rPr>
                <w:b/>
                <w:color w:val="FFFFFF"/>
                <w:spacing w:val="-2"/>
                <w:sz w:val="22"/>
              </w:rPr>
              <w:t>Budget</w:t>
            </w:r>
          </w:p>
          <w:p>
            <w:pPr>
              <w:pStyle w:val="TableParagraph"/>
              <w:spacing w:line="249" w:lineRule="exact" w:before="35"/>
              <w:ind w:left="164" w:right="161"/>
              <w:jc w:val="center"/>
              <w:rPr>
                <w:b/>
                <w:sz w:val="22"/>
              </w:rPr>
            </w:pPr>
            <w:r>
              <w:rPr>
                <w:b/>
                <w:color w:val="FFFFFF"/>
                <w:spacing w:val="-2"/>
                <w:sz w:val="22"/>
              </w:rPr>
              <w:t>$'000</w:t>
            </w:r>
          </w:p>
        </w:tc>
      </w:tr>
      <w:tr>
        <w:trPr>
          <w:trHeight w:val="506" w:hRule="atLeast"/>
        </w:trPr>
        <w:tc>
          <w:tcPr>
            <w:tcW w:w="10482" w:type="dxa"/>
            <w:gridSpan w:val="5"/>
            <w:tcBorders>
              <w:top w:val="nil"/>
            </w:tcBorders>
          </w:tcPr>
          <w:p>
            <w:pPr>
              <w:pStyle w:val="TableParagraph"/>
              <w:spacing w:line="254" w:lineRule="exact"/>
              <w:ind w:left="107" w:right="4908"/>
              <w:rPr>
                <w:b/>
                <w:sz w:val="22"/>
              </w:rPr>
            </w:pPr>
            <w:r>
              <w:rPr>
                <w:b/>
                <w:color w:val="5B9AD4"/>
                <w:sz w:val="22"/>
              </w:rPr>
              <w:t>Communications and Engagement (Communications</w:t>
            </w:r>
            <w:r>
              <w:rPr>
                <w:b/>
                <w:color w:val="5B9AD4"/>
                <w:spacing w:val="-11"/>
                <w:sz w:val="22"/>
              </w:rPr>
              <w:t> </w:t>
            </w:r>
            <w:r>
              <w:rPr>
                <w:b/>
                <w:color w:val="5B9AD4"/>
                <w:sz w:val="22"/>
              </w:rPr>
              <w:t>and</w:t>
            </w:r>
            <w:r>
              <w:rPr>
                <w:b/>
                <w:color w:val="5B9AD4"/>
                <w:spacing w:val="-14"/>
                <w:sz w:val="22"/>
              </w:rPr>
              <w:t> </w:t>
            </w:r>
            <w:r>
              <w:rPr>
                <w:b/>
                <w:color w:val="5B9AD4"/>
                <w:sz w:val="22"/>
              </w:rPr>
              <w:t>Citizen</w:t>
            </w:r>
            <w:r>
              <w:rPr>
                <w:b/>
                <w:color w:val="5B9AD4"/>
                <w:spacing w:val="-11"/>
                <w:sz w:val="22"/>
              </w:rPr>
              <w:t> </w:t>
            </w:r>
            <w:r>
              <w:rPr>
                <w:b/>
                <w:color w:val="5B9AD4"/>
                <w:sz w:val="22"/>
              </w:rPr>
              <w:t>Experience)</w:t>
            </w:r>
          </w:p>
        </w:tc>
      </w:tr>
      <w:tr>
        <w:trPr>
          <w:trHeight w:val="585" w:hRule="atLeast"/>
        </w:trPr>
        <w:tc>
          <w:tcPr>
            <w:tcW w:w="6537" w:type="dxa"/>
            <w:gridSpan w:val="2"/>
            <w:tcBorders>
              <w:bottom w:val="nil"/>
              <w:right w:val="nil"/>
            </w:tcBorders>
          </w:tcPr>
          <w:p>
            <w:pPr>
              <w:pStyle w:val="TableParagraph"/>
              <w:spacing w:line="250" w:lineRule="exact"/>
              <w:ind w:left="107"/>
              <w:rPr>
                <w:sz w:val="18"/>
              </w:rPr>
            </w:pPr>
            <w:r>
              <w:rPr>
                <w:sz w:val="22"/>
              </w:rPr>
              <w:t>Communications</w:t>
            </w:r>
            <w:r>
              <w:rPr>
                <w:spacing w:val="-4"/>
                <w:sz w:val="22"/>
              </w:rPr>
              <w:t> </w:t>
            </w:r>
            <w:r>
              <w:rPr>
                <w:sz w:val="22"/>
              </w:rPr>
              <w:t>and</w:t>
            </w:r>
            <w:r>
              <w:rPr>
                <w:spacing w:val="-3"/>
                <w:sz w:val="22"/>
              </w:rPr>
              <w:t> </w:t>
            </w:r>
            <w:r>
              <w:rPr>
                <w:sz w:val="22"/>
              </w:rPr>
              <w:t>Engagement</w:t>
            </w:r>
            <w:r>
              <w:rPr>
                <w:spacing w:val="-3"/>
                <w:sz w:val="22"/>
              </w:rPr>
              <w:t> </w:t>
            </w:r>
            <w:r>
              <w:rPr>
                <w:sz w:val="22"/>
              </w:rPr>
              <w:t>promotes</w:t>
            </w:r>
            <w:r>
              <w:rPr>
                <w:spacing w:val="-6"/>
                <w:sz w:val="22"/>
              </w:rPr>
              <w:t> </w:t>
            </w:r>
            <w:r>
              <w:rPr>
                <w:sz w:val="22"/>
              </w:rPr>
              <w:t>the</w:t>
            </w:r>
            <w:r>
              <w:rPr>
                <w:spacing w:val="-6"/>
                <w:sz w:val="22"/>
              </w:rPr>
              <w:t> </w:t>
            </w:r>
            <w:r>
              <w:rPr>
                <w:sz w:val="22"/>
              </w:rPr>
              <w:t>breadt</w:t>
            </w:r>
            <w:r>
              <w:rPr>
                <w:spacing w:val="63"/>
                <w:sz w:val="22"/>
              </w:rPr>
              <w:t> </w:t>
            </w:r>
            <w:r>
              <w:rPr>
                <w:spacing w:val="-5"/>
                <w:position w:val="4"/>
                <w:sz w:val="18"/>
              </w:rPr>
              <w:t>Inc</w:t>
            </w:r>
          </w:p>
          <w:p>
            <w:pPr>
              <w:pStyle w:val="TableParagraph"/>
              <w:tabs>
                <w:tab w:pos="5649" w:val="left" w:leader="none"/>
              </w:tabs>
              <w:spacing w:line="254" w:lineRule="exact"/>
              <w:ind w:left="107"/>
              <w:rPr>
                <w:sz w:val="18"/>
              </w:rPr>
            </w:pPr>
            <w:r>
              <w:rPr>
                <w:position w:val="1"/>
                <w:sz w:val="22"/>
              </w:rPr>
              <w:t>of</w:t>
            </w:r>
            <w:r>
              <w:rPr>
                <w:spacing w:val="-2"/>
                <w:position w:val="1"/>
                <w:sz w:val="22"/>
              </w:rPr>
              <w:t> </w:t>
            </w:r>
            <w:r>
              <w:rPr>
                <w:position w:val="1"/>
                <w:sz w:val="22"/>
              </w:rPr>
              <w:t>work</w:t>
            </w:r>
            <w:r>
              <w:rPr>
                <w:spacing w:val="-3"/>
                <w:position w:val="1"/>
                <w:sz w:val="22"/>
              </w:rPr>
              <w:t> </w:t>
            </w:r>
            <w:r>
              <w:rPr>
                <w:position w:val="1"/>
                <w:sz w:val="22"/>
              </w:rPr>
              <w:t>and</w:t>
            </w:r>
            <w:r>
              <w:rPr>
                <w:spacing w:val="-5"/>
                <w:position w:val="1"/>
                <w:sz w:val="22"/>
              </w:rPr>
              <w:t> </w:t>
            </w:r>
            <w:r>
              <w:rPr>
                <w:position w:val="1"/>
                <w:sz w:val="22"/>
              </w:rPr>
              <w:t>the</w:t>
            </w:r>
            <w:r>
              <w:rPr>
                <w:spacing w:val="-5"/>
                <w:position w:val="1"/>
                <w:sz w:val="22"/>
              </w:rPr>
              <w:t> </w:t>
            </w:r>
            <w:r>
              <w:rPr>
                <w:position w:val="1"/>
                <w:sz w:val="22"/>
              </w:rPr>
              <w:t>many</w:t>
            </w:r>
            <w:r>
              <w:rPr>
                <w:spacing w:val="-4"/>
                <w:position w:val="1"/>
                <w:sz w:val="22"/>
              </w:rPr>
              <w:t> </w:t>
            </w:r>
            <w:r>
              <w:rPr>
                <w:position w:val="1"/>
                <w:sz w:val="22"/>
              </w:rPr>
              <w:t>achievements/</w:t>
            </w:r>
            <w:r>
              <w:rPr>
                <w:spacing w:val="-3"/>
                <w:position w:val="1"/>
                <w:sz w:val="22"/>
              </w:rPr>
              <w:t> </w:t>
            </w:r>
            <w:r>
              <w:rPr>
                <w:position w:val="1"/>
                <w:sz w:val="22"/>
              </w:rPr>
              <w:t>outcomes</w:t>
            </w:r>
            <w:r>
              <w:rPr>
                <w:spacing w:val="-3"/>
                <w:position w:val="1"/>
                <w:sz w:val="22"/>
              </w:rPr>
              <w:t> </w:t>
            </w:r>
            <w:r>
              <w:rPr>
                <w:spacing w:val="-7"/>
                <w:position w:val="1"/>
                <w:sz w:val="22"/>
              </w:rPr>
              <w:t>of</w:t>
            </w:r>
            <w:r>
              <w:rPr>
                <w:position w:val="1"/>
                <w:sz w:val="22"/>
              </w:rPr>
              <w:tab/>
            </w:r>
            <w:r>
              <w:rPr>
                <w:spacing w:val="-5"/>
                <w:sz w:val="18"/>
              </w:rPr>
              <w:t>Exp</w:t>
            </w:r>
          </w:p>
        </w:tc>
        <w:tc>
          <w:tcPr>
            <w:tcW w:w="1280" w:type="dxa"/>
            <w:tcBorders>
              <w:left w:val="nil"/>
              <w:right w:val="nil"/>
            </w:tcBorders>
          </w:tcPr>
          <w:p>
            <w:pPr>
              <w:pStyle w:val="TableParagraph"/>
              <w:spacing w:line="204" w:lineRule="exact"/>
              <w:ind w:right="109"/>
              <w:jc w:val="right"/>
              <w:rPr>
                <w:sz w:val="18"/>
              </w:rPr>
            </w:pPr>
            <w:r>
              <w:rPr>
                <w:sz w:val="18"/>
              </w:rPr>
              <w:t>4</w:t>
            </w:r>
          </w:p>
          <w:p>
            <w:pPr>
              <w:pStyle w:val="TableParagraph"/>
              <w:spacing w:before="93"/>
              <w:ind w:right="106"/>
              <w:jc w:val="right"/>
              <w:rPr>
                <w:sz w:val="18"/>
              </w:rPr>
            </w:pPr>
            <w:r>
              <w:rPr>
                <w:spacing w:val="-2"/>
                <w:sz w:val="18"/>
              </w:rPr>
              <w:t>1,801</w:t>
            </w:r>
          </w:p>
        </w:tc>
        <w:tc>
          <w:tcPr>
            <w:tcW w:w="1272" w:type="dxa"/>
            <w:tcBorders>
              <w:left w:val="nil"/>
              <w:right w:val="nil"/>
            </w:tcBorders>
          </w:tcPr>
          <w:p>
            <w:pPr>
              <w:pStyle w:val="TableParagraph"/>
              <w:spacing w:line="204" w:lineRule="exact"/>
              <w:ind w:right="103"/>
              <w:jc w:val="right"/>
              <w:rPr>
                <w:sz w:val="18"/>
              </w:rPr>
            </w:pPr>
            <w:r>
              <w:rPr>
                <w:sz w:val="18"/>
              </w:rPr>
              <w:t>-</w:t>
            </w:r>
          </w:p>
          <w:p>
            <w:pPr>
              <w:pStyle w:val="TableParagraph"/>
              <w:spacing w:before="93"/>
              <w:ind w:right="102"/>
              <w:jc w:val="right"/>
              <w:rPr>
                <w:sz w:val="18"/>
              </w:rPr>
            </w:pPr>
            <w:r>
              <w:rPr>
                <w:spacing w:val="-2"/>
                <w:sz w:val="18"/>
              </w:rPr>
              <w:t>2,183</w:t>
            </w:r>
          </w:p>
        </w:tc>
        <w:tc>
          <w:tcPr>
            <w:tcW w:w="1393" w:type="dxa"/>
            <w:tcBorders>
              <w:left w:val="nil"/>
            </w:tcBorders>
            <w:shd w:val="clear" w:color="auto" w:fill="BCD6ED"/>
          </w:tcPr>
          <w:p>
            <w:pPr>
              <w:pStyle w:val="TableParagraph"/>
              <w:spacing w:line="204" w:lineRule="exact"/>
              <w:ind w:right="100"/>
              <w:jc w:val="right"/>
              <w:rPr>
                <w:sz w:val="18"/>
              </w:rPr>
            </w:pPr>
            <w:r>
              <w:rPr>
                <w:sz w:val="18"/>
              </w:rPr>
              <w:t>9</w:t>
            </w:r>
          </w:p>
          <w:p>
            <w:pPr>
              <w:pStyle w:val="TableParagraph"/>
              <w:spacing w:before="93"/>
              <w:ind w:right="98"/>
              <w:jc w:val="right"/>
              <w:rPr>
                <w:sz w:val="18"/>
              </w:rPr>
            </w:pPr>
            <w:r>
              <w:rPr>
                <w:spacing w:val="-2"/>
                <w:sz w:val="18"/>
              </w:rPr>
              <w:t>2,393</w:t>
            </w:r>
          </w:p>
        </w:tc>
      </w:tr>
      <w:tr>
        <w:trPr>
          <w:trHeight w:val="2438" w:hRule="atLeast"/>
        </w:trPr>
        <w:tc>
          <w:tcPr>
            <w:tcW w:w="5542" w:type="dxa"/>
            <w:tcBorders>
              <w:top w:val="nil"/>
              <w:right w:val="nil"/>
            </w:tcBorders>
          </w:tcPr>
          <w:p>
            <w:pPr>
              <w:pStyle w:val="TableParagraph"/>
              <w:spacing w:line="162" w:lineRule="exact"/>
              <w:ind w:left="107"/>
              <w:rPr>
                <w:sz w:val="22"/>
              </w:rPr>
            </w:pPr>
            <w:r>
              <w:rPr>
                <w:sz w:val="22"/>
              </w:rPr>
              <w:t>Council</w:t>
            </w:r>
            <w:r>
              <w:rPr>
                <w:spacing w:val="-4"/>
                <w:sz w:val="22"/>
              </w:rPr>
              <w:t> </w:t>
            </w:r>
            <w:r>
              <w:rPr>
                <w:sz w:val="22"/>
              </w:rPr>
              <w:t>and</w:t>
            </w:r>
            <w:r>
              <w:rPr>
                <w:spacing w:val="-2"/>
                <w:sz w:val="22"/>
              </w:rPr>
              <w:t> </w:t>
            </w:r>
            <w:r>
              <w:rPr>
                <w:sz w:val="22"/>
              </w:rPr>
              <w:t>keeps</w:t>
            </w:r>
            <w:r>
              <w:rPr>
                <w:spacing w:val="-3"/>
                <w:sz w:val="22"/>
              </w:rPr>
              <w:t> </w:t>
            </w:r>
            <w:r>
              <w:rPr>
                <w:sz w:val="22"/>
              </w:rPr>
              <w:t>the</w:t>
            </w:r>
            <w:r>
              <w:rPr>
                <w:spacing w:val="-5"/>
                <w:sz w:val="22"/>
              </w:rPr>
              <w:t> </w:t>
            </w:r>
            <w:r>
              <w:rPr>
                <w:sz w:val="22"/>
              </w:rPr>
              <w:t>community</w:t>
            </w:r>
            <w:r>
              <w:rPr>
                <w:spacing w:val="-3"/>
                <w:sz w:val="22"/>
              </w:rPr>
              <w:t> </w:t>
            </w:r>
            <w:r>
              <w:rPr>
                <w:sz w:val="22"/>
              </w:rPr>
              <w:t>and</w:t>
            </w:r>
            <w:r>
              <w:rPr>
                <w:spacing w:val="-5"/>
                <w:sz w:val="22"/>
              </w:rPr>
              <w:t> </w:t>
            </w:r>
            <w:r>
              <w:rPr>
                <w:spacing w:val="-2"/>
                <w:sz w:val="22"/>
              </w:rPr>
              <w:t>employees</w:t>
            </w:r>
          </w:p>
          <w:p>
            <w:pPr>
              <w:pStyle w:val="TableParagraph"/>
              <w:spacing w:line="252" w:lineRule="exact" w:before="1"/>
              <w:ind w:left="107"/>
              <w:rPr>
                <w:sz w:val="22"/>
              </w:rPr>
            </w:pPr>
            <w:r>
              <w:rPr>
                <w:sz w:val="22"/>
              </w:rPr>
              <w:t>informed</w:t>
            </w:r>
            <w:r>
              <w:rPr>
                <w:spacing w:val="-3"/>
                <w:sz w:val="22"/>
              </w:rPr>
              <w:t> </w:t>
            </w:r>
            <w:r>
              <w:rPr>
                <w:sz w:val="22"/>
              </w:rPr>
              <w:t>and</w:t>
            </w:r>
            <w:r>
              <w:rPr>
                <w:spacing w:val="-1"/>
                <w:sz w:val="22"/>
              </w:rPr>
              <w:t> </w:t>
            </w:r>
            <w:r>
              <w:rPr>
                <w:spacing w:val="-2"/>
                <w:sz w:val="22"/>
              </w:rPr>
              <w:t>engaged.</w:t>
            </w:r>
          </w:p>
          <w:p>
            <w:pPr>
              <w:pStyle w:val="TableParagraph"/>
              <w:ind w:left="107"/>
              <w:rPr>
                <w:sz w:val="22"/>
              </w:rPr>
            </w:pPr>
            <w:r>
              <w:rPr>
                <w:sz w:val="22"/>
              </w:rPr>
              <w:t>The team is responsible for communication and engagement</w:t>
            </w:r>
            <w:r>
              <w:rPr>
                <w:spacing w:val="-6"/>
                <w:sz w:val="22"/>
              </w:rPr>
              <w:t> </w:t>
            </w:r>
            <w:r>
              <w:rPr>
                <w:sz w:val="22"/>
              </w:rPr>
              <w:t>strategy</w:t>
            </w:r>
            <w:r>
              <w:rPr>
                <w:spacing w:val="-7"/>
                <w:sz w:val="22"/>
              </w:rPr>
              <w:t> </w:t>
            </w:r>
            <w:r>
              <w:rPr>
                <w:sz w:val="22"/>
              </w:rPr>
              <w:t>and</w:t>
            </w:r>
            <w:r>
              <w:rPr>
                <w:spacing w:val="-9"/>
                <w:sz w:val="22"/>
              </w:rPr>
              <w:t> </w:t>
            </w:r>
            <w:r>
              <w:rPr>
                <w:sz w:val="22"/>
              </w:rPr>
              <w:t>planning;</w:t>
            </w:r>
            <w:r>
              <w:rPr>
                <w:spacing w:val="-5"/>
                <w:sz w:val="22"/>
              </w:rPr>
              <w:t> </w:t>
            </w:r>
            <w:r>
              <w:rPr>
                <w:sz w:val="22"/>
              </w:rPr>
              <w:t>content</w:t>
            </w:r>
            <w:r>
              <w:rPr>
                <w:spacing w:val="-9"/>
                <w:sz w:val="22"/>
              </w:rPr>
              <w:t> </w:t>
            </w:r>
            <w:r>
              <w:rPr>
                <w:sz w:val="22"/>
              </w:rPr>
              <w:t>creation; media management; publication development and distribution;</w:t>
            </w:r>
            <w:r>
              <w:rPr>
                <w:spacing w:val="-1"/>
                <w:sz w:val="22"/>
              </w:rPr>
              <w:t> </w:t>
            </w:r>
            <w:r>
              <w:rPr>
                <w:sz w:val="22"/>
              </w:rPr>
              <w:t>community</w:t>
            </w:r>
            <w:r>
              <w:rPr>
                <w:spacing w:val="-2"/>
                <w:sz w:val="22"/>
              </w:rPr>
              <w:t> </w:t>
            </w:r>
            <w:r>
              <w:rPr>
                <w:sz w:val="22"/>
              </w:rPr>
              <w:t>engagement</w:t>
            </w:r>
            <w:r>
              <w:rPr>
                <w:spacing w:val="-4"/>
                <w:sz w:val="22"/>
              </w:rPr>
              <w:t> </w:t>
            </w:r>
            <w:r>
              <w:rPr>
                <w:sz w:val="22"/>
              </w:rPr>
              <w:t>activity;</w:t>
            </w:r>
            <w:r>
              <w:rPr>
                <w:spacing w:val="-2"/>
                <w:sz w:val="22"/>
              </w:rPr>
              <w:t> </w:t>
            </w:r>
            <w:r>
              <w:rPr>
                <w:sz w:val="22"/>
              </w:rPr>
              <w:t>internal communications; and the promotion, branding and marketing of Maroondah City Council’s services, activities and events, including Maroondah Leisure</w:t>
            </w:r>
          </w:p>
          <w:p>
            <w:pPr>
              <w:pStyle w:val="TableParagraph"/>
              <w:spacing w:line="232" w:lineRule="exact"/>
              <w:ind w:left="107"/>
              <w:rPr>
                <w:sz w:val="22"/>
              </w:rPr>
            </w:pPr>
            <w:r>
              <w:rPr>
                <w:spacing w:val="-2"/>
                <w:sz w:val="22"/>
              </w:rPr>
              <w:t>facilities.</w:t>
            </w:r>
          </w:p>
        </w:tc>
        <w:tc>
          <w:tcPr>
            <w:tcW w:w="995" w:type="dxa"/>
            <w:tcBorders>
              <w:left w:val="nil"/>
              <w:right w:val="nil"/>
            </w:tcBorders>
          </w:tcPr>
          <w:p>
            <w:pPr>
              <w:pStyle w:val="TableParagraph"/>
              <w:ind w:left="112" w:right="105"/>
              <w:rPr>
                <w:b/>
                <w:sz w:val="18"/>
              </w:rPr>
            </w:pPr>
            <w:r>
              <w:rPr>
                <w:b/>
                <w:sz w:val="18"/>
              </w:rPr>
              <w:t>Surplus</w:t>
            </w:r>
            <w:r>
              <w:rPr>
                <w:b/>
                <w:spacing w:val="-13"/>
                <w:sz w:val="18"/>
              </w:rPr>
              <w:t> </w:t>
            </w:r>
            <w:r>
              <w:rPr>
                <w:b/>
                <w:sz w:val="18"/>
              </w:rPr>
              <w:t>/ </w:t>
            </w:r>
            <w:r>
              <w:rPr>
                <w:b/>
                <w:spacing w:val="-2"/>
                <w:sz w:val="18"/>
              </w:rPr>
              <w:t>(deficit)</w:t>
            </w:r>
          </w:p>
        </w:tc>
        <w:tc>
          <w:tcPr>
            <w:tcW w:w="1280" w:type="dxa"/>
            <w:tcBorders>
              <w:left w:val="nil"/>
              <w:right w:val="nil"/>
            </w:tcBorders>
          </w:tcPr>
          <w:p>
            <w:pPr>
              <w:pStyle w:val="TableParagraph"/>
              <w:spacing w:line="206" w:lineRule="exact"/>
              <w:ind w:right="106"/>
              <w:jc w:val="right"/>
              <w:rPr>
                <w:b/>
                <w:sz w:val="18"/>
              </w:rPr>
            </w:pPr>
            <w:r>
              <w:rPr>
                <w:b/>
                <w:spacing w:val="-2"/>
                <w:sz w:val="18"/>
              </w:rPr>
              <w:t>(1,797)</w:t>
            </w:r>
          </w:p>
        </w:tc>
        <w:tc>
          <w:tcPr>
            <w:tcW w:w="1272" w:type="dxa"/>
            <w:tcBorders>
              <w:left w:val="nil"/>
              <w:right w:val="nil"/>
            </w:tcBorders>
          </w:tcPr>
          <w:p>
            <w:pPr>
              <w:pStyle w:val="TableParagraph"/>
              <w:spacing w:line="206" w:lineRule="exact"/>
              <w:ind w:right="102"/>
              <w:jc w:val="right"/>
              <w:rPr>
                <w:b/>
                <w:sz w:val="18"/>
              </w:rPr>
            </w:pPr>
            <w:r>
              <w:rPr>
                <w:b/>
                <w:spacing w:val="-2"/>
                <w:sz w:val="18"/>
              </w:rPr>
              <w:t>(2,183)</w:t>
            </w:r>
          </w:p>
        </w:tc>
        <w:tc>
          <w:tcPr>
            <w:tcW w:w="1393" w:type="dxa"/>
            <w:tcBorders>
              <w:left w:val="nil"/>
            </w:tcBorders>
            <w:shd w:val="clear" w:color="auto" w:fill="BCD6ED"/>
          </w:tcPr>
          <w:p>
            <w:pPr>
              <w:pStyle w:val="TableParagraph"/>
              <w:spacing w:line="206" w:lineRule="exact"/>
              <w:ind w:right="98"/>
              <w:jc w:val="right"/>
              <w:rPr>
                <w:b/>
                <w:sz w:val="18"/>
              </w:rPr>
            </w:pPr>
            <w:r>
              <w:rPr>
                <w:b/>
                <w:spacing w:val="-2"/>
                <w:sz w:val="18"/>
              </w:rPr>
              <w:t>(2,384)</w:t>
            </w:r>
          </w:p>
        </w:tc>
      </w:tr>
      <w:tr>
        <w:trPr>
          <w:trHeight w:val="505" w:hRule="atLeast"/>
        </w:trPr>
        <w:tc>
          <w:tcPr>
            <w:tcW w:w="10482" w:type="dxa"/>
            <w:gridSpan w:val="5"/>
          </w:tcPr>
          <w:p>
            <w:pPr>
              <w:pStyle w:val="TableParagraph"/>
              <w:spacing w:line="254" w:lineRule="exact"/>
              <w:ind w:left="107" w:right="4908"/>
              <w:rPr>
                <w:b/>
                <w:sz w:val="22"/>
              </w:rPr>
            </w:pPr>
            <w:r>
              <w:rPr>
                <w:b/>
                <w:color w:val="5B9AD4"/>
                <w:sz w:val="22"/>
              </w:rPr>
              <w:t>Corporate</w:t>
            </w:r>
            <w:r>
              <w:rPr>
                <w:b/>
                <w:color w:val="5B9AD4"/>
                <w:spacing w:val="-8"/>
                <w:sz w:val="22"/>
              </w:rPr>
              <w:t> </w:t>
            </w:r>
            <w:r>
              <w:rPr>
                <w:b/>
                <w:color w:val="5B9AD4"/>
                <w:sz w:val="22"/>
              </w:rPr>
              <w:t>Planning,</w:t>
            </w:r>
            <w:r>
              <w:rPr>
                <w:b/>
                <w:color w:val="5B9AD4"/>
                <w:spacing w:val="-9"/>
                <w:sz w:val="22"/>
              </w:rPr>
              <w:t> </w:t>
            </w:r>
            <w:r>
              <w:rPr>
                <w:b/>
                <w:color w:val="5B9AD4"/>
                <w:sz w:val="22"/>
              </w:rPr>
              <w:t>Risk</w:t>
            </w:r>
            <w:r>
              <w:rPr>
                <w:b/>
                <w:color w:val="5B9AD4"/>
                <w:spacing w:val="-9"/>
                <w:sz w:val="22"/>
              </w:rPr>
              <w:t> </w:t>
            </w:r>
            <w:r>
              <w:rPr>
                <w:b/>
                <w:color w:val="5B9AD4"/>
                <w:sz w:val="22"/>
              </w:rPr>
              <w:t>and</w:t>
            </w:r>
            <w:r>
              <w:rPr>
                <w:b/>
                <w:color w:val="5B9AD4"/>
                <w:spacing w:val="-10"/>
                <w:sz w:val="22"/>
              </w:rPr>
              <w:t> </w:t>
            </w:r>
            <w:r>
              <w:rPr>
                <w:b/>
                <w:color w:val="5B9AD4"/>
                <w:sz w:val="22"/>
              </w:rPr>
              <w:t>Information (Governance and Performance)</w:t>
            </w:r>
          </w:p>
        </w:tc>
      </w:tr>
      <w:tr>
        <w:trPr>
          <w:trHeight w:val="585" w:hRule="atLeast"/>
        </w:trPr>
        <w:tc>
          <w:tcPr>
            <w:tcW w:w="5542" w:type="dxa"/>
            <w:vMerge w:val="restart"/>
            <w:tcBorders>
              <w:right w:val="nil"/>
            </w:tcBorders>
          </w:tcPr>
          <w:p>
            <w:pPr>
              <w:pStyle w:val="TableParagraph"/>
              <w:ind w:left="107"/>
              <w:rPr>
                <w:sz w:val="22"/>
              </w:rPr>
            </w:pPr>
            <w:r>
              <w:rPr>
                <w:sz w:val="22"/>
              </w:rPr>
              <w:t>This unit oversees the corporate strategy, risk management,</w:t>
            </w:r>
            <w:r>
              <w:rPr>
                <w:spacing w:val="-9"/>
                <w:sz w:val="22"/>
              </w:rPr>
              <w:t> </w:t>
            </w:r>
            <w:r>
              <w:rPr>
                <w:sz w:val="22"/>
              </w:rPr>
              <w:t>integrity</w:t>
            </w:r>
            <w:r>
              <w:rPr>
                <w:spacing w:val="-9"/>
                <w:sz w:val="22"/>
              </w:rPr>
              <w:t> </w:t>
            </w:r>
            <w:r>
              <w:rPr>
                <w:sz w:val="22"/>
              </w:rPr>
              <w:t>and</w:t>
            </w:r>
            <w:r>
              <w:rPr>
                <w:spacing w:val="-8"/>
                <w:sz w:val="22"/>
              </w:rPr>
              <w:t> </w:t>
            </w:r>
            <w:r>
              <w:rPr>
                <w:sz w:val="22"/>
              </w:rPr>
              <w:t>information</w:t>
            </w:r>
            <w:r>
              <w:rPr>
                <w:spacing w:val="-8"/>
                <w:sz w:val="22"/>
              </w:rPr>
              <w:t> </w:t>
            </w:r>
            <w:r>
              <w:rPr>
                <w:sz w:val="22"/>
              </w:rPr>
              <w:t>management functions of Council.</w:t>
            </w:r>
          </w:p>
          <w:p>
            <w:pPr>
              <w:pStyle w:val="TableParagraph"/>
              <w:ind w:left="107" w:right="163"/>
              <w:rPr>
                <w:sz w:val="22"/>
              </w:rPr>
            </w:pPr>
            <w:r>
              <w:rPr>
                <w:sz w:val="22"/>
              </w:rPr>
              <w:t>The</w:t>
            </w:r>
            <w:r>
              <w:rPr>
                <w:spacing w:val="-6"/>
                <w:sz w:val="22"/>
              </w:rPr>
              <w:t> </w:t>
            </w:r>
            <w:r>
              <w:rPr>
                <w:sz w:val="22"/>
              </w:rPr>
              <w:t>Corporate</w:t>
            </w:r>
            <w:r>
              <w:rPr>
                <w:spacing w:val="-8"/>
                <w:sz w:val="22"/>
              </w:rPr>
              <w:t> </w:t>
            </w:r>
            <w:r>
              <w:rPr>
                <w:sz w:val="22"/>
              </w:rPr>
              <w:t>Planning</w:t>
            </w:r>
            <w:r>
              <w:rPr>
                <w:spacing w:val="-8"/>
                <w:sz w:val="22"/>
              </w:rPr>
              <w:t> </w:t>
            </w:r>
            <w:r>
              <w:rPr>
                <w:sz w:val="22"/>
              </w:rPr>
              <w:t>team</w:t>
            </w:r>
            <w:r>
              <w:rPr>
                <w:spacing w:val="-8"/>
                <w:sz w:val="22"/>
              </w:rPr>
              <w:t> </w:t>
            </w:r>
            <w:r>
              <w:rPr>
                <w:sz w:val="22"/>
              </w:rPr>
              <w:t>coordinates</w:t>
            </w:r>
            <w:r>
              <w:rPr>
                <w:spacing w:val="-4"/>
                <w:sz w:val="22"/>
              </w:rPr>
              <w:t> </w:t>
            </w:r>
            <w:r>
              <w:rPr>
                <w:sz w:val="22"/>
              </w:rPr>
              <w:t>Council’s integrated planning framework including the Community Vision, Council Plan, service delivery planning, and performance reporting.</w:t>
            </w:r>
          </w:p>
          <w:p>
            <w:pPr>
              <w:pStyle w:val="TableParagraph"/>
              <w:ind w:left="107" w:right="163"/>
              <w:rPr>
                <w:sz w:val="22"/>
              </w:rPr>
            </w:pPr>
            <w:r>
              <w:rPr>
                <w:sz w:val="22"/>
              </w:rPr>
              <w:t>The Risk and</w:t>
            </w:r>
            <w:r>
              <w:rPr>
                <w:spacing w:val="-1"/>
                <w:sz w:val="22"/>
              </w:rPr>
              <w:t> </w:t>
            </w:r>
            <w:r>
              <w:rPr>
                <w:sz w:val="22"/>
              </w:rPr>
              <w:t>Integrity</w:t>
            </w:r>
            <w:r>
              <w:rPr>
                <w:spacing w:val="-1"/>
                <w:sz w:val="22"/>
              </w:rPr>
              <w:t> </w:t>
            </w:r>
            <w:r>
              <w:rPr>
                <w:sz w:val="22"/>
              </w:rPr>
              <w:t>team leads</w:t>
            </w:r>
            <w:r>
              <w:rPr>
                <w:spacing w:val="-1"/>
                <w:sz w:val="22"/>
              </w:rPr>
              <w:t> </w:t>
            </w:r>
            <w:r>
              <w:rPr>
                <w:sz w:val="22"/>
              </w:rPr>
              <w:t>the</w:t>
            </w:r>
            <w:r>
              <w:rPr>
                <w:spacing w:val="-1"/>
                <w:sz w:val="22"/>
              </w:rPr>
              <w:t> </w:t>
            </w:r>
            <w:r>
              <w:rPr>
                <w:sz w:val="22"/>
              </w:rPr>
              <w:t>implementation and review of Council’s risk management framework across Council, manages claims and insurances, along</w:t>
            </w:r>
            <w:r>
              <w:rPr>
                <w:spacing w:val="-5"/>
                <w:sz w:val="22"/>
              </w:rPr>
              <w:t> </w:t>
            </w:r>
            <w:r>
              <w:rPr>
                <w:sz w:val="22"/>
              </w:rPr>
              <w:t>with</w:t>
            </w:r>
            <w:r>
              <w:rPr>
                <w:spacing w:val="-4"/>
                <w:sz w:val="22"/>
              </w:rPr>
              <w:t> </w:t>
            </w:r>
            <w:r>
              <w:rPr>
                <w:sz w:val="22"/>
              </w:rPr>
              <w:t>business</w:t>
            </w:r>
            <w:r>
              <w:rPr>
                <w:spacing w:val="-3"/>
                <w:sz w:val="22"/>
              </w:rPr>
              <w:t> </w:t>
            </w:r>
            <w:r>
              <w:rPr>
                <w:sz w:val="22"/>
              </w:rPr>
              <w:t>integrity</w:t>
            </w:r>
            <w:r>
              <w:rPr>
                <w:spacing w:val="-7"/>
                <w:sz w:val="22"/>
              </w:rPr>
              <w:t> </w:t>
            </w:r>
            <w:r>
              <w:rPr>
                <w:sz w:val="22"/>
              </w:rPr>
              <w:t>matters</w:t>
            </w:r>
            <w:r>
              <w:rPr>
                <w:spacing w:val="-5"/>
                <w:sz w:val="22"/>
              </w:rPr>
              <w:t> </w:t>
            </w:r>
            <w:r>
              <w:rPr>
                <w:sz w:val="22"/>
              </w:rPr>
              <w:t>such</w:t>
            </w:r>
            <w:r>
              <w:rPr>
                <w:spacing w:val="-3"/>
                <w:sz w:val="22"/>
              </w:rPr>
              <w:t> </w:t>
            </w:r>
            <w:r>
              <w:rPr>
                <w:sz w:val="22"/>
              </w:rPr>
              <w:t>as</w:t>
            </w:r>
            <w:r>
              <w:rPr>
                <w:spacing w:val="-7"/>
                <w:sz w:val="22"/>
              </w:rPr>
              <w:t> </w:t>
            </w:r>
            <w:r>
              <w:rPr>
                <w:sz w:val="22"/>
              </w:rPr>
              <w:t>freedom of information, privacy and fraud mitigation.</w:t>
            </w:r>
          </w:p>
          <w:p>
            <w:pPr>
              <w:pStyle w:val="TableParagraph"/>
              <w:spacing w:before="3"/>
              <w:ind w:left="107"/>
              <w:rPr>
                <w:sz w:val="22"/>
              </w:rPr>
            </w:pPr>
            <w:r>
              <w:rPr>
                <w:sz w:val="22"/>
              </w:rPr>
              <w:t>The</w:t>
            </w:r>
            <w:r>
              <w:rPr>
                <w:spacing w:val="-5"/>
                <w:sz w:val="22"/>
              </w:rPr>
              <w:t> </w:t>
            </w:r>
            <w:r>
              <w:rPr>
                <w:sz w:val="22"/>
              </w:rPr>
              <w:t>Information</w:t>
            </w:r>
            <w:r>
              <w:rPr>
                <w:spacing w:val="-7"/>
                <w:sz w:val="22"/>
              </w:rPr>
              <w:t> </w:t>
            </w:r>
            <w:r>
              <w:rPr>
                <w:sz w:val="22"/>
              </w:rPr>
              <w:t>Management</w:t>
            </w:r>
            <w:r>
              <w:rPr>
                <w:spacing w:val="-5"/>
                <w:sz w:val="22"/>
              </w:rPr>
              <w:t> </w:t>
            </w:r>
            <w:r>
              <w:rPr>
                <w:sz w:val="22"/>
              </w:rPr>
              <w:t>team</w:t>
            </w:r>
            <w:r>
              <w:rPr>
                <w:spacing w:val="-5"/>
                <w:sz w:val="22"/>
              </w:rPr>
              <w:t> </w:t>
            </w:r>
            <w:r>
              <w:rPr>
                <w:sz w:val="22"/>
              </w:rPr>
              <w:t>facilitates</w:t>
            </w:r>
            <w:r>
              <w:rPr>
                <w:spacing w:val="-7"/>
                <w:sz w:val="22"/>
              </w:rPr>
              <w:t> </w:t>
            </w:r>
            <w:r>
              <w:rPr>
                <w:sz w:val="22"/>
              </w:rPr>
              <w:t>the successful implementation of Council’s records management framework and administers the</w:t>
            </w:r>
          </w:p>
          <w:p>
            <w:pPr>
              <w:pStyle w:val="TableParagraph"/>
              <w:spacing w:line="234" w:lineRule="exact"/>
              <w:ind w:left="107"/>
              <w:rPr>
                <w:sz w:val="22"/>
              </w:rPr>
            </w:pPr>
            <w:r>
              <w:rPr>
                <w:sz w:val="22"/>
              </w:rPr>
              <w:t>electronic</w:t>
            </w:r>
            <w:r>
              <w:rPr>
                <w:spacing w:val="-6"/>
                <w:sz w:val="22"/>
              </w:rPr>
              <w:t> </w:t>
            </w:r>
            <w:r>
              <w:rPr>
                <w:sz w:val="22"/>
              </w:rPr>
              <w:t>document</w:t>
            </w:r>
            <w:r>
              <w:rPr>
                <w:spacing w:val="-8"/>
                <w:sz w:val="22"/>
              </w:rPr>
              <w:t> </w:t>
            </w:r>
            <w:r>
              <w:rPr>
                <w:sz w:val="22"/>
              </w:rPr>
              <w:t>management</w:t>
            </w:r>
            <w:r>
              <w:rPr>
                <w:spacing w:val="-4"/>
                <w:sz w:val="22"/>
              </w:rPr>
              <w:t> </w:t>
            </w:r>
            <w:r>
              <w:rPr>
                <w:spacing w:val="-2"/>
                <w:sz w:val="22"/>
              </w:rPr>
              <w:t>system.</w:t>
            </w:r>
          </w:p>
        </w:tc>
        <w:tc>
          <w:tcPr>
            <w:tcW w:w="995" w:type="dxa"/>
            <w:tcBorders>
              <w:left w:val="nil"/>
              <w:right w:val="nil"/>
            </w:tcBorders>
          </w:tcPr>
          <w:p>
            <w:pPr>
              <w:pStyle w:val="TableParagraph"/>
              <w:spacing w:line="204" w:lineRule="exact"/>
              <w:ind w:left="112"/>
              <w:rPr>
                <w:sz w:val="18"/>
              </w:rPr>
            </w:pPr>
            <w:r>
              <w:rPr>
                <w:spacing w:val="-5"/>
                <w:sz w:val="18"/>
              </w:rPr>
              <w:t>Inc</w:t>
            </w:r>
          </w:p>
          <w:p>
            <w:pPr>
              <w:pStyle w:val="TableParagraph"/>
              <w:spacing w:before="93"/>
              <w:ind w:left="112"/>
              <w:rPr>
                <w:sz w:val="18"/>
              </w:rPr>
            </w:pPr>
            <w:r>
              <w:rPr>
                <w:spacing w:val="-5"/>
                <w:sz w:val="18"/>
              </w:rPr>
              <w:t>Exp</w:t>
            </w:r>
          </w:p>
        </w:tc>
        <w:tc>
          <w:tcPr>
            <w:tcW w:w="1280" w:type="dxa"/>
            <w:tcBorders>
              <w:left w:val="nil"/>
              <w:right w:val="nil"/>
            </w:tcBorders>
          </w:tcPr>
          <w:p>
            <w:pPr>
              <w:pStyle w:val="TableParagraph"/>
              <w:spacing w:line="204" w:lineRule="exact"/>
              <w:ind w:left="718"/>
              <w:rPr>
                <w:sz w:val="18"/>
              </w:rPr>
            </w:pPr>
            <w:r>
              <w:rPr>
                <w:spacing w:val="-2"/>
                <w:sz w:val="18"/>
              </w:rPr>
              <w:t>1,170</w:t>
            </w:r>
          </w:p>
          <w:p>
            <w:pPr>
              <w:pStyle w:val="TableParagraph"/>
              <w:spacing w:before="93"/>
              <w:ind w:left="718"/>
              <w:rPr>
                <w:sz w:val="18"/>
              </w:rPr>
            </w:pPr>
            <w:r>
              <w:rPr>
                <w:spacing w:val="-2"/>
                <w:sz w:val="18"/>
              </w:rPr>
              <w:t>2,697</w:t>
            </w:r>
          </w:p>
        </w:tc>
        <w:tc>
          <w:tcPr>
            <w:tcW w:w="1272" w:type="dxa"/>
            <w:tcBorders>
              <w:left w:val="nil"/>
              <w:right w:val="nil"/>
            </w:tcBorders>
          </w:tcPr>
          <w:p>
            <w:pPr>
              <w:pStyle w:val="TableParagraph"/>
              <w:spacing w:line="204" w:lineRule="exact"/>
              <w:ind w:right="103"/>
              <w:jc w:val="right"/>
              <w:rPr>
                <w:sz w:val="18"/>
              </w:rPr>
            </w:pPr>
            <w:r>
              <w:rPr>
                <w:spacing w:val="-5"/>
                <w:sz w:val="18"/>
              </w:rPr>
              <w:t>106</w:t>
            </w:r>
          </w:p>
          <w:p>
            <w:pPr>
              <w:pStyle w:val="TableParagraph"/>
              <w:spacing w:before="93"/>
              <w:ind w:right="102"/>
              <w:jc w:val="right"/>
              <w:rPr>
                <w:sz w:val="18"/>
              </w:rPr>
            </w:pPr>
            <w:r>
              <w:rPr>
                <w:spacing w:val="-2"/>
                <w:sz w:val="18"/>
              </w:rPr>
              <w:t>3,495</w:t>
            </w:r>
          </w:p>
        </w:tc>
        <w:tc>
          <w:tcPr>
            <w:tcW w:w="1393" w:type="dxa"/>
            <w:tcBorders>
              <w:left w:val="nil"/>
            </w:tcBorders>
            <w:shd w:val="clear" w:color="auto" w:fill="BCD6ED"/>
          </w:tcPr>
          <w:p>
            <w:pPr>
              <w:pStyle w:val="TableParagraph"/>
              <w:spacing w:line="204" w:lineRule="exact"/>
              <w:ind w:right="100"/>
              <w:jc w:val="right"/>
              <w:rPr>
                <w:sz w:val="18"/>
              </w:rPr>
            </w:pPr>
            <w:r>
              <w:rPr>
                <w:sz w:val="18"/>
              </w:rPr>
              <w:t>3</w:t>
            </w:r>
          </w:p>
          <w:p>
            <w:pPr>
              <w:pStyle w:val="TableParagraph"/>
              <w:spacing w:before="93"/>
              <w:ind w:right="98"/>
              <w:jc w:val="right"/>
              <w:rPr>
                <w:sz w:val="18"/>
              </w:rPr>
            </w:pPr>
            <w:r>
              <w:rPr>
                <w:spacing w:val="-2"/>
                <w:sz w:val="18"/>
              </w:rPr>
              <w:t>3,835</w:t>
            </w:r>
          </w:p>
        </w:tc>
      </w:tr>
      <w:tr>
        <w:trPr>
          <w:trHeight w:val="3455" w:hRule="atLeast"/>
        </w:trPr>
        <w:tc>
          <w:tcPr>
            <w:tcW w:w="5542" w:type="dxa"/>
            <w:vMerge/>
            <w:tcBorders>
              <w:top w:val="nil"/>
              <w:right w:val="nil"/>
            </w:tcBorders>
          </w:tcPr>
          <w:p>
            <w:pPr>
              <w:rPr>
                <w:sz w:val="2"/>
                <w:szCs w:val="2"/>
              </w:rPr>
            </w:pPr>
          </w:p>
        </w:tc>
        <w:tc>
          <w:tcPr>
            <w:tcW w:w="995" w:type="dxa"/>
            <w:tcBorders>
              <w:left w:val="nil"/>
              <w:right w:val="nil"/>
            </w:tcBorders>
          </w:tcPr>
          <w:p>
            <w:pPr>
              <w:pStyle w:val="TableParagraph"/>
              <w:ind w:left="112" w:right="105"/>
              <w:rPr>
                <w:b/>
                <w:sz w:val="18"/>
              </w:rPr>
            </w:pPr>
            <w:r>
              <w:rPr>
                <w:b/>
                <w:sz w:val="18"/>
              </w:rPr>
              <w:t>Surplus</w:t>
            </w:r>
            <w:r>
              <w:rPr>
                <w:b/>
                <w:spacing w:val="-13"/>
                <w:sz w:val="18"/>
              </w:rPr>
              <w:t> </w:t>
            </w:r>
            <w:r>
              <w:rPr>
                <w:b/>
                <w:sz w:val="18"/>
              </w:rPr>
              <w:t>/ </w:t>
            </w:r>
            <w:r>
              <w:rPr>
                <w:b/>
                <w:spacing w:val="-2"/>
                <w:sz w:val="18"/>
              </w:rPr>
              <w:t>(deficit)</w:t>
            </w:r>
          </w:p>
        </w:tc>
        <w:tc>
          <w:tcPr>
            <w:tcW w:w="1280" w:type="dxa"/>
            <w:tcBorders>
              <w:left w:val="nil"/>
              <w:right w:val="nil"/>
            </w:tcBorders>
          </w:tcPr>
          <w:p>
            <w:pPr>
              <w:pStyle w:val="TableParagraph"/>
              <w:spacing w:line="206" w:lineRule="exact"/>
              <w:ind w:right="106"/>
              <w:jc w:val="right"/>
              <w:rPr>
                <w:b/>
                <w:sz w:val="18"/>
              </w:rPr>
            </w:pPr>
            <w:r>
              <w:rPr>
                <w:b/>
                <w:spacing w:val="-2"/>
                <w:sz w:val="18"/>
              </w:rPr>
              <w:t>(1,527)</w:t>
            </w:r>
          </w:p>
        </w:tc>
        <w:tc>
          <w:tcPr>
            <w:tcW w:w="1272" w:type="dxa"/>
            <w:tcBorders>
              <w:left w:val="nil"/>
              <w:right w:val="nil"/>
            </w:tcBorders>
          </w:tcPr>
          <w:p>
            <w:pPr>
              <w:pStyle w:val="TableParagraph"/>
              <w:spacing w:line="206" w:lineRule="exact"/>
              <w:ind w:right="102"/>
              <w:jc w:val="right"/>
              <w:rPr>
                <w:b/>
                <w:sz w:val="18"/>
              </w:rPr>
            </w:pPr>
            <w:r>
              <w:rPr>
                <w:b/>
                <w:spacing w:val="-2"/>
                <w:sz w:val="18"/>
              </w:rPr>
              <w:t>(3,389)</w:t>
            </w:r>
          </w:p>
        </w:tc>
        <w:tc>
          <w:tcPr>
            <w:tcW w:w="1393" w:type="dxa"/>
            <w:tcBorders>
              <w:left w:val="nil"/>
            </w:tcBorders>
            <w:shd w:val="clear" w:color="auto" w:fill="BCD6ED"/>
          </w:tcPr>
          <w:p>
            <w:pPr>
              <w:pStyle w:val="TableParagraph"/>
              <w:spacing w:line="206" w:lineRule="exact"/>
              <w:ind w:right="98"/>
              <w:jc w:val="right"/>
              <w:rPr>
                <w:b/>
                <w:sz w:val="18"/>
              </w:rPr>
            </w:pPr>
            <w:r>
              <w:rPr>
                <w:b/>
                <w:spacing w:val="-2"/>
                <w:sz w:val="18"/>
              </w:rPr>
              <w:t>(3,832)</w:t>
            </w:r>
          </w:p>
        </w:tc>
      </w:tr>
      <w:tr>
        <w:trPr>
          <w:trHeight w:val="506" w:hRule="atLeast"/>
        </w:trPr>
        <w:tc>
          <w:tcPr>
            <w:tcW w:w="10482" w:type="dxa"/>
            <w:gridSpan w:val="5"/>
          </w:tcPr>
          <w:p>
            <w:pPr>
              <w:pStyle w:val="TableParagraph"/>
              <w:spacing w:line="252" w:lineRule="exact"/>
              <w:ind w:left="107" w:right="4908"/>
              <w:rPr>
                <w:b/>
                <w:sz w:val="22"/>
              </w:rPr>
            </w:pPr>
            <w:r>
              <w:rPr>
                <w:b/>
                <w:color w:val="5B9AD4"/>
                <w:sz w:val="22"/>
              </w:rPr>
              <w:t>Customer</w:t>
            </w:r>
            <w:r>
              <w:rPr>
                <w:b/>
                <w:color w:val="5B9AD4"/>
                <w:spacing w:val="-8"/>
                <w:sz w:val="22"/>
              </w:rPr>
              <w:t> </w:t>
            </w:r>
            <w:r>
              <w:rPr>
                <w:b/>
                <w:color w:val="5B9AD4"/>
                <w:sz w:val="22"/>
              </w:rPr>
              <w:t>Service</w:t>
            </w:r>
            <w:r>
              <w:rPr>
                <w:b/>
                <w:color w:val="5B9AD4"/>
                <w:spacing w:val="-10"/>
                <w:sz w:val="22"/>
              </w:rPr>
              <w:t> </w:t>
            </w:r>
            <w:r>
              <w:rPr>
                <w:b/>
                <w:color w:val="5B9AD4"/>
                <w:sz w:val="22"/>
              </w:rPr>
              <w:t>(Communications</w:t>
            </w:r>
            <w:r>
              <w:rPr>
                <w:b/>
                <w:color w:val="5B9AD4"/>
                <w:spacing w:val="-10"/>
                <w:sz w:val="22"/>
              </w:rPr>
              <w:t> </w:t>
            </w:r>
            <w:r>
              <w:rPr>
                <w:b/>
                <w:color w:val="5B9AD4"/>
                <w:sz w:val="22"/>
              </w:rPr>
              <w:t>and</w:t>
            </w:r>
            <w:r>
              <w:rPr>
                <w:b/>
                <w:color w:val="5B9AD4"/>
                <w:spacing w:val="-10"/>
                <w:sz w:val="22"/>
              </w:rPr>
              <w:t> </w:t>
            </w:r>
            <w:r>
              <w:rPr>
                <w:b/>
                <w:color w:val="5B9AD4"/>
                <w:sz w:val="22"/>
              </w:rPr>
              <w:t>Citizen </w:t>
            </w:r>
            <w:r>
              <w:rPr>
                <w:b/>
                <w:color w:val="5B9AD4"/>
                <w:spacing w:val="-2"/>
                <w:sz w:val="22"/>
              </w:rPr>
              <w:t>Experience)</w:t>
            </w:r>
          </w:p>
        </w:tc>
      </w:tr>
      <w:tr>
        <w:trPr>
          <w:trHeight w:val="585" w:hRule="atLeast"/>
        </w:trPr>
        <w:tc>
          <w:tcPr>
            <w:tcW w:w="5542" w:type="dxa"/>
            <w:vMerge w:val="restart"/>
            <w:tcBorders>
              <w:right w:val="nil"/>
            </w:tcBorders>
          </w:tcPr>
          <w:p>
            <w:pPr>
              <w:pStyle w:val="TableParagraph"/>
              <w:ind w:left="107" w:right="108"/>
              <w:rPr>
                <w:sz w:val="22"/>
              </w:rPr>
            </w:pPr>
            <w:r>
              <w:rPr>
                <w:sz w:val="22"/>
              </w:rPr>
              <w:t>Customer Service provides proactive and responsive customer service to the Maroondah community. The team is a centralised point of contact for the community to access Council service areas through two service centres, one in the Croydon Library and the</w:t>
            </w:r>
            <w:r>
              <w:rPr>
                <w:spacing w:val="-4"/>
                <w:sz w:val="22"/>
              </w:rPr>
              <w:t> </w:t>
            </w:r>
            <w:r>
              <w:rPr>
                <w:sz w:val="22"/>
              </w:rPr>
              <w:t>other</w:t>
            </w:r>
            <w:r>
              <w:rPr>
                <w:spacing w:val="-4"/>
                <w:sz w:val="22"/>
              </w:rPr>
              <w:t> </w:t>
            </w:r>
            <w:r>
              <w:rPr>
                <w:sz w:val="22"/>
              </w:rPr>
              <w:t>at</w:t>
            </w:r>
            <w:r>
              <w:rPr>
                <w:spacing w:val="-3"/>
                <w:sz w:val="22"/>
              </w:rPr>
              <w:t> </w:t>
            </w:r>
            <w:r>
              <w:rPr>
                <w:sz w:val="22"/>
              </w:rPr>
              <w:t>Realm</w:t>
            </w:r>
            <w:r>
              <w:rPr>
                <w:spacing w:val="-4"/>
                <w:sz w:val="22"/>
              </w:rPr>
              <w:t> </w:t>
            </w:r>
            <w:r>
              <w:rPr>
                <w:sz w:val="22"/>
              </w:rPr>
              <w:t>in</w:t>
            </w:r>
            <w:r>
              <w:rPr>
                <w:spacing w:val="-5"/>
                <w:sz w:val="22"/>
              </w:rPr>
              <w:t> </w:t>
            </w:r>
            <w:r>
              <w:rPr>
                <w:sz w:val="22"/>
              </w:rPr>
              <w:t>Ringwood,</w:t>
            </w:r>
            <w:r>
              <w:rPr>
                <w:spacing w:val="-2"/>
                <w:sz w:val="22"/>
              </w:rPr>
              <w:t> </w:t>
            </w:r>
            <w:r>
              <w:rPr>
                <w:sz w:val="22"/>
              </w:rPr>
              <w:t>either</w:t>
            </w:r>
            <w:r>
              <w:rPr>
                <w:spacing w:val="-4"/>
                <w:sz w:val="22"/>
              </w:rPr>
              <w:t> </w:t>
            </w:r>
            <w:r>
              <w:rPr>
                <w:sz w:val="22"/>
              </w:rPr>
              <w:t>in</w:t>
            </w:r>
            <w:r>
              <w:rPr>
                <w:spacing w:val="-3"/>
                <w:sz w:val="22"/>
              </w:rPr>
              <w:t> </w:t>
            </w:r>
            <w:r>
              <w:rPr>
                <w:sz w:val="22"/>
              </w:rPr>
              <w:t>person</w:t>
            </w:r>
            <w:r>
              <w:rPr>
                <w:spacing w:val="-6"/>
                <w:sz w:val="22"/>
              </w:rPr>
              <w:t> </w:t>
            </w:r>
            <w:r>
              <w:rPr>
                <w:sz w:val="22"/>
              </w:rPr>
              <w:t>or</w:t>
            </w:r>
            <w:r>
              <w:rPr>
                <w:spacing w:val="-3"/>
                <w:sz w:val="22"/>
              </w:rPr>
              <w:t> </w:t>
            </w:r>
            <w:r>
              <w:rPr>
                <w:sz w:val="22"/>
              </w:rPr>
              <w:t>via telephone, email, live chat and social media.</w:t>
            </w:r>
          </w:p>
          <w:p>
            <w:pPr>
              <w:pStyle w:val="TableParagraph"/>
              <w:ind w:left="107" w:right="163"/>
              <w:rPr>
                <w:sz w:val="22"/>
              </w:rPr>
            </w:pPr>
            <w:r>
              <w:rPr>
                <w:sz w:val="22"/>
              </w:rPr>
              <w:t>The</w:t>
            </w:r>
            <w:r>
              <w:rPr>
                <w:spacing w:val="-6"/>
                <w:sz w:val="22"/>
              </w:rPr>
              <w:t> </w:t>
            </w:r>
            <w:r>
              <w:rPr>
                <w:sz w:val="22"/>
              </w:rPr>
              <w:t>team</w:t>
            </w:r>
            <w:r>
              <w:rPr>
                <w:spacing w:val="-6"/>
                <w:sz w:val="22"/>
              </w:rPr>
              <w:t> </w:t>
            </w:r>
            <w:r>
              <w:rPr>
                <w:sz w:val="22"/>
              </w:rPr>
              <w:t>provides</w:t>
            </w:r>
            <w:r>
              <w:rPr>
                <w:spacing w:val="-4"/>
                <w:sz w:val="22"/>
              </w:rPr>
              <w:t> </w:t>
            </w:r>
            <w:r>
              <w:rPr>
                <w:sz w:val="22"/>
              </w:rPr>
              <w:t>information</w:t>
            </w:r>
            <w:r>
              <w:rPr>
                <w:spacing w:val="-6"/>
                <w:sz w:val="22"/>
              </w:rPr>
              <w:t> </w:t>
            </w:r>
            <w:r>
              <w:rPr>
                <w:sz w:val="22"/>
              </w:rPr>
              <w:t>and</w:t>
            </w:r>
            <w:r>
              <w:rPr>
                <w:spacing w:val="-6"/>
                <w:sz w:val="22"/>
              </w:rPr>
              <w:t> </w:t>
            </w:r>
            <w:r>
              <w:rPr>
                <w:sz w:val="22"/>
              </w:rPr>
              <w:t>referrals</w:t>
            </w:r>
            <w:r>
              <w:rPr>
                <w:spacing w:val="-7"/>
                <w:sz w:val="22"/>
              </w:rPr>
              <w:t> </w:t>
            </w:r>
            <w:r>
              <w:rPr>
                <w:sz w:val="22"/>
              </w:rPr>
              <w:t>regarding Council services, acts as the customer interface for key Council services such as waste and local laws, refers and triages customer requests, and takes over the</w:t>
            </w:r>
            <w:r>
              <w:rPr>
                <w:spacing w:val="-1"/>
                <w:sz w:val="22"/>
              </w:rPr>
              <w:t> </w:t>
            </w:r>
            <w:r>
              <w:rPr>
                <w:sz w:val="22"/>
              </w:rPr>
              <w:t>counter</w:t>
            </w:r>
            <w:r>
              <w:rPr>
                <w:spacing w:val="-1"/>
                <w:sz w:val="22"/>
              </w:rPr>
              <w:t> </w:t>
            </w:r>
            <w:r>
              <w:rPr>
                <w:sz w:val="22"/>
              </w:rPr>
              <w:t>payment</w:t>
            </w:r>
            <w:r>
              <w:rPr>
                <w:spacing w:val="-3"/>
                <w:sz w:val="22"/>
              </w:rPr>
              <w:t> </w:t>
            </w:r>
            <w:r>
              <w:rPr>
                <w:sz w:val="22"/>
              </w:rPr>
              <w:t>of</w:t>
            </w:r>
            <w:r>
              <w:rPr>
                <w:spacing w:val="-1"/>
                <w:sz w:val="22"/>
              </w:rPr>
              <w:t> </w:t>
            </w:r>
            <w:r>
              <w:rPr>
                <w:sz w:val="22"/>
              </w:rPr>
              <w:t>all</w:t>
            </w:r>
            <w:r>
              <w:rPr>
                <w:spacing w:val="-1"/>
                <w:sz w:val="22"/>
              </w:rPr>
              <w:t> </w:t>
            </w:r>
            <w:r>
              <w:rPr>
                <w:sz w:val="22"/>
              </w:rPr>
              <w:t>Council</w:t>
            </w:r>
            <w:r>
              <w:rPr>
                <w:spacing w:val="-1"/>
                <w:sz w:val="22"/>
              </w:rPr>
              <w:t> </w:t>
            </w:r>
            <w:r>
              <w:rPr>
                <w:sz w:val="22"/>
              </w:rPr>
              <w:t>accounts and</w:t>
            </w:r>
            <w:r>
              <w:rPr>
                <w:spacing w:val="-3"/>
                <w:sz w:val="22"/>
              </w:rPr>
              <w:t> </w:t>
            </w:r>
            <w:r>
              <w:rPr>
                <w:sz w:val="22"/>
              </w:rPr>
              <w:t>fees. The team also lead the development and implementation of the organisation’s Customer Service Strategy and assist the organisation to maintain high customer service standards.</w:t>
            </w:r>
          </w:p>
        </w:tc>
        <w:tc>
          <w:tcPr>
            <w:tcW w:w="995" w:type="dxa"/>
            <w:tcBorders>
              <w:left w:val="nil"/>
              <w:right w:val="nil"/>
            </w:tcBorders>
          </w:tcPr>
          <w:p>
            <w:pPr>
              <w:pStyle w:val="TableParagraph"/>
              <w:spacing w:line="206" w:lineRule="exact"/>
              <w:ind w:left="112"/>
              <w:rPr>
                <w:sz w:val="18"/>
              </w:rPr>
            </w:pPr>
            <w:r>
              <w:rPr>
                <w:spacing w:val="-5"/>
                <w:sz w:val="18"/>
              </w:rPr>
              <w:t>Inc</w:t>
            </w:r>
          </w:p>
          <w:p>
            <w:pPr>
              <w:pStyle w:val="TableParagraph"/>
              <w:spacing w:before="90"/>
              <w:ind w:left="112"/>
              <w:rPr>
                <w:sz w:val="18"/>
              </w:rPr>
            </w:pPr>
            <w:r>
              <w:rPr>
                <w:spacing w:val="-5"/>
                <w:sz w:val="18"/>
              </w:rPr>
              <w:t>Exp</w:t>
            </w:r>
          </w:p>
        </w:tc>
        <w:tc>
          <w:tcPr>
            <w:tcW w:w="1280" w:type="dxa"/>
            <w:tcBorders>
              <w:left w:val="nil"/>
              <w:right w:val="nil"/>
            </w:tcBorders>
          </w:tcPr>
          <w:p>
            <w:pPr>
              <w:pStyle w:val="TableParagraph"/>
              <w:spacing w:line="206" w:lineRule="exact"/>
              <w:ind w:right="108"/>
              <w:jc w:val="right"/>
              <w:rPr>
                <w:sz w:val="18"/>
              </w:rPr>
            </w:pPr>
            <w:r>
              <w:rPr>
                <w:sz w:val="18"/>
              </w:rPr>
              <w:t>-</w:t>
            </w:r>
          </w:p>
          <w:p>
            <w:pPr>
              <w:pStyle w:val="TableParagraph"/>
              <w:spacing w:before="90"/>
              <w:ind w:right="106"/>
              <w:jc w:val="right"/>
              <w:rPr>
                <w:sz w:val="18"/>
              </w:rPr>
            </w:pPr>
            <w:r>
              <w:rPr>
                <w:spacing w:val="-2"/>
                <w:sz w:val="18"/>
              </w:rPr>
              <w:t>1,493</w:t>
            </w:r>
          </w:p>
        </w:tc>
        <w:tc>
          <w:tcPr>
            <w:tcW w:w="1272" w:type="dxa"/>
            <w:tcBorders>
              <w:left w:val="nil"/>
              <w:right w:val="nil"/>
            </w:tcBorders>
          </w:tcPr>
          <w:p>
            <w:pPr>
              <w:pStyle w:val="TableParagraph"/>
              <w:spacing w:line="206" w:lineRule="exact"/>
              <w:ind w:right="103"/>
              <w:jc w:val="right"/>
              <w:rPr>
                <w:sz w:val="18"/>
              </w:rPr>
            </w:pPr>
            <w:r>
              <w:rPr>
                <w:sz w:val="18"/>
              </w:rPr>
              <w:t>-</w:t>
            </w:r>
          </w:p>
          <w:p>
            <w:pPr>
              <w:pStyle w:val="TableParagraph"/>
              <w:spacing w:before="90"/>
              <w:ind w:right="102"/>
              <w:jc w:val="right"/>
              <w:rPr>
                <w:sz w:val="18"/>
              </w:rPr>
            </w:pPr>
            <w:r>
              <w:rPr>
                <w:spacing w:val="-2"/>
                <w:sz w:val="18"/>
              </w:rPr>
              <w:t>1,541</w:t>
            </w:r>
          </w:p>
        </w:tc>
        <w:tc>
          <w:tcPr>
            <w:tcW w:w="1393" w:type="dxa"/>
            <w:tcBorders>
              <w:left w:val="nil"/>
            </w:tcBorders>
            <w:shd w:val="clear" w:color="auto" w:fill="BCD6ED"/>
          </w:tcPr>
          <w:p>
            <w:pPr>
              <w:pStyle w:val="TableParagraph"/>
              <w:spacing w:line="206" w:lineRule="exact"/>
              <w:ind w:right="99"/>
              <w:jc w:val="right"/>
              <w:rPr>
                <w:sz w:val="18"/>
              </w:rPr>
            </w:pPr>
            <w:r>
              <w:rPr>
                <w:sz w:val="18"/>
              </w:rPr>
              <w:t>-</w:t>
            </w:r>
          </w:p>
          <w:p>
            <w:pPr>
              <w:pStyle w:val="TableParagraph"/>
              <w:spacing w:before="90"/>
              <w:ind w:right="98"/>
              <w:jc w:val="right"/>
              <w:rPr>
                <w:sz w:val="18"/>
              </w:rPr>
            </w:pPr>
            <w:r>
              <w:rPr>
                <w:spacing w:val="-2"/>
                <w:sz w:val="18"/>
              </w:rPr>
              <w:t>1,575</w:t>
            </w:r>
          </w:p>
        </w:tc>
      </w:tr>
      <w:tr>
        <w:trPr>
          <w:trHeight w:val="3705" w:hRule="atLeast"/>
        </w:trPr>
        <w:tc>
          <w:tcPr>
            <w:tcW w:w="5542" w:type="dxa"/>
            <w:vMerge/>
            <w:tcBorders>
              <w:top w:val="nil"/>
              <w:right w:val="nil"/>
            </w:tcBorders>
          </w:tcPr>
          <w:p>
            <w:pPr>
              <w:rPr>
                <w:sz w:val="2"/>
                <w:szCs w:val="2"/>
              </w:rPr>
            </w:pPr>
          </w:p>
        </w:tc>
        <w:tc>
          <w:tcPr>
            <w:tcW w:w="995" w:type="dxa"/>
            <w:tcBorders>
              <w:left w:val="nil"/>
              <w:right w:val="nil"/>
            </w:tcBorders>
          </w:tcPr>
          <w:p>
            <w:pPr>
              <w:pStyle w:val="TableParagraph"/>
              <w:ind w:left="112" w:right="105"/>
              <w:rPr>
                <w:b/>
                <w:sz w:val="18"/>
              </w:rPr>
            </w:pPr>
            <w:r>
              <w:rPr>
                <w:b/>
                <w:sz w:val="18"/>
              </w:rPr>
              <w:t>Surplus</w:t>
            </w:r>
            <w:r>
              <w:rPr>
                <w:b/>
                <w:spacing w:val="-13"/>
                <w:sz w:val="18"/>
              </w:rPr>
              <w:t> </w:t>
            </w:r>
            <w:r>
              <w:rPr>
                <w:b/>
                <w:sz w:val="18"/>
              </w:rPr>
              <w:t>/ </w:t>
            </w:r>
            <w:r>
              <w:rPr>
                <w:b/>
                <w:spacing w:val="-2"/>
                <w:sz w:val="18"/>
              </w:rPr>
              <w:t>(deficit)</w:t>
            </w:r>
          </w:p>
        </w:tc>
        <w:tc>
          <w:tcPr>
            <w:tcW w:w="1280" w:type="dxa"/>
            <w:tcBorders>
              <w:left w:val="nil"/>
              <w:right w:val="nil"/>
            </w:tcBorders>
          </w:tcPr>
          <w:p>
            <w:pPr>
              <w:pStyle w:val="TableParagraph"/>
              <w:spacing w:line="206" w:lineRule="exact"/>
              <w:ind w:right="106"/>
              <w:jc w:val="right"/>
              <w:rPr>
                <w:b/>
                <w:sz w:val="18"/>
              </w:rPr>
            </w:pPr>
            <w:r>
              <w:rPr>
                <w:b/>
                <w:spacing w:val="-2"/>
                <w:sz w:val="18"/>
              </w:rPr>
              <w:t>(1,493)</w:t>
            </w:r>
          </w:p>
        </w:tc>
        <w:tc>
          <w:tcPr>
            <w:tcW w:w="1272" w:type="dxa"/>
            <w:tcBorders>
              <w:left w:val="nil"/>
              <w:right w:val="nil"/>
            </w:tcBorders>
          </w:tcPr>
          <w:p>
            <w:pPr>
              <w:pStyle w:val="TableParagraph"/>
              <w:spacing w:line="206" w:lineRule="exact"/>
              <w:ind w:right="102"/>
              <w:jc w:val="right"/>
              <w:rPr>
                <w:b/>
                <w:sz w:val="18"/>
              </w:rPr>
            </w:pPr>
            <w:r>
              <w:rPr>
                <w:b/>
                <w:spacing w:val="-2"/>
                <w:sz w:val="18"/>
              </w:rPr>
              <w:t>(1,541)</w:t>
            </w:r>
          </w:p>
        </w:tc>
        <w:tc>
          <w:tcPr>
            <w:tcW w:w="1393" w:type="dxa"/>
            <w:tcBorders>
              <w:left w:val="nil"/>
            </w:tcBorders>
            <w:shd w:val="clear" w:color="auto" w:fill="BCD6ED"/>
          </w:tcPr>
          <w:p>
            <w:pPr>
              <w:pStyle w:val="TableParagraph"/>
              <w:spacing w:before="9"/>
              <w:rPr>
                <w:b/>
                <w:sz w:val="17"/>
              </w:rPr>
            </w:pPr>
          </w:p>
          <w:p>
            <w:pPr>
              <w:pStyle w:val="TableParagraph"/>
              <w:spacing w:before="1"/>
              <w:ind w:right="98"/>
              <w:jc w:val="right"/>
              <w:rPr>
                <w:b/>
                <w:sz w:val="18"/>
              </w:rPr>
            </w:pPr>
            <w:r>
              <w:rPr>
                <w:b/>
                <w:spacing w:val="-2"/>
                <w:sz w:val="18"/>
              </w:rPr>
              <w:t>(1,575)</w:t>
            </w:r>
          </w:p>
        </w:tc>
      </w:tr>
      <w:tr>
        <w:trPr>
          <w:trHeight w:val="287" w:hRule="atLeast"/>
        </w:trPr>
        <w:tc>
          <w:tcPr>
            <w:tcW w:w="6537" w:type="dxa"/>
            <w:gridSpan w:val="2"/>
            <w:tcBorders>
              <w:bottom w:val="nil"/>
              <w:right w:val="nil"/>
            </w:tcBorders>
            <w:shd w:val="clear" w:color="auto" w:fill="5B9AD4"/>
          </w:tcPr>
          <w:p>
            <w:pPr>
              <w:pStyle w:val="TableParagraph"/>
              <w:spacing w:line="251" w:lineRule="exact" w:before="16"/>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1280" w:type="dxa"/>
            <w:tcBorders>
              <w:left w:val="nil"/>
              <w:bottom w:val="nil"/>
              <w:right w:val="nil"/>
            </w:tcBorders>
            <w:shd w:val="clear" w:color="auto" w:fill="5B9AD4"/>
          </w:tcPr>
          <w:p>
            <w:pPr>
              <w:pStyle w:val="TableParagraph"/>
              <w:spacing w:line="251" w:lineRule="exact" w:before="16"/>
              <w:ind w:right="118"/>
              <w:jc w:val="right"/>
              <w:rPr>
                <w:b/>
                <w:sz w:val="22"/>
              </w:rPr>
            </w:pPr>
            <w:r>
              <w:rPr>
                <w:b/>
                <w:color w:val="FFFFFF"/>
                <w:spacing w:val="-2"/>
                <w:sz w:val="22"/>
              </w:rPr>
              <w:t>2022/2023</w:t>
            </w:r>
          </w:p>
        </w:tc>
        <w:tc>
          <w:tcPr>
            <w:tcW w:w="1272" w:type="dxa"/>
            <w:tcBorders>
              <w:left w:val="nil"/>
              <w:bottom w:val="nil"/>
              <w:right w:val="nil"/>
            </w:tcBorders>
            <w:shd w:val="clear" w:color="auto" w:fill="5B9AD4"/>
          </w:tcPr>
          <w:p>
            <w:pPr>
              <w:pStyle w:val="TableParagraph"/>
              <w:spacing w:line="251" w:lineRule="exact" w:before="16"/>
              <w:ind w:right="113"/>
              <w:jc w:val="right"/>
              <w:rPr>
                <w:b/>
                <w:sz w:val="22"/>
              </w:rPr>
            </w:pPr>
            <w:r>
              <w:rPr>
                <w:b/>
                <w:color w:val="FFFFFF"/>
                <w:spacing w:val="-2"/>
                <w:sz w:val="22"/>
              </w:rPr>
              <w:t>2023/2024</w:t>
            </w:r>
          </w:p>
        </w:tc>
        <w:tc>
          <w:tcPr>
            <w:tcW w:w="1393" w:type="dxa"/>
            <w:tcBorders>
              <w:left w:val="nil"/>
              <w:bottom w:val="nil"/>
            </w:tcBorders>
            <w:shd w:val="clear" w:color="auto" w:fill="5B9AD4"/>
          </w:tcPr>
          <w:p>
            <w:pPr>
              <w:pStyle w:val="TableParagraph"/>
              <w:spacing w:line="251" w:lineRule="exact" w:before="16"/>
              <w:ind w:left="172"/>
              <w:rPr>
                <w:b/>
                <w:sz w:val="22"/>
              </w:rPr>
            </w:pPr>
            <w:r>
              <w:rPr>
                <w:b/>
                <w:color w:val="FFFFFF"/>
                <w:spacing w:val="-2"/>
                <w:sz w:val="22"/>
              </w:rPr>
              <w:t>2024/2025</w:t>
            </w:r>
          </w:p>
        </w:tc>
      </w:tr>
    </w:tbl>
    <w:p>
      <w:pPr>
        <w:spacing w:after="0" w:line="251" w:lineRule="exact"/>
        <w:rPr>
          <w:sz w:val="22"/>
        </w:rPr>
        <w:sectPr>
          <w:pgSz w:w="11910" w:h="16840"/>
          <w:pgMar w:header="0" w:footer="426" w:top="340" w:bottom="1125" w:left="460" w:right="160"/>
        </w:sect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42"/>
        <w:gridCol w:w="1235"/>
        <w:gridCol w:w="1071"/>
        <w:gridCol w:w="1242"/>
        <w:gridCol w:w="1393"/>
      </w:tblGrid>
      <w:tr>
        <w:trPr>
          <w:trHeight w:val="573" w:hRule="atLeast"/>
        </w:trPr>
        <w:tc>
          <w:tcPr>
            <w:tcW w:w="7848" w:type="dxa"/>
            <w:gridSpan w:val="3"/>
            <w:tcBorders>
              <w:top w:val="nil"/>
              <w:bottom w:val="nil"/>
              <w:right w:val="nil"/>
            </w:tcBorders>
            <w:shd w:val="clear" w:color="auto" w:fill="5B9AD4"/>
          </w:tcPr>
          <w:p>
            <w:pPr>
              <w:pStyle w:val="TableParagraph"/>
              <w:spacing w:before="17"/>
              <w:ind w:right="330"/>
              <w:jc w:val="right"/>
              <w:rPr>
                <w:b/>
                <w:sz w:val="22"/>
              </w:rPr>
            </w:pPr>
            <w:r>
              <w:rPr>
                <w:b/>
                <w:color w:val="FFFFFF"/>
                <w:spacing w:val="-2"/>
                <w:sz w:val="22"/>
              </w:rPr>
              <w:t>Actual</w:t>
            </w:r>
          </w:p>
          <w:p>
            <w:pPr>
              <w:pStyle w:val="TableParagraph"/>
              <w:spacing w:line="249" w:lineRule="exact" w:before="35"/>
              <w:ind w:right="396"/>
              <w:jc w:val="right"/>
              <w:rPr>
                <w:b/>
                <w:sz w:val="22"/>
              </w:rPr>
            </w:pPr>
            <w:r>
              <w:rPr>
                <w:b/>
                <w:color w:val="FFFFFF"/>
                <w:spacing w:val="-2"/>
                <w:sz w:val="22"/>
              </w:rPr>
              <w:t>$'000</w:t>
            </w:r>
          </w:p>
        </w:tc>
        <w:tc>
          <w:tcPr>
            <w:tcW w:w="1242" w:type="dxa"/>
            <w:tcBorders>
              <w:top w:val="nil"/>
              <w:left w:val="nil"/>
              <w:bottom w:val="nil"/>
              <w:right w:val="nil"/>
            </w:tcBorders>
            <w:shd w:val="clear" w:color="auto" w:fill="5B9AD4"/>
          </w:tcPr>
          <w:p>
            <w:pPr>
              <w:pStyle w:val="TableParagraph"/>
              <w:spacing w:before="17"/>
              <w:ind w:left="133" w:right="167"/>
              <w:jc w:val="center"/>
              <w:rPr>
                <w:b/>
                <w:sz w:val="22"/>
              </w:rPr>
            </w:pPr>
            <w:r>
              <w:rPr>
                <w:b/>
                <w:color w:val="FFFFFF"/>
                <w:spacing w:val="-2"/>
                <w:sz w:val="22"/>
              </w:rPr>
              <w:t>Forecast</w:t>
            </w:r>
          </w:p>
          <w:p>
            <w:pPr>
              <w:pStyle w:val="TableParagraph"/>
              <w:spacing w:line="249" w:lineRule="exact" w:before="35"/>
              <w:ind w:left="132" w:right="167"/>
              <w:jc w:val="center"/>
              <w:rPr>
                <w:b/>
                <w:sz w:val="22"/>
              </w:rPr>
            </w:pPr>
            <w:r>
              <w:rPr>
                <w:b/>
                <w:color w:val="FFFFFF"/>
                <w:spacing w:val="-2"/>
                <w:sz w:val="22"/>
              </w:rPr>
              <w:t>$'000</w:t>
            </w:r>
          </w:p>
        </w:tc>
        <w:tc>
          <w:tcPr>
            <w:tcW w:w="1393" w:type="dxa"/>
            <w:tcBorders>
              <w:top w:val="nil"/>
              <w:left w:val="nil"/>
              <w:bottom w:val="nil"/>
            </w:tcBorders>
            <w:shd w:val="clear" w:color="auto" w:fill="5B9AD4"/>
          </w:tcPr>
          <w:p>
            <w:pPr>
              <w:pStyle w:val="TableParagraph"/>
              <w:spacing w:before="17"/>
              <w:ind w:left="313"/>
              <w:rPr>
                <w:b/>
                <w:sz w:val="22"/>
              </w:rPr>
            </w:pPr>
            <w:r>
              <w:rPr>
                <w:b/>
                <w:color w:val="FFFFFF"/>
                <w:spacing w:val="-2"/>
                <w:sz w:val="22"/>
              </w:rPr>
              <w:t>Budget</w:t>
            </w:r>
          </w:p>
          <w:p>
            <w:pPr>
              <w:pStyle w:val="TableParagraph"/>
              <w:spacing w:line="249" w:lineRule="exact" w:before="35"/>
              <w:ind w:left="421"/>
              <w:rPr>
                <w:b/>
                <w:sz w:val="22"/>
              </w:rPr>
            </w:pPr>
            <w:r>
              <w:rPr>
                <w:b/>
                <w:color w:val="FFFFFF"/>
                <w:spacing w:val="-2"/>
                <w:sz w:val="22"/>
              </w:rPr>
              <w:t>$'000</w:t>
            </w:r>
          </w:p>
        </w:tc>
      </w:tr>
      <w:tr>
        <w:trPr>
          <w:trHeight w:val="287" w:hRule="atLeast"/>
        </w:trPr>
        <w:tc>
          <w:tcPr>
            <w:tcW w:w="10483" w:type="dxa"/>
            <w:gridSpan w:val="5"/>
            <w:tcBorders>
              <w:top w:val="nil"/>
            </w:tcBorders>
          </w:tcPr>
          <w:p>
            <w:pPr>
              <w:pStyle w:val="TableParagraph"/>
              <w:spacing w:line="249" w:lineRule="exact" w:before="19"/>
              <w:ind w:left="107"/>
              <w:rPr>
                <w:b/>
                <w:sz w:val="22"/>
              </w:rPr>
            </w:pPr>
            <w:r>
              <w:rPr>
                <w:b/>
                <w:color w:val="5B9AD4"/>
                <w:sz w:val="22"/>
              </w:rPr>
              <w:t>Cyber</w:t>
            </w:r>
            <w:r>
              <w:rPr>
                <w:b/>
                <w:color w:val="5B9AD4"/>
                <w:spacing w:val="-2"/>
                <w:sz w:val="22"/>
              </w:rPr>
              <w:t> </w:t>
            </w:r>
            <w:r>
              <w:rPr>
                <w:b/>
                <w:color w:val="5B9AD4"/>
                <w:sz w:val="22"/>
              </w:rPr>
              <w:t>and</w:t>
            </w:r>
            <w:r>
              <w:rPr>
                <w:b/>
                <w:color w:val="5B9AD4"/>
                <w:spacing w:val="-4"/>
                <w:sz w:val="22"/>
              </w:rPr>
              <w:t> </w:t>
            </w:r>
            <w:r>
              <w:rPr>
                <w:b/>
                <w:color w:val="5B9AD4"/>
                <w:spacing w:val="-2"/>
                <w:sz w:val="22"/>
              </w:rPr>
              <w:t>Technology</w:t>
            </w:r>
          </w:p>
        </w:tc>
      </w:tr>
      <w:tr>
        <w:trPr>
          <w:trHeight w:val="587" w:hRule="atLeast"/>
        </w:trPr>
        <w:tc>
          <w:tcPr>
            <w:tcW w:w="5542" w:type="dxa"/>
            <w:vMerge w:val="restart"/>
            <w:tcBorders>
              <w:right w:val="nil"/>
            </w:tcBorders>
          </w:tcPr>
          <w:p>
            <w:pPr>
              <w:pStyle w:val="TableParagraph"/>
              <w:spacing w:before="2"/>
              <w:ind w:left="107"/>
              <w:rPr>
                <w:sz w:val="22"/>
              </w:rPr>
            </w:pPr>
            <w:r>
              <w:rPr>
                <w:sz w:val="22"/>
              </w:rPr>
              <w:t>Cyber and Technology manages the lifecycle and service delivery of all Council’s core information and communication technologies including physical and virtual</w:t>
            </w:r>
            <w:r>
              <w:rPr>
                <w:spacing w:val="-7"/>
                <w:sz w:val="22"/>
              </w:rPr>
              <w:t> </w:t>
            </w:r>
            <w:r>
              <w:rPr>
                <w:sz w:val="22"/>
              </w:rPr>
              <w:t>infrastructure,</w:t>
            </w:r>
            <w:r>
              <w:rPr>
                <w:spacing w:val="-5"/>
                <w:sz w:val="22"/>
              </w:rPr>
              <w:t> </w:t>
            </w:r>
            <w:r>
              <w:rPr>
                <w:sz w:val="22"/>
              </w:rPr>
              <w:t>corporate</w:t>
            </w:r>
            <w:r>
              <w:rPr>
                <w:spacing w:val="-9"/>
                <w:sz w:val="22"/>
              </w:rPr>
              <w:t> </w:t>
            </w:r>
            <w:r>
              <w:rPr>
                <w:sz w:val="22"/>
              </w:rPr>
              <w:t>business</w:t>
            </w:r>
            <w:r>
              <w:rPr>
                <w:spacing w:val="-5"/>
                <w:sz w:val="22"/>
              </w:rPr>
              <w:t> </w:t>
            </w:r>
            <w:r>
              <w:rPr>
                <w:sz w:val="22"/>
              </w:rPr>
              <w:t>systems</w:t>
            </w:r>
            <w:r>
              <w:rPr>
                <w:spacing w:val="-9"/>
                <w:sz w:val="22"/>
              </w:rPr>
              <w:t> </w:t>
            </w:r>
            <w:r>
              <w:rPr>
                <w:sz w:val="22"/>
              </w:rPr>
              <w:t>and telephony services, to underpin excellence in service delivery to the Maroondah community.</w:t>
            </w:r>
          </w:p>
          <w:p>
            <w:pPr>
              <w:pStyle w:val="TableParagraph"/>
              <w:spacing w:before="1"/>
              <w:ind w:left="107" w:right="117"/>
              <w:rPr>
                <w:sz w:val="22"/>
              </w:rPr>
            </w:pPr>
            <w:r>
              <w:rPr>
                <w:sz w:val="22"/>
              </w:rPr>
              <w:t>The team is also focused on enhancing the community’s</w:t>
            </w:r>
            <w:r>
              <w:rPr>
                <w:spacing w:val="-5"/>
                <w:sz w:val="22"/>
              </w:rPr>
              <w:t> </w:t>
            </w:r>
            <w:r>
              <w:rPr>
                <w:sz w:val="22"/>
              </w:rPr>
              <w:t>ability</w:t>
            </w:r>
            <w:r>
              <w:rPr>
                <w:spacing w:val="-5"/>
                <w:sz w:val="22"/>
              </w:rPr>
              <w:t> </w:t>
            </w:r>
            <w:r>
              <w:rPr>
                <w:sz w:val="22"/>
              </w:rPr>
              <w:t>to</w:t>
            </w:r>
            <w:r>
              <w:rPr>
                <w:spacing w:val="-5"/>
                <w:sz w:val="22"/>
              </w:rPr>
              <w:t> </w:t>
            </w:r>
            <w:r>
              <w:rPr>
                <w:sz w:val="22"/>
              </w:rPr>
              <w:t>interact</w:t>
            </w:r>
            <w:r>
              <w:rPr>
                <w:spacing w:val="-4"/>
                <w:sz w:val="22"/>
              </w:rPr>
              <w:t> </w:t>
            </w:r>
            <w:r>
              <w:rPr>
                <w:sz w:val="22"/>
              </w:rPr>
              <w:t>with</w:t>
            </w:r>
            <w:r>
              <w:rPr>
                <w:spacing w:val="-3"/>
                <w:sz w:val="22"/>
              </w:rPr>
              <w:t> </w:t>
            </w:r>
            <w:r>
              <w:rPr>
                <w:sz w:val="22"/>
              </w:rPr>
              <w:t>Council</w:t>
            </w:r>
            <w:r>
              <w:rPr>
                <w:spacing w:val="-5"/>
                <w:sz w:val="22"/>
              </w:rPr>
              <w:t> </w:t>
            </w:r>
            <w:r>
              <w:rPr>
                <w:sz w:val="22"/>
              </w:rPr>
              <w:t>by</w:t>
            </w:r>
            <w:r>
              <w:rPr>
                <w:spacing w:val="-7"/>
                <w:sz w:val="22"/>
              </w:rPr>
              <w:t> </w:t>
            </w:r>
            <w:r>
              <w:rPr>
                <w:sz w:val="22"/>
              </w:rPr>
              <w:t>securely providing more services online and delivering increased accessibility beyond traditional business hours. Whilst also identifying and assisting the organisation in implementing innovative and technology driven change to help deliver new ways and meet community expectations on service</w:t>
            </w:r>
          </w:p>
          <w:p>
            <w:pPr>
              <w:pStyle w:val="TableParagraph"/>
              <w:spacing w:line="234" w:lineRule="exact"/>
              <w:ind w:left="107"/>
              <w:rPr>
                <w:sz w:val="22"/>
              </w:rPr>
            </w:pPr>
            <w:r>
              <w:rPr>
                <w:spacing w:val="-2"/>
                <w:sz w:val="22"/>
              </w:rPr>
              <w:t>delivery.</w:t>
            </w:r>
          </w:p>
        </w:tc>
        <w:tc>
          <w:tcPr>
            <w:tcW w:w="1235" w:type="dxa"/>
            <w:tcBorders>
              <w:left w:val="nil"/>
              <w:right w:val="nil"/>
            </w:tcBorders>
          </w:tcPr>
          <w:p>
            <w:pPr>
              <w:pStyle w:val="TableParagraph"/>
              <w:spacing w:before="1"/>
              <w:ind w:left="112"/>
              <w:rPr>
                <w:sz w:val="18"/>
              </w:rPr>
            </w:pPr>
            <w:r>
              <w:rPr>
                <w:spacing w:val="-5"/>
                <w:sz w:val="18"/>
              </w:rPr>
              <w:t>Inc</w:t>
            </w:r>
          </w:p>
          <w:p>
            <w:pPr>
              <w:pStyle w:val="TableParagraph"/>
              <w:spacing w:before="91"/>
              <w:ind w:left="112"/>
              <w:rPr>
                <w:sz w:val="18"/>
              </w:rPr>
            </w:pPr>
            <w:r>
              <w:rPr>
                <w:spacing w:val="-5"/>
                <w:sz w:val="18"/>
              </w:rPr>
              <w:t>Exp</w:t>
            </w:r>
          </w:p>
        </w:tc>
        <w:tc>
          <w:tcPr>
            <w:tcW w:w="1071" w:type="dxa"/>
            <w:tcBorders>
              <w:left w:val="nil"/>
              <w:right w:val="nil"/>
            </w:tcBorders>
          </w:tcPr>
          <w:p>
            <w:pPr>
              <w:pStyle w:val="TableParagraph"/>
              <w:spacing w:before="1"/>
              <w:ind w:right="140"/>
              <w:jc w:val="right"/>
              <w:rPr>
                <w:sz w:val="18"/>
              </w:rPr>
            </w:pPr>
            <w:r>
              <w:rPr>
                <w:sz w:val="18"/>
              </w:rPr>
              <w:t>5</w:t>
            </w:r>
          </w:p>
          <w:p>
            <w:pPr>
              <w:pStyle w:val="TableParagraph"/>
              <w:spacing w:before="91"/>
              <w:ind w:right="137"/>
              <w:jc w:val="right"/>
              <w:rPr>
                <w:sz w:val="18"/>
              </w:rPr>
            </w:pPr>
            <w:r>
              <w:rPr>
                <w:spacing w:val="-2"/>
                <w:sz w:val="18"/>
              </w:rPr>
              <w:t>5,520</w:t>
            </w:r>
          </w:p>
        </w:tc>
        <w:tc>
          <w:tcPr>
            <w:tcW w:w="1242" w:type="dxa"/>
            <w:tcBorders>
              <w:left w:val="nil"/>
              <w:right w:val="nil"/>
            </w:tcBorders>
          </w:tcPr>
          <w:p>
            <w:pPr>
              <w:pStyle w:val="TableParagraph"/>
              <w:spacing w:before="1"/>
              <w:ind w:right="105"/>
              <w:jc w:val="right"/>
              <w:rPr>
                <w:sz w:val="18"/>
              </w:rPr>
            </w:pPr>
            <w:r>
              <w:rPr>
                <w:sz w:val="18"/>
              </w:rPr>
              <w:t>5</w:t>
            </w:r>
          </w:p>
          <w:p>
            <w:pPr>
              <w:pStyle w:val="TableParagraph"/>
              <w:spacing w:before="91"/>
              <w:ind w:right="103"/>
              <w:jc w:val="right"/>
              <w:rPr>
                <w:sz w:val="18"/>
              </w:rPr>
            </w:pPr>
            <w:r>
              <w:rPr>
                <w:spacing w:val="-2"/>
                <w:sz w:val="18"/>
              </w:rPr>
              <w:t>5,755</w:t>
            </w:r>
          </w:p>
        </w:tc>
        <w:tc>
          <w:tcPr>
            <w:tcW w:w="1393" w:type="dxa"/>
            <w:tcBorders>
              <w:left w:val="nil"/>
            </w:tcBorders>
            <w:shd w:val="clear" w:color="auto" w:fill="BCD6ED"/>
          </w:tcPr>
          <w:p>
            <w:pPr>
              <w:pStyle w:val="TableParagraph"/>
              <w:spacing w:before="1"/>
              <w:ind w:right="100"/>
              <w:jc w:val="right"/>
              <w:rPr>
                <w:sz w:val="18"/>
              </w:rPr>
            </w:pPr>
            <w:r>
              <w:rPr>
                <w:sz w:val="18"/>
              </w:rPr>
              <w:t>-</w:t>
            </w:r>
          </w:p>
          <w:p>
            <w:pPr>
              <w:pStyle w:val="TableParagraph"/>
              <w:spacing w:before="91"/>
              <w:ind w:right="99"/>
              <w:jc w:val="right"/>
              <w:rPr>
                <w:sz w:val="18"/>
              </w:rPr>
            </w:pPr>
            <w:r>
              <w:rPr>
                <w:spacing w:val="-2"/>
                <w:sz w:val="18"/>
              </w:rPr>
              <w:t>7,873</w:t>
            </w:r>
          </w:p>
        </w:tc>
      </w:tr>
      <w:tr>
        <w:trPr>
          <w:trHeight w:val="3201" w:hRule="atLeast"/>
        </w:trPr>
        <w:tc>
          <w:tcPr>
            <w:tcW w:w="5542" w:type="dxa"/>
            <w:vMerge/>
            <w:tcBorders>
              <w:top w:val="nil"/>
              <w:right w:val="nil"/>
            </w:tcBorders>
          </w:tcPr>
          <w:p>
            <w:pPr>
              <w:rPr>
                <w:sz w:val="2"/>
                <w:szCs w:val="2"/>
              </w:rPr>
            </w:pPr>
          </w:p>
        </w:tc>
        <w:tc>
          <w:tcPr>
            <w:tcW w:w="1235" w:type="dxa"/>
            <w:tcBorders>
              <w:left w:val="nil"/>
              <w:right w:val="nil"/>
            </w:tcBorders>
          </w:tcPr>
          <w:p>
            <w:pPr>
              <w:pStyle w:val="TableParagraph"/>
              <w:ind w:left="112" w:right="345"/>
              <w:rPr>
                <w:b/>
                <w:sz w:val="18"/>
              </w:rPr>
            </w:pPr>
            <w:r>
              <w:rPr>
                <w:b/>
                <w:sz w:val="18"/>
              </w:rPr>
              <w:t>Surplus</w:t>
            </w:r>
            <w:r>
              <w:rPr>
                <w:b/>
                <w:spacing w:val="-13"/>
                <w:sz w:val="18"/>
              </w:rPr>
              <w:t> </w:t>
            </w:r>
            <w:r>
              <w:rPr>
                <w:b/>
                <w:sz w:val="18"/>
              </w:rPr>
              <w:t>/ </w:t>
            </w:r>
            <w:r>
              <w:rPr>
                <w:b/>
                <w:spacing w:val="-2"/>
                <w:sz w:val="18"/>
              </w:rPr>
              <w:t>(deficit)</w:t>
            </w:r>
          </w:p>
        </w:tc>
        <w:tc>
          <w:tcPr>
            <w:tcW w:w="1071" w:type="dxa"/>
            <w:tcBorders>
              <w:left w:val="nil"/>
              <w:right w:val="nil"/>
            </w:tcBorders>
          </w:tcPr>
          <w:p>
            <w:pPr>
              <w:pStyle w:val="TableParagraph"/>
              <w:spacing w:line="206" w:lineRule="exact"/>
              <w:ind w:right="137"/>
              <w:jc w:val="right"/>
              <w:rPr>
                <w:b/>
                <w:sz w:val="18"/>
              </w:rPr>
            </w:pPr>
            <w:r>
              <w:rPr>
                <w:b/>
                <w:spacing w:val="-2"/>
                <w:sz w:val="18"/>
              </w:rPr>
              <w:t>(5,515)</w:t>
            </w:r>
          </w:p>
        </w:tc>
        <w:tc>
          <w:tcPr>
            <w:tcW w:w="1242" w:type="dxa"/>
            <w:tcBorders>
              <w:left w:val="nil"/>
              <w:right w:val="nil"/>
            </w:tcBorders>
          </w:tcPr>
          <w:p>
            <w:pPr>
              <w:pStyle w:val="TableParagraph"/>
              <w:spacing w:line="206" w:lineRule="exact"/>
              <w:ind w:right="103"/>
              <w:jc w:val="right"/>
              <w:rPr>
                <w:b/>
                <w:sz w:val="18"/>
              </w:rPr>
            </w:pPr>
            <w:r>
              <w:rPr>
                <w:b/>
                <w:spacing w:val="-2"/>
                <w:sz w:val="18"/>
              </w:rPr>
              <w:t>(5,750)</w:t>
            </w:r>
          </w:p>
        </w:tc>
        <w:tc>
          <w:tcPr>
            <w:tcW w:w="1393" w:type="dxa"/>
            <w:tcBorders>
              <w:left w:val="nil"/>
            </w:tcBorders>
            <w:shd w:val="clear" w:color="auto" w:fill="BCD6ED"/>
          </w:tcPr>
          <w:p>
            <w:pPr>
              <w:pStyle w:val="TableParagraph"/>
              <w:spacing w:line="206" w:lineRule="exact"/>
              <w:ind w:right="99"/>
              <w:jc w:val="right"/>
              <w:rPr>
                <w:b/>
                <w:sz w:val="18"/>
              </w:rPr>
            </w:pPr>
            <w:r>
              <w:rPr>
                <w:b/>
                <w:spacing w:val="-2"/>
                <w:sz w:val="18"/>
              </w:rPr>
              <w:t>(7,873)</w:t>
            </w:r>
          </w:p>
        </w:tc>
      </w:tr>
      <w:tr>
        <w:trPr>
          <w:trHeight w:val="505" w:hRule="atLeast"/>
        </w:trPr>
        <w:tc>
          <w:tcPr>
            <w:tcW w:w="10483" w:type="dxa"/>
            <w:gridSpan w:val="5"/>
          </w:tcPr>
          <w:p>
            <w:pPr>
              <w:pStyle w:val="TableParagraph"/>
              <w:spacing w:line="252" w:lineRule="exact"/>
              <w:ind w:left="107" w:right="4176"/>
              <w:rPr>
                <w:b/>
                <w:sz w:val="22"/>
              </w:rPr>
            </w:pPr>
            <w:r>
              <w:rPr>
                <w:b/>
                <w:color w:val="5B9AD4"/>
                <w:sz w:val="22"/>
              </w:rPr>
              <w:t>Digital</w:t>
            </w:r>
            <w:r>
              <w:rPr>
                <w:b/>
                <w:color w:val="5B9AD4"/>
                <w:spacing w:val="-4"/>
                <w:sz w:val="22"/>
              </w:rPr>
              <w:t> </w:t>
            </w:r>
            <w:r>
              <w:rPr>
                <w:b/>
                <w:color w:val="5B9AD4"/>
                <w:sz w:val="22"/>
              </w:rPr>
              <w:t>and</w:t>
            </w:r>
            <w:r>
              <w:rPr>
                <w:b/>
                <w:color w:val="5B9AD4"/>
                <w:spacing w:val="-10"/>
                <w:sz w:val="22"/>
              </w:rPr>
              <w:t> </w:t>
            </w:r>
            <w:r>
              <w:rPr>
                <w:b/>
                <w:color w:val="5B9AD4"/>
                <w:sz w:val="22"/>
              </w:rPr>
              <w:t>Online</w:t>
            </w:r>
            <w:r>
              <w:rPr>
                <w:b/>
                <w:color w:val="5B9AD4"/>
                <w:spacing w:val="-8"/>
                <w:sz w:val="22"/>
              </w:rPr>
              <w:t> </w:t>
            </w:r>
            <w:r>
              <w:rPr>
                <w:b/>
                <w:color w:val="5B9AD4"/>
                <w:sz w:val="22"/>
              </w:rPr>
              <w:t>(Communications</w:t>
            </w:r>
            <w:r>
              <w:rPr>
                <w:b/>
                <w:color w:val="5B9AD4"/>
                <w:spacing w:val="-8"/>
                <w:sz w:val="22"/>
              </w:rPr>
              <w:t> </w:t>
            </w:r>
            <w:r>
              <w:rPr>
                <w:b/>
                <w:color w:val="5B9AD4"/>
                <w:sz w:val="22"/>
              </w:rPr>
              <w:t>and</w:t>
            </w:r>
            <w:r>
              <w:rPr>
                <w:b/>
                <w:color w:val="5B9AD4"/>
                <w:spacing w:val="-9"/>
                <w:sz w:val="22"/>
              </w:rPr>
              <w:t> </w:t>
            </w:r>
            <w:r>
              <w:rPr>
                <w:b/>
                <w:color w:val="5B9AD4"/>
                <w:sz w:val="22"/>
              </w:rPr>
              <w:t>Citizen </w:t>
            </w:r>
            <w:r>
              <w:rPr>
                <w:b/>
                <w:color w:val="5B9AD4"/>
                <w:spacing w:val="-2"/>
                <w:sz w:val="22"/>
              </w:rPr>
              <w:t>Experience)</w:t>
            </w:r>
          </w:p>
        </w:tc>
      </w:tr>
      <w:tr>
        <w:trPr>
          <w:trHeight w:val="585" w:hRule="atLeast"/>
        </w:trPr>
        <w:tc>
          <w:tcPr>
            <w:tcW w:w="5542" w:type="dxa"/>
            <w:vMerge w:val="restart"/>
            <w:tcBorders>
              <w:right w:val="nil"/>
            </w:tcBorders>
          </w:tcPr>
          <w:p>
            <w:pPr>
              <w:pStyle w:val="TableParagraph"/>
              <w:ind w:left="107" w:right="163"/>
              <w:rPr>
                <w:sz w:val="22"/>
              </w:rPr>
            </w:pPr>
            <w:r>
              <w:rPr>
                <w:sz w:val="22"/>
              </w:rPr>
              <w:t>Offering</w:t>
            </w:r>
            <w:r>
              <w:rPr>
                <w:spacing w:val="-4"/>
                <w:sz w:val="22"/>
              </w:rPr>
              <w:t> </w:t>
            </w:r>
            <w:r>
              <w:rPr>
                <w:sz w:val="22"/>
              </w:rPr>
              <w:t>a</w:t>
            </w:r>
            <w:r>
              <w:rPr>
                <w:spacing w:val="-8"/>
                <w:sz w:val="22"/>
              </w:rPr>
              <w:t> </w:t>
            </w:r>
            <w:r>
              <w:rPr>
                <w:sz w:val="22"/>
              </w:rPr>
              <w:t>range</w:t>
            </w:r>
            <w:r>
              <w:rPr>
                <w:spacing w:val="-7"/>
                <w:sz w:val="22"/>
              </w:rPr>
              <w:t> </w:t>
            </w:r>
            <w:r>
              <w:rPr>
                <w:sz w:val="22"/>
              </w:rPr>
              <w:t>of</w:t>
            </w:r>
            <w:r>
              <w:rPr>
                <w:spacing w:val="-3"/>
                <w:sz w:val="22"/>
              </w:rPr>
              <w:t> </w:t>
            </w:r>
            <w:r>
              <w:rPr>
                <w:sz w:val="22"/>
              </w:rPr>
              <w:t>online,</w:t>
            </w:r>
            <w:r>
              <w:rPr>
                <w:spacing w:val="-4"/>
                <w:sz w:val="22"/>
              </w:rPr>
              <w:t> </w:t>
            </w:r>
            <w:r>
              <w:rPr>
                <w:sz w:val="22"/>
              </w:rPr>
              <w:t>multimedia,</w:t>
            </w:r>
            <w:r>
              <w:rPr>
                <w:spacing w:val="-4"/>
                <w:sz w:val="22"/>
              </w:rPr>
              <w:t> </w:t>
            </w:r>
            <w:r>
              <w:rPr>
                <w:sz w:val="22"/>
              </w:rPr>
              <w:t>and</w:t>
            </w:r>
            <w:r>
              <w:rPr>
                <w:spacing w:val="-5"/>
                <w:sz w:val="22"/>
              </w:rPr>
              <w:t> </w:t>
            </w:r>
            <w:r>
              <w:rPr>
                <w:sz w:val="22"/>
              </w:rPr>
              <w:t>graphic design</w:t>
            </w:r>
            <w:r>
              <w:rPr>
                <w:spacing w:val="-3"/>
                <w:sz w:val="22"/>
              </w:rPr>
              <w:t> </w:t>
            </w:r>
            <w:r>
              <w:rPr>
                <w:sz w:val="22"/>
              </w:rPr>
              <w:t>services,</w:t>
            </w:r>
            <w:r>
              <w:rPr>
                <w:spacing w:val="-3"/>
                <w:sz w:val="22"/>
              </w:rPr>
              <w:t> </w:t>
            </w:r>
            <w:r>
              <w:rPr>
                <w:sz w:val="22"/>
              </w:rPr>
              <w:t>the</w:t>
            </w:r>
            <w:r>
              <w:rPr>
                <w:spacing w:val="-3"/>
                <w:sz w:val="22"/>
              </w:rPr>
              <w:t> </w:t>
            </w:r>
            <w:r>
              <w:rPr>
                <w:sz w:val="22"/>
              </w:rPr>
              <w:t>Digital</w:t>
            </w:r>
            <w:r>
              <w:rPr>
                <w:spacing w:val="-3"/>
                <w:sz w:val="22"/>
              </w:rPr>
              <w:t> </w:t>
            </w:r>
            <w:r>
              <w:rPr>
                <w:sz w:val="22"/>
              </w:rPr>
              <w:t>and</w:t>
            </w:r>
            <w:r>
              <w:rPr>
                <w:spacing w:val="-3"/>
                <w:sz w:val="22"/>
              </w:rPr>
              <w:t> </w:t>
            </w:r>
            <w:r>
              <w:rPr>
                <w:sz w:val="22"/>
              </w:rPr>
              <w:t>Online</w:t>
            </w:r>
            <w:r>
              <w:rPr>
                <w:spacing w:val="-6"/>
                <w:sz w:val="22"/>
              </w:rPr>
              <w:t> </w:t>
            </w:r>
            <w:r>
              <w:rPr>
                <w:sz w:val="22"/>
              </w:rPr>
              <w:t>team</w:t>
            </w:r>
            <w:r>
              <w:rPr>
                <w:spacing w:val="-3"/>
                <w:sz w:val="22"/>
              </w:rPr>
              <w:t> </w:t>
            </w:r>
            <w:r>
              <w:rPr>
                <w:sz w:val="22"/>
              </w:rPr>
              <w:t>works across all service areas to inform, educate, and engage our community and employees.</w:t>
            </w:r>
          </w:p>
          <w:p>
            <w:pPr>
              <w:pStyle w:val="TableParagraph"/>
              <w:ind w:left="107"/>
              <w:rPr>
                <w:sz w:val="22"/>
              </w:rPr>
            </w:pPr>
            <w:r>
              <w:rPr>
                <w:sz w:val="22"/>
              </w:rPr>
              <w:t>This</w:t>
            </w:r>
            <w:r>
              <w:rPr>
                <w:spacing w:val="-5"/>
                <w:sz w:val="22"/>
              </w:rPr>
              <w:t> </w:t>
            </w:r>
            <w:r>
              <w:rPr>
                <w:sz w:val="22"/>
              </w:rPr>
              <w:t>includes</w:t>
            </w:r>
            <w:r>
              <w:rPr>
                <w:spacing w:val="-4"/>
                <w:sz w:val="22"/>
              </w:rPr>
              <w:t> </w:t>
            </w:r>
            <w:r>
              <w:rPr>
                <w:sz w:val="22"/>
              </w:rPr>
              <w:t>providing</w:t>
            </w:r>
            <w:r>
              <w:rPr>
                <w:spacing w:val="-5"/>
                <w:sz w:val="22"/>
              </w:rPr>
              <w:t> </w:t>
            </w:r>
            <w:r>
              <w:rPr>
                <w:sz w:val="22"/>
              </w:rPr>
              <w:t>advice</w:t>
            </w:r>
            <w:r>
              <w:rPr>
                <w:spacing w:val="-7"/>
                <w:sz w:val="22"/>
              </w:rPr>
              <w:t> </w:t>
            </w:r>
            <w:r>
              <w:rPr>
                <w:sz w:val="22"/>
              </w:rPr>
              <w:t>on</w:t>
            </w:r>
            <w:r>
              <w:rPr>
                <w:spacing w:val="-4"/>
                <w:sz w:val="22"/>
              </w:rPr>
              <w:t> </w:t>
            </w:r>
            <w:r>
              <w:rPr>
                <w:sz w:val="22"/>
              </w:rPr>
              <w:t>best</w:t>
            </w:r>
            <w:r>
              <w:rPr>
                <w:spacing w:val="-4"/>
                <w:sz w:val="22"/>
              </w:rPr>
              <w:t> </w:t>
            </w:r>
            <w:r>
              <w:rPr>
                <w:sz w:val="22"/>
              </w:rPr>
              <w:t>practice,</w:t>
            </w:r>
            <w:r>
              <w:rPr>
                <w:spacing w:val="-5"/>
                <w:sz w:val="22"/>
              </w:rPr>
              <w:t> </w:t>
            </w:r>
            <w:r>
              <w:rPr>
                <w:sz w:val="22"/>
              </w:rPr>
              <w:t>the support for Council’s websites, social media management, Electronic Direct Mail (EDM)</w:t>
            </w:r>
          </w:p>
          <w:p>
            <w:pPr>
              <w:pStyle w:val="TableParagraph"/>
              <w:spacing w:line="252" w:lineRule="exact"/>
              <w:ind w:left="107"/>
              <w:rPr>
                <w:sz w:val="22"/>
              </w:rPr>
            </w:pPr>
            <w:r>
              <w:rPr>
                <w:sz w:val="22"/>
              </w:rPr>
              <w:t>development</w:t>
            </w:r>
            <w:r>
              <w:rPr>
                <w:spacing w:val="-7"/>
                <w:sz w:val="22"/>
              </w:rPr>
              <w:t> </w:t>
            </w:r>
            <w:r>
              <w:rPr>
                <w:sz w:val="22"/>
              </w:rPr>
              <w:t>and</w:t>
            </w:r>
            <w:r>
              <w:rPr>
                <w:spacing w:val="-6"/>
                <w:sz w:val="22"/>
              </w:rPr>
              <w:t> </w:t>
            </w:r>
            <w:r>
              <w:rPr>
                <w:sz w:val="22"/>
              </w:rPr>
              <w:t>strategy,</w:t>
            </w:r>
            <w:r>
              <w:rPr>
                <w:spacing w:val="-7"/>
                <w:sz w:val="22"/>
              </w:rPr>
              <w:t> </w:t>
            </w:r>
            <w:r>
              <w:rPr>
                <w:sz w:val="22"/>
              </w:rPr>
              <w:t>graphic</w:t>
            </w:r>
            <w:r>
              <w:rPr>
                <w:spacing w:val="-7"/>
                <w:sz w:val="22"/>
              </w:rPr>
              <w:t> </w:t>
            </w:r>
            <w:r>
              <w:rPr>
                <w:sz w:val="22"/>
              </w:rPr>
              <w:t>design,</w:t>
            </w:r>
            <w:r>
              <w:rPr>
                <w:spacing w:val="-7"/>
                <w:sz w:val="22"/>
              </w:rPr>
              <w:t> </w:t>
            </w:r>
            <w:r>
              <w:rPr>
                <w:sz w:val="22"/>
              </w:rPr>
              <w:t>video production and photography.</w:t>
            </w:r>
          </w:p>
        </w:tc>
        <w:tc>
          <w:tcPr>
            <w:tcW w:w="1235" w:type="dxa"/>
            <w:tcBorders>
              <w:left w:val="nil"/>
              <w:right w:val="nil"/>
            </w:tcBorders>
          </w:tcPr>
          <w:p>
            <w:pPr>
              <w:pStyle w:val="TableParagraph"/>
              <w:spacing w:line="206" w:lineRule="exact"/>
              <w:ind w:left="112"/>
              <w:rPr>
                <w:sz w:val="18"/>
              </w:rPr>
            </w:pPr>
            <w:r>
              <w:rPr>
                <w:spacing w:val="-5"/>
                <w:sz w:val="18"/>
              </w:rPr>
              <w:t>Inc</w:t>
            </w:r>
          </w:p>
          <w:p>
            <w:pPr>
              <w:pStyle w:val="TableParagraph"/>
              <w:spacing w:before="90"/>
              <w:ind w:left="112"/>
              <w:rPr>
                <w:sz w:val="18"/>
              </w:rPr>
            </w:pPr>
            <w:r>
              <w:rPr>
                <w:spacing w:val="-5"/>
                <w:sz w:val="18"/>
              </w:rPr>
              <w:t>Exp</w:t>
            </w:r>
          </w:p>
        </w:tc>
        <w:tc>
          <w:tcPr>
            <w:tcW w:w="1071" w:type="dxa"/>
            <w:tcBorders>
              <w:left w:val="nil"/>
              <w:right w:val="nil"/>
            </w:tcBorders>
          </w:tcPr>
          <w:p>
            <w:pPr>
              <w:pStyle w:val="TableParagraph"/>
              <w:spacing w:line="206" w:lineRule="exact"/>
              <w:ind w:right="139"/>
              <w:jc w:val="right"/>
              <w:rPr>
                <w:sz w:val="18"/>
              </w:rPr>
            </w:pPr>
            <w:r>
              <w:rPr>
                <w:sz w:val="18"/>
              </w:rPr>
              <w:t>-</w:t>
            </w:r>
          </w:p>
          <w:p>
            <w:pPr>
              <w:pStyle w:val="TableParagraph"/>
              <w:spacing w:before="90"/>
              <w:ind w:right="139"/>
              <w:jc w:val="right"/>
              <w:rPr>
                <w:sz w:val="18"/>
              </w:rPr>
            </w:pPr>
            <w:r>
              <w:rPr>
                <w:spacing w:val="-5"/>
                <w:sz w:val="18"/>
              </w:rPr>
              <w:t>164</w:t>
            </w:r>
          </w:p>
        </w:tc>
        <w:tc>
          <w:tcPr>
            <w:tcW w:w="1242" w:type="dxa"/>
            <w:tcBorders>
              <w:left w:val="nil"/>
              <w:right w:val="nil"/>
            </w:tcBorders>
          </w:tcPr>
          <w:p>
            <w:pPr>
              <w:pStyle w:val="TableParagraph"/>
              <w:spacing w:line="206" w:lineRule="exact"/>
              <w:ind w:right="104"/>
              <w:jc w:val="right"/>
              <w:rPr>
                <w:sz w:val="18"/>
              </w:rPr>
            </w:pPr>
            <w:r>
              <w:rPr>
                <w:sz w:val="18"/>
              </w:rPr>
              <w:t>-</w:t>
            </w:r>
          </w:p>
          <w:p>
            <w:pPr>
              <w:pStyle w:val="TableParagraph"/>
              <w:spacing w:before="90"/>
              <w:ind w:right="104"/>
              <w:jc w:val="right"/>
              <w:rPr>
                <w:sz w:val="18"/>
              </w:rPr>
            </w:pPr>
            <w:r>
              <w:rPr>
                <w:spacing w:val="-5"/>
                <w:sz w:val="18"/>
              </w:rPr>
              <w:t>251</w:t>
            </w:r>
          </w:p>
        </w:tc>
        <w:tc>
          <w:tcPr>
            <w:tcW w:w="1393" w:type="dxa"/>
            <w:tcBorders>
              <w:left w:val="nil"/>
            </w:tcBorders>
            <w:shd w:val="clear" w:color="auto" w:fill="BCD6ED"/>
          </w:tcPr>
          <w:p>
            <w:pPr>
              <w:pStyle w:val="TableParagraph"/>
              <w:spacing w:line="206" w:lineRule="exact"/>
              <w:ind w:right="100"/>
              <w:jc w:val="right"/>
              <w:rPr>
                <w:sz w:val="18"/>
              </w:rPr>
            </w:pPr>
            <w:r>
              <w:rPr>
                <w:sz w:val="18"/>
              </w:rPr>
              <w:t>-</w:t>
            </w:r>
          </w:p>
          <w:p>
            <w:pPr>
              <w:pStyle w:val="TableParagraph"/>
              <w:spacing w:before="90"/>
              <w:ind w:right="100"/>
              <w:jc w:val="right"/>
              <w:rPr>
                <w:sz w:val="18"/>
              </w:rPr>
            </w:pPr>
            <w:r>
              <w:rPr>
                <w:spacing w:val="-5"/>
                <w:sz w:val="18"/>
              </w:rPr>
              <w:t>276</w:t>
            </w:r>
          </w:p>
        </w:tc>
      </w:tr>
      <w:tr>
        <w:trPr>
          <w:trHeight w:val="1679" w:hRule="atLeast"/>
        </w:trPr>
        <w:tc>
          <w:tcPr>
            <w:tcW w:w="5542" w:type="dxa"/>
            <w:vMerge/>
            <w:tcBorders>
              <w:top w:val="nil"/>
              <w:right w:val="nil"/>
            </w:tcBorders>
          </w:tcPr>
          <w:p>
            <w:pPr>
              <w:rPr>
                <w:sz w:val="2"/>
                <w:szCs w:val="2"/>
              </w:rPr>
            </w:pPr>
          </w:p>
        </w:tc>
        <w:tc>
          <w:tcPr>
            <w:tcW w:w="1235" w:type="dxa"/>
            <w:tcBorders>
              <w:left w:val="nil"/>
              <w:right w:val="nil"/>
            </w:tcBorders>
          </w:tcPr>
          <w:p>
            <w:pPr>
              <w:pStyle w:val="TableParagraph"/>
              <w:ind w:left="112" w:right="345"/>
              <w:rPr>
                <w:b/>
                <w:sz w:val="18"/>
              </w:rPr>
            </w:pPr>
            <w:r>
              <w:rPr>
                <w:b/>
                <w:sz w:val="18"/>
              </w:rPr>
              <w:t>Surplus</w:t>
            </w:r>
            <w:r>
              <w:rPr>
                <w:b/>
                <w:spacing w:val="-13"/>
                <w:sz w:val="18"/>
              </w:rPr>
              <w:t> </w:t>
            </w:r>
            <w:r>
              <w:rPr>
                <w:b/>
                <w:sz w:val="18"/>
              </w:rPr>
              <w:t>/ </w:t>
            </w:r>
            <w:r>
              <w:rPr>
                <w:b/>
                <w:spacing w:val="-2"/>
                <w:sz w:val="18"/>
              </w:rPr>
              <w:t>(deficit)</w:t>
            </w:r>
          </w:p>
        </w:tc>
        <w:tc>
          <w:tcPr>
            <w:tcW w:w="1071" w:type="dxa"/>
            <w:tcBorders>
              <w:left w:val="nil"/>
              <w:right w:val="nil"/>
            </w:tcBorders>
          </w:tcPr>
          <w:p>
            <w:pPr>
              <w:pStyle w:val="TableParagraph"/>
              <w:spacing w:line="206" w:lineRule="exact"/>
              <w:ind w:right="136"/>
              <w:jc w:val="right"/>
              <w:rPr>
                <w:b/>
                <w:sz w:val="18"/>
              </w:rPr>
            </w:pPr>
            <w:r>
              <w:rPr>
                <w:b/>
                <w:spacing w:val="-2"/>
                <w:sz w:val="18"/>
              </w:rPr>
              <w:t>(164)</w:t>
            </w:r>
          </w:p>
        </w:tc>
        <w:tc>
          <w:tcPr>
            <w:tcW w:w="1242" w:type="dxa"/>
            <w:tcBorders>
              <w:left w:val="nil"/>
              <w:right w:val="nil"/>
            </w:tcBorders>
          </w:tcPr>
          <w:p>
            <w:pPr>
              <w:pStyle w:val="TableParagraph"/>
              <w:spacing w:line="206" w:lineRule="exact"/>
              <w:ind w:right="102"/>
              <w:jc w:val="right"/>
              <w:rPr>
                <w:b/>
                <w:sz w:val="18"/>
              </w:rPr>
            </w:pPr>
            <w:r>
              <w:rPr>
                <w:b/>
                <w:spacing w:val="-2"/>
                <w:sz w:val="18"/>
              </w:rPr>
              <w:t>(251)</w:t>
            </w:r>
          </w:p>
        </w:tc>
        <w:tc>
          <w:tcPr>
            <w:tcW w:w="1393" w:type="dxa"/>
            <w:tcBorders>
              <w:left w:val="nil"/>
            </w:tcBorders>
            <w:shd w:val="clear" w:color="auto" w:fill="BCD6ED"/>
          </w:tcPr>
          <w:p>
            <w:pPr>
              <w:pStyle w:val="TableParagraph"/>
              <w:spacing w:line="206" w:lineRule="exact"/>
              <w:ind w:right="98"/>
              <w:jc w:val="right"/>
              <w:rPr>
                <w:b/>
                <w:sz w:val="18"/>
              </w:rPr>
            </w:pPr>
            <w:r>
              <w:rPr>
                <w:b/>
                <w:spacing w:val="-2"/>
                <w:sz w:val="18"/>
              </w:rPr>
              <w:t>(276)</w:t>
            </w:r>
          </w:p>
        </w:tc>
      </w:tr>
      <w:tr>
        <w:trPr>
          <w:trHeight w:val="290" w:hRule="atLeast"/>
        </w:trPr>
        <w:tc>
          <w:tcPr>
            <w:tcW w:w="10483" w:type="dxa"/>
            <w:gridSpan w:val="5"/>
          </w:tcPr>
          <w:p>
            <w:pPr>
              <w:pStyle w:val="TableParagraph"/>
              <w:spacing w:line="251" w:lineRule="exact" w:before="19"/>
              <w:ind w:left="107"/>
              <w:rPr>
                <w:b/>
                <w:sz w:val="22"/>
              </w:rPr>
            </w:pPr>
            <w:r>
              <w:rPr>
                <w:b/>
                <w:color w:val="5B9AD4"/>
                <w:sz w:val="22"/>
              </w:rPr>
              <w:t>Executive</w:t>
            </w:r>
            <w:r>
              <w:rPr>
                <w:b/>
                <w:color w:val="5B9AD4"/>
                <w:spacing w:val="-5"/>
                <w:sz w:val="22"/>
              </w:rPr>
              <w:t> </w:t>
            </w:r>
            <w:r>
              <w:rPr>
                <w:b/>
                <w:color w:val="5B9AD4"/>
                <w:spacing w:val="-2"/>
                <w:sz w:val="22"/>
              </w:rPr>
              <w:t>Office</w:t>
            </w:r>
          </w:p>
        </w:tc>
      </w:tr>
      <w:tr>
        <w:trPr>
          <w:trHeight w:val="585" w:hRule="atLeast"/>
        </w:trPr>
        <w:tc>
          <w:tcPr>
            <w:tcW w:w="5542" w:type="dxa"/>
            <w:vMerge w:val="restart"/>
            <w:tcBorders>
              <w:right w:val="nil"/>
            </w:tcBorders>
          </w:tcPr>
          <w:p>
            <w:pPr>
              <w:pStyle w:val="TableParagraph"/>
              <w:ind w:left="107"/>
              <w:rPr>
                <w:sz w:val="22"/>
              </w:rPr>
            </w:pPr>
            <w:r>
              <w:rPr>
                <w:sz w:val="22"/>
              </w:rPr>
              <w:t>The</w:t>
            </w:r>
            <w:r>
              <w:rPr>
                <w:spacing w:val="-3"/>
                <w:sz w:val="22"/>
              </w:rPr>
              <w:t> </w:t>
            </w:r>
            <w:r>
              <w:rPr>
                <w:sz w:val="22"/>
              </w:rPr>
              <w:t>Executive</w:t>
            </w:r>
            <w:r>
              <w:rPr>
                <w:spacing w:val="-5"/>
                <w:sz w:val="22"/>
              </w:rPr>
              <w:t> </w:t>
            </w:r>
            <w:r>
              <w:rPr>
                <w:sz w:val="22"/>
              </w:rPr>
              <w:t>Office</w:t>
            </w:r>
            <w:r>
              <w:rPr>
                <w:spacing w:val="-7"/>
                <w:sz w:val="22"/>
              </w:rPr>
              <w:t> </w:t>
            </w:r>
            <w:r>
              <w:rPr>
                <w:sz w:val="22"/>
              </w:rPr>
              <w:t>supports</w:t>
            </w:r>
            <w:r>
              <w:rPr>
                <w:spacing w:val="-3"/>
                <w:sz w:val="22"/>
              </w:rPr>
              <w:t> </w:t>
            </w:r>
            <w:r>
              <w:rPr>
                <w:sz w:val="22"/>
              </w:rPr>
              <w:t>the</w:t>
            </w:r>
            <w:r>
              <w:rPr>
                <w:spacing w:val="-5"/>
                <w:sz w:val="22"/>
              </w:rPr>
              <w:t> </w:t>
            </w:r>
            <w:r>
              <w:rPr>
                <w:sz w:val="22"/>
              </w:rPr>
              <w:t>work</w:t>
            </w:r>
            <w:r>
              <w:rPr>
                <w:spacing w:val="-5"/>
                <w:sz w:val="22"/>
              </w:rPr>
              <w:t> </w:t>
            </w:r>
            <w:r>
              <w:rPr>
                <w:sz w:val="22"/>
              </w:rPr>
              <w:t>of</w:t>
            </w:r>
            <w:r>
              <w:rPr>
                <w:spacing w:val="-5"/>
                <w:sz w:val="22"/>
              </w:rPr>
              <w:t> </w:t>
            </w:r>
            <w:r>
              <w:rPr>
                <w:sz w:val="22"/>
              </w:rPr>
              <w:t>the</w:t>
            </w:r>
            <w:r>
              <w:rPr>
                <w:spacing w:val="-5"/>
                <w:sz w:val="22"/>
              </w:rPr>
              <w:t> </w:t>
            </w:r>
            <w:r>
              <w:rPr>
                <w:sz w:val="22"/>
              </w:rPr>
              <w:t>CEO, Directors, Mayor, and Councillors.</w:t>
            </w:r>
          </w:p>
          <w:p>
            <w:pPr>
              <w:pStyle w:val="TableParagraph"/>
              <w:ind w:left="107" w:right="117"/>
              <w:rPr>
                <w:sz w:val="22"/>
              </w:rPr>
            </w:pPr>
            <w:r>
              <w:rPr>
                <w:sz w:val="22"/>
              </w:rPr>
              <w:t>This includes high level project, administrative and calendar</w:t>
            </w:r>
            <w:r>
              <w:rPr>
                <w:spacing w:val="-4"/>
                <w:sz w:val="22"/>
              </w:rPr>
              <w:t> </w:t>
            </w:r>
            <w:r>
              <w:rPr>
                <w:sz w:val="22"/>
              </w:rPr>
              <w:t>support;</w:t>
            </w:r>
            <w:r>
              <w:rPr>
                <w:spacing w:val="-5"/>
                <w:sz w:val="22"/>
              </w:rPr>
              <w:t> </w:t>
            </w:r>
            <w:r>
              <w:rPr>
                <w:sz w:val="22"/>
              </w:rPr>
              <w:t>the</w:t>
            </w:r>
            <w:r>
              <w:rPr>
                <w:spacing w:val="-7"/>
                <w:sz w:val="22"/>
              </w:rPr>
              <w:t> </w:t>
            </w:r>
            <w:r>
              <w:rPr>
                <w:sz w:val="22"/>
              </w:rPr>
              <w:t>management</w:t>
            </w:r>
            <w:r>
              <w:rPr>
                <w:spacing w:val="-4"/>
                <w:sz w:val="22"/>
              </w:rPr>
              <w:t> </w:t>
            </w:r>
            <w:r>
              <w:rPr>
                <w:sz w:val="22"/>
              </w:rPr>
              <w:t>of</w:t>
            </w:r>
            <w:r>
              <w:rPr>
                <w:spacing w:val="-4"/>
                <w:sz w:val="22"/>
              </w:rPr>
              <w:t> </w:t>
            </w:r>
            <w:r>
              <w:rPr>
                <w:sz w:val="22"/>
              </w:rPr>
              <w:t>civic,</w:t>
            </w:r>
            <w:r>
              <w:rPr>
                <w:spacing w:val="-7"/>
                <w:sz w:val="22"/>
              </w:rPr>
              <w:t> </w:t>
            </w:r>
            <w:r>
              <w:rPr>
                <w:sz w:val="22"/>
              </w:rPr>
              <w:t>corporate, and capital project events; activities related to the Mayor and Councillors; Council Briefings and Meetings; and the coordination of policies, processes and reporting related to the Mayor and Councillors.</w:t>
            </w:r>
          </w:p>
          <w:p>
            <w:pPr>
              <w:pStyle w:val="TableParagraph"/>
              <w:ind w:left="107" w:right="163"/>
              <w:rPr>
                <w:sz w:val="22"/>
              </w:rPr>
            </w:pPr>
            <w:r>
              <w:rPr>
                <w:sz w:val="22"/>
              </w:rPr>
              <w:t>The Office also manages Council’s advocacy on behalf</w:t>
            </w:r>
            <w:r>
              <w:rPr>
                <w:spacing w:val="-4"/>
                <w:sz w:val="22"/>
              </w:rPr>
              <w:t> </w:t>
            </w:r>
            <w:r>
              <w:rPr>
                <w:sz w:val="22"/>
              </w:rPr>
              <w:t>of</w:t>
            </w:r>
            <w:r>
              <w:rPr>
                <w:spacing w:val="-3"/>
                <w:sz w:val="22"/>
              </w:rPr>
              <w:t> </w:t>
            </w:r>
            <w:r>
              <w:rPr>
                <w:sz w:val="22"/>
              </w:rPr>
              <w:t>the</w:t>
            </w:r>
            <w:r>
              <w:rPr>
                <w:spacing w:val="-10"/>
                <w:sz w:val="22"/>
              </w:rPr>
              <w:t> </w:t>
            </w:r>
            <w:r>
              <w:rPr>
                <w:sz w:val="22"/>
              </w:rPr>
              <w:t>Maroondah</w:t>
            </w:r>
            <w:r>
              <w:rPr>
                <w:spacing w:val="-10"/>
                <w:sz w:val="22"/>
              </w:rPr>
              <w:t> </w:t>
            </w:r>
            <w:r>
              <w:rPr>
                <w:sz w:val="22"/>
              </w:rPr>
              <w:t>community,</w:t>
            </w:r>
            <w:r>
              <w:rPr>
                <w:spacing w:val="-3"/>
                <w:sz w:val="22"/>
              </w:rPr>
              <w:t> </w:t>
            </w:r>
            <w:r>
              <w:rPr>
                <w:sz w:val="22"/>
              </w:rPr>
              <w:t>and</w:t>
            </w:r>
            <w:r>
              <w:rPr>
                <w:spacing w:val="-6"/>
                <w:sz w:val="22"/>
              </w:rPr>
              <w:t> </w:t>
            </w:r>
            <w:r>
              <w:rPr>
                <w:sz w:val="22"/>
              </w:rPr>
              <w:t>stakeholder</w:t>
            </w:r>
          </w:p>
          <w:p>
            <w:pPr>
              <w:pStyle w:val="TableParagraph"/>
              <w:spacing w:line="232" w:lineRule="exact"/>
              <w:ind w:left="107"/>
              <w:rPr>
                <w:sz w:val="22"/>
              </w:rPr>
            </w:pPr>
            <w:r>
              <w:rPr>
                <w:sz w:val="22"/>
              </w:rPr>
              <w:t>and</w:t>
            </w:r>
            <w:r>
              <w:rPr>
                <w:spacing w:val="-4"/>
                <w:sz w:val="22"/>
              </w:rPr>
              <w:t> </w:t>
            </w:r>
            <w:r>
              <w:rPr>
                <w:sz w:val="22"/>
              </w:rPr>
              <w:t>government</w:t>
            </w:r>
            <w:r>
              <w:rPr>
                <w:spacing w:val="-4"/>
                <w:sz w:val="22"/>
              </w:rPr>
              <w:t> </w:t>
            </w:r>
            <w:r>
              <w:rPr>
                <w:spacing w:val="-2"/>
                <w:sz w:val="22"/>
              </w:rPr>
              <w:t>relations.</w:t>
            </w:r>
          </w:p>
        </w:tc>
        <w:tc>
          <w:tcPr>
            <w:tcW w:w="1235" w:type="dxa"/>
            <w:tcBorders>
              <w:left w:val="nil"/>
              <w:right w:val="nil"/>
            </w:tcBorders>
          </w:tcPr>
          <w:p>
            <w:pPr>
              <w:pStyle w:val="TableParagraph"/>
              <w:spacing w:line="206" w:lineRule="exact"/>
              <w:ind w:left="112"/>
              <w:rPr>
                <w:sz w:val="18"/>
              </w:rPr>
            </w:pPr>
            <w:r>
              <w:rPr>
                <w:spacing w:val="-5"/>
                <w:sz w:val="18"/>
              </w:rPr>
              <w:t>Inc</w:t>
            </w:r>
          </w:p>
          <w:p>
            <w:pPr>
              <w:pStyle w:val="TableParagraph"/>
              <w:spacing w:before="90"/>
              <w:ind w:left="112"/>
              <w:rPr>
                <w:sz w:val="18"/>
              </w:rPr>
            </w:pPr>
            <w:r>
              <w:rPr>
                <w:spacing w:val="-5"/>
                <w:sz w:val="18"/>
              </w:rPr>
              <w:t>Exp</w:t>
            </w:r>
          </w:p>
        </w:tc>
        <w:tc>
          <w:tcPr>
            <w:tcW w:w="1071" w:type="dxa"/>
            <w:tcBorders>
              <w:left w:val="nil"/>
              <w:right w:val="nil"/>
            </w:tcBorders>
          </w:tcPr>
          <w:p>
            <w:pPr>
              <w:pStyle w:val="TableParagraph"/>
              <w:spacing w:line="206" w:lineRule="exact"/>
              <w:ind w:right="140"/>
              <w:jc w:val="right"/>
              <w:rPr>
                <w:sz w:val="18"/>
              </w:rPr>
            </w:pPr>
            <w:r>
              <w:rPr>
                <w:sz w:val="18"/>
              </w:rPr>
              <w:t>4</w:t>
            </w:r>
          </w:p>
          <w:p>
            <w:pPr>
              <w:pStyle w:val="TableParagraph"/>
              <w:spacing w:before="90"/>
              <w:ind w:right="137"/>
              <w:jc w:val="right"/>
              <w:rPr>
                <w:sz w:val="18"/>
              </w:rPr>
            </w:pPr>
            <w:r>
              <w:rPr>
                <w:spacing w:val="-2"/>
                <w:sz w:val="18"/>
              </w:rPr>
              <w:t>1,531</w:t>
            </w:r>
          </w:p>
        </w:tc>
        <w:tc>
          <w:tcPr>
            <w:tcW w:w="1242" w:type="dxa"/>
            <w:tcBorders>
              <w:left w:val="nil"/>
              <w:right w:val="nil"/>
            </w:tcBorders>
          </w:tcPr>
          <w:p>
            <w:pPr>
              <w:pStyle w:val="TableParagraph"/>
              <w:spacing w:line="206" w:lineRule="exact"/>
              <w:ind w:right="103"/>
              <w:jc w:val="right"/>
              <w:rPr>
                <w:sz w:val="18"/>
              </w:rPr>
            </w:pPr>
            <w:r>
              <w:rPr>
                <w:spacing w:val="-5"/>
                <w:sz w:val="18"/>
              </w:rPr>
              <w:t>52</w:t>
            </w:r>
          </w:p>
          <w:p>
            <w:pPr>
              <w:pStyle w:val="TableParagraph"/>
              <w:spacing w:before="90"/>
              <w:ind w:right="103"/>
              <w:jc w:val="right"/>
              <w:rPr>
                <w:sz w:val="18"/>
              </w:rPr>
            </w:pPr>
            <w:r>
              <w:rPr>
                <w:spacing w:val="-2"/>
                <w:sz w:val="18"/>
              </w:rPr>
              <w:t>1,759</w:t>
            </w:r>
          </w:p>
        </w:tc>
        <w:tc>
          <w:tcPr>
            <w:tcW w:w="1393" w:type="dxa"/>
            <w:tcBorders>
              <w:left w:val="nil"/>
            </w:tcBorders>
            <w:shd w:val="clear" w:color="auto" w:fill="BCD6ED"/>
          </w:tcPr>
          <w:p>
            <w:pPr>
              <w:pStyle w:val="TableParagraph"/>
              <w:spacing w:line="206" w:lineRule="exact"/>
              <w:ind w:right="101"/>
              <w:jc w:val="right"/>
              <w:rPr>
                <w:sz w:val="18"/>
              </w:rPr>
            </w:pPr>
            <w:r>
              <w:rPr>
                <w:sz w:val="18"/>
              </w:rPr>
              <w:t>5</w:t>
            </w:r>
          </w:p>
          <w:p>
            <w:pPr>
              <w:pStyle w:val="TableParagraph"/>
              <w:spacing w:before="90"/>
              <w:ind w:right="99"/>
              <w:jc w:val="right"/>
              <w:rPr>
                <w:sz w:val="18"/>
              </w:rPr>
            </w:pPr>
            <w:r>
              <w:rPr>
                <w:spacing w:val="-2"/>
                <w:sz w:val="18"/>
              </w:rPr>
              <w:t>1,881</w:t>
            </w:r>
          </w:p>
        </w:tc>
      </w:tr>
      <w:tr>
        <w:trPr>
          <w:trHeight w:val="2186" w:hRule="atLeast"/>
        </w:trPr>
        <w:tc>
          <w:tcPr>
            <w:tcW w:w="5542" w:type="dxa"/>
            <w:vMerge/>
            <w:tcBorders>
              <w:top w:val="nil"/>
              <w:right w:val="nil"/>
            </w:tcBorders>
          </w:tcPr>
          <w:p>
            <w:pPr>
              <w:rPr>
                <w:sz w:val="2"/>
                <w:szCs w:val="2"/>
              </w:rPr>
            </w:pPr>
          </w:p>
        </w:tc>
        <w:tc>
          <w:tcPr>
            <w:tcW w:w="1235" w:type="dxa"/>
            <w:tcBorders>
              <w:left w:val="nil"/>
              <w:right w:val="nil"/>
            </w:tcBorders>
          </w:tcPr>
          <w:p>
            <w:pPr>
              <w:pStyle w:val="TableParagraph"/>
              <w:ind w:left="112" w:right="345"/>
              <w:rPr>
                <w:b/>
                <w:sz w:val="18"/>
              </w:rPr>
            </w:pPr>
            <w:r>
              <w:rPr>
                <w:b/>
                <w:sz w:val="18"/>
              </w:rPr>
              <w:t>Surplus</w:t>
            </w:r>
            <w:r>
              <w:rPr>
                <w:b/>
                <w:spacing w:val="-13"/>
                <w:sz w:val="18"/>
              </w:rPr>
              <w:t> </w:t>
            </w:r>
            <w:r>
              <w:rPr>
                <w:b/>
                <w:sz w:val="18"/>
              </w:rPr>
              <w:t>/ </w:t>
            </w:r>
            <w:r>
              <w:rPr>
                <w:b/>
                <w:spacing w:val="-2"/>
                <w:sz w:val="18"/>
              </w:rPr>
              <w:t>(deficit)</w:t>
            </w:r>
          </w:p>
        </w:tc>
        <w:tc>
          <w:tcPr>
            <w:tcW w:w="1071" w:type="dxa"/>
            <w:tcBorders>
              <w:left w:val="nil"/>
              <w:right w:val="nil"/>
            </w:tcBorders>
          </w:tcPr>
          <w:p>
            <w:pPr>
              <w:pStyle w:val="TableParagraph"/>
              <w:spacing w:line="206" w:lineRule="exact"/>
              <w:ind w:right="137"/>
              <w:jc w:val="right"/>
              <w:rPr>
                <w:b/>
                <w:sz w:val="18"/>
              </w:rPr>
            </w:pPr>
            <w:r>
              <w:rPr>
                <w:b/>
                <w:spacing w:val="-2"/>
                <w:sz w:val="18"/>
              </w:rPr>
              <w:t>(1,527)</w:t>
            </w:r>
          </w:p>
        </w:tc>
        <w:tc>
          <w:tcPr>
            <w:tcW w:w="1242" w:type="dxa"/>
            <w:tcBorders>
              <w:left w:val="nil"/>
              <w:right w:val="nil"/>
            </w:tcBorders>
          </w:tcPr>
          <w:p>
            <w:pPr>
              <w:pStyle w:val="TableParagraph"/>
              <w:spacing w:line="206" w:lineRule="exact"/>
              <w:ind w:right="103"/>
              <w:jc w:val="right"/>
              <w:rPr>
                <w:b/>
                <w:sz w:val="18"/>
              </w:rPr>
            </w:pPr>
            <w:r>
              <w:rPr>
                <w:b/>
                <w:spacing w:val="-2"/>
                <w:sz w:val="18"/>
              </w:rPr>
              <w:t>(1,707)</w:t>
            </w:r>
          </w:p>
        </w:tc>
        <w:tc>
          <w:tcPr>
            <w:tcW w:w="1393" w:type="dxa"/>
            <w:tcBorders>
              <w:left w:val="nil"/>
            </w:tcBorders>
            <w:shd w:val="clear" w:color="auto" w:fill="BCD6ED"/>
          </w:tcPr>
          <w:p>
            <w:pPr>
              <w:pStyle w:val="TableParagraph"/>
              <w:spacing w:line="206" w:lineRule="exact"/>
              <w:ind w:right="99"/>
              <w:jc w:val="right"/>
              <w:rPr>
                <w:b/>
                <w:sz w:val="18"/>
              </w:rPr>
            </w:pPr>
            <w:r>
              <w:rPr>
                <w:b/>
                <w:spacing w:val="-2"/>
                <w:sz w:val="18"/>
              </w:rPr>
              <w:t>(1,876)</w:t>
            </w:r>
          </w:p>
        </w:tc>
      </w:tr>
      <w:tr>
        <w:trPr>
          <w:trHeight w:val="287" w:hRule="atLeast"/>
        </w:trPr>
        <w:tc>
          <w:tcPr>
            <w:tcW w:w="10483" w:type="dxa"/>
            <w:gridSpan w:val="5"/>
          </w:tcPr>
          <w:p>
            <w:pPr>
              <w:pStyle w:val="TableParagraph"/>
              <w:spacing w:line="249" w:lineRule="exact" w:before="19"/>
              <w:ind w:left="107"/>
              <w:rPr>
                <w:b/>
                <w:sz w:val="22"/>
              </w:rPr>
            </w:pPr>
            <w:r>
              <w:rPr>
                <w:b/>
                <w:color w:val="5B9AD4"/>
                <w:sz w:val="22"/>
              </w:rPr>
              <w:t>Financial</w:t>
            </w:r>
            <w:r>
              <w:rPr>
                <w:b/>
                <w:color w:val="5B9AD4"/>
                <w:spacing w:val="-6"/>
                <w:sz w:val="22"/>
              </w:rPr>
              <w:t> </w:t>
            </w:r>
            <w:r>
              <w:rPr>
                <w:b/>
                <w:color w:val="5B9AD4"/>
                <w:sz w:val="22"/>
              </w:rPr>
              <w:t>Accounting</w:t>
            </w:r>
            <w:r>
              <w:rPr>
                <w:b/>
                <w:color w:val="5B9AD4"/>
                <w:spacing w:val="-5"/>
                <w:sz w:val="22"/>
              </w:rPr>
              <w:t> </w:t>
            </w:r>
            <w:r>
              <w:rPr>
                <w:b/>
                <w:color w:val="5B9AD4"/>
                <w:sz w:val="22"/>
              </w:rPr>
              <w:t>(Finance</w:t>
            </w:r>
            <w:r>
              <w:rPr>
                <w:b/>
                <w:color w:val="5B9AD4"/>
                <w:spacing w:val="-3"/>
                <w:sz w:val="22"/>
              </w:rPr>
              <w:t> </w:t>
            </w:r>
            <w:r>
              <w:rPr>
                <w:b/>
                <w:color w:val="5B9AD4"/>
                <w:sz w:val="22"/>
              </w:rPr>
              <w:t>and</w:t>
            </w:r>
            <w:r>
              <w:rPr>
                <w:b/>
                <w:color w:val="5B9AD4"/>
                <w:spacing w:val="-6"/>
                <w:sz w:val="22"/>
              </w:rPr>
              <w:t> </w:t>
            </w:r>
            <w:r>
              <w:rPr>
                <w:b/>
                <w:color w:val="5B9AD4"/>
                <w:spacing w:val="-2"/>
                <w:sz w:val="22"/>
              </w:rPr>
              <w:t>Commercial)</w:t>
            </w:r>
          </w:p>
        </w:tc>
      </w:tr>
      <w:tr>
        <w:trPr>
          <w:trHeight w:val="587" w:hRule="atLeast"/>
        </w:trPr>
        <w:tc>
          <w:tcPr>
            <w:tcW w:w="5542" w:type="dxa"/>
            <w:vMerge w:val="restart"/>
            <w:tcBorders>
              <w:right w:val="nil"/>
            </w:tcBorders>
          </w:tcPr>
          <w:p>
            <w:pPr>
              <w:pStyle w:val="TableParagraph"/>
              <w:spacing w:before="2"/>
              <w:ind w:left="107" w:right="163"/>
              <w:rPr>
                <w:sz w:val="22"/>
              </w:rPr>
            </w:pPr>
            <w:r>
              <w:rPr>
                <w:sz w:val="22"/>
              </w:rPr>
              <w:t>Financial Accounting provides sound financial management that complies with legislative requirements and ensures Council’s operations continue by accurately accounting and paying all Council’s suppliers in an efficient and timely manner. This</w:t>
            </w:r>
            <w:r>
              <w:rPr>
                <w:spacing w:val="-7"/>
                <w:sz w:val="22"/>
              </w:rPr>
              <w:t> </w:t>
            </w:r>
            <w:r>
              <w:rPr>
                <w:sz w:val="22"/>
              </w:rPr>
              <w:t>includes</w:t>
            </w:r>
            <w:r>
              <w:rPr>
                <w:spacing w:val="-5"/>
                <w:sz w:val="22"/>
              </w:rPr>
              <w:t> </w:t>
            </w:r>
            <w:r>
              <w:rPr>
                <w:sz w:val="22"/>
              </w:rPr>
              <w:t>financial</w:t>
            </w:r>
            <w:r>
              <w:rPr>
                <w:spacing w:val="-7"/>
                <w:sz w:val="22"/>
              </w:rPr>
              <w:t> </w:t>
            </w:r>
            <w:r>
              <w:rPr>
                <w:sz w:val="22"/>
              </w:rPr>
              <w:t>accounting</w:t>
            </w:r>
            <w:r>
              <w:rPr>
                <w:spacing w:val="-6"/>
                <w:sz w:val="22"/>
              </w:rPr>
              <w:t> </w:t>
            </w:r>
            <w:r>
              <w:rPr>
                <w:sz w:val="22"/>
              </w:rPr>
              <w:t>services</w:t>
            </w:r>
            <w:r>
              <w:rPr>
                <w:spacing w:val="-9"/>
                <w:sz w:val="22"/>
              </w:rPr>
              <w:t> </w:t>
            </w:r>
            <w:r>
              <w:rPr>
                <w:sz w:val="22"/>
              </w:rPr>
              <w:t>(statutory), accounts payable, and strategic project analysis.</w:t>
            </w:r>
          </w:p>
          <w:p>
            <w:pPr>
              <w:pStyle w:val="TableParagraph"/>
              <w:ind w:left="107" w:right="127"/>
              <w:rPr>
                <w:sz w:val="22"/>
              </w:rPr>
            </w:pPr>
            <w:r>
              <w:rPr>
                <w:sz w:val="22"/>
              </w:rPr>
              <w:t>The team is also responsible for overseeing/</w:t>
            </w:r>
            <w:r>
              <w:rPr>
                <w:spacing w:val="40"/>
                <w:sz w:val="22"/>
              </w:rPr>
              <w:t> </w:t>
            </w:r>
            <w:r>
              <w:rPr>
                <w:sz w:val="22"/>
              </w:rPr>
              <w:t>managing</w:t>
            </w:r>
            <w:r>
              <w:rPr>
                <w:spacing w:val="-5"/>
                <w:sz w:val="22"/>
              </w:rPr>
              <w:t> </w:t>
            </w:r>
            <w:r>
              <w:rPr>
                <w:sz w:val="22"/>
              </w:rPr>
              <w:t>the</w:t>
            </w:r>
            <w:r>
              <w:rPr>
                <w:spacing w:val="-6"/>
                <w:sz w:val="22"/>
              </w:rPr>
              <w:t> </w:t>
            </w:r>
            <w:r>
              <w:rPr>
                <w:sz w:val="22"/>
              </w:rPr>
              <w:t>production</w:t>
            </w:r>
            <w:r>
              <w:rPr>
                <w:spacing w:val="-6"/>
                <w:sz w:val="22"/>
              </w:rPr>
              <w:t> </w:t>
            </w:r>
            <w:r>
              <w:rPr>
                <w:sz w:val="22"/>
              </w:rPr>
              <w:t>of</w:t>
            </w:r>
            <w:r>
              <w:rPr>
                <w:spacing w:val="-7"/>
                <w:sz w:val="22"/>
              </w:rPr>
              <w:t> </w:t>
            </w:r>
            <w:r>
              <w:rPr>
                <w:sz w:val="22"/>
              </w:rPr>
              <w:t>Council’s</w:t>
            </w:r>
            <w:r>
              <w:rPr>
                <w:spacing w:val="-5"/>
                <w:sz w:val="22"/>
              </w:rPr>
              <w:t> </w:t>
            </w:r>
            <w:r>
              <w:rPr>
                <w:sz w:val="22"/>
              </w:rPr>
              <w:t>Annual</w:t>
            </w:r>
            <w:r>
              <w:rPr>
                <w:spacing w:val="-5"/>
                <w:sz w:val="22"/>
              </w:rPr>
              <w:t> </w:t>
            </w:r>
            <w:r>
              <w:rPr>
                <w:sz w:val="22"/>
              </w:rPr>
              <w:t>Financial Statements as well as providing financial and cost- benefit guidance to the organisation, to help make</w:t>
            </w:r>
          </w:p>
          <w:p>
            <w:pPr>
              <w:pStyle w:val="TableParagraph"/>
              <w:spacing w:line="233" w:lineRule="exact"/>
              <w:ind w:left="107"/>
              <w:rPr>
                <w:sz w:val="22"/>
              </w:rPr>
            </w:pPr>
            <w:r>
              <w:rPr>
                <w:sz w:val="22"/>
              </w:rPr>
              <w:t>sound</w:t>
            </w:r>
            <w:r>
              <w:rPr>
                <w:spacing w:val="-4"/>
                <w:sz w:val="22"/>
              </w:rPr>
              <w:t> </w:t>
            </w:r>
            <w:r>
              <w:rPr>
                <w:sz w:val="22"/>
              </w:rPr>
              <w:t>financial</w:t>
            </w:r>
            <w:r>
              <w:rPr>
                <w:spacing w:val="-3"/>
                <w:sz w:val="22"/>
              </w:rPr>
              <w:t> </w:t>
            </w:r>
            <w:r>
              <w:rPr>
                <w:spacing w:val="-2"/>
                <w:sz w:val="22"/>
              </w:rPr>
              <w:t>decisions.</w:t>
            </w:r>
          </w:p>
        </w:tc>
        <w:tc>
          <w:tcPr>
            <w:tcW w:w="1235" w:type="dxa"/>
            <w:tcBorders>
              <w:left w:val="nil"/>
              <w:right w:val="nil"/>
            </w:tcBorders>
          </w:tcPr>
          <w:p>
            <w:pPr>
              <w:pStyle w:val="TableParagraph"/>
              <w:spacing w:before="1"/>
              <w:ind w:left="112"/>
              <w:rPr>
                <w:sz w:val="18"/>
              </w:rPr>
            </w:pPr>
            <w:r>
              <w:rPr>
                <w:spacing w:val="-5"/>
                <w:sz w:val="18"/>
              </w:rPr>
              <w:t>Inc</w:t>
            </w:r>
          </w:p>
          <w:p>
            <w:pPr>
              <w:pStyle w:val="TableParagraph"/>
              <w:spacing w:before="91"/>
              <w:ind w:left="112"/>
              <w:rPr>
                <w:sz w:val="18"/>
              </w:rPr>
            </w:pPr>
            <w:r>
              <w:rPr>
                <w:spacing w:val="-5"/>
                <w:sz w:val="18"/>
              </w:rPr>
              <w:t>Exp</w:t>
            </w:r>
          </w:p>
        </w:tc>
        <w:tc>
          <w:tcPr>
            <w:tcW w:w="1071" w:type="dxa"/>
            <w:tcBorders>
              <w:left w:val="nil"/>
              <w:right w:val="nil"/>
            </w:tcBorders>
          </w:tcPr>
          <w:p>
            <w:pPr>
              <w:pStyle w:val="TableParagraph"/>
              <w:spacing w:before="1"/>
              <w:ind w:left="379"/>
              <w:rPr>
                <w:sz w:val="18"/>
              </w:rPr>
            </w:pPr>
            <w:r>
              <w:rPr>
                <w:spacing w:val="-2"/>
                <w:sz w:val="18"/>
              </w:rPr>
              <w:t>11,736</w:t>
            </w:r>
          </w:p>
          <w:p>
            <w:pPr>
              <w:pStyle w:val="TableParagraph"/>
              <w:spacing w:before="91"/>
              <w:ind w:left="379"/>
              <w:rPr>
                <w:sz w:val="18"/>
              </w:rPr>
            </w:pPr>
            <w:r>
              <w:rPr>
                <w:spacing w:val="-2"/>
                <w:sz w:val="18"/>
              </w:rPr>
              <w:t>10,534</w:t>
            </w:r>
          </w:p>
        </w:tc>
        <w:tc>
          <w:tcPr>
            <w:tcW w:w="1242" w:type="dxa"/>
            <w:tcBorders>
              <w:left w:val="nil"/>
              <w:right w:val="nil"/>
            </w:tcBorders>
          </w:tcPr>
          <w:p>
            <w:pPr>
              <w:pStyle w:val="TableParagraph"/>
              <w:spacing w:before="1"/>
              <w:ind w:left="683"/>
              <w:rPr>
                <w:sz w:val="18"/>
              </w:rPr>
            </w:pPr>
            <w:r>
              <w:rPr>
                <w:spacing w:val="-2"/>
                <w:sz w:val="18"/>
              </w:rPr>
              <w:t>3,840</w:t>
            </w:r>
          </w:p>
          <w:p>
            <w:pPr>
              <w:pStyle w:val="TableParagraph"/>
              <w:spacing w:before="91"/>
              <w:ind w:left="683"/>
              <w:rPr>
                <w:sz w:val="18"/>
              </w:rPr>
            </w:pPr>
            <w:r>
              <w:rPr>
                <w:spacing w:val="-2"/>
                <w:sz w:val="18"/>
              </w:rPr>
              <w:t>1,838</w:t>
            </w:r>
          </w:p>
        </w:tc>
        <w:tc>
          <w:tcPr>
            <w:tcW w:w="1393" w:type="dxa"/>
            <w:tcBorders>
              <w:left w:val="nil"/>
            </w:tcBorders>
            <w:shd w:val="clear" w:color="auto" w:fill="BCD6ED"/>
          </w:tcPr>
          <w:p>
            <w:pPr>
              <w:pStyle w:val="TableParagraph"/>
              <w:spacing w:before="1"/>
              <w:ind w:left="829"/>
              <w:rPr>
                <w:sz w:val="18"/>
              </w:rPr>
            </w:pPr>
            <w:r>
              <w:rPr>
                <w:spacing w:val="-2"/>
                <w:sz w:val="18"/>
              </w:rPr>
              <w:t>3,451</w:t>
            </w:r>
          </w:p>
          <w:p>
            <w:pPr>
              <w:pStyle w:val="TableParagraph"/>
              <w:spacing w:before="91"/>
              <w:ind w:left="829"/>
              <w:rPr>
                <w:sz w:val="18"/>
              </w:rPr>
            </w:pPr>
            <w:r>
              <w:rPr>
                <w:spacing w:val="-2"/>
                <w:sz w:val="18"/>
              </w:rPr>
              <w:t>1,430</w:t>
            </w:r>
          </w:p>
        </w:tc>
      </w:tr>
      <w:tr>
        <w:trPr>
          <w:trHeight w:val="2440" w:hRule="atLeast"/>
        </w:trPr>
        <w:tc>
          <w:tcPr>
            <w:tcW w:w="5542" w:type="dxa"/>
            <w:vMerge/>
            <w:tcBorders>
              <w:top w:val="nil"/>
              <w:right w:val="nil"/>
            </w:tcBorders>
          </w:tcPr>
          <w:p>
            <w:pPr>
              <w:rPr>
                <w:sz w:val="2"/>
                <w:szCs w:val="2"/>
              </w:rPr>
            </w:pPr>
          </w:p>
        </w:tc>
        <w:tc>
          <w:tcPr>
            <w:tcW w:w="1235" w:type="dxa"/>
            <w:tcBorders>
              <w:left w:val="nil"/>
              <w:right w:val="nil"/>
            </w:tcBorders>
          </w:tcPr>
          <w:p>
            <w:pPr>
              <w:pStyle w:val="TableParagraph"/>
              <w:ind w:left="112" w:right="345"/>
              <w:rPr>
                <w:b/>
                <w:sz w:val="18"/>
              </w:rPr>
            </w:pPr>
            <w:r>
              <w:rPr>
                <w:b/>
                <w:sz w:val="18"/>
              </w:rPr>
              <w:t>Surplus</w:t>
            </w:r>
            <w:r>
              <w:rPr>
                <w:b/>
                <w:spacing w:val="-13"/>
                <w:sz w:val="18"/>
              </w:rPr>
              <w:t> </w:t>
            </w:r>
            <w:r>
              <w:rPr>
                <w:b/>
                <w:sz w:val="18"/>
              </w:rPr>
              <w:t>/ </w:t>
            </w:r>
            <w:r>
              <w:rPr>
                <w:b/>
                <w:spacing w:val="-2"/>
                <w:sz w:val="18"/>
              </w:rPr>
              <w:t>(deficit)</w:t>
            </w:r>
          </w:p>
        </w:tc>
        <w:tc>
          <w:tcPr>
            <w:tcW w:w="1071" w:type="dxa"/>
            <w:tcBorders>
              <w:left w:val="nil"/>
              <w:right w:val="nil"/>
            </w:tcBorders>
          </w:tcPr>
          <w:p>
            <w:pPr>
              <w:pStyle w:val="TableParagraph"/>
              <w:spacing w:line="206" w:lineRule="exact"/>
              <w:ind w:right="137"/>
              <w:jc w:val="right"/>
              <w:rPr>
                <w:b/>
                <w:sz w:val="18"/>
              </w:rPr>
            </w:pPr>
            <w:r>
              <w:rPr>
                <w:b/>
                <w:spacing w:val="-2"/>
                <w:sz w:val="18"/>
              </w:rPr>
              <w:t>1,202</w:t>
            </w:r>
          </w:p>
        </w:tc>
        <w:tc>
          <w:tcPr>
            <w:tcW w:w="1242" w:type="dxa"/>
            <w:tcBorders>
              <w:left w:val="nil"/>
              <w:right w:val="nil"/>
            </w:tcBorders>
          </w:tcPr>
          <w:p>
            <w:pPr>
              <w:pStyle w:val="TableParagraph"/>
              <w:spacing w:line="206" w:lineRule="exact"/>
              <w:ind w:right="103"/>
              <w:jc w:val="right"/>
              <w:rPr>
                <w:b/>
                <w:sz w:val="18"/>
              </w:rPr>
            </w:pPr>
            <w:r>
              <w:rPr>
                <w:b/>
                <w:spacing w:val="-2"/>
                <w:sz w:val="18"/>
              </w:rPr>
              <w:t>2,002</w:t>
            </w:r>
          </w:p>
        </w:tc>
        <w:tc>
          <w:tcPr>
            <w:tcW w:w="1393" w:type="dxa"/>
            <w:tcBorders>
              <w:left w:val="nil"/>
            </w:tcBorders>
            <w:shd w:val="clear" w:color="auto" w:fill="BCD6ED"/>
          </w:tcPr>
          <w:p>
            <w:pPr>
              <w:pStyle w:val="TableParagraph"/>
              <w:spacing w:line="206" w:lineRule="exact"/>
              <w:ind w:right="99"/>
              <w:jc w:val="right"/>
              <w:rPr>
                <w:b/>
                <w:sz w:val="18"/>
              </w:rPr>
            </w:pPr>
            <w:r>
              <w:rPr>
                <w:b/>
                <w:spacing w:val="-2"/>
                <w:sz w:val="18"/>
              </w:rPr>
              <w:t>2,021</w:t>
            </w:r>
          </w:p>
        </w:tc>
      </w:tr>
    </w:tbl>
    <w:p>
      <w:pPr>
        <w:pStyle w:val="BodyText"/>
        <w:rPr>
          <w:b/>
          <w:sz w:val="20"/>
        </w:rPr>
      </w:pPr>
    </w:p>
    <w:p>
      <w:pPr>
        <w:pStyle w:val="BodyText"/>
        <w:rPr>
          <w:b/>
          <w:sz w:val="20"/>
        </w:rPr>
      </w:pPr>
    </w:p>
    <w:p>
      <w:pPr>
        <w:pStyle w:val="BodyText"/>
        <w:rPr>
          <w:b/>
          <w:sz w:val="27"/>
        </w:rPr>
      </w:pPr>
      <w:r>
        <w:rPr/>
        <w:pict>
          <v:group style="position:absolute;margin-left:42.599998pt;margin-top:16.723682pt;width:524.4pt;height:15.5pt;mso-position-horizontal-relative:page;mso-position-vertical-relative:paragraph;z-index:-15719936;mso-wrap-distance-left:0;mso-wrap-distance-right:0" id="docshapegroup46" coordorigin="852,334" coordsize="10488,310">
            <v:rect style="position:absolute;left:861;top:344;width:10469;height:300" id="docshape47" filled="true" fillcolor="#5b9ad4" stroked="false">
              <v:fill type="solid"/>
            </v:rect>
            <v:shape style="position:absolute;left:851;top:334;width:10489;height:310" id="docshape48" coordorigin="852,334" coordsize="10489,310" path="m11330,334l852,334,852,344,852,344,852,644,862,644,862,344,11330,344,11330,334xm11340,334l11330,334,11330,344,11330,344,11330,644,11340,644,11340,344,11340,334xe" filled="true" fillcolor="#000000" stroked="false">
              <v:path arrowok="t"/>
              <v:fill type="solid"/>
            </v:shape>
            <v:shape style="position:absolute;left:861;top:344;width:10469;height:300" type="#_x0000_t202" id="docshape49" filled="false" stroked="false">
              <v:textbox inset="0,0,0,0">
                <w:txbxContent>
                  <w:p>
                    <w:pPr>
                      <w:tabs>
                        <w:tab w:pos="6645" w:val="left" w:leader="none"/>
                        <w:tab w:pos="7922" w:val="left" w:leader="none"/>
                        <w:tab w:pos="9256" w:val="left" w:leader="none"/>
                      </w:tabs>
                      <w:spacing w:before="24"/>
                      <w:ind w:left="103" w:right="0" w:firstLine="0"/>
                      <w:jc w:val="left"/>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r>
                      <w:rPr>
                        <w:b/>
                        <w:color w:val="FFFFFF"/>
                        <w:sz w:val="22"/>
                      </w:rPr>
                      <w:tab/>
                    </w:r>
                    <w:r>
                      <w:rPr>
                        <w:b/>
                        <w:color w:val="FFFFFF"/>
                        <w:spacing w:val="-2"/>
                        <w:sz w:val="22"/>
                      </w:rPr>
                      <w:t>2022/2023</w:t>
                    </w:r>
                    <w:r>
                      <w:rPr>
                        <w:b/>
                        <w:color w:val="FFFFFF"/>
                        <w:sz w:val="22"/>
                      </w:rPr>
                      <w:tab/>
                    </w:r>
                    <w:r>
                      <w:rPr>
                        <w:b/>
                        <w:color w:val="FFFFFF"/>
                        <w:spacing w:val="-2"/>
                        <w:sz w:val="22"/>
                      </w:rPr>
                      <w:t>2023/2024</w:t>
                    </w:r>
                    <w:r>
                      <w:rPr>
                        <w:b/>
                        <w:color w:val="FFFFFF"/>
                        <w:sz w:val="22"/>
                      </w:rPr>
                      <w:tab/>
                    </w:r>
                    <w:r>
                      <w:rPr>
                        <w:b/>
                        <w:color w:val="FFFFFF"/>
                        <w:spacing w:val="-2"/>
                        <w:sz w:val="22"/>
                      </w:rPr>
                      <w:t>2024/2025</w:t>
                    </w:r>
                  </w:p>
                </w:txbxContent>
              </v:textbox>
              <w10:wrap type="none"/>
            </v:shape>
            <w10:wrap type="topAndBottom"/>
          </v:group>
        </w:pict>
      </w:r>
    </w:p>
    <w:p>
      <w:pPr>
        <w:spacing w:after="0"/>
        <w:rPr>
          <w:sz w:val="27"/>
        </w:rPr>
        <w:sectPr>
          <w:type w:val="continuous"/>
          <w:pgSz w:w="11910" w:h="16840"/>
          <w:pgMar w:header="0" w:footer="426" w:top="380" w:bottom="620" w:left="460" w:right="160"/>
        </w:sect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9"/>
        <w:gridCol w:w="1238"/>
        <w:gridCol w:w="1068"/>
        <w:gridCol w:w="1240"/>
        <w:gridCol w:w="1391"/>
      </w:tblGrid>
      <w:tr>
        <w:trPr>
          <w:trHeight w:val="597" w:hRule="atLeast"/>
        </w:trPr>
        <w:tc>
          <w:tcPr>
            <w:tcW w:w="7845" w:type="dxa"/>
            <w:gridSpan w:val="3"/>
            <w:tcBorders>
              <w:top w:val="nil"/>
              <w:bottom w:val="nil"/>
              <w:right w:val="nil"/>
            </w:tcBorders>
            <w:shd w:val="clear" w:color="auto" w:fill="5B9AD4"/>
          </w:tcPr>
          <w:p>
            <w:pPr>
              <w:pStyle w:val="TableParagraph"/>
              <w:spacing w:before="21"/>
              <w:ind w:right="327"/>
              <w:jc w:val="right"/>
              <w:rPr>
                <w:b/>
                <w:sz w:val="22"/>
              </w:rPr>
            </w:pPr>
            <w:r>
              <w:rPr>
                <w:b/>
                <w:color w:val="FFFFFF"/>
                <w:spacing w:val="-2"/>
                <w:sz w:val="22"/>
              </w:rPr>
              <w:t>Actual</w:t>
            </w:r>
          </w:p>
          <w:p>
            <w:pPr>
              <w:pStyle w:val="TableParagraph"/>
              <w:spacing w:before="47"/>
              <w:ind w:right="393"/>
              <w:jc w:val="right"/>
              <w:rPr>
                <w:b/>
                <w:sz w:val="22"/>
              </w:rPr>
            </w:pPr>
            <w:r>
              <w:rPr>
                <w:b/>
                <w:color w:val="FFFFFF"/>
                <w:spacing w:val="-2"/>
                <w:sz w:val="22"/>
              </w:rPr>
              <w:t>$'000</w:t>
            </w:r>
          </w:p>
        </w:tc>
        <w:tc>
          <w:tcPr>
            <w:tcW w:w="1240" w:type="dxa"/>
            <w:tcBorders>
              <w:top w:val="nil"/>
              <w:left w:val="nil"/>
              <w:bottom w:val="nil"/>
              <w:right w:val="nil"/>
            </w:tcBorders>
            <w:shd w:val="clear" w:color="auto" w:fill="5B9AD4"/>
          </w:tcPr>
          <w:p>
            <w:pPr>
              <w:pStyle w:val="TableParagraph"/>
              <w:spacing w:before="21"/>
              <w:ind w:left="136" w:right="162"/>
              <w:jc w:val="center"/>
              <w:rPr>
                <w:b/>
                <w:sz w:val="22"/>
              </w:rPr>
            </w:pPr>
            <w:r>
              <w:rPr>
                <w:b/>
                <w:color w:val="FFFFFF"/>
                <w:spacing w:val="-2"/>
                <w:sz w:val="22"/>
              </w:rPr>
              <w:t>Forecast</w:t>
            </w:r>
          </w:p>
          <w:p>
            <w:pPr>
              <w:pStyle w:val="TableParagraph"/>
              <w:spacing w:before="47"/>
              <w:ind w:left="135" w:right="162"/>
              <w:jc w:val="center"/>
              <w:rPr>
                <w:b/>
                <w:sz w:val="22"/>
              </w:rPr>
            </w:pPr>
            <w:r>
              <w:rPr>
                <w:b/>
                <w:color w:val="FFFFFF"/>
                <w:spacing w:val="-2"/>
                <w:sz w:val="22"/>
              </w:rPr>
              <w:t>$'000</w:t>
            </w:r>
          </w:p>
        </w:tc>
        <w:tc>
          <w:tcPr>
            <w:tcW w:w="1391" w:type="dxa"/>
            <w:tcBorders>
              <w:top w:val="nil"/>
              <w:left w:val="nil"/>
              <w:bottom w:val="nil"/>
            </w:tcBorders>
            <w:shd w:val="clear" w:color="auto" w:fill="5B9AD4"/>
          </w:tcPr>
          <w:p>
            <w:pPr>
              <w:pStyle w:val="TableParagraph"/>
              <w:spacing w:before="21"/>
              <w:ind w:left="318"/>
              <w:rPr>
                <w:b/>
                <w:sz w:val="22"/>
              </w:rPr>
            </w:pPr>
            <w:r>
              <w:rPr>
                <w:b/>
                <w:color w:val="FFFFFF"/>
                <w:spacing w:val="-2"/>
                <w:sz w:val="22"/>
              </w:rPr>
              <w:t>Budget</w:t>
            </w:r>
          </w:p>
          <w:p>
            <w:pPr>
              <w:pStyle w:val="TableParagraph"/>
              <w:spacing w:before="47"/>
              <w:ind w:left="426"/>
              <w:rPr>
                <w:b/>
                <w:sz w:val="22"/>
              </w:rPr>
            </w:pPr>
            <w:r>
              <w:rPr>
                <w:b/>
                <w:color w:val="FFFFFF"/>
                <w:spacing w:val="-2"/>
                <w:sz w:val="22"/>
              </w:rPr>
              <w:t>$'000</w:t>
            </w:r>
          </w:p>
        </w:tc>
      </w:tr>
      <w:tr>
        <w:trPr>
          <w:trHeight w:val="506" w:hRule="atLeast"/>
        </w:trPr>
        <w:tc>
          <w:tcPr>
            <w:tcW w:w="10476" w:type="dxa"/>
            <w:gridSpan w:val="5"/>
            <w:tcBorders>
              <w:top w:val="nil"/>
            </w:tcBorders>
          </w:tcPr>
          <w:p>
            <w:pPr>
              <w:pStyle w:val="TableParagraph"/>
              <w:spacing w:line="252" w:lineRule="exact"/>
              <w:ind w:left="107" w:right="4022"/>
              <w:rPr>
                <w:b/>
                <w:sz w:val="22"/>
              </w:rPr>
            </w:pPr>
            <w:r>
              <w:rPr>
                <w:b/>
                <w:color w:val="5B9AD4"/>
                <w:sz w:val="22"/>
              </w:rPr>
              <w:t>Governance</w:t>
            </w:r>
            <w:r>
              <w:rPr>
                <w:b/>
                <w:color w:val="5B9AD4"/>
                <w:spacing w:val="-10"/>
                <w:sz w:val="22"/>
              </w:rPr>
              <w:t> </w:t>
            </w:r>
            <w:r>
              <w:rPr>
                <w:b/>
                <w:color w:val="5B9AD4"/>
                <w:sz w:val="22"/>
              </w:rPr>
              <w:t>and</w:t>
            </w:r>
            <w:r>
              <w:rPr>
                <w:b/>
                <w:color w:val="5B9AD4"/>
                <w:spacing w:val="-9"/>
                <w:sz w:val="22"/>
              </w:rPr>
              <w:t> </w:t>
            </w:r>
            <w:r>
              <w:rPr>
                <w:b/>
                <w:color w:val="5B9AD4"/>
                <w:sz w:val="22"/>
              </w:rPr>
              <w:t>Procurement</w:t>
            </w:r>
            <w:r>
              <w:rPr>
                <w:b/>
                <w:color w:val="5B9AD4"/>
                <w:spacing w:val="-9"/>
                <w:sz w:val="22"/>
              </w:rPr>
              <w:t> </w:t>
            </w:r>
            <w:r>
              <w:rPr>
                <w:b/>
                <w:color w:val="5B9AD4"/>
                <w:sz w:val="22"/>
              </w:rPr>
              <w:t>(Governance</w:t>
            </w:r>
            <w:r>
              <w:rPr>
                <w:b/>
                <w:color w:val="5B9AD4"/>
                <w:spacing w:val="-10"/>
                <w:sz w:val="22"/>
              </w:rPr>
              <w:t> </w:t>
            </w:r>
            <w:r>
              <w:rPr>
                <w:b/>
                <w:color w:val="5B9AD4"/>
                <w:sz w:val="22"/>
              </w:rPr>
              <w:t>and </w:t>
            </w:r>
            <w:r>
              <w:rPr>
                <w:b/>
                <w:color w:val="5B9AD4"/>
                <w:spacing w:val="-2"/>
                <w:sz w:val="22"/>
              </w:rPr>
              <w:t>Performance)</w:t>
            </w:r>
          </w:p>
        </w:tc>
      </w:tr>
      <w:tr>
        <w:trPr>
          <w:trHeight w:val="609" w:hRule="atLeast"/>
        </w:trPr>
        <w:tc>
          <w:tcPr>
            <w:tcW w:w="5539" w:type="dxa"/>
            <w:vMerge w:val="restart"/>
            <w:tcBorders>
              <w:right w:val="nil"/>
            </w:tcBorders>
          </w:tcPr>
          <w:p>
            <w:pPr>
              <w:pStyle w:val="TableParagraph"/>
              <w:ind w:left="107" w:right="210"/>
              <w:rPr>
                <w:sz w:val="22"/>
              </w:rPr>
            </w:pPr>
            <w:r>
              <w:rPr>
                <w:sz w:val="22"/>
              </w:rPr>
              <w:t>Governance and Procurement provide high quality, timely and</w:t>
            </w:r>
            <w:r>
              <w:rPr>
                <w:spacing w:val="-2"/>
                <w:sz w:val="22"/>
              </w:rPr>
              <w:t> </w:t>
            </w:r>
            <w:r>
              <w:rPr>
                <w:sz w:val="22"/>
              </w:rPr>
              <w:t>reliable</w:t>
            </w:r>
            <w:r>
              <w:rPr>
                <w:spacing w:val="-2"/>
                <w:sz w:val="22"/>
              </w:rPr>
              <w:t> </w:t>
            </w:r>
            <w:r>
              <w:rPr>
                <w:sz w:val="22"/>
              </w:rPr>
              <w:t>governance advice</w:t>
            </w:r>
            <w:r>
              <w:rPr>
                <w:spacing w:val="-2"/>
                <w:sz w:val="22"/>
              </w:rPr>
              <w:t> </w:t>
            </w:r>
            <w:r>
              <w:rPr>
                <w:sz w:val="22"/>
              </w:rPr>
              <w:t>and</w:t>
            </w:r>
            <w:r>
              <w:rPr>
                <w:spacing w:val="-1"/>
                <w:sz w:val="22"/>
              </w:rPr>
              <w:t> </w:t>
            </w:r>
            <w:r>
              <w:rPr>
                <w:sz w:val="22"/>
              </w:rPr>
              <w:t>support to all</w:t>
            </w:r>
            <w:r>
              <w:rPr>
                <w:spacing w:val="-4"/>
                <w:sz w:val="22"/>
              </w:rPr>
              <w:t> </w:t>
            </w:r>
            <w:r>
              <w:rPr>
                <w:sz w:val="22"/>
              </w:rPr>
              <w:t>Council</w:t>
            </w:r>
            <w:r>
              <w:rPr>
                <w:spacing w:val="-4"/>
                <w:sz w:val="22"/>
              </w:rPr>
              <w:t> </w:t>
            </w:r>
            <w:r>
              <w:rPr>
                <w:sz w:val="22"/>
              </w:rPr>
              <w:t>service</w:t>
            </w:r>
            <w:r>
              <w:rPr>
                <w:spacing w:val="-4"/>
                <w:sz w:val="22"/>
              </w:rPr>
              <w:t> </w:t>
            </w:r>
            <w:r>
              <w:rPr>
                <w:sz w:val="22"/>
              </w:rPr>
              <w:t>areas,</w:t>
            </w:r>
            <w:r>
              <w:rPr>
                <w:spacing w:val="-3"/>
                <w:sz w:val="22"/>
              </w:rPr>
              <w:t> </w:t>
            </w:r>
            <w:r>
              <w:rPr>
                <w:sz w:val="22"/>
              </w:rPr>
              <w:t>as</w:t>
            </w:r>
            <w:r>
              <w:rPr>
                <w:spacing w:val="-4"/>
                <w:sz w:val="22"/>
              </w:rPr>
              <w:t> </w:t>
            </w:r>
            <w:r>
              <w:rPr>
                <w:sz w:val="22"/>
              </w:rPr>
              <w:t>well</w:t>
            </w:r>
            <w:r>
              <w:rPr>
                <w:spacing w:val="-4"/>
                <w:sz w:val="22"/>
              </w:rPr>
              <w:t> </w:t>
            </w:r>
            <w:r>
              <w:rPr>
                <w:sz w:val="22"/>
              </w:rPr>
              <w:t>as</w:t>
            </w:r>
            <w:r>
              <w:rPr>
                <w:spacing w:val="-6"/>
                <w:sz w:val="22"/>
              </w:rPr>
              <w:t> </w:t>
            </w:r>
            <w:r>
              <w:rPr>
                <w:sz w:val="22"/>
              </w:rPr>
              <w:t>co-ordinating</w:t>
            </w:r>
            <w:r>
              <w:rPr>
                <w:spacing w:val="-6"/>
                <w:sz w:val="22"/>
              </w:rPr>
              <w:t> </w:t>
            </w:r>
            <w:r>
              <w:rPr>
                <w:sz w:val="22"/>
              </w:rPr>
              <w:t>the meetings of Council, conducting Citizenship Ceremonies in liaison with the Department of Home Affairs, and assisting in the implementation of the Local Government Act 2020.</w:t>
            </w:r>
          </w:p>
          <w:p>
            <w:pPr>
              <w:pStyle w:val="TableParagraph"/>
              <w:ind w:left="107"/>
              <w:rPr>
                <w:sz w:val="22"/>
              </w:rPr>
            </w:pPr>
            <w:r>
              <w:rPr>
                <w:sz w:val="22"/>
              </w:rPr>
              <w:t>The team also assists service areas in purchasing of goods and services through the coordination of Council’s purchasing, tendering and contract management</w:t>
            </w:r>
            <w:r>
              <w:rPr>
                <w:spacing w:val="-5"/>
                <w:sz w:val="22"/>
              </w:rPr>
              <w:t> </w:t>
            </w:r>
            <w:r>
              <w:rPr>
                <w:sz w:val="22"/>
              </w:rPr>
              <w:t>processes.</w:t>
            </w:r>
            <w:r>
              <w:rPr>
                <w:spacing w:val="-8"/>
                <w:sz w:val="22"/>
              </w:rPr>
              <w:t> </w:t>
            </w:r>
            <w:r>
              <w:rPr>
                <w:sz w:val="22"/>
              </w:rPr>
              <w:t>This</w:t>
            </w:r>
            <w:r>
              <w:rPr>
                <w:spacing w:val="-6"/>
                <w:sz w:val="22"/>
              </w:rPr>
              <w:t> </w:t>
            </w:r>
            <w:r>
              <w:rPr>
                <w:sz w:val="22"/>
              </w:rPr>
              <w:t>includes</w:t>
            </w:r>
            <w:r>
              <w:rPr>
                <w:spacing w:val="-6"/>
                <w:sz w:val="22"/>
              </w:rPr>
              <w:t> </w:t>
            </w:r>
            <w:r>
              <w:rPr>
                <w:sz w:val="22"/>
              </w:rPr>
              <w:t>identifying</w:t>
            </w:r>
            <w:r>
              <w:rPr>
                <w:spacing w:val="-6"/>
                <w:sz w:val="22"/>
              </w:rPr>
              <w:t> </w:t>
            </w:r>
            <w:r>
              <w:rPr>
                <w:sz w:val="22"/>
              </w:rPr>
              <w:t>and</w:t>
            </w:r>
          </w:p>
          <w:p>
            <w:pPr>
              <w:pStyle w:val="TableParagraph"/>
              <w:spacing w:line="252" w:lineRule="exact"/>
              <w:ind w:left="107"/>
              <w:rPr>
                <w:sz w:val="22"/>
              </w:rPr>
            </w:pPr>
            <w:r>
              <w:rPr>
                <w:sz w:val="22"/>
              </w:rPr>
              <w:t>leading</w:t>
            </w:r>
            <w:r>
              <w:rPr>
                <w:spacing w:val="-8"/>
                <w:sz w:val="22"/>
              </w:rPr>
              <w:t> </w:t>
            </w:r>
            <w:r>
              <w:rPr>
                <w:sz w:val="22"/>
              </w:rPr>
              <w:t>collaborative</w:t>
            </w:r>
            <w:r>
              <w:rPr>
                <w:spacing w:val="-8"/>
                <w:sz w:val="22"/>
              </w:rPr>
              <w:t> </w:t>
            </w:r>
            <w:r>
              <w:rPr>
                <w:sz w:val="22"/>
              </w:rPr>
              <w:t>procurement</w:t>
            </w:r>
            <w:r>
              <w:rPr>
                <w:spacing w:val="-8"/>
                <w:sz w:val="22"/>
              </w:rPr>
              <w:t> </w:t>
            </w:r>
            <w:r>
              <w:rPr>
                <w:sz w:val="22"/>
              </w:rPr>
              <w:t>initiatives</w:t>
            </w:r>
            <w:r>
              <w:rPr>
                <w:spacing w:val="-8"/>
                <w:sz w:val="22"/>
              </w:rPr>
              <w:t> </w:t>
            </w:r>
            <w:r>
              <w:rPr>
                <w:sz w:val="22"/>
              </w:rPr>
              <w:t>where </w:t>
            </w:r>
            <w:r>
              <w:rPr>
                <w:spacing w:val="-2"/>
                <w:sz w:val="22"/>
              </w:rPr>
              <w:t>possible.</w:t>
            </w:r>
          </w:p>
        </w:tc>
        <w:tc>
          <w:tcPr>
            <w:tcW w:w="1238"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2"/>
              <w:ind w:left="110"/>
              <w:rPr>
                <w:sz w:val="18"/>
              </w:rPr>
            </w:pPr>
            <w:r>
              <w:rPr>
                <w:spacing w:val="-5"/>
                <w:sz w:val="18"/>
              </w:rPr>
              <w:t>Exp</w:t>
            </w:r>
          </w:p>
        </w:tc>
        <w:tc>
          <w:tcPr>
            <w:tcW w:w="1068" w:type="dxa"/>
            <w:tcBorders>
              <w:left w:val="nil"/>
              <w:right w:val="nil"/>
            </w:tcBorders>
          </w:tcPr>
          <w:p>
            <w:pPr>
              <w:pStyle w:val="TableParagraph"/>
              <w:spacing w:line="206" w:lineRule="exact"/>
              <w:ind w:right="135"/>
              <w:jc w:val="right"/>
              <w:rPr>
                <w:sz w:val="18"/>
              </w:rPr>
            </w:pPr>
            <w:r>
              <w:rPr>
                <w:spacing w:val="-5"/>
                <w:sz w:val="18"/>
              </w:rPr>
              <w:t>34</w:t>
            </w:r>
          </w:p>
          <w:p>
            <w:pPr>
              <w:pStyle w:val="TableParagraph"/>
              <w:spacing w:before="102"/>
              <w:ind w:right="136"/>
              <w:jc w:val="right"/>
              <w:rPr>
                <w:sz w:val="18"/>
              </w:rPr>
            </w:pPr>
            <w:r>
              <w:rPr>
                <w:spacing w:val="-5"/>
                <w:sz w:val="18"/>
              </w:rPr>
              <w:t>760</w:t>
            </w:r>
          </w:p>
        </w:tc>
        <w:tc>
          <w:tcPr>
            <w:tcW w:w="1240" w:type="dxa"/>
            <w:tcBorders>
              <w:left w:val="nil"/>
              <w:right w:val="nil"/>
            </w:tcBorders>
          </w:tcPr>
          <w:p>
            <w:pPr>
              <w:pStyle w:val="TableParagraph"/>
              <w:spacing w:line="206" w:lineRule="exact"/>
              <w:ind w:right="98"/>
              <w:jc w:val="right"/>
              <w:rPr>
                <w:sz w:val="18"/>
              </w:rPr>
            </w:pPr>
            <w:r>
              <w:rPr>
                <w:spacing w:val="-5"/>
                <w:sz w:val="18"/>
              </w:rPr>
              <w:t>41</w:t>
            </w:r>
          </w:p>
          <w:p>
            <w:pPr>
              <w:pStyle w:val="TableParagraph"/>
              <w:spacing w:before="102"/>
              <w:ind w:right="99"/>
              <w:jc w:val="right"/>
              <w:rPr>
                <w:sz w:val="18"/>
              </w:rPr>
            </w:pPr>
            <w:r>
              <w:rPr>
                <w:spacing w:val="-5"/>
                <w:sz w:val="18"/>
              </w:rPr>
              <w:t>873</w:t>
            </w:r>
          </w:p>
        </w:tc>
        <w:tc>
          <w:tcPr>
            <w:tcW w:w="1391" w:type="dxa"/>
            <w:tcBorders>
              <w:left w:val="nil"/>
            </w:tcBorders>
            <w:shd w:val="clear" w:color="auto" w:fill="BCD6ED"/>
          </w:tcPr>
          <w:p>
            <w:pPr>
              <w:pStyle w:val="TableParagraph"/>
              <w:spacing w:line="206" w:lineRule="exact"/>
              <w:ind w:right="92"/>
              <w:jc w:val="right"/>
              <w:rPr>
                <w:sz w:val="18"/>
              </w:rPr>
            </w:pPr>
            <w:r>
              <w:rPr>
                <w:spacing w:val="-5"/>
                <w:sz w:val="18"/>
              </w:rPr>
              <w:t>35</w:t>
            </w:r>
          </w:p>
          <w:p>
            <w:pPr>
              <w:pStyle w:val="TableParagraph"/>
              <w:spacing w:before="102"/>
              <w:ind w:right="92"/>
              <w:jc w:val="right"/>
              <w:rPr>
                <w:sz w:val="18"/>
              </w:rPr>
            </w:pPr>
            <w:r>
              <w:rPr>
                <w:spacing w:val="-2"/>
                <w:sz w:val="18"/>
              </w:rPr>
              <w:t>1,744</w:t>
            </w:r>
          </w:p>
        </w:tc>
      </w:tr>
      <w:tr>
        <w:trPr>
          <w:trHeight w:val="2670" w:hRule="atLeast"/>
        </w:trPr>
        <w:tc>
          <w:tcPr>
            <w:tcW w:w="5539" w:type="dxa"/>
            <w:vMerge/>
            <w:tcBorders>
              <w:top w:val="nil"/>
              <w:right w:val="nil"/>
            </w:tcBorders>
          </w:tcPr>
          <w:p>
            <w:pPr>
              <w:rPr>
                <w:sz w:val="2"/>
                <w:szCs w:val="2"/>
              </w:rPr>
            </w:pPr>
          </w:p>
        </w:tc>
        <w:tc>
          <w:tcPr>
            <w:tcW w:w="1238" w:type="dxa"/>
            <w:tcBorders>
              <w:left w:val="nil"/>
              <w:right w:val="nil"/>
            </w:tcBorders>
          </w:tcPr>
          <w:p>
            <w:pPr>
              <w:pStyle w:val="TableParagraph"/>
              <w:ind w:left="110"/>
              <w:rPr>
                <w:b/>
                <w:sz w:val="18"/>
              </w:rPr>
            </w:pPr>
            <w:r>
              <w:rPr>
                <w:b/>
                <w:sz w:val="18"/>
              </w:rPr>
              <w:t>Surplus</w:t>
            </w:r>
            <w:r>
              <w:rPr>
                <w:b/>
                <w:spacing w:val="-13"/>
                <w:sz w:val="18"/>
              </w:rPr>
              <w:t> </w:t>
            </w:r>
            <w:r>
              <w:rPr>
                <w:b/>
                <w:sz w:val="18"/>
              </w:rPr>
              <w:t>/ </w:t>
            </w:r>
            <w:r>
              <w:rPr>
                <w:b/>
                <w:spacing w:val="-2"/>
                <w:sz w:val="18"/>
              </w:rPr>
              <w:t>(deficit)</w:t>
            </w:r>
          </w:p>
        </w:tc>
        <w:tc>
          <w:tcPr>
            <w:tcW w:w="1068" w:type="dxa"/>
            <w:tcBorders>
              <w:left w:val="nil"/>
              <w:right w:val="nil"/>
            </w:tcBorders>
          </w:tcPr>
          <w:p>
            <w:pPr>
              <w:pStyle w:val="TableParagraph"/>
              <w:spacing w:line="206" w:lineRule="exact"/>
              <w:ind w:right="133"/>
              <w:jc w:val="right"/>
              <w:rPr>
                <w:b/>
                <w:sz w:val="18"/>
              </w:rPr>
            </w:pPr>
            <w:r>
              <w:rPr>
                <w:b/>
                <w:spacing w:val="-2"/>
                <w:sz w:val="18"/>
              </w:rPr>
              <w:t>(726)</w:t>
            </w:r>
          </w:p>
        </w:tc>
        <w:tc>
          <w:tcPr>
            <w:tcW w:w="1240" w:type="dxa"/>
            <w:tcBorders>
              <w:left w:val="nil"/>
              <w:right w:val="nil"/>
            </w:tcBorders>
          </w:tcPr>
          <w:p>
            <w:pPr>
              <w:pStyle w:val="TableParagraph"/>
              <w:spacing w:line="206" w:lineRule="exact"/>
              <w:ind w:right="97"/>
              <w:jc w:val="right"/>
              <w:rPr>
                <w:b/>
                <w:sz w:val="18"/>
              </w:rPr>
            </w:pPr>
            <w:r>
              <w:rPr>
                <w:b/>
                <w:spacing w:val="-2"/>
                <w:sz w:val="18"/>
              </w:rPr>
              <w:t>(832)</w:t>
            </w:r>
          </w:p>
        </w:tc>
        <w:tc>
          <w:tcPr>
            <w:tcW w:w="1391" w:type="dxa"/>
            <w:tcBorders>
              <w:left w:val="nil"/>
            </w:tcBorders>
            <w:shd w:val="clear" w:color="auto" w:fill="BCD6ED"/>
          </w:tcPr>
          <w:p>
            <w:pPr>
              <w:pStyle w:val="TableParagraph"/>
              <w:spacing w:line="206" w:lineRule="exact"/>
              <w:ind w:right="92"/>
              <w:jc w:val="right"/>
              <w:rPr>
                <w:b/>
                <w:sz w:val="18"/>
              </w:rPr>
            </w:pPr>
            <w:r>
              <w:rPr>
                <w:b/>
                <w:spacing w:val="-2"/>
                <w:sz w:val="18"/>
              </w:rPr>
              <w:t>(1,709)</w:t>
            </w:r>
          </w:p>
        </w:tc>
      </w:tr>
      <w:tr>
        <w:trPr>
          <w:trHeight w:val="506" w:hRule="atLeast"/>
        </w:trPr>
        <w:tc>
          <w:tcPr>
            <w:tcW w:w="10476" w:type="dxa"/>
            <w:gridSpan w:val="5"/>
          </w:tcPr>
          <w:p>
            <w:pPr>
              <w:pStyle w:val="TableParagraph"/>
              <w:spacing w:line="254" w:lineRule="exact"/>
              <w:ind w:left="107" w:right="4022"/>
              <w:rPr>
                <w:b/>
                <w:sz w:val="22"/>
              </w:rPr>
            </w:pPr>
            <w:r>
              <w:rPr>
                <w:b/>
                <w:color w:val="5B9AD4"/>
                <w:sz w:val="22"/>
              </w:rPr>
              <w:t>Management</w:t>
            </w:r>
            <w:r>
              <w:rPr>
                <w:b/>
                <w:color w:val="5B9AD4"/>
                <w:spacing w:val="-9"/>
                <w:sz w:val="22"/>
              </w:rPr>
              <w:t> </w:t>
            </w:r>
            <w:r>
              <w:rPr>
                <w:b/>
                <w:color w:val="5B9AD4"/>
                <w:sz w:val="22"/>
              </w:rPr>
              <w:t>Accounting</w:t>
            </w:r>
            <w:r>
              <w:rPr>
                <w:b/>
                <w:color w:val="5B9AD4"/>
                <w:spacing w:val="-7"/>
                <w:sz w:val="22"/>
              </w:rPr>
              <w:t> </w:t>
            </w:r>
            <w:r>
              <w:rPr>
                <w:b/>
                <w:color w:val="5B9AD4"/>
                <w:sz w:val="22"/>
              </w:rPr>
              <w:t>and</w:t>
            </w:r>
            <w:r>
              <w:rPr>
                <w:b/>
                <w:color w:val="5B9AD4"/>
                <w:spacing w:val="-7"/>
                <w:sz w:val="22"/>
              </w:rPr>
              <w:t> </w:t>
            </w:r>
            <w:r>
              <w:rPr>
                <w:b/>
                <w:color w:val="5B9AD4"/>
                <w:sz w:val="22"/>
              </w:rPr>
              <w:t>Payroll</w:t>
            </w:r>
            <w:r>
              <w:rPr>
                <w:b/>
                <w:color w:val="5B9AD4"/>
                <w:spacing w:val="-7"/>
                <w:sz w:val="22"/>
              </w:rPr>
              <w:t> </w:t>
            </w:r>
            <w:r>
              <w:rPr>
                <w:b/>
                <w:color w:val="5B9AD4"/>
                <w:sz w:val="22"/>
              </w:rPr>
              <w:t>(Finance</w:t>
            </w:r>
            <w:r>
              <w:rPr>
                <w:b/>
                <w:color w:val="5B9AD4"/>
                <w:spacing w:val="-7"/>
                <w:sz w:val="22"/>
              </w:rPr>
              <w:t> </w:t>
            </w:r>
            <w:r>
              <w:rPr>
                <w:b/>
                <w:color w:val="5B9AD4"/>
                <w:sz w:val="22"/>
              </w:rPr>
              <w:t>and </w:t>
            </w:r>
            <w:r>
              <w:rPr>
                <w:b/>
                <w:color w:val="5B9AD4"/>
                <w:spacing w:val="-2"/>
                <w:sz w:val="22"/>
              </w:rPr>
              <w:t>Commercial)</w:t>
            </w:r>
          </w:p>
        </w:tc>
      </w:tr>
      <w:tr>
        <w:trPr>
          <w:trHeight w:val="607" w:hRule="atLeast"/>
        </w:trPr>
        <w:tc>
          <w:tcPr>
            <w:tcW w:w="5539" w:type="dxa"/>
            <w:vMerge w:val="restart"/>
            <w:tcBorders>
              <w:right w:val="nil"/>
            </w:tcBorders>
          </w:tcPr>
          <w:p>
            <w:pPr>
              <w:pStyle w:val="TableParagraph"/>
              <w:ind w:left="107"/>
              <w:rPr>
                <w:sz w:val="22"/>
              </w:rPr>
            </w:pPr>
            <w:r>
              <w:rPr>
                <w:sz w:val="22"/>
              </w:rPr>
              <w:t>Management Accounting and Payroll undertakes planning,</w:t>
            </w:r>
            <w:r>
              <w:rPr>
                <w:spacing w:val="-2"/>
                <w:sz w:val="22"/>
              </w:rPr>
              <w:t> </w:t>
            </w:r>
            <w:r>
              <w:rPr>
                <w:sz w:val="22"/>
              </w:rPr>
              <w:t>budgeting,</w:t>
            </w:r>
            <w:r>
              <w:rPr>
                <w:spacing w:val="-3"/>
                <w:sz w:val="22"/>
              </w:rPr>
              <w:t> </w:t>
            </w:r>
            <w:r>
              <w:rPr>
                <w:sz w:val="22"/>
              </w:rPr>
              <w:t>and</w:t>
            </w:r>
            <w:r>
              <w:rPr>
                <w:spacing w:val="-6"/>
                <w:sz w:val="22"/>
              </w:rPr>
              <w:t> </w:t>
            </w:r>
            <w:r>
              <w:rPr>
                <w:sz w:val="22"/>
              </w:rPr>
              <w:t>forecasting</w:t>
            </w:r>
            <w:r>
              <w:rPr>
                <w:spacing w:val="-6"/>
                <w:sz w:val="22"/>
              </w:rPr>
              <w:t> </w:t>
            </w:r>
            <w:r>
              <w:rPr>
                <w:sz w:val="22"/>
              </w:rPr>
              <w:t>activities</w:t>
            </w:r>
            <w:r>
              <w:rPr>
                <w:spacing w:val="-6"/>
                <w:sz w:val="22"/>
              </w:rPr>
              <w:t> </w:t>
            </w:r>
            <w:r>
              <w:rPr>
                <w:sz w:val="22"/>
              </w:rPr>
              <w:t>to</w:t>
            </w:r>
            <w:r>
              <w:rPr>
                <w:spacing w:val="-10"/>
                <w:sz w:val="22"/>
              </w:rPr>
              <w:t> </w:t>
            </w:r>
            <w:r>
              <w:rPr>
                <w:sz w:val="22"/>
              </w:rPr>
              <w:t>assist the delivery of Maroondah’s long-term vision and to ensure Council’s long-term financial sustainability.</w:t>
            </w:r>
          </w:p>
          <w:p>
            <w:pPr>
              <w:pStyle w:val="TableParagraph"/>
              <w:ind w:left="107" w:right="210"/>
              <w:rPr>
                <w:sz w:val="22"/>
              </w:rPr>
            </w:pPr>
            <w:r>
              <w:rPr>
                <w:sz w:val="22"/>
              </w:rPr>
              <w:t>This</w:t>
            </w:r>
            <w:r>
              <w:rPr>
                <w:spacing w:val="-5"/>
                <w:sz w:val="22"/>
              </w:rPr>
              <w:t> </w:t>
            </w:r>
            <w:r>
              <w:rPr>
                <w:sz w:val="22"/>
              </w:rPr>
              <w:t>includes</w:t>
            </w:r>
            <w:r>
              <w:rPr>
                <w:spacing w:val="-3"/>
                <w:sz w:val="22"/>
              </w:rPr>
              <w:t> </w:t>
            </w:r>
            <w:r>
              <w:rPr>
                <w:sz w:val="22"/>
              </w:rPr>
              <w:t>the</w:t>
            </w:r>
            <w:r>
              <w:rPr>
                <w:spacing w:val="-6"/>
                <w:sz w:val="22"/>
              </w:rPr>
              <w:t> </w:t>
            </w:r>
            <w:r>
              <w:rPr>
                <w:sz w:val="22"/>
              </w:rPr>
              <w:t>provision</w:t>
            </w:r>
            <w:r>
              <w:rPr>
                <w:spacing w:val="-5"/>
                <w:sz w:val="22"/>
              </w:rPr>
              <w:t> </w:t>
            </w:r>
            <w:r>
              <w:rPr>
                <w:sz w:val="22"/>
              </w:rPr>
              <w:t>of</w:t>
            </w:r>
            <w:r>
              <w:rPr>
                <w:spacing w:val="-4"/>
                <w:sz w:val="22"/>
              </w:rPr>
              <w:t> </w:t>
            </w:r>
            <w:r>
              <w:rPr>
                <w:sz w:val="22"/>
              </w:rPr>
              <w:t>the</w:t>
            </w:r>
            <w:r>
              <w:rPr>
                <w:spacing w:val="-6"/>
                <w:sz w:val="22"/>
              </w:rPr>
              <w:t> </w:t>
            </w:r>
            <w:r>
              <w:rPr>
                <w:sz w:val="22"/>
              </w:rPr>
              <w:t>Financial</w:t>
            </w:r>
            <w:r>
              <w:rPr>
                <w:spacing w:val="-5"/>
                <w:sz w:val="22"/>
              </w:rPr>
              <w:t> </w:t>
            </w:r>
            <w:r>
              <w:rPr>
                <w:sz w:val="22"/>
              </w:rPr>
              <w:t>Plan, which forecasts Council’s budgets for a 10-year </w:t>
            </w:r>
            <w:r>
              <w:rPr>
                <w:spacing w:val="-2"/>
                <w:sz w:val="22"/>
              </w:rPr>
              <w:t>period.</w:t>
            </w:r>
          </w:p>
          <w:p>
            <w:pPr>
              <w:pStyle w:val="TableParagraph"/>
              <w:spacing w:line="252" w:lineRule="exact"/>
              <w:ind w:left="107"/>
              <w:rPr>
                <w:sz w:val="22"/>
              </w:rPr>
            </w:pPr>
            <w:r>
              <w:rPr>
                <w:sz w:val="22"/>
              </w:rPr>
              <w:t>The</w:t>
            </w:r>
            <w:r>
              <w:rPr>
                <w:spacing w:val="-3"/>
                <w:sz w:val="22"/>
              </w:rPr>
              <w:t> </w:t>
            </w:r>
            <w:r>
              <w:rPr>
                <w:sz w:val="22"/>
              </w:rPr>
              <w:t>team</w:t>
            </w:r>
            <w:r>
              <w:rPr>
                <w:spacing w:val="-3"/>
                <w:sz w:val="22"/>
              </w:rPr>
              <w:t> </w:t>
            </w:r>
            <w:r>
              <w:rPr>
                <w:sz w:val="22"/>
              </w:rPr>
              <w:t>also</w:t>
            </w:r>
            <w:r>
              <w:rPr>
                <w:spacing w:val="-6"/>
                <w:sz w:val="22"/>
              </w:rPr>
              <w:t> </w:t>
            </w:r>
            <w:r>
              <w:rPr>
                <w:sz w:val="22"/>
              </w:rPr>
              <w:t>delivers</w:t>
            </w:r>
            <w:r>
              <w:rPr>
                <w:spacing w:val="-2"/>
                <w:sz w:val="22"/>
              </w:rPr>
              <w:t> </w:t>
            </w:r>
            <w:r>
              <w:rPr>
                <w:sz w:val="22"/>
              </w:rPr>
              <w:t>Council’s</w:t>
            </w:r>
            <w:r>
              <w:rPr>
                <w:spacing w:val="-3"/>
                <w:sz w:val="22"/>
              </w:rPr>
              <w:t> </w:t>
            </w:r>
            <w:r>
              <w:rPr>
                <w:sz w:val="22"/>
              </w:rPr>
              <w:t>payroll</w:t>
            </w:r>
            <w:r>
              <w:rPr>
                <w:spacing w:val="-2"/>
                <w:sz w:val="22"/>
              </w:rPr>
              <w:t> function,</w:t>
            </w:r>
          </w:p>
          <w:p>
            <w:pPr>
              <w:pStyle w:val="TableParagraph"/>
              <w:spacing w:line="252" w:lineRule="exact"/>
              <w:ind w:left="107"/>
              <w:rPr>
                <w:sz w:val="22"/>
              </w:rPr>
            </w:pPr>
            <w:r>
              <w:rPr>
                <w:sz w:val="22"/>
              </w:rPr>
              <w:t>ensuring</w:t>
            </w:r>
            <w:r>
              <w:rPr>
                <w:spacing w:val="-6"/>
                <w:sz w:val="22"/>
              </w:rPr>
              <w:t> </w:t>
            </w:r>
            <w:r>
              <w:rPr>
                <w:sz w:val="22"/>
              </w:rPr>
              <w:t>all</w:t>
            </w:r>
            <w:r>
              <w:rPr>
                <w:spacing w:val="-4"/>
                <w:sz w:val="22"/>
              </w:rPr>
              <w:t> </w:t>
            </w:r>
            <w:r>
              <w:rPr>
                <w:sz w:val="22"/>
              </w:rPr>
              <w:t>salaries</w:t>
            </w:r>
            <w:r>
              <w:rPr>
                <w:spacing w:val="-4"/>
                <w:sz w:val="22"/>
              </w:rPr>
              <w:t> </w:t>
            </w:r>
            <w:r>
              <w:rPr>
                <w:sz w:val="22"/>
              </w:rPr>
              <w:t>are</w:t>
            </w:r>
            <w:r>
              <w:rPr>
                <w:spacing w:val="-7"/>
                <w:sz w:val="22"/>
              </w:rPr>
              <w:t> </w:t>
            </w:r>
            <w:r>
              <w:rPr>
                <w:sz w:val="22"/>
              </w:rPr>
              <w:t>delivered</w:t>
            </w:r>
            <w:r>
              <w:rPr>
                <w:spacing w:val="-4"/>
                <w:sz w:val="22"/>
              </w:rPr>
              <w:t> </w:t>
            </w:r>
            <w:r>
              <w:rPr>
                <w:sz w:val="22"/>
              </w:rPr>
              <w:t>accurately</w:t>
            </w:r>
            <w:r>
              <w:rPr>
                <w:spacing w:val="-4"/>
                <w:sz w:val="22"/>
              </w:rPr>
              <w:t> </w:t>
            </w:r>
            <w:r>
              <w:rPr>
                <w:sz w:val="22"/>
              </w:rPr>
              <w:t>and</w:t>
            </w:r>
            <w:r>
              <w:rPr>
                <w:spacing w:val="-7"/>
                <w:sz w:val="22"/>
              </w:rPr>
              <w:t> </w:t>
            </w:r>
            <w:r>
              <w:rPr>
                <w:sz w:val="22"/>
              </w:rPr>
              <w:t>on </w:t>
            </w:r>
            <w:r>
              <w:rPr>
                <w:spacing w:val="-2"/>
                <w:sz w:val="22"/>
              </w:rPr>
              <w:t>time.</w:t>
            </w:r>
          </w:p>
        </w:tc>
        <w:tc>
          <w:tcPr>
            <w:tcW w:w="1238" w:type="dxa"/>
            <w:tcBorders>
              <w:left w:val="nil"/>
              <w:right w:val="nil"/>
            </w:tcBorders>
          </w:tcPr>
          <w:p>
            <w:pPr>
              <w:pStyle w:val="TableParagraph"/>
              <w:spacing w:line="204" w:lineRule="exact"/>
              <w:ind w:left="110"/>
              <w:rPr>
                <w:sz w:val="18"/>
              </w:rPr>
            </w:pPr>
            <w:r>
              <w:rPr>
                <w:spacing w:val="-5"/>
                <w:sz w:val="18"/>
              </w:rPr>
              <w:t>Inc</w:t>
            </w:r>
          </w:p>
          <w:p>
            <w:pPr>
              <w:pStyle w:val="TableParagraph"/>
              <w:spacing w:before="102"/>
              <w:ind w:left="110"/>
              <w:rPr>
                <w:sz w:val="18"/>
              </w:rPr>
            </w:pPr>
            <w:r>
              <w:rPr>
                <w:spacing w:val="-5"/>
                <w:sz w:val="18"/>
              </w:rPr>
              <w:t>Exp</w:t>
            </w:r>
          </w:p>
        </w:tc>
        <w:tc>
          <w:tcPr>
            <w:tcW w:w="1068" w:type="dxa"/>
            <w:tcBorders>
              <w:left w:val="nil"/>
              <w:right w:val="nil"/>
            </w:tcBorders>
          </w:tcPr>
          <w:p>
            <w:pPr>
              <w:pStyle w:val="TableParagraph"/>
              <w:spacing w:line="204" w:lineRule="exact"/>
              <w:ind w:right="134"/>
              <w:jc w:val="right"/>
              <w:rPr>
                <w:sz w:val="18"/>
              </w:rPr>
            </w:pPr>
            <w:r>
              <w:rPr>
                <w:spacing w:val="-2"/>
                <w:sz w:val="18"/>
              </w:rPr>
              <w:t>(2,542)</w:t>
            </w:r>
          </w:p>
          <w:p>
            <w:pPr>
              <w:pStyle w:val="TableParagraph"/>
              <w:spacing w:before="102"/>
              <w:ind w:right="133"/>
              <w:jc w:val="right"/>
              <w:rPr>
                <w:sz w:val="18"/>
              </w:rPr>
            </w:pPr>
            <w:r>
              <w:rPr>
                <w:spacing w:val="-2"/>
                <w:sz w:val="18"/>
              </w:rPr>
              <w:t>(137)</w:t>
            </w:r>
          </w:p>
        </w:tc>
        <w:tc>
          <w:tcPr>
            <w:tcW w:w="1240" w:type="dxa"/>
            <w:tcBorders>
              <w:left w:val="nil"/>
              <w:right w:val="nil"/>
            </w:tcBorders>
          </w:tcPr>
          <w:p>
            <w:pPr>
              <w:pStyle w:val="TableParagraph"/>
              <w:spacing w:line="204" w:lineRule="exact"/>
              <w:ind w:right="98"/>
              <w:jc w:val="right"/>
              <w:rPr>
                <w:sz w:val="18"/>
              </w:rPr>
            </w:pPr>
            <w:r>
              <w:rPr>
                <w:spacing w:val="-2"/>
                <w:sz w:val="18"/>
              </w:rPr>
              <w:t>(3,701)</w:t>
            </w:r>
          </w:p>
          <w:p>
            <w:pPr>
              <w:pStyle w:val="TableParagraph"/>
              <w:spacing w:before="102"/>
              <w:ind w:right="97"/>
              <w:jc w:val="right"/>
              <w:rPr>
                <w:sz w:val="18"/>
              </w:rPr>
            </w:pPr>
            <w:r>
              <w:rPr>
                <w:spacing w:val="-2"/>
                <w:sz w:val="18"/>
              </w:rPr>
              <w:t>(681)</w:t>
            </w:r>
          </w:p>
        </w:tc>
        <w:tc>
          <w:tcPr>
            <w:tcW w:w="1391" w:type="dxa"/>
            <w:tcBorders>
              <w:left w:val="nil"/>
            </w:tcBorders>
            <w:shd w:val="clear" w:color="auto" w:fill="BCD6ED"/>
          </w:tcPr>
          <w:p>
            <w:pPr>
              <w:pStyle w:val="TableParagraph"/>
              <w:spacing w:line="204" w:lineRule="exact"/>
              <w:ind w:right="92"/>
              <w:jc w:val="right"/>
              <w:rPr>
                <w:sz w:val="18"/>
              </w:rPr>
            </w:pPr>
            <w:r>
              <w:rPr>
                <w:spacing w:val="-2"/>
                <w:sz w:val="18"/>
              </w:rPr>
              <w:t>(3,365)</w:t>
            </w:r>
          </w:p>
          <w:p>
            <w:pPr>
              <w:pStyle w:val="TableParagraph"/>
              <w:spacing w:before="102"/>
              <w:ind w:right="91"/>
              <w:jc w:val="right"/>
              <w:rPr>
                <w:sz w:val="18"/>
              </w:rPr>
            </w:pPr>
            <w:r>
              <w:rPr>
                <w:spacing w:val="-2"/>
                <w:sz w:val="18"/>
              </w:rPr>
              <w:t>(401)</w:t>
            </w:r>
          </w:p>
        </w:tc>
      </w:tr>
      <w:tr>
        <w:trPr>
          <w:trHeight w:val="1910" w:hRule="atLeast"/>
        </w:trPr>
        <w:tc>
          <w:tcPr>
            <w:tcW w:w="5539" w:type="dxa"/>
            <w:vMerge/>
            <w:tcBorders>
              <w:top w:val="nil"/>
              <w:right w:val="nil"/>
            </w:tcBorders>
          </w:tcPr>
          <w:p>
            <w:pPr>
              <w:rPr>
                <w:sz w:val="2"/>
                <w:szCs w:val="2"/>
              </w:rPr>
            </w:pPr>
          </w:p>
        </w:tc>
        <w:tc>
          <w:tcPr>
            <w:tcW w:w="1238" w:type="dxa"/>
            <w:tcBorders>
              <w:left w:val="nil"/>
              <w:right w:val="nil"/>
            </w:tcBorders>
          </w:tcPr>
          <w:p>
            <w:pPr>
              <w:pStyle w:val="TableParagraph"/>
              <w:spacing w:before="1"/>
              <w:ind w:left="110"/>
              <w:rPr>
                <w:b/>
                <w:sz w:val="18"/>
              </w:rPr>
            </w:pPr>
            <w:r>
              <w:rPr>
                <w:b/>
                <w:sz w:val="18"/>
              </w:rPr>
              <w:t>Surplus</w:t>
            </w:r>
            <w:r>
              <w:rPr>
                <w:b/>
                <w:spacing w:val="-13"/>
                <w:sz w:val="18"/>
              </w:rPr>
              <w:t> </w:t>
            </w:r>
            <w:r>
              <w:rPr>
                <w:b/>
                <w:sz w:val="18"/>
              </w:rPr>
              <w:t>/ </w:t>
            </w:r>
            <w:r>
              <w:rPr>
                <w:b/>
                <w:spacing w:val="-2"/>
                <w:sz w:val="18"/>
              </w:rPr>
              <w:t>(deficit)</w:t>
            </w:r>
          </w:p>
        </w:tc>
        <w:tc>
          <w:tcPr>
            <w:tcW w:w="1068" w:type="dxa"/>
            <w:tcBorders>
              <w:left w:val="nil"/>
              <w:right w:val="nil"/>
            </w:tcBorders>
          </w:tcPr>
          <w:p>
            <w:pPr>
              <w:pStyle w:val="TableParagraph"/>
              <w:spacing w:before="1"/>
              <w:ind w:right="134"/>
              <w:jc w:val="right"/>
              <w:rPr>
                <w:b/>
                <w:sz w:val="18"/>
              </w:rPr>
            </w:pPr>
            <w:r>
              <w:rPr>
                <w:b/>
                <w:spacing w:val="-2"/>
                <w:sz w:val="18"/>
              </w:rPr>
              <w:t>(2,405)</w:t>
            </w:r>
          </w:p>
        </w:tc>
        <w:tc>
          <w:tcPr>
            <w:tcW w:w="1240" w:type="dxa"/>
            <w:tcBorders>
              <w:left w:val="nil"/>
              <w:right w:val="nil"/>
            </w:tcBorders>
          </w:tcPr>
          <w:p>
            <w:pPr>
              <w:pStyle w:val="TableParagraph"/>
              <w:spacing w:before="1"/>
              <w:ind w:right="98"/>
              <w:jc w:val="right"/>
              <w:rPr>
                <w:b/>
                <w:sz w:val="18"/>
              </w:rPr>
            </w:pPr>
            <w:r>
              <w:rPr>
                <w:b/>
                <w:spacing w:val="-2"/>
                <w:sz w:val="18"/>
              </w:rPr>
              <w:t>(3,020)</w:t>
            </w:r>
          </w:p>
        </w:tc>
        <w:tc>
          <w:tcPr>
            <w:tcW w:w="1391" w:type="dxa"/>
            <w:tcBorders>
              <w:left w:val="nil"/>
            </w:tcBorders>
            <w:shd w:val="clear" w:color="auto" w:fill="BCD6ED"/>
          </w:tcPr>
          <w:p>
            <w:pPr>
              <w:pStyle w:val="TableParagraph"/>
              <w:spacing w:before="1"/>
              <w:ind w:right="92"/>
              <w:jc w:val="right"/>
              <w:rPr>
                <w:b/>
                <w:sz w:val="18"/>
              </w:rPr>
            </w:pPr>
            <w:r>
              <w:rPr>
                <w:b/>
                <w:spacing w:val="-2"/>
                <w:sz w:val="18"/>
              </w:rPr>
              <w:t>(2,964)</w:t>
            </w:r>
          </w:p>
        </w:tc>
      </w:tr>
      <w:tr>
        <w:trPr>
          <w:trHeight w:val="301" w:hRule="atLeast"/>
        </w:trPr>
        <w:tc>
          <w:tcPr>
            <w:tcW w:w="10476" w:type="dxa"/>
            <w:gridSpan w:val="5"/>
          </w:tcPr>
          <w:p>
            <w:pPr>
              <w:pStyle w:val="TableParagraph"/>
              <w:spacing w:before="23"/>
              <w:ind w:left="107"/>
              <w:rPr>
                <w:b/>
                <w:sz w:val="22"/>
              </w:rPr>
            </w:pPr>
            <w:r>
              <w:rPr>
                <w:b/>
                <w:color w:val="5B9AD4"/>
                <w:sz w:val="22"/>
              </w:rPr>
              <w:t>People</w:t>
            </w:r>
            <w:r>
              <w:rPr>
                <w:b/>
                <w:color w:val="5B9AD4"/>
                <w:spacing w:val="-1"/>
                <w:sz w:val="22"/>
              </w:rPr>
              <w:t> </w:t>
            </w:r>
            <w:r>
              <w:rPr>
                <w:b/>
                <w:color w:val="5B9AD4"/>
                <w:sz w:val="22"/>
              </w:rPr>
              <w:t>and</w:t>
            </w:r>
            <w:r>
              <w:rPr>
                <w:b/>
                <w:color w:val="5B9AD4"/>
                <w:spacing w:val="-1"/>
                <w:sz w:val="22"/>
              </w:rPr>
              <w:t> </w:t>
            </w:r>
            <w:r>
              <w:rPr>
                <w:b/>
                <w:color w:val="5B9AD4"/>
                <w:spacing w:val="-2"/>
                <w:sz w:val="22"/>
              </w:rPr>
              <w:t>Culture</w:t>
            </w:r>
          </w:p>
        </w:tc>
      </w:tr>
      <w:tr>
        <w:trPr>
          <w:trHeight w:val="609" w:hRule="atLeast"/>
        </w:trPr>
        <w:tc>
          <w:tcPr>
            <w:tcW w:w="5539" w:type="dxa"/>
            <w:vMerge w:val="restart"/>
            <w:tcBorders>
              <w:right w:val="nil"/>
            </w:tcBorders>
          </w:tcPr>
          <w:p>
            <w:pPr>
              <w:pStyle w:val="TableParagraph"/>
              <w:ind w:left="107"/>
              <w:rPr>
                <w:sz w:val="22"/>
              </w:rPr>
            </w:pPr>
            <w:r>
              <w:rPr>
                <w:sz w:val="22"/>
              </w:rPr>
              <w:t>People and Culture provides services in relation to: strategic human resource management; human resources advice and policies; recruitment, selection and onboarding; learning and development; organisational development; workforce reporting; occupational health and safety; Workcover and injury management;</w:t>
            </w:r>
            <w:r>
              <w:rPr>
                <w:spacing w:val="-9"/>
                <w:sz w:val="22"/>
              </w:rPr>
              <w:t> </w:t>
            </w:r>
            <w:r>
              <w:rPr>
                <w:sz w:val="22"/>
              </w:rPr>
              <w:t>industrial</w:t>
            </w:r>
            <w:r>
              <w:rPr>
                <w:spacing w:val="-8"/>
                <w:sz w:val="22"/>
              </w:rPr>
              <w:t> </w:t>
            </w:r>
            <w:r>
              <w:rPr>
                <w:sz w:val="22"/>
              </w:rPr>
              <w:t>relations;</w:t>
            </w:r>
            <w:r>
              <w:rPr>
                <w:spacing w:val="-6"/>
                <w:sz w:val="22"/>
              </w:rPr>
              <w:t> </w:t>
            </w:r>
            <w:r>
              <w:rPr>
                <w:sz w:val="22"/>
              </w:rPr>
              <w:t>employee</w:t>
            </w:r>
            <w:r>
              <w:rPr>
                <w:spacing w:val="-9"/>
                <w:sz w:val="22"/>
              </w:rPr>
              <w:t> </w:t>
            </w:r>
            <w:r>
              <w:rPr>
                <w:sz w:val="22"/>
              </w:rPr>
              <w:t>relations;</w:t>
            </w:r>
          </w:p>
          <w:p>
            <w:pPr>
              <w:pStyle w:val="TableParagraph"/>
              <w:spacing w:line="232" w:lineRule="exact"/>
              <w:ind w:left="107"/>
              <w:rPr>
                <w:sz w:val="22"/>
              </w:rPr>
            </w:pPr>
            <w:r>
              <w:rPr>
                <w:sz w:val="22"/>
              </w:rPr>
              <w:t>volunteer</w:t>
            </w:r>
            <w:r>
              <w:rPr>
                <w:spacing w:val="-4"/>
                <w:sz w:val="22"/>
              </w:rPr>
              <w:t> </w:t>
            </w:r>
            <w:r>
              <w:rPr>
                <w:sz w:val="22"/>
              </w:rPr>
              <w:t>management;</w:t>
            </w:r>
            <w:r>
              <w:rPr>
                <w:spacing w:val="-6"/>
                <w:sz w:val="22"/>
              </w:rPr>
              <w:t> </w:t>
            </w:r>
            <w:r>
              <w:rPr>
                <w:sz w:val="22"/>
              </w:rPr>
              <w:t>and</w:t>
            </w:r>
            <w:r>
              <w:rPr>
                <w:spacing w:val="-3"/>
                <w:sz w:val="22"/>
              </w:rPr>
              <w:t> </w:t>
            </w:r>
            <w:r>
              <w:rPr>
                <w:sz w:val="22"/>
              </w:rPr>
              <w:t>student</w:t>
            </w:r>
            <w:r>
              <w:rPr>
                <w:spacing w:val="-3"/>
                <w:sz w:val="22"/>
              </w:rPr>
              <w:t> </w:t>
            </w:r>
            <w:r>
              <w:rPr>
                <w:spacing w:val="-2"/>
                <w:sz w:val="22"/>
              </w:rPr>
              <w:t>placements.</w:t>
            </w:r>
          </w:p>
        </w:tc>
        <w:tc>
          <w:tcPr>
            <w:tcW w:w="1238" w:type="dxa"/>
            <w:tcBorders>
              <w:left w:val="nil"/>
              <w:right w:val="nil"/>
            </w:tcBorders>
          </w:tcPr>
          <w:p>
            <w:pPr>
              <w:pStyle w:val="TableParagraph"/>
              <w:spacing w:line="206" w:lineRule="exact"/>
              <w:ind w:left="110"/>
              <w:rPr>
                <w:sz w:val="18"/>
              </w:rPr>
            </w:pPr>
            <w:r>
              <w:rPr>
                <w:spacing w:val="-5"/>
                <w:sz w:val="18"/>
              </w:rPr>
              <w:t>Inc</w:t>
            </w:r>
          </w:p>
          <w:p>
            <w:pPr>
              <w:pStyle w:val="TableParagraph"/>
              <w:spacing w:before="102"/>
              <w:ind w:left="110"/>
              <w:rPr>
                <w:sz w:val="18"/>
              </w:rPr>
            </w:pPr>
            <w:r>
              <w:rPr>
                <w:spacing w:val="-5"/>
                <w:sz w:val="18"/>
              </w:rPr>
              <w:t>Exp</w:t>
            </w:r>
          </w:p>
        </w:tc>
        <w:tc>
          <w:tcPr>
            <w:tcW w:w="1068" w:type="dxa"/>
            <w:tcBorders>
              <w:left w:val="nil"/>
              <w:right w:val="nil"/>
            </w:tcBorders>
          </w:tcPr>
          <w:p>
            <w:pPr>
              <w:pStyle w:val="TableParagraph"/>
              <w:spacing w:line="206" w:lineRule="exact"/>
              <w:ind w:right="136"/>
              <w:jc w:val="right"/>
              <w:rPr>
                <w:sz w:val="18"/>
              </w:rPr>
            </w:pPr>
            <w:r>
              <w:rPr>
                <w:sz w:val="18"/>
              </w:rPr>
              <w:t>-</w:t>
            </w:r>
          </w:p>
          <w:p>
            <w:pPr>
              <w:pStyle w:val="TableParagraph"/>
              <w:spacing w:before="102"/>
              <w:ind w:right="134"/>
              <w:jc w:val="right"/>
              <w:rPr>
                <w:sz w:val="18"/>
              </w:rPr>
            </w:pPr>
            <w:r>
              <w:rPr>
                <w:spacing w:val="-2"/>
                <w:sz w:val="18"/>
              </w:rPr>
              <w:t>2,382</w:t>
            </w:r>
          </w:p>
        </w:tc>
        <w:tc>
          <w:tcPr>
            <w:tcW w:w="1240" w:type="dxa"/>
            <w:tcBorders>
              <w:left w:val="nil"/>
              <w:right w:val="nil"/>
            </w:tcBorders>
          </w:tcPr>
          <w:p>
            <w:pPr>
              <w:pStyle w:val="TableParagraph"/>
              <w:spacing w:line="206" w:lineRule="exact"/>
              <w:ind w:right="99"/>
              <w:jc w:val="right"/>
              <w:rPr>
                <w:sz w:val="18"/>
              </w:rPr>
            </w:pPr>
            <w:r>
              <w:rPr>
                <w:sz w:val="18"/>
              </w:rPr>
              <w:t>-</w:t>
            </w:r>
          </w:p>
          <w:p>
            <w:pPr>
              <w:pStyle w:val="TableParagraph"/>
              <w:spacing w:before="102"/>
              <w:ind w:right="98"/>
              <w:jc w:val="right"/>
              <w:rPr>
                <w:sz w:val="18"/>
              </w:rPr>
            </w:pPr>
            <w:r>
              <w:rPr>
                <w:spacing w:val="-2"/>
                <w:sz w:val="18"/>
              </w:rPr>
              <w:t>2,461</w:t>
            </w:r>
          </w:p>
        </w:tc>
        <w:tc>
          <w:tcPr>
            <w:tcW w:w="1391" w:type="dxa"/>
            <w:tcBorders>
              <w:left w:val="nil"/>
            </w:tcBorders>
            <w:shd w:val="clear" w:color="auto" w:fill="BCD6ED"/>
          </w:tcPr>
          <w:p>
            <w:pPr>
              <w:pStyle w:val="TableParagraph"/>
              <w:spacing w:line="206" w:lineRule="exact"/>
              <w:ind w:right="93"/>
              <w:jc w:val="right"/>
              <w:rPr>
                <w:sz w:val="18"/>
              </w:rPr>
            </w:pPr>
            <w:r>
              <w:rPr>
                <w:sz w:val="18"/>
              </w:rPr>
              <w:t>-</w:t>
            </w:r>
          </w:p>
          <w:p>
            <w:pPr>
              <w:pStyle w:val="TableParagraph"/>
              <w:spacing w:before="102"/>
              <w:ind w:right="92"/>
              <w:jc w:val="right"/>
              <w:rPr>
                <w:sz w:val="18"/>
              </w:rPr>
            </w:pPr>
            <w:r>
              <w:rPr>
                <w:spacing w:val="-2"/>
                <w:sz w:val="18"/>
              </w:rPr>
              <w:t>3,015</w:t>
            </w:r>
          </w:p>
        </w:tc>
      </w:tr>
      <w:tr>
        <w:trPr>
          <w:trHeight w:val="1403" w:hRule="atLeast"/>
        </w:trPr>
        <w:tc>
          <w:tcPr>
            <w:tcW w:w="5539" w:type="dxa"/>
            <w:vMerge/>
            <w:tcBorders>
              <w:top w:val="nil"/>
              <w:right w:val="nil"/>
            </w:tcBorders>
          </w:tcPr>
          <w:p>
            <w:pPr>
              <w:rPr>
                <w:sz w:val="2"/>
                <w:szCs w:val="2"/>
              </w:rPr>
            </w:pPr>
          </w:p>
        </w:tc>
        <w:tc>
          <w:tcPr>
            <w:tcW w:w="1238" w:type="dxa"/>
            <w:tcBorders>
              <w:left w:val="nil"/>
              <w:right w:val="nil"/>
            </w:tcBorders>
          </w:tcPr>
          <w:p>
            <w:pPr>
              <w:pStyle w:val="TableParagraph"/>
              <w:ind w:left="110"/>
              <w:rPr>
                <w:b/>
                <w:sz w:val="18"/>
              </w:rPr>
            </w:pPr>
            <w:r>
              <w:rPr>
                <w:b/>
                <w:sz w:val="18"/>
              </w:rPr>
              <w:t>Surplus</w:t>
            </w:r>
            <w:r>
              <w:rPr>
                <w:b/>
                <w:spacing w:val="-13"/>
                <w:sz w:val="18"/>
              </w:rPr>
              <w:t> </w:t>
            </w:r>
            <w:r>
              <w:rPr>
                <w:b/>
                <w:sz w:val="18"/>
              </w:rPr>
              <w:t>/ </w:t>
            </w:r>
            <w:r>
              <w:rPr>
                <w:b/>
                <w:spacing w:val="-2"/>
                <w:sz w:val="18"/>
              </w:rPr>
              <w:t>(deficit)</w:t>
            </w:r>
          </w:p>
        </w:tc>
        <w:tc>
          <w:tcPr>
            <w:tcW w:w="1068" w:type="dxa"/>
            <w:tcBorders>
              <w:left w:val="nil"/>
              <w:right w:val="nil"/>
            </w:tcBorders>
          </w:tcPr>
          <w:p>
            <w:pPr>
              <w:pStyle w:val="TableParagraph"/>
              <w:spacing w:line="206" w:lineRule="exact"/>
              <w:ind w:right="134"/>
              <w:jc w:val="right"/>
              <w:rPr>
                <w:b/>
                <w:sz w:val="18"/>
              </w:rPr>
            </w:pPr>
            <w:r>
              <w:rPr>
                <w:b/>
                <w:spacing w:val="-2"/>
                <w:sz w:val="18"/>
              </w:rPr>
              <w:t>(2,382)</w:t>
            </w:r>
          </w:p>
        </w:tc>
        <w:tc>
          <w:tcPr>
            <w:tcW w:w="1240" w:type="dxa"/>
            <w:tcBorders>
              <w:left w:val="nil"/>
              <w:right w:val="nil"/>
            </w:tcBorders>
          </w:tcPr>
          <w:p>
            <w:pPr>
              <w:pStyle w:val="TableParagraph"/>
              <w:spacing w:line="206" w:lineRule="exact"/>
              <w:ind w:right="98"/>
              <w:jc w:val="right"/>
              <w:rPr>
                <w:b/>
                <w:sz w:val="18"/>
              </w:rPr>
            </w:pPr>
            <w:r>
              <w:rPr>
                <w:b/>
                <w:spacing w:val="-2"/>
                <w:sz w:val="18"/>
              </w:rPr>
              <w:t>(2,461)</w:t>
            </w:r>
          </w:p>
        </w:tc>
        <w:tc>
          <w:tcPr>
            <w:tcW w:w="1391" w:type="dxa"/>
            <w:tcBorders>
              <w:left w:val="nil"/>
            </w:tcBorders>
            <w:shd w:val="clear" w:color="auto" w:fill="BCD6ED"/>
          </w:tcPr>
          <w:p>
            <w:pPr>
              <w:pStyle w:val="TableParagraph"/>
              <w:spacing w:line="206" w:lineRule="exact"/>
              <w:ind w:right="92"/>
              <w:jc w:val="right"/>
              <w:rPr>
                <w:b/>
                <w:sz w:val="18"/>
              </w:rPr>
            </w:pPr>
            <w:r>
              <w:rPr>
                <w:b/>
                <w:spacing w:val="-2"/>
                <w:sz w:val="18"/>
              </w:rPr>
              <w:t>(3,015)</w:t>
            </w:r>
          </w:p>
        </w:tc>
      </w:tr>
    </w:tbl>
    <w:p>
      <w:pPr>
        <w:spacing w:after="0" w:line="206" w:lineRule="exact"/>
        <w:jc w:val="right"/>
        <w:rPr>
          <w:sz w:val="18"/>
        </w:rPr>
        <w:sectPr>
          <w:pgSz w:w="11910" w:h="16840"/>
          <w:pgMar w:header="0" w:footer="426" w:top="380" w:bottom="620" w:left="460" w:right="160"/>
        </w:sectPr>
      </w:pPr>
    </w:p>
    <w:p>
      <w:pPr>
        <w:pStyle w:val="BodyText"/>
        <w:spacing w:before="5"/>
        <w:rPr>
          <w:b/>
          <w:sz w:val="2"/>
        </w:rPr>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00"/>
        <w:gridCol w:w="997"/>
        <w:gridCol w:w="1370"/>
        <w:gridCol w:w="1342"/>
        <w:gridCol w:w="1367"/>
      </w:tblGrid>
      <w:tr>
        <w:trPr>
          <w:trHeight w:val="897" w:hRule="atLeast"/>
        </w:trPr>
        <w:tc>
          <w:tcPr>
            <w:tcW w:w="5400" w:type="dxa"/>
            <w:tcBorders>
              <w:top w:val="single" w:sz="4" w:space="0" w:color="000000"/>
              <w:left w:val="single" w:sz="4" w:space="0" w:color="000000"/>
            </w:tcBorders>
            <w:shd w:val="clear" w:color="auto" w:fill="5B9AD4"/>
          </w:tcPr>
          <w:p>
            <w:pPr>
              <w:pStyle w:val="TableParagraph"/>
              <w:spacing w:before="10"/>
              <w:rPr>
                <w:b/>
                <w:sz w:val="27"/>
              </w:rPr>
            </w:pPr>
          </w:p>
          <w:p>
            <w:pPr>
              <w:pStyle w:val="TableParagraph"/>
              <w:spacing w:before="1"/>
              <w:ind w:left="107"/>
              <w:rPr>
                <w:b/>
                <w:sz w:val="22"/>
              </w:rPr>
            </w:pPr>
            <w:r>
              <w:rPr>
                <w:b/>
                <w:color w:val="FFFFFF"/>
                <w:sz w:val="22"/>
              </w:rPr>
              <w:t>Service</w:t>
            </w:r>
            <w:r>
              <w:rPr>
                <w:b/>
                <w:color w:val="FFFFFF"/>
                <w:spacing w:val="-1"/>
                <w:sz w:val="22"/>
              </w:rPr>
              <w:t> </w:t>
            </w:r>
            <w:r>
              <w:rPr>
                <w:b/>
                <w:color w:val="FFFFFF"/>
                <w:sz w:val="22"/>
              </w:rPr>
              <w:t>and</w:t>
            </w:r>
            <w:r>
              <w:rPr>
                <w:b/>
                <w:color w:val="FFFFFF"/>
                <w:spacing w:val="-4"/>
                <w:sz w:val="22"/>
              </w:rPr>
              <w:t> </w:t>
            </w:r>
            <w:r>
              <w:rPr>
                <w:b/>
                <w:color w:val="FFFFFF"/>
                <w:spacing w:val="-2"/>
                <w:sz w:val="22"/>
              </w:rPr>
              <w:t>Description</w:t>
            </w:r>
          </w:p>
        </w:tc>
        <w:tc>
          <w:tcPr>
            <w:tcW w:w="997" w:type="dxa"/>
            <w:tcBorders>
              <w:top w:val="single" w:sz="4" w:space="0" w:color="000000"/>
            </w:tcBorders>
            <w:shd w:val="clear" w:color="auto" w:fill="5B9AD4"/>
          </w:tcPr>
          <w:p>
            <w:pPr>
              <w:pStyle w:val="TableParagraph"/>
              <w:rPr>
                <w:rFonts w:ascii="Times New Roman"/>
                <w:sz w:val="20"/>
              </w:rPr>
            </w:pPr>
          </w:p>
        </w:tc>
        <w:tc>
          <w:tcPr>
            <w:tcW w:w="1370" w:type="dxa"/>
            <w:tcBorders>
              <w:top w:val="single" w:sz="4" w:space="0" w:color="000000"/>
            </w:tcBorders>
            <w:shd w:val="clear" w:color="auto" w:fill="5B9AD4"/>
          </w:tcPr>
          <w:p>
            <w:pPr>
              <w:pStyle w:val="TableParagraph"/>
              <w:spacing w:before="21"/>
              <w:ind w:left="131" w:right="176"/>
              <w:jc w:val="center"/>
              <w:rPr>
                <w:b/>
                <w:sz w:val="22"/>
              </w:rPr>
            </w:pPr>
            <w:r>
              <w:rPr>
                <w:b/>
                <w:color w:val="FFFFFF"/>
                <w:spacing w:val="-2"/>
                <w:sz w:val="22"/>
              </w:rPr>
              <w:t>2022/2023</w:t>
            </w:r>
          </w:p>
          <w:p>
            <w:pPr>
              <w:pStyle w:val="TableParagraph"/>
              <w:spacing w:before="47"/>
              <w:ind w:left="128" w:right="176"/>
              <w:jc w:val="center"/>
              <w:rPr>
                <w:b/>
                <w:sz w:val="22"/>
              </w:rPr>
            </w:pPr>
            <w:r>
              <w:rPr>
                <w:b/>
                <w:color w:val="FFFFFF"/>
                <w:spacing w:val="-2"/>
                <w:sz w:val="22"/>
              </w:rPr>
              <w:t>Actual</w:t>
            </w:r>
          </w:p>
          <w:p>
            <w:pPr>
              <w:pStyle w:val="TableParagraph"/>
              <w:spacing w:before="47"/>
              <w:ind w:left="126" w:right="176"/>
              <w:jc w:val="center"/>
              <w:rPr>
                <w:b/>
                <w:sz w:val="22"/>
              </w:rPr>
            </w:pPr>
            <w:r>
              <w:rPr>
                <w:b/>
                <w:color w:val="FFFFFF"/>
                <w:spacing w:val="-2"/>
                <w:sz w:val="22"/>
              </w:rPr>
              <w:t>$'000</w:t>
            </w:r>
          </w:p>
        </w:tc>
        <w:tc>
          <w:tcPr>
            <w:tcW w:w="1342" w:type="dxa"/>
            <w:tcBorders>
              <w:top w:val="single" w:sz="4" w:space="0" w:color="000000"/>
            </w:tcBorders>
            <w:shd w:val="clear" w:color="auto" w:fill="5B9AD4"/>
          </w:tcPr>
          <w:p>
            <w:pPr>
              <w:pStyle w:val="TableParagraph"/>
              <w:spacing w:before="21"/>
              <w:ind w:left="132" w:right="148"/>
              <w:jc w:val="center"/>
              <w:rPr>
                <w:b/>
                <w:sz w:val="22"/>
              </w:rPr>
            </w:pPr>
            <w:r>
              <w:rPr>
                <w:b/>
                <w:color w:val="FFFFFF"/>
                <w:spacing w:val="-2"/>
                <w:sz w:val="22"/>
              </w:rPr>
              <w:t>2023/2024</w:t>
            </w:r>
          </w:p>
          <w:p>
            <w:pPr>
              <w:pStyle w:val="TableParagraph"/>
              <w:spacing w:before="47"/>
              <w:ind w:left="128" w:right="148"/>
              <w:jc w:val="center"/>
              <w:rPr>
                <w:b/>
                <w:sz w:val="22"/>
              </w:rPr>
            </w:pPr>
            <w:r>
              <w:rPr>
                <w:b/>
                <w:color w:val="FFFFFF"/>
                <w:spacing w:val="-2"/>
                <w:sz w:val="22"/>
              </w:rPr>
              <w:t>Forecast</w:t>
            </w:r>
          </w:p>
          <w:p>
            <w:pPr>
              <w:pStyle w:val="TableParagraph"/>
              <w:spacing w:before="47"/>
              <w:ind w:left="127" w:right="148"/>
              <w:jc w:val="center"/>
              <w:rPr>
                <w:b/>
                <w:sz w:val="22"/>
              </w:rPr>
            </w:pPr>
            <w:r>
              <w:rPr>
                <w:b/>
                <w:color w:val="FFFFFF"/>
                <w:spacing w:val="-2"/>
                <w:sz w:val="22"/>
              </w:rPr>
              <w:t>$'000</w:t>
            </w:r>
          </w:p>
        </w:tc>
        <w:tc>
          <w:tcPr>
            <w:tcW w:w="1367" w:type="dxa"/>
            <w:tcBorders>
              <w:top w:val="single" w:sz="4" w:space="0" w:color="000000"/>
              <w:right w:val="single" w:sz="4" w:space="0" w:color="000000"/>
            </w:tcBorders>
            <w:shd w:val="clear" w:color="auto" w:fill="5B9AD4"/>
          </w:tcPr>
          <w:p>
            <w:pPr>
              <w:pStyle w:val="TableParagraph"/>
              <w:spacing w:before="21"/>
              <w:ind w:left="154" w:right="146"/>
              <w:jc w:val="center"/>
              <w:rPr>
                <w:b/>
                <w:sz w:val="22"/>
              </w:rPr>
            </w:pPr>
            <w:r>
              <w:rPr>
                <w:b/>
                <w:color w:val="FFFFFF"/>
                <w:spacing w:val="-2"/>
                <w:sz w:val="22"/>
              </w:rPr>
              <w:t>2024/2025</w:t>
            </w:r>
          </w:p>
          <w:p>
            <w:pPr>
              <w:pStyle w:val="TableParagraph"/>
              <w:spacing w:before="47"/>
              <w:ind w:left="152" w:right="146"/>
              <w:jc w:val="center"/>
              <w:rPr>
                <w:b/>
                <w:sz w:val="22"/>
              </w:rPr>
            </w:pPr>
            <w:r>
              <w:rPr>
                <w:b/>
                <w:color w:val="FFFFFF"/>
                <w:spacing w:val="-2"/>
                <w:sz w:val="22"/>
              </w:rPr>
              <w:t>Budget</w:t>
            </w:r>
          </w:p>
          <w:p>
            <w:pPr>
              <w:pStyle w:val="TableParagraph"/>
              <w:spacing w:before="47"/>
              <w:ind w:left="154" w:right="146"/>
              <w:jc w:val="center"/>
              <w:rPr>
                <w:b/>
                <w:sz w:val="22"/>
              </w:rPr>
            </w:pPr>
            <w:r>
              <w:rPr>
                <w:b/>
                <w:color w:val="FFFFFF"/>
                <w:spacing w:val="-2"/>
                <w:sz w:val="22"/>
              </w:rPr>
              <w:t>$'000</w:t>
            </w:r>
          </w:p>
        </w:tc>
      </w:tr>
      <w:tr>
        <w:trPr>
          <w:trHeight w:val="506" w:hRule="atLeast"/>
        </w:trPr>
        <w:tc>
          <w:tcPr>
            <w:tcW w:w="10476" w:type="dxa"/>
            <w:gridSpan w:val="5"/>
            <w:tcBorders>
              <w:left w:val="single" w:sz="4" w:space="0" w:color="000000"/>
              <w:bottom w:val="single" w:sz="4" w:space="0" w:color="000000"/>
              <w:right w:val="single" w:sz="4" w:space="0" w:color="000000"/>
            </w:tcBorders>
          </w:tcPr>
          <w:p>
            <w:pPr>
              <w:pStyle w:val="TableParagraph"/>
              <w:spacing w:line="254" w:lineRule="exact"/>
              <w:ind w:left="107" w:right="5095"/>
              <w:rPr>
                <w:b/>
                <w:sz w:val="22"/>
              </w:rPr>
            </w:pPr>
            <w:r>
              <w:rPr>
                <w:b/>
                <w:color w:val="5B9AD4"/>
                <w:sz w:val="22"/>
              </w:rPr>
              <w:t>Property,</w:t>
            </w:r>
            <w:r>
              <w:rPr>
                <w:b/>
                <w:color w:val="5B9AD4"/>
                <w:spacing w:val="-6"/>
                <w:sz w:val="22"/>
              </w:rPr>
              <w:t> </w:t>
            </w:r>
            <w:r>
              <w:rPr>
                <w:b/>
                <w:color w:val="5B9AD4"/>
                <w:sz w:val="22"/>
              </w:rPr>
              <w:t>Revenue</w:t>
            </w:r>
            <w:r>
              <w:rPr>
                <w:b/>
                <w:color w:val="5B9AD4"/>
                <w:spacing w:val="-10"/>
                <w:sz w:val="22"/>
              </w:rPr>
              <w:t> </w:t>
            </w:r>
            <w:r>
              <w:rPr>
                <w:b/>
                <w:color w:val="5B9AD4"/>
                <w:sz w:val="22"/>
              </w:rPr>
              <w:t>and</w:t>
            </w:r>
            <w:r>
              <w:rPr>
                <w:b/>
                <w:color w:val="5B9AD4"/>
                <w:spacing w:val="-11"/>
                <w:sz w:val="22"/>
              </w:rPr>
              <w:t> </w:t>
            </w:r>
            <w:r>
              <w:rPr>
                <w:b/>
                <w:color w:val="5B9AD4"/>
                <w:sz w:val="22"/>
              </w:rPr>
              <w:t>Valuation</w:t>
            </w:r>
            <w:r>
              <w:rPr>
                <w:b/>
                <w:color w:val="5B9AD4"/>
                <w:spacing w:val="-8"/>
                <w:sz w:val="22"/>
              </w:rPr>
              <w:t> </w:t>
            </w:r>
            <w:r>
              <w:rPr>
                <w:b/>
                <w:color w:val="5B9AD4"/>
                <w:sz w:val="22"/>
              </w:rPr>
              <w:t>Services (Finance and Commercial)</w:t>
            </w:r>
          </w:p>
        </w:tc>
      </w:tr>
      <w:tr>
        <w:trPr>
          <w:trHeight w:val="607" w:hRule="atLeast"/>
        </w:trPr>
        <w:tc>
          <w:tcPr>
            <w:tcW w:w="5400" w:type="dxa"/>
            <w:vMerge w:val="restart"/>
            <w:tcBorders>
              <w:top w:val="single" w:sz="4" w:space="0" w:color="000000"/>
              <w:left w:val="single" w:sz="4" w:space="0" w:color="000000"/>
              <w:bottom w:val="single" w:sz="4" w:space="0" w:color="000000"/>
            </w:tcBorders>
          </w:tcPr>
          <w:p>
            <w:pPr>
              <w:pStyle w:val="TableParagraph"/>
              <w:ind w:left="107" w:right="110"/>
              <w:rPr>
                <w:sz w:val="22"/>
              </w:rPr>
            </w:pPr>
            <w:r>
              <w:rPr>
                <w:sz w:val="22"/>
              </w:rPr>
              <w:t>Property,</w:t>
            </w:r>
            <w:r>
              <w:rPr>
                <w:spacing w:val="-7"/>
                <w:sz w:val="22"/>
              </w:rPr>
              <w:t> </w:t>
            </w:r>
            <w:r>
              <w:rPr>
                <w:sz w:val="22"/>
              </w:rPr>
              <w:t>Revenue</w:t>
            </w:r>
            <w:r>
              <w:rPr>
                <w:spacing w:val="-4"/>
                <w:sz w:val="22"/>
              </w:rPr>
              <w:t> </w:t>
            </w:r>
            <w:r>
              <w:rPr>
                <w:sz w:val="22"/>
              </w:rPr>
              <w:t>and</w:t>
            </w:r>
            <w:r>
              <w:rPr>
                <w:spacing w:val="-11"/>
                <w:sz w:val="22"/>
              </w:rPr>
              <w:t> </w:t>
            </w:r>
            <w:r>
              <w:rPr>
                <w:sz w:val="22"/>
              </w:rPr>
              <w:t>Valuation</w:t>
            </w:r>
            <w:r>
              <w:rPr>
                <w:spacing w:val="-5"/>
                <w:sz w:val="22"/>
              </w:rPr>
              <w:t> </w:t>
            </w:r>
            <w:r>
              <w:rPr>
                <w:sz w:val="22"/>
              </w:rPr>
              <w:t>Services</w:t>
            </w:r>
            <w:r>
              <w:rPr>
                <w:spacing w:val="-7"/>
                <w:sz w:val="22"/>
              </w:rPr>
              <w:t> </w:t>
            </w:r>
            <w:r>
              <w:rPr>
                <w:sz w:val="22"/>
              </w:rPr>
              <w:t>manages Council’s revenue and property valuation functions and provide services to assist ratepayers and property owners to meet their revenue contributions in a timely manner.</w:t>
            </w:r>
          </w:p>
          <w:p>
            <w:pPr>
              <w:pStyle w:val="TableParagraph"/>
              <w:ind w:left="107" w:right="110"/>
              <w:rPr>
                <w:sz w:val="22"/>
              </w:rPr>
            </w:pPr>
            <w:r>
              <w:rPr>
                <w:sz w:val="22"/>
              </w:rPr>
              <w:t>This includes rates and charges generation and collection; accounts receivable and sundry debtor billing; debt recovery; property database and valuation</w:t>
            </w:r>
            <w:r>
              <w:rPr>
                <w:spacing w:val="-6"/>
                <w:sz w:val="22"/>
              </w:rPr>
              <w:t> </w:t>
            </w:r>
            <w:r>
              <w:rPr>
                <w:sz w:val="22"/>
              </w:rPr>
              <w:t>contract</w:t>
            </w:r>
            <w:r>
              <w:rPr>
                <w:spacing w:val="-8"/>
                <w:sz w:val="22"/>
              </w:rPr>
              <w:t> </w:t>
            </w:r>
            <w:r>
              <w:rPr>
                <w:sz w:val="22"/>
              </w:rPr>
              <w:t>management;</w:t>
            </w:r>
            <w:r>
              <w:rPr>
                <w:spacing w:val="-5"/>
                <w:sz w:val="22"/>
              </w:rPr>
              <w:t> </w:t>
            </w:r>
            <w:r>
              <w:rPr>
                <w:sz w:val="22"/>
              </w:rPr>
              <w:t>State</w:t>
            </w:r>
            <w:r>
              <w:rPr>
                <w:spacing w:val="-10"/>
                <w:sz w:val="22"/>
              </w:rPr>
              <w:t> </w:t>
            </w:r>
            <w:r>
              <w:rPr>
                <w:sz w:val="22"/>
              </w:rPr>
              <w:t>Fire</w:t>
            </w:r>
            <w:r>
              <w:rPr>
                <w:spacing w:val="-6"/>
                <w:sz w:val="22"/>
              </w:rPr>
              <w:t> </w:t>
            </w:r>
            <w:r>
              <w:rPr>
                <w:sz w:val="22"/>
              </w:rPr>
              <w:t>Services Levy collection; electoral roll production; and management of Council’s land portfolio including, buying, selling, encroachments, and statutory requirements in relation to its land holdings.</w:t>
            </w:r>
          </w:p>
          <w:p>
            <w:pPr>
              <w:pStyle w:val="TableParagraph"/>
              <w:ind w:left="107"/>
              <w:rPr>
                <w:sz w:val="22"/>
              </w:rPr>
            </w:pPr>
            <w:r>
              <w:rPr>
                <w:sz w:val="22"/>
              </w:rPr>
              <w:t>The team is also responsible for reconciliation of Council’s</w:t>
            </w:r>
            <w:r>
              <w:rPr>
                <w:spacing w:val="-9"/>
                <w:sz w:val="22"/>
              </w:rPr>
              <w:t> </w:t>
            </w:r>
            <w:r>
              <w:rPr>
                <w:sz w:val="22"/>
              </w:rPr>
              <w:t>geographic</w:t>
            </w:r>
            <w:r>
              <w:rPr>
                <w:spacing w:val="-9"/>
                <w:sz w:val="22"/>
              </w:rPr>
              <w:t> </w:t>
            </w:r>
            <w:r>
              <w:rPr>
                <w:sz w:val="22"/>
              </w:rPr>
              <w:t>information</w:t>
            </w:r>
            <w:r>
              <w:rPr>
                <w:spacing w:val="-8"/>
                <w:sz w:val="22"/>
              </w:rPr>
              <w:t> </w:t>
            </w:r>
            <w:r>
              <w:rPr>
                <w:sz w:val="22"/>
              </w:rPr>
              <w:t>system</w:t>
            </w:r>
            <w:r>
              <w:rPr>
                <w:spacing w:val="-9"/>
                <w:sz w:val="22"/>
              </w:rPr>
              <w:t> </w:t>
            </w:r>
            <w:r>
              <w:rPr>
                <w:sz w:val="22"/>
              </w:rPr>
              <w:t>(mapping) database with Vicmap - Victoria’s primary mapping </w:t>
            </w:r>
            <w:r>
              <w:rPr>
                <w:spacing w:val="-2"/>
                <w:sz w:val="22"/>
              </w:rPr>
              <w:t>database.</w:t>
            </w:r>
          </w:p>
          <w:p>
            <w:pPr>
              <w:pStyle w:val="TableParagraph"/>
              <w:ind w:left="107" w:right="110"/>
              <w:rPr>
                <w:sz w:val="22"/>
              </w:rPr>
            </w:pPr>
            <w:r>
              <w:rPr>
                <w:sz w:val="22"/>
              </w:rPr>
              <w:t>The property team facilitates the realisation of strategic commercial opportunities throughout the organisation, working closely with teams that have great input in that area and help to establish a</w:t>
            </w:r>
          </w:p>
          <w:p>
            <w:pPr>
              <w:pStyle w:val="TableParagraph"/>
              <w:spacing w:line="252" w:lineRule="exact"/>
              <w:ind w:left="107" w:right="110"/>
              <w:rPr>
                <w:sz w:val="22"/>
              </w:rPr>
            </w:pPr>
            <w:r>
              <w:rPr>
                <w:sz w:val="22"/>
              </w:rPr>
              <w:t>framework</w:t>
            </w:r>
            <w:r>
              <w:rPr>
                <w:spacing w:val="-6"/>
                <w:sz w:val="22"/>
              </w:rPr>
              <w:t> </w:t>
            </w:r>
            <w:r>
              <w:rPr>
                <w:sz w:val="22"/>
              </w:rPr>
              <w:t>that</w:t>
            </w:r>
            <w:r>
              <w:rPr>
                <w:spacing w:val="-3"/>
                <w:sz w:val="22"/>
              </w:rPr>
              <w:t> </w:t>
            </w:r>
            <w:r>
              <w:rPr>
                <w:sz w:val="22"/>
              </w:rPr>
              <w:t>Council</w:t>
            </w:r>
            <w:r>
              <w:rPr>
                <w:spacing w:val="-4"/>
                <w:sz w:val="22"/>
              </w:rPr>
              <w:t> </w:t>
            </w:r>
            <w:r>
              <w:rPr>
                <w:sz w:val="22"/>
              </w:rPr>
              <w:t>can</w:t>
            </w:r>
            <w:r>
              <w:rPr>
                <w:spacing w:val="-5"/>
                <w:sz w:val="22"/>
              </w:rPr>
              <w:t> </w:t>
            </w:r>
            <w:r>
              <w:rPr>
                <w:sz w:val="22"/>
              </w:rPr>
              <w:t>operate</w:t>
            </w:r>
            <w:r>
              <w:rPr>
                <w:spacing w:val="-6"/>
                <w:sz w:val="22"/>
              </w:rPr>
              <w:t> </w:t>
            </w:r>
            <w:r>
              <w:rPr>
                <w:sz w:val="22"/>
              </w:rPr>
              <w:t>from</w:t>
            </w:r>
            <w:r>
              <w:rPr>
                <w:spacing w:val="-4"/>
                <w:sz w:val="22"/>
              </w:rPr>
              <w:t> </w:t>
            </w:r>
            <w:r>
              <w:rPr>
                <w:sz w:val="22"/>
              </w:rPr>
              <w:t>in</w:t>
            </w:r>
            <w:r>
              <w:rPr>
                <w:spacing w:val="-6"/>
                <w:sz w:val="22"/>
              </w:rPr>
              <w:t> </w:t>
            </w:r>
            <w:r>
              <w:rPr>
                <w:sz w:val="22"/>
              </w:rPr>
              <w:t>making key property management decisions.</w:t>
            </w:r>
          </w:p>
        </w:tc>
        <w:tc>
          <w:tcPr>
            <w:tcW w:w="997" w:type="dxa"/>
            <w:tcBorders>
              <w:top w:val="single" w:sz="4" w:space="0" w:color="000000"/>
              <w:bottom w:val="single" w:sz="4" w:space="0" w:color="000000"/>
            </w:tcBorders>
          </w:tcPr>
          <w:p>
            <w:pPr>
              <w:pStyle w:val="TableParagraph"/>
              <w:spacing w:line="204" w:lineRule="exact"/>
              <w:ind w:left="112"/>
              <w:rPr>
                <w:sz w:val="18"/>
              </w:rPr>
            </w:pPr>
            <w:r>
              <w:rPr>
                <w:spacing w:val="-5"/>
                <w:sz w:val="18"/>
              </w:rPr>
              <w:t>Inc</w:t>
            </w:r>
          </w:p>
          <w:p>
            <w:pPr>
              <w:pStyle w:val="TableParagraph"/>
              <w:spacing w:before="102"/>
              <w:ind w:left="112"/>
              <w:rPr>
                <w:sz w:val="18"/>
              </w:rPr>
            </w:pPr>
            <w:r>
              <w:rPr>
                <w:spacing w:val="-5"/>
                <w:sz w:val="18"/>
              </w:rPr>
              <w:t>Exp</w:t>
            </w:r>
          </w:p>
        </w:tc>
        <w:tc>
          <w:tcPr>
            <w:tcW w:w="1370" w:type="dxa"/>
            <w:tcBorders>
              <w:top w:val="single" w:sz="4" w:space="0" w:color="000000"/>
              <w:bottom w:val="single" w:sz="4" w:space="0" w:color="000000"/>
            </w:tcBorders>
          </w:tcPr>
          <w:p>
            <w:pPr>
              <w:pStyle w:val="TableParagraph"/>
              <w:spacing w:line="204" w:lineRule="exact"/>
              <w:ind w:left="786"/>
              <w:rPr>
                <w:sz w:val="18"/>
              </w:rPr>
            </w:pPr>
            <w:r>
              <w:rPr>
                <w:spacing w:val="-2"/>
                <w:sz w:val="18"/>
              </w:rPr>
              <w:t>1,126</w:t>
            </w:r>
          </w:p>
          <w:p>
            <w:pPr>
              <w:pStyle w:val="TableParagraph"/>
              <w:spacing w:before="102"/>
              <w:ind w:left="786"/>
              <w:rPr>
                <w:sz w:val="18"/>
              </w:rPr>
            </w:pPr>
            <w:r>
              <w:rPr>
                <w:spacing w:val="-2"/>
                <w:sz w:val="18"/>
              </w:rPr>
              <w:t>2,679</w:t>
            </w:r>
          </w:p>
        </w:tc>
        <w:tc>
          <w:tcPr>
            <w:tcW w:w="1342" w:type="dxa"/>
            <w:tcBorders>
              <w:top w:val="single" w:sz="4" w:space="0" w:color="000000"/>
              <w:bottom w:val="single" w:sz="4" w:space="0" w:color="000000"/>
            </w:tcBorders>
          </w:tcPr>
          <w:p>
            <w:pPr>
              <w:pStyle w:val="TableParagraph"/>
              <w:spacing w:line="204" w:lineRule="exact"/>
              <w:ind w:right="101"/>
              <w:jc w:val="right"/>
              <w:rPr>
                <w:sz w:val="18"/>
              </w:rPr>
            </w:pPr>
            <w:r>
              <w:rPr>
                <w:spacing w:val="-5"/>
                <w:sz w:val="18"/>
              </w:rPr>
              <w:t>988</w:t>
            </w:r>
          </w:p>
          <w:p>
            <w:pPr>
              <w:pStyle w:val="TableParagraph"/>
              <w:spacing w:before="102"/>
              <w:ind w:right="100"/>
              <w:jc w:val="right"/>
              <w:rPr>
                <w:sz w:val="18"/>
              </w:rPr>
            </w:pPr>
            <w:r>
              <w:rPr>
                <w:spacing w:val="-2"/>
                <w:sz w:val="18"/>
              </w:rPr>
              <w:t>2,037</w:t>
            </w:r>
          </w:p>
        </w:tc>
        <w:tc>
          <w:tcPr>
            <w:tcW w:w="1367" w:type="dxa"/>
            <w:tcBorders>
              <w:top w:val="single" w:sz="4" w:space="0" w:color="000000"/>
              <w:bottom w:val="single" w:sz="4" w:space="0" w:color="000000"/>
              <w:right w:val="single" w:sz="4" w:space="0" w:color="000000"/>
            </w:tcBorders>
            <w:shd w:val="clear" w:color="auto" w:fill="BCD6ED"/>
          </w:tcPr>
          <w:p>
            <w:pPr>
              <w:pStyle w:val="TableParagraph"/>
              <w:spacing w:line="204" w:lineRule="exact"/>
              <w:ind w:left="807"/>
              <w:rPr>
                <w:sz w:val="18"/>
              </w:rPr>
            </w:pPr>
            <w:r>
              <w:rPr>
                <w:spacing w:val="-2"/>
                <w:sz w:val="18"/>
              </w:rPr>
              <w:t>1,425</w:t>
            </w:r>
          </w:p>
          <w:p>
            <w:pPr>
              <w:pStyle w:val="TableParagraph"/>
              <w:spacing w:before="102"/>
              <w:ind w:left="807"/>
              <w:rPr>
                <w:sz w:val="18"/>
              </w:rPr>
            </w:pPr>
            <w:r>
              <w:rPr>
                <w:spacing w:val="-2"/>
                <w:sz w:val="18"/>
              </w:rPr>
              <w:t>2,205</w:t>
            </w:r>
          </w:p>
        </w:tc>
      </w:tr>
      <w:tr>
        <w:trPr>
          <w:trHeight w:val="5200" w:hRule="atLeast"/>
        </w:trPr>
        <w:tc>
          <w:tcPr>
            <w:tcW w:w="5400" w:type="dxa"/>
            <w:vMerge/>
            <w:tcBorders>
              <w:top w:val="nil"/>
              <w:left w:val="single" w:sz="4" w:space="0" w:color="000000"/>
              <w:bottom w:val="single" w:sz="4" w:space="0" w:color="000000"/>
            </w:tcBorders>
          </w:tcPr>
          <w:p>
            <w:pPr>
              <w:rPr>
                <w:sz w:val="2"/>
                <w:szCs w:val="2"/>
              </w:rPr>
            </w:pPr>
          </w:p>
        </w:tc>
        <w:tc>
          <w:tcPr>
            <w:tcW w:w="997" w:type="dxa"/>
            <w:tcBorders>
              <w:top w:val="single" w:sz="4" w:space="0" w:color="000000"/>
              <w:bottom w:val="single" w:sz="4" w:space="0" w:color="000000"/>
            </w:tcBorders>
          </w:tcPr>
          <w:p>
            <w:pPr>
              <w:pStyle w:val="TableParagraph"/>
              <w:spacing w:line="207" w:lineRule="exact" w:before="1"/>
              <w:ind w:left="112"/>
              <w:rPr>
                <w:b/>
                <w:sz w:val="18"/>
              </w:rPr>
            </w:pPr>
            <w:r>
              <w:rPr>
                <w:b/>
                <w:spacing w:val="-2"/>
                <w:sz w:val="18"/>
              </w:rPr>
              <w:t>Surplus</w:t>
            </w:r>
          </w:p>
          <w:p>
            <w:pPr>
              <w:pStyle w:val="TableParagraph"/>
              <w:spacing w:line="207" w:lineRule="exact"/>
              <w:ind w:left="112"/>
              <w:rPr>
                <w:b/>
                <w:sz w:val="18"/>
              </w:rPr>
            </w:pPr>
            <w:r>
              <w:rPr>
                <w:b/>
                <w:sz w:val="18"/>
              </w:rPr>
              <w:t>/ </w:t>
            </w:r>
            <w:r>
              <w:rPr>
                <w:b/>
                <w:spacing w:val="-2"/>
                <w:sz w:val="18"/>
              </w:rPr>
              <w:t>(deficit)</w:t>
            </w:r>
          </w:p>
        </w:tc>
        <w:tc>
          <w:tcPr>
            <w:tcW w:w="1370" w:type="dxa"/>
            <w:tcBorders>
              <w:top w:val="single" w:sz="4" w:space="0" w:color="000000"/>
              <w:bottom w:val="single" w:sz="4" w:space="0" w:color="000000"/>
            </w:tcBorders>
          </w:tcPr>
          <w:p>
            <w:pPr>
              <w:pStyle w:val="TableParagraph"/>
              <w:spacing w:before="1"/>
              <w:ind w:right="128"/>
              <w:jc w:val="right"/>
              <w:rPr>
                <w:b/>
                <w:sz w:val="18"/>
              </w:rPr>
            </w:pPr>
            <w:r>
              <w:rPr>
                <w:b/>
                <w:spacing w:val="-2"/>
                <w:sz w:val="18"/>
              </w:rPr>
              <w:t>(1,553)</w:t>
            </w:r>
          </w:p>
        </w:tc>
        <w:tc>
          <w:tcPr>
            <w:tcW w:w="1342" w:type="dxa"/>
            <w:tcBorders>
              <w:top w:val="single" w:sz="4" w:space="0" w:color="000000"/>
              <w:bottom w:val="single" w:sz="4" w:space="0" w:color="000000"/>
            </w:tcBorders>
          </w:tcPr>
          <w:p>
            <w:pPr>
              <w:pStyle w:val="TableParagraph"/>
              <w:spacing w:before="1"/>
              <w:ind w:right="100"/>
              <w:jc w:val="right"/>
              <w:rPr>
                <w:b/>
                <w:sz w:val="18"/>
              </w:rPr>
            </w:pPr>
            <w:r>
              <w:rPr>
                <w:b/>
                <w:spacing w:val="-2"/>
                <w:sz w:val="18"/>
              </w:rPr>
              <w:t>(1,049)</w:t>
            </w:r>
          </w:p>
        </w:tc>
        <w:tc>
          <w:tcPr>
            <w:tcW w:w="1367" w:type="dxa"/>
            <w:tcBorders>
              <w:top w:val="single" w:sz="4" w:space="0" w:color="000000"/>
              <w:bottom w:val="single" w:sz="4" w:space="0" w:color="000000"/>
              <w:right w:val="single" w:sz="4" w:space="0" w:color="000000"/>
            </w:tcBorders>
            <w:shd w:val="clear" w:color="auto" w:fill="BCD6ED"/>
          </w:tcPr>
          <w:p>
            <w:pPr>
              <w:pStyle w:val="TableParagraph"/>
              <w:spacing w:before="1"/>
              <w:ind w:right="93"/>
              <w:jc w:val="right"/>
              <w:rPr>
                <w:b/>
                <w:sz w:val="18"/>
              </w:rPr>
            </w:pPr>
            <w:r>
              <w:rPr>
                <w:b/>
                <w:spacing w:val="-2"/>
                <w:sz w:val="18"/>
              </w:rPr>
              <w:t>(780)</w:t>
            </w:r>
          </w:p>
        </w:tc>
      </w:tr>
      <w:tr>
        <w:trPr>
          <w:trHeight w:val="506" w:hRule="atLeast"/>
        </w:trPr>
        <w:tc>
          <w:tcPr>
            <w:tcW w:w="10476" w:type="dxa"/>
            <w:gridSpan w:val="5"/>
            <w:tcBorders>
              <w:top w:val="single" w:sz="4" w:space="0" w:color="000000"/>
              <w:left w:val="single" w:sz="4" w:space="0" w:color="000000"/>
              <w:bottom w:val="single" w:sz="4" w:space="0" w:color="000000"/>
              <w:right w:val="single" w:sz="4" w:space="0" w:color="000000"/>
            </w:tcBorders>
          </w:tcPr>
          <w:p>
            <w:pPr>
              <w:pStyle w:val="TableParagraph"/>
              <w:spacing w:line="252" w:lineRule="exact"/>
              <w:ind w:left="107" w:right="7076"/>
              <w:rPr>
                <w:b/>
                <w:sz w:val="22"/>
              </w:rPr>
            </w:pPr>
            <w:r>
              <w:rPr>
                <w:b/>
                <w:color w:val="5B9AD4"/>
                <w:sz w:val="22"/>
              </w:rPr>
              <w:t>Realm Operations</w:t>
            </w:r>
            <w:r>
              <w:rPr>
                <w:b/>
                <w:color w:val="5B9AD4"/>
                <w:spacing w:val="40"/>
                <w:sz w:val="22"/>
              </w:rPr>
              <w:t> </w:t>
            </w:r>
            <w:r>
              <w:rPr>
                <w:b/>
                <w:color w:val="5B9AD4"/>
                <w:sz w:val="22"/>
              </w:rPr>
              <w:t>(Governance</w:t>
            </w:r>
            <w:r>
              <w:rPr>
                <w:b/>
                <w:color w:val="5B9AD4"/>
                <w:spacing w:val="-16"/>
                <w:sz w:val="22"/>
              </w:rPr>
              <w:t> </w:t>
            </w:r>
            <w:r>
              <w:rPr>
                <w:b/>
                <w:color w:val="5B9AD4"/>
                <w:sz w:val="22"/>
              </w:rPr>
              <w:t>and</w:t>
            </w:r>
            <w:r>
              <w:rPr>
                <w:b/>
                <w:color w:val="5B9AD4"/>
                <w:spacing w:val="-15"/>
                <w:sz w:val="22"/>
              </w:rPr>
              <w:t> </w:t>
            </w:r>
            <w:r>
              <w:rPr>
                <w:b/>
                <w:color w:val="5B9AD4"/>
                <w:sz w:val="22"/>
              </w:rPr>
              <w:t>Performance)</w:t>
            </w:r>
          </w:p>
        </w:tc>
      </w:tr>
      <w:tr>
        <w:trPr>
          <w:trHeight w:val="609" w:hRule="atLeast"/>
        </w:trPr>
        <w:tc>
          <w:tcPr>
            <w:tcW w:w="5400" w:type="dxa"/>
            <w:vMerge w:val="restart"/>
            <w:tcBorders>
              <w:top w:val="single" w:sz="4" w:space="0" w:color="000000"/>
              <w:left w:val="single" w:sz="4" w:space="0" w:color="000000"/>
              <w:bottom w:val="single" w:sz="4" w:space="0" w:color="000000"/>
            </w:tcBorders>
          </w:tcPr>
          <w:p>
            <w:pPr>
              <w:pStyle w:val="TableParagraph"/>
              <w:ind w:left="107"/>
              <w:rPr>
                <w:sz w:val="22"/>
              </w:rPr>
            </w:pPr>
            <w:r>
              <w:rPr>
                <w:sz w:val="22"/>
              </w:rPr>
              <w:t>Realm Operations facilitates the day-to-day management</w:t>
            </w:r>
            <w:r>
              <w:rPr>
                <w:spacing w:val="-4"/>
                <w:sz w:val="22"/>
              </w:rPr>
              <w:t> </w:t>
            </w:r>
            <w:r>
              <w:rPr>
                <w:sz w:val="22"/>
              </w:rPr>
              <w:t>of</w:t>
            </w:r>
            <w:r>
              <w:rPr>
                <w:spacing w:val="-7"/>
                <w:sz w:val="22"/>
              </w:rPr>
              <w:t> </w:t>
            </w:r>
            <w:r>
              <w:rPr>
                <w:sz w:val="22"/>
              </w:rPr>
              <w:t>the</w:t>
            </w:r>
            <w:r>
              <w:rPr>
                <w:spacing w:val="-7"/>
                <w:sz w:val="22"/>
              </w:rPr>
              <w:t> </w:t>
            </w:r>
            <w:r>
              <w:rPr>
                <w:sz w:val="22"/>
              </w:rPr>
              <w:t>Realm</w:t>
            </w:r>
            <w:r>
              <w:rPr>
                <w:spacing w:val="-6"/>
                <w:sz w:val="22"/>
              </w:rPr>
              <w:t> </w:t>
            </w:r>
            <w:r>
              <w:rPr>
                <w:sz w:val="22"/>
              </w:rPr>
              <w:t>building</w:t>
            </w:r>
            <w:r>
              <w:rPr>
                <w:spacing w:val="-6"/>
                <w:sz w:val="22"/>
              </w:rPr>
              <w:t> </w:t>
            </w:r>
            <w:r>
              <w:rPr>
                <w:sz w:val="22"/>
              </w:rPr>
              <w:t>including</w:t>
            </w:r>
            <w:r>
              <w:rPr>
                <w:spacing w:val="-6"/>
                <w:sz w:val="22"/>
              </w:rPr>
              <w:t> </w:t>
            </w:r>
            <w:r>
              <w:rPr>
                <w:sz w:val="22"/>
              </w:rPr>
              <w:t>building access; meeting room bookings; technical support; catering and invoicing; deliveries, mail, and courier distribution; cleaning and security contracts; parking;</w:t>
            </w:r>
          </w:p>
          <w:p>
            <w:pPr>
              <w:pStyle w:val="TableParagraph"/>
              <w:spacing w:line="232" w:lineRule="exact"/>
              <w:ind w:left="107"/>
              <w:rPr>
                <w:sz w:val="22"/>
              </w:rPr>
            </w:pPr>
            <w:r>
              <w:rPr>
                <w:sz w:val="22"/>
              </w:rPr>
              <w:t>and</w:t>
            </w:r>
            <w:r>
              <w:rPr>
                <w:spacing w:val="-2"/>
                <w:sz w:val="22"/>
              </w:rPr>
              <w:t> </w:t>
            </w:r>
            <w:r>
              <w:rPr>
                <w:sz w:val="22"/>
              </w:rPr>
              <w:t>end</w:t>
            </w:r>
            <w:r>
              <w:rPr>
                <w:spacing w:val="-1"/>
                <w:sz w:val="22"/>
              </w:rPr>
              <w:t> </w:t>
            </w:r>
            <w:r>
              <w:rPr>
                <w:sz w:val="22"/>
              </w:rPr>
              <w:t>of</w:t>
            </w:r>
            <w:r>
              <w:rPr>
                <w:spacing w:val="-3"/>
                <w:sz w:val="22"/>
              </w:rPr>
              <w:t> </w:t>
            </w:r>
            <w:r>
              <w:rPr>
                <w:sz w:val="22"/>
              </w:rPr>
              <w:t>trip</w:t>
            </w:r>
            <w:r>
              <w:rPr>
                <w:spacing w:val="-3"/>
                <w:sz w:val="22"/>
              </w:rPr>
              <w:t> </w:t>
            </w:r>
            <w:r>
              <w:rPr>
                <w:sz w:val="22"/>
              </w:rPr>
              <w:t>facility</w:t>
            </w:r>
            <w:r>
              <w:rPr>
                <w:spacing w:val="-1"/>
                <w:sz w:val="22"/>
              </w:rPr>
              <w:t> </w:t>
            </w:r>
            <w:r>
              <w:rPr>
                <w:spacing w:val="-2"/>
                <w:sz w:val="22"/>
              </w:rPr>
              <w:t>access.</w:t>
            </w:r>
          </w:p>
        </w:tc>
        <w:tc>
          <w:tcPr>
            <w:tcW w:w="997" w:type="dxa"/>
            <w:tcBorders>
              <w:top w:val="single" w:sz="4" w:space="0" w:color="000000"/>
              <w:bottom w:val="single" w:sz="4" w:space="0" w:color="000000"/>
            </w:tcBorders>
          </w:tcPr>
          <w:p>
            <w:pPr>
              <w:pStyle w:val="TableParagraph"/>
              <w:spacing w:line="206" w:lineRule="exact"/>
              <w:ind w:left="112"/>
              <w:rPr>
                <w:sz w:val="18"/>
              </w:rPr>
            </w:pPr>
            <w:r>
              <w:rPr>
                <w:spacing w:val="-5"/>
                <w:sz w:val="18"/>
              </w:rPr>
              <w:t>Inc</w:t>
            </w:r>
          </w:p>
          <w:p>
            <w:pPr>
              <w:pStyle w:val="TableParagraph"/>
              <w:spacing w:before="102"/>
              <w:ind w:left="112"/>
              <w:rPr>
                <w:sz w:val="18"/>
              </w:rPr>
            </w:pPr>
            <w:r>
              <w:rPr>
                <w:spacing w:val="-5"/>
                <w:sz w:val="18"/>
              </w:rPr>
              <w:t>Exp</w:t>
            </w:r>
          </w:p>
        </w:tc>
        <w:tc>
          <w:tcPr>
            <w:tcW w:w="1370" w:type="dxa"/>
            <w:tcBorders>
              <w:top w:val="single" w:sz="4" w:space="0" w:color="000000"/>
              <w:bottom w:val="single" w:sz="4" w:space="0" w:color="000000"/>
            </w:tcBorders>
          </w:tcPr>
          <w:p>
            <w:pPr>
              <w:pStyle w:val="TableParagraph"/>
              <w:spacing w:line="206" w:lineRule="exact"/>
              <w:ind w:right="129"/>
              <w:jc w:val="right"/>
              <w:rPr>
                <w:sz w:val="18"/>
              </w:rPr>
            </w:pPr>
            <w:r>
              <w:rPr>
                <w:spacing w:val="-5"/>
                <w:sz w:val="18"/>
              </w:rPr>
              <w:t>30</w:t>
            </w:r>
          </w:p>
          <w:p>
            <w:pPr>
              <w:pStyle w:val="TableParagraph"/>
              <w:spacing w:before="102"/>
              <w:ind w:right="128"/>
              <w:jc w:val="right"/>
              <w:rPr>
                <w:sz w:val="18"/>
              </w:rPr>
            </w:pPr>
            <w:r>
              <w:rPr>
                <w:spacing w:val="-2"/>
                <w:sz w:val="18"/>
              </w:rPr>
              <w:t>1,003</w:t>
            </w:r>
          </w:p>
        </w:tc>
        <w:tc>
          <w:tcPr>
            <w:tcW w:w="1342" w:type="dxa"/>
            <w:tcBorders>
              <w:top w:val="single" w:sz="4" w:space="0" w:color="000000"/>
              <w:bottom w:val="single" w:sz="4" w:space="0" w:color="000000"/>
            </w:tcBorders>
          </w:tcPr>
          <w:p>
            <w:pPr>
              <w:pStyle w:val="TableParagraph"/>
              <w:spacing w:line="206" w:lineRule="exact"/>
              <w:ind w:right="101"/>
              <w:jc w:val="right"/>
              <w:rPr>
                <w:sz w:val="18"/>
              </w:rPr>
            </w:pPr>
            <w:r>
              <w:rPr>
                <w:spacing w:val="-5"/>
                <w:sz w:val="18"/>
              </w:rPr>
              <w:t>40</w:t>
            </w:r>
          </w:p>
          <w:p>
            <w:pPr>
              <w:pStyle w:val="TableParagraph"/>
              <w:spacing w:before="102"/>
              <w:ind w:right="100"/>
              <w:jc w:val="right"/>
              <w:rPr>
                <w:sz w:val="18"/>
              </w:rPr>
            </w:pPr>
            <w:r>
              <w:rPr>
                <w:spacing w:val="-2"/>
                <w:sz w:val="18"/>
              </w:rPr>
              <w:t>1,154</w:t>
            </w:r>
          </w:p>
        </w:tc>
        <w:tc>
          <w:tcPr>
            <w:tcW w:w="1367"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5"/>
              <w:jc w:val="right"/>
              <w:rPr>
                <w:sz w:val="18"/>
              </w:rPr>
            </w:pPr>
            <w:r>
              <w:rPr>
                <w:spacing w:val="-5"/>
                <w:sz w:val="18"/>
              </w:rPr>
              <w:t>43</w:t>
            </w:r>
          </w:p>
          <w:p>
            <w:pPr>
              <w:pStyle w:val="TableParagraph"/>
              <w:spacing w:before="102"/>
              <w:ind w:right="94"/>
              <w:jc w:val="right"/>
              <w:rPr>
                <w:sz w:val="18"/>
              </w:rPr>
            </w:pPr>
            <w:r>
              <w:rPr>
                <w:spacing w:val="-2"/>
                <w:sz w:val="18"/>
              </w:rPr>
              <w:t>1,187</w:t>
            </w:r>
          </w:p>
        </w:tc>
      </w:tr>
      <w:tr>
        <w:trPr>
          <w:trHeight w:val="897" w:hRule="atLeast"/>
        </w:trPr>
        <w:tc>
          <w:tcPr>
            <w:tcW w:w="5400" w:type="dxa"/>
            <w:vMerge/>
            <w:tcBorders>
              <w:top w:val="nil"/>
              <w:left w:val="single" w:sz="4" w:space="0" w:color="000000"/>
              <w:bottom w:val="single" w:sz="4" w:space="0" w:color="000000"/>
            </w:tcBorders>
          </w:tcPr>
          <w:p>
            <w:pPr>
              <w:rPr>
                <w:sz w:val="2"/>
                <w:szCs w:val="2"/>
              </w:rPr>
            </w:pPr>
          </w:p>
        </w:tc>
        <w:tc>
          <w:tcPr>
            <w:tcW w:w="997" w:type="dxa"/>
            <w:tcBorders>
              <w:top w:val="single" w:sz="4" w:space="0" w:color="000000"/>
              <w:bottom w:val="single" w:sz="4" w:space="0" w:color="000000"/>
            </w:tcBorders>
          </w:tcPr>
          <w:p>
            <w:pPr>
              <w:pStyle w:val="TableParagraph"/>
              <w:spacing w:line="206" w:lineRule="exact"/>
              <w:ind w:left="112"/>
              <w:rPr>
                <w:b/>
                <w:sz w:val="18"/>
              </w:rPr>
            </w:pPr>
            <w:r>
              <w:rPr>
                <w:b/>
                <w:spacing w:val="-2"/>
                <w:sz w:val="18"/>
              </w:rPr>
              <w:t>Surplus</w:t>
            </w:r>
          </w:p>
          <w:p>
            <w:pPr>
              <w:pStyle w:val="TableParagraph"/>
              <w:spacing w:line="207" w:lineRule="exact"/>
              <w:ind w:left="112"/>
              <w:rPr>
                <w:b/>
                <w:sz w:val="18"/>
              </w:rPr>
            </w:pPr>
            <w:r>
              <w:rPr>
                <w:b/>
                <w:sz w:val="18"/>
              </w:rPr>
              <w:t>/ </w:t>
            </w:r>
            <w:r>
              <w:rPr>
                <w:b/>
                <w:spacing w:val="-2"/>
                <w:sz w:val="18"/>
              </w:rPr>
              <w:t>(deficit)</w:t>
            </w:r>
          </w:p>
        </w:tc>
        <w:tc>
          <w:tcPr>
            <w:tcW w:w="1370" w:type="dxa"/>
            <w:tcBorders>
              <w:top w:val="single" w:sz="4" w:space="0" w:color="000000"/>
              <w:bottom w:val="single" w:sz="4" w:space="0" w:color="000000"/>
            </w:tcBorders>
          </w:tcPr>
          <w:p>
            <w:pPr>
              <w:pStyle w:val="TableParagraph"/>
              <w:spacing w:line="206" w:lineRule="exact"/>
              <w:ind w:right="127"/>
              <w:jc w:val="right"/>
              <w:rPr>
                <w:b/>
                <w:sz w:val="18"/>
              </w:rPr>
            </w:pPr>
            <w:r>
              <w:rPr>
                <w:b/>
                <w:spacing w:val="-2"/>
                <w:sz w:val="18"/>
              </w:rPr>
              <w:t>(973)</w:t>
            </w:r>
          </w:p>
        </w:tc>
        <w:tc>
          <w:tcPr>
            <w:tcW w:w="1342" w:type="dxa"/>
            <w:tcBorders>
              <w:top w:val="single" w:sz="4" w:space="0" w:color="000000"/>
              <w:bottom w:val="single" w:sz="4" w:space="0" w:color="000000"/>
            </w:tcBorders>
          </w:tcPr>
          <w:p>
            <w:pPr>
              <w:pStyle w:val="TableParagraph"/>
              <w:spacing w:line="206" w:lineRule="exact"/>
              <w:ind w:right="100"/>
              <w:jc w:val="right"/>
              <w:rPr>
                <w:b/>
                <w:sz w:val="18"/>
              </w:rPr>
            </w:pPr>
            <w:r>
              <w:rPr>
                <w:b/>
                <w:spacing w:val="-2"/>
                <w:sz w:val="18"/>
              </w:rPr>
              <w:t>(1,114)</w:t>
            </w:r>
          </w:p>
        </w:tc>
        <w:tc>
          <w:tcPr>
            <w:tcW w:w="1367" w:type="dxa"/>
            <w:tcBorders>
              <w:top w:val="single" w:sz="4" w:space="0" w:color="000000"/>
              <w:bottom w:val="single" w:sz="4" w:space="0" w:color="000000"/>
              <w:right w:val="single" w:sz="4" w:space="0" w:color="000000"/>
            </w:tcBorders>
            <w:shd w:val="clear" w:color="auto" w:fill="BCD6ED"/>
          </w:tcPr>
          <w:p>
            <w:pPr>
              <w:pStyle w:val="TableParagraph"/>
              <w:spacing w:line="206" w:lineRule="exact"/>
              <w:ind w:right="94"/>
              <w:jc w:val="right"/>
              <w:rPr>
                <w:b/>
                <w:sz w:val="18"/>
              </w:rPr>
            </w:pPr>
            <w:r>
              <w:rPr>
                <w:b/>
                <w:spacing w:val="-2"/>
                <w:sz w:val="18"/>
              </w:rPr>
              <w:t>(1,144)</w:t>
            </w:r>
          </w:p>
        </w:tc>
      </w:tr>
      <w:tr>
        <w:trPr>
          <w:trHeight w:val="299" w:hRule="atLeast"/>
        </w:trPr>
        <w:tc>
          <w:tcPr>
            <w:tcW w:w="10476"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4"/>
              <w:ind w:left="107"/>
              <w:rPr>
                <w:b/>
                <w:sz w:val="22"/>
              </w:rPr>
            </w:pPr>
            <w:r>
              <w:rPr>
                <w:b/>
                <w:color w:val="5B9AD4"/>
                <w:sz w:val="22"/>
              </w:rPr>
              <w:t>COVID-19</w:t>
            </w:r>
            <w:r>
              <w:rPr>
                <w:b/>
                <w:color w:val="5B9AD4"/>
                <w:spacing w:val="-6"/>
                <w:sz w:val="22"/>
              </w:rPr>
              <w:t> </w:t>
            </w:r>
            <w:r>
              <w:rPr>
                <w:b/>
                <w:color w:val="5B9AD4"/>
                <w:spacing w:val="-2"/>
                <w:sz w:val="22"/>
              </w:rPr>
              <w:t>Pandemic</w:t>
            </w:r>
          </w:p>
        </w:tc>
      </w:tr>
      <w:tr>
        <w:trPr>
          <w:trHeight w:val="258" w:hRule="atLeast"/>
        </w:trPr>
        <w:tc>
          <w:tcPr>
            <w:tcW w:w="5400" w:type="dxa"/>
            <w:tcBorders>
              <w:top w:val="single" w:sz="4" w:space="0" w:color="000000"/>
              <w:left w:val="single" w:sz="4" w:space="0" w:color="000000"/>
            </w:tcBorders>
          </w:tcPr>
          <w:p>
            <w:pPr>
              <w:pStyle w:val="TableParagraph"/>
              <w:spacing w:line="236" w:lineRule="exact" w:before="2"/>
              <w:ind w:left="107"/>
              <w:rPr>
                <w:sz w:val="22"/>
              </w:rPr>
            </w:pPr>
            <w:r>
              <w:rPr>
                <w:sz w:val="22"/>
              </w:rPr>
              <w:t>Specific</w:t>
            </w:r>
            <w:r>
              <w:rPr>
                <w:spacing w:val="-3"/>
                <w:sz w:val="22"/>
              </w:rPr>
              <w:t> </w:t>
            </w:r>
            <w:r>
              <w:rPr>
                <w:sz w:val="22"/>
              </w:rPr>
              <w:t>funding</w:t>
            </w:r>
            <w:r>
              <w:rPr>
                <w:spacing w:val="-4"/>
                <w:sz w:val="22"/>
              </w:rPr>
              <w:t> </w:t>
            </w:r>
            <w:r>
              <w:rPr>
                <w:sz w:val="22"/>
              </w:rPr>
              <w:t>made</w:t>
            </w:r>
            <w:r>
              <w:rPr>
                <w:spacing w:val="-4"/>
                <w:sz w:val="22"/>
              </w:rPr>
              <w:t> </w:t>
            </w:r>
            <w:r>
              <w:rPr>
                <w:sz w:val="22"/>
              </w:rPr>
              <w:t>available</w:t>
            </w:r>
            <w:r>
              <w:rPr>
                <w:spacing w:val="-4"/>
                <w:sz w:val="22"/>
              </w:rPr>
              <w:t> </w:t>
            </w:r>
            <w:r>
              <w:rPr>
                <w:sz w:val="22"/>
              </w:rPr>
              <w:t>for</w:t>
            </w:r>
            <w:r>
              <w:rPr>
                <w:spacing w:val="-1"/>
                <w:sz w:val="22"/>
              </w:rPr>
              <w:t> </w:t>
            </w:r>
            <w:r>
              <w:rPr>
                <w:sz w:val="22"/>
              </w:rPr>
              <w:t>Council</w:t>
            </w:r>
            <w:r>
              <w:rPr>
                <w:spacing w:val="-6"/>
                <w:sz w:val="22"/>
              </w:rPr>
              <w:t> </w:t>
            </w:r>
            <w:r>
              <w:rPr>
                <w:sz w:val="22"/>
              </w:rPr>
              <w:t>to</w:t>
            </w:r>
            <w:r>
              <w:rPr>
                <w:spacing w:val="-4"/>
                <w:sz w:val="22"/>
              </w:rPr>
              <w:t> </w:t>
            </w:r>
            <w:r>
              <w:rPr>
                <w:spacing w:val="-2"/>
                <w:sz w:val="22"/>
              </w:rPr>
              <w:t>assist</w:t>
            </w:r>
          </w:p>
        </w:tc>
        <w:tc>
          <w:tcPr>
            <w:tcW w:w="997" w:type="dxa"/>
            <w:tcBorders>
              <w:top w:val="single" w:sz="4" w:space="0" w:color="000000"/>
            </w:tcBorders>
          </w:tcPr>
          <w:p>
            <w:pPr>
              <w:pStyle w:val="TableParagraph"/>
              <w:spacing w:before="1"/>
              <w:ind w:left="112"/>
              <w:rPr>
                <w:sz w:val="18"/>
              </w:rPr>
            </w:pPr>
            <w:r>
              <w:rPr>
                <w:spacing w:val="-5"/>
                <w:sz w:val="18"/>
              </w:rPr>
              <w:t>Inc</w:t>
            </w:r>
          </w:p>
        </w:tc>
        <w:tc>
          <w:tcPr>
            <w:tcW w:w="1370" w:type="dxa"/>
            <w:tcBorders>
              <w:top w:val="single" w:sz="4" w:space="0" w:color="000000"/>
            </w:tcBorders>
          </w:tcPr>
          <w:p>
            <w:pPr>
              <w:pStyle w:val="TableParagraph"/>
              <w:spacing w:before="1"/>
              <w:ind w:right="130"/>
              <w:jc w:val="right"/>
              <w:rPr>
                <w:sz w:val="18"/>
              </w:rPr>
            </w:pPr>
            <w:r>
              <w:rPr>
                <w:spacing w:val="-5"/>
                <w:sz w:val="18"/>
              </w:rPr>
              <w:t>307</w:t>
            </w:r>
          </w:p>
        </w:tc>
        <w:tc>
          <w:tcPr>
            <w:tcW w:w="1342" w:type="dxa"/>
            <w:tcBorders>
              <w:top w:val="single" w:sz="4" w:space="0" w:color="000000"/>
            </w:tcBorders>
          </w:tcPr>
          <w:p>
            <w:pPr>
              <w:pStyle w:val="TableParagraph"/>
              <w:spacing w:before="1"/>
              <w:ind w:right="101"/>
              <w:jc w:val="right"/>
              <w:rPr>
                <w:sz w:val="18"/>
              </w:rPr>
            </w:pPr>
            <w:r>
              <w:rPr>
                <w:spacing w:val="-5"/>
                <w:sz w:val="18"/>
              </w:rPr>
              <w:t>111</w:t>
            </w:r>
          </w:p>
        </w:tc>
        <w:tc>
          <w:tcPr>
            <w:tcW w:w="1367" w:type="dxa"/>
            <w:tcBorders>
              <w:top w:val="single" w:sz="4" w:space="0" w:color="000000"/>
              <w:right w:val="single" w:sz="4" w:space="0" w:color="000000"/>
            </w:tcBorders>
            <w:shd w:val="clear" w:color="auto" w:fill="BCD6ED"/>
          </w:tcPr>
          <w:p>
            <w:pPr>
              <w:pStyle w:val="TableParagraph"/>
              <w:spacing w:before="1"/>
              <w:ind w:right="96"/>
              <w:jc w:val="right"/>
              <w:rPr>
                <w:sz w:val="18"/>
              </w:rPr>
            </w:pPr>
            <w:r>
              <w:rPr>
                <w:sz w:val="18"/>
              </w:rPr>
              <w:t>-</w:t>
            </w:r>
          </w:p>
        </w:tc>
      </w:tr>
      <w:tr>
        <w:trPr>
          <w:trHeight w:val="353" w:hRule="atLeast"/>
        </w:trPr>
        <w:tc>
          <w:tcPr>
            <w:tcW w:w="5400" w:type="dxa"/>
            <w:vMerge w:val="restart"/>
            <w:tcBorders>
              <w:left w:val="single" w:sz="4" w:space="0" w:color="000000"/>
            </w:tcBorders>
          </w:tcPr>
          <w:p>
            <w:pPr>
              <w:pStyle w:val="TableParagraph"/>
              <w:ind w:left="107"/>
              <w:rPr>
                <w:sz w:val="22"/>
              </w:rPr>
            </w:pPr>
            <w:r>
              <w:rPr>
                <w:sz w:val="22"/>
              </w:rPr>
              <w:t>towards</w:t>
            </w:r>
            <w:r>
              <w:rPr>
                <w:spacing w:val="-4"/>
                <w:sz w:val="22"/>
              </w:rPr>
              <w:t> </w:t>
            </w:r>
            <w:r>
              <w:rPr>
                <w:sz w:val="22"/>
              </w:rPr>
              <w:t>community</w:t>
            </w:r>
            <w:r>
              <w:rPr>
                <w:spacing w:val="-6"/>
                <w:sz w:val="22"/>
              </w:rPr>
              <w:t> </w:t>
            </w:r>
            <w:r>
              <w:rPr>
                <w:sz w:val="22"/>
              </w:rPr>
              <w:t>recovery</w:t>
            </w:r>
            <w:r>
              <w:rPr>
                <w:spacing w:val="-4"/>
                <w:sz w:val="22"/>
              </w:rPr>
              <w:t> </w:t>
            </w:r>
            <w:r>
              <w:rPr>
                <w:sz w:val="22"/>
              </w:rPr>
              <w:t>and</w:t>
            </w:r>
            <w:r>
              <w:rPr>
                <w:spacing w:val="-5"/>
                <w:sz w:val="22"/>
              </w:rPr>
              <w:t> </w:t>
            </w:r>
            <w:r>
              <w:rPr>
                <w:sz w:val="22"/>
              </w:rPr>
              <w:t>relief</w:t>
            </w:r>
            <w:r>
              <w:rPr>
                <w:spacing w:val="-6"/>
                <w:sz w:val="22"/>
              </w:rPr>
              <w:t> </w:t>
            </w:r>
            <w:r>
              <w:rPr>
                <w:sz w:val="22"/>
              </w:rPr>
              <w:t>as</w:t>
            </w:r>
            <w:r>
              <w:rPr>
                <w:spacing w:val="-2"/>
                <w:sz w:val="22"/>
              </w:rPr>
              <w:t> </w:t>
            </w:r>
            <w:r>
              <w:rPr>
                <w:sz w:val="22"/>
              </w:rPr>
              <w:t>a</w:t>
            </w:r>
            <w:r>
              <w:rPr>
                <w:spacing w:val="-8"/>
                <w:sz w:val="22"/>
              </w:rPr>
              <w:t> </w:t>
            </w:r>
            <w:r>
              <w:rPr>
                <w:sz w:val="22"/>
              </w:rPr>
              <w:t>result</w:t>
            </w:r>
            <w:r>
              <w:rPr>
                <w:spacing w:val="-2"/>
                <w:sz w:val="22"/>
              </w:rPr>
              <w:t> </w:t>
            </w:r>
            <w:r>
              <w:rPr>
                <w:sz w:val="22"/>
              </w:rPr>
              <w:t>of the impacts of the COVID-19 pandemic.</w:t>
            </w:r>
          </w:p>
        </w:tc>
        <w:tc>
          <w:tcPr>
            <w:tcW w:w="997" w:type="dxa"/>
            <w:tcBorders>
              <w:bottom w:val="single" w:sz="4" w:space="0" w:color="000000"/>
            </w:tcBorders>
          </w:tcPr>
          <w:p>
            <w:pPr>
              <w:pStyle w:val="TableParagraph"/>
              <w:spacing w:before="53"/>
              <w:ind w:left="112"/>
              <w:rPr>
                <w:sz w:val="18"/>
              </w:rPr>
            </w:pPr>
            <w:r>
              <w:rPr>
                <w:spacing w:val="-5"/>
                <w:sz w:val="18"/>
              </w:rPr>
              <w:t>Exp</w:t>
            </w:r>
          </w:p>
        </w:tc>
        <w:tc>
          <w:tcPr>
            <w:tcW w:w="1370" w:type="dxa"/>
            <w:tcBorders>
              <w:bottom w:val="single" w:sz="4" w:space="0" w:color="000000"/>
            </w:tcBorders>
          </w:tcPr>
          <w:p>
            <w:pPr>
              <w:pStyle w:val="TableParagraph"/>
              <w:spacing w:before="53"/>
              <w:ind w:right="130"/>
              <w:jc w:val="right"/>
              <w:rPr>
                <w:sz w:val="18"/>
              </w:rPr>
            </w:pPr>
            <w:r>
              <w:rPr>
                <w:spacing w:val="-5"/>
                <w:sz w:val="18"/>
              </w:rPr>
              <w:t>393</w:t>
            </w:r>
          </w:p>
        </w:tc>
        <w:tc>
          <w:tcPr>
            <w:tcW w:w="1342" w:type="dxa"/>
            <w:tcBorders>
              <w:bottom w:val="single" w:sz="4" w:space="0" w:color="000000"/>
            </w:tcBorders>
          </w:tcPr>
          <w:p>
            <w:pPr>
              <w:pStyle w:val="TableParagraph"/>
              <w:spacing w:before="53"/>
              <w:ind w:right="101"/>
              <w:jc w:val="right"/>
              <w:rPr>
                <w:sz w:val="18"/>
              </w:rPr>
            </w:pPr>
            <w:r>
              <w:rPr>
                <w:spacing w:val="-5"/>
                <w:sz w:val="18"/>
              </w:rPr>
              <w:t>101</w:t>
            </w:r>
          </w:p>
        </w:tc>
        <w:tc>
          <w:tcPr>
            <w:tcW w:w="1367" w:type="dxa"/>
            <w:tcBorders>
              <w:bottom w:val="single" w:sz="4" w:space="0" w:color="000000"/>
              <w:right w:val="single" w:sz="4" w:space="0" w:color="000000"/>
            </w:tcBorders>
            <w:shd w:val="clear" w:color="auto" w:fill="BCD6ED"/>
          </w:tcPr>
          <w:p>
            <w:pPr>
              <w:pStyle w:val="TableParagraph"/>
              <w:spacing w:before="53"/>
              <w:ind w:right="96"/>
              <w:jc w:val="right"/>
              <w:rPr>
                <w:sz w:val="18"/>
              </w:rPr>
            </w:pPr>
            <w:r>
              <w:rPr>
                <w:sz w:val="18"/>
              </w:rPr>
              <w:t>-</w:t>
            </w:r>
          </w:p>
        </w:tc>
      </w:tr>
      <w:tr>
        <w:trPr>
          <w:trHeight w:val="208" w:hRule="atLeast"/>
        </w:trPr>
        <w:tc>
          <w:tcPr>
            <w:tcW w:w="5400" w:type="dxa"/>
            <w:vMerge/>
            <w:tcBorders>
              <w:top w:val="nil"/>
              <w:left w:val="single" w:sz="4" w:space="0" w:color="000000"/>
            </w:tcBorders>
          </w:tcPr>
          <w:p>
            <w:pPr>
              <w:rPr>
                <w:sz w:val="2"/>
                <w:szCs w:val="2"/>
              </w:rPr>
            </w:pPr>
          </w:p>
        </w:tc>
        <w:tc>
          <w:tcPr>
            <w:tcW w:w="997" w:type="dxa"/>
            <w:tcBorders>
              <w:top w:val="single" w:sz="4" w:space="0" w:color="000000"/>
            </w:tcBorders>
          </w:tcPr>
          <w:p>
            <w:pPr>
              <w:pStyle w:val="TableParagraph"/>
              <w:spacing w:line="189" w:lineRule="exact"/>
              <w:ind w:left="112"/>
              <w:rPr>
                <w:b/>
                <w:sz w:val="18"/>
              </w:rPr>
            </w:pPr>
            <w:r>
              <w:rPr>
                <w:b/>
                <w:spacing w:val="-2"/>
                <w:sz w:val="18"/>
              </w:rPr>
              <w:t>Surplus</w:t>
            </w:r>
          </w:p>
        </w:tc>
        <w:tc>
          <w:tcPr>
            <w:tcW w:w="1370" w:type="dxa"/>
            <w:tcBorders>
              <w:top w:val="single" w:sz="4" w:space="0" w:color="000000"/>
            </w:tcBorders>
          </w:tcPr>
          <w:p>
            <w:pPr>
              <w:pStyle w:val="TableParagraph"/>
              <w:spacing w:line="189" w:lineRule="exact"/>
              <w:ind w:right="129"/>
              <w:jc w:val="right"/>
              <w:rPr>
                <w:b/>
                <w:sz w:val="18"/>
              </w:rPr>
            </w:pPr>
            <w:r>
              <w:rPr>
                <w:b/>
                <w:spacing w:val="-4"/>
                <w:sz w:val="18"/>
              </w:rPr>
              <w:t>(86)</w:t>
            </w:r>
          </w:p>
        </w:tc>
        <w:tc>
          <w:tcPr>
            <w:tcW w:w="1342" w:type="dxa"/>
            <w:tcBorders>
              <w:top w:val="single" w:sz="4" w:space="0" w:color="000000"/>
            </w:tcBorders>
          </w:tcPr>
          <w:p>
            <w:pPr>
              <w:pStyle w:val="TableParagraph"/>
              <w:spacing w:line="189" w:lineRule="exact"/>
              <w:ind w:right="101"/>
              <w:jc w:val="right"/>
              <w:rPr>
                <w:b/>
                <w:sz w:val="18"/>
              </w:rPr>
            </w:pPr>
            <w:r>
              <w:rPr>
                <w:b/>
                <w:spacing w:val="-5"/>
                <w:sz w:val="18"/>
              </w:rPr>
              <w:t>10</w:t>
            </w:r>
          </w:p>
        </w:tc>
        <w:tc>
          <w:tcPr>
            <w:tcW w:w="1367" w:type="dxa"/>
            <w:tcBorders>
              <w:top w:val="single" w:sz="4" w:space="0" w:color="000000"/>
              <w:right w:val="single" w:sz="4" w:space="0" w:color="000000"/>
            </w:tcBorders>
            <w:shd w:val="clear" w:color="auto" w:fill="BCD6ED"/>
          </w:tcPr>
          <w:p>
            <w:pPr>
              <w:pStyle w:val="TableParagraph"/>
              <w:spacing w:line="189" w:lineRule="exact"/>
              <w:ind w:right="96"/>
              <w:jc w:val="right"/>
              <w:rPr>
                <w:b/>
                <w:sz w:val="18"/>
              </w:rPr>
            </w:pPr>
            <w:r>
              <w:rPr>
                <w:b/>
                <w:sz w:val="18"/>
              </w:rPr>
              <w:t>-</w:t>
            </w:r>
          </w:p>
        </w:tc>
      </w:tr>
      <w:tr>
        <w:trPr>
          <w:trHeight w:val="271" w:hRule="atLeast"/>
        </w:trPr>
        <w:tc>
          <w:tcPr>
            <w:tcW w:w="5400" w:type="dxa"/>
            <w:tcBorders>
              <w:left w:val="single" w:sz="4" w:space="0" w:color="000000"/>
              <w:bottom w:val="single" w:sz="4" w:space="0" w:color="000000"/>
            </w:tcBorders>
          </w:tcPr>
          <w:p>
            <w:pPr>
              <w:pStyle w:val="TableParagraph"/>
              <w:rPr>
                <w:rFonts w:ascii="Times New Roman"/>
                <w:sz w:val="20"/>
              </w:rPr>
            </w:pPr>
          </w:p>
        </w:tc>
        <w:tc>
          <w:tcPr>
            <w:tcW w:w="997" w:type="dxa"/>
            <w:tcBorders>
              <w:bottom w:val="single" w:sz="4" w:space="0" w:color="000000"/>
            </w:tcBorders>
          </w:tcPr>
          <w:p>
            <w:pPr>
              <w:pStyle w:val="TableParagraph"/>
              <w:spacing w:line="204" w:lineRule="exact"/>
              <w:ind w:left="112"/>
              <w:rPr>
                <w:b/>
                <w:sz w:val="18"/>
              </w:rPr>
            </w:pPr>
            <w:r>
              <w:rPr>
                <w:b/>
                <w:sz w:val="18"/>
              </w:rPr>
              <w:t>/ </w:t>
            </w:r>
            <w:r>
              <w:rPr>
                <w:b/>
                <w:spacing w:val="-2"/>
                <w:sz w:val="18"/>
              </w:rPr>
              <w:t>(deficit)</w:t>
            </w:r>
          </w:p>
        </w:tc>
        <w:tc>
          <w:tcPr>
            <w:tcW w:w="1370" w:type="dxa"/>
            <w:tcBorders>
              <w:bottom w:val="single" w:sz="4" w:space="0" w:color="000000"/>
            </w:tcBorders>
          </w:tcPr>
          <w:p>
            <w:pPr>
              <w:pStyle w:val="TableParagraph"/>
              <w:rPr>
                <w:rFonts w:ascii="Times New Roman"/>
                <w:sz w:val="20"/>
              </w:rPr>
            </w:pPr>
          </w:p>
        </w:tc>
        <w:tc>
          <w:tcPr>
            <w:tcW w:w="1342" w:type="dxa"/>
            <w:tcBorders>
              <w:bottom w:val="single" w:sz="4" w:space="0" w:color="000000"/>
            </w:tcBorders>
          </w:tcPr>
          <w:p>
            <w:pPr>
              <w:pStyle w:val="TableParagraph"/>
              <w:rPr>
                <w:rFonts w:ascii="Times New Roman"/>
                <w:sz w:val="20"/>
              </w:rPr>
            </w:pPr>
          </w:p>
        </w:tc>
        <w:tc>
          <w:tcPr>
            <w:tcW w:w="1367" w:type="dxa"/>
            <w:tcBorders>
              <w:bottom w:val="single" w:sz="4" w:space="0" w:color="000000"/>
              <w:right w:val="single" w:sz="4" w:space="0" w:color="000000"/>
            </w:tcBorders>
            <w:shd w:val="clear" w:color="auto" w:fill="BCD6ED"/>
          </w:tcPr>
          <w:p>
            <w:pPr>
              <w:pStyle w:val="TableParagraph"/>
              <w:rPr>
                <w:rFonts w:ascii="Times New Roman"/>
                <w:sz w:val="20"/>
              </w:rPr>
            </w:pPr>
          </w:p>
        </w:tc>
      </w:tr>
    </w:tbl>
    <w:p>
      <w:pPr>
        <w:pStyle w:val="BodyText"/>
        <w:spacing w:before="5"/>
        <w:rPr>
          <w:b/>
          <w:sz w:val="13"/>
        </w:rPr>
      </w:pPr>
    </w:p>
    <w:p>
      <w:pPr>
        <w:pStyle w:val="Heading5"/>
        <w:spacing w:before="94"/>
        <w:ind w:left="391"/>
      </w:pPr>
      <w:r>
        <w:rPr/>
        <w:t>Major</w:t>
      </w:r>
      <w:r>
        <w:rPr>
          <w:spacing w:val="-4"/>
        </w:rPr>
        <w:t> </w:t>
      </w:r>
      <w:r>
        <w:rPr>
          <w:spacing w:val="-2"/>
        </w:rPr>
        <w:t>Initiatives</w:t>
      </w:r>
    </w:p>
    <w:p>
      <w:pPr>
        <w:pStyle w:val="BodyText"/>
        <w:rPr>
          <w:b/>
        </w:rPr>
      </w:pPr>
    </w:p>
    <w:p>
      <w:pPr>
        <w:pStyle w:val="ListParagraph"/>
        <w:numPr>
          <w:ilvl w:val="0"/>
          <w:numId w:val="13"/>
        </w:numPr>
        <w:tabs>
          <w:tab w:pos="959" w:val="left" w:leader="none"/>
          <w:tab w:pos="960" w:val="left" w:leader="none"/>
        </w:tabs>
        <w:spacing w:line="240" w:lineRule="auto" w:before="0" w:after="0"/>
        <w:ind w:left="958" w:right="398" w:hanging="567"/>
        <w:jc w:val="left"/>
        <w:rPr>
          <w:sz w:val="22"/>
        </w:rPr>
      </w:pPr>
      <w:r>
        <w:rPr>
          <w:sz w:val="22"/>
        </w:rPr>
        <w:t>Advocate on key local issues on behalf of the Maroondah community, including in the lead up to the Australian and Victorian Government elections in 2024/25 and 2026/27.</w:t>
      </w:r>
    </w:p>
    <w:p>
      <w:pPr>
        <w:pStyle w:val="ListParagraph"/>
        <w:numPr>
          <w:ilvl w:val="0"/>
          <w:numId w:val="13"/>
        </w:numPr>
        <w:tabs>
          <w:tab w:pos="959" w:val="left" w:leader="none"/>
          <w:tab w:pos="960" w:val="left" w:leader="none"/>
        </w:tabs>
        <w:spacing w:line="240" w:lineRule="auto" w:before="0" w:after="0"/>
        <w:ind w:left="958" w:right="403" w:hanging="567"/>
        <w:jc w:val="left"/>
        <w:rPr>
          <w:sz w:val="22"/>
        </w:rPr>
      </w:pPr>
      <w:r>
        <w:rPr>
          <w:sz w:val="22"/>
        </w:rPr>
        <w:t>Develop</w:t>
      </w:r>
      <w:r>
        <w:rPr>
          <w:spacing w:val="-11"/>
          <w:sz w:val="22"/>
        </w:rPr>
        <w:t> </w:t>
      </w:r>
      <w:r>
        <w:rPr>
          <w:sz w:val="22"/>
        </w:rPr>
        <w:t>the</w:t>
      </w:r>
      <w:r>
        <w:rPr>
          <w:spacing w:val="-10"/>
          <w:sz w:val="22"/>
        </w:rPr>
        <w:t> </w:t>
      </w:r>
      <w:r>
        <w:rPr>
          <w:i/>
          <w:sz w:val="22"/>
        </w:rPr>
        <w:t>Customer</w:t>
      </w:r>
      <w:r>
        <w:rPr>
          <w:i/>
          <w:spacing w:val="-8"/>
          <w:sz w:val="22"/>
        </w:rPr>
        <w:t> </w:t>
      </w:r>
      <w:r>
        <w:rPr>
          <w:i/>
          <w:sz w:val="22"/>
        </w:rPr>
        <w:t>Service</w:t>
      </w:r>
      <w:r>
        <w:rPr>
          <w:i/>
          <w:spacing w:val="-9"/>
          <w:sz w:val="22"/>
        </w:rPr>
        <w:t> </w:t>
      </w:r>
      <w:r>
        <w:rPr>
          <w:i/>
          <w:sz w:val="22"/>
        </w:rPr>
        <w:t>Strategy</w:t>
      </w:r>
      <w:r>
        <w:rPr>
          <w:i/>
          <w:spacing w:val="-9"/>
          <w:sz w:val="22"/>
        </w:rPr>
        <w:t> </w:t>
      </w:r>
      <w:r>
        <w:rPr>
          <w:i/>
          <w:sz w:val="22"/>
        </w:rPr>
        <w:t>2025-2029</w:t>
      </w:r>
      <w:r>
        <w:rPr>
          <w:i/>
          <w:spacing w:val="-11"/>
          <w:sz w:val="22"/>
        </w:rPr>
        <w:t> </w:t>
      </w:r>
      <w:r>
        <w:rPr>
          <w:sz w:val="22"/>
        </w:rPr>
        <w:t>to</w:t>
      </w:r>
      <w:r>
        <w:rPr>
          <w:spacing w:val="-11"/>
          <w:sz w:val="22"/>
        </w:rPr>
        <w:t> </w:t>
      </w:r>
      <w:r>
        <w:rPr>
          <w:sz w:val="22"/>
        </w:rPr>
        <w:t>continue</w:t>
      </w:r>
      <w:r>
        <w:rPr>
          <w:spacing w:val="-11"/>
          <w:sz w:val="22"/>
        </w:rPr>
        <w:t> </w:t>
      </w:r>
      <w:r>
        <w:rPr>
          <w:sz w:val="22"/>
        </w:rPr>
        <w:t>to</w:t>
      </w:r>
      <w:r>
        <w:rPr>
          <w:spacing w:val="-13"/>
          <w:sz w:val="22"/>
        </w:rPr>
        <w:t> </w:t>
      </w:r>
      <w:r>
        <w:rPr>
          <w:sz w:val="22"/>
        </w:rPr>
        <w:t>advance</w:t>
      </w:r>
      <w:r>
        <w:rPr>
          <w:spacing w:val="-13"/>
          <w:sz w:val="22"/>
        </w:rPr>
        <w:t> </w:t>
      </w:r>
      <w:r>
        <w:rPr>
          <w:sz w:val="22"/>
        </w:rPr>
        <w:t>Council’s</w:t>
      </w:r>
      <w:r>
        <w:rPr>
          <w:spacing w:val="-9"/>
          <w:sz w:val="22"/>
        </w:rPr>
        <w:t> </w:t>
      </w:r>
      <w:r>
        <w:rPr>
          <w:sz w:val="22"/>
        </w:rPr>
        <w:t>commitment</w:t>
      </w:r>
      <w:r>
        <w:rPr>
          <w:spacing w:val="-9"/>
          <w:sz w:val="22"/>
        </w:rPr>
        <w:t> </w:t>
      </w:r>
      <w:r>
        <w:rPr>
          <w:sz w:val="22"/>
        </w:rPr>
        <w:t>to</w:t>
      </w:r>
      <w:r>
        <w:rPr>
          <w:spacing w:val="-13"/>
          <w:sz w:val="22"/>
        </w:rPr>
        <w:t> </w:t>
      </w:r>
      <w:r>
        <w:rPr>
          <w:sz w:val="22"/>
        </w:rPr>
        <w:t>be highly responsive and customer focused.</w:t>
      </w:r>
    </w:p>
    <w:p>
      <w:pPr>
        <w:pStyle w:val="ListParagraph"/>
        <w:numPr>
          <w:ilvl w:val="0"/>
          <w:numId w:val="13"/>
        </w:numPr>
        <w:tabs>
          <w:tab w:pos="959" w:val="left" w:leader="none"/>
          <w:tab w:pos="960" w:val="left" w:leader="none"/>
        </w:tabs>
        <w:spacing w:line="240" w:lineRule="auto" w:before="0" w:after="0"/>
        <w:ind w:left="958" w:right="405" w:hanging="567"/>
        <w:jc w:val="left"/>
        <w:rPr>
          <w:sz w:val="22"/>
        </w:rPr>
      </w:pPr>
      <w:r>
        <w:rPr>
          <w:sz w:val="22"/>
        </w:rPr>
        <w:t>Work</w:t>
      </w:r>
      <w:r>
        <w:rPr>
          <w:spacing w:val="-13"/>
          <w:sz w:val="22"/>
        </w:rPr>
        <w:t> </w:t>
      </w:r>
      <w:r>
        <w:rPr>
          <w:sz w:val="22"/>
        </w:rPr>
        <w:t>in</w:t>
      </w:r>
      <w:r>
        <w:rPr>
          <w:spacing w:val="-11"/>
          <w:sz w:val="22"/>
        </w:rPr>
        <w:t> </w:t>
      </w:r>
      <w:r>
        <w:rPr>
          <w:sz w:val="22"/>
        </w:rPr>
        <w:t>partnership</w:t>
      </w:r>
      <w:r>
        <w:rPr>
          <w:spacing w:val="-12"/>
          <w:sz w:val="22"/>
        </w:rPr>
        <w:t> </w:t>
      </w:r>
      <w:r>
        <w:rPr>
          <w:sz w:val="22"/>
        </w:rPr>
        <w:t>with</w:t>
      </w:r>
      <w:r>
        <w:rPr>
          <w:spacing w:val="-14"/>
          <w:sz w:val="22"/>
        </w:rPr>
        <w:t> </w:t>
      </w:r>
      <w:r>
        <w:rPr>
          <w:sz w:val="22"/>
        </w:rPr>
        <w:t>the</w:t>
      </w:r>
      <w:r>
        <w:rPr>
          <w:spacing w:val="-11"/>
          <w:sz w:val="22"/>
        </w:rPr>
        <w:t> </w:t>
      </w:r>
      <w:r>
        <w:rPr>
          <w:sz w:val="22"/>
        </w:rPr>
        <w:t>Victorian</w:t>
      </w:r>
      <w:r>
        <w:rPr>
          <w:spacing w:val="-14"/>
          <w:sz w:val="22"/>
        </w:rPr>
        <w:t> </w:t>
      </w:r>
      <w:r>
        <w:rPr>
          <w:sz w:val="22"/>
        </w:rPr>
        <w:t>Electoral</w:t>
      </w:r>
      <w:r>
        <w:rPr>
          <w:spacing w:val="-13"/>
          <w:sz w:val="22"/>
        </w:rPr>
        <w:t> </w:t>
      </w:r>
      <w:r>
        <w:rPr>
          <w:sz w:val="22"/>
        </w:rPr>
        <w:t>Commission</w:t>
      </w:r>
      <w:r>
        <w:rPr>
          <w:spacing w:val="-12"/>
          <w:sz w:val="22"/>
        </w:rPr>
        <w:t> </w:t>
      </w:r>
      <w:r>
        <w:rPr>
          <w:sz w:val="22"/>
        </w:rPr>
        <w:t>to</w:t>
      </w:r>
      <w:r>
        <w:rPr>
          <w:spacing w:val="-14"/>
          <w:sz w:val="22"/>
        </w:rPr>
        <w:t> </w:t>
      </w:r>
      <w:r>
        <w:rPr>
          <w:sz w:val="22"/>
        </w:rPr>
        <w:t>coordinate</w:t>
      </w:r>
      <w:r>
        <w:rPr>
          <w:spacing w:val="-12"/>
          <w:sz w:val="22"/>
        </w:rPr>
        <w:t> </w:t>
      </w:r>
      <w:r>
        <w:rPr>
          <w:sz w:val="22"/>
        </w:rPr>
        <w:t>a</w:t>
      </w:r>
      <w:r>
        <w:rPr>
          <w:spacing w:val="-14"/>
          <w:sz w:val="22"/>
        </w:rPr>
        <w:t> </w:t>
      </w:r>
      <w:r>
        <w:rPr>
          <w:sz w:val="22"/>
        </w:rPr>
        <w:t>Council</w:t>
      </w:r>
      <w:r>
        <w:rPr>
          <w:spacing w:val="-13"/>
          <w:sz w:val="22"/>
        </w:rPr>
        <w:t> </w:t>
      </w:r>
      <w:r>
        <w:rPr>
          <w:sz w:val="22"/>
        </w:rPr>
        <w:t>Election</w:t>
      </w:r>
      <w:r>
        <w:rPr>
          <w:spacing w:val="-11"/>
          <w:sz w:val="22"/>
        </w:rPr>
        <w:t> </w:t>
      </w:r>
      <w:r>
        <w:rPr>
          <w:sz w:val="22"/>
        </w:rPr>
        <w:t>in</w:t>
      </w:r>
      <w:r>
        <w:rPr>
          <w:spacing w:val="-14"/>
          <w:sz w:val="22"/>
        </w:rPr>
        <w:t> </w:t>
      </w:r>
      <w:r>
        <w:rPr>
          <w:sz w:val="22"/>
        </w:rPr>
        <w:t>October 2024 for the 2024-2028 period.</w:t>
      </w:r>
    </w:p>
    <w:p>
      <w:pPr>
        <w:pStyle w:val="ListParagraph"/>
        <w:numPr>
          <w:ilvl w:val="0"/>
          <w:numId w:val="13"/>
        </w:numPr>
        <w:tabs>
          <w:tab w:pos="959" w:val="left" w:leader="none"/>
          <w:tab w:pos="960" w:val="left" w:leader="none"/>
        </w:tabs>
        <w:spacing w:line="240" w:lineRule="auto" w:before="0" w:after="0"/>
        <w:ind w:left="958" w:right="402" w:hanging="567"/>
        <w:jc w:val="left"/>
        <w:rPr>
          <w:sz w:val="22"/>
        </w:rPr>
      </w:pPr>
      <w:r>
        <w:rPr>
          <w:sz w:val="22"/>
        </w:rPr>
        <w:t>Develop</w:t>
      </w:r>
      <w:r>
        <w:rPr>
          <w:spacing w:val="-2"/>
          <w:sz w:val="22"/>
        </w:rPr>
        <w:t> </w:t>
      </w:r>
      <w:r>
        <w:rPr>
          <w:sz w:val="22"/>
        </w:rPr>
        <w:t>a</w:t>
      </w:r>
      <w:r>
        <w:rPr>
          <w:spacing w:val="-4"/>
          <w:sz w:val="22"/>
        </w:rPr>
        <w:t> </w:t>
      </w:r>
      <w:r>
        <w:rPr>
          <w:sz w:val="22"/>
        </w:rPr>
        <w:t>strategy</w:t>
      </w:r>
      <w:r>
        <w:rPr>
          <w:spacing w:val="-4"/>
          <w:sz w:val="22"/>
        </w:rPr>
        <w:t> </w:t>
      </w:r>
      <w:r>
        <w:rPr>
          <w:sz w:val="22"/>
        </w:rPr>
        <w:t>for</w:t>
      </w:r>
      <w:r>
        <w:rPr>
          <w:spacing w:val="-2"/>
          <w:sz w:val="22"/>
        </w:rPr>
        <w:t> </w:t>
      </w:r>
      <w:r>
        <w:rPr>
          <w:sz w:val="22"/>
        </w:rPr>
        <w:t>Connected</w:t>
      </w:r>
      <w:r>
        <w:rPr>
          <w:spacing w:val="-2"/>
          <w:sz w:val="22"/>
        </w:rPr>
        <w:t> </w:t>
      </w:r>
      <w:r>
        <w:rPr>
          <w:sz w:val="22"/>
        </w:rPr>
        <w:t>Communities</w:t>
      </w:r>
      <w:r>
        <w:rPr>
          <w:spacing w:val="-4"/>
          <w:sz w:val="22"/>
        </w:rPr>
        <w:t> </w:t>
      </w:r>
      <w:r>
        <w:rPr>
          <w:sz w:val="22"/>
        </w:rPr>
        <w:t>involving</w:t>
      </w:r>
      <w:r>
        <w:rPr>
          <w:spacing w:val="-4"/>
          <w:sz w:val="22"/>
        </w:rPr>
        <w:t> </w:t>
      </w:r>
      <w:r>
        <w:rPr>
          <w:sz w:val="22"/>
        </w:rPr>
        <w:t>digitising</w:t>
      </w:r>
      <w:r>
        <w:rPr>
          <w:spacing w:val="-2"/>
          <w:sz w:val="22"/>
        </w:rPr>
        <w:t> </w:t>
      </w:r>
      <w:r>
        <w:rPr>
          <w:sz w:val="22"/>
        </w:rPr>
        <w:t>metrics</w:t>
      </w:r>
      <w:r>
        <w:rPr>
          <w:spacing w:val="-2"/>
          <w:sz w:val="22"/>
        </w:rPr>
        <w:t> </w:t>
      </w:r>
      <w:r>
        <w:rPr>
          <w:sz w:val="22"/>
        </w:rPr>
        <w:t>to</w:t>
      </w:r>
      <w:r>
        <w:rPr>
          <w:spacing w:val="-1"/>
          <w:sz w:val="22"/>
        </w:rPr>
        <w:t> </w:t>
      </w:r>
      <w:r>
        <w:rPr>
          <w:sz w:val="22"/>
        </w:rPr>
        <w:t>understand</w:t>
      </w:r>
      <w:r>
        <w:rPr>
          <w:spacing w:val="-2"/>
          <w:sz w:val="22"/>
        </w:rPr>
        <w:t> </w:t>
      </w:r>
      <w:r>
        <w:rPr>
          <w:sz w:val="22"/>
        </w:rPr>
        <w:t>and</w:t>
      </w:r>
      <w:r>
        <w:rPr>
          <w:spacing w:val="-4"/>
          <w:sz w:val="22"/>
        </w:rPr>
        <w:t> </w:t>
      </w:r>
      <w:r>
        <w:rPr>
          <w:sz w:val="22"/>
        </w:rPr>
        <w:t>respond efficiently to community needs.</w:t>
      </w:r>
    </w:p>
    <w:p>
      <w:pPr>
        <w:pStyle w:val="ListParagraph"/>
        <w:numPr>
          <w:ilvl w:val="0"/>
          <w:numId w:val="13"/>
        </w:numPr>
        <w:tabs>
          <w:tab w:pos="959" w:val="left" w:leader="none"/>
          <w:tab w:pos="960" w:val="left" w:leader="none"/>
        </w:tabs>
        <w:spacing w:line="240" w:lineRule="auto" w:before="0" w:after="0"/>
        <w:ind w:left="958" w:right="401" w:hanging="567"/>
        <w:jc w:val="left"/>
        <w:rPr>
          <w:sz w:val="22"/>
        </w:rPr>
      </w:pPr>
      <w:r>
        <w:rPr>
          <w:sz w:val="22"/>
        </w:rPr>
        <w:t>Enhance</w:t>
      </w:r>
      <w:r>
        <w:rPr>
          <w:spacing w:val="-7"/>
          <w:sz w:val="22"/>
        </w:rPr>
        <w:t> </w:t>
      </w:r>
      <w:r>
        <w:rPr>
          <w:sz w:val="22"/>
        </w:rPr>
        <w:t>connections</w:t>
      </w:r>
      <w:r>
        <w:rPr>
          <w:spacing w:val="-7"/>
          <w:sz w:val="22"/>
        </w:rPr>
        <w:t> </w:t>
      </w:r>
      <w:r>
        <w:rPr>
          <w:sz w:val="22"/>
        </w:rPr>
        <w:t>between</w:t>
      </w:r>
      <w:r>
        <w:rPr>
          <w:spacing w:val="-7"/>
          <w:sz w:val="22"/>
        </w:rPr>
        <w:t> </w:t>
      </w:r>
      <w:r>
        <w:rPr>
          <w:sz w:val="22"/>
        </w:rPr>
        <w:t>Council's</w:t>
      </w:r>
      <w:r>
        <w:rPr>
          <w:spacing w:val="-9"/>
          <w:sz w:val="22"/>
        </w:rPr>
        <w:t> </w:t>
      </w:r>
      <w:r>
        <w:rPr>
          <w:sz w:val="22"/>
        </w:rPr>
        <w:t>statutory</w:t>
      </w:r>
      <w:r>
        <w:rPr>
          <w:spacing w:val="-9"/>
          <w:sz w:val="22"/>
        </w:rPr>
        <w:t> </w:t>
      </w:r>
      <w:r>
        <w:rPr>
          <w:sz w:val="22"/>
        </w:rPr>
        <w:t>committees</w:t>
      </w:r>
      <w:r>
        <w:rPr>
          <w:spacing w:val="-9"/>
          <w:sz w:val="22"/>
        </w:rPr>
        <w:t> </w:t>
      </w:r>
      <w:r>
        <w:rPr>
          <w:sz w:val="22"/>
        </w:rPr>
        <w:t>(including</w:t>
      </w:r>
      <w:r>
        <w:rPr>
          <w:spacing w:val="-9"/>
          <w:sz w:val="22"/>
        </w:rPr>
        <w:t> </w:t>
      </w:r>
      <w:r>
        <w:rPr>
          <w:sz w:val="22"/>
        </w:rPr>
        <w:t>advisory</w:t>
      </w:r>
      <w:r>
        <w:rPr>
          <w:spacing w:val="-7"/>
          <w:sz w:val="22"/>
        </w:rPr>
        <w:t> </w:t>
      </w:r>
      <w:r>
        <w:rPr>
          <w:sz w:val="22"/>
        </w:rPr>
        <w:t>committees)</w:t>
      </w:r>
      <w:r>
        <w:rPr>
          <w:spacing w:val="-10"/>
          <w:sz w:val="22"/>
        </w:rPr>
        <w:t> </w:t>
      </w:r>
      <w:r>
        <w:rPr>
          <w:sz w:val="22"/>
        </w:rPr>
        <w:t>and</w:t>
      </w:r>
      <w:r>
        <w:rPr>
          <w:spacing w:val="-11"/>
          <w:sz w:val="22"/>
        </w:rPr>
        <w:t> </w:t>
      </w:r>
      <w:r>
        <w:rPr>
          <w:sz w:val="22"/>
        </w:rPr>
        <w:t>the Integrated Planning Framework to ensure alignment with emerging community priorities.</w:t>
      </w:r>
    </w:p>
    <w:p>
      <w:pPr>
        <w:pStyle w:val="ListParagraph"/>
        <w:numPr>
          <w:ilvl w:val="0"/>
          <w:numId w:val="13"/>
        </w:numPr>
        <w:tabs>
          <w:tab w:pos="959" w:val="left" w:leader="none"/>
          <w:tab w:pos="960" w:val="left" w:leader="none"/>
        </w:tabs>
        <w:spacing w:line="240" w:lineRule="auto" w:before="0" w:after="0"/>
        <w:ind w:left="958" w:right="405" w:hanging="567"/>
        <w:jc w:val="left"/>
        <w:rPr>
          <w:sz w:val="22"/>
        </w:rPr>
      </w:pPr>
      <w:r>
        <w:rPr>
          <w:sz w:val="22"/>
        </w:rPr>
        <w:t>Engage the community in developing a new Community Vision and prepare the </w:t>
      </w:r>
      <w:r>
        <w:rPr>
          <w:i/>
          <w:sz w:val="22"/>
        </w:rPr>
        <w:t>Council Plan 2025-</w:t>
      </w:r>
      <w:r>
        <w:rPr>
          <w:i/>
          <w:spacing w:val="80"/>
          <w:sz w:val="22"/>
        </w:rPr>
        <w:t> </w:t>
      </w:r>
      <w:r>
        <w:rPr>
          <w:i/>
          <w:sz w:val="22"/>
        </w:rPr>
        <w:t>2029 </w:t>
      </w:r>
      <w:r>
        <w:rPr>
          <w:sz w:val="22"/>
        </w:rPr>
        <w:t>following election of a new Council.</w:t>
      </w:r>
    </w:p>
    <w:p>
      <w:pPr>
        <w:pStyle w:val="ListParagraph"/>
        <w:numPr>
          <w:ilvl w:val="0"/>
          <w:numId w:val="13"/>
        </w:numPr>
        <w:tabs>
          <w:tab w:pos="959" w:val="left" w:leader="none"/>
          <w:tab w:pos="960" w:val="left" w:leader="none"/>
        </w:tabs>
        <w:spacing w:line="251" w:lineRule="exact" w:before="0" w:after="0"/>
        <w:ind w:left="959" w:right="0" w:hanging="569"/>
        <w:jc w:val="left"/>
        <w:rPr>
          <w:sz w:val="22"/>
        </w:rPr>
      </w:pPr>
      <w:r>
        <w:rPr>
          <w:sz w:val="22"/>
        </w:rPr>
        <w:t>Undertake</w:t>
      </w:r>
      <w:r>
        <w:rPr>
          <w:spacing w:val="-5"/>
          <w:sz w:val="22"/>
        </w:rPr>
        <w:t> </w:t>
      </w:r>
      <w:r>
        <w:rPr>
          <w:sz w:val="22"/>
        </w:rPr>
        <w:t>a</w:t>
      </w:r>
      <w:r>
        <w:rPr>
          <w:spacing w:val="-4"/>
          <w:sz w:val="22"/>
        </w:rPr>
        <w:t> </w:t>
      </w:r>
      <w:r>
        <w:rPr>
          <w:sz w:val="22"/>
        </w:rPr>
        <w:t>review</w:t>
      </w:r>
      <w:r>
        <w:rPr>
          <w:spacing w:val="-3"/>
          <w:sz w:val="22"/>
        </w:rPr>
        <w:t> </w:t>
      </w:r>
      <w:r>
        <w:rPr>
          <w:sz w:val="22"/>
        </w:rPr>
        <w:t>of</w:t>
      </w:r>
      <w:r>
        <w:rPr>
          <w:spacing w:val="-2"/>
          <w:sz w:val="22"/>
        </w:rPr>
        <w:t> </w:t>
      </w:r>
      <w:r>
        <w:rPr>
          <w:sz w:val="22"/>
        </w:rPr>
        <w:t>a</w:t>
      </w:r>
      <w:r>
        <w:rPr>
          <w:spacing w:val="-5"/>
          <w:sz w:val="22"/>
        </w:rPr>
        <w:t> </w:t>
      </w:r>
      <w:r>
        <w:rPr>
          <w:sz w:val="22"/>
        </w:rPr>
        <w:t>range</w:t>
      </w:r>
      <w:r>
        <w:rPr>
          <w:spacing w:val="-2"/>
          <w:sz w:val="22"/>
        </w:rPr>
        <w:t> </w:t>
      </w:r>
      <w:r>
        <w:rPr>
          <w:sz w:val="22"/>
        </w:rPr>
        <w:t>of Council</w:t>
      </w:r>
      <w:r>
        <w:rPr>
          <w:spacing w:val="-6"/>
          <w:sz w:val="22"/>
        </w:rPr>
        <w:t> </w:t>
      </w:r>
      <w:r>
        <w:rPr>
          <w:sz w:val="22"/>
        </w:rPr>
        <w:t>technological</w:t>
      </w:r>
      <w:r>
        <w:rPr>
          <w:spacing w:val="-2"/>
          <w:sz w:val="22"/>
        </w:rPr>
        <w:t> systems.</w:t>
      </w:r>
    </w:p>
    <w:p>
      <w:pPr>
        <w:pStyle w:val="ListParagraph"/>
        <w:numPr>
          <w:ilvl w:val="0"/>
          <w:numId w:val="13"/>
        </w:numPr>
        <w:tabs>
          <w:tab w:pos="959" w:val="left" w:leader="none"/>
          <w:tab w:pos="960" w:val="left" w:leader="none"/>
        </w:tabs>
        <w:spacing w:line="240" w:lineRule="auto" w:before="2" w:after="0"/>
        <w:ind w:left="959" w:right="0" w:hanging="569"/>
        <w:jc w:val="left"/>
        <w:rPr>
          <w:sz w:val="22"/>
        </w:rPr>
      </w:pPr>
      <w:r>
        <w:rPr>
          <w:sz w:val="22"/>
        </w:rPr>
        <w:t>Evolve</w:t>
      </w:r>
      <w:r>
        <w:rPr>
          <w:spacing w:val="-6"/>
          <w:sz w:val="22"/>
        </w:rPr>
        <w:t> </w:t>
      </w:r>
      <w:r>
        <w:rPr>
          <w:sz w:val="22"/>
        </w:rPr>
        <w:t>organisational</w:t>
      </w:r>
      <w:r>
        <w:rPr>
          <w:spacing w:val="-5"/>
          <w:sz w:val="22"/>
        </w:rPr>
        <w:t> </w:t>
      </w:r>
      <w:r>
        <w:rPr>
          <w:sz w:val="22"/>
        </w:rPr>
        <w:t>capacity</w:t>
      </w:r>
      <w:r>
        <w:rPr>
          <w:spacing w:val="-5"/>
          <w:sz w:val="22"/>
        </w:rPr>
        <w:t> </w:t>
      </w:r>
      <w:r>
        <w:rPr>
          <w:sz w:val="22"/>
        </w:rPr>
        <w:t>and</w:t>
      </w:r>
      <w:r>
        <w:rPr>
          <w:spacing w:val="-6"/>
          <w:sz w:val="22"/>
        </w:rPr>
        <w:t> </w:t>
      </w:r>
      <w:r>
        <w:rPr>
          <w:sz w:val="22"/>
        </w:rPr>
        <w:t>implement</w:t>
      </w:r>
      <w:r>
        <w:rPr>
          <w:spacing w:val="-3"/>
          <w:sz w:val="22"/>
        </w:rPr>
        <w:t> </w:t>
      </w:r>
      <w:r>
        <w:rPr>
          <w:sz w:val="22"/>
        </w:rPr>
        <w:t>systems</w:t>
      </w:r>
      <w:r>
        <w:rPr>
          <w:spacing w:val="-6"/>
          <w:sz w:val="22"/>
        </w:rPr>
        <w:t> </w:t>
      </w:r>
      <w:r>
        <w:rPr>
          <w:sz w:val="22"/>
        </w:rPr>
        <w:t>to</w:t>
      </w:r>
      <w:r>
        <w:rPr>
          <w:spacing w:val="-7"/>
          <w:sz w:val="22"/>
        </w:rPr>
        <w:t> </w:t>
      </w:r>
      <w:r>
        <w:rPr>
          <w:sz w:val="22"/>
        </w:rPr>
        <w:t>minimise</w:t>
      </w:r>
      <w:r>
        <w:rPr>
          <w:spacing w:val="-3"/>
          <w:sz w:val="22"/>
        </w:rPr>
        <w:t> </w:t>
      </w:r>
      <w:r>
        <w:rPr>
          <w:sz w:val="22"/>
        </w:rPr>
        <w:t>risks</w:t>
      </w:r>
      <w:r>
        <w:rPr>
          <w:spacing w:val="-5"/>
          <w:sz w:val="22"/>
        </w:rPr>
        <w:t> </w:t>
      </w:r>
      <w:r>
        <w:rPr>
          <w:sz w:val="22"/>
        </w:rPr>
        <w:t>to</w:t>
      </w:r>
      <w:r>
        <w:rPr>
          <w:spacing w:val="-4"/>
          <w:sz w:val="22"/>
        </w:rPr>
        <w:t> </w:t>
      </w:r>
      <w:r>
        <w:rPr>
          <w:sz w:val="22"/>
        </w:rPr>
        <w:t>cybersecurity</w:t>
      </w:r>
      <w:r>
        <w:rPr>
          <w:spacing w:val="-4"/>
          <w:sz w:val="22"/>
        </w:rPr>
        <w:t> </w:t>
      </w:r>
      <w:r>
        <w:rPr>
          <w:spacing w:val="-2"/>
          <w:sz w:val="22"/>
        </w:rPr>
        <w:t>impacts.</w:t>
      </w:r>
    </w:p>
    <w:p>
      <w:pPr>
        <w:spacing w:after="0" w:line="240" w:lineRule="auto"/>
        <w:jc w:val="left"/>
        <w:rPr>
          <w:sz w:val="22"/>
        </w:rPr>
        <w:sectPr>
          <w:pgSz w:w="11910" w:h="16840"/>
          <w:pgMar w:header="0" w:footer="426" w:top="380" w:bottom="620" w:left="460" w:right="160"/>
        </w:sectPr>
      </w:pPr>
    </w:p>
    <w:p>
      <w:pPr>
        <w:pStyle w:val="ListParagraph"/>
        <w:numPr>
          <w:ilvl w:val="0"/>
          <w:numId w:val="13"/>
        </w:numPr>
        <w:tabs>
          <w:tab w:pos="959" w:val="left" w:leader="none"/>
          <w:tab w:pos="960" w:val="left" w:leader="none"/>
        </w:tabs>
        <w:spacing w:line="240" w:lineRule="auto" w:before="69" w:after="0"/>
        <w:ind w:left="958" w:right="404" w:hanging="567"/>
        <w:jc w:val="left"/>
        <w:rPr>
          <w:sz w:val="22"/>
        </w:rPr>
      </w:pPr>
      <w:r>
        <w:rPr>
          <w:sz w:val="22"/>
        </w:rPr>
        <w:t>Implement the Council Caretaker Policy for the Council election in October 2024 and transition to the new Council following the election.</w:t>
      </w:r>
    </w:p>
    <w:p>
      <w:pPr>
        <w:pStyle w:val="BodyText"/>
        <w:rPr>
          <w:sz w:val="24"/>
        </w:rPr>
      </w:pPr>
    </w:p>
    <w:p>
      <w:pPr>
        <w:spacing w:before="175"/>
        <w:ind w:left="391" w:right="0" w:firstLine="0"/>
        <w:jc w:val="left"/>
        <w:rPr>
          <w:b/>
          <w:sz w:val="22"/>
        </w:rPr>
      </w:pPr>
      <w:r>
        <w:rPr>
          <w:b/>
          <w:sz w:val="22"/>
        </w:rPr>
        <w:t>Service</w:t>
      </w:r>
      <w:r>
        <w:rPr>
          <w:b/>
          <w:spacing w:val="-5"/>
          <w:sz w:val="22"/>
        </w:rPr>
        <w:t> </w:t>
      </w:r>
      <w:r>
        <w:rPr>
          <w:b/>
          <w:sz w:val="22"/>
        </w:rPr>
        <w:t>Performance</w:t>
      </w:r>
      <w:r>
        <w:rPr>
          <w:b/>
          <w:spacing w:val="-8"/>
          <w:sz w:val="22"/>
        </w:rPr>
        <w:t> </w:t>
      </w:r>
      <w:r>
        <w:rPr>
          <w:b/>
          <w:spacing w:val="-2"/>
          <w:sz w:val="22"/>
        </w:rPr>
        <w:t>Indicators</w:t>
      </w:r>
    </w:p>
    <w:p>
      <w:pPr>
        <w:pStyle w:val="BodyText"/>
        <w:spacing w:after="1"/>
        <w:rPr>
          <w:b/>
        </w:rPr>
      </w:pPr>
    </w:p>
    <w:tbl>
      <w:tblPr>
        <w:tblW w:w="0" w:type="auto"/>
        <w:jc w:val="left"/>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87"/>
        <w:gridCol w:w="1688"/>
        <w:gridCol w:w="3953"/>
        <w:gridCol w:w="3250"/>
      </w:tblGrid>
      <w:tr>
        <w:trPr>
          <w:trHeight w:val="510" w:hRule="atLeast"/>
        </w:trPr>
        <w:tc>
          <w:tcPr>
            <w:tcW w:w="1587" w:type="dxa"/>
            <w:tcBorders>
              <w:right w:val="nil"/>
            </w:tcBorders>
            <w:shd w:val="clear" w:color="auto" w:fill="629CD1"/>
          </w:tcPr>
          <w:p>
            <w:pPr>
              <w:pStyle w:val="TableParagraph"/>
              <w:spacing w:before="129"/>
              <w:ind w:left="107"/>
              <w:rPr>
                <w:b/>
                <w:sz w:val="22"/>
              </w:rPr>
            </w:pPr>
            <w:r>
              <w:rPr>
                <w:b/>
                <w:spacing w:val="-2"/>
                <w:sz w:val="22"/>
              </w:rPr>
              <w:t>Service</w:t>
            </w:r>
          </w:p>
        </w:tc>
        <w:tc>
          <w:tcPr>
            <w:tcW w:w="1688" w:type="dxa"/>
            <w:tcBorders>
              <w:left w:val="nil"/>
              <w:right w:val="nil"/>
            </w:tcBorders>
            <w:shd w:val="clear" w:color="auto" w:fill="629CD1"/>
          </w:tcPr>
          <w:p>
            <w:pPr>
              <w:pStyle w:val="TableParagraph"/>
              <w:spacing w:before="129"/>
              <w:ind w:left="285"/>
              <w:rPr>
                <w:b/>
                <w:sz w:val="22"/>
              </w:rPr>
            </w:pPr>
            <w:r>
              <w:rPr>
                <w:b/>
                <w:spacing w:val="-2"/>
                <w:sz w:val="22"/>
              </w:rPr>
              <w:t>Indicator</w:t>
            </w:r>
          </w:p>
        </w:tc>
        <w:tc>
          <w:tcPr>
            <w:tcW w:w="3953" w:type="dxa"/>
            <w:tcBorders>
              <w:left w:val="nil"/>
              <w:right w:val="nil"/>
            </w:tcBorders>
            <w:shd w:val="clear" w:color="auto" w:fill="629CD1"/>
          </w:tcPr>
          <w:p>
            <w:pPr>
              <w:pStyle w:val="TableParagraph"/>
              <w:spacing w:before="129"/>
              <w:ind w:left="188"/>
              <w:rPr>
                <w:b/>
                <w:sz w:val="22"/>
              </w:rPr>
            </w:pPr>
            <w:r>
              <w:rPr>
                <w:b/>
                <w:sz w:val="22"/>
              </w:rPr>
              <w:t>Performance</w:t>
            </w:r>
            <w:r>
              <w:rPr>
                <w:b/>
                <w:spacing w:val="-8"/>
                <w:sz w:val="22"/>
              </w:rPr>
              <w:t> </w:t>
            </w:r>
            <w:r>
              <w:rPr>
                <w:b/>
                <w:spacing w:val="-2"/>
                <w:sz w:val="22"/>
              </w:rPr>
              <w:t>Measure</w:t>
            </w:r>
          </w:p>
        </w:tc>
        <w:tc>
          <w:tcPr>
            <w:tcW w:w="3250" w:type="dxa"/>
            <w:tcBorders>
              <w:left w:val="nil"/>
            </w:tcBorders>
            <w:shd w:val="clear" w:color="auto" w:fill="629CD1"/>
          </w:tcPr>
          <w:p>
            <w:pPr>
              <w:pStyle w:val="TableParagraph"/>
              <w:spacing w:before="129"/>
              <w:ind w:left="197"/>
              <w:rPr>
                <w:b/>
                <w:sz w:val="22"/>
              </w:rPr>
            </w:pPr>
            <w:r>
              <w:rPr>
                <w:b/>
                <w:spacing w:val="-2"/>
                <w:sz w:val="22"/>
              </w:rPr>
              <w:t>Computation</w:t>
            </w:r>
          </w:p>
        </w:tc>
      </w:tr>
      <w:tr>
        <w:trPr>
          <w:trHeight w:val="1264" w:hRule="atLeast"/>
        </w:trPr>
        <w:tc>
          <w:tcPr>
            <w:tcW w:w="1587" w:type="dxa"/>
            <w:tcBorders>
              <w:right w:val="nil"/>
            </w:tcBorders>
          </w:tcPr>
          <w:p>
            <w:pPr>
              <w:pStyle w:val="TableParagraph"/>
              <w:ind w:left="107"/>
              <w:rPr>
                <w:sz w:val="22"/>
              </w:rPr>
            </w:pPr>
            <w:r>
              <w:rPr>
                <w:spacing w:val="-2"/>
                <w:sz w:val="22"/>
              </w:rPr>
              <w:t>Governance</w:t>
            </w:r>
          </w:p>
        </w:tc>
        <w:tc>
          <w:tcPr>
            <w:tcW w:w="1688" w:type="dxa"/>
            <w:tcBorders>
              <w:left w:val="nil"/>
              <w:right w:val="nil"/>
            </w:tcBorders>
          </w:tcPr>
          <w:p>
            <w:pPr>
              <w:pStyle w:val="TableParagraph"/>
              <w:ind w:left="285" w:hanging="1"/>
              <w:rPr>
                <w:sz w:val="22"/>
              </w:rPr>
            </w:pPr>
            <w:r>
              <w:rPr>
                <w:spacing w:val="-2"/>
                <w:sz w:val="22"/>
              </w:rPr>
              <w:t>Consultation </w:t>
            </w:r>
            <w:r>
              <w:rPr>
                <w:spacing w:val="-4"/>
                <w:sz w:val="22"/>
              </w:rPr>
              <w:t>and </w:t>
            </w:r>
            <w:r>
              <w:rPr>
                <w:spacing w:val="-2"/>
                <w:sz w:val="22"/>
              </w:rPr>
              <w:t>engagement</w:t>
            </w:r>
          </w:p>
        </w:tc>
        <w:tc>
          <w:tcPr>
            <w:tcW w:w="3953" w:type="dxa"/>
            <w:tcBorders>
              <w:left w:val="nil"/>
              <w:right w:val="nil"/>
            </w:tcBorders>
          </w:tcPr>
          <w:p>
            <w:pPr>
              <w:pStyle w:val="TableParagraph"/>
              <w:ind w:left="188"/>
              <w:rPr>
                <w:sz w:val="22"/>
              </w:rPr>
            </w:pPr>
            <w:r>
              <w:rPr>
                <w:sz w:val="22"/>
              </w:rPr>
              <w:t>Satisfaction with community consultation and engagement. (Community</w:t>
            </w:r>
            <w:r>
              <w:rPr>
                <w:spacing w:val="-11"/>
                <w:sz w:val="22"/>
              </w:rPr>
              <w:t> </w:t>
            </w:r>
            <w:r>
              <w:rPr>
                <w:sz w:val="22"/>
              </w:rPr>
              <w:t>satisfaction</w:t>
            </w:r>
            <w:r>
              <w:rPr>
                <w:spacing w:val="-11"/>
                <w:sz w:val="22"/>
              </w:rPr>
              <w:t> </w:t>
            </w:r>
            <w:r>
              <w:rPr>
                <w:sz w:val="22"/>
              </w:rPr>
              <w:t>rating</w:t>
            </w:r>
            <w:r>
              <w:rPr>
                <w:spacing w:val="-9"/>
                <w:sz w:val="22"/>
              </w:rPr>
              <w:t> </w:t>
            </w:r>
            <w:r>
              <w:rPr>
                <w:sz w:val="22"/>
              </w:rPr>
              <w:t>out</w:t>
            </w:r>
            <w:r>
              <w:rPr>
                <w:spacing w:val="-7"/>
                <w:sz w:val="22"/>
              </w:rPr>
              <w:t> </w:t>
            </w:r>
            <w:r>
              <w:rPr>
                <w:sz w:val="22"/>
              </w:rPr>
              <w:t>of 100 with the consultation and</w:t>
            </w:r>
          </w:p>
          <w:p>
            <w:pPr>
              <w:pStyle w:val="TableParagraph"/>
              <w:spacing w:line="233" w:lineRule="exact"/>
              <w:ind w:left="188"/>
              <w:rPr>
                <w:sz w:val="22"/>
              </w:rPr>
            </w:pPr>
            <w:r>
              <w:rPr>
                <w:sz w:val="22"/>
              </w:rPr>
              <w:t>engagement</w:t>
            </w:r>
            <w:r>
              <w:rPr>
                <w:spacing w:val="-3"/>
                <w:sz w:val="22"/>
              </w:rPr>
              <w:t> </w:t>
            </w:r>
            <w:r>
              <w:rPr>
                <w:sz w:val="22"/>
              </w:rPr>
              <w:t>efforts</w:t>
            </w:r>
            <w:r>
              <w:rPr>
                <w:spacing w:val="-4"/>
                <w:sz w:val="22"/>
              </w:rPr>
              <w:t> </w:t>
            </w:r>
            <w:r>
              <w:rPr>
                <w:sz w:val="22"/>
              </w:rPr>
              <w:t>of</w:t>
            </w:r>
            <w:r>
              <w:rPr>
                <w:spacing w:val="-3"/>
                <w:sz w:val="22"/>
              </w:rPr>
              <w:t> </w:t>
            </w:r>
            <w:r>
              <w:rPr>
                <w:spacing w:val="-2"/>
                <w:sz w:val="22"/>
              </w:rPr>
              <w:t>Council)</w:t>
            </w:r>
          </w:p>
        </w:tc>
        <w:tc>
          <w:tcPr>
            <w:tcW w:w="3250" w:type="dxa"/>
            <w:tcBorders>
              <w:left w:val="nil"/>
            </w:tcBorders>
          </w:tcPr>
          <w:p>
            <w:pPr>
              <w:pStyle w:val="TableParagraph"/>
              <w:ind w:left="197" w:right="93"/>
              <w:jc w:val="both"/>
              <w:rPr>
                <w:sz w:val="22"/>
              </w:rPr>
            </w:pPr>
            <w:r>
              <w:rPr>
                <w:sz w:val="22"/>
              </w:rPr>
              <w:t>Community satisfaction rating out of 100 with how Council has performed on </w:t>
            </w:r>
            <w:r>
              <w:rPr>
                <w:sz w:val="22"/>
              </w:rPr>
              <w:t>community consultation and engagement</w:t>
            </w:r>
          </w:p>
        </w:tc>
      </w:tr>
    </w:tbl>
    <w:p>
      <w:pPr>
        <w:spacing w:after="0"/>
        <w:jc w:val="both"/>
        <w:rPr>
          <w:sz w:val="22"/>
        </w:rPr>
        <w:sectPr>
          <w:pgSz w:w="11910" w:h="16840"/>
          <w:pgMar w:header="0" w:footer="426" w:top="340" w:bottom="620" w:left="460" w:right="160"/>
        </w:sectPr>
      </w:pPr>
    </w:p>
    <w:p>
      <w:pPr>
        <w:pStyle w:val="Heading2"/>
        <w:numPr>
          <w:ilvl w:val="1"/>
          <w:numId w:val="11"/>
        </w:numPr>
        <w:tabs>
          <w:tab w:pos="861" w:val="left" w:leader="none"/>
        </w:tabs>
        <w:spacing w:line="240" w:lineRule="auto" w:before="70" w:after="0"/>
        <w:ind w:left="860" w:right="0" w:hanging="470"/>
        <w:jc w:val="left"/>
      </w:pPr>
      <w:r>
        <w:rPr>
          <w:color w:val="4966AC"/>
        </w:rPr>
        <w:t>Reconciliation</w:t>
      </w:r>
      <w:r>
        <w:rPr>
          <w:color w:val="4966AC"/>
          <w:spacing w:val="-8"/>
        </w:rPr>
        <w:t> </w:t>
      </w:r>
      <w:r>
        <w:rPr>
          <w:color w:val="4966AC"/>
        </w:rPr>
        <w:t>with</w:t>
      </w:r>
      <w:r>
        <w:rPr>
          <w:color w:val="4966AC"/>
          <w:spacing w:val="-7"/>
        </w:rPr>
        <w:t> </w:t>
      </w:r>
      <w:r>
        <w:rPr>
          <w:color w:val="4966AC"/>
        </w:rPr>
        <w:t>budgeted</w:t>
      </w:r>
      <w:r>
        <w:rPr>
          <w:color w:val="4966AC"/>
          <w:spacing w:val="-5"/>
        </w:rPr>
        <w:t> </w:t>
      </w:r>
      <w:r>
        <w:rPr>
          <w:color w:val="4966AC"/>
        </w:rPr>
        <w:t>operating</w:t>
      </w:r>
      <w:r>
        <w:rPr>
          <w:color w:val="4966AC"/>
          <w:spacing w:val="-8"/>
        </w:rPr>
        <w:t> </w:t>
      </w:r>
      <w:r>
        <w:rPr>
          <w:color w:val="4966AC"/>
          <w:spacing w:val="-2"/>
        </w:rPr>
        <w:t>result</w:t>
      </w:r>
    </w:p>
    <w:p>
      <w:pPr>
        <w:pStyle w:val="BodyText"/>
        <w:spacing w:before="8"/>
        <w:rPr>
          <w:b/>
          <w:sz w:val="39"/>
        </w:rPr>
      </w:pPr>
    </w:p>
    <w:p>
      <w:pPr>
        <w:pStyle w:val="BodyText"/>
        <w:ind w:left="391"/>
      </w:pPr>
      <w:r>
        <w:rPr/>
        <w:t>(Note:</w:t>
      </w:r>
      <w:r>
        <w:rPr>
          <w:spacing w:val="80"/>
        </w:rPr>
        <w:t> </w:t>
      </w:r>
      <w:r>
        <w:rPr/>
        <w:t>This</w:t>
      </w:r>
      <w:r>
        <w:rPr>
          <w:spacing w:val="80"/>
        </w:rPr>
        <w:t> </w:t>
      </w:r>
      <w:r>
        <w:rPr/>
        <w:t>reconciles</w:t>
      </w:r>
      <w:r>
        <w:rPr>
          <w:spacing w:val="80"/>
        </w:rPr>
        <w:t> </w:t>
      </w:r>
      <w:r>
        <w:rPr/>
        <w:t>to</w:t>
      </w:r>
      <w:r>
        <w:rPr>
          <w:spacing w:val="80"/>
        </w:rPr>
        <w:t> </w:t>
      </w:r>
      <w:r>
        <w:rPr/>
        <w:t>the</w:t>
      </w:r>
      <w:r>
        <w:rPr>
          <w:spacing w:val="80"/>
        </w:rPr>
        <w:t> </w:t>
      </w:r>
      <w:r>
        <w:rPr/>
        <w:t>budgeted</w:t>
      </w:r>
      <w:r>
        <w:rPr>
          <w:spacing w:val="80"/>
        </w:rPr>
        <w:t> </w:t>
      </w:r>
      <w:r>
        <w:rPr/>
        <w:t>Comprehensive</w:t>
      </w:r>
      <w:r>
        <w:rPr>
          <w:spacing w:val="80"/>
        </w:rPr>
        <w:t> </w:t>
      </w:r>
      <w:r>
        <w:rPr/>
        <w:t>Result</w:t>
      </w:r>
      <w:r>
        <w:rPr>
          <w:spacing w:val="80"/>
        </w:rPr>
        <w:t> </w:t>
      </w:r>
      <w:r>
        <w:rPr/>
        <w:t>from</w:t>
      </w:r>
      <w:r>
        <w:rPr>
          <w:spacing w:val="80"/>
        </w:rPr>
        <w:t> </w:t>
      </w:r>
      <w:r>
        <w:rPr/>
        <w:t>Operations</w:t>
      </w:r>
      <w:r>
        <w:rPr>
          <w:spacing w:val="80"/>
        </w:rPr>
        <w:t> </w:t>
      </w:r>
      <w:r>
        <w:rPr/>
        <w:t>as</w:t>
      </w:r>
      <w:r>
        <w:rPr>
          <w:spacing w:val="80"/>
        </w:rPr>
        <w:t> </w:t>
      </w:r>
      <w:r>
        <w:rPr/>
        <w:t>shown</w:t>
      </w:r>
      <w:r>
        <w:rPr>
          <w:spacing w:val="80"/>
        </w:rPr>
        <w:t> </w:t>
      </w:r>
      <w:r>
        <w:rPr/>
        <w:t>on</w:t>
      </w:r>
      <w:r>
        <w:rPr>
          <w:spacing w:val="80"/>
        </w:rPr>
        <w:t> </w:t>
      </w:r>
      <w:r>
        <w:rPr/>
        <w:t>the Comprehensive Income Statement included in Section 3</w:t>
      </w:r>
    </w:p>
    <w:p>
      <w:pPr>
        <w:pStyle w:val="BodyText"/>
        <w:spacing w:before="2"/>
      </w:pPr>
    </w:p>
    <w:tbl>
      <w:tblPr>
        <w:tblW w:w="0" w:type="auto"/>
        <w:jc w:val="left"/>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06"/>
        <w:gridCol w:w="1956"/>
        <w:gridCol w:w="1524"/>
        <w:gridCol w:w="1149"/>
      </w:tblGrid>
      <w:tr>
        <w:trPr>
          <w:trHeight w:val="519" w:hRule="atLeast"/>
        </w:trPr>
        <w:tc>
          <w:tcPr>
            <w:tcW w:w="5306" w:type="dxa"/>
            <w:vMerge w:val="restart"/>
            <w:shd w:val="clear" w:color="auto" w:fill="5B9AD4"/>
          </w:tcPr>
          <w:p>
            <w:pPr>
              <w:pStyle w:val="TableParagraph"/>
              <w:rPr>
                <w:rFonts w:ascii="Times New Roman"/>
                <w:sz w:val="22"/>
              </w:rPr>
            </w:pPr>
          </w:p>
        </w:tc>
        <w:tc>
          <w:tcPr>
            <w:tcW w:w="1956" w:type="dxa"/>
            <w:shd w:val="clear" w:color="auto" w:fill="5B9AD4"/>
          </w:tcPr>
          <w:p>
            <w:pPr>
              <w:pStyle w:val="TableParagraph"/>
              <w:spacing w:line="252" w:lineRule="exact"/>
              <w:ind w:left="907" w:hanging="32"/>
              <w:rPr>
                <w:b/>
                <w:sz w:val="22"/>
              </w:rPr>
            </w:pPr>
            <w:r>
              <w:rPr>
                <w:b/>
                <w:color w:val="FFFFFF"/>
                <w:spacing w:val="-2"/>
                <w:sz w:val="22"/>
              </w:rPr>
              <w:t>Surplus/ (Deficit)</w:t>
            </w:r>
          </w:p>
        </w:tc>
        <w:tc>
          <w:tcPr>
            <w:tcW w:w="1524" w:type="dxa"/>
            <w:shd w:val="clear" w:color="auto" w:fill="5B9AD4"/>
          </w:tcPr>
          <w:p>
            <w:pPr>
              <w:pStyle w:val="TableParagraph"/>
              <w:spacing w:before="3"/>
              <w:rPr>
                <w:sz w:val="22"/>
              </w:rPr>
            </w:pPr>
          </w:p>
          <w:p>
            <w:pPr>
              <w:pStyle w:val="TableParagraph"/>
              <w:spacing w:line="243" w:lineRule="exact" w:before="1"/>
              <w:ind w:right="126"/>
              <w:jc w:val="right"/>
              <w:rPr>
                <w:b/>
                <w:sz w:val="22"/>
              </w:rPr>
            </w:pPr>
            <w:r>
              <w:rPr>
                <w:b/>
                <w:color w:val="FFFFFF"/>
                <w:spacing w:val="-2"/>
                <w:sz w:val="22"/>
              </w:rPr>
              <w:t>Expenditure</w:t>
            </w:r>
          </w:p>
        </w:tc>
        <w:tc>
          <w:tcPr>
            <w:tcW w:w="1149" w:type="dxa"/>
            <w:shd w:val="clear" w:color="auto" w:fill="5B9AD4"/>
          </w:tcPr>
          <w:p>
            <w:pPr>
              <w:pStyle w:val="TableParagraph"/>
              <w:spacing w:before="3"/>
              <w:rPr>
                <w:sz w:val="22"/>
              </w:rPr>
            </w:pPr>
          </w:p>
          <w:p>
            <w:pPr>
              <w:pStyle w:val="TableParagraph"/>
              <w:spacing w:line="243" w:lineRule="exact" w:before="1"/>
              <w:ind w:right="116"/>
              <w:jc w:val="right"/>
              <w:rPr>
                <w:b/>
                <w:sz w:val="22"/>
              </w:rPr>
            </w:pPr>
            <w:r>
              <w:rPr>
                <w:b/>
                <w:color w:val="FFFFFF"/>
                <w:spacing w:val="-2"/>
                <w:sz w:val="22"/>
              </w:rPr>
              <w:t>Revenue</w:t>
            </w:r>
          </w:p>
        </w:tc>
      </w:tr>
      <w:tr>
        <w:trPr>
          <w:trHeight w:val="256" w:hRule="atLeast"/>
        </w:trPr>
        <w:tc>
          <w:tcPr>
            <w:tcW w:w="5306" w:type="dxa"/>
            <w:vMerge/>
            <w:tcBorders>
              <w:top w:val="nil"/>
            </w:tcBorders>
            <w:shd w:val="clear" w:color="auto" w:fill="5B9AD4"/>
          </w:tcPr>
          <w:p>
            <w:pPr>
              <w:rPr>
                <w:sz w:val="2"/>
                <w:szCs w:val="2"/>
              </w:rPr>
            </w:pPr>
          </w:p>
        </w:tc>
        <w:tc>
          <w:tcPr>
            <w:tcW w:w="1956" w:type="dxa"/>
            <w:shd w:val="clear" w:color="auto" w:fill="5B9AD4"/>
          </w:tcPr>
          <w:p>
            <w:pPr>
              <w:pStyle w:val="TableParagraph"/>
              <w:spacing w:line="232" w:lineRule="exact" w:before="3"/>
              <w:ind w:left="1041"/>
              <w:rPr>
                <w:b/>
                <w:sz w:val="22"/>
              </w:rPr>
            </w:pPr>
            <w:r>
              <w:rPr>
                <w:b/>
                <w:color w:val="FFFFFF"/>
                <w:spacing w:val="-2"/>
                <w:sz w:val="22"/>
              </w:rPr>
              <w:t>$’000</w:t>
            </w:r>
          </w:p>
        </w:tc>
        <w:tc>
          <w:tcPr>
            <w:tcW w:w="1524" w:type="dxa"/>
            <w:shd w:val="clear" w:color="auto" w:fill="5B9AD4"/>
          </w:tcPr>
          <w:p>
            <w:pPr>
              <w:pStyle w:val="TableParagraph"/>
              <w:spacing w:line="232" w:lineRule="exact" w:before="3"/>
              <w:ind w:left="482"/>
              <w:rPr>
                <w:b/>
                <w:sz w:val="22"/>
              </w:rPr>
            </w:pPr>
            <w:r>
              <w:rPr>
                <w:b/>
                <w:color w:val="FFFFFF"/>
                <w:spacing w:val="-2"/>
                <w:sz w:val="22"/>
              </w:rPr>
              <w:t>$’000</w:t>
            </w:r>
          </w:p>
        </w:tc>
        <w:tc>
          <w:tcPr>
            <w:tcW w:w="1149" w:type="dxa"/>
            <w:shd w:val="clear" w:color="auto" w:fill="5B9AD4"/>
          </w:tcPr>
          <w:p>
            <w:pPr>
              <w:pStyle w:val="TableParagraph"/>
              <w:spacing w:line="232" w:lineRule="exact" w:before="3"/>
              <w:ind w:left="295"/>
              <w:rPr>
                <w:b/>
                <w:sz w:val="22"/>
              </w:rPr>
            </w:pPr>
            <w:r>
              <w:rPr>
                <w:b/>
                <w:color w:val="FFFFFF"/>
                <w:spacing w:val="-2"/>
                <w:sz w:val="22"/>
              </w:rPr>
              <w:t>$’000</w:t>
            </w:r>
          </w:p>
        </w:tc>
      </w:tr>
      <w:tr>
        <w:trPr>
          <w:trHeight w:val="258" w:hRule="atLeast"/>
        </w:trPr>
        <w:tc>
          <w:tcPr>
            <w:tcW w:w="5306" w:type="dxa"/>
          </w:tcPr>
          <w:p>
            <w:pPr>
              <w:pStyle w:val="TableParagraph"/>
              <w:spacing w:line="237" w:lineRule="exact" w:before="2"/>
              <w:ind w:left="115"/>
              <w:rPr>
                <w:sz w:val="22"/>
              </w:rPr>
            </w:pPr>
            <w:r>
              <w:rPr>
                <w:sz w:val="22"/>
              </w:rPr>
              <w:t>A</w:t>
            </w:r>
            <w:r>
              <w:rPr>
                <w:spacing w:val="-3"/>
                <w:sz w:val="22"/>
              </w:rPr>
              <w:t> </w:t>
            </w:r>
            <w:r>
              <w:rPr>
                <w:sz w:val="22"/>
              </w:rPr>
              <w:t>safe,</w:t>
            </w:r>
            <w:r>
              <w:rPr>
                <w:spacing w:val="-1"/>
                <w:sz w:val="22"/>
              </w:rPr>
              <w:t> </w:t>
            </w:r>
            <w:r>
              <w:rPr>
                <w:sz w:val="22"/>
              </w:rPr>
              <w:t>healthy</w:t>
            </w:r>
            <w:r>
              <w:rPr>
                <w:spacing w:val="-3"/>
                <w:sz w:val="22"/>
              </w:rPr>
              <w:t> </w:t>
            </w:r>
            <w:r>
              <w:rPr>
                <w:sz w:val="22"/>
              </w:rPr>
              <w:t>and</w:t>
            </w:r>
            <w:r>
              <w:rPr>
                <w:spacing w:val="-4"/>
                <w:sz w:val="22"/>
              </w:rPr>
              <w:t> </w:t>
            </w:r>
            <w:r>
              <w:rPr>
                <w:sz w:val="22"/>
              </w:rPr>
              <w:t>active</w:t>
            </w:r>
            <w:r>
              <w:rPr>
                <w:spacing w:val="-2"/>
                <w:sz w:val="22"/>
              </w:rPr>
              <w:t> community</w:t>
            </w:r>
          </w:p>
        </w:tc>
        <w:tc>
          <w:tcPr>
            <w:tcW w:w="1956" w:type="dxa"/>
          </w:tcPr>
          <w:p>
            <w:pPr>
              <w:pStyle w:val="TableParagraph"/>
              <w:spacing w:line="237" w:lineRule="exact" w:before="2"/>
              <w:ind w:right="104"/>
              <w:jc w:val="right"/>
              <w:rPr>
                <w:sz w:val="22"/>
              </w:rPr>
            </w:pPr>
            <w:r>
              <w:rPr>
                <w:spacing w:val="-2"/>
                <w:sz w:val="22"/>
              </w:rPr>
              <w:t>(4,278)</w:t>
            </w:r>
          </w:p>
        </w:tc>
        <w:tc>
          <w:tcPr>
            <w:tcW w:w="1524" w:type="dxa"/>
          </w:tcPr>
          <w:p>
            <w:pPr>
              <w:pStyle w:val="TableParagraph"/>
              <w:spacing w:line="237" w:lineRule="exact" w:before="2"/>
              <w:ind w:right="110"/>
              <w:jc w:val="right"/>
              <w:rPr>
                <w:sz w:val="22"/>
              </w:rPr>
            </w:pPr>
            <w:r>
              <w:rPr>
                <w:spacing w:val="-2"/>
                <w:sz w:val="22"/>
              </w:rPr>
              <w:t>35,136</w:t>
            </w:r>
          </w:p>
        </w:tc>
        <w:tc>
          <w:tcPr>
            <w:tcW w:w="1149" w:type="dxa"/>
          </w:tcPr>
          <w:p>
            <w:pPr>
              <w:pStyle w:val="TableParagraph"/>
              <w:spacing w:line="237" w:lineRule="exact" w:before="2"/>
              <w:ind w:right="103"/>
              <w:jc w:val="right"/>
              <w:rPr>
                <w:sz w:val="22"/>
              </w:rPr>
            </w:pPr>
            <w:r>
              <w:rPr>
                <w:spacing w:val="-2"/>
                <w:sz w:val="22"/>
              </w:rPr>
              <w:t>30,858</w:t>
            </w:r>
          </w:p>
        </w:tc>
      </w:tr>
      <w:tr>
        <w:trPr>
          <w:trHeight w:val="255" w:hRule="atLeast"/>
        </w:trPr>
        <w:tc>
          <w:tcPr>
            <w:tcW w:w="5306" w:type="dxa"/>
          </w:tcPr>
          <w:p>
            <w:pPr>
              <w:pStyle w:val="TableParagraph"/>
              <w:spacing w:line="236" w:lineRule="exact"/>
              <w:ind w:left="115"/>
              <w:rPr>
                <w:sz w:val="22"/>
              </w:rPr>
            </w:pPr>
            <w:r>
              <w:rPr>
                <w:sz w:val="22"/>
              </w:rPr>
              <w:t>A</w:t>
            </w:r>
            <w:r>
              <w:rPr>
                <w:spacing w:val="-4"/>
                <w:sz w:val="22"/>
              </w:rPr>
              <w:t> </w:t>
            </w:r>
            <w:r>
              <w:rPr>
                <w:sz w:val="22"/>
              </w:rPr>
              <w:t>prosperous</w:t>
            </w:r>
            <w:r>
              <w:rPr>
                <w:spacing w:val="-4"/>
                <w:sz w:val="22"/>
              </w:rPr>
              <w:t> </w:t>
            </w:r>
            <w:r>
              <w:rPr>
                <w:sz w:val="22"/>
              </w:rPr>
              <w:t>and</w:t>
            </w:r>
            <w:r>
              <w:rPr>
                <w:spacing w:val="-5"/>
                <w:sz w:val="22"/>
              </w:rPr>
              <w:t> </w:t>
            </w:r>
            <w:r>
              <w:rPr>
                <w:sz w:val="22"/>
              </w:rPr>
              <w:t>learning</w:t>
            </w:r>
            <w:r>
              <w:rPr>
                <w:spacing w:val="-4"/>
                <w:sz w:val="22"/>
              </w:rPr>
              <w:t> </w:t>
            </w:r>
            <w:r>
              <w:rPr>
                <w:spacing w:val="-2"/>
                <w:sz w:val="22"/>
              </w:rPr>
              <w:t>community</w:t>
            </w:r>
          </w:p>
        </w:tc>
        <w:tc>
          <w:tcPr>
            <w:tcW w:w="1956" w:type="dxa"/>
          </w:tcPr>
          <w:p>
            <w:pPr>
              <w:pStyle w:val="TableParagraph"/>
              <w:spacing w:line="236" w:lineRule="exact"/>
              <w:ind w:right="104"/>
              <w:jc w:val="right"/>
              <w:rPr>
                <w:sz w:val="22"/>
              </w:rPr>
            </w:pPr>
            <w:r>
              <w:rPr>
                <w:spacing w:val="-2"/>
                <w:sz w:val="22"/>
              </w:rPr>
              <w:t>(4,866)</w:t>
            </w:r>
          </w:p>
        </w:tc>
        <w:tc>
          <w:tcPr>
            <w:tcW w:w="1524" w:type="dxa"/>
          </w:tcPr>
          <w:p>
            <w:pPr>
              <w:pStyle w:val="TableParagraph"/>
              <w:spacing w:line="236" w:lineRule="exact"/>
              <w:ind w:right="109"/>
              <w:jc w:val="right"/>
              <w:rPr>
                <w:sz w:val="22"/>
              </w:rPr>
            </w:pPr>
            <w:r>
              <w:rPr>
                <w:spacing w:val="-2"/>
                <w:sz w:val="22"/>
              </w:rPr>
              <w:t>5,144</w:t>
            </w:r>
          </w:p>
        </w:tc>
        <w:tc>
          <w:tcPr>
            <w:tcW w:w="1149" w:type="dxa"/>
          </w:tcPr>
          <w:p>
            <w:pPr>
              <w:pStyle w:val="TableParagraph"/>
              <w:spacing w:line="236" w:lineRule="exact"/>
              <w:ind w:right="105"/>
              <w:jc w:val="right"/>
              <w:rPr>
                <w:sz w:val="22"/>
              </w:rPr>
            </w:pPr>
            <w:r>
              <w:rPr>
                <w:spacing w:val="-5"/>
                <w:sz w:val="22"/>
              </w:rPr>
              <w:t>278</w:t>
            </w:r>
          </w:p>
        </w:tc>
      </w:tr>
      <w:tr>
        <w:trPr>
          <w:trHeight w:val="255" w:hRule="atLeast"/>
        </w:trPr>
        <w:tc>
          <w:tcPr>
            <w:tcW w:w="5306" w:type="dxa"/>
          </w:tcPr>
          <w:p>
            <w:pPr>
              <w:pStyle w:val="TableParagraph"/>
              <w:spacing w:line="236" w:lineRule="exact"/>
              <w:ind w:left="115"/>
              <w:rPr>
                <w:sz w:val="22"/>
              </w:rPr>
            </w:pPr>
            <w:r>
              <w:rPr>
                <w:sz w:val="22"/>
              </w:rPr>
              <w:t>A</w:t>
            </w:r>
            <w:r>
              <w:rPr>
                <w:spacing w:val="-1"/>
                <w:sz w:val="22"/>
              </w:rPr>
              <w:t> </w:t>
            </w:r>
            <w:r>
              <w:rPr>
                <w:sz w:val="22"/>
              </w:rPr>
              <w:t>vibrant</w:t>
            </w:r>
            <w:r>
              <w:rPr>
                <w:spacing w:val="-4"/>
                <w:sz w:val="22"/>
              </w:rPr>
              <w:t> </w:t>
            </w:r>
            <w:r>
              <w:rPr>
                <w:sz w:val="22"/>
              </w:rPr>
              <w:t>and</w:t>
            </w:r>
            <w:r>
              <w:rPr>
                <w:spacing w:val="-2"/>
                <w:sz w:val="22"/>
              </w:rPr>
              <w:t> </w:t>
            </w:r>
            <w:r>
              <w:rPr>
                <w:sz w:val="22"/>
              </w:rPr>
              <w:t>culturally</w:t>
            </w:r>
            <w:r>
              <w:rPr>
                <w:spacing w:val="-4"/>
                <w:sz w:val="22"/>
              </w:rPr>
              <w:t> </w:t>
            </w:r>
            <w:r>
              <w:rPr>
                <w:sz w:val="22"/>
              </w:rPr>
              <w:t>rich</w:t>
            </w:r>
            <w:r>
              <w:rPr>
                <w:spacing w:val="-3"/>
                <w:sz w:val="22"/>
              </w:rPr>
              <w:t> </w:t>
            </w:r>
            <w:r>
              <w:rPr>
                <w:spacing w:val="-2"/>
                <w:sz w:val="22"/>
              </w:rPr>
              <w:t>community</w:t>
            </w:r>
          </w:p>
        </w:tc>
        <w:tc>
          <w:tcPr>
            <w:tcW w:w="1956" w:type="dxa"/>
          </w:tcPr>
          <w:p>
            <w:pPr>
              <w:pStyle w:val="TableParagraph"/>
              <w:spacing w:line="236" w:lineRule="exact"/>
              <w:ind w:right="103"/>
              <w:jc w:val="right"/>
              <w:rPr>
                <w:sz w:val="22"/>
              </w:rPr>
            </w:pPr>
            <w:r>
              <w:rPr>
                <w:spacing w:val="-2"/>
                <w:sz w:val="22"/>
              </w:rPr>
              <w:t>(1,300)</w:t>
            </w:r>
          </w:p>
        </w:tc>
        <w:tc>
          <w:tcPr>
            <w:tcW w:w="1524" w:type="dxa"/>
          </w:tcPr>
          <w:p>
            <w:pPr>
              <w:pStyle w:val="TableParagraph"/>
              <w:spacing w:line="236" w:lineRule="exact"/>
              <w:ind w:right="109"/>
              <w:jc w:val="right"/>
              <w:rPr>
                <w:sz w:val="22"/>
              </w:rPr>
            </w:pPr>
            <w:r>
              <w:rPr>
                <w:spacing w:val="-2"/>
                <w:sz w:val="22"/>
              </w:rPr>
              <w:t>6,525</w:t>
            </w:r>
          </w:p>
        </w:tc>
        <w:tc>
          <w:tcPr>
            <w:tcW w:w="1149" w:type="dxa"/>
          </w:tcPr>
          <w:p>
            <w:pPr>
              <w:pStyle w:val="TableParagraph"/>
              <w:spacing w:line="236" w:lineRule="exact"/>
              <w:ind w:right="102"/>
              <w:jc w:val="right"/>
              <w:rPr>
                <w:sz w:val="22"/>
              </w:rPr>
            </w:pPr>
            <w:r>
              <w:rPr>
                <w:spacing w:val="-2"/>
                <w:sz w:val="22"/>
              </w:rPr>
              <w:t>5,225</w:t>
            </w:r>
          </w:p>
        </w:tc>
      </w:tr>
      <w:tr>
        <w:trPr>
          <w:trHeight w:val="254" w:hRule="atLeast"/>
        </w:trPr>
        <w:tc>
          <w:tcPr>
            <w:tcW w:w="5306" w:type="dxa"/>
          </w:tcPr>
          <w:p>
            <w:pPr>
              <w:pStyle w:val="TableParagraph"/>
              <w:spacing w:line="234" w:lineRule="exact"/>
              <w:ind w:left="115"/>
              <w:rPr>
                <w:sz w:val="22"/>
              </w:rPr>
            </w:pPr>
            <w:r>
              <w:rPr>
                <w:sz w:val="22"/>
              </w:rPr>
              <w:t>A</w:t>
            </w:r>
            <w:r>
              <w:rPr>
                <w:spacing w:val="-3"/>
                <w:sz w:val="22"/>
              </w:rPr>
              <w:t> </w:t>
            </w:r>
            <w:r>
              <w:rPr>
                <w:sz w:val="22"/>
              </w:rPr>
              <w:t>clean,</w:t>
            </w:r>
            <w:r>
              <w:rPr>
                <w:spacing w:val="-2"/>
                <w:sz w:val="22"/>
              </w:rPr>
              <w:t> </w:t>
            </w:r>
            <w:r>
              <w:rPr>
                <w:sz w:val="22"/>
              </w:rPr>
              <w:t>green</w:t>
            </w:r>
            <w:r>
              <w:rPr>
                <w:spacing w:val="-4"/>
                <w:sz w:val="22"/>
              </w:rPr>
              <w:t> </w:t>
            </w:r>
            <w:r>
              <w:rPr>
                <w:sz w:val="22"/>
              </w:rPr>
              <w:t>and</w:t>
            </w:r>
            <w:r>
              <w:rPr>
                <w:spacing w:val="-5"/>
                <w:sz w:val="22"/>
              </w:rPr>
              <w:t> </w:t>
            </w:r>
            <w:r>
              <w:rPr>
                <w:sz w:val="22"/>
              </w:rPr>
              <w:t>sustainable</w:t>
            </w:r>
            <w:r>
              <w:rPr>
                <w:spacing w:val="-5"/>
                <w:sz w:val="22"/>
              </w:rPr>
              <w:t> </w:t>
            </w:r>
            <w:r>
              <w:rPr>
                <w:spacing w:val="-2"/>
                <w:sz w:val="22"/>
              </w:rPr>
              <w:t>community</w:t>
            </w:r>
          </w:p>
        </w:tc>
        <w:tc>
          <w:tcPr>
            <w:tcW w:w="1956" w:type="dxa"/>
          </w:tcPr>
          <w:p>
            <w:pPr>
              <w:pStyle w:val="TableParagraph"/>
              <w:spacing w:line="234" w:lineRule="exact"/>
              <w:ind w:right="104"/>
              <w:jc w:val="right"/>
              <w:rPr>
                <w:sz w:val="22"/>
              </w:rPr>
            </w:pPr>
            <w:r>
              <w:rPr>
                <w:spacing w:val="-2"/>
                <w:sz w:val="22"/>
              </w:rPr>
              <w:t>(32,608)</w:t>
            </w:r>
          </w:p>
        </w:tc>
        <w:tc>
          <w:tcPr>
            <w:tcW w:w="1524" w:type="dxa"/>
          </w:tcPr>
          <w:p>
            <w:pPr>
              <w:pStyle w:val="TableParagraph"/>
              <w:spacing w:line="234" w:lineRule="exact"/>
              <w:ind w:right="110"/>
              <w:jc w:val="right"/>
              <w:rPr>
                <w:sz w:val="22"/>
              </w:rPr>
            </w:pPr>
            <w:r>
              <w:rPr>
                <w:spacing w:val="-2"/>
                <w:sz w:val="22"/>
              </w:rPr>
              <w:t>32,737</w:t>
            </w:r>
          </w:p>
        </w:tc>
        <w:tc>
          <w:tcPr>
            <w:tcW w:w="1149" w:type="dxa"/>
          </w:tcPr>
          <w:p>
            <w:pPr>
              <w:pStyle w:val="TableParagraph"/>
              <w:spacing w:line="234" w:lineRule="exact"/>
              <w:ind w:right="105"/>
              <w:jc w:val="right"/>
              <w:rPr>
                <w:sz w:val="22"/>
              </w:rPr>
            </w:pPr>
            <w:r>
              <w:rPr>
                <w:spacing w:val="-5"/>
                <w:sz w:val="22"/>
              </w:rPr>
              <w:t>129</w:t>
            </w:r>
          </w:p>
        </w:tc>
      </w:tr>
      <w:tr>
        <w:trPr>
          <w:trHeight w:val="254" w:hRule="atLeast"/>
        </w:trPr>
        <w:tc>
          <w:tcPr>
            <w:tcW w:w="5306" w:type="dxa"/>
          </w:tcPr>
          <w:p>
            <w:pPr>
              <w:pStyle w:val="TableParagraph"/>
              <w:spacing w:line="234" w:lineRule="exact"/>
              <w:ind w:left="115"/>
              <w:rPr>
                <w:sz w:val="22"/>
              </w:rPr>
            </w:pPr>
            <w:r>
              <w:rPr>
                <w:sz w:val="22"/>
              </w:rPr>
              <w:t>An</w:t>
            </w:r>
            <w:r>
              <w:rPr>
                <w:spacing w:val="-3"/>
                <w:sz w:val="22"/>
              </w:rPr>
              <w:t> </w:t>
            </w:r>
            <w:r>
              <w:rPr>
                <w:sz w:val="22"/>
              </w:rPr>
              <w:t>accessible</w:t>
            </w:r>
            <w:r>
              <w:rPr>
                <w:spacing w:val="-3"/>
                <w:sz w:val="22"/>
              </w:rPr>
              <w:t> </w:t>
            </w:r>
            <w:r>
              <w:rPr>
                <w:sz w:val="22"/>
              </w:rPr>
              <w:t>and</w:t>
            </w:r>
            <w:r>
              <w:rPr>
                <w:spacing w:val="-4"/>
                <w:sz w:val="22"/>
              </w:rPr>
              <w:t> </w:t>
            </w:r>
            <w:r>
              <w:rPr>
                <w:sz w:val="22"/>
              </w:rPr>
              <w:t>connected</w:t>
            </w:r>
            <w:r>
              <w:rPr>
                <w:spacing w:val="-1"/>
                <w:sz w:val="22"/>
              </w:rPr>
              <w:t> </w:t>
            </w:r>
            <w:r>
              <w:rPr>
                <w:spacing w:val="-2"/>
                <w:sz w:val="22"/>
              </w:rPr>
              <w:t>community</w:t>
            </w:r>
          </w:p>
        </w:tc>
        <w:tc>
          <w:tcPr>
            <w:tcW w:w="1956" w:type="dxa"/>
          </w:tcPr>
          <w:p>
            <w:pPr>
              <w:pStyle w:val="TableParagraph"/>
              <w:spacing w:line="234" w:lineRule="exact"/>
              <w:ind w:right="103"/>
              <w:jc w:val="right"/>
              <w:rPr>
                <w:sz w:val="22"/>
              </w:rPr>
            </w:pPr>
            <w:r>
              <w:rPr>
                <w:spacing w:val="-2"/>
                <w:sz w:val="22"/>
              </w:rPr>
              <w:t>(9,460)</w:t>
            </w:r>
          </w:p>
        </w:tc>
        <w:tc>
          <w:tcPr>
            <w:tcW w:w="1524" w:type="dxa"/>
          </w:tcPr>
          <w:p>
            <w:pPr>
              <w:pStyle w:val="TableParagraph"/>
              <w:spacing w:line="234" w:lineRule="exact"/>
              <w:ind w:right="110"/>
              <w:jc w:val="right"/>
              <w:rPr>
                <w:sz w:val="22"/>
              </w:rPr>
            </w:pPr>
            <w:r>
              <w:rPr>
                <w:spacing w:val="-2"/>
                <w:sz w:val="22"/>
              </w:rPr>
              <w:t>10,791</w:t>
            </w:r>
          </w:p>
        </w:tc>
        <w:tc>
          <w:tcPr>
            <w:tcW w:w="1149" w:type="dxa"/>
          </w:tcPr>
          <w:p>
            <w:pPr>
              <w:pStyle w:val="TableParagraph"/>
              <w:spacing w:line="234" w:lineRule="exact"/>
              <w:ind w:right="102"/>
              <w:jc w:val="right"/>
              <w:rPr>
                <w:sz w:val="22"/>
              </w:rPr>
            </w:pPr>
            <w:r>
              <w:rPr>
                <w:spacing w:val="-2"/>
                <w:sz w:val="22"/>
              </w:rPr>
              <w:t>1,331</w:t>
            </w:r>
          </w:p>
        </w:tc>
      </w:tr>
      <w:tr>
        <w:trPr>
          <w:trHeight w:val="255" w:hRule="atLeast"/>
        </w:trPr>
        <w:tc>
          <w:tcPr>
            <w:tcW w:w="5306" w:type="dxa"/>
          </w:tcPr>
          <w:p>
            <w:pPr>
              <w:pStyle w:val="TableParagraph"/>
              <w:spacing w:line="236" w:lineRule="exact"/>
              <w:ind w:left="115"/>
              <w:rPr>
                <w:sz w:val="22"/>
              </w:rPr>
            </w:pPr>
            <w:r>
              <w:rPr>
                <w:sz w:val="22"/>
              </w:rPr>
              <w:t>An</w:t>
            </w:r>
            <w:r>
              <w:rPr>
                <w:spacing w:val="-4"/>
                <w:sz w:val="22"/>
              </w:rPr>
              <w:t> </w:t>
            </w:r>
            <w:r>
              <w:rPr>
                <w:sz w:val="22"/>
              </w:rPr>
              <w:t>attractive,</w:t>
            </w:r>
            <w:r>
              <w:rPr>
                <w:spacing w:val="-3"/>
                <w:sz w:val="22"/>
              </w:rPr>
              <w:t> </w:t>
            </w:r>
            <w:r>
              <w:rPr>
                <w:sz w:val="22"/>
              </w:rPr>
              <w:t>thriving</w:t>
            </w:r>
            <w:r>
              <w:rPr>
                <w:spacing w:val="-1"/>
                <w:sz w:val="22"/>
              </w:rPr>
              <w:t> </w:t>
            </w:r>
            <w:r>
              <w:rPr>
                <w:sz w:val="22"/>
              </w:rPr>
              <w:t>and</w:t>
            </w:r>
            <w:r>
              <w:rPr>
                <w:spacing w:val="-4"/>
                <w:sz w:val="22"/>
              </w:rPr>
              <w:t> </w:t>
            </w:r>
            <w:r>
              <w:rPr>
                <w:sz w:val="22"/>
              </w:rPr>
              <w:t>well</w:t>
            </w:r>
            <w:r>
              <w:rPr>
                <w:spacing w:val="-6"/>
                <w:sz w:val="22"/>
              </w:rPr>
              <w:t> </w:t>
            </w:r>
            <w:r>
              <w:rPr>
                <w:sz w:val="22"/>
              </w:rPr>
              <w:t>built</w:t>
            </w:r>
            <w:r>
              <w:rPr>
                <w:spacing w:val="-3"/>
                <w:sz w:val="22"/>
              </w:rPr>
              <w:t> </w:t>
            </w:r>
            <w:r>
              <w:rPr>
                <w:spacing w:val="-2"/>
                <w:sz w:val="22"/>
              </w:rPr>
              <w:t>community</w:t>
            </w:r>
          </w:p>
        </w:tc>
        <w:tc>
          <w:tcPr>
            <w:tcW w:w="1956" w:type="dxa"/>
          </w:tcPr>
          <w:p>
            <w:pPr>
              <w:pStyle w:val="TableParagraph"/>
              <w:spacing w:line="236" w:lineRule="exact"/>
              <w:ind w:right="104"/>
              <w:jc w:val="right"/>
              <w:rPr>
                <w:sz w:val="22"/>
              </w:rPr>
            </w:pPr>
            <w:r>
              <w:rPr>
                <w:spacing w:val="-2"/>
                <w:sz w:val="22"/>
              </w:rPr>
              <w:t>(3,586)</w:t>
            </w:r>
          </w:p>
        </w:tc>
        <w:tc>
          <w:tcPr>
            <w:tcW w:w="1524" w:type="dxa"/>
          </w:tcPr>
          <w:p>
            <w:pPr>
              <w:pStyle w:val="TableParagraph"/>
              <w:spacing w:line="236" w:lineRule="exact"/>
              <w:ind w:right="110"/>
              <w:jc w:val="right"/>
              <w:rPr>
                <w:sz w:val="22"/>
              </w:rPr>
            </w:pPr>
            <w:r>
              <w:rPr>
                <w:spacing w:val="-2"/>
                <w:sz w:val="22"/>
              </w:rPr>
              <w:t>12,466</w:t>
            </w:r>
          </w:p>
        </w:tc>
        <w:tc>
          <w:tcPr>
            <w:tcW w:w="1149" w:type="dxa"/>
          </w:tcPr>
          <w:p>
            <w:pPr>
              <w:pStyle w:val="TableParagraph"/>
              <w:spacing w:line="236" w:lineRule="exact"/>
              <w:ind w:right="102"/>
              <w:jc w:val="right"/>
              <w:rPr>
                <w:sz w:val="22"/>
              </w:rPr>
            </w:pPr>
            <w:r>
              <w:rPr>
                <w:spacing w:val="-2"/>
                <w:sz w:val="22"/>
              </w:rPr>
              <w:t>8,880</w:t>
            </w:r>
          </w:p>
        </w:tc>
      </w:tr>
      <w:tr>
        <w:trPr>
          <w:trHeight w:val="251" w:hRule="atLeast"/>
        </w:trPr>
        <w:tc>
          <w:tcPr>
            <w:tcW w:w="5306" w:type="dxa"/>
          </w:tcPr>
          <w:p>
            <w:pPr>
              <w:pStyle w:val="TableParagraph"/>
              <w:spacing w:line="232" w:lineRule="exact"/>
              <w:ind w:left="115"/>
              <w:rPr>
                <w:sz w:val="22"/>
              </w:rPr>
            </w:pPr>
            <w:r>
              <w:rPr>
                <w:sz w:val="22"/>
              </w:rPr>
              <w:t>An</w:t>
            </w:r>
            <w:r>
              <w:rPr>
                <w:spacing w:val="-3"/>
                <w:sz w:val="22"/>
              </w:rPr>
              <w:t> </w:t>
            </w:r>
            <w:r>
              <w:rPr>
                <w:sz w:val="22"/>
              </w:rPr>
              <w:t>inclusive</w:t>
            </w:r>
            <w:r>
              <w:rPr>
                <w:spacing w:val="-2"/>
                <w:sz w:val="22"/>
              </w:rPr>
              <w:t> </w:t>
            </w:r>
            <w:r>
              <w:rPr>
                <w:sz w:val="22"/>
              </w:rPr>
              <w:t>and</w:t>
            </w:r>
            <w:r>
              <w:rPr>
                <w:spacing w:val="-2"/>
                <w:sz w:val="22"/>
              </w:rPr>
              <w:t> </w:t>
            </w:r>
            <w:r>
              <w:rPr>
                <w:sz w:val="22"/>
              </w:rPr>
              <w:t>diverse</w:t>
            </w:r>
            <w:r>
              <w:rPr>
                <w:spacing w:val="-5"/>
                <w:sz w:val="22"/>
              </w:rPr>
              <w:t> </w:t>
            </w:r>
            <w:r>
              <w:rPr>
                <w:spacing w:val="-2"/>
                <w:sz w:val="22"/>
              </w:rPr>
              <w:t>community</w:t>
            </w:r>
          </w:p>
        </w:tc>
        <w:tc>
          <w:tcPr>
            <w:tcW w:w="1956" w:type="dxa"/>
          </w:tcPr>
          <w:p>
            <w:pPr>
              <w:pStyle w:val="TableParagraph"/>
              <w:spacing w:line="232" w:lineRule="exact"/>
              <w:ind w:right="103"/>
              <w:jc w:val="right"/>
              <w:rPr>
                <w:sz w:val="22"/>
              </w:rPr>
            </w:pPr>
            <w:r>
              <w:rPr>
                <w:spacing w:val="-2"/>
                <w:sz w:val="22"/>
              </w:rPr>
              <w:t>(4,733)</w:t>
            </w:r>
          </w:p>
        </w:tc>
        <w:tc>
          <w:tcPr>
            <w:tcW w:w="1524" w:type="dxa"/>
          </w:tcPr>
          <w:p>
            <w:pPr>
              <w:pStyle w:val="TableParagraph"/>
              <w:spacing w:line="232" w:lineRule="exact"/>
              <w:ind w:right="109"/>
              <w:jc w:val="right"/>
              <w:rPr>
                <w:sz w:val="22"/>
              </w:rPr>
            </w:pPr>
            <w:r>
              <w:rPr>
                <w:spacing w:val="-2"/>
                <w:sz w:val="22"/>
              </w:rPr>
              <w:t>7,857</w:t>
            </w:r>
          </w:p>
        </w:tc>
        <w:tc>
          <w:tcPr>
            <w:tcW w:w="1149" w:type="dxa"/>
          </w:tcPr>
          <w:p>
            <w:pPr>
              <w:pStyle w:val="TableParagraph"/>
              <w:spacing w:line="232" w:lineRule="exact"/>
              <w:ind w:right="102"/>
              <w:jc w:val="right"/>
              <w:rPr>
                <w:sz w:val="22"/>
              </w:rPr>
            </w:pPr>
            <w:r>
              <w:rPr>
                <w:spacing w:val="-2"/>
                <w:sz w:val="22"/>
              </w:rPr>
              <w:t>3,124</w:t>
            </w:r>
          </w:p>
        </w:tc>
      </w:tr>
      <w:tr>
        <w:trPr>
          <w:trHeight w:val="264" w:hRule="atLeast"/>
        </w:trPr>
        <w:tc>
          <w:tcPr>
            <w:tcW w:w="9935" w:type="dxa"/>
            <w:gridSpan w:val="4"/>
          </w:tcPr>
          <w:p>
            <w:pPr>
              <w:pStyle w:val="TableParagraph"/>
              <w:tabs>
                <w:tab w:pos="5983" w:val="left" w:leader="none"/>
                <w:tab w:pos="6336" w:val="left" w:leader="none"/>
                <w:tab w:pos="7999" w:val="left" w:leader="none"/>
                <w:tab w:pos="9278" w:val="left" w:leader="none"/>
              </w:tabs>
              <w:spacing w:line="233" w:lineRule="exact" w:before="11"/>
              <w:ind w:left="115" w:right="-15"/>
              <w:rPr>
                <w:sz w:val="22"/>
              </w:rPr>
            </w:pPr>
            <w:r>
              <w:rPr>
                <w:sz w:val="22"/>
              </w:rPr>
              <w:t>A</w:t>
            </w:r>
            <w:r>
              <w:rPr>
                <w:spacing w:val="-3"/>
                <w:sz w:val="22"/>
              </w:rPr>
              <w:t> </w:t>
            </w:r>
            <w:r>
              <w:rPr>
                <w:sz w:val="22"/>
              </w:rPr>
              <w:t>well</w:t>
            </w:r>
            <w:r>
              <w:rPr>
                <w:spacing w:val="-3"/>
                <w:sz w:val="22"/>
              </w:rPr>
              <w:t> </w:t>
            </w:r>
            <w:r>
              <w:rPr>
                <w:sz w:val="22"/>
              </w:rPr>
              <w:t>governed</w:t>
            </w:r>
            <w:r>
              <w:rPr>
                <w:spacing w:val="-3"/>
                <w:sz w:val="22"/>
              </w:rPr>
              <w:t> </w:t>
            </w:r>
            <w:r>
              <w:rPr>
                <w:sz w:val="22"/>
              </w:rPr>
              <w:t>and</w:t>
            </w:r>
            <w:r>
              <w:rPr>
                <w:spacing w:val="-4"/>
                <w:sz w:val="22"/>
              </w:rPr>
              <w:t> </w:t>
            </w:r>
            <w:r>
              <w:rPr>
                <w:sz w:val="22"/>
              </w:rPr>
              <w:t>empowered</w:t>
            </w:r>
            <w:r>
              <w:rPr>
                <w:spacing w:val="-3"/>
                <w:sz w:val="22"/>
              </w:rPr>
              <w:t> </w:t>
            </w:r>
            <w:r>
              <w:rPr>
                <w:spacing w:val="-2"/>
                <w:sz w:val="22"/>
              </w:rPr>
              <w:t>community</w:t>
            </w:r>
            <w:r>
              <w:rPr>
                <w:sz w:val="22"/>
              </w:rPr>
              <w:tab/>
            </w:r>
            <w:r>
              <w:rPr>
                <w:rFonts w:ascii="Times New Roman"/>
                <w:sz w:val="22"/>
                <w:u w:val="single"/>
              </w:rPr>
              <w:tab/>
            </w:r>
            <w:r>
              <w:rPr>
                <w:spacing w:val="-2"/>
                <w:sz w:val="22"/>
                <w:u w:val="single"/>
              </w:rPr>
              <w:t>(25,350)</w:t>
            </w:r>
            <w:r>
              <w:rPr>
                <w:sz w:val="22"/>
                <w:u w:val="single"/>
              </w:rPr>
              <w:tab/>
            </w:r>
            <w:r>
              <w:rPr>
                <w:spacing w:val="-2"/>
                <w:sz w:val="22"/>
                <w:u w:val="single"/>
              </w:rPr>
              <w:t>27,013</w:t>
            </w:r>
            <w:r>
              <w:rPr>
                <w:sz w:val="22"/>
                <w:u w:val="single"/>
              </w:rPr>
              <w:tab/>
            </w:r>
            <w:r>
              <w:rPr>
                <w:spacing w:val="-2"/>
                <w:sz w:val="22"/>
                <w:u w:val="single"/>
              </w:rPr>
              <w:t>1,663</w:t>
            </w:r>
            <w:r>
              <w:rPr>
                <w:spacing w:val="80"/>
                <w:sz w:val="22"/>
                <w:u w:val="single"/>
              </w:rPr>
              <w:t> </w:t>
            </w:r>
          </w:p>
        </w:tc>
      </w:tr>
      <w:tr>
        <w:trPr>
          <w:trHeight w:val="286" w:hRule="atLeast"/>
        </w:trPr>
        <w:tc>
          <w:tcPr>
            <w:tcW w:w="5306" w:type="dxa"/>
            <w:tcBorders>
              <w:bottom w:val="single" w:sz="8" w:space="0" w:color="000000"/>
            </w:tcBorders>
          </w:tcPr>
          <w:p>
            <w:pPr>
              <w:pStyle w:val="TableParagraph"/>
              <w:spacing w:line="232" w:lineRule="exact" w:before="35"/>
              <w:ind w:left="115"/>
              <w:rPr>
                <w:b/>
                <w:sz w:val="22"/>
              </w:rPr>
            </w:pPr>
            <w:r>
              <w:rPr>
                <w:b/>
                <w:sz w:val="22"/>
              </w:rPr>
              <w:t>Total</w:t>
            </w:r>
            <w:r>
              <w:rPr>
                <w:b/>
                <w:spacing w:val="-2"/>
                <w:sz w:val="22"/>
              </w:rPr>
              <w:t> </w:t>
            </w:r>
            <w:r>
              <w:rPr>
                <w:b/>
                <w:sz w:val="22"/>
              </w:rPr>
              <w:t>services</w:t>
            </w:r>
            <w:r>
              <w:rPr>
                <w:b/>
                <w:spacing w:val="-2"/>
                <w:sz w:val="22"/>
              </w:rPr>
              <w:t> </w:t>
            </w:r>
            <w:r>
              <w:rPr>
                <w:b/>
                <w:sz w:val="22"/>
              </w:rPr>
              <w:t>and</w:t>
            </w:r>
            <w:r>
              <w:rPr>
                <w:b/>
                <w:spacing w:val="-3"/>
                <w:sz w:val="22"/>
              </w:rPr>
              <w:t> </w:t>
            </w:r>
            <w:r>
              <w:rPr>
                <w:b/>
                <w:spacing w:val="-2"/>
                <w:sz w:val="22"/>
              </w:rPr>
              <w:t>initiatives</w:t>
            </w:r>
          </w:p>
        </w:tc>
        <w:tc>
          <w:tcPr>
            <w:tcW w:w="1956" w:type="dxa"/>
            <w:tcBorders>
              <w:bottom w:val="single" w:sz="8" w:space="0" w:color="000000"/>
            </w:tcBorders>
          </w:tcPr>
          <w:p>
            <w:pPr>
              <w:pStyle w:val="TableParagraph"/>
              <w:spacing w:line="232" w:lineRule="exact" w:before="35"/>
              <w:ind w:right="104"/>
              <w:jc w:val="right"/>
              <w:rPr>
                <w:b/>
                <w:sz w:val="22"/>
              </w:rPr>
            </w:pPr>
            <w:r>
              <w:rPr>
                <w:b/>
                <w:spacing w:val="-2"/>
                <w:sz w:val="22"/>
              </w:rPr>
              <w:t>(86,181)</w:t>
            </w:r>
          </w:p>
        </w:tc>
        <w:tc>
          <w:tcPr>
            <w:tcW w:w="1524" w:type="dxa"/>
            <w:tcBorders>
              <w:bottom w:val="single" w:sz="8" w:space="0" w:color="000000"/>
            </w:tcBorders>
          </w:tcPr>
          <w:p>
            <w:pPr>
              <w:pStyle w:val="TableParagraph"/>
              <w:spacing w:line="232" w:lineRule="exact" w:before="35"/>
              <w:ind w:right="110"/>
              <w:jc w:val="right"/>
              <w:rPr>
                <w:b/>
                <w:sz w:val="22"/>
              </w:rPr>
            </w:pPr>
            <w:r>
              <w:rPr>
                <w:b/>
                <w:spacing w:val="-2"/>
                <w:sz w:val="22"/>
              </w:rPr>
              <w:t>137,669</w:t>
            </w:r>
          </w:p>
        </w:tc>
        <w:tc>
          <w:tcPr>
            <w:tcW w:w="1149" w:type="dxa"/>
            <w:tcBorders>
              <w:bottom w:val="single" w:sz="8" w:space="0" w:color="000000"/>
            </w:tcBorders>
          </w:tcPr>
          <w:p>
            <w:pPr>
              <w:pStyle w:val="TableParagraph"/>
              <w:spacing w:line="232" w:lineRule="exact" w:before="35"/>
              <w:ind w:right="103"/>
              <w:jc w:val="right"/>
              <w:rPr>
                <w:b/>
                <w:sz w:val="22"/>
              </w:rPr>
            </w:pPr>
            <w:r>
              <w:rPr>
                <w:b/>
                <w:spacing w:val="-2"/>
                <w:sz w:val="22"/>
              </w:rPr>
              <w:t>51,488</w:t>
            </w:r>
          </w:p>
        </w:tc>
      </w:tr>
      <w:tr>
        <w:trPr>
          <w:trHeight w:val="770" w:hRule="atLeast"/>
        </w:trPr>
        <w:tc>
          <w:tcPr>
            <w:tcW w:w="5306" w:type="dxa"/>
            <w:tcBorders>
              <w:top w:val="single" w:sz="8" w:space="0" w:color="000000"/>
            </w:tcBorders>
          </w:tcPr>
          <w:p>
            <w:pPr>
              <w:pStyle w:val="TableParagraph"/>
              <w:spacing w:before="3"/>
              <w:rPr>
                <w:sz w:val="22"/>
              </w:rPr>
            </w:pPr>
          </w:p>
          <w:p>
            <w:pPr>
              <w:pStyle w:val="TableParagraph"/>
              <w:ind w:left="115"/>
              <w:rPr>
                <w:b/>
                <w:sz w:val="22"/>
              </w:rPr>
            </w:pPr>
            <w:r>
              <w:rPr>
                <w:b/>
                <w:sz w:val="22"/>
              </w:rPr>
              <w:t>Expenses</w:t>
            </w:r>
            <w:r>
              <w:rPr>
                <w:b/>
                <w:spacing w:val="-5"/>
                <w:sz w:val="22"/>
              </w:rPr>
              <w:t> </w:t>
            </w:r>
            <w:r>
              <w:rPr>
                <w:b/>
                <w:sz w:val="22"/>
              </w:rPr>
              <w:t>added</w:t>
            </w:r>
            <w:r>
              <w:rPr>
                <w:b/>
                <w:spacing w:val="-5"/>
                <w:sz w:val="22"/>
              </w:rPr>
              <w:t> in:</w:t>
            </w:r>
          </w:p>
          <w:p>
            <w:pPr>
              <w:pStyle w:val="TableParagraph"/>
              <w:spacing w:line="237" w:lineRule="exact" w:before="4"/>
              <w:ind w:left="115"/>
              <w:rPr>
                <w:sz w:val="22"/>
              </w:rPr>
            </w:pPr>
            <w:r>
              <w:rPr>
                <w:spacing w:val="-2"/>
                <w:sz w:val="22"/>
              </w:rPr>
              <w:t>Depreciation</w:t>
            </w:r>
          </w:p>
        </w:tc>
        <w:tc>
          <w:tcPr>
            <w:tcW w:w="1956" w:type="dxa"/>
            <w:tcBorders>
              <w:top w:val="single" w:sz="8" w:space="0" w:color="000000"/>
            </w:tcBorders>
          </w:tcPr>
          <w:p>
            <w:pPr>
              <w:pStyle w:val="TableParagraph"/>
              <w:rPr>
                <w:sz w:val="24"/>
              </w:rPr>
            </w:pPr>
          </w:p>
          <w:p>
            <w:pPr>
              <w:pStyle w:val="TableParagraph"/>
              <w:spacing w:before="7"/>
              <w:rPr>
                <w:sz w:val="20"/>
              </w:rPr>
            </w:pPr>
          </w:p>
          <w:p>
            <w:pPr>
              <w:pStyle w:val="TableParagraph"/>
              <w:spacing w:line="237" w:lineRule="exact"/>
              <w:ind w:right="103"/>
              <w:jc w:val="right"/>
              <w:rPr>
                <w:sz w:val="22"/>
              </w:rPr>
            </w:pPr>
            <w:r>
              <w:rPr>
                <w:spacing w:val="-2"/>
                <w:sz w:val="22"/>
              </w:rPr>
              <w:t>30,442</w:t>
            </w:r>
          </w:p>
        </w:tc>
        <w:tc>
          <w:tcPr>
            <w:tcW w:w="1524" w:type="dxa"/>
            <w:tcBorders>
              <w:top w:val="single" w:sz="8" w:space="0" w:color="000000"/>
            </w:tcBorders>
          </w:tcPr>
          <w:p>
            <w:pPr>
              <w:pStyle w:val="TableParagraph"/>
              <w:rPr>
                <w:rFonts w:ascii="Times New Roman"/>
                <w:sz w:val="22"/>
              </w:rPr>
            </w:pPr>
          </w:p>
        </w:tc>
        <w:tc>
          <w:tcPr>
            <w:tcW w:w="1149" w:type="dxa"/>
            <w:tcBorders>
              <w:top w:val="single" w:sz="8" w:space="0" w:color="000000"/>
            </w:tcBorders>
          </w:tcPr>
          <w:p>
            <w:pPr>
              <w:pStyle w:val="TableParagraph"/>
              <w:rPr>
                <w:rFonts w:ascii="Times New Roman"/>
                <w:sz w:val="22"/>
              </w:rPr>
            </w:pPr>
          </w:p>
        </w:tc>
      </w:tr>
      <w:tr>
        <w:trPr>
          <w:trHeight w:val="254" w:hRule="atLeast"/>
        </w:trPr>
        <w:tc>
          <w:tcPr>
            <w:tcW w:w="5306" w:type="dxa"/>
          </w:tcPr>
          <w:p>
            <w:pPr>
              <w:pStyle w:val="TableParagraph"/>
              <w:spacing w:line="234" w:lineRule="exact"/>
              <w:ind w:left="115"/>
              <w:rPr>
                <w:sz w:val="22"/>
              </w:rPr>
            </w:pPr>
            <w:r>
              <w:rPr>
                <w:spacing w:val="-2"/>
                <w:sz w:val="22"/>
              </w:rPr>
              <w:t>Amortisation</w:t>
            </w:r>
          </w:p>
        </w:tc>
        <w:tc>
          <w:tcPr>
            <w:tcW w:w="1956" w:type="dxa"/>
          </w:tcPr>
          <w:p>
            <w:pPr>
              <w:pStyle w:val="TableParagraph"/>
              <w:spacing w:line="234" w:lineRule="exact"/>
              <w:ind w:right="102"/>
              <w:jc w:val="right"/>
              <w:rPr>
                <w:sz w:val="22"/>
              </w:rPr>
            </w:pPr>
            <w:r>
              <w:rPr>
                <w:spacing w:val="-2"/>
                <w:sz w:val="22"/>
              </w:rPr>
              <w:t>1,529</w:t>
            </w:r>
          </w:p>
        </w:tc>
        <w:tc>
          <w:tcPr>
            <w:tcW w:w="1524" w:type="dxa"/>
          </w:tcPr>
          <w:p>
            <w:pPr>
              <w:pStyle w:val="TableParagraph"/>
              <w:rPr>
                <w:rFonts w:ascii="Times New Roman"/>
                <w:sz w:val="18"/>
              </w:rPr>
            </w:pPr>
          </w:p>
        </w:tc>
        <w:tc>
          <w:tcPr>
            <w:tcW w:w="1149" w:type="dxa"/>
          </w:tcPr>
          <w:p>
            <w:pPr>
              <w:pStyle w:val="TableParagraph"/>
              <w:rPr>
                <w:rFonts w:ascii="Times New Roman"/>
                <w:sz w:val="18"/>
              </w:rPr>
            </w:pPr>
          </w:p>
        </w:tc>
      </w:tr>
      <w:tr>
        <w:trPr>
          <w:trHeight w:val="251" w:hRule="atLeast"/>
        </w:trPr>
        <w:tc>
          <w:tcPr>
            <w:tcW w:w="5306" w:type="dxa"/>
            <w:tcBorders>
              <w:bottom w:val="single" w:sz="4" w:space="0" w:color="000000"/>
            </w:tcBorders>
          </w:tcPr>
          <w:p>
            <w:pPr>
              <w:pStyle w:val="TableParagraph"/>
              <w:spacing w:line="232" w:lineRule="exact"/>
              <w:ind w:left="115"/>
              <w:rPr>
                <w:sz w:val="22"/>
              </w:rPr>
            </w:pPr>
            <w:r>
              <w:rPr>
                <w:sz w:val="22"/>
              </w:rPr>
              <w:t>Other</w:t>
            </w:r>
            <w:r>
              <w:rPr>
                <w:spacing w:val="-5"/>
                <w:sz w:val="22"/>
              </w:rPr>
              <w:t> </w:t>
            </w:r>
            <w:r>
              <w:rPr>
                <w:sz w:val="22"/>
              </w:rPr>
              <w:t>non-</w:t>
            </w:r>
            <w:r>
              <w:rPr>
                <w:spacing w:val="-2"/>
                <w:sz w:val="22"/>
              </w:rPr>
              <w:t>attributable</w:t>
            </w:r>
          </w:p>
        </w:tc>
        <w:tc>
          <w:tcPr>
            <w:tcW w:w="1956" w:type="dxa"/>
            <w:tcBorders>
              <w:bottom w:val="single" w:sz="4" w:space="0" w:color="000000"/>
            </w:tcBorders>
          </w:tcPr>
          <w:p>
            <w:pPr>
              <w:pStyle w:val="TableParagraph"/>
              <w:spacing w:line="232" w:lineRule="exact"/>
              <w:ind w:right="104"/>
              <w:jc w:val="right"/>
              <w:rPr>
                <w:sz w:val="22"/>
              </w:rPr>
            </w:pPr>
            <w:r>
              <w:rPr>
                <w:spacing w:val="-2"/>
                <w:sz w:val="22"/>
              </w:rPr>
              <w:t>(768)</w:t>
            </w:r>
          </w:p>
        </w:tc>
        <w:tc>
          <w:tcPr>
            <w:tcW w:w="1524" w:type="dxa"/>
          </w:tcPr>
          <w:p>
            <w:pPr>
              <w:pStyle w:val="TableParagraph"/>
              <w:rPr>
                <w:rFonts w:ascii="Times New Roman"/>
                <w:sz w:val="18"/>
              </w:rPr>
            </w:pPr>
          </w:p>
        </w:tc>
        <w:tc>
          <w:tcPr>
            <w:tcW w:w="1149" w:type="dxa"/>
          </w:tcPr>
          <w:p>
            <w:pPr>
              <w:pStyle w:val="TableParagraph"/>
              <w:rPr>
                <w:rFonts w:ascii="Times New Roman"/>
                <w:sz w:val="18"/>
              </w:rPr>
            </w:pPr>
          </w:p>
        </w:tc>
      </w:tr>
      <w:tr>
        <w:trPr>
          <w:trHeight w:val="253" w:hRule="atLeast"/>
        </w:trPr>
        <w:tc>
          <w:tcPr>
            <w:tcW w:w="5306" w:type="dxa"/>
            <w:tcBorders>
              <w:top w:val="single" w:sz="4" w:space="0" w:color="000000"/>
              <w:bottom w:val="single" w:sz="4" w:space="0" w:color="000000"/>
            </w:tcBorders>
          </w:tcPr>
          <w:p>
            <w:pPr>
              <w:pStyle w:val="TableParagraph"/>
              <w:spacing w:line="232" w:lineRule="exact" w:before="2"/>
              <w:ind w:left="115"/>
              <w:rPr>
                <w:b/>
                <w:sz w:val="22"/>
              </w:rPr>
            </w:pPr>
            <w:r>
              <w:rPr>
                <w:b/>
                <w:sz w:val="22"/>
              </w:rPr>
              <w:t>Surplus/(Deficit)</w:t>
            </w:r>
            <w:r>
              <w:rPr>
                <w:b/>
                <w:spacing w:val="-4"/>
                <w:sz w:val="22"/>
              </w:rPr>
              <w:t> </w:t>
            </w:r>
            <w:r>
              <w:rPr>
                <w:b/>
                <w:sz w:val="22"/>
              </w:rPr>
              <w:t>before</w:t>
            </w:r>
            <w:r>
              <w:rPr>
                <w:b/>
                <w:spacing w:val="-8"/>
                <w:sz w:val="22"/>
              </w:rPr>
              <w:t> </w:t>
            </w:r>
            <w:r>
              <w:rPr>
                <w:b/>
                <w:sz w:val="22"/>
              </w:rPr>
              <w:t>funding</w:t>
            </w:r>
            <w:r>
              <w:rPr>
                <w:b/>
                <w:spacing w:val="-3"/>
                <w:sz w:val="22"/>
              </w:rPr>
              <w:t> </w:t>
            </w:r>
            <w:r>
              <w:rPr>
                <w:b/>
                <w:spacing w:val="-2"/>
                <w:sz w:val="22"/>
              </w:rPr>
              <w:t>sources</w:t>
            </w:r>
          </w:p>
        </w:tc>
        <w:tc>
          <w:tcPr>
            <w:tcW w:w="1956" w:type="dxa"/>
            <w:tcBorders>
              <w:top w:val="single" w:sz="4" w:space="0" w:color="000000"/>
              <w:bottom w:val="single" w:sz="4" w:space="0" w:color="000000"/>
            </w:tcBorders>
          </w:tcPr>
          <w:p>
            <w:pPr>
              <w:pStyle w:val="TableParagraph"/>
              <w:spacing w:line="232" w:lineRule="exact" w:before="2"/>
              <w:ind w:right="104"/>
              <w:jc w:val="right"/>
              <w:rPr>
                <w:b/>
                <w:sz w:val="22"/>
              </w:rPr>
            </w:pPr>
            <w:r>
              <w:rPr>
                <w:b/>
                <w:spacing w:val="-2"/>
                <w:sz w:val="22"/>
              </w:rPr>
              <w:t>(117,384)</w:t>
            </w:r>
          </w:p>
        </w:tc>
        <w:tc>
          <w:tcPr>
            <w:tcW w:w="1524" w:type="dxa"/>
          </w:tcPr>
          <w:p>
            <w:pPr>
              <w:pStyle w:val="TableParagraph"/>
              <w:rPr>
                <w:rFonts w:ascii="Times New Roman"/>
                <w:sz w:val="18"/>
              </w:rPr>
            </w:pPr>
          </w:p>
        </w:tc>
        <w:tc>
          <w:tcPr>
            <w:tcW w:w="1149" w:type="dxa"/>
          </w:tcPr>
          <w:p>
            <w:pPr>
              <w:pStyle w:val="TableParagraph"/>
              <w:rPr>
                <w:rFonts w:ascii="Times New Roman"/>
                <w:sz w:val="18"/>
              </w:rPr>
            </w:pPr>
          </w:p>
        </w:tc>
      </w:tr>
      <w:tr>
        <w:trPr>
          <w:trHeight w:val="385" w:hRule="atLeast"/>
        </w:trPr>
        <w:tc>
          <w:tcPr>
            <w:tcW w:w="5306" w:type="dxa"/>
            <w:tcBorders>
              <w:top w:val="single" w:sz="4" w:space="0" w:color="000000"/>
            </w:tcBorders>
          </w:tcPr>
          <w:p>
            <w:pPr>
              <w:pStyle w:val="TableParagraph"/>
              <w:spacing w:before="2"/>
              <w:ind w:left="115"/>
              <w:rPr>
                <w:b/>
                <w:sz w:val="22"/>
              </w:rPr>
            </w:pPr>
            <w:r>
              <w:rPr>
                <w:b/>
                <w:sz w:val="22"/>
              </w:rPr>
              <w:t>Funding</w:t>
            </w:r>
            <w:r>
              <w:rPr>
                <w:b/>
                <w:spacing w:val="-1"/>
                <w:sz w:val="22"/>
              </w:rPr>
              <w:t> </w:t>
            </w:r>
            <w:r>
              <w:rPr>
                <w:b/>
                <w:spacing w:val="-2"/>
                <w:sz w:val="22"/>
              </w:rPr>
              <w:t>sources</w:t>
            </w:r>
          </w:p>
        </w:tc>
        <w:tc>
          <w:tcPr>
            <w:tcW w:w="1956" w:type="dxa"/>
            <w:tcBorders>
              <w:top w:val="single" w:sz="4" w:space="0" w:color="000000"/>
            </w:tcBorders>
          </w:tcPr>
          <w:p>
            <w:pPr>
              <w:pStyle w:val="TableParagraph"/>
              <w:rPr>
                <w:rFonts w:ascii="Times New Roman"/>
                <w:sz w:val="22"/>
              </w:rPr>
            </w:pP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506" w:hRule="atLeast"/>
        </w:trPr>
        <w:tc>
          <w:tcPr>
            <w:tcW w:w="5306" w:type="dxa"/>
          </w:tcPr>
          <w:p>
            <w:pPr>
              <w:pStyle w:val="TableParagraph"/>
              <w:spacing w:before="123"/>
              <w:ind w:left="115"/>
              <w:rPr>
                <w:sz w:val="22"/>
              </w:rPr>
            </w:pPr>
            <w:r>
              <w:rPr>
                <w:sz w:val="22"/>
              </w:rPr>
              <w:t>Rates</w:t>
            </w:r>
            <w:r>
              <w:rPr>
                <w:spacing w:val="-2"/>
                <w:sz w:val="22"/>
              </w:rPr>
              <w:t> </w:t>
            </w:r>
            <w:r>
              <w:rPr>
                <w:sz w:val="22"/>
              </w:rPr>
              <w:t>and</w:t>
            </w:r>
            <w:r>
              <w:rPr>
                <w:spacing w:val="-4"/>
                <w:sz w:val="22"/>
              </w:rPr>
              <w:t> </w:t>
            </w:r>
            <w:r>
              <w:rPr>
                <w:spacing w:val="-2"/>
                <w:sz w:val="22"/>
              </w:rPr>
              <w:t>charges</w:t>
            </w:r>
          </w:p>
        </w:tc>
        <w:tc>
          <w:tcPr>
            <w:tcW w:w="1956" w:type="dxa"/>
          </w:tcPr>
          <w:p>
            <w:pPr>
              <w:pStyle w:val="TableParagraph"/>
              <w:spacing w:before="123"/>
              <w:ind w:right="105"/>
              <w:jc w:val="right"/>
              <w:rPr>
                <w:sz w:val="22"/>
              </w:rPr>
            </w:pPr>
            <w:r>
              <w:rPr>
                <w:spacing w:val="-2"/>
                <w:sz w:val="22"/>
              </w:rPr>
              <w:t>111,667</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505" w:hRule="atLeast"/>
        </w:trPr>
        <w:tc>
          <w:tcPr>
            <w:tcW w:w="5306" w:type="dxa"/>
          </w:tcPr>
          <w:p>
            <w:pPr>
              <w:pStyle w:val="TableParagraph"/>
              <w:spacing w:before="123"/>
              <w:ind w:left="115"/>
              <w:rPr>
                <w:sz w:val="22"/>
              </w:rPr>
            </w:pPr>
            <w:r>
              <w:rPr>
                <w:sz w:val="22"/>
              </w:rPr>
              <w:t>Funding</w:t>
            </w:r>
            <w:r>
              <w:rPr>
                <w:spacing w:val="-4"/>
                <w:sz w:val="22"/>
              </w:rPr>
              <w:t> </w:t>
            </w:r>
            <w:r>
              <w:rPr>
                <w:spacing w:val="-2"/>
                <w:sz w:val="22"/>
              </w:rPr>
              <w:t>assistance</w:t>
            </w:r>
          </w:p>
        </w:tc>
        <w:tc>
          <w:tcPr>
            <w:tcW w:w="1956" w:type="dxa"/>
          </w:tcPr>
          <w:p>
            <w:pPr>
              <w:pStyle w:val="TableParagraph"/>
              <w:spacing w:before="123"/>
              <w:ind w:right="105"/>
              <w:jc w:val="right"/>
              <w:rPr>
                <w:sz w:val="22"/>
              </w:rPr>
            </w:pPr>
            <w:r>
              <w:rPr>
                <w:spacing w:val="-2"/>
                <w:sz w:val="22"/>
              </w:rPr>
              <w:t>5,607</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505" w:hRule="atLeast"/>
        </w:trPr>
        <w:tc>
          <w:tcPr>
            <w:tcW w:w="5306" w:type="dxa"/>
          </w:tcPr>
          <w:p>
            <w:pPr>
              <w:pStyle w:val="TableParagraph"/>
              <w:spacing w:before="122"/>
              <w:ind w:left="115"/>
              <w:rPr>
                <w:sz w:val="22"/>
              </w:rPr>
            </w:pPr>
            <w:r>
              <w:rPr>
                <w:sz w:val="22"/>
              </w:rPr>
              <w:t>Capital</w:t>
            </w:r>
            <w:r>
              <w:rPr>
                <w:spacing w:val="-2"/>
                <w:sz w:val="22"/>
              </w:rPr>
              <w:t> </w:t>
            </w:r>
            <w:r>
              <w:rPr>
                <w:sz w:val="22"/>
              </w:rPr>
              <w:t>grants</w:t>
            </w:r>
            <w:r>
              <w:rPr>
                <w:spacing w:val="-2"/>
                <w:sz w:val="22"/>
              </w:rPr>
              <w:t> </w:t>
            </w:r>
            <w:r>
              <w:rPr>
                <w:sz w:val="22"/>
              </w:rPr>
              <w:t>&amp;</w:t>
            </w:r>
            <w:r>
              <w:rPr>
                <w:spacing w:val="-3"/>
                <w:sz w:val="22"/>
              </w:rPr>
              <w:t> </w:t>
            </w:r>
            <w:r>
              <w:rPr>
                <w:spacing w:val="-2"/>
                <w:sz w:val="22"/>
              </w:rPr>
              <w:t>Contributions</w:t>
            </w:r>
          </w:p>
        </w:tc>
        <w:tc>
          <w:tcPr>
            <w:tcW w:w="1956" w:type="dxa"/>
          </w:tcPr>
          <w:p>
            <w:pPr>
              <w:pStyle w:val="TableParagraph"/>
              <w:spacing w:before="122"/>
              <w:ind w:right="106"/>
              <w:jc w:val="right"/>
              <w:rPr>
                <w:sz w:val="22"/>
              </w:rPr>
            </w:pPr>
            <w:r>
              <w:rPr>
                <w:spacing w:val="-2"/>
                <w:sz w:val="22"/>
              </w:rPr>
              <w:t>26,934</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506" w:hRule="atLeast"/>
        </w:trPr>
        <w:tc>
          <w:tcPr>
            <w:tcW w:w="5306" w:type="dxa"/>
          </w:tcPr>
          <w:p>
            <w:pPr>
              <w:pStyle w:val="TableParagraph"/>
              <w:spacing w:before="123"/>
              <w:ind w:left="115"/>
              <w:rPr>
                <w:sz w:val="22"/>
              </w:rPr>
            </w:pPr>
            <w:r>
              <w:rPr>
                <w:spacing w:val="-2"/>
                <w:sz w:val="22"/>
              </w:rPr>
              <w:t>Interest</w:t>
            </w:r>
          </w:p>
        </w:tc>
        <w:tc>
          <w:tcPr>
            <w:tcW w:w="1956" w:type="dxa"/>
          </w:tcPr>
          <w:p>
            <w:pPr>
              <w:pStyle w:val="TableParagraph"/>
              <w:spacing w:before="123"/>
              <w:ind w:right="105"/>
              <w:jc w:val="right"/>
              <w:rPr>
                <w:sz w:val="22"/>
              </w:rPr>
            </w:pPr>
            <w:r>
              <w:rPr>
                <w:spacing w:val="-2"/>
                <w:sz w:val="22"/>
              </w:rPr>
              <w:t>3,308</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516" w:hRule="atLeast"/>
        </w:trPr>
        <w:tc>
          <w:tcPr>
            <w:tcW w:w="5306" w:type="dxa"/>
          </w:tcPr>
          <w:p>
            <w:pPr>
              <w:pStyle w:val="TableParagraph"/>
              <w:spacing w:before="123"/>
              <w:ind w:left="115"/>
              <w:rPr>
                <w:b/>
                <w:sz w:val="22"/>
              </w:rPr>
            </w:pPr>
            <w:r>
              <w:rPr>
                <w:b/>
                <w:sz w:val="22"/>
              </w:rPr>
              <w:t>Total</w:t>
            </w:r>
            <w:r>
              <w:rPr>
                <w:b/>
                <w:spacing w:val="-2"/>
                <w:sz w:val="22"/>
              </w:rPr>
              <w:t> </w:t>
            </w:r>
            <w:r>
              <w:rPr>
                <w:b/>
                <w:sz w:val="22"/>
              </w:rPr>
              <w:t>funding</w:t>
            </w:r>
            <w:r>
              <w:rPr>
                <w:b/>
                <w:spacing w:val="-2"/>
                <w:sz w:val="22"/>
              </w:rPr>
              <w:t> sources</w:t>
            </w:r>
          </w:p>
        </w:tc>
        <w:tc>
          <w:tcPr>
            <w:tcW w:w="1956" w:type="dxa"/>
          </w:tcPr>
          <w:p>
            <w:pPr>
              <w:pStyle w:val="TableParagraph"/>
              <w:tabs>
                <w:tab w:pos="374" w:val="left" w:leader="none"/>
              </w:tabs>
              <w:spacing w:before="123"/>
              <w:ind w:right="105"/>
              <w:jc w:val="right"/>
              <w:rPr>
                <w:b/>
                <w:sz w:val="22"/>
              </w:rPr>
            </w:pPr>
            <w:r>
              <w:rPr>
                <w:rFonts w:ascii="Times New Roman"/>
                <w:sz w:val="22"/>
                <w:u w:val="single"/>
              </w:rPr>
              <w:tab/>
            </w:r>
            <w:r>
              <w:rPr>
                <w:b/>
                <w:spacing w:val="-2"/>
                <w:sz w:val="22"/>
                <w:u w:val="single"/>
              </w:rPr>
              <w:t>147,516</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r>
        <w:trPr>
          <w:trHeight w:val="386" w:hRule="atLeast"/>
        </w:trPr>
        <w:tc>
          <w:tcPr>
            <w:tcW w:w="5306" w:type="dxa"/>
            <w:tcBorders>
              <w:bottom w:val="single" w:sz="8" w:space="0" w:color="000000"/>
            </w:tcBorders>
          </w:tcPr>
          <w:p>
            <w:pPr>
              <w:pStyle w:val="TableParagraph"/>
              <w:spacing w:line="234" w:lineRule="exact" w:before="132"/>
              <w:ind w:left="115"/>
              <w:rPr>
                <w:b/>
                <w:sz w:val="22"/>
              </w:rPr>
            </w:pPr>
            <w:r>
              <w:rPr>
                <w:b/>
                <w:sz w:val="22"/>
              </w:rPr>
              <w:t>Surplus</w:t>
            </w:r>
            <w:r>
              <w:rPr>
                <w:b/>
                <w:spacing w:val="-2"/>
                <w:sz w:val="22"/>
              </w:rPr>
              <w:t> </w:t>
            </w:r>
            <w:r>
              <w:rPr>
                <w:b/>
                <w:sz w:val="22"/>
              </w:rPr>
              <w:t>for</w:t>
            </w:r>
            <w:r>
              <w:rPr>
                <w:b/>
                <w:spacing w:val="-2"/>
                <w:sz w:val="22"/>
              </w:rPr>
              <w:t> </w:t>
            </w:r>
            <w:r>
              <w:rPr>
                <w:b/>
                <w:sz w:val="22"/>
              </w:rPr>
              <w:t>the</w:t>
            </w:r>
            <w:r>
              <w:rPr>
                <w:b/>
                <w:spacing w:val="-4"/>
                <w:sz w:val="22"/>
              </w:rPr>
              <w:t> year</w:t>
            </w:r>
          </w:p>
        </w:tc>
        <w:tc>
          <w:tcPr>
            <w:tcW w:w="1956" w:type="dxa"/>
            <w:tcBorders>
              <w:bottom w:val="single" w:sz="8" w:space="0" w:color="000000"/>
            </w:tcBorders>
          </w:tcPr>
          <w:p>
            <w:pPr>
              <w:pStyle w:val="TableParagraph"/>
              <w:spacing w:line="234" w:lineRule="exact" w:before="132"/>
              <w:ind w:right="106"/>
              <w:jc w:val="right"/>
              <w:rPr>
                <w:b/>
                <w:sz w:val="22"/>
              </w:rPr>
            </w:pPr>
            <w:r>
              <w:rPr>
                <w:b/>
                <w:spacing w:val="-2"/>
                <w:sz w:val="22"/>
              </w:rPr>
              <w:t>30,132</w:t>
            </w:r>
          </w:p>
        </w:tc>
        <w:tc>
          <w:tcPr>
            <w:tcW w:w="1524" w:type="dxa"/>
          </w:tcPr>
          <w:p>
            <w:pPr>
              <w:pStyle w:val="TableParagraph"/>
              <w:rPr>
                <w:rFonts w:ascii="Times New Roman"/>
                <w:sz w:val="22"/>
              </w:rPr>
            </w:pPr>
          </w:p>
        </w:tc>
        <w:tc>
          <w:tcPr>
            <w:tcW w:w="1149" w:type="dxa"/>
          </w:tcPr>
          <w:p>
            <w:pPr>
              <w:pStyle w:val="TableParagraph"/>
              <w:rPr>
                <w:rFonts w:ascii="Times New Roman"/>
                <w:sz w:val="22"/>
              </w:rPr>
            </w:pPr>
          </w:p>
        </w:tc>
      </w:tr>
    </w:tbl>
    <w:p>
      <w:pPr>
        <w:spacing w:after="0"/>
        <w:rPr>
          <w:rFonts w:ascii="Times New Roman"/>
          <w:sz w:val="22"/>
        </w:rPr>
        <w:sectPr>
          <w:pgSz w:w="11910" w:h="16840"/>
          <w:pgMar w:header="0" w:footer="426" w:top="340" w:bottom="620" w:left="460" w:right="160"/>
        </w:sectPr>
      </w:pPr>
    </w:p>
    <w:p>
      <w:pPr>
        <w:pStyle w:val="Heading1"/>
        <w:numPr>
          <w:ilvl w:val="0"/>
          <w:numId w:val="11"/>
        </w:numPr>
        <w:tabs>
          <w:tab w:pos="1034" w:val="left" w:leader="none"/>
          <w:tab w:pos="1035" w:val="left" w:leader="none"/>
        </w:tabs>
        <w:spacing w:line="240" w:lineRule="auto" w:before="68" w:after="0"/>
        <w:ind w:left="1034" w:right="0" w:hanging="644"/>
        <w:jc w:val="left"/>
      </w:pPr>
      <w:bookmarkStart w:name="_TOC_250003" w:id="10"/>
      <w:r>
        <w:rPr>
          <w:color w:val="4966AC"/>
        </w:rPr>
        <w:t>Financial</w:t>
      </w:r>
      <w:r>
        <w:rPr>
          <w:color w:val="4966AC"/>
          <w:spacing w:val="-15"/>
        </w:rPr>
        <w:t> </w:t>
      </w:r>
      <w:bookmarkEnd w:id="10"/>
      <w:r>
        <w:rPr>
          <w:color w:val="4966AC"/>
          <w:spacing w:val="-2"/>
        </w:rPr>
        <w:t>Statements</w:t>
      </w:r>
    </w:p>
    <w:p>
      <w:pPr>
        <w:pStyle w:val="BodyText"/>
        <w:spacing w:before="252"/>
        <w:ind w:left="391" w:right="399"/>
        <w:jc w:val="both"/>
      </w:pPr>
      <w:r>
        <w:rPr/>
        <w:t>This section presents information regarding the Budgeted Financial Statements. The budget information for the years 2024/2025 to 2027/2028 has been extracted from the Financial Plan. A Statement of Human Resources is also included for the years 2024/2025 to 2027/2028.</w:t>
      </w:r>
    </w:p>
    <w:p>
      <w:pPr>
        <w:pStyle w:val="BodyText"/>
      </w:pPr>
    </w:p>
    <w:p>
      <w:pPr>
        <w:pStyle w:val="BodyText"/>
        <w:spacing w:before="1"/>
        <w:ind w:left="391" w:right="398"/>
        <w:jc w:val="both"/>
      </w:pPr>
      <w:r>
        <w:rPr/>
        <w:t>At the</w:t>
      </w:r>
      <w:r>
        <w:rPr>
          <w:spacing w:val="-1"/>
        </w:rPr>
        <w:t> </w:t>
      </w:r>
      <w:r>
        <w:rPr/>
        <w:t>end</w:t>
      </w:r>
      <w:r>
        <w:rPr>
          <w:spacing w:val="-1"/>
        </w:rPr>
        <w:t> </w:t>
      </w:r>
      <w:r>
        <w:rPr/>
        <w:t>of each</w:t>
      </w:r>
      <w:r>
        <w:rPr>
          <w:spacing w:val="-1"/>
        </w:rPr>
        <w:t> </w:t>
      </w:r>
      <w:r>
        <w:rPr/>
        <w:t>financial year Council is required to</w:t>
      </w:r>
      <w:r>
        <w:rPr>
          <w:spacing w:val="-1"/>
        </w:rPr>
        <w:t> </w:t>
      </w:r>
      <w:r>
        <w:rPr/>
        <w:t>report back to</w:t>
      </w:r>
      <w:r>
        <w:rPr>
          <w:spacing w:val="-1"/>
        </w:rPr>
        <w:t> </w:t>
      </w:r>
      <w:r>
        <w:rPr/>
        <w:t>the</w:t>
      </w:r>
      <w:r>
        <w:rPr>
          <w:spacing w:val="-1"/>
        </w:rPr>
        <w:t> </w:t>
      </w:r>
      <w:r>
        <w:rPr/>
        <w:t>community a</w:t>
      </w:r>
      <w:r>
        <w:rPr>
          <w:spacing w:val="-3"/>
        </w:rPr>
        <w:t> </w:t>
      </w:r>
      <w:r>
        <w:rPr/>
        <w:t>comparison</w:t>
      </w:r>
      <w:r>
        <w:rPr>
          <w:spacing w:val="-2"/>
        </w:rPr>
        <w:t> </w:t>
      </w:r>
      <w:r>
        <w:rPr/>
        <w:t>of actual financial results against these Budgeted Financial Statements and provide an explanation of significant variances.</w:t>
      </w:r>
      <w:r>
        <w:rPr>
          <w:spacing w:val="-3"/>
        </w:rPr>
        <w:t> </w:t>
      </w:r>
      <w:r>
        <w:rPr/>
        <w:t>The</w:t>
      </w:r>
      <w:r>
        <w:rPr>
          <w:spacing w:val="-1"/>
        </w:rPr>
        <w:t> </w:t>
      </w:r>
      <w:r>
        <w:rPr/>
        <w:t>Financial</w:t>
      </w:r>
      <w:r>
        <w:rPr>
          <w:spacing w:val="-5"/>
        </w:rPr>
        <w:t> </w:t>
      </w:r>
      <w:r>
        <w:rPr/>
        <w:t>Statements</w:t>
      </w:r>
      <w:r>
        <w:rPr>
          <w:spacing w:val="-3"/>
        </w:rPr>
        <w:t> </w:t>
      </w:r>
      <w:r>
        <w:rPr/>
        <w:t>together</w:t>
      </w:r>
      <w:r>
        <w:rPr>
          <w:spacing w:val="-3"/>
        </w:rPr>
        <w:t> </w:t>
      </w:r>
      <w:r>
        <w:rPr/>
        <w:t>with</w:t>
      </w:r>
      <w:r>
        <w:rPr>
          <w:spacing w:val="-4"/>
        </w:rPr>
        <w:t> </w:t>
      </w:r>
      <w:r>
        <w:rPr/>
        <w:t>the</w:t>
      </w:r>
      <w:r>
        <w:rPr>
          <w:spacing w:val="-4"/>
        </w:rPr>
        <w:t> </w:t>
      </w:r>
      <w:r>
        <w:rPr/>
        <w:t>Performance</w:t>
      </w:r>
      <w:r>
        <w:rPr>
          <w:spacing w:val="-4"/>
        </w:rPr>
        <w:t> </w:t>
      </w:r>
      <w:r>
        <w:rPr/>
        <w:t>Statement</w:t>
      </w:r>
      <w:r>
        <w:rPr>
          <w:spacing w:val="-1"/>
        </w:rPr>
        <w:t> </w:t>
      </w:r>
      <w:r>
        <w:rPr/>
        <w:t>provide</w:t>
      </w:r>
      <w:r>
        <w:rPr>
          <w:spacing w:val="-3"/>
        </w:rPr>
        <w:t> </w:t>
      </w:r>
      <w:r>
        <w:rPr/>
        <w:t>a</w:t>
      </w:r>
      <w:r>
        <w:rPr>
          <w:spacing w:val="-5"/>
        </w:rPr>
        <w:t> </w:t>
      </w:r>
      <w:r>
        <w:rPr/>
        <w:t>clear,</w:t>
      </w:r>
      <w:r>
        <w:rPr>
          <w:spacing w:val="-3"/>
        </w:rPr>
        <w:t> </w:t>
      </w:r>
      <w:r>
        <w:rPr/>
        <w:t>concise,</w:t>
      </w:r>
      <w:r>
        <w:rPr>
          <w:spacing w:val="-1"/>
        </w:rPr>
        <w:t> </w:t>
      </w:r>
      <w:r>
        <w:rPr/>
        <w:t>and understandable</w:t>
      </w:r>
      <w:r>
        <w:rPr>
          <w:spacing w:val="-1"/>
        </w:rPr>
        <w:t> </w:t>
      </w:r>
      <w:r>
        <w:rPr/>
        <w:t>report</w:t>
      </w:r>
      <w:r>
        <w:rPr>
          <w:spacing w:val="-1"/>
        </w:rPr>
        <w:t> </w:t>
      </w:r>
      <w:r>
        <w:rPr/>
        <w:t>of Council’s activities</w:t>
      </w:r>
      <w:r>
        <w:rPr>
          <w:spacing w:val="-2"/>
        </w:rPr>
        <w:t> </w:t>
      </w:r>
      <w:r>
        <w:rPr/>
        <w:t>for the year from both</w:t>
      </w:r>
      <w:r>
        <w:rPr>
          <w:spacing w:val="-1"/>
        </w:rPr>
        <w:t> </w:t>
      </w:r>
      <w:r>
        <w:rPr/>
        <w:t>a</w:t>
      </w:r>
      <w:r>
        <w:rPr>
          <w:spacing w:val="-1"/>
        </w:rPr>
        <w:t> </w:t>
      </w:r>
      <w:r>
        <w:rPr/>
        <w:t>financial and non-financial perspective, particularly for those users who do not have a financial background.</w:t>
      </w:r>
    </w:p>
    <w:p>
      <w:pPr>
        <w:pStyle w:val="BodyText"/>
        <w:spacing w:before="10"/>
        <w:rPr>
          <w:sz w:val="21"/>
        </w:rPr>
      </w:pPr>
    </w:p>
    <w:p>
      <w:pPr>
        <w:spacing w:before="0"/>
        <w:ind w:left="391" w:right="403" w:firstLine="0"/>
        <w:jc w:val="both"/>
        <w:rPr>
          <w:sz w:val="22"/>
        </w:rPr>
      </w:pPr>
      <w:r>
        <w:rPr>
          <w:sz w:val="22"/>
        </w:rPr>
        <w:t>This section includes the following financial statements prepared in accordance with the </w:t>
      </w:r>
      <w:r>
        <w:rPr>
          <w:i/>
          <w:sz w:val="22"/>
        </w:rPr>
        <w:t>Local Government</w:t>
      </w:r>
      <w:r>
        <w:rPr>
          <w:i/>
          <w:sz w:val="22"/>
        </w:rPr>
        <w:t> Act 2020 and the Local Government (Planning and Reporting) Regulations 2020</w:t>
      </w:r>
      <w:r>
        <w:rPr>
          <w:sz w:val="22"/>
        </w:rPr>
        <w:t>:</w:t>
      </w:r>
    </w:p>
    <w:p>
      <w:pPr>
        <w:pStyle w:val="BodyText"/>
        <w:spacing w:before="1"/>
      </w:pPr>
    </w:p>
    <w:p>
      <w:pPr>
        <w:pStyle w:val="ListParagraph"/>
        <w:numPr>
          <w:ilvl w:val="0"/>
          <w:numId w:val="12"/>
        </w:numPr>
        <w:tabs>
          <w:tab w:pos="958" w:val="left" w:leader="none"/>
          <w:tab w:pos="959" w:val="left" w:leader="none"/>
          <w:tab w:pos="5431" w:val="left" w:leader="none"/>
        </w:tabs>
        <w:spacing w:line="269" w:lineRule="exact" w:before="1" w:after="0"/>
        <w:ind w:left="958" w:right="0" w:hanging="568"/>
        <w:jc w:val="left"/>
        <w:rPr>
          <w:i/>
          <w:sz w:val="22"/>
        </w:rPr>
      </w:pPr>
      <w:r>
        <w:rPr>
          <w:sz w:val="22"/>
        </w:rPr>
        <w:t>Comprehensive</w:t>
      </w:r>
      <w:r>
        <w:rPr>
          <w:spacing w:val="-8"/>
          <w:sz w:val="22"/>
        </w:rPr>
        <w:t> </w:t>
      </w:r>
      <w:r>
        <w:rPr>
          <w:sz w:val="22"/>
        </w:rPr>
        <w:t>Income</w:t>
      </w:r>
      <w:r>
        <w:rPr>
          <w:spacing w:val="-7"/>
          <w:sz w:val="22"/>
        </w:rPr>
        <w:t> </w:t>
      </w:r>
      <w:r>
        <w:rPr>
          <w:sz w:val="22"/>
        </w:rPr>
        <w:t>Statement</w:t>
      </w:r>
      <w:r>
        <w:rPr>
          <w:spacing w:val="-6"/>
          <w:sz w:val="22"/>
        </w:rPr>
        <w:t> </w:t>
      </w:r>
      <w:r>
        <w:rPr>
          <w:spacing w:val="-5"/>
          <w:sz w:val="22"/>
        </w:rPr>
        <w:t>……</w:t>
      </w:r>
      <w:r>
        <w:rPr>
          <w:sz w:val="22"/>
        </w:rPr>
        <w:tab/>
      </w:r>
      <w:r>
        <w:rPr>
          <w:i/>
          <w:sz w:val="22"/>
        </w:rPr>
        <w:t>Page</w:t>
      </w:r>
      <w:r>
        <w:rPr>
          <w:i/>
          <w:spacing w:val="-1"/>
          <w:sz w:val="22"/>
        </w:rPr>
        <w:t> </w:t>
      </w:r>
      <w:r>
        <w:rPr>
          <w:i/>
          <w:spacing w:val="-5"/>
          <w:sz w:val="22"/>
        </w:rPr>
        <w:t>43</w:t>
      </w:r>
    </w:p>
    <w:p>
      <w:pPr>
        <w:pStyle w:val="ListParagraph"/>
        <w:numPr>
          <w:ilvl w:val="0"/>
          <w:numId w:val="12"/>
        </w:numPr>
        <w:tabs>
          <w:tab w:pos="958" w:val="left" w:leader="none"/>
          <w:tab w:pos="959" w:val="left" w:leader="none"/>
          <w:tab w:pos="5432" w:val="left" w:leader="none"/>
        </w:tabs>
        <w:spacing w:line="268" w:lineRule="exact" w:before="0" w:after="0"/>
        <w:ind w:left="958" w:right="0" w:hanging="568"/>
        <w:jc w:val="left"/>
        <w:rPr>
          <w:i/>
          <w:sz w:val="22"/>
        </w:rPr>
      </w:pPr>
      <w:r>
        <w:rPr>
          <w:i/>
          <w:sz w:val="22"/>
        </w:rPr>
        <w:t>Balance</w:t>
      </w:r>
      <w:r>
        <w:rPr>
          <w:i/>
          <w:spacing w:val="-4"/>
          <w:sz w:val="22"/>
        </w:rPr>
        <w:t> </w:t>
      </w:r>
      <w:r>
        <w:rPr>
          <w:i/>
          <w:sz w:val="22"/>
        </w:rPr>
        <w:t>Sheet</w:t>
      </w:r>
      <w:r>
        <w:rPr>
          <w:i/>
          <w:spacing w:val="-3"/>
          <w:sz w:val="22"/>
        </w:rPr>
        <w:t> </w:t>
      </w:r>
      <w:r>
        <w:rPr>
          <w:i/>
          <w:spacing w:val="-2"/>
          <w:sz w:val="22"/>
        </w:rPr>
        <w:t>…………………………...</w:t>
      </w:r>
      <w:r>
        <w:rPr>
          <w:i/>
          <w:sz w:val="22"/>
        </w:rPr>
        <w:tab/>
        <w:t>Page</w:t>
      </w:r>
      <w:r>
        <w:rPr>
          <w:i/>
          <w:spacing w:val="-4"/>
          <w:sz w:val="22"/>
        </w:rPr>
        <w:t> </w:t>
      </w:r>
      <w:r>
        <w:rPr>
          <w:i/>
          <w:spacing w:val="-5"/>
          <w:sz w:val="22"/>
        </w:rPr>
        <w:t>44</w:t>
      </w:r>
    </w:p>
    <w:p>
      <w:pPr>
        <w:pStyle w:val="ListParagraph"/>
        <w:numPr>
          <w:ilvl w:val="0"/>
          <w:numId w:val="12"/>
        </w:numPr>
        <w:tabs>
          <w:tab w:pos="958" w:val="left" w:leader="none"/>
          <w:tab w:pos="959" w:val="left" w:leader="none"/>
          <w:tab w:pos="5431" w:val="left" w:leader="none"/>
        </w:tabs>
        <w:spacing w:line="268" w:lineRule="exact" w:before="0" w:after="0"/>
        <w:ind w:left="958" w:right="0" w:hanging="568"/>
        <w:jc w:val="left"/>
        <w:rPr>
          <w:i/>
          <w:sz w:val="22"/>
        </w:rPr>
      </w:pPr>
      <w:r>
        <w:rPr>
          <w:i/>
          <w:sz w:val="22"/>
        </w:rPr>
        <w:t>Statement</w:t>
      </w:r>
      <w:r>
        <w:rPr>
          <w:i/>
          <w:spacing w:val="-3"/>
          <w:sz w:val="22"/>
        </w:rPr>
        <w:t> </w:t>
      </w:r>
      <w:r>
        <w:rPr>
          <w:i/>
          <w:sz w:val="22"/>
        </w:rPr>
        <w:t>of</w:t>
      </w:r>
      <w:r>
        <w:rPr>
          <w:i/>
          <w:spacing w:val="-4"/>
          <w:sz w:val="22"/>
        </w:rPr>
        <w:t> </w:t>
      </w:r>
      <w:r>
        <w:rPr>
          <w:i/>
          <w:sz w:val="22"/>
        </w:rPr>
        <w:t>Changes</w:t>
      </w:r>
      <w:r>
        <w:rPr>
          <w:i/>
          <w:spacing w:val="-2"/>
          <w:sz w:val="22"/>
        </w:rPr>
        <w:t> </w:t>
      </w:r>
      <w:r>
        <w:rPr>
          <w:i/>
          <w:sz w:val="22"/>
        </w:rPr>
        <w:t>in</w:t>
      </w:r>
      <w:r>
        <w:rPr>
          <w:i/>
          <w:spacing w:val="-3"/>
          <w:sz w:val="22"/>
        </w:rPr>
        <w:t> </w:t>
      </w:r>
      <w:r>
        <w:rPr>
          <w:i/>
          <w:spacing w:val="-2"/>
          <w:sz w:val="22"/>
        </w:rPr>
        <w:t>Equity……….</w:t>
      </w:r>
      <w:r>
        <w:rPr>
          <w:i/>
          <w:sz w:val="22"/>
        </w:rPr>
        <w:tab/>
        <w:t>Page</w:t>
      </w:r>
      <w:r>
        <w:rPr>
          <w:i/>
          <w:spacing w:val="-1"/>
          <w:sz w:val="22"/>
        </w:rPr>
        <w:t> </w:t>
      </w:r>
      <w:r>
        <w:rPr>
          <w:i/>
          <w:spacing w:val="-5"/>
          <w:sz w:val="22"/>
        </w:rPr>
        <w:t>45</w:t>
      </w:r>
    </w:p>
    <w:p>
      <w:pPr>
        <w:pStyle w:val="ListParagraph"/>
        <w:numPr>
          <w:ilvl w:val="0"/>
          <w:numId w:val="12"/>
        </w:numPr>
        <w:tabs>
          <w:tab w:pos="958" w:val="left" w:leader="none"/>
          <w:tab w:pos="959" w:val="left" w:leader="none"/>
          <w:tab w:pos="5432" w:val="left" w:leader="none"/>
        </w:tabs>
        <w:spacing w:line="268" w:lineRule="exact" w:before="0" w:after="0"/>
        <w:ind w:left="958" w:right="0" w:hanging="568"/>
        <w:jc w:val="left"/>
        <w:rPr>
          <w:i/>
          <w:sz w:val="22"/>
        </w:rPr>
      </w:pPr>
      <w:r>
        <w:rPr>
          <w:i/>
          <w:sz w:val="22"/>
        </w:rPr>
        <w:t>Statement</w:t>
      </w:r>
      <w:r>
        <w:rPr>
          <w:i/>
          <w:spacing w:val="-3"/>
          <w:sz w:val="22"/>
        </w:rPr>
        <w:t> </w:t>
      </w:r>
      <w:r>
        <w:rPr>
          <w:i/>
          <w:sz w:val="22"/>
        </w:rPr>
        <w:t>of</w:t>
      </w:r>
      <w:r>
        <w:rPr>
          <w:i/>
          <w:spacing w:val="-4"/>
          <w:sz w:val="22"/>
        </w:rPr>
        <w:t> </w:t>
      </w:r>
      <w:r>
        <w:rPr>
          <w:i/>
          <w:sz w:val="22"/>
        </w:rPr>
        <w:t>Cash</w:t>
      </w:r>
      <w:r>
        <w:rPr>
          <w:i/>
          <w:spacing w:val="-1"/>
          <w:sz w:val="22"/>
        </w:rPr>
        <w:t> </w:t>
      </w:r>
      <w:r>
        <w:rPr>
          <w:i/>
          <w:spacing w:val="-2"/>
          <w:sz w:val="22"/>
        </w:rPr>
        <w:t>Flow…………………</w:t>
      </w:r>
      <w:r>
        <w:rPr>
          <w:i/>
          <w:sz w:val="22"/>
        </w:rPr>
        <w:tab/>
        <w:t>Page</w:t>
      </w:r>
      <w:r>
        <w:rPr>
          <w:i/>
          <w:spacing w:val="-4"/>
          <w:sz w:val="22"/>
        </w:rPr>
        <w:t> </w:t>
      </w:r>
      <w:r>
        <w:rPr>
          <w:i/>
          <w:spacing w:val="-5"/>
          <w:sz w:val="22"/>
        </w:rPr>
        <w:t>46</w:t>
      </w:r>
    </w:p>
    <w:p>
      <w:pPr>
        <w:pStyle w:val="ListParagraph"/>
        <w:numPr>
          <w:ilvl w:val="0"/>
          <w:numId w:val="12"/>
        </w:numPr>
        <w:tabs>
          <w:tab w:pos="958" w:val="left" w:leader="none"/>
          <w:tab w:pos="959" w:val="left" w:leader="none"/>
          <w:tab w:pos="5432" w:val="left" w:leader="none"/>
        </w:tabs>
        <w:spacing w:line="268" w:lineRule="exact" w:before="0" w:after="0"/>
        <w:ind w:left="958" w:right="0" w:hanging="568"/>
        <w:jc w:val="left"/>
        <w:rPr>
          <w:i/>
          <w:sz w:val="22"/>
        </w:rPr>
      </w:pPr>
      <w:r>
        <w:rPr>
          <w:i/>
          <w:sz w:val="22"/>
        </w:rPr>
        <w:t>Statement</w:t>
      </w:r>
      <w:r>
        <w:rPr>
          <w:i/>
          <w:spacing w:val="-4"/>
          <w:sz w:val="22"/>
        </w:rPr>
        <w:t> </w:t>
      </w:r>
      <w:r>
        <w:rPr>
          <w:i/>
          <w:sz w:val="22"/>
        </w:rPr>
        <w:t>of</w:t>
      </w:r>
      <w:r>
        <w:rPr>
          <w:i/>
          <w:spacing w:val="-4"/>
          <w:sz w:val="22"/>
        </w:rPr>
        <w:t> </w:t>
      </w:r>
      <w:r>
        <w:rPr>
          <w:i/>
          <w:sz w:val="22"/>
        </w:rPr>
        <w:t>Capital</w:t>
      </w:r>
      <w:r>
        <w:rPr>
          <w:i/>
          <w:spacing w:val="-3"/>
          <w:sz w:val="22"/>
        </w:rPr>
        <w:t> </w:t>
      </w:r>
      <w:r>
        <w:rPr>
          <w:i/>
          <w:spacing w:val="-2"/>
          <w:sz w:val="22"/>
        </w:rPr>
        <w:t>Works…………….</w:t>
      </w:r>
      <w:r>
        <w:rPr>
          <w:i/>
          <w:sz w:val="22"/>
        </w:rPr>
        <w:tab/>
        <w:t>Page</w:t>
      </w:r>
      <w:r>
        <w:rPr>
          <w:i/>
          <w:spacing w:val="-4"/>
          <w:sz w:val="22"/>
        </w:rPr>
        <w:t> </w:t>
      </w:r>
      <w:r>
        <w:rPr>
          <w:i/>
          <w:spacing w:val="-5"/>
          <w:sz w:val="22"/>
        </w:rPr>
        <w:t>47</w:t>
      </w:r>
    </w:p>
    <w:p>
      <w:pPr>
        <w:pStyle w:val="ListParagraph"/>
        <w:numPr>
          <w:ilvl w:val="0"/>
          <w:numId w:val="12"/>
        </w:numPr>
        <w:tabs>
          <w:tab w:pos="958" w:val="left" w:leader="none"/>
          <w:tab w:pos="959" w:val="left" w:leader="none"/>
          <w:tab w:pos="5432" w:val="left" w:leader="none"/>
        </w:tabs>
        <w:spacing w:line="269" w:lineRule="exact" w:before="0" w:after="0"/>
        <w:ind w:left="958" w:right="0" w:hanging="568"/>
        <w:jc w:val="left"/>
        <w:rPr>
          <w:i/>
          <w:sz w:val="22"/>
        </w:rPr>
      </w:pPr>
      <w:r>
        <w:rPr>
          <w:i/>
          <w:sz w:val="22"/>
        </w:rPr>
        <w:t>Statement</w:t>
      </w:r>
      <w:r>
        <w:rPr>
          <w:i/>
          <w:spacing w:val="-3"/>
          <w:sz w:val="22"/>
        </w:rPr>
        <w:t> </w:t>
      </w:r>
      <w:r>
        <w:rPr>
          <w:i/>
          <w:sz w:val="22"/>
        </w:rPr>
        <w:t>of</w:t>
      </w:r>
      <w:r>
        <w:rPr>
          <w:i/>
          <w:spacing w:val="-5"/>
          <w:sz w:val="22"/>
        </w:rPr>
        <w:t> </w:t>
      </w:r>
      <w:r>
        <w:rPr>
          <w:i/>
          <w:sz w:val="22"/>
        </w:rPr>
        <w:t>Human</w:t>
      </w:r>
      <w:r>
        <w:rPr>
          <w:i/>
          <w:spacing w:val="-4"/>
          <w:sz w:val="22"/>
        </w:rPr>
        <w:t> </w:t>
      </w:r>
      <w:r>
        <w:rPr>
          <w:i/>
          <w:spacing w:val="-2"/>
          <w:sz w:val="22"/>
        </w:rPr>
        <w:t>Resources………</w:t>
      </w:r>
      <w:r>
        <w:rPr>
          <w:i/>
          <w:sz w:val="22"/>
        </w:rPr>
        <w:tab/>
        <w:t>Page</w:t>
      </w:r>
      <w:r>
        <w:rPr>
          <w:i/>
          <w:spacing w:val="-3"/>
          <w:sz w:val="22"/>
        </w:rPr>
        <w:t> </w:t>
      </w:r>
      <w:r>
        <w:rPr>
          <w:i/>
          <w:spacing w:val="-5"/>
          <w:sz w:val="22"/>
        </w:rPr>
        <w:t>48</w:t>
      </w:r>
    </w:p>
    <w:p>
      <w:pPr>
        <w:spacing w:after="0" w:line="269" w:lineRule="exact"/>
        <w:jc w:val="left"/>
        <w:rPr>
          <w:sz w:val="22"/>
        </w:rPr>
        <w:sectPr>
          <w:pgSz w:w="11910" w:h="16840"/>
          <w:pgMar w:header="0" w:footer="426" w:top="340" w:bottom="620" w:left="460" w:right="160"/>
        </w:sectPr>
      </w:pPr>
    </w:p>
    <w:p>
      <w:pPr>
        <w:pStyle w:val="BodyText"/>
        <w:spacing w:before="5"/>
        <w:rPr>
          <w:i/>
          <w:sz w:val="2"/>
        </w:rPr>
      </w:pPr>
    </w:p>
    <w:tbl>
      <w:tblPr>
        <w:tblW w:w="0" w:type="auto"/>
        <w:jc w:val="lef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25"/>
        <w:gridCol w:w="1026"/>
        <w:gridCol w:w="1275"/>
        <w:gridCol w:w="1273"/>
        <w:gridCol w:w="1311"/>
        <w:gridCol w:w="1447"/>
        <w:gridCol w:w="1215"/>
      </w:tblGrid>
      <w:tr>
        <w:trPr>
          <w:trHeight w:val="895" w:hRule="atLeast"/>
        </w:trPr>
        <w:tc>
          <w:tcPr>
            <w:tcW w:w="10772" w:type="dxa"/>
            <w:gridSpan w:val="7"/>
            <w:tcBorders>
              <w:top w:val="single" w:sz="4" w:space="0" w:color="000000"/>
              <w:left w:val="single" w:sz="4" w:space="0" w:color="000000"/>
              <w:right w:val="single" w:sz="4" w:space="0" w:color="000000"/>
            </w:tcBorders>
          </w:tcPr>
          <w:p>
            <w:pPr>
              <w:pStyle w:val="TableParagraph"/>
              <w:spacing w:line="276" w:lineRule="exact"/>
              <w:ind w:left="105"/>
              <w:rPr>
                <w:b/>
                <w:sz w:val="24"/>
              </w:rPr>
            </w:pPr>
            <w:r>
              <w:rPr>
                <w:b/>
                <w:color w:val="4966AC"/>
                <w:sz w:val="24"/>
              </w:rPr>
              <w:t>Comprehensive</w:t>
            </w:r>
            <w:r>
              <w:rPr>
                <w:b/>
                <w:color w:val="4966AC"/>
                <w:spacing w:val="-1"/>
                <w:sz w:val="24"/>
              </w:rPr>
              <w:t> </w:t>
            </w:r>
            <w:r>
              <w:rPr>
                <w:b/>
                <w:color w:val="4966AC"/>
                <w:sz w:val="24"/>
              </w:rPr>
              <w:t>Income </w:t>
            </w:r>
            <w:r>
              <w:rPr>
                <w:b/>
                <w:color w:val="4966AC"/>
                <w:spacing w:val="-2"/>
                <w:sz w:val="24"/>
              </w:rPr>
              <w:t>Statement</w:t>
            </w:r>
          </w:p>
          <w:p>
            <w:pPr>
              <w:pStyle w:val="TableParagraph"/>
              <w:spacing w:line="253" w:lineRule="exact"/>
              <w:ind w:left="105"/>
              <w:rPr>
                <w:sz w:val="22"/>
              </w:rPr>
            </w:pPr>
            <w:r>
              <w:rPr>
                <w:color w:val="4966AC"/>
                <w:sz w:val="22"/>
              </w:rPr>
              <w:t>For</w:t>
            </w:r>
            <w:r>
              <w:rPr>
                <w:color w:val="4966AC"/>
                <w:spacing w:val="-3"/>
                <w:sz w:val="22"/>
              </w:rPr>
              <w:t> </w:t>
            </w:r>
            <w:r>
              <w:rPr>
                <w:color w:val="4966AC"/>
                <w:sz w:val="22"/>
              </w:rPr>
              <w:t>the</w:t>
            </w:r>
            <w:r>
              <w:rPr>
                <w:color w:val="4966AC"/>
                <w:spacing w:val="-3"/>
                <w:sz w:val="22"/>
              </w:rPr>
              <w:t> </w:t>
            </w:r>
            <w:r>
              <w:rPr>
                <w:color w:val="4966AC"/>
                <w:sz w:val="22"/>
              </w:rPr>
              <w:t>four</w:t>
            </w:r>
            <w:r>
              <w:rPr>
                <w:color w:val="4966AC"/>
                <w:spacing w:val="-2"/>
                <w:sz w:val="22"/>
              </w:rPr>
              <w:t> </w:t>
            </w:r>
            <w:r>
              <w:rPr>
                <w:color w:val="4966AC"/>
                <w:sz w:val="22"/>
              </w:rPr>
              <w:t>years</w:t>
            </w:r>
            <w:r>
              <w:rPr>
                <w:color w:val="4966AC"/>
                <w:spacing w:val="-2"/>
                <w:sz w:val="22"/>
              </w:rPr>
              <w:t> </w:t>
            </w:r>
            <w:r>
              <w:rPr>
                <w:color w:val="4966AC"/>
                <w:sz w:val="22"/>
              </w:rPr>
              <w:t>ending</w:t>
            </w:r>
            <w:r>
              <w:rPr>
                <w:color w:val="4966AC"/>
                <w:spacing w:val="-3"/>
                <w:sz w:val="22"/>
              </w:rPr>
              <w:t> </w:t>
            </w:r>
            <w:r>
              <w:rPr>
                <w:color w:val="4966AC"/>
                <w:sz w:val="22"/>
              </w:rPr>
              <w:t>30</w:t>
            </w:r>
            <w:r>
              <w:rPr>
                <w:color w:val="4966AC"/>
                <w:spacing w:val="-2"/>
                <w:sz w:val="22"/>
              </w:rPr>
              <w:t> </w:t>
            </w:r>
            <w:r>
              <w:rPr>
                <w:color w:val="4966AC"/>
                <w:sz w:val="22"/>
              </w:rPr>
              <w:t>June</w:t>
            </w:r>
            <w:r>
              <w:rPr>
                <w:color w:val="4966AC"/>
                <w:spacing w:val="-3"/>
                <w:sz w:val="22"/>
              </w:rPr>
              <w:t> </w:t>
            </w:r>
            <w:r>
              <w:rPr>
                <w:color w:val="4966AC"/>
                <w:spacing w:val="-4"/>
                <w:sz w:val="22"/>
              </w:rPr>
              <w:t>2028</w:t>
            </w:r>
          </w:p>
        </w:tc>
      </w:tr>
      <w:tr>
        <w:trPr>
          <w:trHeight w:val="979" w:hRule="atLeast"/>
        </w:trPr>
        <w:tc>
          <w:tcPr>
            <w:tcW w:w="3225" w:type="dxa"/>
            <w:tcBorders>
              <w:left w:val="single" w:sz="4" w:space="0" w:color="000000"/>
            </w:tcBorders>
            <w:shd w:val="clear" w:color="auto" w:fill="5B9AD4"/>
          </w:tcPr>
          <w:p>
            <w:pPr>
              <w:pStyle w:val="TableParagraph"/>
              <w:rPr>
                <w:rFonts w:ascii="Times New Roman"/>
                <w:sz w:val="18"/>
              </w:rPr>
            </w:pPr>
          </w:p>
        </w:tc>
        <w:tc>
          <w:tcPr>
            <w:tcW w:w="1026" w:type="dxa"/>
            <w:shd w:val="clear" w:color="auto" w:fill="5B9AD4"/>
          </w:tcPr>
          <w:p>
            <w:pPr>
              <w:pStyle w:val="TableParagraph"/>
              <w:rPr>
                <w:i/>
                <w:sz w:val="22"/>
              </w:rPr>
            </w:pPr>
          </w:p>
          <w:p>
            <w:pPr>
              <w:pStyle w:val="TableParagraph"/>
              <w:rPr>
                <w:i/>
                <w:sz w:val="22"/>
              </w:rPr>
            </w:pPr>
          </w:p>
          <w:p>
            <w:pPr>
              <w:pStyle w:val="TableParagraph"/>
              <w:spacing w:before="5"/>
              <w:rPr>
                <w:i/>
                <w:sz w:val="20"/>
              </w:rPr>
            </w:pPr>
          </w:p>
          <w:p>
            <w:pPr>
              <w:pStyle w:val="TableParagraph"/>
              <w:spacing w:line="218" w:lineRule="exact"/>
              <w:ind w:left="178"/>
              <w:rPr>
                <w:b/>
                <w:sz w:val="20"/>
              </w:rPr>
            </w:pPr>
            <w:r>
              <w:rPr>
                <w:b/>
                <w:color w:val="FFFFFF"/>
                <w:spacing w:val="-2"/>
                <w:sz w:val="20"/>
              </w:rPr>
              <w:t>NOTES</w:t>
            </w:r>
          </w:p>
        </w:tc>
        <w:tc>
          <w:tcPr>
            <w:tcW w:w="1275" w:type="dxa"/>
            <w:shd w:val="clear" w:color="auto" w:fill="5B9AD4"/>
          </w:tcPr>
          <w:p>
            <w:pPr>
              <w:pStyle w:val="TableParagraph"/>
              <w:spacing w:line="254" w:lineRule="auto" w:before="7"/>
              <w:ind w:left="167" w:right="162" w:firstLine="3"/>
              <w:jc w:val="center"/>
              <w:rPr>
                <w:b/>
                <w:sz w:val="20"/>
              </w:rPr>
            </w:pPr>
            <w:r>
              <w:rPr>
                <w:b/>
                <w:color w:val="FFFFFF"/>
                <w:spacing w:val="-2"/>
                <w:sz w:val="20"/>
              </w:rPr>
              <w:t>Forecast Actual 2023/2024</w:t>
            </w:r>
          </w:p>
          <w:p>
            <w:pPr>
              <w:pStyle w:val="TableParagraph"/>
              <w:spacing w:line="218" w:lineRule="exact" w:before="3"/>
              <w:ind w:left="375" w:right="369"/>
              <w:jc w:val="center"/>
              <w:rPr>
                <w:b/>
                <w:sz w:val="20"/>
              </w:rPr>
            </w:pPr>
            <w:r>
              <w:rPr>
                <w:b/>
                <w:color w:val="FFFFFF"/>
                <w:spacing w:val="-2"/>
                <w:sz w:val="20"/>
              </w:rPr>
              <w:t>$’000</w:t>
            </w:r>
          </w:p>
        </w:tc>
        <w:tc>
          <w:tcPr>
            <w:tcW w:w="1273" w:type="dxa"/>
            <w:shd w:val="clear" w:color="auto" w:fill="5B9AD4"/>
          </w:tcPr>
          <w:p>
            <w:pPr>
              <w:pStyle w:val="TableParagraph"/>
              <w:spacing w:line="368" w:lineRule="exact" w:before="22"/>
              <w:ind w:left="166" w:right="159" w:firstLine="127"/>
              <w:rPr>
                <w:b/>
                <w:sz w:val="20"/>
              </w:rPr>
            </w:pPr>
            <w:r>
              <w:rPr>
                <w:b/>
                <w:color w:val="FFFFFF"/>
                <w:spacing w:val="-2"/>
                <w:sz w:val="20"/>
              </w:rPr>
              <w:t>Budget 2024/2025</w:t>
            </w:r>
          </w:p>
          <w:p>
            <w:pPr>
              <w:pStyle w:val="TableParagraph"/>
              <w:spacing w:line="201" w:lineRule="exact"/>
              <w:ind w:left="387"/>
              <w:rPr>
                <w:b/>
                <w:sz w:val="20"/>
              </w:rPr>
            </w:pPr>
            <w:r>
              <w:rPr>
                <w:b/>
                <w:color w:val="FFFFFF"/>
                <w:spacing w:val="-2"/>
                <w:sz w:val="20"/>
              </w:rPr>
              <w:t>$’000</w:t>
            </w:r>
          </w:p>
        </w:tc>
        <w:tc>
          <w:tcPr>
            <w:tcW w:w="1311" w:type="dxa"/>
            <w:shd w:val="clear" w:color="auto" w:fill="5B9AD4"/>
          </w:tcPr>
          <w:p>
            <w:pPr>
              <w:pStyle w:val="TableParagraph"/>
              <w:rPr>
                <w:i/>
                <w:sz w:val="22"/>
              </w:rPr>
            </w:pPr>
          </w:p>
          <w:p>
            <w:pPr>
              <w:pStyle w:val="TableParagraph"/>
              <w:spacing w:before="1"/>
              <w:rPr>
                <w:i/>
                <w:sz w:val="21"/>
              </w:rPr>
            </w:pPr>
          </w:p>
          <w:p>
            <w:pPr>
              <w:pStyle w:val="TableParagraph"/>
              <w:spacing w:before="1"/>
              <w:ind w:left="225" w:right="118"/>
              <w:jc w:val="center"/>
              <w:rPr>
                <w:b/>
                <w:sz w:val="20"/>
              </w:rPr>
            </w:pPr>
            <w:r>
              <w:rPr>
                <w:b/>
                <w:color w:val="FFFFFF"/>
                <w:spacing w:val="-2"/>
                <w:sz w:val="20"/>
              </w:rPr>
              <w:t>2025/2026</w:t>
            </w:r>
          </w:p>
          <w:p>
            <w:pPr>
              <w:pStyle w:val="TableParagraph"/>
              <w:spacing w:line="218" w:lineRule="exact" w:before="14"/>
              <w:ind w:left="224" w:right="118"/>
              <w:jc w:val="center"/>
              <w:rPr>
                <w:b/>
                <w:sz w:val="20"/>
              </w:rPr>
            </w:pPr>
            <w:r>
              <w:rPr>
                <w:b/>
                <w:color w:val="FFFFFF"/>
                <w:spacing w:val="-2"/>
                <w:sz w:val="20"/>
              </w:rPr>
              <w:t>$’000</w:t>
            </w:r>
          </w:p>
        </w:tc>
        <w:tc>
          <w:tcPr>
            <w:tcW w:w="1447" w:type="dxa"/>
            <w:shd w:val="clear" w:color="auto" w:fill="5B9AD4"/>
          </w:tcPr>
          <w:p>
            <w:pPr>
              <w:pStyle w:val="TableParagraph"/>
              <w:spacing w:line="254" w:lineRule="auto" w:before="7"/>
              <w:ind w:left="4" w:right="100"/>
              <w:jc w:val="center"/>
              <w:rPr>
                <w:b/>
                <w:sz w:val="20"/>
              </w:rPr>
            </w:pPr>
            <w:r>
              <w:rPr>
                <w:b/>
                <w:color w:val="FFFFFF"/>
                <w:sz w:val="20"/>
              </w:rPr>
              <w:t>Financial</w:t>
            </w:r>
            <w:r>
              <w:rPr>
                <w:b/>
                <w:color w:val="FFFFFF"/>
                <w:spacing w:val="-14"/>
                <w:sz w:val="20"/>
              </w:rPr>
              <w:t> </w:t>
            </w:r>
            <w:r>
              <w:rPr>
                <w:b/>
                <w:color w:val="FFFFFF"/>
                <w:sz w:val="20"/>
              </w:rPr>
              <w:t>Plan </w:t>
            </w:r>
            <w:r>
              <w:rPr>
                <w:b/>
                <w:color w:val="FFFFFF"/>
                <w:spacing w:val="-2"/>
                <w:sz w:val="20"/>
              </w:rPr>
              <w:t>Projections</w:t>
            </w:r>
          </w:p>
          <w:p>
            <w:pPr>
              <w:pStyle w:val="TableParagraph"/>
              <w:spacing w:before="2"/>
              <w:ind w:left="147" w:right="100"/>
              <w:jc w:val="center"/>
              <w:rPr>
                <w:b/>
                <w:sz w:val="20"/>
              </w:rPr>
            </w:pPr>
            <w:r>
              <w:rPr>
                <w:b/>
                <w:color w:val="FFFFFF"/>
                <w:spacing w:val="-2"/>
                <w:sz w:val="20"/>
              </w:rPr>
              <w:t>2026/2027</w:t>
            </w:r>
          </w:p>
          <w:p>
            <w:pPr>
              <w:pStyle w:val="TableParagraph"/>
              <w:spacing w:line="218" w:lineRule="exact" w:before="14"/>
              <w:ind w:left="145" w:right="100"/>
              <w:jc w:val="center"/>
              <w:rPr>
                <w:b/>
                <w:sz w:val="20"/>
              </w:rPr>
            </w:pPr>
            <w:r>
              <w:rPr>
                <w:b/>
                <w:color w:val="FFFFFF"/>
                <w:spacing w:val="-2"/>
                <w:sz w:val="20"/>
              </w:rPr>
              <w:t>$’000</w:t>
            </w:r>
          </w:p>
        </w:tc>
        <w:tc>
          <w:tcPr>
            <w:tcW w:w="1215" w:type="dxa"/>
            <w:tcBorders>
              <w:right w:val="single" w:sz="4" w:space="0" w:color="000000"/>
            </w:tcBorders>
            <w:shd w:val="clear" w:color="auto" w:fill="5B9AD4"/>
          </w:tcPr>
          <w:p>
            <w:pPr>
              <w:pStyle w:val="TableParagraph"/>
              <w:rPr>
                <w:i/>
                <w:sz w:val="22"/>
              </w:rPr>
            </w:pPr>
          </w:p>
          <w:p>
            <w:pPr>
              <w:pStyle w:val="TableParagraph"/>
              <w:spacing w:before="1"/>
              <w:rPr>
                <w:i/>
                <w:sz w:val="21"/>
              </w:rPr>
            </w:pPr>
          </w:p>
          <w:p>
            <w:pPr>
              <w:pStyle w:val="TableParagraph"/>
              <w:spacing w:before="1"/>
              <w:ind w:left="89" w:right="152"/>
              <w:jc w:val="center"/>
              <w:rPr>
                <w:b/>
                <w:sz w:val="20"/>
              </w:rPr>
            </w:pPr>
            <w:r>
              <w:rPr>
                <w:b/>
                <w:color w:val="FFFFFF"/>
                <w:spacing w:val="-2"/>
                <w:sz w:val="20"/>
              </w:rPr>
              <w:t>2027/2028</w:t>
            </w:r>
          </w:p>
          <w:p>
            <w:pPr>
              <w:pStyle w:val="TableParagraph"/>
              <w:spacing w:line="218" w:lineRule="exact" w:before="14"/>
              <w:ind w:left="89" w:right="149"/>
              <w:jc w:val="center"/>
              <w:rPr>
                <w:b/>
                <w:sz w:val="20"/>
              </w:rPr>
            </w:pPr>
            <w:r>
              <w:rPr>
                <w:b/>
                <w:color w:val="FFFFFF"/>
                <w:spacing w:val="-2"/>
                <w:sz w:val="20"/>
              </w:rPr>
              <w:t>$’000</w:t>
            </w:r>
          </w:p>
        </w:tc>
      </w:tr>
      <w:tr>
        <w:trPr>
          <w:trHeight w:val="240" w:hRule="atLeast"/>
        </w:trPr>
        <w:tc>
          <w:tcPr>
            <w:tcW w:w="3225" w:type="dxa"/>
            <w:tcBorders>
              <w:left w:val="single" w:sz="4" w:space="0" w:color="000000"/>
            </w:tcBorders>
          </w:tcPr>
          <w:p>
            <w:pPr>
              <w:pStyle w:val="TableParagraph"/>
              <w:spacing w:line="221" w:lineRule="exact"/>
              <w:ind w:left="105"/>
              <w:rPr>
                <w:b/>
                <w:sz w:val="20"/>
              </w:rPr>
            </w:pPr>
            <w:r>
              <w:rPr>
                <w:b/>
                <w:spacing w:val="-2"/>
                <w:sz w:val="20"/>
              </w:rPr>
              <w:t>Income/Revenue</w:t>
            </w:r>
          </w:p>
        </w:tc>
        <w:tc>
          <w:tcPr>
            <w:tcW w:w="1026" w:type="dxa"/>
          </w:tcPr>
          <w:p>
            <w:pPr>
              <w:pStyle w:val="TableParagraph"/>
              <w:rPr>
                <w:rFonts w:ascii="Times New Roman"/>
                <w:sz w:val="16"/>
              </w:rPr>
            </w:pPr>
          </w:p>
        </w:tc>
        <w:tc>
          <w:tcPr>
            <w:tcW w:w="1275" w:type="dxa"/>
          </w:tcPr>
          <w:p>
            <w:pPr>
              <w:pStyle w:val="TableParagraph"/>
              <w:rPr>
                <w:rFonts w:ascii="Times New Roman"/>
                <w:sz w:val="16"/>
              </w:rPr>
            </w:pPr>
          </w:p>
        </w:tc>
        <w:tc>
          <w:tcPr>
            <w:tcW w:w="1273" w:type="dxa"/>
            <w:shd w:val="clear" w:color="auto" w:fill="DDEBF6"/>
          </w:tcPr>
          <w:p>
            <w:pPr>
              <w:pStyle w:val="TableParagraph"/>
              <w:rPr>
                <w:rFonts w:ascii="Times New Roman"/>
                <w:sz w:val="16"/>
              </w:rPr>
            </w:pPr>
          </w:p>
        </w:tc>
        <w:tc>
          <w:tcPr>
            <w:tcW w:w="1311" w:type="dxa"/>
          </w:tcPr>
          <w:p>
            <w:pPr>
              <w:pStyle w:val="TableParagraph"/>
              <w:rPr>
                <w:rFonts w:ascii="Times New Roman"/>
                <w:sz w:val="16"/>
              </w:rPr>
            </w:pPr>
          </w:p>
        </w:tc>
        <w:tc>
          <w:tcPr>
            <w:tcW w:w="1447" w:type="dxa"/>
          </w:tcPr>
          <w:p>
            <w:pPr>
              <w:pStyle w:val="TableParagraph"/>
              <w:rPr>
                <w:rFonts w:ascii="Times New Roman"/>
                <w:sz w:val="16"/>
              </w:rPr>
            </w:pPr>
          </w:p>
        </w:tc>
        <w:tc>
          <w:tcPr>
            <w:tcW w:w="1215" w:type="dxa"/>
            <w:tcBorders>
              <w:right w:val="single" w:sz="4" w:space="0" w:color="000000"/>
            </w:tcBorders>
          </w:tcPr>
          <w:p>
            <w:pPr>
              <w:pStyle w:val="TableParagraph"/>
              <w:rPr>
                <w:rFonts w:ascii="Times New Roman"/>
                <w:sz w:val="16"/>
              </w:rPr>
            </w:pPr>
          </w:p>
        </w:tc>
      </w:tr>
      <w:tr>
        <w:trPr>
          <w:trHeight w:val="248" w:hRule="atLeast"/>
        </w:trPr>
        <w:tc>
          <w:tcPr>
            <w:tcW w:w="3225" w:type="dxa"/>
            <w:tcBorders>
              <w:left w:val="single" w:sz="4" w:space="0" w:color="000000"/>
            </w:tcBorders>
          </w:tcPr>
          <w:p>
            <w:pPr>
              <w:pStyle w:val="TableParagraph"/>
              <w:spacing w:line="225" w:lineRule="exact" w:before="4"/>
              <w:ind w:left="105"/>
              <w:rPr>
                <w:sz w:val="20"/>
              </w:rPr>
            </w:pPr>
            <w:r>
              <w:rPr>
                <w:sz w:val="20"/>
              </w:rPr>
              <w:t>Rates</w:t>
            </w:r>
            <w:r>
              <w:rPr>
                <w:spacing w:val="-5"/>
                <w:sz w:val="20"/>
              </w:rPr>
              <w:t> </w:t>
            </w:r>
            <w:r>
              <w:rPr>
                <w:sz w:val="20"/>
              </w:rPr>
              <w:t>and</w:t>
            </w:r>
            <w:r>
              <w:rPr>
                <w:spacing w:val="-6"/>
                <w:sz w:val="20"/>
              </w:rPr>
              <w:t> </w:t>
            </w:r>
            <w:r>
              <w:rPr>
                <w:spacing w:val="-2"/>
                <w:sz w:val="20"/>
              </w:rPr>
              <w:t>charges</w:t>
            </w:r>
          </w:p>
        </w:tc>
        <w:tc>
          <w:tcPr>
            <w:tcW w:w="1026" w:type="dxa"/>
          </w:tcPr>
          <w:p>
            <w:pPr>
              <w:pStyle w:val="TableParagraph"/>
              <w:spacing w:line="225" w:lineRule="exact" w:before="4"/>
              <w:ind w:left="300"/>
              <w:rPr>
                <w:sz w:val="20"/>
              </w:rPr>
            </w:pPr>
            <w:r>
              <w:rPr>
                <w:spacing w:val="-2"/>
                <w:sz w:val="20"/>
              </w:rPr>
              <w:t>4.1.1</w:t>
            </w:r>
          </w:p>
        </w:tc>
        <w:tc>
          <w:tcPr>
            <w:tcW w:w="1275" w:type="dxa"/>
          </w:tcPr>
          <w:p>
            <w:pPr>
              <w:pStyle w:val="TableParagraph"/>
              <w:spacing w:line="217" w:lineRule="exact" w:before="11"/>
              <w:ind w:right="104"/>
              <w:jc w:val="right"/>
              <w:rPr>
                <w:sz w:val="20"/>
              </w:rPr>
            </w:pPr>
            <w:r>
              <w:rPr>
                <w:spacing w:val="-2"/>
                <w:sz w:val="20"/>
              </w:rPr>
              <w:t>108,039</w:t>
            </w:r>
          </w:p>
        </w:tc>
        <w:tc>
          <w:tcPr>
            <w:tcW w:w="1273" w:type="dxa"/>
            <w:shd w:val="clear" w:color="auto" w:fill="DDEBF6"/>
          </w:tcPr>
          <w:p>
            <w:pPr>
              <w:pStyle w:val="TableParagraph"/>
              <w:spacing w:line="217" w:lineRule="exact" w:before="11"/>
              <w:ind w:right="105"/>
              <w:jc w:val="right"/>
              <w:rPr>
                <w:b/>
                <w:sz w:val="20"/>
              </w:rPr>
            </w:pPr>
            <w:r>
              <w:rPr>
                <w:b/>
                <w:spacing w:val="-2"/>
                <w:sz w:val="20"/>
              </w:rPr>
              <w:t>111,667</w:t>
            </w:r>
          </w:p>
        </w:tc>
        <w:tc>
          <w:tcPr>
            <w:tcW w:w="1311" w:type="dxa"/>
          </w:tcPr>
          <w:p>
            <w:pPr>
              <w:pStyle w:val="TableParagraph"/>
              <w:spacing w:line="217" w:lineRule="exact" w:before="11"/>
              <w:jc w:val="right"/>
              <w:rPr>
                <w:sz w:val="20"/>
              </w:rPr>
            </w:pPr>
            <w:r>
              <w:rPr>
                <w:spacing w:val="-2"/>
                <w:sz w:val="20"/>
              </w:rPr>
              <w:t>115,539</w:t>
            </w:r>
          </w:p>
        </w:tc>
        <w:tc>
          <w:tcPr>
            <w:tcW w:w="1447" w:type="dxa"/>
          </w:tcPr>
          <w:p>
            <w:pPr>
              <w:pStyle w:val="TableParagraph"/>
              <w:spacing w:line="217" w:lineRule="exact" w:before="11"/>
              <w:ind w:right="168"/>
              <w:jc w:val="right"/>
              <w:rPr>
                <w:sz w:val="20"/>
              </w:rPr>
            </w:pPr>
            <w:r>
              <w:rPr>
                <w:spacing w:val="-2"/>
                <w:sz w:val="20"/>
              </w:rPr>
              <w:t>119,636</w:t>
            </w:r>
          </w:p>
        </w:tc>
        <w:tc>
          <w:tcPr>
            <w:tcW w:w="1215" w:type="dxa"/>
            <w:tcBorders>
              <w:right w:val="single" w:sz="4" w:space="0" w:color="000000"/>
            </w:tcBorders>
          </w:tcPr>
          <w:p>
            <w:pPr>
              <w:pStyle w:val="TableParagraph"/>
              <w:spacing w:line="217" w:lineRule="exact" w:before="11"/>
              <w:ind w:right="104"/>
              <w:jc w:val="right"/>
              <w:rPr>
                <w:sz w:val="20"/>
              </w:rPr>
            </w:pPr>
            <w:r>
              <w:rPr>
                <w:spacing w:val="-2"/>
                <w:sz w:val="20"/>
              </w:rPr>
              <w:t>123,866</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Statutory</w:t>
            </w:r>
            <w:r>
              <w:rPr>
                <w:spacing w:val="-7"/>
                <w:sz w:val="20"/>
              </w:rPr>
              <w:t> </w:t>
            </w:r>
            <w:r>
              <w:rPr>
                <w:sz w:val="20"/>
              </w:rPr>
              <w:t>fees</w:t>
            </w:r>
            <w:r>
              <w:rPr>
                <w:spacing w:val="-6"/>
                <w:sz w:val="20"/>
              </w:rPr>
              <w:t> </w:t>
            </w:r>
            <w:r>
              <w:rPr>
                <w:sz w:val="20"/>
              </w:rPr>
              <w:t>and</w:t>
            </w:r>
            <w:r>
              <w:rPr>
                <w:spacing w:val="-6"/>
                <w:sz w:val="20"/>
              </w:rPr>
              <w:t> </w:t>
            </w:r>
            <w:r>
              <w:rPr>
                <w:spacing w:val="-4"/>
                <w:sz w:val="20"/>
              </w:rPr>
              <w:t>fines</w:t>
            </w:r>
          </w:p>
        </w:tc>
        <w:tc>
          <w:tcPr>
            <w:tcW w:w="1026" w:type="dxa"/>
          </w:tcPr>
          <w:p>
            <w:pPr>
              <w:pStyle w:val="TableParagraph"/>
              <w:spacing w:line="225" w:lineRule="exact"/>
              <w:ind w:left="300"/>
              <w:rPr>
                <w:sz w:val="20"/>
              </w:rPr>
            </w:pPr>
            <w:r>
              <w:rPr>
                <w:spacing w:val="-2"/>
                <w:sz w:val="20"/>
              </w:rPr>
              <w:t>4.1.2</w:t>
            </w:r>
          </w:p>
        </w:tc>
        <w:tc>
          <w:tcPr>
            <w:tcW w:w="1275" w:type="dxa"/>
          </w:tcPr>
          <w:p>
            <w:pPr>
              <w:pStyle w:val="TableParagraph"/>
              <w:spacing w:line="217" w:lineRule="exact" w:before="7"/>
              <w:ind w:right="103"/>
              <w:jc w:val="right"/>
              <w:rPr>
                <w:sz w:val="20"/>
              </w:rPr>
            </w:pPr>
            <w:r>
              <w:rPr>
                <w:spacing w:val="-2"/>
                <w:sz w:val="20"/>
              </w:rPr>
              <w:t>5,846</w:t>
            </w:r>
          </w:p>
        </w:tc>
        <w:tc>
          <w:tcPr>
            <w:tcW w:w="1273" w:type="dxa"/>
            <w:shd w:val="clear" w:color="auto" w:fill="DDEBF6"/>
          </w:tcPr>
          <w:p>
            <w:pPr>
              <w:pStyle w:val="TableParagraph"/>
              <w:spacing w:line="217" w:lineRule="exact" w:before="7"/>
              <w:ind w:right="104"/>
              <w:jc w:val="right"/>
              <w:rPr>
                <w:b/>
                <w:sz w:val="20"/>
              </w:rPr>
            </w:pPr>
            <w:r>
              <w:rPr>
                <w:b/>
                <w:spacing w:val="-2"/>
                <w:sz w:val="20"/>
              </w:rPr>
              <w:t>6,137</w:t>
            </w:r>
          </w:p>
        </w:tc>
        <w:tc>
          <w:tcPr>
            <w:tcW w:w="1311" w:type="dxa"/>
          </w:tcPr>
          <w:p>
            <w:pPr>
              <w:pStyle w:val="TableParagraph"/>
              <w:spacing w:line="217" w:lineRule="exact" w:before="7"/>
              <w:ind w:right="1"/>
              <w:jc w:val="right"/>
              <w:rPr>
                <w:sz w:val="20"/>
              </w:rPr>
            </w:pPr>
            <w:r>
              <w:rPr>
                <w:spacing w:val="-2"/>
                <w:sz w:val="20"/>
              </w:rPr>
              <w:t>6,408</w:t>
            </w:r>
          </w:p>
        </w:tc>
        <w:tc>
          <w:tcPr>
            <w:tcW w:w="1447" w:type="dxa"/>
          </w:tcPr>
          <w:p>
            <w:pPr>
              <w:pStyle w:val="TableParagraph"/>
              <w:spacing w:line="217" w:lineRule="exact" w:before="7"/>
              <w:ind w:right="167"/>
              <w:jc w:val="right"/>
              <w:rPr>
                <w:sz w:val="20"/>
              </w:rPr>
            </w:pPr>
            <w:r>
              <w:rPr>
                <w:spacing w:val="-2"/>
                <w:sz w:val="20"/>
              </w:rPr>
              <w:t>6,454</w:t>
            </w:r>
          </w:p>
        </w:tc>
        <w:tc>
          <w:tcPr>
            <w:tcW w:w="1215" w:type="dxa"/>
            <w:tcBorders>
              <w:right w:val="single" w:sz="4" w:space="0" w:color="000000"/>
            </w:tcBorders>
          </w:tcPr>
          <w:p>
            <w:pPr>
              <w:pStyle w:val="TableParagraph"/>
              <w:spacing w:line="217" w:lineRule="exact" w:before="7"/>
              <w:ind w:right="103"/>
              <w:jc w:val="right"/>
              <w:rPr>
                <w:sz w:val="20"/>
              </w:rPr>
            </w:pPr>
            <w:r>
              <w:rPr>
                <w:spacing w:val="-2"/>
                <w:sz w:val="20"/>
              </w:rPr>
              <w:t>6,604</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User</w:t>
            </w:r>
            <w:r>
              <w:rPr>
                <w:spacing w:val="-4"/>
                <w:sz w:val="20"/>
              </w:rPr>
              <w:t> fees</w:t>
            </w:r>
          </w:p>
        </w:tc>
        <w:tc>
          <w:tcPr>
            <w:tcW w:w="1026" w:type="dxa"/>
          </w:tcPr>
          <w:p>
            <w:pPr>
              <w:pStyle w:val="TableParagraph"/>
              <w:spacing w:line="225" w:lineRule="exact"/>
              <w:ind w:left="300"/>
              <w:rPr>
                <w:sz w:val="20"/>
              </w:rPr>
            </w:pPr>
            <w:r>
              <w:rPr>
                <w:spacing w:val="-2"/>
                <w:sz w:val="20"/>
              </w:rPr>
              <w:t>4.1.3</w:t>
            </w:r>
          </w:p>
        </w:tc>
        <w:tc>
          <w:tcPr>
            <w:tcW w:w="1275" w:type="dxa"/>
          </w:tcPr>
          <w:p>
            <w:pPr>
              <w:pStyle w:val="TableParagraph"/>
              <w:spacing w:line="217" w:lineRule="exact" w:before="7"/>
              <w:ind w:right="104"/>
              <w:jc w:val="right"/>
              <w:rPr>
                <w:sz w:val="20"/>
              </w:rPr>
            </w:pPr>
            <w:r>
              <w:rPr>
                <w:spacing w:val="-2"/>
                <w:sz w:val="20"/>
              </w:rPr>
              <w:t>31,635</w:t>
            </w:r>
          </w:p>
        </w:tc>
        <w:tc>
          <w:tcPr>
            <w:tcW w:w="1273" w:type="dxa"/>
            <w:shd w:val="clear" w:color="auto" w:fill="DDEBF6"/>
          </w:tcPr>
          <w:p>
            <w:pPr>
              <w:pStyle w:val="TableParagraph"/>
              <w:spacing w:line="217" w:lineRule="exact" w:before="7"/>
              <w:ind w:right="105"/>
              <w:jc w:val="right"/>
              <w:rPr>
                <w:b/>
                <w:sz w:val="20"/>
              </w:rPr>
            </w:pPr>
            <w:r>
              <w:rPr>
                <w:b/>
                <w:spacing w:val="-2"/>
                <w:sz w:val="20"/>
              </w:rPr>
              <w:t>33,133</w:t>
            </w:r>
          </w:p>
        </w:tc>
        <w:tc>
          <w:tcPr>
            <w:tcW w:w="1311" w:type="dxa"/>
          </w:tcPr>
          <w:p>
            <w:pPr>
              <w:pStyle w:val="TableParagraph"/>
              <w:spacing w:line="217" w:lineRule="exact" w:before="7"/>
              <w:jc w:val="right"/>
              <w:rPr>
                <w:sz w:val="20"/>
              </w:rPr>
            </w:pPr>
            <w:r>
              <w:rPr>
                <w:spacing w:val="-2"/>
                <w:sz w:val="20"/>
              </w:rPr>
              <w:t>36,130</w:t>
            </w:r>
          </w:p>
        </w:tc>
        <w:tc>
          <w:tcPr>
            <w:tcW w:w="1447" w:type="dxa"/>
          </w:tcPr>
          <w:p>
            <w:pPr>
              <w:pStyle w:val="TableParagraph"/>
              <w:spacing w:line="217" w:lineRule="exact" w:before="7"/>
              <w:ind w:right="168"/>
              <w:jc w:val="right"/>
              <w:rPr>
                <w:sz w:val="20"/>
              </w:rPr>
            </w:pPr>
            <w:r>
              <w:rPr>
                <w:spacing w:val="-2"/>
                <w:sz w:val="20"/>
              </w:rPr>
              <w:t>37,891</w:t>
            </w:r>
          </w:p>
        </w:tc>
        <w:tc>
          <w:tcPr>
            <w:tcW w:w="1215" w:type="dxa"/>
            <w:tcBorders>
              <w:right w:val="single" w:sz="4" w:space="0" w:color="000000"/>
            </w:tcBorders>
          </w:tcPr>
          <w:p>
            <w:pPr>
              <w:pStyle w:val="TableParagraph"/>
              <w:spacing w:line="217" w:lineRule="exact" w:before="7"/>
              <w:ind w:right="104"/>
              <w:jc w:val="right"/>
              <w:rPr>
                <w:sz w:val="20"/>
              </w:rPr>
            </w:pPr>
            <w:r>
              <w:rPr>
                <w:spacing w:val="-2"/>
                <w:sz w:val="20"/>
              </w:rPr>
              <w:t>39,571</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Grants</w:t>
            </w:r>
            <w:r>
              <w:rPr>
                <w:spacing w:val="-6"/>
                <w:sz w:val="20"/>
              </w:rPr>
              <w:t> </w:t>
            </w:r>
            <w:r>
              <w:rPr>
                <w:sz w:val="20"/>
              </w:rPr>
              <w:t>-</w:t>
            </w:r>
            <w:r>
              <w:rPr>
                <w:spacing w:val="-2"/>
                <w:sz w:val="20"/>
              </w:rPr>
              <w:t>operating</w:t>
            </w:r>
          </w:p>
        </w:tc>
        <w:tc>
          <w:tcPr>
            <w:tcW w:w="1026" w:type="dxa"/>
          </w:tcPr>
          <w:p>
            <w:pPr>
              <w:pStyle w:val="TableParagraph"/>
              <w:spacing w:line="225" w:lineRule="exact"/>
              <w:ind w:left="300"/>
              <w:rPr>
                <w:sz w:val="20"/>
              </w:rPr>
            </w:pPr>
            <w:r>
              <w:rPr>
                <w:spacing w:val="-2"/>
                <w:sz w:val="20"/>
              </w:rPr>
              <w:t>4.1.4</w:t>
            </w:r>
          </w:p>
        </w:tc>
        <w:tc>
          <w:tcPr>
            <w:tcW w:w="1275" w:type="dxa"/>
          </w:tcPr>
          <w:p>
            <w:pPr>
              <w:pStyle w:val="TableParagraph"/>
              <w:spacing w:line="217" w:lineRule="exact" w:before="7"/>
              <w:ind w:right="103"/>
              <w:jc w:val="right"/>
              <w:rPr>
                <w:sz w:val="20"/>
              </w:rPr>
            </w:pPr>
            <w:r>
              <w:rPr>
                <w:spacing w:val="-2"/>
                <w:sz w:val="20"/>
              </w:rPr>
              <w:t>7,837</w:t>
            </w:r>
          </w:p>
        </w:tc>
        <w:tc>
          <w:tcPr>
            <w:tcW w:w="1273" w:type="dxa"/>
            <w:shd w:val="clear" w:color="auto" w:fill="DDEBF6"/>
          </w:tcPr>
          <w:p>
            <w:pPr>
              <w:pStyle w:val="TableParagraph"/>
              <w:spacing w:line="217" w:lineRule="exact" w:before="7"/>
              <w:ind w:right="104"/>
              <w:jc w:val="right"/>
              <w:rPr>
                <w:b/>
                <w:sz w:val="20"/>
              </w:rPr>
            </w:pPr>
            <w:r>
              <w:rPr>
                <w:b/>
                <w:spacing w:val="-2"/>
                <w:sz w:val="20"/>
              </w:rPr>
              <w:t>9,029</w:t>
            </w:r>
          </w:p>
        </w:tc>
        <w:tc>
          <w:tcPr>
            <w:tcW w:w="1311" w:type="dxa"/>
          </w:tcPr>
          <w:p>
            <w:pPr>
              <w:pStyle w:val="TableParagraph"/>
              <w:spacing w:line="217" w:lineRule="exact" w:before="7"/>
              <w:ind w:right="1"/>
              <w:jc w:val="right"/>
              <w:rPr>
                <w:sz w:val="20"/>
              </w:rPr>
            </w:pPr>
            <w:r>
              <w:rPr>
                <w:spacing w:val="-2"/>
                <w:sz w:val="20"/>
              </w:rPr>
              <w:t>8,415</w:t>
            </w:r>
          </w:p>
        </w:tc>
        <w:tc>
          <w:tcPr>
            <w:tcW w:w="1447" w:type="dxa"/>
          </w:tcPr>
          <w:p>
            <w:pPr>
              <w:pStyle w:val="TableParagraph"/>
              <w:spacing w:line="217" w:lineRule="exact" w:before="7"/>
              <w:ind w:right="167"/>
              <w:jc w:val="right"/>
              <w:rPr>
                <w:sz w:val="20"/>
              </w:rPr>
            </w:pPr>
            <w:r>
              <w:rPr>
                <w:spacing w:val="-2"/>
                <w:sz w:val="20"/>
              </w:rPr>
              <w:t>8,549</w:t>
            </w:r>
          </w:p>
        </w:tc>
        <w:tc>
          <w:tcPr>
            <w:tcW w:w="1215" w:type="dxa"/>
            <w:tcBorders>
              <w:right w:val="single" w:sz="4" w:space="0" w:color="000000"/>
            </w:tcBorders>
          </w:tcPr>
          <w:p>
            <w:pPr>
              <w:pStyle w:val="TableParagraph"/>
              <w:spacing w:line="217" w:lineRule="exact" w:before="7"/>
              <w:ind w:right="103"/>
              <w:jc w:val="right"/>
              <w:rPr>
                <w:sz w:val="20"/>
              </w:rPr>
            </w:pPr>
            <w:r>
              <w:rPr>
                <w:spacing w:val="-2"/>
                <w:sz w:val="20"/>
              </w:rPr>
              <w:t>8,671</w:t>
            </w:r>
          </w:p>
        </w:tc>
      </w:tr>
      <w:tr>
        <w:trPr>
          <w:trHeight w:val="246" w:hRule="atLeast"/>
        </w:trPr>
        <w:tc>
          <w:tcPr>
            <w:tcW w:w="3225" w:type="dxa"/>
            <w:tcBorders>
              <w:left w:val="single" w:sz="4" w:space="0" w:color="000000"/>
            </w:tcBorders>
          </w:tcPr>
          <w:p>
            <w:pPr>
              <w:pStyle w:val="TableParagraph"/>
              <w:spacing w:line="226" w:lineRule="exact"/>
              <w:ind w:left="105"/>
              <w:rPr>
                <w:sz w:val="20"/>
              </w:rPr>
            </w:pPr>
            <w:r>
              <w:rPr>
                <w:sz w:val="20"/>
              </w:rPr>
              <w:t>Grants</w:t>
            </w:r>
            <w:r>
              <w:rPr>
                <w:spacing w:val="-3"/>
                <w:sz w:val="20"/>
              </w:rPr>
              <w:t> </w:t>
            </w:r>
            <w:r>
              <w:rPr>
                <w:sz w:val="20"/>
              </w:rPr>
              <w:t>-</w:t>
            </w:r>
            <w:r>
              <w:rPr>
                <w:spacing w:val="-5"/>
                <w:sz w:val="20"/>
              </w:rPr>
              <w:t> </w:t>
            </w:r>
            <w:r>
              <w:rPr>
                <w:spacing w:val="-2"/>
                <w:sz w:val="20"/>
              </w:rPr>
              <w:t>capital</w:t>
            </w:r>
          </w:p>
        </w:tc>
        <w:tc>
          <w:tcPr>
            <w:tcW w:w="1026" w:type="dxa"/>
          </w:tcPr>
          <w:p>
            <w:pPr>
              <w:pStyle w:val="TableParagraph"/>
              <w:spacing w:line="226" w:lineRule="exact"/>
              <w:ind w:left="300"/>
              <w:rPr>
                <w:sz w:val="20"/>
              </w:rPr>
            </w:pPr>
            <w:r>
              <w:rPr>
                <w:spacing w:val="-2"/>
                <w:sz w:val="20"/>
              </w:rPr>
              <w:t>4.1.4</w:t>
            </w:r>
          </w:p>
        </w:tc>
        <w:tc>
          <w:tcPr>
            <w:tcW w:w="1275" w:type="dxa"/>
          </w:tcPr>
          <w:p>
            <w:pPr>
              <w:pStyle w:val="TableParagraph"/>
              <w:spacing w:line="216" w:lineRule="exact" w:before="10"/>
              <w:ind w:right="103"/>
              <w:jc w:val="right"/>
              <w:rPr>
                <w:sz w:val="20"/>
              </w:rPr>
            </w:pPr>
            <w:r>
              <w:rPr>
                <w:spacing w:val="-2"/>
                <w:sz w:val="20"/>
              </w:rPr>
              <w:t>6,241</w:t>
            </w:r>
          </w:p>
        </w:tc>
        <w:tc>
          <w:tcPr>
            <w:tcW w:w="1273" w:type="dxa"/>
            <w:shd w:val="clear" w:color="auto" w:fill="DDEBF6"/>
          </w:tcPr>
          <w:p>
            <w:pPr>
              <w:pStyle w:val="TableParagraph"/>
              <w:spacing w:line="216" w:lineRule="exact" w:before="10"/>
              <w:ind w:right="105"/>
              <w:jc w:val="right"/>
              <w:rPr>
                <w:b/>
                <w:sz w:val="20"/>
              </w:rPr>
            </w:pPr>
            <w:r>
              <w:rPr>
                <w:b/>
                <w:spacing w:val="-2"/>
                <w:sz w:val="20"/>
              </w:rPr>
              <w:t>26,708</w:t>
            </w:r>
          </w:p>
        </w:tc>
        <w:tc>
          <w:tcPr>
            <w:tcW w:w="1311" w:type="dxa"/>
          </w:tcPr>
          <w:p>
            <w:pPr>
              <w:pStyle w:val="TableParagraph"/>
              <w:spacing w:line="216" w:lineRule="exact" w:before="10"/>
              <w:ind w:right="1"/>
              <w:jc w:val="right"/>
              <w:rPr>
                <w:sz w:val="20"/>
              </w:rPr>
            </w:pPr>
            <w:r>
              <w:rPr>
                <w:spacing w:val="-2"/>
                <w:sz w:val="20"/>
              </w:rPr>
              <w:t>3,008</w:t>
            </w:r>
          </w:p>
        </w:tc>
        <w:tc>
          <w:tcPr>
            <w:tcW w:w="1447" w:type="dxa"/>
          </w:tcPr>
          <w:p>
            <w:pPr>
              <w:pStyle w:val="TableParagraph"/>
              <w:spacing w:line="216" w:lineRule="exact" w:before="10"/>
              <w:ind w:right="167"/>
              <w:jc w:val="right"/>
              <w:rPr>
                <w:sz w:val="20"/>
              </w:rPr>
            </w:pPr>
            <w:r>
              <w:rPr>
                <w:spacing w:val="-2"/>
                <w:sz w:val="20"/>
              </w:rPr>
              <w:t>7,008</w:t>
            </w:r>
          </w:p>
        </w:tc>
        <w:tc>
          <w:tcPr>
            <w:tcW w:w="1215" w:type="dxa"/>
            <w:tcBorders>
              <w:right w:val="single" w:sz="4" w:space="0" w:color="000000"/>
            </w:tcBorders>
          </w:tcPr>
          <w:p>
            <w:pPr>
              <w:pStyle w:val="TableParagraph"/>
              <w:spacing w:line="216" w:lineRule="exact" w:before="10"/>
              <w:ind w:right="104"/>
              <w:jc w:val="right"/>
              <w:rPr>
                <w:sz w:val="20"/>
              </w:rPr>
            </w:pPr>
            <w:r>
              <w:rPr>
                <w:spacing w:val="-2"/>
                <w:sz w:val="20"/>
              </w:rPr>
              <w:t>18,971</w:t>
            </w:r>
          </w:p>
        </w:tc>
      </w:tr>
      <w:tr>
        <w:trPr>
          <w:trHeight w:val="245" w:hRule="atLeast"/>
        </w:trPr>
        <w:tc>
          <w:tcPr>
            <w:tcW w:w="3225" w:type="dxa"/>
            <w:tcBorders>
              <w:left w:val="single" w:sz="4" w:space="0" w:color="000000"/>
            </w:tcBorders>
          </w:tcPr>
          <w:p>
            <w:pPr>
              <w:pStyle w:val="TableParagraph"/>
              <w:spacing w:line="226" w:lineRule="exact"/>
              <w:ind w:left="105"/>
              <w:rPr>
                <w:sz w:val="20"/>
              </w:rPr>
            </w:pPr>
            <w:r>
              <w:rPr>
                <w:sz w:val="20"/>
              </w:rPr>
              <w:t>Contributions</w:t>
            </w:r>
            <w:r>
              <w:rPr>
                <w:spacing w:val="-8"/>
                <w:sz w:val="20"/>
              </w:rPr>
              <w:t> </w:t>
            </w:r>
            <w:r>
              <w:rPr>
                <w:sz w:val="20"/>
              </w:rPr>
              <w:t>-</w:t>
            </w:r>
            <w:r>
              <w:rPr>
                <w:spacing w:val="-7"/>
                <w:sz w:val="20"/>
              </w:rPr>
              <w:t> </w:t>
            </w:r>
            <w:r>
              <w:rPr>
                <w:spacing w:val="-2"/>
                <w:sz w:val="20"/>
              </w:rPr>
              <w:t>monetary</w:t>
            </w:r>
          </w:p>
        </w:tc>
        <w:tc>
          <w:tcPr>
            <w:tcW w:w="1026" w:type="dxa"/>
          </w:tcPr>
          <w:p>
            <w:pPr>
              <w:pStyle w:val="TableParagraph"/>
              <w:spacing w:line="226" w:lineRule="exact"/>
              <w:ind w:left="300"/>
              <w:rPr>
                <w:sz w:val="20"/>
              </w:rPr>
            </w:pPr>
            <w:r>
              <w:rPr>
                <w:spacing w:val="-2"/>
                <w:sz w:val="20"/>
              </w:rPr>
              <w:t>4.1.5</w:t>
            </w:r>
          </w:p>
        </w:tc>
        <w:tc>
          <w:tcPr>
            <w:tcW w:w="1275" w:type="dxa"/>
          </w:tcPr>
          <w:p>
            <w:pPr>
              <w:pStyle w:val="TableParagraph"/>
              <w:spacing w:line="217" w:lineRule="exact" w:before="8"/>
              <w:ind w:right="103"/>
              <w:jc w:val="right"/>
              <w:rPr>
                <w:sz w:val="20"/>
              </w:rPr>
            </w:pPr>
            <w:r>
              <w:rPr>
                <w:spacing w:val="-2"/>
                <w:sz w:val="20"/>
              </w:rPr>
              <w:t>7,762</w:t>
            </w:r>
          </w:p>
        </w:tc>
        <w:tc>
          <w:tcPr>
            <w:tcW w:w="1273" w:type="dxa"/>
            <w:shd w:val="clear" w:color="auto" w:fill="DDEBF6"/>
          </w:tcPr>
          <w:p>
            <w:pPr>
              <w:pStyle w:val="TableParagraph"/>
              <w:spacing w:line="217" w:lineRule="exact" w:before="8"/>
              <w:ind w:right="104"/>
              <w:jc w:val="right"/>
              <w:rPr>
                <w:b/>
                <w:sz w:val="20"/>
              </w:rPr>
            </w:pPr>
            <w:r>
              <w:rPr>
                <w:b/>
                <w:spacing w:val="-2"/>
                <w:sz w:val="20"/>
              </w:rPr>
              <w:t>7,697</w:t>
            </w:r>
          </w:p>
        </w:tc>
        <w:tc>
          <w:tcPr>
            <w:tcW w:w="1311" w:type="dxa"/>
          </w:tcPr>
          <w:p>
            <w:pPr>
              <w:pStyle w:val="TableParagraph"/>
              <w:spacing w:line="217" w:lineRule="exact" w:before="8"/>
              <w:ind w:right="1"/>
              <w:jc w:val="right"/>
              <w:rPr>
                <w:sz w:val="20"/>
              </w:rPr>
            </w:pPr>
            <w:r>
              <w:rPr>
                <w:spacing w:val="-2"/>
                <w:sz w:val="20"/>
              </w:rPr>
              <w:t>6,356</w:t>
            </w:r>
          </w:p>
        </w:tc>
        <w:tc>
          <w:tcPr>
            <w:tcW w:w="1447" w:type="dxa"/>
          </w:tcPr>
          <w:p>
            <w:pPr>
              <w:pStyle w:val="TableParagraph"/>
              <w:spacing w:line="217" w:lineRule="exact" w:before="8"/>
              <w:ind w:right="167"/>
              <w:jc w:val="right"/>
              <w:rPr>
                <w:sz w:val="20"/>
              </w:rPr>
            </w:pPr>
            <w:r>
              <w:rPr>
                <w:spacing w:val="-2"/>
                <w:sz w:val="20"/>
              </w:rPr>
              <w:t>7,002</w:t>
            </w:r>
          </w:p>
        </w:tc>
        <w:tc>
          <w:tcPr>
            <w:tcW w:w="1215" w:type="dxa"/>
            <w:tcBorders>
              <w:right w:val="single" w:sz="4" w:space="0" w:color="000000"/>
            </w:tcBorders>
          </w:tcPr>
          <w:p>
            <w:pPr>
              <w:pStyle w:val="TableParagraph"/>
              <w:spacing w:line="217" w:lineRule="exact" w:before="8"/>
              <w:ind w:right="103"/>
              <w:jc w:val="right"/>
              <w:rPr>
                <w:sz w:val="20"/>
              </w:rPr>
            </w:pPr>
            <w:r>
              <w:rPr>
                <w:spacing w:val="-2"/>
                <w:sz w:val="20"/>
              </w:rPr>
              <w:t>7,723</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Contributions</w:t>
            </w:r>
            <w:r>
              <w:rPr>
                <w:spacing w:val="-9"/>
                <w:sz w:val="20"/>
              </w:rPr>
              <w:t> </w:t>
            </w:r>
            <w:r>
              <w:rPr>
                <w:sz w:val="20"/>
              </w:rPr>
              <w:t>-</w:t>
            </w:r>
            <w:r>
              <w:rPr>
                <w:spacing w:val="-11"/>
                <w:sz w:val="20"/>
              </w:rPr>
              <w:t> </w:t>
            </w:r>
            <w:r>
              <w:rPr>
                <w:sz w:val="20"/>
              </w:rPr>
              <w:t>non-</w:t>
            </w:r>
            <w:r>
              <w:rPr>
                <w:spacing w:val="-2"/>
                <w:sz w:val="20"/>
              </w:rPr>
              <w:t>monetary</w:t>
            </w:r>
          </w:p>
        </w:tc>
        <w:tc>
          <w:tcPr>
            <w:tcW w:w="1026" w:type="dxa"/>
          </w:tcPr>
          <w:p>
            <w:pPr>
              <w:pStyle w:val="TableParagraph"/>
              <w:spacing w:line="225" w:lineRule="exact"/>
              <w:ind w:left="300"/>
              <w:rPr>
                <w:sz w:val="20"/>
              </w:rPr>
            </w:pPr>
            <w:r>
              <w:rPr>
                <w:spacing w:val="-2"/>
                <w:sz w:val="20"/>
              </w:rPr>
              <w:t>4.1.5</w:t>
            </w:r>
          </w:p>
        </w:tc>
        <w:tc>
          <w:tcPr>
            <w:tcW w:w="1275" w:type="dxa"/>
          </w:tcPr>
          <w:p>
            <w:pPr>
              <w:pStyle w:val="TableParagraph"/>
              <w:spacing w:line="217" w:lineRule="exact" w:before="7"/>
              <w:ind w:right="103"/>
              <w:jc w:val="right"/>
              <w:rPr>
                <w:sz w:val="20"/>
              </w:rPr>
            </w:pPr>
            <w:r>
              <w:rPr>
                <w:w w:val="99"/>
                <w:sz w:val="20"/>
              </w:rPr>
              <w:t>-</w:t>
            </w:r>
          </w:p>
        </w:tc>
        <w:tc>
          <w:tcPr>
            <w:tcW w:w="1273" w:type="dxa"/>
            <w:shd w:val="clear" w:color="auto" w:fill="DDEBF6"/>
          </w:tcPr>
          <w:p>
            <w:pPr>
              <w:pStyle w:val="TableParagraph"/>
              <w:spacing w:line="217" w:lineRule="exact" w:before="7"/>
              <w:ind w:right="104"/>
              <w:jc w:val="right"/>
              <w:rPr>
                <w:b/>
                <w:sz w:val="20"/>
              </w:rPr>
            </w:pPr>
            <w:r>
              <w:rPr>
                <w:b/>
                <w:w w:val="99"/>
                <w:sz w:val="20"/>
              </w:rPr>
              <w:t>-</w:t>
            </w:r>
          </w:p>
        </w:tc>
        <w:tc>
          <w:tcPr>
            <w:tcW w:w="1311" w:type="dxa"/>
          </w:tcPr>
          <w:p>
            <w:pPr>
              <w:pStyle w:val="TableParagraph"/>
              <w:spacing w:line="217" w:lineRule="exact" w:before="7"/>
              <w:ind w:right="1"/>
              <w:jc w:val="right"/>
              <w:rPr>
                <w:sz w:val="20"/>
              </w:rPr>
            </w:pPr>
            <w:r>
              <w:rPr>
                <w:w w:val="99"/>
                <w:sz w:val="20"/>
              </w:rPr>
              <w:t>-</w:t>
            </w:r>
          </w:p>
        </w:tc>
        <w:tc>
          <w:tcPr>
            <w:tcW w:w="1447" w:type="dxa"/>
          </w:tcPr>
          <w:p>
            <w:pPr>
              <w:pStyle w:val="TableParagraph"/>
              <w:spacing w:line="217" w:lineRule="exact" w:before="7"/>
              <w:ind w:right="167"/>
              <w:jc w:val="right"/>
              <w:rPr>
                <w:sz w:val="20"/>
              </w:rPr>
            </w:pPr>
            <w:r>
              <w:rPr>
                <w:w w:val="99"/>
                <w:sz w:val="20"/>
              </w:rPr>
              <w:t>-</w:t>
            </w:r>
          </w:p>
        </w:tc>
        <w:tc>
          <w:tcPr>
            <w:tcW w:w="1215" w:type="dxa"/>
            <w:tcBorders>
              <w:right w:val="single" w:sz="4" w:space="0" w:color="000000"/>
            </w:tcBorders>
          </w:tcPr>
          <w:p>
            <w:pPr>
              <w:pStyle w:val="TableParagraph"/>
              <w:spacing w:line="217" w:lineRule="exact" w:before="7"/>
              <w:ind w:right="102"/>
              <w:jc w:val="right"/>
              <w:rPr>
                <w:sz w:val="20"/>
              </w:rPr>
            </w:pPr>
            <w:r>
              <w:rPr>
                <w:w w:val="99"/>
                <w:sz w:val="20"/>
              </w:rPr>
              <w:t>-</w:t>
            </w:r>
          </w:p>
        </w:tc>
      </w:tr>
      <w:tr>
        <w:trPr>
          <w:trHeight w:val="232" w:hRule="atLeast"/>
        </w:trPr>
        <w:tc>
          <w:tcPr>
            <w:tcW w:w="3225" w:type="dxa"/>
            <w:tcBorders>
              <w:left w:val="single" w:sz="4" w:space="0" w:color="000000"/>
            </w:tcBorders>
          </w:tcPr>
          <w:p>
            <w:pPr>
              <w:pStyle w:val="TableParagraph"/>
              <w:spacing w:line="213" w:lineRule="exact"/>
              <w:ind w:left="105"/>
              <w:rPr>
                <w:sz w:val="20"/>
              </w:rPr>
            </w:pPr>
            <w:r>
              <w:rPr>
                <w:sz w:val="20"/>
              </w:rPr>
              <w:t>Net</w:t>
            </w:r>
            <w:r>
              <w:rPr>
                <w:spacing w:val="-7"/>
                <w:sz w:val="20"/>
              </w:rPr>
              <w:t> </w:t>
            </w:r>
            <w:r>
              <w:rPr>
                <w:sz w:val="20"/>
              </w:rPr>
              <w:t>(gain)/loss</w:t>
            </w:r>
            <w:r>
              <w:rPr>
                <w:spacing w:val="-7"/>
                <w:sz w:val="20"/>
              </w:rPr>
              <w:t> </w:t>
            </w:r>
            <w:r>
              <w:rPr>
                <w:sz w:val="20"/>
              </w:rPr>
              <w:t>on</w:t>
            </w:r>
            <w:r>
              <w:rPr>
                <w:spacing w:val="-4"/>
                <w:sz w:val="20"/>
              </w:rPr>
              <w:t> </w:t>
            </w:r>
            <w:r>
              <w:rPr>
                <w:sz w:val="20"/>
              </w:rPr>
              <w:t>disposal</w:t>
            </w:r>
            <w:r>
              <w:rPr>
                <w:spacing w:val="-4"/>
                <w:sz w:val="20"/>
              </w:rPr>
              <w:t> </w:t>
            </w:r>
            <w:r>
              <w:rPr>
                <w:spacing w:val="-5"/>
                <w:sz w:val="20"/>
              </w:rPr>
              <w:t>of</w:t>
            </w:r>
          </w:p>
        </w:tc>
        <w:tc>
          <w:tcPr>
            <w:tcW w:w="1026" w:type="dxa"/>
          </w:tcPr>
          <w:p>
            <w:pPr>
              <w:pStyle w:val="TableParagraph"/>
              <w:rPr>
                <w:rFonts w:ascii="Times New Roman"/>
                <w:sz w:val="16"/>
              </w:rPr>
            </w:pPr>
          </w:p>
        </w:tc>
        <w:tc>
          <w:tcPr>
            <w:tcW w:w="1275" w:type="dxa"/>
          </w:tcPr>
          <w:p>
            <w:pPr>
              <w:pStyle w:val="TableParagraph"/>
              <w:rPr>
                <w:rFonts w:ascii="Times New Roman"/>
                <w:sz w:val="16"/>
              </w:rPr>
            </w:pPr>
          </w:p>
        </w:tc>
        <w:tc>
          <w:tcPr>
            <w:tcW w:w="1273" w:type="dxa"/>
            <w:shd w:val="clear" w:color="auto" w:fill="DDEBF6"/>
          </w:tcPr>
          <w:p>
            <w:pPr>
              <w:pStyle w:val="TableParagraph"/>
              <w:rPr>
                <w:rFonts w:ascii="Times New Roman"/>
                <w:sz w:val="16"/>
              </w:rPr>
            </w:pPr>
          </w:p>
        </w:tc>
        <w:tc>
          <w:tcPr>
            <w:tcW w:w="1311" w:type="dxa"/>
          </w:tcPr>
          <w:p>
            <w:pPr>
              <w:pStyle w:val="TableParagraph"/>
              <w:rPr>
                <w:rFonts w:ascii="Times New Roman"/>
                <w:sz w:val="16"/>
              </w:rPr>
            </w:pPr>
          </w:p>
        </w:tc>
        <w:tc>
          <w:tcPr>
            <w:tcW w:w="1447" w:type="dxa"/>
          </w:tcPr>
          <w:p>
            <w:pPr>
              <w:pStyle w:val="TableParagraph"/>
              <w:rPr>
                <w:rFonts w:ascii="Times New Roman"/>
                <w:sz w:val="16"/>
              </w:rPr>
            </w:pPr>
          </w:p>
        </w:tc>
        <w:tc>
          <w:tcPr>
            <w:tcW w:w="1215" w:type="dxa"/>
            <w:tcBorders>
              <w:right w:val="single" w:sz="4" w:space="0" w:color="000000"/>
            </w:tcBorders>
          </w:tcPr>
          <w:p>
            <w:pPr>
              <w:pStyle w:val="TableParagraph"/>
              <w:rPr>
                <w:rFonts w:ascii="Times New Roman"/>
                <w:sz w:val="16"/>
              </w:rPr>
            </w:pPr>
          </w:p>
        </w:tc>
      </w:tr>
      <w:tr>
        <w:trPr>
          <w:trHeight w:val="229" w:hRule="atLeast"/>
        </w:trPr>
        <w:tc>
          <w:tcPr>
            <w:tcW w:w="3225" w:type="dxa"/>
            <w:tcBorders>
              <w:left w:val="single" w:sz="4" w:space="0" w:color="000000"/>
            </w:tcBorders>
          </w:tcPr>
          <w:p>
            <w:pPr>
              <w:pStyle w:val="TableParagraph"/>
              <w:spacing w:line="209" w:lineRule="exact"/>
              <w:ind w:left="105"/>
              <w:rPr>
                <w:sz w:val="20"/>
              </w:rPr>
            </w:pPr>
            <w:r>
              <w:rPr>
                <w:sz w:val="20"/>
              </w:rPr>
              <w:t>property,</w:t>
            </w:r>
            <w:r>
              <w:rPr>
                <w:spacing w:val="-7"/>
                <w:sz w:val="20"/>
              </w:rPr>
              <w:t> </w:t>
            </w:r>
            <w:r>
              <w:rPr>
                <w:sz w:val="20"/>
              </w:rPr>
              <w:t>infrastructure,</w:t>
            </w:r>
            <w:r>
              <w:rPr>
                <w:spacing w:val="-9"/>
                <w:sz w:val="20"/>
              </w:rPr>
              <w:t> </w:t>
            </w:r>
            <w:r>
              <w:rPr>
                <w:sz w:val="20"/>
              </w:rPr>
              <w:t>plant</w:t>
            </w:r>
            <w:r>
              <w:rPr>
                <w:spacing w:val="-9"/>
                <w:sz w:val="20"/>
              </w:rPr>
              <w:t> </w:t>
            </w:r>
            <w:r>
              <w:rPr>
                <w:spacing w:val="-5"/>
                <w:sz w:val="20"/>
              </w:rPr>
              <w:t>and</w:t>
            </w:r>
          </w:p>
        </w:tc>
        <w:tc>
          <w:tcPr>
            <w:tcW w:w="1026" w:type="dxa"/>
          </w:tcPr>
          <w:p>
            <w:pPr>
              <w:pStyle w:val="TableParagraph"/>
              <w:rPr>
                <w:rFonts w:ascii="Times New Roman"/>
                <w:sz w:val="16"/>
              </w:rPr>
            </w:pPr>
          </w:p>
        </w:tc>
        <w:tc>
          <w:tcPr>
            <w:tcW w:w="1275" w:type="dxa"/>
          </w:tcPr>
          <w:p>
            <w:pPr>
              <w:pStyle w:val="TableParagraph"/>
              <w:spacing w:line="209" w:lineRule="exact"/>
              <w:ind w:right="104"/>
              <w:jc w:val="right"/>
              <w:rPr>
                <w:sz w:val="20"/>
              </w:rPr>
            </w:pPr>
            <w:r>
              <w:rPr>
                <w:spacing w:val="-5"/>
                <w:sz w:val="20"/>
              </w:rPr>
              <w:t>103</w:t>
            </w:r>
          </w:p>
        </w:tc>
        <w:tc>
          <w:tcPr>
            <w:tcW w:w="1273" w:type="dxa"/>
            <w:shd w:val="clear" w:color="auto" w:fill="DDEBF6"/>
          </w:tcPr>
          <w:p>
            <w:pPr>
              <w:pStyle w:val="TableParagraph"/>
              <w:spacing w:line="209" w:lineRule="exact"/>
              <w:ind w:right="105"/>
              <w:jc w:val="right"/>
              <w:rPr>
                <w:b/>
                <w:sz w:val="20"/>
              </w:rPr>
            </w:pPr>
            <w:r>
              <w:rPr>
                <w:b/>
                <w:spacing w:val="-5"/>
                <w:sz w:val="20"/>
              </w:rPr>
              <w:t>768</w:t>
            </w:r>
          </w:p>
        </w:tc>
        <w:tc>
          <w:tcPr>
            <w:tcW w:w="1311" w:type="dxa"/>
          </w:tcPr>
          <w:p>
            <w:pPr>
              <w:pStyle w:val="TableParagraph"/>
              <w:spacing w:line="209" w:lineRule="exact"/>
              <w:ind w:right="1"/>
              <w:jc w:val="right"/>
              <w:rPr>
                <w:sz w:val="20"/>
              </w:rPr>
            </w:pPr>
            <w:r>
              <w:rPr>
                <w:spacing w:val="-2"/>
                <w:sz w:val="20"/>
              </w:rPr>
              <w:t>5,758</w:t>
            </w:r>
          </w:p>
        </w:tc>
        <w:tc>
          <w:tcPr>
            <w:tcW w:w="1447" w:type="dxa"/>
          </w:tcPr>
          <w:p>
            <w:pPr>
              <w:pStyle w:val="TableParagraph"/>
              <w:spacing w:line="209" w:lineRule="exact"/>
              <w:ind w:right="166"/>
              <w:jc w:val="right"/>
              <w:rPr>
                <w:sz w:val="20"/>
              </w:rPr>
            </w:pPr>
            <w:r>
              <w:rPr>
                <w:spacing w:val="-4"/>
                <w:sz w:val="20"/>
              </w:rPr>
              <w:t>(93)</w:t>
            </w:r>
          </w:p>
        </w:tc>
        <w:tc>
          <w:tcPr>
            <w:tcW w:w="1215" w:type="dxa"/>
            <w:tcBorders>
              <w:right w:val="single" w:sz="4" w:space="0" w:color="000000"/>
            </w:tcBorders>
          </w:tcPr>
          <w:p>
            <w:pPr>
              <w:pStyle w:val="TableParagraph"/>
              <w:spacing w:line="209" w:lineRule="exact"/>
              <w:ind w:right="102"/>
              <w:jc w:val="right"/>
              <w:rPr>
                <w:sz w:val="20"/>
              </w:rPr>
            </w:pPr>
            <w:r>
              <w:rPr>
                <w:spacing w:val="-4"/>
                <w:sz w:val="20"/>
              </w:rPr>
              <w:t>(93)</w:t>
            </w:r>
          </w:p>
        </w:tc>
      </w:tr>
      <w:tr>
        <w:trPr>
          <w:trHeight w:val="230" w:hRule="atLeast"/>
        </w:trPr>
        <w:tc>
          <w:tcPr>
            <w:tcW w:w="3225" w:type="dxa"/>
            <w:tcBorders>
              <w:left w:val="single" w:sz="4" w:space="0" w:color="000000"/>
            </w:tcBorders>
          </w:tcPr>
          <w:p>
            <w:pPr>
              <w:pStyle w:val="TableParagraph"/>
              <w:spacing w:line="210" w:lineRule="exact"/>
              <w:ind w:left="105"/>
              <w:rPr>
                <w:sz w:val="20"/>
              </w:rPr>
            </w:pPr>
            <w:r>
              <w:rPr>
                <w:spacing w:val="-2"/>
                <w:sz w:val="20"/>
              </w:rPr>
              <w:t>equipment</w:t>
            </w:r>
          </w:p>
        </w:tc>
        <w:tc>
          <w:tcPr>
            <w:tcW w:w="1026" w:type="dxa"/>
          </w:tcPr>
          <w:p>
            <w:pPr>
              <w:pStyle w:val="TableParagraph"/>
              <w:rPr>
                <w:rFonts w:ascii="Times New Roman"/>
                <w:sz w:val="16"/>
              </w:rPr>
            </w:pPr>
          </w:p>
        </w:tc>
        <w:tc>
          <w:tcPr>
            <w:tcW w:w="1275" w:type="dxa"/>
          </w:tcPr>
          <w:p>
            <w:pPr>
              <w:pStyle w:val="TableParagraph"/>
              <w:rPr>
                <w:rFonts w:ascii="Times New Roman"/>
                <w:sz w:val="16"/>
              </w:rPr>
            </w:pPr>
          </w:p>
        </w:tc>
        <w:tc>
          <w:tcPr>
            <w:tcW w:w="1273" w:type="dxa"/>
            <w:shd w:val="clear" w:color="auto" w:fill="DDEBF6"/>
          </w:tcPr>
          <w:p>
            <w:pPr>
              <w:pStyle w:val="TableParagraph"/>
              <w:rPr>
                <w:rFonts w:ascii="Times New Roman"/>
                <w:sz w:val="16"/>
              </w:rPr>
            </w:pPr>
          </w:p>
        </w:tc>
        <w:tc>
          <w:tcPr>
            <w:tcW w:w="1311" w:type="dxa"/>
          </w:tcPr>
          <w:p>
            <w:pPr>
              <w:pStyle w:val="TableParagraph"/>
              <w:rPr>
                <w:rFonts w:ascii="Times New Roman"/>
                <w:sz w:val="16"/>
              </w:rPr>
            </w:pPr>
          </w:p>
        </w:tc>
        <w:tc>
          <w:tcPr>
            <w:tcW w:w="1447" w:type="dxa"/>
          </w:tcPr>
          <w:p>
            <w:pPr>
              <w:pStyle w:val="TableParagraph"/>
              <w:rPr>
                <w:rFonts w:ascii="Times New Roman"/>
                <w:sz w:val="16"/>
              </w:rPr>
            </w:pPr>
          </w:p>
        </w:tc>
        <w:tc>
          <w:tcPr>
            <w:tcW w:w="1215" w:type="dxa"/>
            <w:tcBorders>
              <w:right w:val="single" w:sz="4" w:space="0" w:color="000000"/>
            </w:tcBorders>
          </w:tcPr>
          <w:p>
            <w:pPr>
              <w:pStyle w:val="TableParagraph"/>
              <w:rPr>
                <w:rFonts w:ascii="Times New Roman"/>
                <w:sz w:val="16"/>
              </w:rPr>
            </w:pPr>
          </w:p>
        </w:tc>
      </w:tr>
      <w:tr>
        <w:trPr>
          <w:trHeight w:val="460" w:hRule="atLeast"/>
        </w:trPr>
        <w:tc>
          <w:tcPr>
            <w:tcW w:w="3225" w:type="dxa"/>
            <w:tcBorders>
              <w:left w:val="single" w:sz="4" w:space="0" w:color="000000"/>
            </w:tcBorders>
          </w:tcPr>
          <w:p>
            <w:pPr>
              <w:pStyle w:val="TableParagraph"/>
              <w:spacing w:line="230" w:lineRule="exact"/>
              <w:ind w:left="105"/>
              <w:rPr>
                <w:sz w:val="20"/>
              </w:rPr>
            </w:pPr>
            <w:r>
              <w:rPr>
                <w:sz w:val="20"/>
              </w:rPr>
              <w:t>Share</w:t>
            </w:r>
            <w:r>
              <w:rPr>
                <w:spacing w:val="-8"/>
                <w:sz w:val="20"/>
              </w:rPr>
              <w:t> </w:t>
            </w:r>
            <w:r>
              <w:rPr>
                <w:sz w:val="20"/>
              </w:rPr>
              <w:t>of</w:t>
            </w:r>
            <w:r>
              <w:rPr>
                <w:spacing w:val="-8"/>
                <w:sz w:val="20"/>
              </w:rPr>
              <w:t> </w:t>
            </w:r>
            <w:r>
              <w:rPr>
                <w:sz w:val="20"/>
              </w:rPr>
              <w:t>net</w:t>
            </w:r>
            <w:r>
              <w:rPr>
                <w:spacing w:val="-11"/>
                <w:sz w:val="20"/>
              </w:rPr>
              <w:t> </w:t>
            </w:r>
            <w:r>
              <w:rPr>
                <w:sz w:val="20"/>
              </w:rPr>
              <w:t>surplus/(deficit)</w:t>
            </w:r>
            <w:r>
              <w:rPr>
                <w:spacing w:val="-9"/>
                <w:sz w:val="20"/>
              </w:rPr>
              <w:t> </w:t>
            </w:r>
            <w:r>
              <w:rPr>
                <w:sz w:val="20"/>
              </w:rPr>
              <w:t>of </w:t>
            </w:r>
            <w:r>
              <w:rPr>
                <w:spacing w:val="-2"/>
                <w:sz w:val="20"/>
              </w:rPr>
              <w:t>associates</w:t>
            </w:r>
          </w:p>
        </w:tc>
        <w:tc>
          <w:tcPr>
            <w:tcW w:w="1026" w:type="dxa"/>
          </w:tcPr>
          <w:p>
            <w:pPr>
              <w:pStyle w:val="TableParagraph"/>
              <w:rPr>
                <w:rFonts w:ascii="Times New Roman"/>
                <w:sz w:val="18"/>
              </w:rPr>
            </w:pPr>
          </w:p>
        </w:tc>
        <w:tc>
          <w:tcPr>
            <w:tcW w:w="1275" w:type="dxa"/>
          </w:tcPr>
          <w:p>
            <w:pPr>
              <w:pStyle w:val="TableParagraph"/>
              <w:spacing w:before="112"/>
              <w:ind w:right="103"/>
              <w:jc w:val="right"/>
              <w:rPr>
                <w:sz w:val="20"/>
              </w:rPr>
            </w:pPr>
            <w:r>
              <w:rPr>
                <w:w w:val="99"/>
                <w:sz w:val="20"/>
              </w:rPr>
              <w:t>-</w:t>
            </w:r>
          </w:p>
        </w:tc>
        <w:tc>
          <w:tcPr>
            <w:tcW w:w="1273" w:type="dxa"/>
            <w:shd w:val="clear" w:color="auto" w:fill="DDEBF6"/>
          </w:tcPr>
          <w:p>
            <w:pPr>
              <w:pStyle w:val="TableParagraph"/>
              <w:spacing w:before="112"/>
              <w:ind w:right="104"/>
              <w:jc w:val="right"/>
              <w:rPr>
                <w:b/>
                <w:sz w:val="20"/>
              </w:rPr>
            </w:pPr>
            <w:r>
              <w:rPr>
                <w:b/>
                <w:w w:val="99"/>
                <w:sz w:val="20"/>
              </w:rPr>
              <w:t>-</w:t>
            </w:r>
          </w:p>
        </w:tc>
        <w:tc>
          <w:tcPr>
            <w:tcW w:w="1311" w:type="dxa"/>
          </w:tcPr>
          <w:p>
            <w:pPr>
              <w:pStyle w:val="TableParagraph"/>
              <w:spacing w:before="112"/>
              <w:ind w:right="1"/>
              <w:jc w:val="right"/>
              <w:rPr>
                <w:sz w:val="20"/>
              </w:rPr>
            </w:pPr>
            <w:r>
              <w:rPr>
                <w:w w:val="99"/>
                <w:sz w:val="20"/>
              </w:rPr>
              <w:t>-</w:t>
            </w:r>
          </w:p>
        </w:tc>
        <w:tc>
          <w:tcPr>
            <w:tcW w:w="1447" w:type="dxa"/>
          </w:tcPr>
          <w:p>
            <w:pPr>
              <w:pStyle w:val="TableParagraph"/>
              <w:spacing w:before="112"/>
              <w:ind w:right="167"/>
              <w:jc w:val="right"/>
              <w:rPr>
                <w:sz w:val="20"/>
              </w:rPr>
            </w:pPr>
            <w:r>
              <w:rPr>
                <w:w w:val="99"/>
                <w:sz w:val="20"/>
              </w:rPr>
              <w:t>-</w:t>
            </w:r>
          </w:p>
        </w:tc>
        <w:tc>
          <w:tcPr>
            <w:tcW w:w="1215" w:type="dxa"/>
            <w:tcBorders>
              <w:right w:val="single" w:sz="4" w:space="0" w:color="000000"/>
            </w:tcBorders>
          </w:tcPr>
          <w:p>
            <w:pPr>
              <w:pStyle w:val="TableParagraph"/>
              <w:spacing w:before="112"/>
              <w:ind w:right="102"/>
              <w:jc w:val="right"/>
              <w:rPr>
                <w:sz w:val="20"/>
              </w:rPr>
            </w:pPr>
            <w:r>
              <w:rPr>
                <w:w w:val="99"/>
                <w:sz w:val="20"/>
              </w:rPr>
              <w:t>-</w:t>
            </w:r>
          </w:p>
        </w:tc>
      </w:tr>
      <w:tr>
        <w:trPr>
          <w:trHeight w:val="241" w:hRule="atLeast"/>
        </w:trPr>
        <w:tc>
          <w:tcPr>
            <w:tcW w:w="3225" w:type="dxa"/>
            <w:tcBorders>
              <w:left w:val="single" w:sz="4" w:space="0" w:color="000000"/>
            </w:tcBorders>
          </w:tcPr>
          <w:p>
            <w:pPr>
              <w:pStyle w:val="TableParagraph"/>
              <w:spacing w:line="222" w:lineRule="exact"/>
              <w:ind w:left="105"/>
              <w:rPr>
                <w:sz w:val="20"/>
              </w:rPr>
            </w:pPr>
            <w:r>
              <w:rPr>
                <w:sz w:val="20"/>
              </w:rPr>
              <w:t>Other</w:t>
            </w:r>
            <w:r>
              <w:rPr>
                <w:spacing w:val="-6"/>
                <w:sz w:val="20"/>
              </w:rPr>
              <w:t> </w:t>
            </w:r>
            <w:r>
              <w:rPr>
                <w:spacing w:val="-2"/>
                <w:sz w:val="20"/>
              </w:rPr>
              <w:t>income</w:t>
            </w:r>
          </w:p>
        </w:tc>
        <w:tc>
          <w:tcPr>
            <w:tcW w:w="1026" w:type="dxa"/>
          </w:tcPr>
          <w:p>
            <w:pPr>
              <w:pStyle w:val="TableParagraph"/>
              <w:spacing w:line="222" w:lineRule="exact"/>
              <w:ind w:left="300"/>
              <w:rPr>
                <w:sz w:val="20"/>
              </w:rPr>
            </w:pPr>
            <w:r>
              <w:rPr>
                <w:spacing w:val="-2"/>
                <w:sz w:val="20"/>
              </w:rPr>
              <w:t>4.1.6</w:t>
            </w:r>
          </w:p>
        </w:tc>
        <w:tc>
          <w:tcPr>
            <w:tcW w:w="1275" w:type="dxa"/>
            <w:tcBorders>
              <w:bottom w:val="single" w:sz="4" w:space="0" w:color="000000"/>
            </w:tcBorders>
          </w:tcPr>
          <w:p>
            <w:pPr>
              <w:pStyle w:val="TableParagraph"/>
              <w:spacing w:line="218" w:lineRule="exact" w:before="4"/>
              <w:ind w:right="103"/>
              <w:jc w:val="right"/>
              <w:rPr>
                <w:sz w:val="20"/>
              </w:rPr>
            </w:pPr>
            <w:r>
              <w:rPr>
                <w:spacing w:val="-2"/>
                <w:sz w:val="20"/>
              </w:rPr>
              <w:t>4,861</w:t>
            </w:r>
          </w:p>
        </w:tc>
        <w:tc>
          <w:tcPr>
            <w:tcW w:w="1273" w:type="dxa"/>
            <w:tcBorders>
              <w:bottom w:val="single" w:sz="4" w:space="0" w:color="000000"/>
            </w:tcBorders>
            <w:shd w:val="clear" w:color="auto" w:fill="DDEBF6"/>
          </w:tcPr>
          <w:p>
            <w:pPr>
              <w:pStyle w:val="TableParagraph"/>
              <w:spacing w:line="218" w:lineRule="exact" w:before="4"/>
              <w:ind w:right="104"/>
              <w:jc w:val="right"/>
              <w:rPr>
                <w:b/>
                <w:sz w:val="20"/>
              </w:rPr>
            </w:pPr>
            <w:r>
              <w:rPr>
                <w:b/>
                <w:spacing w:val="-2"/>
                <w:sz w:val="20"/>
              </w:rPr>
              <w:t>4,631</w:t>
            </w:r>
          </w:p>
        </w:tc>
        <w:tc>
          <w:tcPr>
            <w:tcW w:w="1311" w:type="dxa"/>
            <w:tcBorders>
              <w:bottom w:val="single" w:sz="4" w:space="0" w:color="000000"/>
            </w:tcBorders>
          </w:tcPr>
          <w:p>
            <w:pPr>
              <w:pStyle w:val="TableParagraph"/>
              <w:spacing w:line="218" w:lineRule="exact" w:before="4"/>
              <w:ind w:right="1"/>
              <w:jc w:val="right"/>
              <w:rPr>
                <w:sz w:val="20"/>
              </w:rPr>
            </w:pPr>
            <w:r>
              <w:rPr>
                <w:spacing w:val="-2"/>
                <w:sz w:val="20"/>
              </w:rPr>
              <w:t>2,746</w:t>
            </w:r>
          </w:p>
        </w:tc>
        <w:tc>
          <w:tcPr>
            <w:tcW w:w="1447" w:type="dxa"/>
            <w:tcBorders>
              <w:bottom w:val="single" w:sz="4" w:space="0" w:color="000000"/>
            </w:tcBorders>
          </w:tcPr>
          <w:p>
            <w:pPr>
              <w:pStyle w:val="TableParagraph"/>
              <w:spacing w:line="218" w:lineRule="exact" w:before="4"/>
              <w:ind w:right="167"/>
              <w:jc w:val="right"/>
              <w:rPr>
                <w:sz w:val="20"/>
              </w:rPr>
            </w:pPr>
            <w:r>
              <w:rPr>
                <w:spacing w:val="-2"/>
                <w:sz w:val="20"/>
              </w:rPr>
              <w:t>3,446</w:t>
            </w:r>
          </w:p>
        </w:tc>
        <w:tc>
          <w:tcPr>
            <w:tcW w:w="1215" w:type="dxa"/>
            <w:tcBorders>
              <w:bottom w:val="single" w:sz="4" w:space="0" w:color="000000"/>
              <w:right w:val="single" w:sz="4" w:space="0" w:color="000000"/>
            </w:tcBorders>
          </w:tcPr>
          <w:p>
            <w:pPr>
              <w:pStyle w:val="TableParagraph"/>
              <w:spacing w:line="218" w:lineRule="exact" w:before="4"/>
              <w:ind w:right="103"/>
              <w:jc w:val="right"/>
              <w:rPr>
                <w:sz w:val="20"/>
              </w:rPr>
            </w:pPr>
            <w:r>
              <w:rPr>
                <w:spacing w:val="-2"/>
                <w:sz w:val="20"/>
              </w:rPr>
              <w:t>3,499</w:t>
            </w:r>
          </w:p>
        </w:tc>
      </w:tr>
      <w:tr>
        <w:trPr>
          <w:trHeight w:val="244" w:hRule="atLeast"/>
        </w:trPr>
        <w:tc>
          <w:tcPr>
            <w:tcW w:w="3225" w:type="dxa"/>
            <w:tcBorders>
              <w:left w:val="single" w:sz="4" w:space="0" w:color="000000"/>
            </w:tcBorders>
          </w:tcPr>
          <w:p>
            <w:pPr>
              <w:pStyle w:val="TableParagraph"/>
              <w:spacing w:line="224" w:lineRule="exact"/>
              <w:ind w:left="105"/>
              <w:rPr>
                <w:b/>
                <w:sz w:val="20"/>
              </w:rPr>
            </w:pPr>
            <w:r>
              <w:rPr>
                <w:b/>
                <w:sz w:val="20"/>
              </w:rPr>
              <w:t>Total</w:t>
            </w:r>
            <w:r>
              <w:rPr>
                <w:b/>
                <w:spacing w:val="-6"/>
                <w:sz w:val="20"/>
              </w:rPr>
              <w:t> </w:t>
            </w:r>
            <w:r>
              <w:rPr>
                <w:b/>
                <w:spacing w:val="-2"/>
                <w:sz w:val="20"/>
              </w:rPr>
              <w:t>income/Revenue</w:t>
            </w:r>
          </w:p>
        </w:tc>
        <w:tc>
          <w:tcPr>
            <w:tcW w:w="1026" w:type="dxa"/>
          </w:tcPr>
          <w:p>
            <w:pPr>
              <w:pStyle w:val="TableParagraph"/>
              <w:rPr>
                <w:rFonts w:ascii="Times New Roman"/>
                <w:sz w:val="16"/>
              </w:rPr>
            </w:pPr>
          </w:p>
        </w:tc>
        <w:tc>
          <w:tcPr>
            <w:tcW w:w="1275" w:type="dxa"/>
            <w:tcBorders>
              <w:top w:val="single" w:sz="4" w:space="0" w:color="000000"/>
              <w:bottom w:val="single" w:sz="4" w:space="0" w:color="000000"/>
            </w:tcBorders>
          </w:tcPr>
          <w:p>
            <w:pPr>
              <w:pStyle w:val="TableParagraph"/>
              <w:spacing w:line="218" w:lineRule="exact" w:before="6"/>
              <w:ind w:right="104"/>
              <w:jc w:val="right"/>
              <w:rPr>
                <w:sz w:val="20"/>
              </w:rPr>
            </w:pPr>
            <w:r>
              <w:rPr>
                <w:spacing w:val="-2"/>
                <w:sz w:val="20"/>
              </w:rPr>
              <w:t>172,324</w:t>
            </w:r>
          </w:p>
        </w:tc>
        <w:tc>
          <w:tcPr>
            <w:tcW w:w="1273" w:type="dxa"/>
            <w:tcBorders>
              <w:top w:val="single" w:sz="4" w:space="0" w:color="000000"/>
              <w:bottom w:val="single" w:sz="4" w:space="0" w:color="000000"/>
            </w:tcBorders>
            <w:shd w:val="clear" w:color="auto" w:fill="DDEBF6"/>
          </w:tcPr>
          <w:p>
            <w:pPr>
              <w:pStyle w:val="TableParagraph"/>
              <w:spacing w:line="218" w:lineRule="exact" w:before="6"/>
              <w:ind w:right="105"/>
              <w:jc w:val="right"/>
              <w:rPr>
                <w:b/>
                <w:sz w:val="20"/>
              </w:rPr>
            </w:pPr>
            <w:r>
              <w:rPr>
                <w:b/>
                <w:spacing w:val="-2"/>
                <w:sz w:val="20"/>
              </w:rPr>
              <w:t>199,770</w:t>
            </w:r>
          </w:p>
        </w:tc>
        <w:tc>
          <w:tcPr>
            <w:tcW w:w="1311" w:type="dxa"/>
            <w:tcBorders>
              <w:top w:val="single" w:sz="4" w:space="0" w:color="000000"/>
              <w:bottom w:val="single" w:sz="4" w:space="0" w:color="000000"/>
            </w:tcBorders>
          </w:tcPr>
          <w:p>
            <w:pPr>
              <w:pStyle w:val="TableParagraph"/>
              <w:spacing w:line="218" w:lineRule="exact" w:before="6"/>
              <w:jc w:val="right"/>
              <w:rPr>
                <w:sz w:val="20"/>
              </w:rPr>
            </w:pPr>
            <w:r>
              <w:rPr>
                <w:spacing w:val="-2"/>
                <w:sz w:val="20"/>
              </w:rPr>
              <w:t>184,360</w:t>
            </w:r>
          </w:p>
        </w:tc>
        <w:tc>
          <w:tcPr>
            <w:tcW w:w="1447" w:type="dxa"/>
            <w:tcBorders>
              <w:top w:val="single" w:sz="4" w:space="0" w:color="000000"/>
              <w:bottom w:val="single" w:sz="4" w:space="0" w:color="000000"/>
            </w:tcBorders>
          </w:tcPr>
          <w:p>
            <w:pPr>
              <w:pStyle w:val="TableParagraph"/>
              <w:spacing w:line="218" w:lineRule="exact" w:before="6"/>
              <w:ind w:right="168"/>
              <w:jc w:val="right"/>
              <w:rPr>
                <w:sz w:val="20"/>
              </w:rPr>
            </w:pPr>
            <w:r>
              <w:rPr>
                <w:spacing w:val="-2"/>
                <w:sz w:val="20"/>
              </w:rPr>
              <w:t>189,893</w:t>
            </w:r>
          </w:p>
        </w:tc>
        <w:tc>
          <w:tcPr>
            <w:tcW w:w="1215" w:type="dxa"/>
            <w:tcBorders>
              <w:top w:val="single" w:sz="4" w:space="0" w:color="000000"/>
              <w:bottom w:val="single" w:sz="4" w:space="0" w:color="000000"/>
              <w:right w:val="single" w:sz="4" w:space="0" w:color="000000"/>
            </w:tcBorders>
          </w:tcPr>
          <w:p>
            <w:pPr>
              <w:pStyle w:val="TableParagraph"/>
              <w:spacing w:line="218" w:lineRule="exact" w:before="6"/>
              <w:ind w:right="104"/>
              <w:jc w:val="right"/>
              <w:rPr>
                <w:sz w:val="20"/>
              </w:rPr>
            </w:pPr>
            <w:r>
              <w:rPr>
                <w:spacing w:val="-2"/>
                <w:sz w:val="20"/>
              </w:rPr>
              <w:t>208,812</w:t>
            </w:r>
          </w:p>
        </w:tc>
      </w:tr>
      <w:tr>
        <w:trPr>
          <w:trHeight w:val="485" w:hRule="atLeast"/>
        </w:trPr>
        <w:tc>
          <w:tcPr>
            <w:tcW w:w="3225" w:type="dxa"/>
            <w:tcBorders>
              <w:left w:val="single" w:sz="4" w:space="0" w:color="000000"/>
            </w:tcBorders>
          </w:tcPr>
          <w:p>
            <w:pPr>
              <w:pStyle w:val="TableParagraph"/>
              <w:spacing w:before="2"/>
              <w:rPr>
                <w:i/>
                <w:sz w:val="21"/>
              </w:rPr>
            </w:pPr>
          </w:p>
          <w:p>
            <w:pPr>
              <w:pStyle w:val="TableParagraph"/>
              <w:spacing w:line="221" w:lineRule="exact"/>
              <w:ind w:left="105"/>
              <w:rPr>
                <w:b/>
                <w:sz w:val="20"/>
              </w:rPr>
            </w:pPr>
            <w:r>
              <w:rPr>
                <w:b/>
                <w:spacing w:val="-2"/>
                <w:sz w:val="20"/>
              </w:rPr>
              <w:t>Expenses</w:t>
            </w:r>
          </w:p>
        </w:tc>
        <w:tc>
          <w:tcPr>
            <w:tcW w:w="1026" w:type="dxa"/>
          </w:tcPr>
          <w:p>
            <w:pPr>
              <w:pStyle w:val="TableParagraph"/>
              <w:rPr>
                <w:rFonts w:ascii="Times New Roman"/>
                <w:sz w:val="18"/>
              </w:rPr>
            </w:pPr>
          </w:p>
        </w:tc>
        <w:tc>
          <w:tcPr>
            <w:tcW w:w="1275" w:type="dxa"/>
            <w:tcBorders>
              <w:top w:val="single" w:sz="4" w:space="0" w:color="000000"/>
            </w:tcBorders>
          </w:tcPr>
          <w:p>
            <w:pPr>
              <w:pStyle w:val="TableParagraph"/>
              <w:rPr>
                <w:rFonts w:ascii="Times New Roman"/>
                <w:sz w:val="18"/>
              </w:rPr>
            </w:pPr>
          </w:p>
        </w:tc>
        <w:tc>
          <w:tcPr>
            <w:tcW w:w="1273" w:type="dxa"/>
            <w:tcBorders>
              <w:top w:val="single" w:sz="4" w:space="0" w:color="000000"/>
            </w:tcBorders>
            <w:shd w:val="clear" w:color="auto" w:fill="DDEBF6"/>
          </w:tcPr>
          <w:p>
            <w:pPr>
              <w:pStyle w:val="TableParagraph"/>
              <w:rPr>
                <w:rFonts w:ascii="Times New Roman"/>
                <w:sz w:val="18"/>
              </w:rPr>
            </w:pPr>
          </w:p>
        </w:tc>
        <w:tc>
          <w:tcPr>
            <w:tcW w:w="1311" w:type="dxa"/>
            <w:tcBorders>
              <w:top w:val="single" w:sz="4" w:space="0" w:color="000000"/>
            </w:tcBorders>
          </w:tcPr>
          <w:p>
            <w:pPr>
              <w:pStyle w:val="TableParagraph"/>
              <w:rPr>
                <w:rFonts w:ascii="Times New Roman"/>
                <w:sz w:val="18"/>
              </w:rPr>
            </w:pPr>
          </w:p>
        </w:tc>
        <w:tc>
          <w:tcPr>
            <w:tcW w:w="1447" w:type="dxa"/>
            <w:tcBorders>
              <w:top w:val="single" w:sz="4" w:space="0" w:color="000000"/>
            </w:tcBorders>
          </w:tcPr>
          <w:p>
            <w:pPr>
              <w:pStyle w:val="TableParagraph"/>
              <w:rPr>
                <w:rFonts w:ascii="Times New Roman"/>
                <w:sz w:val="18"/>
              </w:rPr>
            </w:pPr>
          </w:p>
        </w:tc>
        <w:tc>
          <w:tcPr>
            <w:tcW w:w="1215" w:type="dxa"/>
            <w:tcBorders>
              <w:top w:val="single" w:sz="4" w:space="0" w:color="000000"/>
              <w:right w:val="single" w:sz="4" w:space="0" w:color="000000"/>
            </w:tcBorders>
          </w:tcPr>
          <w:p>
            <w:pPr>
              <w:pStyle w:val="TableParagraph"/>
              <w:rPr>
                <w:rFonts w:ascii="Times New Roman"/>
                <w:sz w:val="18"/>
              </w:rPr>
            </w:pPr>
          </w:p>
        </w:tc>
      </w:tr>
      <w:tr>
        <w:trPr>
          <w:trHeight w:val="250" w:hRule="atLeast"/>
        </w:trPr>
        <w:tc>
          <w:tcPr>
            <w:tcW w:w="3225" w:type="dxa"/>
            <w:tcBorders>
              <w:left w:val="single" w:sz="4" w:space="0" w:color="000000"/>
            </w:tcBorders>
          </w:tcPr>
          <w:p>
            <w:pPr>
              <w:pStyle w:val="TableParagraph"/>
              <w:spacing w:line="227" w:lineRule="exact" w:before="4"/>
              <w:ind w:left="105"/>
              <w:rPr>
                <w:sz w:val="20"/>
              </w:rPr>
            </w:pPr>
            <w:r>
              <w:rPr>
                <w:sz w:val="20"/>
              </w:rPr>
              <w:t>Employee</w:t>
            </w:r>
            <w:r>
              <w:rPr>
                <w:spacing w:val="-11"/>
                <w:sz w:val="20"/>
              </w:rPr>
              <w:t> </w:t>
            </w:r>
            <w:r>
              <w:rPr>
                <w:spacing w:val="-2"/>
                <w:sz w:val="20"/>
              </w:rPr>
              <w:t>costs</w:t>
            </w:r>
          </w:p>
        </w:tc>
        <w:tc>
          <w:tcPr>
            <w:tcW w:w="1026" w:type="dxa"/>
          </w:tcPr>
          <w:p>
            <w:pPr>
              <w:pStyle w:val="TableParagraph"/>
              <w:spacing w:line="227" w:lineRule="exact" w:before="4"/>
              <w:ind w:left="300"/>
              <w:rPr>
                <w:sz w:val="20"/>
              </w:rPr>
            </w:pPr>
            <w:r>
              <w:rPr>
                <w:spacing w:val="-2"/>
                <w:sz w:val="20"/>
              </w:rPr>
              <w:t>4.1.7</w:t>
            </w:r>
          </w:p>
        </w:tc>
        <w:tc>
          <w:tcPr>
            <w:tcW w:w="1275" w:type="dxa"/>
          </w:tcPr>
          <w:p>
            <w:pPr>
              <w:pStyle w:val="TableParagraph"/>
              <w:spacing w:line="217" w:lineRule="exact" w:before="13"/>
              <w:ind w:right="104"/>
              <w:jc w:val="right"/>
              <w:rPr>
                <w:sz w:val="20"/>
              </w:rPr>
            </w:pPr>
            <w:r>
              <w:rPr>
                <w:spacing w:val="-2"/>
                <w:sz w:val="20"/>
              </w:rPr>
              <w:t>67,983</w:t>
            </w:r>
          </w:p>
        </w:tc>
        <w:tc>
          <w:tcPr>
            <w:tcW w:w="1273" w:type="dxa"/>
            <w:shd w:val="clear" w:color="auto" w:fill="DDEBF6"/>
          </w:tcPr>
          <w:p>
            <w:pPr>
              <w:pStyle w:val="TableParagraph"/>
              <w:spacing w:line="217" w:lineRule="exact" w:before="13"/>
              <w:ind w:right="105"/>
              <w:jc w:val="right"/>
              <w:rPr>
                <w:b/>
                <w:sz w:val="20"/>
              </w:rPr>
            </w:pPr>
            <w:r>
              <w:rPr>
                <w:b/>
                <w:spacing w:val="-2"/>
                <w:sz w:val="20"/>
              </w:rPr>
              <w:t>70,932</w:t>
            </w:r>
          </w:p>
        </w:tc>
        <w:tc>
          <w:tcPr>
            <w:tcW w:w="1311" w:type="dxa"/>
          </w:tcPr>
          <w:p>
            <w:pPr>
              <w:pStyle w:val="TableParagraph"/>
              <w:spacing w:line="217" w:lineRule="exact" w:before="13"/>
              <w:jc w:val="right"/>
              <w:rPr>
                <w:sz w:val="20"/>
              </w:rPr>
            </w:pPr>
            <w:r>
              <w:rPr>
                <w:spacing w:val="-2"/>
                <w:sz w:val="20"/>
              </w:rPr>
              <w:t>71,467</w:t>
            </w:r>
          </w:p>
        </w:tc>
        <w:tc>
          <w:tcPr>
            <w:tcW w:w="1447" w:type="dxa"/>
          </w:tcPr>
          <w:p>
            <w:pPr>
              <w:pStyle w:val="TableParagraph"/>
              <w:spacing w:line="217" w:lineRule="exact" w:before="13"/>
              <w:ind w:right="168"/>
              <w:jc w:val="right"/>
              <w:rPr>
                <w:sz w:val="20"/>
              </w:rPr>
            </w:pPr>
            <w:r>
              <w:rPr>
                <w:spacing w:val="-2"/>
                <w:sz w:val="20"/>
              </w:rPr>
              <w:t>72,729</w:t>
            </w:r>
          </w:p>
        </w:tc>
        <w:tc>
          <w:tcPr>
            <w:tcW w:w="1215" w:type="dxa"/>
            <w:tcBorders>
              <w:right w:val="single" w:sz="4" w:space="0" w:color="000000"/>
            </w:tcBorders>
          </w:tcPr>
          <w:p>
            <w:pPr>
              <w:pStyle w:val="TableParagraph"/>
              <w:spacing w:line="217" w:lineRule="exact" w:before="13"/>
              <w:ind w:right="104"/>
              <w:jc w:val="right"/>
              <w:rPr>
                <w:sz w:val="20"/>
              </w:rPr>
            </w:pPr>
            <w:r>
              <w:rPr>
                <w:spacing w:val="-2"/>
                <w:sz w:val="20"/>
              </w:rPr>
              <w:t>74,129</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Materials</w:t>
            </w:r>
            <w:r>
              <w:rPr>
                <w:spacing w:val="-6"/>
                <w:sz w:val="20"/>
              </w:rPr>
              <w:t> </w:t>
            </w:r>
            <w:r>
              <w:rPr>
                <w:sz w:val="20"/>
              </w:rPr>
              <w:t>and</w:t>
            </w:r>
            <w:r>
              <w:rPr>
                <w:spacing w:val="-9"/>
                <w:sz w:val="20"/>
              </w:rPr>
              <w:t> </w:t>
            </w:r>
            <w:r>
              <w:rPr>
                <w:spacing w:val="-2"/>
                <w:sz w:val="20"/>
              </w:rPr>
              <w:t>services</w:t>
            </w:r>
          </w:p>
        </w:tc>
        <w:tc>
          <w:tcPr>
            <w:tcW w:w="1026" w:type="dxa"/>
          </w:tcPr>
          <w:p>
            <w:pPr>
              <w:pStyle w:val="TableParagraph"/>
              <w:spacing w:line="225" w:lineRule="exact"/>
              <w:ind w:left="300"/>
              <w:rPr>
                <w:sz w:val="20"/>
              </w:rPr>
            </w:pPr>
            <w:r>
              <w:rPr>
                <w:spacing w:val="-2"/>
                <w:sz w:val="20"/>
              </w:rPr>
              <w:t>4.1.8</w:t>
            </w:r>
          </w:p>
        </w:tc>
        <w:tc>
          <w:tcPr>
            <w:tcW w:w="1275" w:type="dxa"/>
          </w:tcPr>
          <w:p>
            <w:pPr>
              <w:pStyle w:val="TableParagraph"/>
              <w:spacing w:line="217" w:lineRule="exact" w:before="7"/>
              <w:ind w:right="104"/>
              <w:jc w:val="right"/>
              <w:rPr>
                <w:sz w:val="20"/>
              </w:rPr>
            </w:pPr>
            <w:r>
              <w:rPr>
                <w:spacing w:val="-2"/>
                <w:sz w:val="20"/>
              </w:rPr>
              <w:t>60,259</w:t>
            </w:r>
          </w:p>
        </w:tc>
        <w:tc>
          <w:tcPr>
            <w:tcW w:w="1273" w:type="dxa"/>
            <w:shd w:val="clear" w:color="auto" w:fill="DDEBF6"/>
          </w:tcPr>
          <w:p>
            <w:pPr>
              <w:pStyle w:val="TableParagraph"/>
              <w:spacing w:line="217" w:lineRule="exact" w:before="7"/>
              <w:ind w:right="105"/>
              <w:jc w:val="right"/>
              <w:rPr>
                <w:b/>
                <w:sz w:val="20"/>
              </w:rPr>
            </w:pPr>
            <w:r>
              <w:rPr>
                <w:b/>
                <w:spacing w:val="-2"/>
                <w:sz w:val="20"/>
              </w:rPr>
              <w:t>64,955</w:t>
            </w:r>
          </w:p>
        </w:tc>
        <w:tc>
          <w:tcPr>
            <w:tcW w:w="1311" w:type="dxa"/>
          </w:tcPr>
          <w:p>
            <w:pPr>
              <w:pStyle w:val="TableParagraph"/>
              <w:spacing w:line="217" w:lineRule="exact" w:before="7"/>
              <w:jc w:val="right"/>
              <w:rPr>
                <w:b/>
                <w:sz w:val="20"/>
              </w:rPr>
            </w:pPr>
            <w:r>
              <w:rPr>
                <w:b/>
                <w:spacing w:val="-2"/>
                <w:sz w:val="20"/>
              </w:rPr>
              <w:t>65,001</w:t>
            </w:r>
          </w:p>
        </w:tc>
        <w:tc>
          <w:tcPr>
            <w:tcW w:w="1447" w:type="dxa"/>
          </w:tcPr>
          <w:p>
            <w:pPr>
              <w:pStyle w:val="TableParagraph"/>
              <w:spacing w:line="217" w:lineRule="exact" w:before="7"/>
              <w:ind w:right="168"/>
              <w:jc w:val="right"/>
              <w:rPr>
                <w:sz w:val="20"/>
              </w:rPr>
            </w:pPr>
            <w:r>
              <w:rPr>
                <w:spacing w:val="-2"/>
                <w:sz w:val="20"/>
              </w:rPr>
              <w:t>65,262</w:t>
            </w:r>
          </w:p>
        </w:tc>
        <w:tc>
          <w:tcPr>
            <w:tcW w:w="1215" w:type="dxa"/>
            <w:tcBorders>
              <w:right w:val="single" w:sz="4" w:space="0" w:color="000000"/>
            </w:tcBorders>
          </w:tcPr>
          <w:p>
            <w:pPr>
              <w:pStyle w:val="TableParagraph"/>
              <w:spacing w:line="217" w:lineRule="exact" w:before="7"/>
              <w:ind w:right="104"/>
              <w:jc w:val="right"/>
              <w:rPr>
                <w:b/>
                <w:sz w:val="20"/>
              </w:rPr>
            </w:pPr>
            <w:r>
              <w:rPr>
                <w:b/>
                <w:spacing w:val="-2"/>
                <w:sz w:val="20"/>
              </w:rPr>
              <w:t>68,129</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pacing w:val="-2"/>
                <w:sz w:val="20"/>
              </w:rPr>
              <w:t>Depreciation</w:t>
            </w:r>
          </w:p>
        </w:tc>
        <w:tc>
          <w:tcPr>
            <w:tcW w:w="1026" w:type="dxa"/>
          </w:tcPr>
          <w:p>
            <w:pPr>
              <w:pStyle w:val="TableParagraph"/>
              <w:spacing w:line="225" w:lineRule="exact"/>
              <w:ind w:left="300"/>
              <w:rPr>
                <w:sz w:val="20"/>
              </w:rPr>
            </w:pPr>
            <w:r>
              <w:rPr>
                <w:spacing w:val="-2"/>
                <w:sz w:val="20"/>
              </w:rPr>
              <w:t>4.1.9</w:t>
            </w:r>
          </w:p>
        </w:tc>
        <w:tc>
          <w:tcPr>
            <w:tcW w:w="1275" w:type="dxa"/>
          </w:tcPr>
          <w:p>
            <w:pPr>
              <w:pStyle w:val="TableParagraph"/>
              <w:spacing w:line="217" w:lineRule="exact" w:before="7"/>
              <w:ind w:right="104"/>
              <w:jc w:val="right"/>
              <w:rPr>
                <w:sz w:val="20"/>
              </w:rPr>
            </w:pPr>
            <w:r>
              <w:rPr>
                <w:spacing w:val="-2"/>
                <w:sz w:val="20"/>
              </w:rPr>
              <w:t>29,167</w:t>
            </w:r>
          </w:p>
        </w:tc>
        <w:tc>
          <w:tcPr>
            <w:tcW w:w="1273" w:type="dxa"/>
            <w:shd w:val="clear" w:color="auto" w:fill="DDEBF6"/>
          </w:tcPr>
          <w:p>
            <w:pPr>
              <w:pStyle w:val="TableParagraph"/>
              <w:spacing w:line="217" w:lineRule="exact" w:before="7"/>
              <w:ind w:right="105"/>
              <w:jc w:val="right"/>
              <w:rPr>
                <w:b/>
                <w:sz w:val="20"/>
              </w:rPr>
            </w:pPr>
            <w:r>
              <w:rPr>
                <w:b/>
                <w:spacing w:val="-2"/>
                <w:sz w:val="20"/>
              </w:rPr>
              <w:t>30,442</w:t>
            </w:r>
          </w:p>
        </w:tc>
        <w:tc>
          <w:tcPr>
            <w:tcW w:w="1311" w:type="dxa"/>
          </w:tcPr>
          <w:p>
            <w:pPr>
              <w:pStyle w:val="TableParagraph"/>
              <w:spacing w:line="217" w:lineRule="exact" w:before="7"/>
              <w:jc w:val="right"/>
              <w:rPr>
                <w:sz w:val="20"/>
              </w:rPr>
            </w:pPr>
            <w:r>
              <w:rPr>
                <w:spacing w:val="-2"/>
                <w:sz w:val="20"/>
              </w:rPr>
              <w:t>31,730</w:t>
            </w:r>
          </w:p>
        </w:tc>
        <w:tc>
          <w:tcPr>
            <w:tcW w:w="1447" w:type="dxa"/>
          </w:tcPr>
          <w:p>
            <w:pPr>
              <w:pStyle w:val="TableParagraph"/>
              <w:spacing w:line="217" w:lineRule="exact" w:before="7"/>
              <w:ind w:right="168"/>
              <w:jc w:val="right"/>
              <w:rPr>
                <w:sz w:val="20"/>
              </w:rPr>
            </w:pPr>
            <w:r>
              <w:rPr>
                <w:spacing w:val="-2"/>
                <w:sz w:val="20"/>
              </w:rPr>
              <w:t>32,833</w:t>
            </w:r>
          </w:p>
        </w:tc>
        <w:tc>
          <w:tcPr>
            <w:tcW w:w="1215" w:type="dxa"/>
            <w:tcBorders>
              <w:right w:val="single" w:sz="4" w:space="0" w:color="000000"/>
            </w:tcBorders>
          </w:tcPr>
          <w:p>
            <w:pPr>
              <w:pStyle w:val="TableParagraph"/>
              <w:spacing w:line="217" w:lineRule="exact" w:before="7"/>
              <w:ind w:right="104"/>
              <w:jc w:val="right"/>
              <w:rPr>
                <w:sz w:val="20"/>
              </w:rPr>
            </w:pPr>
            <w:r>
              <w:rPr>
                <w:spacing w:val="-2"/>
                <w:sz w:val="20"/>
              </w:rPr>
              <w:t>33,719</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Amortisation</w:t>
            </w:r>
            <w:r>
              <w:rPr>
                <w:spacing w:val="-9"/>
                <w:sz w:val="20"/>
              </w:rPr>
              <w:t> </w:t>
            </w:r>
            <w:r>
              <w:rPr>
                <w:sz w:val="20"/>
              </w:rPr>
              <w:t>-</w:t>
            </w:r>
            <w:r>
              <w:rPr>
                <w:spacing w:val="-6"/>
                <w:sz w:val="20"/>
              </w:rPr>
              <w:t> </w:t>
            </w:r>
            <w:r>
              <w:rPr>
                <w:sz w:val="20"/>
              </w:rPr>
              <w:t>intangible</w:t>
            </w:r>
            <w:r>
              <w:rPr>
                <w:spacing w:val="-8"/>
                <w:sz w:val="20"/>
              </w:rPr>
              <w:t> </w:t>
            </w:r>
            <w:r>
              <w:rPr>
                <w:spacing w:val="-2"/>
                <w:sz w:val="20"/>
              </w:rPr>
              <w:t>assets</w:t>
            </w:r>
          </w:p>
        </w:tc>
        <w:tc>
          <w:tcPr>
            <w:tcW w:w="1026" w:type="dxa"/>
          </w:tcPr>
          <w:p>
            <w:pPr>
              <w:pStyle w:val="TableParagraph"/>
              <w:rPr>
                <w:rFonts w:ascii="Times New Roman"/>
                <w:sz w:val="16"/>
              </w:rPr>
            </w:pPr>
          </w:p>
        </w:tc>
        <w:tc>
          <w:tcPr>
            <w:tcW w:w="1275" w:type="dxa"/>
          </w:tcPr>
          <w:p>
            <w:pPr>
              <w:pStyle w:val="TableParagraph"/>
              <w:spacing w:line="217" w:lineRule="exact" w:before="7"/>
              <w:ind w:right="103"/>
              <w:jc w:val="right"/>
              <w:rPr>
                <w:sz w:val="20"/>
              </w:rPr>
            </w:pPr>
            <w:r>
              <w:rPr>
                <w:w w:val="99"/>
                <w:sz w:val="20"/>
              </w:rPr>
              <w:t>-</w:t>
            </w:r>
          </w:p>
        </w:tc>
        <w:tc>
          <w:tcPr>
            <w:tcW w:w="1273" w:type="dxa"/>
            <w:shd w:val="clear" w:color="auto" w:fill="DDEBF6"/>
          </w:tcPr>
          <w:p>
            <w:pPr>
              <w:pStyle w:val="TableParagraph"/>
              <w:spacing w:line="217" w:lineRule="exact" w:before="7"/>
              <w:ind w:right="104"/>
              <w:jc w:val="right"/>
              <w:rPr>
                <w:b/>
                <w:sz w:val="20"/>
              </w:rPr>
            </w:pPr>
            <w:r>
              <w:rPr>
                <w:b/>
                <w:w w:val="99"/>
                <w:sz w:val="20"/>
              </w:rPr>
              <w:t>-</w:t>
            </w:r>
          </w:p>
        </w:tc>
        <w:tc>
          <w:tcPr>
            <w:tcW w:w="1311" w:type="dxa"/>
          </w:tcPr>
          <w:p>
            <w:pPr>
              <w:pStyle w:val="TableParagraph"/>
              <w:spacing w:line="217" w:lineRule="exact" w:before="7"/>
              <w:ind w:right="1"/>
              <w:jc w:val="right"/>
              <w:rPr>
                <w:sz w:val="20"/>
              </w:rPr>
            </w:pPr>
            <w:r>
              <w:rPr>
                <w:w w:val="99"/>
                <w:sz w:val="20"/>
              </w:rPr>
              <w:t>-</w:t>
            </w:r>
          </w:p>
        </w:tc>
        <w:tc>
          <w:tcPr>
            <w:tcW w:w="1447" w:type="dxa"/>
          </w:tcPr>
          <w:p>
            <w:pPr>
              <w:pStyle w:val="TableParagraph"/>
              <w:spacing w:line="217" w:lineRule="exact" w:before="7"/>
              <w:ind w:right="167"/>
              <w:jc w:val="right"/>
              <w:rPr>
                <w:sz w:val="20"/>
              </w:rPr>
            </w:pPr>
            <w:r>
              <w:rPr>
                <w:w w:val="99"/>
                <w:sz w:val="20"/>
              </w:rPr>
              <w:t>-</w:t>
            </w:r>
          </w:p>
        </w:tc>
        <w:tc>
          <w:tcPr>
            <w:tcW w:w="1215" w:type="dxa"/>
            <w:tcBorders>
              <w:right w:val="single" w:sz="4" w:space="0" w:color="000000"/>
            </w:tcBorders>
          </w:tcPr>
          <w:p>
            <w:pPr>
              <w:pStyle w:val="TableParagraph"/>
              <w:spacing w:line="217" w:lineRule="exact" w:before="7"/>
              <w:ind w:right="102"/>
              <w:jc w:val="right"/>
              <w:rPr>
                <w:sz w:val="20"/>
              </w:rPr>
            </w:pPr>
            <w:r>
              <w:rPr>
                <w:w w:val="99"/>
                <w:sz w:val="20"/>
              </w:rPr>
              <w:t>-</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Depreciation</w:t>
            </w:r>
            <w:r>
              <w:rPr>
                <w:spacing w:val="-7"/>
                <w:sz w:val="20"/>
              </w:rPr>
              <w:t> </w:t>
            </w:r>
            <w:r>
              <w:rPr>
                <w:sz w:val="20"/>
              </w:rPr>
              <w:t>-</w:t>
            </w:r>
            <w:r>
              <w:rPr>
                <w:spacing w:val="-4"/>
                <w:sz w:val="20"/>
              </w:rPr>
              <w:t> </w:t>
            </w:r>
            <w:r>
              <w:rPr>
                <w:sz w:val="20"/>
              </w:rPr>
              <w:t>right</w:t>
            </w:r>
            <w:r>
              <w:rPr>
                <w:spacing w:val="-3"/>
                <w:sz w:val="20"/>
              </w:rPr>
              <w:t> </w:t>
            </w:r>
            <w:r>
              <w:rPr>
                <w:sz w:val="20"/>
              </w:rPr>
              <w:t>of</w:t>
            </w:r>
            <w:r>
              <w:rPr>
                <w:spacing w:val="-5"/>
                <w:sz w:val="20"/>
              </w:rPr>
              <w:t> </w:t>
            </w:r>
            <w:r>
              <w:rPr>
                <w:sz w:val="20"/>
              </w:rPr>
              <w:t>use</w:t>
            </w:r>
            <w:r>
              <w:rPr>
                <w:spacing w:val="-5"/>
                <w:sz w:val="20"/>
              </w:rPr>
              <w:t> </w:t>
            </w:r>
            <w:r>
              <w:rPr>
                <w:spacing w:val="-2"/>
                <w:sz w:val="20"/>
              </w:rPr>
              <w:t>assets</w:t>
            </w:r>
          </w:p>
        </w:tc>
        <w:tc>
          <w:tcPr>
            <w:tcW w:w="1026" w:type="dxa"/>
          </w:tcPr>
          <w:p>
            <w:pPr>
              <w:pStyle w:val="TableParagraph"/>
              <w:spacing w:line="225" w:lineRule="exact"/>
              <w:ind w:left="245"/>
              <w:rPr>
                <w:sz w:val="20"/>
              </w:rPr>
            </w:pPr>
            <w:r>
              <w:rPr>
                <w:spacing w:val="-2"/>
                <w:sz w:val="20"/>
              </w:rPr>
              <w:t>4.1.10</w:t>
            </w:r>
          </w:p>
        </w:tc>
        <w:tc>
          <w:tcPr>
            <w:tcW w:w="1275" w:type="dxa"/>
          </w:tcPr>
          <w:p>
            <w:pPr>
              <w:pStyle w:val="TableParagraph"/>
              <w:spacing w:line="217" w:lineRule="exact" w:before="7"/>
              <w:ind w:right="103"/>
              <w:jc w:val="right"/>
              <w:rPr>
                <w:sz w:val="20"/>
              </w:rPr>
            </w:pPr>
            <w:r>
              <w:rPr>
                <w:spacing w:val="-2"/>
                <w:sz w:val="20"/>
              </w:rPr>
              <w:t>1,523</w:t>
            </w:r>
          </w:p>
        </w:tc>
        <w:tc>
          <w:tcPr>
            <w:tcW w:w="1273" w:type="dxa"/>
            <w:shd w:val="clear" w:color="auto" w:fill="DDEBF6"/>
          </w:tcPr>
          <w:p>
            <w:pPr>
              <w:pStyle w:val="TableParagraph"/>
              <w:spacing w:line="217" w:lineRule="exact" w:before="7"/>
              <w:ind w:right="104"/>
              <w:jc w:val="right"/>
              <w:rPr>
                <w:b/>
                <w:sz w:val="20"/>
              </w:rPr>
            </w:pPr>
            <w:r>
              <w:rPr>
                <w:b/>
                <w:spacing w:val="-2"/>
                <w:sz w:val="20"/>
              </w:rPr>
              <w:t>1,529</w:t>
            </w:r>
          </w:p>
        </w:tc>
        <w:tc>
          <w:tcPr>
            <w:tcW w:w="1311" w:type="dxa"/>
          </w:tcPr>
          <w:p>
            <w:pPr>
              <w:pStyle w:val="TableParagraph"/>
              <w:spacing w:line="217" w:lineRule="exact" w:before="7"/>
              <w:ind w:right="1"/>
              <w:jc w:val="right"/>
              <w:rPr>
                <w:sz w:val="20"/>
              </w:rPr>
            </w:pPr>
            <w:r>
              <w:rPr>
                <w:spacing w:val="-2"/>
                <w:sz w:val="20"/>
              </w:rPr>
              <w:t>1,684</w:t>
            </w:r>
          </w:p>
        </w:tc>
        <w:tc>
          <w:tcPr>
            <w:tcW w:w="1447" w:type="dxa"/>
          </w:tcPr>
          <w:p>
            <w:pPr>
              <w:pStyle w:val="TableParagraph"/>
              <w:spacing w:line="217" w:lineRule="exact" w:before="7"/>
              <w:ind w:right="167"/>
              <w:jc w:val="right"/>
              <w:rPr>
                <w:sz w:val="20"/>
              </w:rPr>
            </w:pPr>
            <w:r>
              <w:rPr>
                <w:spacing w:val="-2"/>
                <w:sz w:val="20"/>
              </w:rPr>
              <w:t>1,874</w:t>
            </w:r>
          </w:p>
        </w:tc>
        <w:tc>
          <w:tcPr>
            <w:tcW w:w="1215" w:type="dxa"/>
            <w:tcBorders>
              <w:right w:val="single" w:sz="4" w:space="0" w:color="000000"/>
            </w:tcBorders>
          </w:tcPr>
          <w:p>
            <w:pPr>
              <w:pStyle w:val="TableParagraph"/>
              <w:spacing w:line="217" w:lineRule="exact" w:before="7"/>
              <w:ind w:right="103"/>
              <w:jc w:val="right"/>
              <w:rPr>
                <w:sz w:val="20"/>
              </w:rPr>
            </w:pPr>
            <w:r>
              <w:rPr>
                <w:spacing w:val="-2"/>
                <w:sz w:val="20"/>
              </w:rPr>
              <w:t>1,877</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Allowance</w:t>
            </w:r>
            <w:r>
              <w:rPr>
                <w:spacing w:val="-9"/>
                <w:sz w:val="20"/>
              </w:rPr>
              <w:t> </w:t>
            </w:r>
            <w:r>
              <w:rPr>
                <w:sz w:val="20"/>
              </w:rPr>
              <w:t>for</w:t>
            </w:r>
            <w:r>
              <w:rPr>
                <w:spacing w:val="-8"/>
                <w:sz w:val="20"/>
              </w:rPr>
              <w:t> </w:t>
            </w:r>
            <w:r>
              <w:rPr>
                <w:sz w:val="20"/>
              </w:rPr>
              <w:t>impairment</w:t>
            </w:r>
            <w:r>
              <w:rPr>
                <w:spacing w:val="-8"/>
                <w:sz w:val="20"/>
              </w:rPr>
              <w:t> </w:t>
            </w:r>
            <w:r>
              <w:rPr>
                <w:spacing w:val="-2"/>
                <w:sz w:val="20"/>
              </w:rPr>
              <w:t>losses</w:t>
            </w:r>
          </w:p>
        </w:tc>
        <w:tc>
          <w:tcPr>
            <w:tcW w:w="1026" w:type="dxa"/>
          </w:tcPr>
          <w:p>
            <w:pPr>
              <w:pStyle w:val="TableParagraph"/>
              <w:rPr>
                <w:rFonts w:ascii="Times New Roman"/>
                <w:sz w:val="16"/>
              </w:rPr>
            </w:pPr>
          </w:p>
        </w:tc>
        <w:tc>
          <w:tcPr>
            <w:tcW w:w="1275" w:type="dxa"/>
          </w:tcPr>
          <w:p>
            <w:pPr>
              <w:pStyle w:val="TableParagraph"/>
              <w:spacing w:line="217" w:lineRule="exact" w:before="7"/>
              <w:ind w:right="103"/>
              <w:jc w:val="right"/>
              <w:rPr>
                <w:sz w:val="20"/>
              </w:rPr>
            </w:pPr>
            <w:r>
              <w:rPr>
                <w:w w:val="99"/>
                <w:sz w:val="20"/>
              </w:rPr>
              <w:t>-</w:t>
            </w:r>
          </w:p>
        </w:tc>
        <w:tc>
          <w:tcPr>
            <w:tcW w:w="1273" w:type="dxa"/>
            <w:shd w:val="clear" w:color="auto" w:fill="DDEBF6"/>
          </w:tcPr>
          <w:p>
            <w:pPr>
              <w:pStyle w:val="TableParagraph"/>
              <w:spacing w:line="217" w:lineRule="exact" w:before="7"/>
              <w:ind w:right="104"/>
              <w:jc w:val="right"/>
              <w:rPr>
                <w:b/>
                <w:sz w:val="20"/>
              </w:rPr>
            </w:pPr>
            <w:r>
              <w:rPr>
                <w:b/>
                <w:w w:val="99"/>
                <w:sz w:val="20"/>
              </w:rPr>
              <w:t>-</w:t>
            </w:r>
          </w:p>
        </w:tc>
        <w:tc>
          <w:tcPr>
            <w:tcW w:w="1311" w:type="dxa"/>
          </w:tcPr>
          <w:p>
            <w:pPr>
              <w:pStyle w:val="TableParagraph"/>
              <w:spacing w:line="217" w:lineRule="exact" w:before="7"/>
              <w:ind w:right="1"/>
              <w:jc w:val="right"/>
              <w:rPr>
                <w:sz w:val="20"/>
              </w:rPr>
            </w:pPr>
            <w:r>
              <w:rPr>
                <w:w w:val="99"/>
                <w:sz w:val="20"/>
              </w:rPr>
              <w:t>-</w:t>
            </w:r>
          </w:p>
        </w:tc>
        <w:tc>
          <w:tcPr>
            <w:tcW w:w="1447" w:type="dxa"/>
          </w:tcPr>
          <w:p>
            <w:pPr>
              <w:pStyle w:val="TableParagraph"/>
              <w:spacing w:line="217" w:lineRule="exact" w:before="7"/>
              <w:ind w:right="167"/>
              <w:jc w:val="right"/>
              <w:rPr>
                <w:sz w:val="20"/>
              </w:rPr>
            </w:pPr>
            <w:r>
              <w:rPr>
                <w:w w:val="99"/>
                <w:sz w:val="20"/>
              </w:rPr>
              <w:t>-</w:t>
            </w:r>
          </w:p>
        </w:tc>
        <w:tc>
          <w:tcPr>
            <w:tcW w:w="1215" w:type="dxa"/>
            <w:tcBorders>
              <w:right w:val="single" w:sz="4" w:space="0" w:color="000000"/>
            </w:tcBorders>
          </w:tcPr>
          <w:p>
            <w:pPr>
              <w:pStyle w:val="TableParagraph"/>
              <w:spacing w:line="217" w:lineRule="exact" w:before="7"/>
              <w:ind w:right="102"/>
              <w:jc w:val="right"/>
              <w:rPr>
                <w:sz w:val="20"/>
              </w:rPr>
            </w:pPr>
            <w:r>
              <w:rPr>
                <w:w w:val="99"/>
                <w:sz w:val="20"/>
              </w:rPr>
              <w:t>-</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Borrowing</w:t>
            </w:r>
            <w:r>
              <w:rPr>
                <w:spacing w:val="-15"/>
                <w:sz w:val="20"/>
              </w:rPr>
              <w:t> </w:t>
            </w:r>
            <w:r>
              <w:rPr>
                <w:spacing w:val="-2"/>
                <w:sz w:val="20"/>
              </w:rPr>
              <w:t>costs</w:t>
            </w:r>
          </w:p>
        </w:tc>
        <w:tc>
          <w:tcPr>
            <w:tcW w:w="1026" w:type="dxa"/>
          </w:tcPr>
          <w:p>
            <w:pPr>
              <w:pStyle w:val="TableParagraph"/>
              <w:rPr>
                <w:rFonts w:ascii="Times New Roman"/>
                <w:sz w:val="16"/>
              </w:rPr>
            </w:pPr>
          </w:p>
        </w:tc>
        <w:tc>
          <w:tcPr>
            <w:tcW w:w="1275" w:type="dxa"/>
          </w:tcPr>
          <w:p>
            <w:pPr>
              <w:pStyle w:val="TableParagraph"/>
              <w:spacing w:line="217" w:lineRule="exact" w:before="7"/>
              <w:ind w:right="104"/>
              <w:jc w:val="right"/>
              <w:rPr>
                <w:sz w:val="20"/>
              </w:rPr>
            </w:pPr>
            <w:r>
              <w:rPr>
                <w:spacing w:val="-5"/>
                <w:sz w:val="20"/>
              </w:rPr>
              <w:t>914</w:t>
            </w:r>
          </w:p>
        </w:tc>
        <w:tc>
          <w:tcPr>
            <w:tcW w:w="1273" w:type="dxa"/>
            <w:shd w:val="clear" w:color="auto" w:fill="DDEBF6"/>
          </w:tcPr>
          <w:p>
            <w:pPr>
              <w:pStyle w:val="TableParagraph"/>
              <w:spacing w:line="217" w:lineRule="exact" w:before="7"/>
              <w:ind w:right="105"/>
              <w:jc w:val="right"/>
              <w:rPr>
                <w:b/>
                <w:sz w:val="20"/>
              </w:rPr>
            </w:pPr>
            <w:r>
              <w:rPr>
                <w:b/>
                <w:spacing w:val="-5"/>
                <w:sz w:val="20"/>
              </w:rPr>
              <w:t>788</w:t>
            </w:r>
          </w:p>
        </w:tc>
        <w:tc>
          <w:tcPr>
            <w:tcW w:w="1311" w:type="dxa"/>
          </w:tcPr>
          <w:p>
            <w:pPr>
              <w:pStyle w:val="TableParagraph"/>
              <w:spacing w:line="217" w:lineRule="exact" w:before="7"/>
              <w:ind w:right="1"/>
              <w:jc w:val="right"/>
              <w:rPr>
                <w:sz w:val="20"/>
              </w:rPr>
            </w:pPr>
            <w:r>
              <w:rPr>
                <w:spacing w:val="-2"/>
                <w:sz w:val="20"/>
              </w:rPr>
              <w:t>1,256</w:t>
            </w:r>
          </w:p>
        </w:tc>
        <w:tc>
          <w:tcPr>
            <w:tcW w:w="1447" w:type="dxa"/>
          </w:tcPr>
          <w:p>
            <w:pPr>
              <w:pStyle w:val="TableParagraph"/>
              <w:spacing w:line="217" w:lineRule="exact" w:before="7"/>
              <w:ind w:right="167"/>
              <w:jc w:val="right"/>
              <w:rPr>
                <w:sz w:val="20"/>
              </w:rPr>
            </w:pPr>
            <w:r>
              <w:rPr>
                <w:spacing w:val="-2"/>
                <w:sz w:val="20"/>
              </w:rPr>
              <w:t>1,089</w:t>
            </w:r>
          </w:p>
        </w:tc>
        <w:tc>
          <w:tcPr>
            <w:tcW w:w="1215" w:type="dxa"/>
            <w:tcBorders>
              <w:right w:val="single" w:sz="4" w:space="0" w:color="000000"/>
            </w:tcBorders>
          </w:tcPr>
          <w:p>
            <w:pPr>
              <w:pStyle w:val="TableParagraph"/>
              <w:spacing w:line="217" w:lineRule="exact" w:before="7"/>
              <w:ind w:right="104"/>
              <w:jc w:val="right"/>
              <w:rPr>
                <w:sz w:val="20"/>
              </w:rPr>
            </w:pPr>
            <w:r>
              <w:rPr>
                <w:spacing w:val="-5"/>
                <w:sz w:val="20"/>
              </w:rPr>
              <w:t>913</w:t>
            </w:r>
          </w:p>
        </w:tc>
      </w:tr>
      <w:tr>
        <w:trPr>
          <w:trHeight w:val="244" w:hRule="atLeast"/>
        </w:trPr>
        <w:tc>
          <w:tcPr>
            <w:tcW w:w="3225" w:type="dxa"/>
            <w:tcBorders>
              <w:left w:val="single" w:sz="4" w:space="0" w:color="000000"/>
            </w:tcBorders>
          </w:tcPr>
          <w:p>
            <w:pPr>
              <w:pStyle w:val="TableParagraph"/>
              <w:spacing w:line="225" w:lineRule="exact"/>
              <w:ind w:left="105"/>
              <w:rPr>
                <w:sz w:val="20"/>
              </w:rPr>
            </w:pPr>
            <w:r>
              <w:rPr>
                <w:sz w:val="20"/>
              </w:rPr>
              <w:t>Finance</w:t>
            </w:r>
            <w:r>
              <w:rPr>
                <w:spacing w:val="-6"/>
                <w:sz w:val="20"/>
              </w:rPr>
              <w:t> </w:t>
            </w:r>
            <w:r>
              <w:rPr>
                <w:sz w:val="20"/>
              </w:rPr>
              <w:t>Costs</w:t>
            </w:r>
            <w:r>
              <w:rPr>
                <w:spacing w:val="-4"/>
                <w:sz w:val="20"/>
              </w:rPr>
              <w:t> </w:t>
            </w:r>
            <w:r>
              <w:rPr>
                <w:sz w:val="20"/>
              </w:rPr>
              <w:t>-</w:t>
            </w:r>
            <w:r>
              <w:rPr>
                <w:spacing w:val="-6"/>
                <w:sz w:val="20"/>
              </w:rPr>
              <w:t> </w:t>
            </w:r>
            <w:r>
              <w:rPr>
                <w:spacing w:val="-2"/>
                <w:sz w:val="20"/>
              </w:rPr>
              <w:t>leases</w:t>
            </w:r>
          </w:p>
        </w:tc>
        <w:tc>
          <w:tcPr>
            <w:tcW w:w="1026" w:type="dxa"/>
          </w:tcPr>
          <w:p>
            <w:pPr>
              <w:pStyle w:val="TableParagraph"/>
              <w:rPr>
                <w:rFonts w:ascii="Times New Roman"/>
                <w:sz w:val="16"/>
              </w:rPr>
            </w:pPr>
          </w:p>
        </w:tc>
        <w:tc>
          <w:tcPr>
            <w:tcW w:w="1275" w:type="dxa"/>
          </w:tcPr>
          <w:p>
            <w:pPr>
              <w:pStyle w:val="TableParagraph"/>
              <w:spacing w:line="217" w:lineRule="exact" w:before="7"/>
              <w:ind w:right="104"/>
              <w:jc w:val="right"/>
              <w:rPr>
                <w:sz w:val="20"/>
              </w:rPr>
            </w:pPr>
            <w:r>
              <w:rPr>
                <w:spacing w:val="-5"/>
                <w:sz w:val="20"/>
              </w:rPr>
              <w:t>218</w:t>
            </w:r>
          </w:p>
        </w:tc>
        <w:tc>
          <w:tcPr>
            <w:tcW w:w="1273" w:type="dxa"/>
            <w:shd w:val="clear" w:color="auto" w:fill="DDEBF6"/>
          </w:tcPr>
          <w:p>
            <w:pPr>
              <w:pStyle w:val="TableParagraph"/>
              <w:spacing w:line="217" w:lineRule="exact" w:before="7"/>
              <w:ind w:right="105"/>
              <w:jc w:val="right"/>
              <w:rPr>
                <w:b/>
                <w:sz w:val="20"/>
              </w:rPr>
            </w:pPr>
            <w:r>
              <w:rPr>
                <w:b/>
                <w:spacing w:val="-5"/>
                <w:sz w:val="20"/>
              </w:rPr>
              <w:t>182</w:t>
            </w:r>
          </w:p>
        </w:tc>
        <w:tc>
          <w:tcPr>
            <w:tcW w:w="1311" w:type="dxa"/>
          </w:tcPr>
          <w:p>
            <w:pPr>
              <w:pStyle w:val="TableParagraph"/>
              <w:spacing w:line="217" w:lineRule="exact" w:before="7"/>
              <w:jc w:val="right"/>
              <w:rPr>
                <w:sz w:val="20"/>
              </w:rPr>
            </w:pPr>
            <w:r>
              <w:rPr>
                <w:spacing w:val="-5"/>
                <w:sz w:val="20"/>
              </w:rPr>
              <w:t>175</w:t>
            </w:r>
          </w:p>
        </w:tc>
        <w:tc>
          <w:tcPr>
            <w:tcW w:w="1447" w:type="dxa"/>
          </w:tcPr>
          <w:p>
            <w:pPr>
              <w:pStyle w:val="TableParagraph"/>
              <w:spacing w:line="217" w:lineRule="exact" w:before="7"/>
              <w:ind w:right="168"/>
              <w:jc w:val="right"/>
              <w:rPr>
                <w:sz w:val="20"/>
              </w:rPr>
            </w:pPr>
            <w:r>
              <w:rPr>
                <w:spacing w:val="-5"/>
                <w:sz w:val="20"/>
              </w:rPr>
              <w:t>220</w:t>
            </w:r>
          </w:p>
        </w:tc>
        <w:tc>
          <w:tcPr>
            <w:tcW w:w="1215" w:type="dxa"/>
            <w:tcBorders>
              <w:right w:val="single" w:sz="4" w:space="0" w:color="000000"/>
            </w:tcBorders>
          </w:tcPr>
          <w:p>
            <w:pPr>
              <w:pStyle w:val="TableParagraph"/>
              <w:spacing w:line="217" w:lineRule="exact" w:before="7"/>
              <w:ind w:right="104"/>
              <w:jc w:val="right"/>
              <w:rPr>
                <w:sz w:val="20"/>
              </w:rPr>
            </w:pPr>
            <w:r>
              <w:rPr>
                <w:spacing w:val="-5"/>
                <w:sz w:val="20"/>
              </w:rPr>
              <w:t>169</w:t>
            </w:r>
          </w:p>
        </w:tc>
      </w:tr>
      <w:tr>
        <w:trPr>
          <w:trHeight w:val="245" w:hRule="atLeast"/>
        </w:trPr>
        <w:tc>
          <w:tcPr>
            <w:tcW w:w="3225" w:type="dxa"/>
            <w:tcBorders>
              <w:left w:val="single" w:sz="4" w:space="0" w:color="000000"/>
            </w:tcBorders>
          </w:tcPr>
          <w:p>
            <w:pPr>
              <w:pStyle w:val="TableParagraph"/>
              <w:spacing w:line="225" w:lineRule="exact"/>
              <w:ind w:left="105"/>
              <w:rPr>
                <w:sz w:val="20"/>
              </w:rPr>
            </w:pPr>
            <w:r>
              <w:rPr>
                <w:sz w:val="20"/>
              </w:rPr>
              <w:t>Other</w:t>
            </w:r>
            <w:r>
              <w:rPr>
                <w:spacing w:val="-6"/>
                <w:sz w:val="20"/>
              </w:rPr>
              <w:t> </w:t>
            </w:r>
            <w:r>
              <w:rPr>
                <w:spacing w:val="-2"/>
                <w:sz w:val="20"/>
              </w:rPr>
              <w:t>expenses</w:t>
            </w:r>
          </w:p>
        </w:tc>
        <w:tc>
          <w:tcPr>
            <w:tcW w:w="1026" w:type="dxa"/>
          </w:tcPr>
          <w:p>
            <w:pPr>
              <w:pStyle w:val="TableParagraph"/>
              <w:spacing w:line="225" w:lineRule="exact"/>
              <w:ind w:left="245"/>
              <w:rPr>
                <w:sz w:val="20"/>
              </w:rPr>
            </w:pPr>
            <w:r>
              <w:rPr>
                <w:spacing w:val="-2"/>
                <w:sz w:val="20"/>
              </w:rPr>
              <w:t>4.1.11</w:t>
            </w:r>
          </w:p>
        </w:tc>
        <w:tc>
          <w:tcPr>
            <w:tcW w:w="1275" w:type="dxa"/>
            <w:tcBorders>
              <w:bottom w:val="single" w:sz="4" w:space="0" w:color="000000"/>
            </w:tcBorders>
          </w:tcPr>
          <w:p>
            <w:pPr>
              <w:pStyle w:val="TableParagraph"/>
              <w:spacing w:line="218" w:lineRule="exact" w:before="7"/>
              <w:ind w:right="104"/>
              <w:jc w:val="right"/>
              <w:rPr>
                <w:sz w:val="20"/>
              </w:rPr>
            </w:pPr>
            <w:r>
              <w:rPr>
                <w:spacing w:val="-5"/>
                <w:sz w:val="20"/>
              </w:rPr>
              <w:t>652</w:t>
            </w:r>
          </w:p>
        </w:tc>
        <w:tc>
          <w:tcPr>
            <w:tcW w:w="1273" w:type="dxa"/>
            <w:tcBorders>
              <w:bottom w:val="single" w:sz="4" w:space="0" w:color="000000"/>
            </w:tcBorders>
            <w:shd w:val="clear" w:color="auto" w:fill="DDEBF6"/>
          </w:tcPr>
          <w:p>
            <w:pPr>
              <w:pStyle w:val="TableParagraph"/>
              <w:spacing w:line="218" w:lineRule="exact" w:before="7"/>
              <w:ind w:right="105"/>
              <w:jc w:val="right"/>
              <w:rPr>
                <w:b/>
                <w:sz w:val="20"/>
              </w:rPr>
            </w:pPr>
            <w:r>
              <w:rPr>
                <w:b/>
                <w:spacing w:val="-5"/>
                <w:sz w:val="20"/>
              </w:rPr>
              <w:t>810</w:t>
            </w:r>
          </w:p>
        </w:tc>
        <w:tc>
          <w:tcPr>
            <w:tcW w:w="1311" w:type="dxa"/>
            <w:tcBorders>
              <w:bottom w:val="single" w:sz="4" w:space="0" w:color="000000"/>
            </w:tcBorders>
          </w:tcPr>
          <w:p>
            <w:pPr>
              <w:pStyle w:val="TableParagraph"/>
              <w:spacing w:line="218" w:lineRule="exact" w:before="7"/>
              <w:jc w:val="right"/>
              <w:rPr>
                <w:sz w:val="20"/>
              </w:rPr>
            </w:pPr>
            <w:r>
              <w:rPr>
                <w:spacing w:val="-5"/>
                <w:sz w:val="20"/>
              </w:rPr>
              <w:t>676</w:t>
            </w:r>
          </w:p>
        </w:tc>
        <w:tc>
          <w:tcPr>
            <w:tcW w:w="1447" w:type="dxa"/>
            <w:tcBorders>
              <w:bottom w:val="single" w:sz="4" w:space="0" w:color="000000"/>
            </w:tcBorders>
          </w:tcPr>
          <w:p>
            <w:pPr>
              <w:pStyle w:val="TableParagraph"/>
              <w:spacing w:line="218" w:lineRule="exact" w:before="7"/>
              <w:ind w:right="168"/>
              <w:jc w:val="right"/>
              <w:rPr>
                <w:sz w:val="20"/>
              </w:rPr>
            </w:pPr>
            <w:r>
              <w:rPr>
                <w:spacing w:val="-5"/>
                <w:sz w:val="20"/>
              </w:rPr>
              <w:t>597</w:t>
            </w:r>
          </w:p>
        </w:tc>
        <w:tc>
          <w:tcPr>
            <w:tcW w:w="1215" w:type="dxa"/>
            <w:tcBorders>
              <w:bottom w:val="single" w:sz="4" w:space="0" w:color="000000"/>
              <w:right w:val="single" w:sz="4" w:space="0" w:color="000000"/>
            </w:tcBorders>
          </w:tcPr>
          <w:p>
            <w:pPr>
              <w:pStyle w:val="TableParagraph"/>
              <w:spacing w:line="218" w:lineRule="exact" w:before="7"/>
              <w:ind w:right="104"/>
              <w:jc w:val="right"/>
              <w:rPr>
                <w:sz w:val="20"/>
              </w:rPr>
            </w:pPr>
            <w:r>
              <w:rPr>
                <w:spacing w:val="-5"/>
                <w:sz w:val="20"/>
              </w:rPr>
              <w:t>622</w:t>
            </w:r>
          </w:p>
        </w:tc>
      </w:tr>
      <w:tr>
        <w:trPr>
          <w:trHeight w:val="246" w:hRule="atLeast"/>
        </w:trPr>
        <w:tc>
          <w:tcPr>
            <w:tcW w:w="3225" w:type="dxa"/>
            <w:tcBorders>
              <w:left w:val="single" w:sz="4" w:space="0" w:color="000000"/>
            </w:tcBorders>
          </w:tcPr>
          <w:p>
            <w:pPr>
              <w:pStyle w:val="TableParagraph"/>
              <w:spacing w:line="227" w:lineRule="exact"/>
              <w:ind w:left="105"/>
              <w:rPr>
                <w:b/>
                <w:sz w:val="20"/>
              </w:rPr>
            </w:pPr>
            <w:r>
              <w:rPr>
                <w:b/>
                <w:sz w:val="20"/>
              </w:rPr>
              <w:t>Total</w:t>
            </w:r>
            <w:r>
              <w:rPr>
                <w:b/>
                <w:spacing w:val="-6"/>
                <w:sz w:val="20"/>
              </w:rPr>
              <w:t> </w:t>
            </w:r>
            <w:r>
              <w:rPr>
                <w:b/>
                <w:spacing w:val="-2"/>
                <w:sz w:val="20"/>
              </w:rPr>
              <w:t>expenses</w:t>
            </w:r>
          </w:p>
        </w:tc>
        <w:tc>
          <w:tcPr>
            <w:tcW w:w="1026" w:type="dxa"/>
          </w:tcPr>
          <w:p>
            <w:pPr>
              <w:pStyle w:val="TableParagraph"/>
              <w:rPr>
                <w:rFonts w:ascii="Times New Roman"/>
                <w:sz w:val="16"/>
              </w:rPr>
            </w:pPr>
          </w:p>
        </w:tc>
        <w:tc>
          <w:tcPr>
            <w:tcW w:w="1275" w:type="dxa"/>
            <w:tcBorders>
              <w:top w:val="single" w:sz="4" w:space="0" w:color="000000"/>
              <w:bottom w:val="single" w:sz="4" w:space="0" w:color="000000"/>
            </w:tcBorders>
          </w:tcPr>
          <w:p>
            <w:pPr>
              <w:pStyle w:val="TableParagraph"/>
              <w:spacing w:line="220" w:lineRule="exact" w:before="6"/>
              <w:ind w:right="104"/>
              <w:jc w:val="right"/>
              <w:rPr>
                <w:sz w:val="20"/>
              </w:rPr>
            </w:pPr>
            <w:r>
              <w:rPr>
                <w:spacing w:val="-2"/>
                <w:sz w:val="20"/>
              </w:rPr>
              <w:t>160,716</w:t>
            </w:r>
          </w:p>
        </w:tc>
        <w:tc>
          <w:tcPr>
            <w:tcW w:w="1273" w:type="dxa"/>
            <w:tcBorders>
              <w:top w:val="single" w:sz="4" w:space="0" w:color="000000"/>
              <w:bottom w:val="single" w:sz="4" w:space="0" w:color="000000"/>
            </w:tcBorders>
            <w:shd w:val="clear" w:color="auto" w:fill="DDEBF6"/>
          </w:tcPr>
          <w:p>
            <w:pPr>
              <w:pStyle w:val="TableParagraph"/>
              <w:spacing w:line="220" w:lineRule="exact" w:before="6"/>
              <w:ind w:right="105"/>
              <w:jc w:val="right"/>
              <w:rPr>
                <w:b/>
                <w:sz w:val="20"/>
              </w:rPr>
            </w:pPr>
            <w:r>
              <w:rPr>
                <w:b/>
                <w:spacing w:val="-2"/>
                <w:sz w:val="20"/>
              </w:rPr>
              <w:t>169,638</w:t>
            </w:r>
          </w:p>
        </w:tc>
        <w:tc>
          <w:tcPr>
            <w:tcW w:w="1311" w:type="dxa"/>
            <w:tcBorders>
              <w:top w:val="single" w:sz="4" w:space="0" w:color="000000"/>
              <w:bottom w:val="single" w:sz="4" w:space="0" w:color="000000"/>
            </w:tcBorders>
          </w:tcPr>
          <w:p>
            <w:pPr>
              <w:pStyle w:val="TableParagraph"/>
              <w:spacing w:line="220" w:lineRule="exact" w:before="6"/>
              <w:jc w:val="right"/>
              <w:rPr>
                <w:sz w:val="20"/>
              </w:rPr>
            </w:pPr>
            <w:r>
              <w:rPr>
                <w:spacing w:val="-2"/>
                <w:sz w:val="20"/>
              </w:rPr>
              <w:t>171,989</w:t>
            </w:r>
          </w:p>
        </w:tc>
        <w:tc>
          <w:tcPr>
            <w:tcW w:w="1447" w:type="dxa"/>
            <w:tcBorders>
              <w:top w:val="single" w:sz="4" w:space="0" w:color="000000"/>
              <w:bottom w:val="single" w:sz="4" w:space="0" w:color="000000"/>
            </w:tcBorders>
          </w:tcPr>
          <w:p>
            <w:pPr>
              <w:pStyle w:val="TableParagraph"/>
              <w:spacing w:line="220" w:lineRule="exact" w:before="6"/>
              <w:ind w:right="168"/>
              <w:jc w:val="right"/>
              <w:rPr>
                <w:sz w:val="20"/>
              </w:rPr>
            </w:pPr>
            <w:r>
              <w:rPr>
                <w:spacing w:val="-2"/>
                <w:sz w:val="20"/>
              </w:rPr>
              <w:t>174,604</w:t>
            </w:r>
          </w:p>
        </w:tc>
        <w:tc>
          <w:tcPr>
            <w:tcW w:w="1215" w:type="dxa"/>
            <w:tcBorders>
              <w:top w:val="single" w:sz="4" w:space="0" w:color="000000"/>
              <w:bottom w:val="single" w:sz="4" w:space="0" w:color="000000"/>
              <w:right w:val="single" w:sz="4" w:space="0" w:color="000000"/>
            </w:tcBorders>
          </w:tcPr>
          <w:p>
            <w:pPr>
              <w:pStyle w:val="TableParagraph"/>
              <w:spacing w:line="220" w:lineRule="exact" w:before="6"/>
              <w:ind w:right="104"/>
              <w:jc w:val="right"/>
              <w:rPr>
                <w:sz w:val="20"/>
              </w:rPr>
            </w:pPr>
            <w:r>
              <w:rPr>
                <w:spacing w:val="-2"/>
                <w:sz w:val="20"/>
              </w:rPr>
              <w:t>179,558</w:t>
            </w:r>
          </w:p>
        </w:tc>
      </w:tr>
      <w:tr>
        <w:trPr>
          <w:trHeight w:val="244" w:hRule="atLeast"/>
        </w:trPr>
        <w:tc>
          <w:tcPr>
            <w:tcW w:w="3225" w:type="dxa"/>
            <w:tcBorders>
              <w:left w:val="single" w:sz="4" w:space="0" w:color="000000"/>
            </w:tcBorders>
          </w:tcPr>
          <w:p>
            <w:pPr>
              <w:pStyle w:val="TableParagraph"/>
              <w:rPr>
                <w:rFonts w:ascii="Times New Roman"/>
                <w:sz w:val="16"/>
              </w:rPr>
            </w:pPr>
          </w:p>
        </w:tc>
        <w:tc>
          <w:tcPr>
            <w:tcW w:w="1026" w:type="dxa"/>
          </w:tcPr>
          <w:p>
            <w:pPr>
              <w:pStyle w:val="TableParagraph"/>
              <w:rPr>
                <w:rFonts w:ascii="Times New Roman"/>
                <w:sz w:val="16"/>
              </w:rPr>
            </w:pPr>
          </w:p>
        </w:tc>
        <w:tc>
          <w:tcPr>
            <w:tcW w:w="1275" w:type="dxa"/>
            <w:tcBorders>
              <w:top w:val="single" w:sz="4" w:space="0" w:color="000000"/>
              <w:bottom w:val="single" w:sz="4" w:space="0" w:color="000000"/>
            </w:tcBorders>
          </w:tcPr>
          <w:p>
            <w:pPr>
              <w:pStyle w:val="TableParagraph"/>
              <w:rPr>
                <w:rFonts w:ascii="Times New Roman"/>
                <w:sz w:val="16"/>
              </w:rPr>
            </w:pPr>
          </w:p>
        </w:tc>
        <w:tc>
          <w:tcPr>
            <w:tcW w:w="1273" w:type="dxa"/>
            <w:tcBorders>
              <w:top w:val="single" w:sz="4" w:space="0" w:color="000000"/>
              <w:bottom w:val="single" w:sz="4" w:space="0" w:color="000000"/>
            </w:tcBorders>
            <w:shd w:val="clear" w:color="auto" w:fill="DDEBF6"/>
          </w:tcPr>
          <w:p>
            <w:pPr>
              <w:pStyle w:val="TableParagraph"/>
              <w:rPr>
                <w:rFonts w:ascii="Times New Roman"/>
                <w:sz w:val="16"/>
              </w:rPr>
            </w:pPr>
          </w:p>
        </w:tc>
        <w:tc>
          <w:tcPr>
            <w:tcW w:w="3973" w:type="dxa"/>
            <w:gridSpan w:val="3"/>
            <w:tcBorders>
              <w:top w:val="single" w:sz="4" w:space="0" w:color="000000"/>
              <w:bottom w:val="single" w:sz="4" w:space="0" w:color="000000"/>
              <w:right w:val="single" w:sz="4" w:space="0" w:color="000000"/>
            </w:tcBorders>
          </w:tcPr>
          <w:p>
            <w:pPr>
              <w:pStyle w:val="TableParagraph"/>
              <w:rPr>
                <w:rFonts w:ascii="Times New Roman"/>
                <w:sz w:val="16"/>
              </w:rPr>
            </w:pPr>
          </w:p>
        </w:tc>
      </w:tr>
      <w:tr>
        <w:trPr>
          <w:trHeight w:val="244" w:hRule="atLeast"/>
        </w:trPr>
        <w:tc>
          <w:tcPr>
            <w:tcW w:w="3225" w:type="dxa"/>
            <w:tcBorders>
              <w:left w:val="single" w:sz="4" w:space="0" w:color="000000"/>
            </w:tcBorders>
          </w:tcPr>
          <w:p>
            <w:pPr>
              <w:pStyle w:val="TableParagraph"/>
              <w:spacing w:line="224" w:lineRule="exact"/>
              <w:ind w:left="105"/>
              <w:rPr>
                <w:b/>
                <w:sz w:val="20"/>
              </w:rPr>
            </w:pPr>
            <w:r>
              <w:rPr>
                <w:b/>
                <w:sz w:val="20"/>
              </w:rPr>
              <w:t>Surplus/(deficit)</w:t>
            </w:r>
            <w:r>
              <w:rPr>
                <w:b/>
                <w:spacing w:val="-8"/>
                <w:sz w:val="20"/>
              </w:rPr>
              <w:t> </w:t>
            </w:r>
            <w:r>
              <w:rPr>
                <w:b/>
                <w:sz w:val="20"/>
              </w:rPr>
              <w:t>for</w:t>
            </w:r>
            <w:r>
              <w:rPr>
                <w:b/>
                <w:spacing w:val="-9"/>
                <w:sz w:val="20"/>
              </w:rPr>
              <w:t> </w:t>
            </w:r>
            <w:r>
              <w:rPr>
                <w:b/>
                <w:sz w:val="20"/>
              </w:rPr>
              <w:t>the</w:t>
            </w:r>
            <w:r>
              <w:rPr>
                <w:b/>
                <w:spacing w:val="-8"/>
                <w:sz w:val="20"/>
              </w:rPr>
              <w:t> </w:t>
            </w:r>
            <w:r>
              <w:rPr>
                <w:b/>
                <w:spacing w:val="-4"/>
                <w:sz w:val="20"/>
              </w:rPr>
              <w:t>year</w:t>
            </w:r>
          </w:p>
        </w:tc>
        <w:tc>
          <w:tcPr>
            <w:tcW w:w="1026" w:type="dxa"/>
          </w:tcPr>
          <w:p>
            <w:pPr>
              <w:pStyle w:val="TableParagraph"/>
              <w:rPr>
                <w:rFonts w:ascii="Times New Roman"/>
                <w:sz w:val="16"/>
              </w:rPr>
            </w:pPr>
          </w:p>
        </w:tc>
        <w:tc>
          <w:tcPr>
            <w:tcW w:w="1275" w:type="dxa"/>
            <w:tcBorders>
              <w:top w:val="single" w:sz="4" w:space="0" w:color="000000"/>
              <w:bottom w:val="single" w:sz="4" w:space="0" w:color="000000"/>
            </w:tcBorders>
          </w:tcPr>
          <w:p>
            <w:pPr>
              <w:pStyle w:val="TableParagraph"/>
              <w:spacing w:line="218" w:lineRule="exact" w:before="6"/>
              <w:ind w:right="104"/>
              <w:jc w:val="right"/>
              <w:rPr>
                <w:sz w:val="20"/>
              </w:rPr>
            </w:pPr>
            <w:r>
              <w:rPr>
                <w:spacing w:val="-2"/>
                <w:sz w:val="20"/>
              </w:rPr>
              <w:t>11,608</w:t>
            </w:r>
          </w:p>
        </w:tc>
        <w:tc>
          <w:tcPr>
            <w:tcW w:w="1273" w:type="dxa"/>
            <w:tcBorders>
              <w:top w:val="single" w:sz="4" w:space="0" w:color="000000"/>
              <w:bottom w:val="single" w:sz="4" w:space="0" w:color="000000"/>
            </w:tcBorders>
            <w:shd w:val="clear" w:color="auto" w:fill="DDEBF6"/>
          </w:tcPr>
          <w:p>
            <w:pPr>
              <w:pStyle w:val="TableParagraph"/>
              <w:spacing w:line="218" w:lineRule="exact" w:before="6"/>
              <w:ind w:right="105"/>
              <w:jc w:val="right"/>
              <w:rPr>
                <w:b/>
                <w:sz w:val="20"/>
              </w:rPr>
            </w:pPr>
            <w:r>
              <w:rPr>
                <w:b/>
                <w:spacing w:val="-2"/>
                <w:sz w:val="20"/>
              </w:rPr>
              <w:t>30,132</w:t>
            </w:r>
          </w:p>
        </w:tc>
        <w:tc>
          <w:tcPr>
            <w:tcW w:w="1311" w:type="dxa"/>
            <w:tcBorders>
              <w:top w:val="single" w:sz="4" w:space="0" w:color="000000"/>
              <w:bottom w:val="single" w:sz="4" w:space="0" w:color="000000"/>
            </w:tcBorders>
          </w:tcPr>
          <w:p>
            <w:pPr>
              <w:pStyle w:val="TableParagraph"/>
              <w:spacing w:line="218" w:lineRule="exact" w:before="6"/>
              <w:jc w:val="right"/>
              <w:rPr>
                <w:sz w:val="20"/>
              </w:rPr>
            </w:pPr>
            <w:r>
              <w:rPr>
                <w:spacing w:val="-2"/>
                <w:sz w:val="20"/>
              </w:rPr>
              <w:t>12,371</w:t>
            </w:r>
          </w:p>
        </w:tc>
        <w:tc>
          <w:tcPr>
            <w:tcW w:w="1447" w:type="dxa"/>
            <w:tcBorders>
              <w:top w:val="single" w:sz="4" w:space="0" w:color="000000"/>
              <w:bottom w:val="single" w:sz="4" w:space="0" w:color="000000"/>
            </w:tcBorders>
          </w:tcPr>
          <w:p>
            <w:pPr>
              <w:pStyle w:val="TableParagraph"/>
              <w:spacing w:line="218" w:lineRule="exact" w:before="6"/>
              <w:ind w:right="168"/>
              <w:jc w:val="right"/>
              <w:rPr>
                <w:sz w:val="20"/>
              </w:rPr>
            </w:pPr>
            <w:r>
              <w:rPr>
                <w:spacing w:val="-2"/>
                <w:sz w:val="20"/>
              </w:rPr>
              <w:t>15,289</w:t>
            </w:r>
          </w:p>
        </w:tc>
        <w:tc>
          <w:tcPr>
            <w:tcW w:w="1215" w:type="dxa"/>
            <w:tcBorders>
              <w:top w:val="single" w:sz="4" w:space="0" w:color="000000"/>
              <w:bottom w:val="single" w:sz="4" w:space="0" w:color="000000"/>
              <w:right w:val="single" w:sz="4" w:space="0" w:color="000000"/>
            </w:tcBorders>
          </w:tcPr>
          <w:p>
            <w:pPr>
              <w:pStyle w:val="TableParagraph"/>
              <w:spacing w:line="218" w:lineRule="exact" w:before="6"/>
              <w:ind w:right="104"/>
              <w:jc w:val="right"/>
              <w:rPr>
                <w:sz w:val="20"/>
              </w:rPr>
            </w:pPr>
            <w:r>
              <w:rPr>
                <w:spacing w:val="-2"/>
                <w:sz w:val="20"/>
              </w:rPr>
              <w:t>29,254</w:t>
            </w:r>
          </w:p>
        </w:tc>
      </w:tr>
      <w:tr>
        <w:trPr>
          <w:trHeight w:val="244" w:hRule="atLeast"/>
        </w:trPr>
        <w:tc>
          <w:tcPr>
            <w:tcW w:w="3225" w:type="dxa"/>
            <w:tcBorders>
              <w:left w:val="single" w:sz="4" w:space="0" w:color="000000"/>
            </w:tcBorders>
          </w:tcPr>
          <w:p>
            <w:pPr>
              <w:pStyle w:val="TableParagraph"/>
              <w:rPr>
                <w:rFonts w:ascii="Times New Roman"/>
                <w:sz w:val="16"/>
              </w:rPr>
            </w:pPr>
          </w:p>
        </w:tc>
        <w:tc>
          <w:tcPr>
            <w:tcW w:w="1026" w:type="dxa"/>
          </w:tcPr>
          <w:p>
            <w:pPr>
              <w:pStyle w:val="TableParagraph"/>
              <w:rPr>
                <w:rFonts w:ascii="Times New Roman"/>
                <w:sz w:val="16"/>
              </w:rPr>
            </w:pPr>
          </w:p>
        </w:tc>
        <w:tc>
          <w:tcPr>
            <w:tcW w:w="1275" w:type="dxa"/>
            <w:tcBorders>
              <w:top w:val="single" w:sz="4" w:space="0" w:color="000000"/>
              <w:bottom w:val="single" w:sz="4" w:space="0" w:color="000000"/>
            </w:tcBorders>
          </w:tcPr>
          <w:p>
            <w:pPr>
              <w:pStyle w:val="TableParagraph"/>
              <w:rPr>
                <w:rFonts w:ascii="Times New Roman"/>
                <w:sz w:val="16"/>
              </w:rPr>
            </w:pPr>
          </w:p>
        </w:tc>
        <w:tc>
          <w:tcPr>
            <w:tcW w:w="1273" w:type="dxa"/>
            <w:tcBorders>
              <w:top w:val="single" w:sz="4" w:space="0" w:color="000000"/>
              <w:bottom w:val="single" w:sz="4" w:space="0" w:color="000000"/>
            </w:tcBorders>
            <w:shd w:val="clear" w:color="auto" w:fill="DDEBF6"/>
          </w:tcPr>
          <w:p>
            <w:pPr>
              <w:pStyle w:val="TableParagraph"/>
              <w:rPr>
                <w:rFonts w:ascii="Times New Roman"/>
                <w:sz w:val="16"/>
              </w:rPr>
            </w:pPr>
          </w:p>
        </w:tc>
        <w:tc>
          <w:tcPr>
            <w:tcW w:w="3973" w:type="dxa"/>
            <w:gridSpan w:val="3"/>
            <w:tcBorders>
              <w:top w:val="single" w:sz="4" w:space="0" w:color="000000"/>
              <w:bottom w:val="single" w:sz="4" w:space="0" w:color="000000"/>
              <w:right w:val="single" w:sz="4" w:space="0" w:color="000000"/>
            </w:tcBorders>
          </w:tcPr>
          <w:p>
            <w:pPr>
              <w:pStyle w:val="TableParagraph"/>
              <w:rPr>
                <w:rFonts w:ascii="Times New Roman"/>
                <w:sz w:val="16"/>
              </w:rPr>
            </w:pPr>
          </w:p>
        </w:tc>
      </w:tr>
      <w:tr>
        <w:trPr>
          <w:trHeight w:val="258" w:hRule="atLeast"/>
        </w:trPr>
        <w:tc>
          <w:tcPr>
            <w:tcW w:w="3225" w:type="dxa"/>
            <w:tcBorders>
              <w:left w:val="single" w:sz="4" w:space="0" w:color="000000"/>
              <w:bottom w:val="single" w:sz="4" w:space="0" w:color="000000"/>
            </w:tcBorders>
          </w:tcPr>
          <w:p>
            <w:pPr>
              <w:pStyle w:val="TableParagraph"/>
              <w:spacing w:line="229" w:lineRule="exact"/>
              <w:ind w:left="105"/>
              <w:rPr>
                <w:b/>
                <w:sz w:val="20"/>
              </w:rPr>
            </w:pPr>
            <w:r>
              <w:rPr>
                <w:b/>
                <w:sz w:val="20"/>
              </w:rPr>
              <w:t>Total</w:t>
            </w:r>
            <w:r>
              <w:rPr>
                <w:b/>
                <w:spacing w:val="-12"/>
                <w:sz w:val="20"/>
              </w:rPr>
              <w:t> </w:t>
            </w:r>
            <w:r>
              <w:rPr>
                <w:b/>
                <w:sz w:val="20"/>
              </w:rPr>
              <w:t>comprehensive</w:t>
            </w:r>
            <w:r>
              <w:rPr>
                <w:b/>
                <w:spacing w:val="-12"/>
                <w:sz w:val="20"/>
              </w:rPr>
              <w:t> </w:t>
            </w:r>
            <w:r>
              <w:rPr>
                <w:b/>
                <w:spacing w:val="-2"/>
                <w:sz w:val="20"/>
              </w:rPr>
              <w:t>result</w:t>
            </w:r>
          </w:p>
        </w:tc>
        <w:tc>
          <w:tcPr>
            <w:tcW w:w="1026" w:type="dxa"/>
            <w:tcBorders>
              <w:bottom w:val="single" w:sz="4" w:space="0" w:color="000000"/>
            </w:tcBorders>
          </w:tcPr>
          <w:p>
            <w:pPr>
              <w:pStyle w:val="TableParagraph"/>
              <w:rPr>
                <w:rFonts w:ascii="Times New Roman"/>
                <w:sz w:val="18"/>
              </w:rPr>
            </w:pPr>
          </w:p>
        </w:tc>
        <w:tc>
          <w:tcPr>
            <w:tcW w:w="1275" w:type="dxa"/>
            <w:tcBorders>
              <w:top w:val="single" w:sz="4" w:space="0" w:color="000000"/>
              <w:bottom w:val="single" w:sz="4" w:space="0" w:color="000000"/>
            </w:tcBorders>
          </w:tcPr>
          <w:p>
            <w:pPr>
              <w:pStyle w:val="TableParagraph"/>
              <w:spacing w:line="225" w:lineRule="exact" w:before="14"/>
              <w:ind w:right="104"/>
              <w:jc w:val="right"/>
              <w:rPr>
                <w:sz w:val="20"/>
              </w:rPr>
            </w:pPr>
            <w:r>
              <w:rPr>
                <w:spacing w:val="-2"/>
                <w:sz w:val="20"/>
              </w:rPr>
              <w:t>11,608</w:t>
            </w:r>
          </w:p>
        </w:tc>
        <w:tc>
          <w:tcPr>
            <w:tcW w:w="1273" w:type="dxa"/>
            <w:tcBorders>
              <w:top w:val="single" w:sz="4" w:space="0" w:color="000000"/>
              <w:bottom w:val="single" w:sz="4" w:space="0" w:color="000000"/>
            </w:tcBorders>
            <w:shd w:val="clear" w:color="auto" w:fill="DDEBF6"/>
          </w:tcPr>
          <w:p>
            <w:pPr>
              <w:pStyle w:val="TableParagraph"/>
              <w:spacing w:line="225" w:lineRule="exact" w:before="14"/>
              <w:ind w:right="105"/>
              <w:jc w:val="right"/>
              <w:rPr>
                <w:b/>
                <w:sz w:val="20"/>
              </w:rPr>
            </w:pPr>
            <w:r>
              <w:rPr>
                <w:b/>
                <w:spacing w:val="-2"/>
                <w:sz w:val="20"/>
              </w:rPr>
              <w:t>30,132</w:t>
            </w:r>
          </w:p>
        </w:tc>
        <w:tc>
          <w:tcPr>
            <w:tcW w:w="1311" w:type="dxa"/>
            <w:tcBorders>
              <w:top w:val="single" w:sz="4" w:space="0" w:color="000000"/>
              <w:bottom w:val="single" w:sz="4" w:space="0" w:color="000000"/>
            </w:tcBorders>
          </w:tcPr>
          <w:p>
            <w:pPr>
              <w:pStyle w:val="TableParagraph"/>
              <w:spacing w:line="225" w:lineRule="exact" w:before="14"/>
              <w:jc w:val="right"/>
              <w:rPr>
                <w:sz w:val="20"/>
              </w:rPr>
            </w:pPr>
            <w:r>
              <w:rPr>
                <w:spacing w:val="-2"/>
                <w:sz w:val="20"/>
              </w:rPr>
              <w:t>12,371</w:t>
            </w:r>
          </w:p>
        </w:tc>
        <w:tc>
          <w:tcPr>
            <w:tcW w:w="1447" w:type="dxa"/>
            <w:tcBorders>
              <w:top w:val="single" w:sz="4" w:space="0" w:color="000000"/>
              <w:bottom w:val="single" w:sz="4" w:space="0" w:color="000000"/>
            </w:tcBorders>
          </w:tcPr>
          <w:p>
            <w:pPr>
              <w:pStyle w:val="TableParagraph"/>
              <w:spacing w:line="225" w:lineRule="exact" w:before="14"/>
              <w:ind w:right="168"/>
              <w:jc w:val="right"/>
              <w:rPr>
                <w:sz w:val="20"/>
              </w:rPr>
            </w:pPr>
            <w:r>
              <w:rPr>
                <w:spacing w:val="-2"/>
                <w:sz w:val="20"/>
              </w:rPr>
              <w:t>15,289</w:t>
            </w:r>
          </w:p>
        </w:tc>
        <w:tc>
          <w:tcPr>
            <w:tcW w:w="1215" w:type="dxa"/>
            <w:tcBorders>
              <w:top w:val="single" w:sz="4" w:space="0" w:color="000000"/>
              <w:bottom w:val="single" w:sz="4" w:space="0" w:color="000000"/>
              <w:right w:val="single" w:sz="4" w:space="0" w:color="000000"/>
            </w:tcBorders>
          </w:tcPr>
          <w:p>
            <w:pPr>
              <w:pStyle w:val="TableParagraph"/>
              <w:spacing w:line="225" w:lineRule="exact" w:before="14"/>
              <w:ind w:right="104"/>
              <w:jc w:val="right"/>
              <w:rPr>
                <w:sz w:val="20"/>
              </w:rPr>
            </w:pPr>
            <w:r>
              <w:rPr>
                <w:spacing w:val="-2"/>
                <w:sz w:val="20"/>
              </w:rPr>
              <w:t>29,254</w:t>
            </w:r>
          </w:p>
        </w:tc>
      </w:tr>
    </w:tbl>
    <w:p>
      <w:pPr>
        <w:spacing w:after="0" w:line="225" w:lineRule="exact"/>
        <w:jc w:val="right"/>
        <w:rPr>
          <w:sz w:val="20"/>
        </w:rPr>
        <w:sectPr>
          <w:pgSz w:w="11910" w:h="16840"/>
          <w:pgMar w:header="0" w:footer="426" w:top="380" w:bottom="620" w:left="460" w:right="160"/>
        </w:sectPr>
      </w:pPr>
    </w:p>
    <w:p>
      <w:pPr>
        <w:pStyle w:val="BodyText"/>
        <w:spacing w:before="5"/>
        <w:rPr>
          <w:i/>
          <w:sz w:val="2"/>
        </w:rPr>
      </w:pPr>
    </w:p>
    <w:tbl>
      <w:tblPr>
        <w:tblW w:w="0" w:type="auto"/>
        <w:jc w:val="left"/>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43"/>
        <w:gridCol w:w="1147"/>
        <w:gridCol w:w="1277"/>
        <w:gridCol w:w="1277"/>
        <w:gridCol w:w="1239"/>
        <w:gridCol w:w="1514"/>
        <w:gridCol w:w="1213"/>
      </w:tblGrid>
      <w:tr>
        <w:trPr>
          <w:trHeight w:val="813" w:hRule="atLeast"/>
        </w:trPr>
        <w:tc>
          <w:tcPr>
            <w:tcW w:w="10910" w:type="dxa"/>
            <w:gridSpan w:val="7"/>
            <w:tcBorders>
              <w:top w:val="single" w:sz="4" w:space="0" w:color="000000"/>
              <w:left w:val="single" w:sz="4" w:space="0" w:color="000000"/>
              <w:right w:val="single" w:sz="4" w:space="0" w:color="000000"/>
            </w:tcBorders>
          </w:tcPr>
          <w:p>
            <w:pPr>
              <w:pStyle w:val="TableParagraph"/>
              <w:spacing w:line="276" w:lineRule="exact"/>
              <w:ind w:left="107"/>
              <w:rPr>
                <w:b/>
                <w:sz w:val="24"/>
              </w:rPr>
            </w:pPr>
            <w:r>
              <w:rPr>
                <w:b/>
                <w:color w:val="4966AC"/>
                <w:sz w:val="24"/>
              </w:rPr>
              <w:t>Balance </w:t>
            </w:r>
            <w:r>
              <w:rPr>
                <w:b/>
                <w:color w:val="4966AC"/>
                <w:spacing w:val="-2"/>
                <w:sz w:val="24"/>
              </w:rPr>
              <w:t>Sheet</w:t>
            </w:r>
          </w:p>
          <w:p>
            <w:pPr>
              <w:pStyle w:val="TableParagraph"/>
              <w:spacing w:line="253" w:lineRule="exact"/>
              <w:ind w:left="107"/>
              <w:rPr>
                <w:sz w:val="22"/>
              </w:rPr>
            </w:pPr>
            <w:r>
              <w:rPr>
                <w:color w:val="4966AC"/>
                <w:sz w:val="22"/>
              </w:rPr>
              <w:t>For</w:t>
            </w:r>
            <w:r>
              <w:rPr>
                <w:color w:val="4966AC"/>
                <w:spacing w:val="-3"/>
                <w:sz w:val="22"/>
              </w:rPr>
              <w:t> </w:t>
            </w:r>
            <w:r>
              <w:rPr>
                <w:color w:val="4966AC"/>
                <w:sz w:val="22"/>
              </w:rPr>
              <w:t>the</w:t>
            </w:r>
            <w:r>
              <w:rPr>
                <w:color w:val="4966AC"/>
                <w:spacing w:val="-3"/>
                <w:sz w:val="22"/>
              </w:rPr>
              <w:t> </w:t>
            </w:r>
            <w:r>
              <w:rPr>
                <w:color w:val="4966AC"/>
                <w:sz w:val="22"/>
              </w:rPr>
              <w:t>four</w:t>
            </w:r>
            <w:r>
              <w:rPr>
                <w:color w:val="4966AC"/>
                <w:spacing w:val="-2"/>
                <w:sz w:val="22"/>
              </w:rPr>
              <w:t> </w:t>
            </w:r>
            <w:r>
              <w:rPr>
                <w:color w:val="4966AC"/>
                <w:sz w:val="22"/>
              </w:rPr>
              <w:t>years</w:t>
            </w:r>
            <w:r>
              <w:rPr>
                <w:color w:val="4966AC"/>
                <w:spacing w:val="-2"/>
                <w:sz w:val="22"/>
              </w:rPr>
              <w:t> </w:t>
            </w:r>
            <w:r>
              <w:rPr>
                <w:color w:val="4966AC"/>
                <w:sz w:val="22"/>
              </w:rPr>
              <w:t>ending</w:t>
            </w:r>
            <w:r>
              <w:rPr>
                <w:color w:val="4966AC"/>
                <w:spacing w:val="-3"/>
                <w:sz w:val="22"/>
              </w:rPr>
              <w:t> </w:t>
            </w:r>
            <w:r>
              <w:rPr>
                <w:color w:val="4966AC"/>
                <w:sz w:val="22"/>
              </w:rPr>
              <w:t>30</w:t>
            </w:r>
            <w:r>
              <w:rPr>
                <w:color w:val="4966AC"/>
                <w:spacing w:val="-2"/>
                <w:sz w:val="22"/>
              </w:rPr>
              <w:t> </w:t>
            </w:r>
            <w:r>
              <w:rPr>
                <w:color w:val="4966AC"/>
                <w:sz w:val="22"/>
              </w:rPr>
              <w:t>June</w:t>
            </w:r>
            <w:r>
              <w:rPr>
                <w:color w:val="4966AC"/>
                <w:spacing w:val="-3"/>
                <w:sz w:val="22"/>
              </w:rPr>
              <w:t> </w:t>
            </w:r>
            <w:r>
              <w:rPr>
                <w:color w:val="4966AC"/>
                <w:spacing w:val="-4"/>
                <w:sz w:val="22"/>
              </w:rPr>
              <w:t>2028</w:t>
            </w:r>
          </w:p>
        </w:tc>
      </w:tr>
      <w:tr>
        <w:trPr>
          <w:trHeight w:val="1060" w:hRule="atLeast"/>
        </w:trPr>
        <w:tc>
          <w:tcPr>
            <w:tcW w:w="3243" w:type="dxa"/>
            <w:tcBorders>
              <w:left w:val="single" w:sz="4" w:space="0" w:color="000000"/>
            </w:tcBorders>
            <w:shd w:val="clear" w:color="auto" w:fill="5B9AD4"/>
          </w:tcPr>
          <w:p>
            <w:pPr>
              <w:pStyle w:val="TableParagraph"/>
              <w:rPr>
                <w:rFonts w:ascii="Times New Roman"/>
                <w:sz w:val="18"/>
              </w:rPr>
            </w:pPr>
          </w:p>
        </w:tc>
        <w:tc>
          <w:tcPr>
            <w:tcW w:w="1147" w:type="dxa"/>
            <w:shd w:val="clear" w:color="auto" w:fill="5B9AD4"/>
          </w:tcPr>
          <w:p>
            <w:pPr>
              <w:pStyle w:val="TableParagraph"/>
              <w:rPr>
                <w:i/>
                <w:sz w:val="22"/>
              </w:rPr>
            </w:pPr>
          </w:p>
          <w:p>
            <w:pPr>
              <w:pStyle w:val="TableParagraph"/>
              <w:rPr>
                <w:i/>
                <w:sz w:val="22"/>
              </w:rPr>
            </w:pPr>
          </w:p>
          <w:p>
            <w:pPr>
              <w:pStyle w:val="TableParagraph"/>
              <w:spacing w:before="8"/>
              <w:rPr>
                <w:i/>
                <w:sz w:val="26"/>
              </w:rPr>
            </w:pPr>
          </w:p>
          <w:p>
            <w:pPr>
              <w:pStyle w:val="TableParagraph"/>
              <w:spacing w:line="228" w:lineRule="exact"/>
              <w:ind w:left="292" w:right="135"/>
              <w:jc w:val="center"/>
              <w:rPr>
                <w:b/>
                <w:sz w:val="20"/>
              </w:rPr>
            </w:pPr>
            <w:r>
              <w:rPr>
                <w:b/>
                <w:color w:val="FFFFFF"/>
                <w:spacing w:val="-2"/>
                <w:sz w:val="20"/>
              </w:rPr>
              <w:t>NOTES</w:t>
            </w:r>
          </w:p>
        </w:tc>
        <w:tc>
          <w:tcPr>
            <w:tcW w:w="1277" w:type="dxa"/>
            <w:shd w:val="clear" w:color="auto" w:fill="5B9AD4"/>
          </w:tcPr>
          <w:p>
            <w:pPr>
              <w:pStyle w:val="TableParagraph"/>
              <w:spacing w:line="276" w:lineRule="auto" w:before="16"/>
              <w:ind w:left="170" w:right="161" w:hanging="1"/>
              <w:jc w:val="center"/>
              <w:rPr>
                <w:b/>
                <w:sz w:val="20"/>
              </w:rPr>
            </w:pPr>
            <w:r>
              <w:rPr>
                <w:b/>
                <w:color w:val="FFFFFF"/>
                <w:spacing w:val="-2"/>
                <w:sz w:val="20"/>
              </w:rPr>
              <w:t>Forecast Actual 2023/2024</w:t>
            </w:r>
          </w:p>
          <w:p>
            <w:pPr>
              <w:pStyle w:val="TableParagraph"/>
              <w:spacing w:line="228" w:lineRule="exact" w:before="3"/>
              <w:ind w:left="372" w:right="368"/>
              <w:jc w:val="center"/>
              <w:rPr>
                <w:b/>
                <w:sz w:val="20"/>
              </w:rPr>
            </w:pPr>
            <w:r>
              <w:rPr>
                <w:b/>
                <w:color w:val="FFFFFF"/>
                <w:spacing w:val="-2"/>
                <w:sz w:val="20"/>
              </w:rPr>
              <w:t>$’000</w:t>
            </w:r>
          </w:p>
        </w:tc>
        <w:tc>
          <w:tcPr>
            <w:tcW w:w="1277" w:type="dxa"/>
            <w:shd w:val="clear" w:color="auto" w:fill="5B9AD4"/>
          </w:tcPr>
          <w:p>
            <w:pPr>
              <w:pStyle w:val="TableParagraph"/>
              <w:spacing w:line="396" w:lineRule="exact" w:before="21"/>
              <w:ind w:left="169" w:right="160" w:firstLine="127"/>
              <w:rPr>
                <w:b/>
                <w:sz w:val="20"/>
              </w:rPr>
            </w:pPr>
            <w:r>
              <w:rPr>
                <w:b/>
                <w:color w:val="FFFFFF"/>
                <w:spacing w:val="-2"/>
                <w:sz w:val="20"/>
              </w:rPr>
              <w:t>Budget 2024/2025</w:t>
            </w:r>
          </w:p>
          <w:p>
            <w:pPr>
              <w:pStyle w:val="TableParagraph"/>
              <w:spacing w:line="227" w:lineRule="exact"/>
              <w:ind w:left="390"/>
              <w:rPr>
                <w:b/>
                <w:sz w:val="20"/>
              </w:rPr>
            </w:pPr>
            <w:r>
              <w:rPr>
                <w:b/>
                <w:color w:val="FFFFFF"/>
                <w:spacing w:val="-2"/>
                <w:sz w:val="20"/>
              </w:rPr>
              <w:t>$’000</w:t>
            </w:r>
          </w:p>
        </w:tc>
        <w:tc>
          <w:tcPr>
            <w:tcW w:w="1239" w:type="dxa"/>
            <w:shd w:val="clear" w:color="auto" w:fill="5B9AD4"/>
          </w:tcPr>
          <w:p>
            <w:pPr>
              <w:pStyle w:val="TableParagraph"/>
              <w:rPr>
                <w:i/>
                <w:sz w:val="22"/>
              </w:rPr>
            </w:pPr>
          </w:p>
          <w:p>
            <w:pPr>
              <w:pStyle w:val="TableParagraph"/>
              <w:spacing w:before="6"/>
              <w:rPr>
                <w:i/>
                <w:sz w:val="25"/>
              </w:rPr>
            </w:pPr>
          </w:p>
          <w:p>
            <w:pPr>
              <w:pStyle w:val="TableParagraph"/>
              <w:ind w:left="157" w:right="114"/>
              <w:jc w:val="center"/>
              <w:rPr>
                <w:b/>
                <w:sz w:val="20"/>
              </w:rPr>
            </w:pPr>
            <w:r>
              <w:rPr>
                <w:b/>
                <w:color w:val="FFFFFF"/>
                <w:spacing w:val="-2"/>
                <w:sz w:val="20"/>
              </w:rPr>
              <w:t>2025/2026</w:t>
            </w:r>
          </w:p>
          <w:p>
            <w:pPr>
              <w:pStyle w:val="TableParagraph"/>
              <w:spacing w:line="228" w:lineRule="exact" w:before="36"/>
              <w:ind w:left="155" w:right="114"/>
              <w:jc w:val="center"/>
              <w:rPr>
                <w:b/>
                <w:sz w:val="20"/>
              </w:rPr>
            </w:pPr>
            <w:r>
              <w:rPr>
                <w:b/>
                <w:color w:val="FFFFFF"/>
                <w:spacing w:val="-2"/>
                <w:sz w:val="20"/>
              </w:rPr>
              <w:t>$’000</w:t>
            </w:r>
          </w:p>
        </w:tc>
        <w:tc>
          <w:tcPr>
            <w:tcW w:w="1514" w:type="dxa"/>
            <w:shd w:val="clear" w:color="auto" w:fill="5B9AD4"/>
          </w:tcPr>
          <w:p>
            <w:pPr>
              <w:pStyle w:val="TableParagraph"/>
              <w:spacing w:line="276" w:lineRule="auto" w:before="16"/>
              <w:ind w:left="75" w:right="96"/>
              <w:jc w:val="center"/>
              <w:rPr>
                <w:b/>
                <w:sz w:val="20"/>
              </w:rPr>
            </w:pPr>
            <w:r>
              <w:rPr>
                <w:b/>
                <w:color w:val="FFFFFF"/>
                <w:sz w:val="20"/>
              </w:rPr>
              <w:t>Financial</w:t>
            </w:r>
            <w:r>
              <w:rPr>
                <w:b/>
                <w:color w:val="FFFFFF"/>
                <w:spacing w:val="-14"/>
                <w:sz w:val="20"/>
              </w:rPr>
              <w:t> </w:t>
            </w:r>
            <w:r>
              <w:rPr>
                <w:b/>
                <w:color w:val="FFFFFF"/>
                <w:sz w:val="20"/>
              </w:rPr>
              <w:t>Plan </w:t>
            </w:r>
            <w:r>
              <w:rPr>
                <w:b/>
                <w:color w:val="FFFFFF"/>
                <w:spacing w:val="-2"/>
                <w:sz w:val="20"/>
              </w:rPr>
              <w:t>Projections 2026/2027</w:t>
            </w:r>
          </w:p>
          <w:p>
            <w:pPr>
              <w:pStyle w:val="TableParagraph"/>
              <w:spacing w:line="228" w:lineRule="exact" w:before="3"/>
              <w:ind w:left="75" w:right="91"/>
              <w:jc w:val="center"/>
              <w:rPr>
                <w:b/>
                <w:sz w:val="20"/>
              </w:rPr>
            </w:pPr>
            <w:r>
              <w:rPr>
                <w:b/>
                <w:color w:val="FFFFFF"/>
                <w:spacing w:val="-2"/>
                <w:sz w:val="20"/>
              </w:rPr>
              <w:t>$’000</w:t>
            </w:r>
          </w:p>
        </w:tc>
        <w:tc>
          <w:tcPr>
            <w:tcW w:w="1213" w:type="dxa"/>
            <w:tcBorders>
              <w:right w:val="single" w:sz="4" w:space="0" w:color="000000"/>
            </w:tcBorders>
            <w:shd w:val="clear" w:color="auto" w:fill="5B9AD4"/>
          </w:tcPr>
          <w:p>
            <w:pPr>
              <w:pStyle w:val="TableParagraph"/>
              <w:rPr>
                <w:i/>
                <w:sz w:val="22"/>
              </w:rPr>
            </w:pPr>
          </w:p>
          <w:p>
            <w:pPr>
              <w:pStyle w:val="TableParagraph"/>
              <w:spacing w:before="6"/>
              <w:rPr>
                <w:i/>
                <w:sz w:val="25"/>
              </w:rPr>
            </w:pPr>
          </w:p>
          <w:p>
            <w:pPr>
              <w:pStyle w:val="TableParagraph"/>
              <w:ind w:left="93" w:right="146"/>
              <w:jc w:val="center"/>
              <w:rPr>
                <w:b/>
                <w:sz w:val="20"/>
              </w:rPr>
            </w:pPr>
            <w:r>
              <w:rPr>
                <w:b/>
                <w:color w:val="FFFFFF"/>
                <w:spacing w:val="-2"/>
                <w:sz w:val="20"/>
              </w:rPr>
              <w:t>2027/2028</w:t>
            </w:r>
          </w:p>
          <w:p>
            <w:pPr>
              <w:pStyle w:val="TableParagraph"/>
              <w:spacing w:line="228" w:lineRule="exact" w:before="36"/>
              <w:ind w:left="93" w:right="143"/>
              <w:jc w:val="center"/>
              <w:rPr>
                <w:b/>
                <w:sz w:val="20"/>
              </w:rPr>
            </w:pPr>
            <w:r>
              <w:rPr>
                <w:b/>
                <w:color w:val="FFFFFF"/>
                <w:spacing w:val="-2"/>
                <w:sz w:val="20"/>
              </w:rPr>
              <w:t>$’000</w:t>
            </w:r>
          </w:p>
        </w:tc>
      </w:tr>
      <w:tr>
        <w:trPr>
          <w:trHeight w:val="250" w:hRule="atLeast"/>
        </w:trPr>
        <w:tc>
          <w:tcPr>
            <w:tcW w:w="3243" w:type="dxa"/>
            <w:tcBorders>
              <w:left w:val="single" w:sz="4" w:space="0" w:color="000000"/>
            </w:tcBorders>
          </w:tcPr>
          <w:p>
            <w:pPr>
              <w:pStyle w:val="TableParagraph"/>
              <w:spacing w:line="230" w:lineRule="exact"/>
              <w:ind w:left="107"/>
              <w:rPr>
                <w:b/>
                <w:sz w:val="20"/>
              </w:rPr>
            </w:pPr>
            <w:r>
              <w:rPr>
                <w:b/>
                <w:spacing w:val="-2"/>
                <w:sz w:val="20"/>
              </w:rPr>
              <w:t>Assets</w:t>
            </w:r>
          </w:p>
        </w:tc>
        <w:tc>
          <w:tcPr>
            <w:tcW w:w="1147" w:type="dxa"/>
          </w:tcPr>
          <w:p>
            <w:pPr>
              <w:pStyle w:val="TableParagraph"/>
              <w:rPr>
                <w:rFonts w:ascii="Times New Roman"/>
                <w:sz w:val="18"/>
              </w:rPr>
            </w:pPr>
          </w:p>
        </w:tc>
        <w:tc>
          <w:tcPr>
            <w:tcW w:w="1277" w:type="dxa"/>
          </w:tcPr>
          <w:p>
            <w:pPr>
              <w:pStyle w:val="TableParagraph"/>
              <w:rPr>
                <w:rFonts w:ascii="Times New Roman"/>
                <w:sz w:val="18"/>
              </w:rPr>
            </w:pPr>
          </w:p>
        </w:tc>
        <w:tc>
          <w:tcPr>
            <w:tcW w:w="1277" w:type="dxa"/>
            <w:shd w:val="clear" w:color="auto" w:fill="DDEBF6"/>
          </w:tcPr>
          <w:p>
            <w:pPr>
              <w:pStyle w:val="TableParagraph"/>
              <w:rPr>
                <w:rFonts w:ascii="Times New Roman"/>
                <w:sz w:val="18"/>
              </w:rPr>
            </w:pPr>
          </w:p>
        </w:tc>
        <w:tc>
          <w:tcPr>
            <w:tcW w:w="1239" w:type="dxa"/>
          </w:tcPr>
          <w:p>
            <w:pPr>
              <w:pStyle w:val="TableParagraph"/>
              <w:rPr>
                <w:rFonts w:ascii="Times New Roman"/>
                <w:sz w:val="18"/>
              </w:rPr>
            </w:pPr>
          </w:p>
        </w:tc>
        <w:tc>
          <w:tcPr>
            <w:tcW w:w="1514" w:type="dxa"/>
          </w:tcPr>
          <w:p>
            <w:pPr>
              <w:pStyle w:val="TableParagraph"/>
              <w:rPr>
                <w:rFonts w:ascii="Times New Roman"/>
                <w:sz w:val="18"/>
              </w:rPr>
            </w:pPr>
          </w:p>
        </w:tc>
        <w:tc>
          <w:tcPr>
            <w:tcW w:w="1213" w:type="dxa"/>
            <w:tcBorders>
              <w:right w:val="single" w:sz="4" w:space="0" w:color="000000"/>
            </w:tcBorders>
          </w:tcPr>
          <w:p>
            <w:pPr>
              <w:pStyle w:val="TableParagraph"/>
              <w:rPr>
                <w:rFonts w:ascii="Times New Roman"/>
                <w:sz w:val="18"/>
              </w:rPr>
            </w:pPr>
          </w:p>
        </w:tc>
      </w:tr>
      <w:tr>
        <w:trPr>
          <w:trHeight w:val="265" w:hRule="atLeast"/>
        </w:trPr>
        <w:tc>
          <w:tcPr>
            <w:tcW w:w="3243" w:type="dxa"/>
            <w:tcBorders>
              <w:left w:val="single" w:sz="4" w:space="0" w:color="000000"/>
            </w:tcBorders>
          </w:tcPr>
          <w:p>
            <w:pPr>
              <w:pStyle w:val="TableParagraph"/>
              <w:spacing w:before="13"/>
              <w:ind w:left="107"/>
              <w:rPr>
                <w:b/>
                <w:sz w:val="20"/>
              </w:rPr>
            </w:pPr>
            <w:r>
              <w:rPr>
                <w:b/>
                <w:sz w:val="20"/>
              </w:rPr>
              <w:t>Current</w:t>
            </w:r>
            <w:r>
              <w:rPr>
                <w:b/>
                <w:spacing w:val="-11"/>
                <w:sz w:val="20"/>
              </w:rPr>
              <w:t> </w:t>
            </w:r>
            <w:r>
              <w:rPr>
                <w:b/>
                <w:spacing w:val="-2"/>
                <w:sz w:val="20"/>
              </w:rPr>
              <w:t>assets</w:t>
            </w:r>
          </w:p>
        </w:tc>
        <w:tc>
          <w:tcPr>
            <w:tcW w:w="1147" w:type="dxa"/>
          </w:tcPr>
          <w:p>
            <w:pPr>
              <w:pStyle w:val="TableParagraph"/>
              <w:rPr>
                <w:rFonts w:ascii="Times New Roman"/>
                <w:sz w:val="18"/>
              </w:rPr>
            </w:pPr>
          </w:p>
        </w:tc>
        <w:tc>
          <w:tcPr>
            <w:tcW w:w="1277" w:type="dxa"/>
          </w:tcPr>
          <w:p>
            <w:pPr>
              <w:pStyle w:val="TableParagraph"/>
              <w:rPr>
                <w:rFonts w:ascii="Times New Roman"/>
                <w:sz w:val="18"/>
              </w:rPr>
            </w:pPr>
          </w:p>
        </w:tc>
        <w:tc>
          <w:tcPr>
            <w:tcW w:w="1277" w:type="dxa"/>
            <w:shd w:val="clear" w:color="auto" w:fill="DDEBF6"/>
          </w:tcPr>
          <w:p>
            <w:pPr>
              <w:pStyle w:val="TableParagraph"/>
              <w:rPr>
                <w:rFonts w:ascii="Times New Roman"/>
                <w:sz w:val="18"/>
              </w:rPr>
            </w:pPr>
          </w:p>
        </w:tc>
        <w:tc>
          <w:tcPr>
            <w:tcW w:w="1239" w:type="dxa"/>
          </w:tcPr>
          <w:p>
            <w:pPr>
              <w:pStyle w:val="TableParagraph"/>
              <w:rPr>
                <w:rFonts w:ascii="Times New Roman"/>
                <w:sz w:val="18"/>
              </w:rPr>
            </w:pPr>
          </w:p>
        </w:tc>
        <w:tc>
          <w:tcPr>
            <w:tcW w:w="1514" w:type="dxa"/>
          </w:tcPr>
          <w:p>
            <w:pPr>
              <w:pStyle w:val="TableParagraph"/>
              <w:rPr>
                <w:rFonts w:ascii="Times New Roman"/>
                <w:sz w:val="18"/>
              </w:rPr>
            </w:pPr>
          </w:p>
        </w:tc>
        <w:tc>
          <w:tcPr>
            <w:tcW w:w="1213" w:type="dxa"/>
            <w:tcBorders>
              <w:right w:val="single" w:sz="4" w:space="0" w:color="000000"/>
            </w:tcBorders>
          </w:tcPr>
          <w:p>
            <w:pPr>
              <w:pStyle w:val="TableParagraph"/>
              <w:rPr>
                <w:rFonts w:ascii="Times New Roman"/>
                <w:sz w:val="18"/>
              </w:rPr>
            </w:pPr>
          </w:p>
        </w:tc>
      </w:tr>
      <w:tr>
        <w:trPr>
          <w:trHeight w:val="273" w:hRule="atLeast"/>
        </w:trPr>
        <w:tc>
          <w:tcPr>
            <w:tcW w:w="3243" w:type="dxa"/>
            <w:tcBorders>
              <w:left w:val="single" w:sz="4" w:space="0" w:color="000000"/>
            </w:tcBorders>
          </w:tcPr>
          <w:p>
            <w:pPr>
              <w:pStyle w:val="TableParagraph"/>
              <w:spacing w:before="14"/>
              <w:ind w:left="107"/>
              <w:rPr>
                <w:sz w:val="20"/>
              </w:rPr>
            </w:pPr>
            <w:r>
              <w:rPr>
                <w:sz w:val="20"/>
              </w:rPr>
              <w:t>Cash</w:t>
            </w:r>
            <w:r>
              <w:rPr>
                <w:spacing w:val="-5"/>
                <w:sz w:val="20"/>
              </w:rPr>
              <w:t> </w:t>
            </w:r>
            <w:r>
              <w:rPr>
                <w:sz w:val="20"/>
              </w:rPr>
              <w:t>and</w:t>
            </w:r>
            <w:r>
              <w:rPr>
                <w:spacing w:val="-5"/>
                <w:sz w:val="20"/>
              </w:rPr>
              <w:t> </w:t>
            </w:r>
            <w:r>
              <w:rPr>
                <w:sz w:val="20"/>
              </w:rPr>
              <w:t>cash</w:t>
            </w:r>
            <w:r>
              <w:rPr>
                <w:spacing w:val="-6"/>
                <w:sz w:val="20"/>
              </w:rPr>
              <w:t> </w:t>
            </w:r>
            <w:r>
              <w:rPr>
                <w:spacing w:val="-2"/>
                <w:sz w:val="20"/>
              </w:rPr>
              <w:t>equivalents</w:t>
            </w:r>
          </w:p>
        </w:tc>
        <w:tc>
          <w:tcPr>
            <w:tcW w:w="1147" w:type="dxa"/>
          </w:tcPr>
          <w:p>
            <w:pPr>
              <w:pStyle w:val="TableParagraph"/>
              <w:rPr>
                <w:rFonts w:ascii="Times New Roman"/>
                <w:sz w:val="18"/>
              </w:rPr>
            </w:pPr>
          </w:p>
        </w:tc>
        <w:tc>
          <w:tcPr>
            <w:tcW w:w="1277" w:type="dxa"/>
          </w:tcPr>
          <w:p>
            <w:pPr>
              <w:pStyle w:val="TableParagraph"/>
              <w:spacing w:line="222" w:lineRule="exact" w:before="31"/>
              <w:ind w:right="104"/>
              <w:jc w:val="right"/>
              <w:rPr>
                <w:sz w:val="20"/>
              </w:rPr>
            </w:pPr>
            <w:r>
              <w:rPr>
                <w:spacing w:val="-2"/>
                <w:sz w:val="20"/>
              </w:rPr>
              <w:t>37,059</w:t>
            </w:r>
          </w:p>
        </w:tc>
        <w:tc>
          <w:tcPr>
            <w:tcW w:w="1277" w:type="dxa"/>
            <w:shd w:val="clear" w:color="auto" w:fill="DDEBF6"/>
          </w:tcPr>
          <w:p>
            <w:pPr>
              <w:pStyle w:val="TableParagraph"/>
              <w:spacing w:line="222" w:lineRule="exact" w:before="31"/>
              <w:ind w:right="104"/>
              <w:jc w:val="right"/>
              <w:rPr>
                <w:b/>
                <w:sz w:val="20"/>
              </w:rPr>
            </w:pPr>
            <w:r>
              <w:rPr>
                <w:b/>
                <w:spacing w:val="-2"/>
                <w:sz w:val="20"/>
              </w:rPr>
              <w:t>24,052</w:t>
            </w:r>
          </w:p>
        </w:tc>
        <w:tc>
          <w:tcPr>
            <w:tcW w:w="1239" w:type="dxa"/>
          </w:tcPr>
          <w:p>
            <w:pPr>
              <w:pStyle w:val="TableParagraph"/>
              <w:spacing w:line="222" w:lineRule="exact" w:before="31"/>
              <w:ind w:right="66"/>
              <w:jc w:val="right"/>
              <w:rPr>
                <w:sz w:val="20"/>
              </w:rPr>
            </w:pPr>
            <w:r>
              <w:rPr>
                <w:spacing w:val="-2"/>
                <w:sz w:val="20"/>
              </w:rPr>
              <w:t>34,453</w:t>
            </w:r>
          </w:p>
        </w:tc>
        <w:tc>
          <w:tcPr>
            <w:tcW w:w="1514" w:type="dxa"/>
          </w:tcPr>
          <w:p>
            <w:pPr>
              <w:pStyle w:val="TableParagraph"/>
              <w:spacing w:line="222" w:lineRule="exact" w:before="31"/>
              <w:ind w:right="164"/>
              <w:jc w:val="right"/>
              <w:rPr>
                <w:sz w:val="20"/>
              </w:rPr>
            </w:pPr>
            <w:r>
              <w:rPr>
                <w:spacing w:val="-2"/>
                <w:sz w:val="20"/>
              </w:rPr>
              <w:t>30,173</w:t>
            </w:r>
          </w:p>
        </w:tc>
        <w:tc>
          <w:tcPr>
            <w:tcW w:w="1213" w:type="dxa"/>
            <w:tcBorders>
              <w:right w:val="single" w:sz="4" w:space="0" w:color="000000"/>
            </w:tcBorders>
          </w:tcPr>
          <w:p>
            <w:pPr>
              <w:pStyle w:val="TableParagraph"/>
              <w:spacing w:line="222" w:lineRule="exact" w:before="31"/>
              <w:ind w:right="98"/>
              <w:jc w:val="right"/>
              <w:rPr>
                <w:sz w:val="20"/>
              </w:rPr>
            </w:pPr>
            <w:r>
              <w:rPr>
                <w:spacing w:val="-2"/>
                <w:sz w:val="20"/>
              </w:rPr>
              <w:t>27,902</w:t>
            </w:r>
          </w:p>
        </w:tc>
      </w:tr>
      <w:tr>
        <w:trPr>
          <w:trHeight w:val="263" w:hRule="atLeast"/>
        </w:trPr>
        <w:tc>
          <w:tcPr>
            <w:tcW w:w="3243" w:type="dxa"/>
            <w:tcBorders>
              <w:left w:val="single" w:sz="4" w:space="0" w:color="000000"/>
            </w:tcBorders>
          </w:tcPr>
          <w:p>
            <w:pPr>
              <w:pStyle w:val="TableParagraph"/>
              <w:spacing w:before="5"/>
              <w:ind w:left="107"/>
              <w:rPr>
                <w:sz w:val="20"/>
              </w:rPr>
            </w:pPr>
            <w:r>
              <w:rPr>
                <w:sz w:val="20"/>
              </w:rPr>
              <w:t>Trade</w:t>
            </w:r>
            <w:r>
              <w:rPr>
                <w:spacing w:val="-7"/>
                <w:sz w:val="20"/>
              </w:rPr>
              <w:t> </w:t>
            </w:r>
            <w:r>
              <w:rPr>
                <w:sz w:val="20"/>
              </w:rPr>
              <w:t>and</w:t>
            </w:r>
            <w:r>
              <w:rPr>
                <w:spacing w:val="-6"/>
                <w:sz w:val="20"/>
              </w:rPr>
              <w:t> </w:t>
            </w:r>
            <w:r>
              <w:rPr>
                <w:sz w:val="20"/>
              </w:rPr>
              <w:t>other</w:t>
            </w:r>
            <w:r>
              <w:rPr>
                <w:spacing w:val="-5"/>
                <w:sz w:val="20"/>
              </w:rPr>
              <w:t> </w:t>
            </w:r>
            <w:r>
              <w:rPr>
                <w:spacing w:val="-2"/>
                <w:sz w:val="20"/>
              </w:rPr>
              <w:t>receivables</w:t>
            </w:r>
          </w:p>
        </w:tc>
        <w:tc>
          <w:tcPr>
            <w:tcW w:w="1147" w:type="dxa"/>
          </w:tcPr>
          <w:p>
            <w:pPr>
              <w:pStyle w:val="TableParagraph"/>
              <w:rPr>
                <w:rFonts w:ascii="Times New Roman"/>
                <w:sz w:val="18"/>
              </w:rPr>
            </w:pPr>
          </w:p>
        </w:tc>
        <w:tc>
          <w:tcPr>
            <w:tcW w:w="1277" w:type="dxa"/>
          </w:tcPr>
          <w:p>
            <w:pPr>
              <w:pStyle w:val="TableParagraph"/>
              <w:spacing w:line="222" w:lineRule="exact" w:before="22"/>
              <w:ind w:right="104"/>
              <w:jc w:val="right"/>
              <w:rPr>
                <w:sz w:val="20"/>
              </w:rPr>
            </w:pPr>
            <w:r>
              <w:rPr>
                <w:spacing w:val="-2"/>
                <w:sz w:val="20"/>
              </w:rPr>
              <w:t>13,189</w:t>
            </w:r>
          </w:p>
        </w:tc>
        <w:tc>
          <w:tcPr>
            <w:tcW w:w="1277" w:type="dxa"/>
            <w:shd w:val="clear" w:color="auto" w:fill="DDEBF6"/>
          </w:tcPr>
          <w:p>
            <w:pPr>
              <w:pStyle w:val="TableParagraph"/>
              <w:spacing w:line="222" w:lineRule="exact" w:before="22"/>
              <w:ind w:right="104"/>
              <w:jc w:val="right"/>
              <w:rPr>
                <w:b/>
                <w:sz w:val="20"/>
              </w:rPr>
            </w:pPr>
            <w:r>
              <w:rPr>
                <w:b/>
                <w:spacing w:val="-2"/>
                <w:sz w:val="20"/>
              </w:rPr>
              <w:t>13,763</w:t>
            </w:r>
          </w:p>
        </w:tc>
        <w:tc>
          <w:tcPr>
            <w:tcW w:w="1239" w:type="dxa"/>
          </w:tcPr>
          <w:p>
            <w:pPr>
              <w:pStyle w:val="TableParagraph"/>
              <w:spacing w:line="222" w:lineRule="exact" w:before="22"/>
              <w:ind w:right="66"/>
              <w:jc w:val="right"/>
              <w:rPr>
                <w:sz w:val="20"/>
              </w:rPr>
            </w:pPr>
            <w:r>
              <w:rPr>
                <w:spacing w:val="-2"/>
                <w:sz w:val="20"/>
              </w:rPr>
              <w:t>14,715</w:t>
            </w:r>
          </w:p>
        </w:tc>
        <w:tc>
          <w:tcPr>
            <w:tcW w:w="1514" w:type="dxa"/>
          </w:tcPr>
          <w:p>
            <w:pPr>
              <w:pStyle w:val="TableParagraph"/>
              <w:spacing w:line="222" w:lineRule="exact" w:before="22"/>
              <w:ind w:right="164"/>
              <w:jc w:val="right"/>
              <w:rPr>
                <w:sz w:val="20"/>
              </w:rPr>
            </w:pPr>
            <w:r>
              <w:rPr>
                <w:spacing w:val="-2"/>
                <w:sz w:val="20"/>
              </w:rPr>
              <w:t>15,310</w:t>
            </w:r>
          </w:p>
        </w:tc>
        <w:tc>
          <w:tcPr>
            <w:tcW w:w="1213" w:type="dxa"/>
            <w:tcBorders>
              <w:right w:val="single" w:sz="4" w:space="0" w:color="000000"/>
            </w:tcBorders>
          </w:tcPr>
          <w:p>
            <w:pPr>
              <w:pStyle w:val="TableParagraph"/>
              <w:spacing w:line="222" w:lineRule="exact" w:before="22"/>
              <w:ind w:right="98"/>
              <w:jc w:val="right"/>
              <w:rPr>
                <w:sz w:val="20"/>
              </w:rPr>
            </w:pPr>
            <w:r>
              <w:rPr>
                <w:spacing w:val="-2"/>
                <w:sz w:val="20"/>
              </w:rPr>
              <w:t>15,916</w:t>
            </w:r>
          </w:p>
        </w:tc>
      </w:tr>
      <w:tr>
        <w:trPr>
          <w:trHeight w:val="266" w:hRule="atLeast"/>
        </w:trPr>
        <w:tc>
          <w:tcPr>
            <w:tcW w:w="3243" w:type="dxa"/>
            <w:tcBorders>
              <w:left w:val="single" w:sz="4" w:space="0" w:color="000000"/>
            </w:tcBorders>
          </w:tcPr>
          <w:p>
            <w:pPr>
              <w:pStyle w:val="TableParagraph"/>
              <w:spacing w:before="5"/>
              <w:ind w:left="107"/>
              <w:rPr>
                <w:sz w:val="20"/>
              </w:rPr>
            </w:pPr>
            <w:r>
              <w:rPr>
                <w:sz w:val="20"/>
              </w:rPr>
              <w:t>Other</w:t>
            </w:r>
            <w:r>
              <w:rPr>
                <w:spacing w:val="-7"/>
                <w:sz w:val="20"/>
              </w:rPr>
              <w:t> </w:t>
            </w:r>
            <w:r>
              <w:rPr>
                <w:sz w:val="20"/>
              </w:rPr>
              <w:t>financial</w:t>
            </w:r>
            <w:r>
              <w:rPr>
                <w:spacing w:val="-6"/>
                <w:sz w:val="20"/>
              </w:rPr>
              <w:t> </w:t>
            </w:r>
            <w:r>
              <w:rPr>
                <w:spacing w:val="-2"/>
                <w:sz w:val="20"/>
              </w:rPr>
              <w:t>assets</w:t>
            </w:r>
          </w:p>
        </w:tc>
        <w:tc>
          <w:tcPr>
            <w:tcW w:w="1147" w:type="dxa"/>
          </w:tcPr>
          <w:p>
            <w:pPr>
              <w:pStyle w:val="TableParagraph"/>
              <w:rPr>
                <w:rFonts w:ascii="Times New Roman"/>
                <w:sz w:val="18"/>
              </w:rPr>
            </w:pPr>
          </w:p>
        </w:tc>
        <w:tc>
          <w:tcPr>
            <w:tcW w:w="1277" w:type="dxa"/>
          </w:tcPr>
          <w:p>
            <w:pPr>
              <w:pStyle w:val="TableParagraph"/>
              <w:spacing w:line="222" w:lineRule="exact" w:before="24"/>
              <w:ind w:right="104"/>
              <w:jc w:val="right"/>
              <w:rPr>
                <w:sz w:val="20"/>
              </w:rPr>
            </w:pPr>
            <w:r>
              <w:rPr>
                <w:spacing w:val="-2"/>
                <w:sz w:val="20"/>
              </w:rPr>
              <w:t>24,322</w:t>
            </w:r>
          </w:p>
        </w:tc>
        <w:tc>
          <w:tcPr>
            <w:tcW w:w="1277" w:type="dxa"/>
            <w:shd w:val="clear" w:color="auto" w:fill="DDEBF6"/>
          </w:tcPr>
          <w:p>
            <w:pPr>
              <w:pStyle w:val="TableParagraph"/>
              <w:spacing w:line="222" w:lineRule="exact" w:before="24"/>
              <w:ind w:right="104"/>
              <w:jc w:val="right"/>
              <w:rPr>
                <w:b/>
                <w:sz w:val="20"/>
              </w:rPr>
            </w:pPr>
            <w:r>
              <w:rPr>
                <w:b/>
                <w:spacing w:val="-2"/>
                <w:sz w:val="20"/>
              </w:rPr>
              <w:t>15,574</w:t>
            </w:r>
          </w:p>
        </w:tc>
        <w:tc>
          <w:tcPr>
            <w:tcW w:w="1239" w:type="dxa"/>
          </w:tcPr>
          <w:p>
            <w:pPr>
              <w:pStyle w:val="TableParagraph"/>
              <w:spacing w:line="222" w:lineRule="exact" w:before="24"/>
              <w:ind w:right="66"/>
              <w:jc w:val="right"/>
              <w:rPr>
                <w:sz w:val="20"/>
              </w:rPr>
            </w:pPr>
            <w:r>
              <w:rPr>
                <w:spacing w:val="-2"/>
                <w:sz w:val="20"/>
              </w:rPr>
              <w:t>22,209</w:t>
            </w:r>
          </w:p>
        </w:tc>
        <w:tc>
          <w:tcPr>
            <w:tcW w:w="1514" w:type="dxa"/>
          </w:tcPr>
          <w:p>
            <w:pPr>
              <w:pStyle w:val="TableParagraph"/>
              <w:spacing w:line="222" w:lineRule="exact" w:before="24"/>
              <w:ind w:right="164"/>
              <w:jc w:val="right"/>
              <w:rPr>
                <w:sz w:val="20"/>
              </w:rPr>
            </w:pPr>
            <w:r>
              <w:rPr>
                <w:spacing w:val="-2"/>
                <w:sz w:val="20"/>
              </w:rPr>
              <w:t>19,037</w:t>
            </w:r>
          </w:p>
        </w:tc>
        <w:tc>
          <w:tcPr>
            <w:tcW w:w="1213" w:type="dxa"/>
            <w:tcBorders>
              <w:right w:val="single" w:sz="4" w:space="0" w:color="000000"/>
            </w:tcBorders>
          </w:tcPr>
          <w:p>
            <w:pPr>
              <w:pStyle w:val="TableParagraph"/>
              <w:spacing w:line="222" w:lineRule="exact" w:before="24"/>
              <w:ind w:right="98"/>
              <w:jc w:val="right"/>
              <w:rPr>
                <w:sz w:val="20"/>
              </w:rPr>
            </w:pPr>
            <w:r>
              <w:rPr>
                <w:spacing w:val="-2"/>
                <w:sz w:val="20"/>
              </w:rPr>
              <w:t>17,197</w:t>
            </w:r>
          </w:p>
        </w:tc>
      </w:tr>
      <w:tr>
        <w:trPr>
          <w:trHeight w:val="264" w:hRule="atLeast"/>
        </w:trPr>
        <w:tc>
          <w:tcPr>
            <w:tcW w:w="3243" w:type="dxa"/>
            <w:tcBorders>
              <w:left w:val="single" w:sz="4" w:space="0" w:color="000000"/>
            </w:tcBorders>
          </w:tcPr>
          <w:p>
            <w:pPr>
              <w:pStyle w:val="TableParagraph"/>
              <w:spacing w:before="5"/>
              <w:ind w:left="107"/>
              <w:rPr>
                <w:sz w:val="20"/>
              </w:rPr>
            </w:pPr>
            <w:r>
              <w:rPr>
                <w:spacing w:val="-2"/>
                <w:sz w:val="20"/>
              </w:rPr>
              <w:t>Inventories</w:t>
            </w:r>
          </w:p>
        </w:tc>
        <w:tc>
          <w:tcPr>
            <w:tcW w:w="1147" w:type="dxa"/>
          </w:tcPr>
          <w:p>
            <w:pPr>
              <w:pStyle w:val="TableParagraph"/>
              <w:rPr>
                <w:rFonts w:ascii="Times New Roman"/>
                <w:sz w:val="18"/>
              </w:rPr>
            </w:pPr>
          </w:p>
        </w:tc>
        <w:tc>
          <w:tcPr>
            <w:tcW w:w="1277" w:type="dxa"/>
          </w:tcPr>
          <w:p>
            <w:pPr>
              <w:pStyle w:val="TableParagraph"/>
              <w:spacing w:line="222" w:lineRule="exact" w:before="22"/>
              <w:ind w:right="104"/>
              <w:jc w:val="right"/>
              <w:rPr>
                <w:sz w:val="20"/>
              </w:rPr>
            </w:pPr>
            <w:r>
              <w:rPr>
                <w:spacing w:val="-5"/>
                <w:sz w:val="20"/>
              </w:rPr>
              <w:t>439</w:t>
            </w:r>
          </w:p>
        </w:tc>
        <w:tc>
          <w:tcPr>
            <w:tcW w:w="1277" w:type="dxa"/>
            <w:shd w:val="clear" w:color="auto" w:fill="DDEBF6"/>
          </w:tcPr>
          <w:p>
            <w:pPr>
              <w:pStyle w:val="TableParagraph"/>
              <w:spacing w:line="222" w:lineRule="exact" w:before="22"/>
              <w:ind w:right="104"/>
              <w:jc w:val="right"/>
              <w:rPr>
                <w:b/>
                <w:sz w:val="20"/>
              </w:rPr>
            </w:pPr>
            <w:r>
              <w:rPr>
                <w:b/>
                <w:spacing w:val="-5"/>
                <w:sz w:val="20"/>
              </w:rPr>
              <w:t>456</w:t>
            </w:r>
          </w:p>
        </w:tc>
        <w:tc>
          <w:tcPr>
            <w:tcW w:w="1239" w:type="dxa"/>
          </w:tcPr>
          <w:p>
            <w:pPr>
              <w:pStyle w:val="TableParagraph"/>
              <w:spacing w:line="222" w:lineRule="exact" w:before="22"/>
              <w:ind w:right="66"/>
              <w:jc w:val="right"/>
              <w:rPr>
                <w:sz w:val="20"/>
              </w:rPr>
            </w:pPr>
            <w:r>
              <w:rPr>
                <w:spacing w:val="-5"/>
                <w:sz w:val="20"/>
              </w:rPr>
              <w:t>470</w:t>
            </w:r>
          </w:p>
        </w:tc>
        <w:tc>
          <w:tcPr>
            <w:tcW w:w="1514" w:type="dxa"/>
          </w:tcPr>
          <w:p>
            <w:pPr>
              <w:pStyle w:val="TableParagraph"/>
              <w:spacing w:line="222" w:lineRule="exact" w:before="22"/>
              <w:ind w:right="164"/>
              <w:jc w:val="right"/>
              <w:rPr>
                <w:sz w:val="20"/>
              </w:rPr>
            </w:pPr>
            <w:r>
              <w:rPr>
                <w:spacing w:val="-5"/>
                <w:sz w:val="20"/>
              </w:rPr>
              <w:t>482</w:t>
            </w:r>
          </w:p>
        </w:tc>
        <w:tc>
          <w:tcPr>
            <w:tcW w:w="1213" w:type="dxa"/>
            <w:tcBorders>
              <w:right w:val="single" w:sz="4" w:space="0" w:color="000000"/>
            </w:tcBorders>
          </w:tcPr>
          <w:p>
            <w:pPr>
              <w:pStyle w:val="TableParagraph"/>
              <w:spacing w:line="222" w:lineRule="exact" w:before="22"/>
              <w:ind w:right="98"/>
              <w:jc w:val="right"/>
              <w:rPr>
                <w:sz w:val="20"/>
              </w:rPr>
            </w:pPr>
            <w:r>
              <w:rPr>
                <w:spacing w:val="-5"/>
                <w:sz w:val="20"/>
              </w:rPr>
              <w:t>494</w:t>
            </w:r>
          </w:p>
        </w:tc>
      </w:tr>
      <w:tr>
        <w:trPr>
          <w:trHeight w:val="266" w:hRule="atLeast"/>
        </w:trPr>
        <w:tc>
          <w:tcPr>
            <w:tcW w:w="3243" w:type="dxa"/>
            <w:tcBorders>
              <w:left w:val="single" w:sz="4" w:space="0" w:color="000000"/>
            </w:tcBorders>
          </w:tcPr>
          <w:p>
            <w:pPr>
              <w:pStyle w:val="TableParagraph"/>
              <w:spacing w:before="5"/>
              <w:ind w:left="107"/>
              <w:rPr>
                <w:sz w:val="20"/>
              </w:rPr>
            </w:pPr>
            <w:r>
              <w:rPr>
                <w:spacing w:val="-2"/>
                <w:sz w:val="20"/>
              </w:rPr>
              <w:t>Prepayments</w:t>
            </w:r>
          </w:p>
        </w:tc>
        <w:tc>
          <w:tcPr>
            <w:tcW w:w="1147" w:type="dxa"/>
          </w:tcPr>
          <w:p>
            <w:pPr>
              <w:pStyle w:val="TableParagraph"/>
              <w:rPr>
                <w:rFonts w:ascii="Times New Roman"/>
                <w:sz w:val="18"/>
              </w:rPr>
            </w:pPr>
          </w:p>
        </w:tc>
        <w:tc>
          <w:tcPr>
            <w:tcW w:w="1277" w:type="dxa"/>
          </w:tcPr>
          <w:p>
            <w:pPr>
              <w:pStyle w:val="TableParagraph"/>
              <w:spacing w:line="222" w:lineRule="exact" w:before="24"/>
              <w:ind w:right="102"/>
              <w:jc w:val="right"/>
              <w:rPr>
                <w:sz w:val="20"/>
              </w:rPr>
            </w:pPr>
            <w:r>
              <w:rPr>
                <w:w w:val="99"/>
                <w:sz w:val="20"/>
              </w:rPr>
              <w:t>-</w:t>
            </w:r>
          </w:p>
        </w:tc>
        <w:tc>
          <w:tcPr>
            <w:tcW w:w="1277" w:type="dxa"/>
            <w:shd w:val="clear" w:color="auto" w:fill="DDEBF6"/>
          </w:tcPr>
          <w:p>
            <w:pPr>
              <w:pStyle w:val="TableParagraph"/>
              <w:spacing w:line="222" w:lineRule="exact" w:before="24"/>
              <w:ind w:right="102"/>
              <w:jc w:val="right"/>
              <w:rPr>
                <w:b/>
                <w:sz w:val="20"/>
              </w:rPr>
            </w:pPr>
            <w:r>
              <w:rPr>
                <w:b/>
                <w:w w:val="99"/>
                <w:sz w:val="20"/>
              </w:rPr>
              <w:t>-</w:t>
            </w:r>
          </w:p>
        </w:tc>
        <w:tc>
          <w:tcPr>
            <w:tcW w:w="1239" w:type="dxa"/>
          </w:tcPr>
          <w:p>
            <w:pPr>
              <w:pStyle w:val="TableParagraph"/>
              <w:spacing w:line="222" w:lineRule="exact" w:before="24"/>
              <w:ind w:right="65"/>
              <w:jc w:val="right"/>
              <w:rPr>
                <w:sz w:val="20"/>
              </w:rPr>
            </w:pPr>
            <w:r>
              <w:rPr>
                <w:w w:val="99"/>
                <w:sz w:val="20"/>
              </w:rPr>
              <w:t>-</w:t>
            </w:r>
          </w:p>
        </w:tc>
        <w:tc>
          <w:tcPr>
            <w:tcW w:w="1514" w:type="dxa"/>
          </w:tcPr>
          <w:p>
            <w:pPr>
              <w:pStyle w:val="TableParagraph"/>
              <w:spacing w:line="222" w:lineRule="exact" w:before="24"/>
              <w:ind w:right="163"/>
              <w:jc w:val="right"/>
              <w:rPr>
                <w:sz w:val="20"/>
              </w:rPr>
            </w:pPr>
            <w:r>
              <w:rPr>
                <w:w w:val="99"/>
                <w:sz w:val="20"/>
              </w:rPr>
              <w:t>-</w:t>
            </w:r>
          </w:p>
        </w:tc>
        <w:tc>
          <w:tcPr>
            <w:tcW w:w="1213" w:type="dxa"/>
            <w:tcBorders>
              <w:right w:val="single" w:sz="4" w:space="0" w:color="000000"/>
            </w:tcBorders>
          </w:tcPr>
          <w:p>
            <w:pPr>
              <w:pStyle w:val="TableParagraph"/>
              <w:spacing w:line="222" w:lineRule="exact" w:before="24"/>
              <w:ind w:right="96"/>
              <w:jc w:val="right"/>
              <w:rPr>
                <w:sz w:val="20"/>
              </w:rPr>
            </w:pPr>
            <w:r>
              <w:rPr>
                <w:w w:val="99"/>
                <w:sz w:val="20"/>
              </w:rPr>
              <w:t>-</w:t>
            </w:r>
          </w:p>
        </w:tc>
      </w:tr>
      <w:tr>
        <w:trPr>
          <w:trHeight w:val="238" w:hRule="atLeast"/>
        </w:trPr>
        <w:tc>
          <w:tcPr>
            <w:tcW w:w="3243" w:type="dxa"/>
            <w:tcBorders>
              <w:left w:val="single" w:sz="4" w:space="0" w:color="000000"/>
            </w:tcBorders>
          </w:tcPr>
          <w:p>
            <w:pPr>
              <w:pStyle w:val="TableParagraph"/>
              <w:spacing w:line="214" w:lineRule="exact" w:before="5"/>
              <w:ind w:left="107"/>
              <w:rPr>
                <w:sz w:val="20"/>
              </w:rPr>
            </w:pPr>
            <w:r>
              <w:rPr>
                <w:sz w:val="20"/>
              </w:rPr>
              <w:t>Non-current</w:t>
            </w:r>
            <w:r>
              <w:rPr>
                <w:spacing w:val="-8"/>
                <w:sz w:val="20"/>
              </w:rPr>
              <w:t> </w:t>
            </w:r>
            <w:r>
              <w:rPr>
                <w:sz w:val="20"/>
              </w:rPr>
              <w:t>assets</w:t>
            </w:r>
            <w:r>
              <w:rPr>
                <w:spacing w:val="-8"/>
                <w:sz w:val="20"/>
              </w:rPr>
              <w:t> </w:t>
            </w:r>
            <w:r>
              <w:rPr>
                <w:sz w:val="20"/>
              </w:rPr>
              <w:t>classified</w:t>
            </w:r>
            <w:r>
              <w:rPr>
                <w:spacing w:val="-10"/>
                <w:sz w:val="20"/>
              </w:rPr>
              <w:t> </w:t>
            </w:r>
            <w:r>
              <w:rPr>
                <w:spacing w:val="-5"/>
                <w:sz w:val="20"/>
              </w:rPr>
              <w:t>as</w:t>
            </w:r>
          </w:p>
        </w:tc>
        <w:tc>
          <w:tcPr>
            <w:tcW w:w="1147" w:type="dxa"/>
          </w:tcPr>
          <w:p>
            <w:pPr>
              <w:pStyle w:val="TableParagraph"/>
              <w:rPr>
                <w:rFonts w:ascii="Times New Roman"/>
                <w:sz w:val="16"/>
              </w:rPr>
            </w:pPr>
          </w:p>
        </w:tc>
        <w:tc>
          <w:tcPr>
            <w:tcW w:w="1277" w:type="dxa"/>
          </w:tcPr>
          <w:p>
            <w:pPr>
              <w:pStyle w:val="TableParagraph"/>
              <w:rPr>
                <w:rFonts w:ascii="Times New Roman"/>
                <w:sz w:val="16"/>
              </w:rPr>
            </w:pPr>
          </w:p>
        </w:tc>
        <w:tc>
          <w:tcPr>
            <w:tcW w:w="1277" w:type="dxa"/>
            <w:shd w:val="clear" w:color="auto" w:fill="DDEBF6"/>
          </w:tcPr>
          <w:p>
            <w:pPr>
              <w:pStyle w:val="TableParagraph"/>
              <w:rPr>
                <w:rFonts w:ascii="Times New Roman"/>
                <w:sz w:val="16"/>
              </w:rPr>
            </w:pPr>
          </w:p>
        </w:tc>
        <w:tc>
          <w:tcPr>
            <w:tcW w:w="1239" w:type="dxa"/>
          </w:tcPr>
          <w:p>
            <w:pPr>
              <w:pStyle w:val="TableParagraph"/>
              <w:rPr>
                <w:rFonts w:ascii="Times New Roman"/>
                <w:sz w:val="16"/>
              </w:rPr>
            </w:pPr>
          </w:p>
        </w:tc>
        <w:tc>
          <w:tcPr>
            <w:tcW w:w="1514" w:type="dxa"/>
          </w:tcPr>
          <w:p>
            <w:pPr>
              <w:pStyle w:val="TableParagraph"/>
              <w:rPr>
                <w:rFonts w:ascii="Times New Roman"/>
                <w:sz w:val="16"/>
              </w:rPr>
            </w:pPr>
          </w:p>
        </w:tc>
        <w:tc>
          <w:tcPr>
            <w:tcW w:w="1213" w:type="dxa"/>
            <w:tcBorders>
              <w:right w:val="single" w:sz="4" w:space="0" w:color="000000"/>
            </w:tcBorders>
          </w:tcPr>
          <w:p>
            <w:pPr>
              <w:pStyle w:val="TableParagraph"/>
              <w:rPr>
                <w:rFonts w:ascii="Times New Roman"/>
                <w:sz w:val="16"/>
              </w:rPr>
            </w:pPr>
          </w:p>
        </w:tc>
      </w:tr>
      <w:tr>
        <w:trPr>
          <w:trHeight w:val="229" w:hRule="atLeast"/>
        </w:trPr>
        <w:tc>
          <w:tcPr>
            <w:tcW w:w="3243" w:type="dxa"/>
            <w:tcBorders>
              <w:left w:val="single" w:sz="4" w:space="0" w:color="000000"/>
            </w:tcBorders>
          </w:tcPr>
          <w:p>
            <w:pPr>
              <w:pStyle w:val="TableParagraph"/>
              <w:spacing w:line="209" w:lineRule="exact"/>
              <w:ind w:left="107"/>
              <w:rPr>
                <w:sz w:val="20"/>
              </w:rPr>
            </w:pPr>
            <w:r>
              <w:rPr>
                <w:sz w:val="20"/>
              </w:rPr>
              <w:t>held</w:t>
            </w:r>
            <w:r>
              <w:rPr>
                <w:spacing w:val="-6"/>
                <w:sz w:val="20"/>
              </w:rPr>
              <w:t> </w:t>
            </w:r>
            <w:r>
              <w:rPr>
                <w:sz w:val="20"/>
              </w:rPr>
              <w:t>for</w:t>
            </w:r>
            <w:r>
              <w:rPr>
                <w:spacing w:val="-4"/>
                <w:sz w:val="20"/>
              </w:rPr>
              <w:t> sale</w:t>
            </w:r>
          </w:p>
        </w:tc>
        <w:tc>
          <w:tcPr>
            <w:tcW w:w="1147" w:type="dxa"/>
          </w:tcPr>
          <w:p>
            <w:pPr>
              <w:pStyle w:val="TableParagraph"/>
              <w:rPr>
                <w:rFonts w:ascii="Times New Roman"/>
                <w:sz w:val="16"/>
              </w:rPr>
            </w:pPr>
          </w:p>
        </w:tc>
        <w:tc>
          <w:tcPr>
            <w:tcW w:w="1277" w:type="dxa"/>
          </w:tcPr>
          <w:p>
            <w:pPr>
              <w:pStyle w:val="TableParagraph"/>
              <w:rPr>
                <w:rFonts w:ascii="Times New Roman"/>
                <w:sz w:val="16"/>
              </w:rPr>
            </w:pPr>
          </w:p>
        </w:tc>
        <w:tc>
          <w:tcPr>
            <w:tcW w:w="1277" w:type="dxa"/>
            <w:shd w:val="clear" w:color="auto" w:fill="DDEBF6"/>
          </w:tcPr>
          <w:p>
            <w:pPr>
              <w:pStyle w:val="TableParagraph"/>
              <w:rPr>
                <w:rFonts w:ascii="Times New Roman"/>
                <w:sz w:val="16"/>
              </w:rPr>
            </w:pPr>
          </w:p>
        </w:tc>
        <w:tc>
          <w:tcPr>
            <w:tcW w:w="1239" w:type="dxa"/>
          </w:tcPr>
          <w:p>
            <w:pPr>
              <w:pStyle w:val="TableParagraph"/>
              <w:rPr>
                <w:rFonts w:ascii="Times New Roman"/>
                <w:sz w:val="16"/>
              </w:rPr>
            </w:pPr>
          </w:p>
        </w:tc>
        <w:tc>
          <w:tcPr>
            <w:tcW w:w="1514" w:type="dxa"/>
          </w:tcPr>
          <w:p>
            <w:pPr>
              <w:pStyle w:val="TableParagraph"/>
              <w:rPr>
                <w:rFonts w:ascii="Times New Roman"/>
                <w:sz w:val="16"/>
              </w:rPr>
            </w:pPr>
          </w:p>
        </w:tc>
        <w:tc>
          <w:tcPr>
            <w:tcW w:w="1213" w:type="dxa"/>
            <w:tcBorders>
              <w:right w:val="single" w:sz="4" w:space="0" w:color="000000"/>
            </w:tcBorders>
          </w:tcPr>
          <w:p>
            <w:pPr>
              <w:pStyle w:val="TableParagraph"/>
              <w:rPr>
                <w:rFonts w:ascii="Times New Roman"/>
                <w:sz w:val="16"/>
              </w:rPr>
            </w:pPr>
          </w:p>
        </w:tc>
      </w:tr>
      <w:tr>
        <w:trPr>
          <w:trHeight w:val="247" w:hRule="atLeast"/>
        </w:trPr>
        <w:tc>
          <w:tcPr>
            <w:tcW w:w="3243" w:type="dxa"/>
            <w:tcBorders>
              <w:left w:val="single" w:sz="4" w:space="0" w:color="000000"/>
            </w:tcBorders>
          </w:tcPr>
          <w:p>
            <w:pPr>
              <w:pStyle w:val="TableParagraph"/>
              <w:spacing w:line="225" w:lineRule="exact"/>
              <w:ind w:left="107"/>
              <w:rPr>
                <w:sz w:val="20"/>
              </w:rPr>
            </w:pPr>
            <w:r>
              <w:rPr>
                <w:sz w:val="20"/>
              </w:rPr>
              <w:t>Contract</w:t>
            </w:r>
            <w:r>
              <w:rPr>
                <w:spacing w:val="-10"/>
                <w:sz w:val="20"/>
              </w:rPr>
              <w:t> </w:t>
            </w:r>
            <w:r>
              <w:rPr>
                <w:spacing w:val="-2"/>
                <w:sz w:val="20"/>
              </w:rPr>
              <w:t>assets</w:t>
            </w:r>
          </w:p>
        </w:tc>
        <w:tc>
          <w:tcPr>
            <w:tcW w:w="1147" w:type="dxa"/>
          </w:tcPr>
          <w:p>
            <w:pPr>
              <w:pStyle w:val="TableParagraph"/>
              <w:rPr>
                <w:rFonts w:ascii="Times New Roman"/>
                <w:sz w:val="18"/>
              </w:rPr>
            </w:pPr>
          </w:p>
        </w:tc>
        <w:tc>
          <w:tcPr>
            <w:tcW w:w="1277" w:type="dxa"/>
          </w:tcPr>
          <w:p>
            <w:pPr>
              <w:pStyle w:val="TableParagraph"/>
              <w:rPr>
                <w:rFonts w:ascii="Times New Roman"/>
                <w:sz w:val="18"/>
              </w:rPr>
            </w:pPr>
          </w:p>
        </w:tc>
        <w:tc>
          <w:tcPr>
            <w:tcW w:w="1277" w:type="dxa"/>
            <w:shd w:val="clear" w:color="auto" w:fill="DDEBF6"/>
          </w:tcPr>
          <w:p>
            <w:pPr>
              <w:pStyle w:val="TableParagraph"/>
              <w:rPr>
                <w:rFonts w:ascii="Times New Roman"/>
                <w:sz w:val="18"/>
              </w:rPr>
            </w:pPr>
          </w:p>
        </w:tc>
        <w:tc>
          <w:tcPr>
            <w:tcW w:w="1239" w:type="dxa"/>
          </w:tcPr>
          <w:p>
            <w:pPr>
              <w:pStyle w:val="TableParagraph"/>
              <w:rPr>
                <w:rFonts w:ascii="Times New Roman"/>
                <w:sz w:val="18"/>
              </w:rPr>
            </w:pPr>
          </w:p>
        </w:tc>
        <w:tc>
          <w:tcPr>
            <w:tcW w:w="1514" w:type="dxa"/>
          </w:tcPr>
          <w:p>
            <w:pPr>
              <w:pStyle w:val="TableParagraph"/>
              <w:rPr>
                <w:rFonts w:ascii="Times New Roman"/>
                <w:sz w:val="18"/>
              </w:rPr>
            </w:pPr>
          </w:p>
        </w:tc>
        <w:tc>
          <w:tcPr>
            <w:tcW w:w="1213" w:type="dxa"/>
            <w:tcBorders>
              <w:right w:val="single" w:sz="4" w:space="0" w:color="000000"/>
            </w:tcBorders>
          </w:tcPr>
          <w:p>
            <w:pPr>
              <w:pStyle w:val="TableParagraph"/>
              <w:rPr>
                <w:rFonts w:ascii="Times New Roman"/>
                <w:sz w:val="18"/>
              </w:rPr>
            </w:pPr>
          </w:p>
        </w:tc>
      </w:tr>
      <w:tr>
        <w:trPr>
          <w:trHeight w:val="278" w:hRule="atLeast"/>
        </w:trPr>
        <w:tc>
          <w:tcPr>
            <w:tcW w:w="3243" w:type="dxa"/>
            <w:tcBorders>
              <w:left w:val="single" w:sz="4" w:space="0" w:color="000000"/>
            </w:tcBorders>
          </w:tcPr>
          <w:p>
            <w:pPr>
              <w:pStyle w:val="TableParagraph"/>
              <w:spacing w:before="14"/>
              <w:ind w:left="107"/>
              <w:rPr>
                <w:sz w:val="20"/>
              </w:rPr>
            </w:pPr>
            <w:r>
              <w:rPr>
                <w:sz w:val="20"/>
              </w:rPr>
              <w:t>Other</w:t>
            </w:r>
            <w:r>
              <w:rPr>
                <w:spacing w:val="-6"/>
                <w:sz w:val="20"/>
              </w:rPr>
              <w:t> </w:t>
            </w:r>
            <w:r>
              <w:rPr>
                <w:spacing w:val="-2"/>
                <w:sz w:val="20"/>
              </w:rPr>
              <w:t>assets</w:t>
            </w:r>
          </w:p>
        </w:tc>
        <w:tc>
          <w:tcPr>
            <w:tcW w:w="1147" w:type="dxa"/>
          </w:tcPr>
          <w:p>
            <w:pPr>
              <w:pStyle w:val="TableParagraph"/>
              <w:rPr>
                <w:rFonts w:ascii="Times New Roman"/>
                <w:sz w:val="18"/>
              </w:rPr>
            </w:pPr>
          </w:p>
        </w:tc>
        <w:tc>
          <w:tcPr>
            <w:tcW w:w="1277" w:type="dxa"/>
            <w:tcBorders>
              <w:bottom w:val="single" w:sz="4" w:space="0" w:color="000000"/>
            </w:tcBorders>
          </w:tcPr>
          <w:p>
            <w:pPr>
              <w:pStyle w:val="TableParagraph"/>
              <w:spacing w:line="227" w:lineRule="exact" w:before="31"/>
              <w:ind w:right="104"/>
              <w:jc w:val="right"/>
              <w:rPr>
                <w:sz w:val="20"/>
              </w:rPr>
            </w:pPr>
            <w:r>
              <w:rPr>
                <w:spacing w:val="-5"/>
                <w:sz w:val="20"/>
              </w:rPr>
              <w:t>912</w:t>
            </w:r>
          </w:p>
        </w:tc>
        <w:tc>
          <w:tcPr>
            <w:tcW w:w="1277" w:type="dxa"/>
            <w:tcBorders>
              <w:bottom w:val="single" w:sz="4" w:space="0" w:color="000000"/>
            </w:tcBorders>
            <w:shd w:val="clear" w:color="auto" w:fill="DDEBF6"/>
          </w:tcPr>
          <w:p>
            <w:pPr>
              <w:pStyle w:val="TableParagraph"/>
              <w:spacing w:line="227" w:lineRule="exact" w:before="31"/>
              <w:ind w:right="104"/>
              <w:jc w:val="right"/>
              <w:rPr>
                <w:b/>
                <w:sz w:val="20"/>
              </w:rPr>
            </w:pPr>
            <w:r>
              <w:rPr>
                <w:b/>
                <w:spacing w:val="-5"/>
                <w:sz w:val="20"/>
              </w:rPr>
              <w:t>948</w:t>
            </w:r>
          </w:p>
        </w:tc>
        <w:tc>
          <w:tcPr>
            <w:tcW w:w="1239" w:type="dxa"/>
            <w:tcBorders>
              <w:bottom w:val="single" w:sz="4" w:space="0" w:color="000000"/>
            </w:tcBorders>
          </w:tcPr>
          <w:p>
            <w:pPr>
              <w:pStyle w:val="TableParagraph"/>
              <w:spacing w:line="227" w:lineRule="exact" w:before="31"/>
              <w:ind w:right="66"/>
              <w:jc w:val="right"/>
              <w:rPr>
                <w:sz w:val="20"/>
              </w:rPr>
            </w:pPr>
            <w:r>
              <w:rPr>
                <w:spacing w:val="-5"/>
                <w:sz w:val="20"/>
              </w:rPr>
              <w:t>977</w:t>
            </w:r>
          </w:p>
        </w:tc>
        <w:tc>
          <w:tcPr>
            <w:tcW w:w="1514" w:type="dxa"/>
            <w:tcBorders>
              <w:bottom w:val="single" w:sz="4" w:space="0" w:color="000000"/>
            </w:tcBorders>
          </w:tcPr>
          <w:p>
            <w:pPr>
              <w:pStyle w:val="TableParagraph"/>
              <w:spacing w:line="227" w:lineRule="exact" w:before="31"/>
              <w:ind w:right="163"/>
              <w:jc w:val="right"/>
              <w:rPr>
                <w:sz w:val="20"/>
              </w:rPr>
            </w:pPr>
            <w:r>
              <w:rPr>
                <w:spacing w:val="-2"/>
                <w:sz w:val="20"/>
              </w:rPr>
              <w:t>1,001</w:t>
            </w:r>
          </w:p>
        </w:tc>
        <w:tc>
          <w:tcPr>
            <w:tcW w:w="1213" w:type="dxa"/>
            <w:tcBorders>
              <w:bottom w:val="single" w:sz="4" w:space="0" w:color="000000"/>
              <w:right w:val="single" w:sz="4" w:space="0" w:color="000000"/>
            </w:tcBorders>
          </w:tcPr>
          <w:p>
            <w:pPr>
              <w:pStyle w:val="TableParagraph"/>
              <w:spacing w:line="227" w:lineRule="exact" w:before="31"/>
              <w:ind w:right="97"/>
              <w:jc w:val="right"/>
              <w:rPr>
                <w:sz w:val="20"/>
              </w:rPr>
            </w:pPr>
            <w:r>
              <w:rPr>
                <w:spacing w:val="-2"/>
                <w:sz w:val="20"/>
              </w:rPr>
              <w:t>1,026</w:t>
            </w:r>
          </w:p>
        </w:tc>
      </w:tr>
      <w:tr>
        <w:trPr>
          <w:trHeight w:val="265" w:hRule="atLeast"/>
        </w:trPr>
        <w:tc>
          <w:tcPr>
            <w:tcW w:w="3243" w:type="dxa"/>
            <w:tcBorders>
              <w:left w:val="single" w:sz="4" w:space="0" w:color="000000"/>
            </w:tcBorders>
          </w:tcPr>
          <w:p>
            <w:pPr>
              <w:pStyle w:val="TableParagraph"/>
              <w:spacing w:line="229" w:lineRule="exact"/>
              <w:ind w:left="107"/>
              <w:rPr>
                <w:b/>
                <w:sz w:val="20"/>
              </w:rPr>
            </w:pPr>
            <w:r>
              <w:rPr>
                <w:b/>
                <w:sz w:val="20"/>
              </w:rPr>
              <w:t>Total</w:t>
            </w:r>
            <w:r>
              <w:rPr>
                <w:b/>
                <w:spacing w:val="-8"/>
                <w:sz w:val="20"/>
              </w:rPr>
              <w:t> </w:t>
            </w:r>
            <w:r>
              <w:rPr>
                <w:b/>
                <w:sz w:val="20"/>
              </w:rPr>
              <w:t>current</w:t>
            </w:r>
            <w:r>
              <w:rPr>
                <w:b/>
                <w:spacing w:val="-8"/>
                <w:sz w:val="20"/>
              </w:rPr>
              <w:t> </w:t>
            </w:r>
            <w:r>
              <w:rPr>
                <w:b/>
                <w:spacing w:val="-2"/>
                <w:sz w:val="20"/>
              </w:rPr>
              <w:t>assets</w:t>
            </w:r>
          </w:p>
        </w:tc>
        <w:tc>
          <w:tcPr>
            <w:tcW w:w="1147" w:type="dxa"/>
          </w:tcPr>
          <w:p>
            <w:pPr>
              <w:pStyle w:val="TableParagraph"/>
              <w:spacing w:line="227" w:lineRule="exact" w:before="18"/>
              <w:ind w:left="292" w:right="135"/>
              <w:jc w:val="center"/>
              <w:rPr>
                <w:sz w:val="20"/>
              </w:rPr>
            </w:pPr>
            <w:r>
              <w:rPr>
                <w:spacing w:val="-2"/>
                <w:sz w:val="20"/>
              </w:rPr>
              <w:t>4.2.1</w:t>
            </w:r>
          </w:p>
        </w:tc>
        <w:tc>
          <w:tcPr>
            <w:tcW w:w="1277" w:type="dxa"/>
            <w:tcBorders>
              <w:top w:val="single" w:sz="4" w:space="0" w:color="000000"/>
              <w:bottom w:val="single" w:sz="4" w:space="0" w:color="000000"/>
            </w:tcBorders>
          </w:tcPr>
          <w:p>
            <w:pPr>
              <w:pStyle w:val="TableParagraph"/>
              <w:spacing w:line="227" w:lineRule="exact" w:before="18"/>
              <w:ind w:right="104"/>
              <w:jc w:val="right"/>
              <w:rPr>
                <w:sz w:val="20"/>
              </w:rPr>
            </w:pPr>
            <w:r>
              <w:rPr>
                <w:spacing w:val="-2"/>
                <w:sz w:val="20"/>
              </w:rPr>
              <w:t>75,921</w:t>
            </w:r>
          </w:p>
        </w:tc>
        <w:tc>
          <w:tcPr>
            <w:tcW w:w="1277" w:type="dxa"/>
            <w:tcBorders>
              <w:top w:val="single" w:sz="4" w:space="0" w:color="000000"/>
              <w:bottom w:val="single" w:sz="4" w:space="0" w:color="000000"/>
            </w:tcBorders>
            <w:shd w:val="clear" w:color="auto" w:fill="DDEBF6"/>
          </w:tcPr>
          <w:p>
            <w:pPr>
              <w:pStyle w:val="TableParagraph"/>
              <w:spacing w:line="227" w:lineRule="exact" w:before="18"/>
              <w:ind w:right="104"/>
              <w:jc w:val="right"/>
              <w:rPr>
                <w:b/>
                <w:sz w:val="20"/>
              </w:rPr>
            </w:pPr>
            <w:r>
              <w:rPr>
                <w:b/>
                <w:spacing w:val="-2"/>
                <w:sz w:val="20"/>
              </w:rPr>
              <w:t>54,793</w:t>
            </w:r>
          </w:p>
        </w:tc>
        <w:tc>
          <w:tcPr>
            <w:tcW w:w="1239" w:type="dxa"/>
            <w:tcBorders>
              <w:top w:val="single" w:sz="4" w:space="0" w:color="000000"/>
              <w:bottom w:val="single" w:sz="4" w:space="0" w:color="000000"/>
            </w:tcBorders>
          </w:tcPr>
          <w:p>
            <w:pPr>
              <w:pStyle w:val="TableParagraph"/>
              <w:spacing w:line="227" w:lineRule="exact" w:before="18"/>
              <w:ind w:right="66"/>
              <w:jc w:val="right"/>
              <w:rPr>
                <w:sz w:val="20"/>
              </w:rPr>
            </w:pPr>
            <w:r>
              <w:rPr>
                <w:spacing w:val="-2"/>
                <w:sz w:val="20"/>
              </w:rPr>
              <w:t>72,824</w:t>
            </w:r>
          </w:p>
        </w:tc>
        <w:tc>
          <w:tcPr>
            <w:tcW w:w="1514" w:type="dxa"/>
            <w:tcBorders>
              <w:top w:val="single" w:sz="4" w:space="0" w:color="000000"/>
              <w:bottom w:val="single" w:sz="4" w:space="0" w:color="000000"/>
            </w:tcBorders>
          </w:tcPr>
          <w:p>
            <w:pPr>
              <w:pStyle w:val="TableParagraph"/>
              <w:spacing w:line="227" w:lineRule="exact" w:before="18"/>
              <w:ind w:right="164"/>
              <w:jc w:val="right"/>
              <w:rPr>
                <w:sz w:val="20"/>
              </w:rPr>
            </w:pPr>
            <w:r>
              <w:rPr>
                <w:spacing w:val="-2"/>
                <w:sz w:val="20"/>
              </w:rPr>
              <w:t>66,003</w:t>
            </w:r>
          </w:p>
        </w:tc>
        <w:tc>
          <w:tcPr>
            <w:tcW w:w="1213" w:type="dxa"/>
            <w:tcBorders>
              <w:top w:val="single" w:sz="4" w:space="0" w:color="000000"/>
              <w:bottom w:val="single" w:sz="4" w:space="0" w:color="000000"/>
              <w:right w:val="single" w:sz="4" w:space="0" w:color="000000"/>
            </w:tcBorders>
          </w:tcPr>
          <w:p>
            <w:pPr>
              <w:pStyle w:val="TableParagraph"/>
              <w:spacing w:line="227" w:lineRule="exact" w:before="18"/>
              <w:ind w:right="98"/>
              <w:jc w:val="right"/>
              <w:rPr>
                <w:sz w:val="20"/>
              </w:rPr>
            </w:pPr>
            <w:r>
              <w:rPr>
                <w:spacing w:val="-2"/>
                <w:sz w:val="20"/>
              </w:rPr>
              <w:t>62,535</w:t>
            </w:r>
          </w:p>
        </w:tc>
      </w:tr>
      <w:tr>
        <w:trPr>
          <w:trHeight w:val="515" w:hRule="atLeast"/>
        </w:trPr>
        <w:tc>
          <w:tcPr>
            <w:tcW w:w="3243" w:type="dxa"/>
            <w:tcBorders>
              <w:left w:val="single" w:sz="4" w:space="0" w:color="000000"/>
            </w:tcBorders>
          </w:tcPr>
          <w:p>
            <w:pPr>
              <w:pStyle w:val="TableParagraph"/>
              <w:spacing w:before="10"/>
              <w:rPr>
                <w:i/>
                <w:sz w:val="22"/>
              </w:rPr>
            </w:pPr>
          </w:p>
          <w:p>
            <w:pPr>
              <w:pStyle w:val="TableParagraph"/>
              <w:ind w:left="107"/>
              <w:rPr>
                <w:b/>
                <w:sz w:val="20"/>
              </w:rPr>
            </w:pPr>
            <w:r>
              <w:rPr>
                <w:b/>
                <w:sz w:val="20"/>
              </w:rPr>
              <w:t>Non-current</w:t>
            </w:r>
            <w:r>
              <w:rPr>
                <w:b/>
                <w:spacing w:val="-14"/>
                <w:sz w:val="20"/>
              </w:rPr>
              <w:t> </w:t>
            </w:r>
            <w:r>
              <w:rPr>
                <w:b/>
                <w:spacing w:val="-2"/>
                <w:sz w:val="20"/>
              </w:rPr>
              <w:t>assets</w:t>
            </w:r>
          </w:p>
        </w:tc>
        <w:tc>
          <w:tcPr>
            <w:tcW w:w="1147" w:type="dxa"/>
          </w:tcPr>
          <w:p>
            <w:pPr>
              <w:pStyle w:val="TableParagraph"/>
              <w:rPr>
                <w:rFonts w:ascii="Times New Roman"/>
                <w:sz w:val="18"/>
              </w:rPr>
            </w:pPr>
          </w:p>
        </w:tc>
        <w:tc>
          <w:tcPr>
            <w:tcW w:w="1277" w:type="dxa"/>
            <w:tcBorders>
              <w:top w:val="single" w:sz="4" w:space="0" w:color="000000"/>
            </w:tcBorders>
          </w:tcPr>
          <w:p>
            <w:pPr>
              <w:pStyle w:val="TableParagraph"/>
              <w:rPr>
                <w:rFonts w:ascii="Times New Roman"/>
                <w:sz w:val="18"/>
              </w:rPr>
            </w:pPr>
          </w:p>
        </w:tc>
        <w:tc>
          <w:tcPr>
            <w:tcW w:w="1277" w:type="dxa"/>
            <w:tcBorders>
              <w:top w:val="single" w:sz="4" w:space="0" w:color="000000"/>
            </w:tcBorders>
            <w:shd w:val="clear" w:color="auto" w:fill="DDEBF6"/>
          </w:tcPr>
          <w:p>
            <w:pPr>
              <w:pStyle w:val="TableParagraph"/>
              <w:rPr>
                <w:rFonts w:ascii="Times New Roman"/>
                <w:sz w:val="18"/>
              </w:rPr>
            </w:pPr>
          </w:p>
        </w:tc>
        <w:tc>
          <w:tcPr>
            <w:tcW w:w="1239" w:type="dxa"/>
            <w:tcBorders>
              <w:top w:val="single" w:sz="4" w:space="0" w:color="000000"/>
            </w:tcBorders>
          </w:tcPr>
          <w:p>
            <w:pPr>
              <w:pStyle w:val="TableParagraph"/>
              <w:rPr>
                <w:rFonts w:ascii="Times New Roman"/>
                <w:sz w:val="18"/>
              </w:rPr>
            </w:pPr>
          </w:p>
        </w:tc>
        <w:tc>
          <w:tcPr>
            <w:tcW w:w="1514" w:type="dxa"/>
            <w:tcBorders>
              <w:top w:val="single" w:sz="4" w:space="0" w:color="000000"/>
            </w:tcBorders>
          </w:tcPr>
          <w:p>
            <w:pPr>
              <w:pStyle w:val="TableParagraph"/>
              <w:rPr>
                <w:rFonts w:ascii="Times New Roman"/>
                <w:sz w:val="18"/>
              </w:rPr>
            </w:pPr>
          </w:p>
        </w:tc>
        <w:tc>
          <w:tcPr>
            <w:tcW w:w="1213" w:type="dxa"/>
            <w:tcBorders>
              <w:top w:val="single" w:sz="4" w:space="0" w:color="000000"/>
              <w:right w:val="single" w:sz="4" w:space="0" w:color="000000"/>
            </w:tcBorders>
          </w:tcPr>
          <w:p>
            <w:pPr>
              <w:pStyle w:val="TableParagraph"/>
              <w:rPr>
                <w:rFonts w:ascii="Times New Roman"/>
                <w:sz w:val="18"/>
              </w:rPr>
            </w:pPr>
          </w:p>
        </w:tc>
      </w:tr>
      <w:tr>
        <w:trPr>
          <w:trHeight w:val="273" w:hRule="atLeast"/>
        </w:trPr>
        <w:tc>
          <w:tcPr>
            <w:tcW w:w="3243" w:type="dxa"/>
            <w:tcBorders>
              <w:left w:val="single" w:sz="4" w:space="0" w:color="000000"/>
            </w:tcBorders>
          </w:tcPr>
          <w:p>
            <w:pPr>
              <w:pStyle w:val="TableParagraph"/>
              <w:spacing w:before="14"/>
              <w:ind w:left="107"/>
              <w:rPr>
                <w:sz w:val="20"/>
              </w:rPr>
            </w:pPr>
            <w:r>
              <w:rPr>
                <w:sz w:val="20"/>
              </w:rPr>
              <w:t>Trade</w:t>
            </w:r>
            <w:r>
              <w:rPr>
                <w:spacing w:val="-7"/>
                <w:sz w:val="20"/>
              </w:rPr>
              <w:t> </w:t>
            </w:r>
            <w:r>
              <w:rPr>
                <w:sz w:val="20"/>
              </w:rPr>
              <w:t>and</w:t>
            </w:r>
            <w:r>
              <w:rPr>
                <w:spacing w:val="-6"/>
                <w:sz w:val="20"/>
              </w:rPr>
              <w:t> </w:t>
            </w:r>
            <w:r>
              <w:rPr>
                <w:sz w:val="20"/>
              </w:rPr>
              <w:t>other</w:t>
            </w:r>
            <w:r>
              <w:rPr>
                <w:spacing w:val="-5"/>
                <w:sz w:val="20"/>
              </w:rPr>
              <w:t> </w:t>
            </w:r>
            <w:r>
              <w:rPr>
                <w:spacing w:val="-2"/>
                <w:sz w:val="20"/>
              </w:rPr>
              <w:t>receivables</w:t>
            </w:r>
          </w:p>
        </w:tc>
        <w:tc>
          <w:tcPr>
            <w:tcW w:w="1147" w:type="dxa"/>
          </w:tcPr>
          <w:p>
            <w:pPr>
              <w:pStyle w:val="TableParagraph"/>
              <w:rPr>
                <w:rFonts w:ascii="Times New Roman"/>
                <w:sz w:val="18"/>
              </w:rPr>
            </w:pPr>
          </w:p>
        </w:tc>
        <w:tc>
          <w:tcPr>
            <w:tcW w:w="1277" w:type="dxa"/>
          </w:tcPr>
          <w:p>
            <w:pPr>
              <w:pStyle w:val="TableParagraph"/>
              <w:spacing w:line="222" w:lineRule="exact" w:before="31"/>
              <w:ind w:right="104"/>
              <w:jc w:val="right"/>
              <w:rPr>
                <w:sz w:val="20"/>
              </w:rPr>
            </w:pPr>
            <w:r>
              <w:rPr>
                <w:spacing w:val="-5"/>
                <w:sz w:val="20"/>
              </w:rPr>
              <w:t>313</w:t>
            </w:r>
          </w:p>
        </w:tc>
        <w:tc>
          <w:tcPr>
            <w:tcW w:w="1277" w:type="dxa"/>
            <w:shd w:val="clear" w:color="auto" w:fill="DDEBF6"/>
          </w:tcPr>
          <w:p>
            <w:pPr>
              <w:pStyle w:val="TableParagraph"/>
              <w:spacing w:line="222" w:lineRule="exact" w:before="31"/>
              <w:ind w:right="104"/>
              <w:jc w:val="right"/>
              <w:rPr>
                <w:b/>
                <w:sz w:val="20"/>
              </w:rPr>
            </w:pPr>
            <w:r>
              <w:rPr>
                <w:b/>
                <w:spacing w:val="-5"/>
                <w:sz w:val="20"/>
              </w:rPr>
              <w:t>313</w:t>
            </w:r>
          </w:p>
        </w:tc>
        <w:tc>
          <w:tcPr>
            <w:tcW w:w="1239" w:type="dxa"/>
          </w:tcPr>
          <w:p>
            <w:pPr>
              <w:pStyle w:val="TableParagraph"/>
              <w:spacing w:line="222" w:lineRule="exact" w:before="31"/>
              <w:ind w:right="66"/>
              <w:jc w:val="right"/>
              <w:rPr>
                <w:sz w:val="20"/>
              </w:rPr>
            </w:pPr>
            <w:r>
              <w:rPr>
                <w:spacing w:val="-5"/>
                <w:sz w:val="20"/>
              </w:rPr>
              <w:t>313</w:t>
            </w:r>
          </w:p>
        </w:tc>
        <w:tc>
          <w:tcPr>
            <w:tcW w:w="1514" w:type="dxa"/>
          </w:tcPr>
          <w:p>
            <w:pPr>
              <w:pStyle w:val="TableParagraph"/>
              <w:spacing w:line="222" w:lineRule="exact" w:before="31"/>
              <w:ind w:right="164"/>
              <w:jc w:val="right"/>
              <w:rPr>
                <w:sz w:val="20"/>
              </w:rPr>
            </w:pPr>
            <w:r>
              <w:rPr>
                <w:spacing w:val="-5"/>
                <w:sz w:val="20"/>
              </w:rPr>
              <w:t>313</w:t>
            </w:r>
          </w:p>
        </w:tc>
        <w:tc>
          <w:tcPr>
            <w:tcW w:w="1213" w:type="dxa"/>
            <w:tcBorders>
              <w:right w:val="single" w:sz="4" w:space="0" w:color="000000"/>
            </w:tcBorders>
          </w:tcPr>
          <w:p>
            <w:pPr>
              <w:pStyle w:val="TableParagraph"/>
              <w:spacing w:line="222" w:lineRule="exact" w:before="31"/>
              <w:ind w:right="98"/>
              <w:jc w:val="right"/>
              <w:rPr>
                <w:sz w:val="20"/>
              </w:rPr>
            </w:pPr>
            <w:r>
              <w:rPr>
                <w:spacing w:val="-5"/>
                <w:sz w:val="20"/>
              </w:rPr>
              <w:t>313</w:t>
            </w:r>
          </w:p>
        </w:tc>
      </w:tr>
      <w:tr>
        <w:trPr>
          <w:trHeight w:val="469" w:hRule="atLeast"/>
        </w:trPr>
        <w:tc>
          <w:tcPr>
            <w:tcW w:w="3243" w:type="dxa"/>
            <w:tcBorders>
              <w:left w:val="single" w:sz="4" w:space="0" w:color="000000"/>
            </w:tcBorders>
          </w:tcPr>
          <w:p>
            <w:pPr>
              <w:pStyle w:val="TableParagraph"/>
              <w:spacing w:line="230" w:lineRule="atLeast"/>
              <w:ind w:left="107"/>
              <w:rPr>
                <w:sz w:val="20"/>
              </w:rPr>
            </w:pPr>
            <w:r>
              <w:rPr>
                <w:sz w:val="20"/>
              </w:rPr>
              <w:t>Investments</w:t>
            </w:r>
            <w:r>
              <w:rPr>
                <w:spacing w:val="-11"/>
                <w:sz w:val="20"/>
              </w:rPr>
              <w:t> </w:t>
            </w:r>
            <w:r>
              <w:rPr>
                <w:sz w:val="20"/>
              </w:rPr>
              <w:t>in</w:t>
            </w:r>
            <w:r>
              <w:rPr>
                <w:spacing w:val="-12"/>
                <w:sz w:val="20"/>
              </w:rPr>
              <w:t> </w:t>
            </w:r>
            <w:r>
              <w:rPr>
                <w:sz w:val="20"/>
              </w:rPr>
              <w:t>associates,</w:t>
            </w:r>
            <w:r>
              <w:rPr>
                <w:spacing w:val="-14"/>
                <w:sz w:val="20"/>
              </w:rPr>
              <w:t> </w:t>
            </w:r>
            <w:r>
              <w:rPr>
                <w:sz w:val="20"/>
              </w:rPr>
              <w:t>joint arrangement, and subsidiaries</w:t>
            </w:r>
          </w:p>
        </w:tc>
        <w:tc>
          <w:tcPr>
            <w:tcW w:w="1147" w:type="dxa"/>
          </w:tcPr>
          <w:p>
            <w:pPr>
              <w:pStyle w:val="TableParagraph"/>
              <w:rPr>
                <w:rFonts w:ascii="Times New Roman"/>
                <w:sz w:val="18"/>
              </w:rPr>
            </w:pPr>
          </w:p>
        </w:tc>
        <w:tc>
          <w:tcPr>
            <w:tcW w:w="1277" w:type="dxa"/>
          </w:tcPr>
          <w:p>
            <w:pPr>
              <w:pStyle w:val="TableParagraph"/>
              <w:spacing w:before="120"/>
              <w:ind w:right="103"/>
              <w:jc w:val="right"/>
              <w:rPr>
                <w:sz w:val="20"/>
              </w:rPr>
            </w:pPr>
            <w:r>
              <w:rPr>
                <w:spacing w:val="-2"/>
                <w:sz w:val="20"/>
              </w:rPr>
              <w:t>1,915</w:t>
            </w:r>
          </w:p>
        </w:tc>
        <w:tc>
          <w:tcPr>
            <w:tcW w:w="1277" w:type="dxa"/>
            <w:shd w:val="clear" w:color="auto" w:fill="DDEBF6"/>
          </w:tcPr>
          <w:p>
            <w:pPr>
              <w:pStyle w:val="TableParagraph"/>
              <w:spacing w:before="120"/>
              <w:ind w:right="103"/>
              <w:jc w:val="right"/>
              <w:rPr>
                <w:b/>
                <w:sz w:val="20"/>
              </w:rPr>
            </w:pPr>
            <w:r>
              <w:rPr>
                <w:b/>
                <w:spacing w:val="-2"/>
                <w:sz w:val="20"/>
              </w:rPr>
              <w:t>1,915</w:t>
            </w:r>
          </w:p>
        </w:tc>
        <w:tc>
          <w:tcPr>
            <w:tcW w:w="1239" w:type="dxa"/>
          </w:tcPr>
          <w:p>
            <w:pPr>
              <w:pStyle w:val="TableParagraph"/>
              <w:spacing w:before="120"/>
              <w:ind w:right="65"/>
              <w:jc w:val="right"/>
              <w:rPr>
                <w:sz w:val="20"/>
              </w:rPr>
            </w:pPr>
            <w:r>
              <w:rPr>
                <w:spacing w:val="-2"/>
                <w:sz w:val="20"/>
              </w:rPr>
              <w:t>1,915</w:t>
            </w:r>
          </w:p>
        </w:tc>
        <w:tc>
          <w:tcPr>
            <w:tcW w:w="1514" w:type="dxa"/>
          </w:tcPr>
          <w:p>
            <w:pPr>
              <w:pStyle w:val="TableParagraph"/>
              <w:spacing w:before="120"/>
              <w:ind w:right="163"/>
              <w:jc w:val="right"/>
              <w:rPr>
                <w:sz w:val="20"/>
              </w:rPr>
            </w:pPr>
            <w:r>
              <w:rPr>
                <w:spacing w:val="-2"/>
                <w:sz w:val="20"/>
              </w:rPr>
              <w:t>1,915</w:t>
            </w:r>
          </w:p>
        </w:tc>
        <w:tc>
          <w:tcPr>
            <w:tcW w:w="1213" w:type="dxa"/>
            <w:tcBorders>
              <w:right w:val="single" w:sz="4" w:space="0" w:color="000000"/>
            </w:tcBorders>
          </w:tcPr>
          <w:p>
            <w:pPr>
              <w:pStyle w:val="TableParagraph"/>
              <w:spacing w:before="120"/>
              <w:ind w:right="97"/>
              <w:jc w:val="right"/>
              <w:rPr>
                <w:sz w:val="20"/>
              </w:rPr>
            </w:pPr>
            <w:r>
              <w:rPr>
                <w:spacing w:val="-2"/>
                <w:sz w:val="20"/>
              </w:rPr>
              <w:t>1,915</w:t>
            </w:r>
          </w:p>
        </w:tc>
      </w:tr>
      <w:tr>
        <w:trPr>
          <w:trHeight w:val="459" w:hRule="atLeast"/>
        </w:trPr>
        <w:tc>
          <w:tcPr>
            <w:tcW w:w="3243" w:type="dxa"/>
            <w:tcBorders>
              <w:left w:val="single" w:sz="4" w:space="0" w:color="000000"/>
            </w:tcBorders>
          </w:tcPr>
          <w:p>
            <w:pPr>
              <w:pStyle w:val="TableParagraph"/>
              <w:spacing w:line="230" w:lineRule="exact"/>
              <w:ind w:left="107"/>
              <w:rPr>
                <w:sz w:val="20"/>
              </w:rPr>
            </w:pPr>
            <w:r>
              <w:rPr>
                <w:sz w:val="20"/>
              </w:rPr>
              <w:t>Property,</w:t>
            </w:r>
            <w:r>
              <w:rPr>
                <w:spacing w:val="-10"/>
                <w:sz w:val="20"/>
              </w:rPr>
              <w:t> </w:t>
            </w:r>
            <w:r>
              <w:rPr>
                <w:sz w:val="20"/>
              </w:rPr>
              <w:t>infrastructure,</w:t>
            </w:r>
            <w:r>
              <w:rPr>
                <w:spacing w:val="-13"/>
                <w:sz w:val="20"/>
              </w:rPr>
              <w:t> </w:t>
            </w:r>
            <w:r>
              <w:rPr>
                <w:sz w:val="20"/>
              </w:rPr>
              <w:t>plant</w:t>
            </w:r>
            <w:r>
              <w:rPr>
                <w:spacing w:val="-13"/>
                <w:sz w:val="20"/>
              </w:rPr>
              <w:t> </w:t>
            </w:r>
            <w:r>
              <w:rPr>
                <w:sz w:val="20"/>
              </w:rPr>
              <w:t>&amp; </w:t>
            </w:r>
            <w:r>
              <w:rPr>
                <w:spacing w:val="-2"/>
                <w:sz w:val="20"/>
              </w:rPr>
              <w:t>equipment</w:t>
            </w:r>
          </w:p>
        </w:tc>
        <w:tc>
          <w:tcPr>
            <w:tcW w:w="1147" w:type="dxa"/>
          </w:tcPr>
          <w:p>
            <w:pPr>
              <w:pStyle w:val="TableParagraph"/>
              <w:rPr>
                <w:rFonts w:ascii="Times New Roman"/>
                <w:sz w:val="18"/>
              </w:rPr>
            </w:pPr>
          </w:p>
        </w:tc>
        <w:tc>
          <w:tcPr>
            <w:tcW w:w="1277" w:type="dxa"/>
          </w:tcPr>
          <w:p>
            <w:pPr>
              <w:pStyle w:val="TableParagraph"/>
              <w:spacing w:before="112"/>
              <w:ind w:right="102"/>
              <w:jc w:val="right"/>
              <w:rPr>
                <w:sz w:val="20"/>
              </w:rPr>
            </w:pPr>
            <w:r>
              <w:rPr>
                <w:spacing w:val="-2"/>
                <w:sz w:val="20"/>
              </w:rPr>
              <w:t>2,097,435</w:t>
            </w:r>
          </w:p>
        </w:tc>
        <w:tc>
          <w:tcPr>
            <w:tcW w:w="1277" w:type="dxa"/>
            <w:shd w:val="clear" w:color="auto" w:fill="DDEBF6"/>
          </w:tcPr>
          <w:p>
            <w:pPr>
              <w:pStyle w:val="TableParagraph"/>
              <w:spacing w:before="112"/>
              <w:ind w:right="103"/>
              <w:jc w:val="right"/>
              <w:rPr>
                <w:b/>
                <w:sz w:val="20"/>
              </w:rPr>
            </w:pPr>
            <w:r>
              <w:rPr>
                <w:b/>
                <w:spacing w:val="-2"/>
                <w:sz w:val="20"/>
              </w:rPr>
              <w:t>2,131,357</w:t>
            </w:r>
          </w:p>
        </w:tc>
        <w:tc>
          <w:tcPr>
            <w:tcW w:w="1239" w:type="dxa"/>
          </w:tcPr>
          <w:p>
            <w:pPr>
              <w:pStyle w:val="TableParagraph"/>
              <w:spacing w:before="112"/>
              <w:ind w:right="65"/>
              <w:jc w:val="right"/>
              <w:rPr>
                <w:sz w:val="20"/>
              </w:rPr>
            </w:pPr>
            <w:r>
              <w:rPr>
                <w:spacing w:val="-2"/>
                <w:sz w:val="20"/>
              </w:rPr>
              <w:t>2,135,115</w:t>
            </w:r>
          </w:p>
        </w:tc>
        <w:tc>
          <w:tcPr>
            <w:tcW w:w="1514" w:type="dxa"/>
          </w:tcPr>
          <w:p>
            <w:pPr>
              <w:pStyle w:val="TableParagraph"/>
              <w:spacing w:before="112"/>
              <w:ind w:right="163"/>
              <w:jc w:val="right"/>
              <w:rPr>
                <w:sz w:val="20"/>
              </w:rPr>
            </w:pPr>
            <w:r>
              <w:rPr>
                <w:spacing w:val="-2"/>
                <w:sz w:val="20"/>
              </w:rPr>
              <w:t>2,155,011</w:t>
            </w:r>
          </w:p>
        </w:tc>
        <w:tc>
          <w:tcPr>
            <w:tcW w:w="1213" w:type="dxa"/>
            <w:tcBorders>
              <w:right w:val="single" w:sz="4" w:space="0" w:color="000000"/>
            </w:tcBorders>
          </w:tcPr>
          <w:p>
            <w:pPr>
              <w:pStyle w:val="TableParagraph"/>
              <w:spacing w:before="112"/>
              <w:ind w:right="96"/>
              <w:jc w:val="right"/>
              <w:rPr>
                <w:sz w:val="20"/>
              </w:rPr>
            </w:pPr>
            <w:r>
              <w:rPr>
                <w:spacing w:val="-2"/>
                <w:sz w:val="20"/>
              </w:rPr>
              <w:t>2,185,871</w:t>
            </w:r>
          </w:p>
        </w:tc>
      </w:tr>
      <w:tr>
        <w:trPr>
          <w:trHeight w:val="256" w:hRule="atLeast"/>
        </w:trPr>
        <w:tc>
          <w:tcPr>
            <w:tcW w:w="3243" w:type="dxa"/>
            <w:tcBorders>
              <w:left w:val="single" w:sz="4" w:space="0" w:color="000000"/>
            </w:tcBorders>
          </w:tcPr>
          <w:p>
            <w:pPr>
              <w:pStyle w:val="TableParagraph"/>
              <w:spacing w:line="225" w:lineRule="exact"/>
              <w:ind w:left="107"/>
              <w:rPr>
                <w:sz w:val="20"/>
              </w:rPr>
            </w:pPr>
            <w:r>
              <w:rPr>
                <w:sz w:val="20"/>
              </w:rPr>
              <w:t>Right-of-use</w:t>
            </w:r>
            <w:r>
              <w:rPr>
                <w:spacing w:val="-13"/>
                <w:sz w:val="20"/>
              </w:rPr>
              <w:t> </w:t>
            </w:r>
            <w:r>
              <w:rPr>
                <w:spacing w:val="-2"/>
                <w:sz w:val="20"/>
              </w:rPr>
              <w:t>assets</w:t>
            </w:r>
          </w:p>
        </w:tc>
        <w:tc>
          <w:tcPr>
            <w:tcW w:w="1147" w:type="dxa"/>
          </w:tcPr>
          <w:p>
            <w:pPr>
              <w:pStyle w:val="TableParagraph"/>
              <w:spacing w:line="222" w:lineRule="exact" w:before="14"/>
              <w:ind w:left="292" w:right="135"/>
              <w:jc w:val="center"/>
              <w:rPr>
                <w:sz w:val="20"/>
              </w:rPr>
            </w:pPr>
            <w:r>
              <w:rPr>
                <w:spacing w:val="-2"/>
                <w:sz w:val="20"/>
              </w:rPr>
              <w:t>4.2.4</w:t>
            </w:r>
          </w:p>
        </w:tc>
        <w:tc>
          <w:tcPr>
            <w:tcW w:w="1277" w:type="dxa"/>
          </w:tcPr>
          <w:p>
            <w:pPr>
              <w:pStyle w:val="TableParagraph"/>
              <w:spacing w:line="222" w:lineRule="exact" w:before="14"/>
              <w:ind w:right="103"/>
              <w:jc w:val="right"/>
              <w:rPr>
                <w:sz w:val="20"/>
              </w:rPr>
            </w:pPr>
            <w:r>
              <w:rPr>
                <w:spacing w:val="-2"/>
                <w:sz w:val="20"/>
              </w:rPr>
              <w:t>1,987</w:t>
            </w:r>
          </w:p>
        </w:tc>
        <w:tc>
          <w:tcPr>
            <w:tcW w:w="1277" w:type="dxa"/>
            <w:shd w:val="clear" w:color="auto" w:fill="DDEBF6"/>
          </w:tcPr>
          <w:p>
            <w:pPr>
              <w:pStyle w:val="TableParagraph"/>
              <w:spacing w:line="222" w:lineRule="exact" w:before="14"/>
              <w:ind w:right="103"/>
              <w:jc w:val="right"/>
              <w:rPr>
                <w:b/>
                <w:sz w:val="20"/>
              </w:rPr>
            </w:pPr>
            <w:r>
              <w:rPr>
                <w:b/>
                <w:spacing w:val="-2"/>
                <w:sz w:val="20"/>
              </w:rPr>
              <w:t>6,333</w:t>
            </w:r>
          </w:p>
        </w:tc>
        <w:tc>
          <w:tcPr>
            <w:tcW w:w="1239" w:type="dxa"/>
          </w:tcPr>
          <w:p>
            <w:pPr>
              <w:pStyle w:val="TableParagraph"/>
              <w:spacing w:line="222" w:lineRule="exact" w:before="14"/>
              <w:ind w:right="65"/>
              <w:jc w:val="right"/>
              <w:rPr>
                <w:sz w:val="20"/>
              </w:rPr>
            </w:pPr>
            <w:r>
              <w:rPr>
                <w:spacing w:val="-2"/>
                <w:sz w:val="20"/>
              </w:rPr>
              <w:t>5,787</w:t>
            </w:r>
          </w:p>
        </w:tc>
        <w:tc>
          <w:tcPr>
            <w:tcW w:w="1514" w:type="dxa"/>
          </w:tcPr>
          <w:p>
            <w:pPr>
              <w:pStyle w:val="TableParagraph"/>
              <w:spacing w:line="222" w:lineRule="exact" w:before="14"/>
              <w:ind w:right="163"/>
              <w:jc w:val="right"/>
              <w:rPr>
                <w:sz w:val="20"/>
              </w:rPr>
            </w:pPr>
            <w:r>
              <w:rPr>
                <w:spacing w:val="-2"/>
                <w:sz w:val="20"/>
              </w:rPr>
              <w:t>7,772</w:t>
            </w:r>
          </w:p>
        </w:tc>
        <w:tc>
          <w:tcPr>
            <w:tcW w:w="1213" w:type="dxa"/>
            <w:tcBorders>
              <w:right w:val="single" w:sz="4" w:space="0" w:color="000000"/>
            </w:tcBorders>
          </w:tcPr>
          <w:p>
            <w:pPr>
              <w:pStyle w:val="TableParagraph"/>
              <w:spacing w:line="222" w:lineRule="exact" w:before="14"/>
              <w:ind w:right="97"/>
              <w:jc w:val="right"/>
              <w:rPr>
                <w:sz w:val="20"/>
              </w:rPr>
            </w:pPr>
            <w:r>
              <w:rPr>
                <w:spacing w:val="-2"/>
                <w:sz w:val="20"/>
              </w:rPr>
              <w:t>6,011</w:t>
            </w:r>
          </w:p>
        </w:tc>
      </w:tr>
      <w:tr>
        <w:trPr>
          <w:trHeight w:val="269" w:hRule="atLeast"/>
        </w:trPr>
        <w:tc>
          <w:tcPr>
            <w:tcW w:w="3243" w:type="dxa"/>
            <w:tcBorders>
              <w:left w:val="single" w:sz="4" w:space="0" w:color="000000"/>
            </w:tcBorders>
          </w:tcPr>
          <w:p>
            <w:pPr>
              <w:pStyle w:val="TableParagraph"/>
              <w:spacing w:before="5"/>
              <w:ind w:left="107"/>
              <w:rPr>
                <w:sz w:val="20"/>
              </w:rPr>
            </w:pPr>
            <w:r>
              <w:rPr>
                <w:sz w:val="20"/>
              </w:rPr>
              <w:t>Intangible</w:t>
            </w:r>
            <w:r>
              <w:rPr>
                <w:spacing w:val="-12"/>
                <w:sz w:val="20"/>
              </w:rPr>
              <w:t> </w:t>
            </w:r>
            <w:r>
              <w:rPr>
                <w:spacing w:val="-2"/>
                <w:sz w:val="20"/>
              </w:rPr>
              <w:t>assets</w:t>
            </w:r>
          </w:p>
        </w:tc>
        <w:tc>
          <w:tcPr>
            <w:tcW w:w="1147" w:type="dxa"/>
          </w:tcPr>
          <w:p>
            <w:pPr>
              <w:pStyle w:val="TableParagraph"/>
              <w:rPr>
                <w:rFonts w:ascii="Times New Roman"/>
                <w:sz w:val="18"/>
              </w:rPr>
            </w:pPr>
          </w:p>
        </w:tc>
        <w:tc>
          <w:tcPr>
            <w:tcW w:w="1277" w:type="dxa"/>
            <w:tcBorders>
              <w:bottom w:val="single" w:sz="4" w:space="0" w:color="000000"/>
            </w:tcBorders>
          </w:tcPr>
          <w:p>
            <w:pPr>
              <w:pStyle w:val="TableParagraph"/>
              <w:spacing w:line="227" w:lineRule="exact" w:before="22"/>
              <w:ind w:right="103"/>
              <w:jc w:val="right"/>
              <w:rPr>
                <w:sz w:val="20"/>
              </w:rPr>
            </w:pPr>
            <w:r>
              <w:rPr>
                <w:spacing w:val="-2"/>
                <w:sz w:val="20"/>
              </w:rPr>
              <w:t>1,054</w:t>
            </w:r>
          </w:p>
        </w:tc>
        <w:tc>
          <w:tcPr>
            <w:tcW w:w="1277" w:type="dxa"/>
            <w:tcBorders>
              <w:bottom w:val="single" w:sz="4" w:space="0" w:color="000000"/>
            </w:tcBorders>
            <w:shd w:val="clear" w:color="auto" w:fill="DDEBF6"/>
          </w:tcPr>
          <w:p>
            <w:pPr>
              <w:pStyle w:val="TableParagraph"/>
              <w:spacing w:line="227" w:lineRule="exact" w:before="22"/>
              <w:ind w:right="103"/>
              <w:jc w:val="right"/>
              <w:rPr>
                <w:b/>
                <w:sz w:val="20"/>
              </w:rPr>
            </w:pPr>
            <w:r>
              <w:rPr>
                <w:b/>
                <w:spacing w:val="-2"/>
                <w:sz w:val="20"/>
              </w:rPr>
              <w:t>1,054</w:t>
            </w:r>
          </w:p>
        </w:tc>
        <w:tc>
          <w:tcPr>
            <w:tcW w:w="1239" w:type="dxa"/>
            <w:tcBorders>
              <w:bottom w:val="single" w:sz="4" w:space="0" w:color="000000"/>
            </w:tcBorders>
          </w:tcPr>
          <w:p>
            <w:pPr>
              <w:pStyle w:val="TableParagraph"/>
              <w:spacing w:line="227" w:lineRule="exact" w:before="22"/>
              <w:ind w:right="65"/>
              <w:jc w:val="right"/>
              <w:rPr>
                <w:sz w:val="20"/>
              </w:rPr>
            </w:pPr>
            <w:r>
              <w:rPr>
                <w:spacing w:val="-2"/>
                <w:sz w:val="20"/>
              </w:rPr>
              <w:t>1,054</w:t>
            </w:r>
          </w:p>
        </w:tc>
        <w:tc>
          <w:tcPr>
            <w:tcW w:w="1514" w:type="dxa"/>
            <w:tcBorders>
              <w:bottom w:val="single" w:sz="4" w:space="0" w:color="000000"/>
            </w:tcBorders>
          </w:tcPr>
          <w:p>
            <w:pPr>
              <w:pStyle w:val="TableParagraph"/>
              <w:spacing w:line="227" w:lineRule="exact" w:before="22"/>
              <w:ind w:right="163"/>
              <w:jc w:val="right"/>
              <w:rPr>
                <w:sz w:val="20"/>
              </w:rPr>
            </w:pPr>
            <w:r>
              <w:rPr>
                <w:spacing w:val="-2"/>
                <w:sz w:val="20"/>
              </w:rPr>
              <w:t>1,054</w:t>
            </w:r>
          </w:p>
        </w:tc>
        <w:tc>
          <w:tcPr>
            <w:tcW w:w="1213" w:type="dxa"/>
            <w:tcBorders>
              <w:bottom w:val="single" w:sz="4" w:space="0" w:color="000000"/>
              <w:right w:val="single" w:sz="4" w:space="0" w:color="000000"/>
            </w:tcBorders>
          </w:tcPr>
          <w:p>
            <w:pPr>
              <w:pStyle w:val="TableParagraph"/>
              <w:spacing w:line="227" w:lineRule="exact" w:before="22"/>
              <w:ind w:right="97"/>
              <w:jc w:val="right"/>
              <w:rPr>
                <w:sz w:val="20"/>
              </w:rPr>
            </w:pPr>
            <w:r>
              <w:rPr>
                <w:spacing w:val="-2"/>
                <w:sz w:val="20"/>
              </w:rPr>
              <w:t>1,054</w:t>
            </w:r>
          </w:p>
        </w:tc>
      </w:tr>
      <w:tr>
        <w:trPr>
          <w:trHeight w:val="265" w:hRule="atLeast"/>
        </w:trPr>
        <w:tc>
          <w:tcPr>
            <w:tcW w:w="3243" w:type="dxa"/>
            <w:tcBorders>
              <w:left w:val="single" w:sz="4" w:space="0" w:color="000000"/>
            </w:tcBorders>
          </w:tcPr>
          <w:p>
            <w:pPr>
              <w:pStyle w:val="TableParagraph"/>
              <w:spacing w:line="229" w:lineRule="exact"/>
              <w:ind w:left="107"/>
              <w:rPr>
                <w:b/>
                <w:sz w:val="20"/>
              </w:rPr>
            </w:pPr>
            <w:r>
              <w:rPr>
                <w:b/>
                <w:sz w:val="20"/>
              </w:rPr>
              <w:t>Total</w:t>
            </w:r>
            <w:r>
              <w:rPr>
                <w:b/>
                <w:spacing w:val="-10"/>
                <w:sz w:val="20"/>
              </w:rPr>
              <w:t> </w:t>
            </w:r>
            <w:r>
              <w:rPr>
                <w:b/>
                <w:sz w:val="20"/>
              </w:rPr>
              <w:t>non-current</w:t>
            </w:r>
            <w:r>
              <w:rPr>
                <w:b/>
                <w:spacing w:val="-10"/>
                <w:sz w:val="20"/>
              </w:rPr>
              <w:t> </w:t>
            </w:r>
            <w:r>
              <w:rPr>
                <w:b/>
                <w:spacing w:val="-2"/>
                <w:sz w:val="20"/>
              </w:rPr>
              <w:t>assets</w:t>
            </w:r>
          </w:p>
        </w:tc>
        <w:tc>
          <w:tcPr>
            <w:tcW w:w="1147" w:type="dxa"/>
          </w:tcPr>
          <w:p>
            <w:pPr>
              <w:pStyle w:val="TableParagraph"/>
              <w:spacing w:line="227" w:lineRule="exact" w:before="18"/>
              <w:ind w:left="292" w:right="135"/>
              <w:jc w:val="center"/>
              <w:rPr>
                <w:sz w:val="20"/>
              </w:rPr>
            </w:pPr>
            <w:r>
              <w:rPr>
                <w:spacing w:val="-2"/>
                <w:sz w:val="20"/>
              </w:rPr>
              <w:t>4.2.1</w:t>
            </w:r>
          </w:p>
        </w:tc>
        <w:tc>
          <w:tcPr>
            <w:tcW w:w="1277" w:type="dxa"/>
            <w:tcBorders>
              <w:top w:val="single" w:sz="4" w:space="0" w:color="000000"/>
              <w:bottom w:val="single" w:sz="4" w:space="0" w:color="000000"/>
            </w:tcBorders>
          </w:tcPr>
          <w:p>
            <w:pPr>
              <w:pStyle w:val="TableParagraph"/>
              <w:spacing w:line="227" w:lineRule="exact" w:before="18"/>
              <w:ind w:right="102"/>
              <w:jc w:val="right"/>
              <w:rPr>
                <w:sz w:val="20"/>
              </w:rPr>
            </w:pPr>
            <w:r>
              <w:rPr>
                <w:spacing w:val="-2"/>
                <w:sz w:val="20"/>
              </w:rPr>
              <w:t>2,102,704</w:t>
            </w:r>
          </w:p>
        </w:tc>
        <w:tc>
          <w:tcPr>
            <w:tcW w:w="1277" w:type="dxa"/>
            <w:tcBorders>
              <w:top w:val="single" w:sz="4" w:space="0" w:color="000000"/>
              <w:bottom w:val="single" w:sz="4" w:space="0" w:color="000000"/>
            </w:tcBorders>
            <w:shd w:val="clear" w:color="auto" w:fill="DDEBF6"/>
          </w:tcPr>
          <w:p>
            <w:pPr>
              <w:pStyle w:val="TableParagraph"/>
              <w:spacing w:line="227" w:lineRule="exact" w:before="18"/>
              <w:ind w:right="103"/>
              <w:jc w:val="right"/>
              <w:rPr>
                <w:b/>
                <w:sz w:val="20"/>
              </w:rPr>
            </w:pPr>
            <w:r>
              <w:rPr>
                <w:b/>
                <w:spacing w:val="-2"/>
                <w:sz w:val="20"/>
              </w:rPr>
              <w:t>2,140,972</w:t>
            </w:r>
          </w:p>
        </w:tc>
        <w:tc>
          <w:tcPr>
            <w:tcW w:w="1239" w:type="dxa"/>
            <w:tcBorders>
              <w:top w:val="single" w:sz="4" w:space="0" w:color="000000"/>
              <w:bottom w:val="single" w:sz="4" w:space="0" w:color="000000"/>
            </w:tcBorders>
          </w:tcPr>
          <w:p>
            <w:pPr>
              <w:pStyle w:val="TableParagraph"/>
              <w:spacing w:line="227" w:lineRule="exact" w:before="18"/>
              <w:ind w:right="65"/>
              <w:jc w:val="right"/>
              <w:rPr>
                <w:sz w:val="20"/>
              </w:rPr>
            </w:pPr>
            <w:r>
              <w:rPr>
                <w:spacing w:val="-2"/>
                <w:sz w:val="20"/>
              </w:rPr>
              <w:t>2,144,184</w:t>
            </w:r>
          </w:p>
        </w:tc>
        <w:tc>
          <w:tcPr>
            <w:tcW w:w="1514" w:type="dxa"/>
            <w:tcBorders>
              <w:top w:val="single" w:sz="4" w:space="0" w:color="000000"/>
              <w:bottom w:val="single" w:sz="4" w:space="0" w:color="000000"/>
            </w:tcBorders>
          </w:tcPr>
          <w:p>
            <w:pPr>
              <w:pStyle w:val="TableParagraph"/>
              <w:spacing w:line="227" w:lineRule="exact" w:before="18"/>
              <w:ind w:right="163"/>
              <w:jc w:val="right"/>
              <w:rPr>
                <w:sz w:val="20"/>
              </w:rPr>
            </w:pPr>
            <w:r>
              <w:rPr>
                <w:spacing w:val="-2"/>
                <w:sz w:val="20"/>
              </w:rPr>
              <w:t>2,166,065</w:t>
            </w:r>
          </w:p>
        </w:tc>
        <w:tc>
          <w:tcPr>
            <w:tcW w:w="1213" w:type="dxa"/>
            <w:tcBorders>
              <w:top w:val="single" w:sz="4" w:space="0" w:color="000000"/>
              <w:bottom w:val="single" w:sz="4" w:space="0" w:color="000000"/>
              <w:right w:val="single" w:sz="4" w:space="0" w:color="000000"/>
            </w:tcBorders>
          </w:tcPr>
          <w:p>
            <w:pPr>
              <w:pStyle w:val="TableParagraph"/>
              <w:spacing w:line="227" w:lineRule="exact" w:before="18"/>
              <w:ind w:right="96"/>
              <w:jc w:val="right"/>
              <w:rPr>
                <w:sz w:val="20"/>
              </w:rPr>
            </w:pPr>
            <w:r>
              <w:rPr>
                <w:spacing w:val="-2"/>
                <w:sz w:val="20"/>
              </w:rPr>
              <w:t>2,195,164</w:t>
            </w:r>
          </w:p>
        </w:tc>
      </w:tr>
      <w:tr>
        <w:trPr>
          <w:trHeight w:val="266" w:hRule="atLeast"/>
        </w:trPr>
        <w:tc>
          <w:tcPr>
            <w:tcW w:w="3243" w:type="dxa"/>
            <w:tcBorders>
              <w:left w:val="single" w:sz="4" w:space="0" w:color="000000"/>
            </w:tcBorders>
          </w:tcPr>
          <w:p>
            <w:pPr>
              <w:pStyle w:val="TableParagraph"/>
              <w:spacing w:line="229" w:lineRule="exact"/>
              <w:ind w:left="107"/>
              <w:rPr>
                <w:b/>
                <w:sz w:val="20"/>
              </w:rPr>
            </w:pPr>
            <w:r>
              <w:rPr>
                <w:b/>
                <w:sz w:val="20"/>
              </w:rPr>
              <w:t>Total</w:t>
            </w:r>
            <w:r>
              <w:rPr>
                <w:b/>
                <w:spacing w:val="-6"/>
                <w:sz w:val="20"/>
              </w:rPr>
              <w:t> </w:t>
            </w:r>
            <w:r>
              <w:rPr>
                <w:b/>
                <w:spacing w:val="-2"/>
                <w:sz w:val="20"/>
              </w:rPr>
              <w:t>assets</w:t>
            </w:r>
          </w:p>
        </w:tc>
        <w:tc>
          <w:tcPr>
            <w:tcW w:w="1147" w:type="dxa"/>
          </w:tcPr>
          <w:p>
            <w:pPr>
              <w:pStyle w:val="TableParagraph"/>
              <w:rPr>
                <w:rFonts w:ascii="Times New Roman"/>
                <w:sz w:val="18"/>
              </w:rPr>
            </w:pPr>
          </w:p>
        </w:tc>
        <w:tc>
          <w:tcPr>
            <w:tcW w:w="1277" w:type="dxa"/>
            <w:tcBorders>
              <w:top w:val="single" w:sz="4" w:space="0" w:color="000000"/>
              <w:bottom w:val="single" w:sz="4" w:space="0" w:color="000000"/>
            </w:tcBorders>
          </w:tcPr>
          <w:p>
            <w:pPr>
              <w:pStyle w:val="TableParagraph"/>
              <w:spacing w:before="16"/>
              <w:ind w:right="102"/>
              <w:jc w:val="right"/>
              <w:rPr>
                <w:sz w:val="20"/>
              </w:rPr>
            </w:pPr>
            <w:r>
              <w:rPr>
                <w:spacing w:val="-2"/>
                <w:sz w:val="20"/>
              </w:rPr>
              <w:t>2,178,625</w:t>
            </w:r>
          </w:p>
        </w:tc>
        <w:tc>
          <w:tcPr>
            <w:tcW w:w="1277" w:type="dxa"/>
            <w:tcBorders>
              <w:top w:val="single" w:sz="4" w:space="0" w:color="000000"/>
              <w:bottom w:val="single" w:sz="4" w:space="0" w:color="000000"/>
            </w:tcBorders>
            <w:shd w:val="clear" w:color="auto" w:fill="DDEBF6"/>
          </w:tcPr>
          <w:p>
            <w:pPr>
              <w:pStyle w:val="TableParagraph"/>
              <w:spacing w:before="16"/>
              <w:ind w:right="103"/>
              <w:jc w:val="right"/>
              <w:rPr>
                <w:b/>
                <w:sz w:val="20"/>
              </w:rPr>
            </w:pPr>
            <w:r>
              <w:rPr>
                <w:b/>
                <w:spacing w:val="-2"/>
                <w:sz w:val="20"/>
              </w:rPr>
              <w:t>2,195,765</w:t>
            </w:r>
          </w:p>
        </w:tc>
        <w:tc>
          <w:tcPr>
            <w:tcW w:w="1239" w:type="dxa"/>
            <w:tcBorders>
              <w:top w:val="single" w:sz="4" w:space="0" w:color="000000"/>
              <w:bottom w:val="single" w:sz="4" w:space="0" w:color="000000"/>
            </w:tcBorders>
          </w:tcPr>
          <w:p>
            <w:pPr>
              <w:pStyle w:val="TableParagraph"/>
              <w:spacing w:before="16"/>
              <w:ind w:right="65"/>
              <w:jc w:val="right"/>
              <w:rPr>
                <w:sz w:val="20"/>
              </w:rPr>
            </w:pPr>
            <w:r>
              <w:rPr>
                <w:spacing w:val="-2"/>
                <w:sz w:val="20"/>
              </w:rPr>
              <w:t>2,217,008</w:t>
            </w:r>
          </w:p>
        </w:tc>
        <w:tc>
          <w:tcPr>
            <w:tcW w:w="1514" w:type="dxa"/>
            <w:tcBorders>
              <w:top w:val="single" w:sz="4" w:space="0" w:color="000000"/>
              <w:bottom w:val="single" w:sz="4" w:space="0" w:color="000000"/>
            </w:tcBorders>
          </w:tcPr>
          <w:p>
            <w:pPr>
              <w:pStyle w:val="TableParagraph"/>
              <w:spacing w:before="16"/>
              <w:ind w:right="163"/>
              <w:jc w:val="right"/>
              <w:rPr>
                <w:sz w:val="20"/>
              </w:rPr>
            </w:pPr>
            <w:r>
              <w:rPr>
                <w:spacing w:val="-2"/>
                <w:sz w:val="20"/>
              </w:rPr>
              <w:t>2,232,068</w:t>
            </w:r>
          </w:p>
        </w:tc>
        <w:tc>
          <w:tcPr>
            <w:tcW w:w="1213" w:type="dxa"/>
            <w:tcBorders>
              <w:top w:val="single" w:sz="4" w:space="0" w:color="000000"/>
              <w:bottom w:val="single" w:sz="4" w:space="0" w:color="000000"/>
              <w:right w:val="single" w:sz="4" w:space="0" w:color="000000"/>
            </w:tcBorders>
          </w:tcPr>
          <w:p>
            <w:pPr>
              <w:pStyle w:val="TableParagraph"/>
              <w:spacing w:before="16"/>
              <w:ind w:right="96"/>
              <w:jc w:val="right"/>
              <w:rPr>
                <w:sz w:val="20"/>
              </w:rPr>
            </w:pPr>
            <w:r>
              <w:rPr>
                <w:spacing w:val="-2"/>
                <w:sz w:val="20"/>
              </w:rPr>
              <w:t>2,257,699</w:t>
            </w:r>
          </w:p>
        </w:tc>
      </w:tr>
      <w:tr>
        <w:trPr>
          <w:trHeight w:val="513" w:hRule="atLeast"/>
        </w:trPr>
        <w:tc>
          <w:tcPr>
            <w:tcW w:w="3243" w:type="dxa"/>
            <w:tcBorders>
              <w:left w:val="single" w:sz="4" w:space="0" w:color="000000"/>
            </w:tcBorders>
          </w:tcPr>
          <w:p>
            <w:pPr>
              <w:pStyle w:val="TableParagraph"/>
              <w:spacing w:before="10"/>
              <w:rPr>
                <w:i/>
                <w:sz w:val="22"/>
              </w:rPr>
            </w:pPr>
          </w:p>
          <w:p>
            <w:pPr>
              <w:pStyle w:val="TableParagraph"/>
              <w:ind w:left="107"/>
              <w:rPr>
                <w:b/>
                <w:sz w:val="20"/>
              </w:rPr>
            </w:pPr>
            <w:r>
              <w:rPr>
                <w:b/>
                <w:spacing w:val="-2"/>
                <w:sz w:val="20"/>
              </w:rPr>
              <w:t>Liabilities</w:t>
            </w:r>
          </w:p>
        </w:tc>
        <w:tc>
          <w:tcPr>
            <w:tcW w:w="1147" w:type="dxa"/>
          </w:tcPr>
          <w:p>
            <w:pPr>
              <w:pStyle w:val="TableParagraph"/>
              <w:rPr>
                <w:rFonts w:ascii="Times New Roman"/>
                <w:sz w:val="18"/>
              </w:rPr>
            </w:pPr>
          </w:p>
        </w:tc>
        <w:tc>
          <w:tcPr>
            <w:tcW w:w="1277" w:type="dxa"/>
            <w:tcBorders>
              <w:top w:val="single" w:sz="4" w:space="0" w:color="000000"/>
            </w:tcBorders>
          </w:tcPr>
          <w:p>
            <w:pPr>
              <w:pStyle w:val="TableParagraph"/>
              <w:rPr>
                <w:rFonts w:ascii="Times New Roman"/>
                <w:sz w:val="18"/>
              </w:rPr>
            </w:pPr>
          </w:p>
        </w:tc>
        <w:tc>
          <w:tcPr>
            <w:tcW w:w="1277" w:type="dxa"/>
            <w:tcBorders>
              <w:top w:val="single" w:sz="4" w:space="0" w:color="000000"/>
            </w:tcBorders>
            <w:shd w:val="clear" w:color="auto" w:fill="DDEBF6"/>
          </w:tcPr>
          <w:p>
            <w:pPr>
              <w:pStyle w:val="TableParagraph"/>
              <w:rPr>
                <w:rFonts w:ascii="Times New Roman"/>
                <w:sz w:val="18"/>
              </w:rPr>
            </w:pPr>
          </w:p>
        </w:tc>
        <w:tc>
          <w:tcPr>
            <w:tcW w:w="1239" w:type="dxa"/>
            <w:tcBorders>
              <w:top w:val="single" w:sz="4" w:space="0" w:color="000000"/>
            </w:tcBorders>
          </w:tcPr>
          <w:p>
            <w:pPr>
              <w:pStyle w:val="TableParagraph"/>
              <w:rPr>
                <w:rFonts w:ascii="Times New Roman"/>
                <w:sz w:val="18"/>
              </w:rPr>
            </w:pPr>
          </w:p>
        </w:tc>
        <w:tc>
          <w:tcPr>
            <w:tcW w:w="1514" w:type="dxa"/>
            <w:tcBorders>
              <w:top w:val="single" w:sz="4" w:space="0" w:color="000000"/>
            </w:tcBorders>
          </w:tcPr>
          <w:p>
            <w:pPr>
              <w:pStyle w:val="TableParagraph"/>
              <w:rPr>
                <w:rFonts w:ascii="Times New Roman"/>
                <w:sz w:val="18"/>
              </w:rPr>
            </w:pPr>
          </w:p>
        </w:tc>
        <w:tc>
          <w:tcPr>
            <w:tcW w:w="1213" w:type="dxa"/>
            <w:tcBorders>
              <w:top w:val="single" w:sz="4" w:space="0" w:color="000000"/>
              <w:right w:val="single" w:sz="4" w:space="0" w:color="000000"/>
            </w:tcBorders>
          </w:tcPr>
          <w:p>
            <w:pPr>
              <w:pStyle w:val="TableParagraph"/>
              <w:rPr>
                <w:rFonts w:ascii="Times New Roman"/>
                <w:sz w:val="18"/>
              </w:rPr>
            </w:pPr>
          </w:p>
        </w:tc>
      </w:tr>
      <w:tr>
        <w:trPr>
          <w:trHeight w:val="265" w:hRule="atLeast"/>
        </w:trPr>
        <w:tc>
          <w:tcPr>
            <w:tcW w:w="3243" w:type="dxa"/>
            <w:tcBorders>
              <w:left w:val="single" w:sz="4" w:space="0" w:color="000000"/>
            </w:tcBorders>
          </w:tcPr>
          <w:p>
            <w:pPr>
              <w:pStyle w:val="TableParagraph"/>
              <w:spacing w:before="13"/>
              <w:ind w:left="107"/>
              <w:rPr>
                <w:b/>
                <w:sz w:val="20"/>
              </w:rPr>
            </w:pPr>
            <w:r>
              <w:rPr>
                <w:b/>
                <w:sz w:val="20"/>
              </w:rPr>
              <w:t>Current</w:t>
            </w:r>
            <w:r>
              <w:rPr>
                <w:b/>
                <w:spacing w:val="-11"/>
                <w:sz w:val="20"/>
              </w:rPr>
              <w:t> </w:t>
            </w:r>
            <w:r>
              <w:rPr>
                <w:b/>
                <w:spacing w:val="-2"/>
                <w:sz w:val="20"/>
              </w:rPr>
              <w:t>liabilities</w:t>
            </w:r>
          </w:p>
        </w:tc>
        <w:tc>
          <w:tcPr>
            <w:tcW w:w="1147" w:type="dxa"/>
          </w:tcPr>
          <w:p>
            <w:pPr>
              <w:pStyle w:val="TableParagraph"/>
              <w:rPr>
                <w:rFonts w:ascii="Times New Roman"/>
                <w:sz w:val="18"/>
              </w:rPr>
            </w:pPr>
          </w:p>
        </w:tc>
        <w:tc>
          <w:tcPr>
            <w:tcW w:w="1277" w:type="dxa"/>
          </w:tcPr>
          <w:p>
            <w:pPr>
              <w:pStyle w:val="TableParagraph"/>
              <w:rPr>
                <w:rFonts w:ascii="Times New Roman"/>
                <w:sz w:val="18"/>
              </w:rPr>
            </w:pPr>
          </w:p>
        </w:tc>
        <w:tc>
          <w:tcPr>
            <w:tcW w:w="1277" w:type="dxa"/>
            <w:shd w:val="clear" w:color="auto" w:fill="DDEBF6"/>
          </w:tcPr>
          <w:p>
            <w:pPr>
              <w:pStyle w:val="TableParagraph"/>
              <w:rPr>
                <w:rFonts w:ascii="Times New Roman"/>
                <w:sz w:val="18"/>
              </w:rPr>
            </w:pPr>
          </w:p>
        </w:tc>
        <w:tc>
          <w:tcPr>
            <w:tcW w:w="1239" w:type="dxa"/>
          </w:tcPr>
          <w:p>
            <w:pPr>
              <w:pStyle w:val="TableParagraph"/>
              <w:rPr>
                <w:rFonts w:ascii="Times New Roman"/>
                <w:sz w:val="18"/>
              </w:rPr>
            </w:pPr>
          </w:p>
        </w:tc>
        <w:tc>
          <w:tcPr>
            <w:tcW w:w="1514" w:type="dxa"/>
          </w:tcPr>
          <w:p>
            <w:pPr>
              <w:pStyle w:val="TableParagraph"/>
              <w:rPr>
                <w:rFonts w:ascii="Times New Roman"/>
                <w:sz w:val="18"/>
              </w:rPr>
            </w:pPr>
          </w:p>
        </w:tc>
        <w:tc>
          <w:tcPr>
            <w:tcW w:w="1213" w:type="dxa"/>
            <w:tcBorders>
              <w:right w:val="single" w:sz="4" w:space="0" w:color="000000"/>
            </w:tcBorders>
          </w:tcPr>
          <w:p>
            <w:pPr>
              <w:pStyle w:val="TableParagraph"/>
              <w:rPr>
                <w:rFonts w:ascii="Times New Roman"/>
                <w:sz w:val="18"/>
              </w:rPr>
            </w:pPr>
          </w:p>
        </w:tc>
      </w:tr>
      <w:tr>
        <w:trPr>
          <w:trHeight w:val="273" w:hRule="atLeast"/>
        </w:trPr>
        <w:tc>
          <w:tcPr>
            <w:tcW w:w="3243" w:type="dxa"/>
            <w:tcBorders>
              <w:left w:val="single" w:sz="4" w:space="0" w:color="000000"/>
            </w:tcBorders>
          </w:tcPr>
          <w:p>
            <w:pPr>
              <w:pStyle w:val="TableParagraph"/>
              <w:spacing w:before="14"/>
              <w:ind w:left="107"/>
              <w:rPr>
                <w:sz w:val="20"/>
              </w:rPr>
            </w:pPr>
            <w:r>
              <w:rPr>
                <w:sz w:val="20"/>
              </w:rPr>
              <w:t>Trade</w:t>
            </w:r>
            <w:r>
              <w:rPr>
                <w:spacing w:val="-7"/>
                <w:sz w:val="20"/>
              </w:rPr>
              <w:t> </w:t>
            </w:r>
            <w:r>
              <w:rPr>
                <w:sz w:val="20"/>
              </w:rPr>
              <w:t>and</w:t>
            </w:r>
            <w:r>
              <w:rPr>
                <w:spacing w:val="-6"/>
                <w:sz w:val="20"/>
              </w:rPr>
              <w:t> </w:t>
            </w:r>
            <w:r>
              <w:rPr>
                <w:sz w:val="20"/>
              </w:rPr>
              <w:t>other</w:t>
            </w:r>
            <w:r>
              <w:rPr>
                <w:spacing w:val="-3"/>
                <w:sz w:val="20"/>
              </w:rPr>
              <w:t> </w:t>
            </w:r>
            <w:r>
              <w:rPr>
                <w:spacing w:val="-2"/>
                <w:sz w:val="20"/>
              </w:rPr>
              <w:t>payables</w:t>
            </w:r>
          </w:p>
        </w:tc>
        <w:tc>
          <w:tcPr>
            <w:tcW w:w="1147" w:type="dxa"/>
          </w:tcPr>
          <w:p>
            <w:pPr>
              <w:pStyle w:val="TableParagraph"/>
              <w:rPr>
                <w:rFonts w:ascii="Times New Roman"/>
                <w:sz w:val="18"/>
              </w:rPr>
            </w:pPr>
          </w:p>
        </w:tc>
        <w:tc>
          <w:tcPr>
            <w:tcW w:w="1277" w:type="dxa"/>
          </w:tcPr>
          <w:p>
            <w:pPr>
              <w:pStyle w:val="TableParagraph"/>
              <w:spacing w:line="222" w:lineRule="exact" w:before="31"/>
              <w:ind w:right="103"/>
              <w:jc w:val="right"/>
              <w:rPr>
                <w:sz w:val="20"/>
              </w:rPr>
            </w:pPr>
            <w:r>
              <w:rPr>
                <w:spacing w:val="-2"/>
                <w:sz w:val="20"/>
              </w:rPr>
              <w:t>9,990</w:t>
            </w:r>
          </w:p>
        </w:tc>
        <w:tc>
          <w:tcPr>
            <w:tcW w:w="1277" w:type="dxa"/>
            <w:shd w:val="clear" w:color="auto" w:fill="DDEBF6"/>
          </w:tcPr>
          <w:p>
            <w:pPr>
              <w:pStyle w:val="TableParagraph"/>
              <w:spacing w:line="222" w:lineRule="exact" w:before="31"/>
              <w:ind w:right="104"/>
              <w:jc w:val="right"/>
              <w:rPr>
                <w:b/>
                <w:sz w:val="20"/>
              </w:rPr>
            </w:pPr>
            <w:r>
              <w:rPr>
                <w:b/>
                <w:spacing w:val="-2"/>
                <w:sz w:val="20"/>
              </w:rPr>
              <w:t>13,036</w:t>
            </w:r>
          </w:p>
        </w:tc>
        <w:tc>
          <w:tcPr>
            <w:tcW w:w="1239" w:type="dxa"/>
          </w:tcPr>
          <w:p>
            <w:pPr>
              <w:pStyle w:val="TableParagraph"/>
              <w:spacing w:line="222" w:lineRule="exact" w:before="31"/>
              <w:ind w:right="66"/>
              <w:jc w:val="right"/>
              <w:rPr>
                <w:sz w:val="20"/>
              </w:rPr>
            </w:pPr>
            <w:r>
              <w:rPr>
                <w:spacing w:val="-2"/>
                <w:sz w:val="20"/>
              </w:rPr>
              <w:t>10,710</w:t>
            </w:r>
          </w:p>
        </w:tc>
        <w:tc>
          <w:tcPr>
            <w:tcW w:w="1514" w:type="dxa"/>
          </w:tcPr>
          <w:p>
            <w:pPr>
              <w:pStyle w:val="TableParagraph"/>
              <w:spacing w:line="222" w:lineRule="exact" w:before="31"/>
              <w:ind w:right="164"/>
              <w:jc w:val="right"/>
              <w:rPr>
                <w:sz w:val="20"/>
              </w:rPr>
            </w:pPr>
            <w:r>
              <w:rPr>
                <w:spacing w:val="-2"/>
                <w:sz w:val="20"/>
              </w:rPr>
              <w:t>11,845</w:t>
            </w:r>
          </w:p>
        </w:tc>
        <w:tc>
          <w:tcPr>
            <w:tcW w:w="1213" w:type="dxa"/>
            <w:tcBorders>
              <w:right w:val="single" w:sz="4" w:space="0" w:color="000000"/>
            </w:tcBorders>
          </w:tcPr>
          <w:p>
            <w:pPr>
              <w:pStyle w:val="TableParagraph"/>
              <w:spacing w:line="222" w:lineRule="exact" w:before="31"/>
              <w:ind w:right="98"/>
              <w:jc w:val="right"/>
              <w:rPr>
                <w:sz w:val="20"/>
              </w:rPr>
            </w:pPr>
            <w:r>
              <w:rPr>
                <w:spacing w:val="-2"/>
                <w:sz w:val="20"/>
              </w:rPr>
              <w:t>13,584</w:t>
            </w:r>
          </w:p>
        </w:tc>
      </w:tr>
      <w:tr>
        <w:trPr>
          <w:trHeight w:val="266" w:hRule="atLeast"/>
        </w:trPr>
        <w:tc>
          <w:tcPr>
            <w:tcW w:w="3243" w:type="dxa"/>
            <w:tcBorders>
              <w:left w:val="single" w:sz="4" w:space="0" w:color="000000"/>
            </w:tcBorders>
          </w:tcPr>
          <w:p>
            <w:pPr>
              <w:pStyle w:val="TableParagraph"/>
              <w:spacing w:before="5"/>
              <w:ind w:left="107"/>
              <w:rPr>
                <w:sz w:val="20"/>
              </w:rPr>
            </w:pPr>
            <w:r>
              <w:rPr>
                <w:sz w:val="20"/>
              </w:rPr>
              <w:t>Trust</w:t>
            </w:r>
            <w:r>
              <w:rPr>
                <w:spacing w:val="-6"/>
                <w:sz w:val="20"/>
              </w:rPr>
              <w:t> </w:t>
            </w:r>
            <w:r>
              <w:rPr>
                <w:sz w:val="20"/>
              </w:rPr>
              <w:t>funds</w:t>
            </w:r>
            <w:r>
              <w:rPr>
                <w:spacing w:val="-4"/>
                <w:sz w:val="20"/>
              </w:rPr>
              <w:t> </w:t>
            </w:r>
            <w:r>
              <w:rPr>
                <w:sz w:val="20"/>
              </w:rPr>
              <w:t>and</w:t>
            </w:r>
            <w:r>
              <w:rPr>
                <w:spacing w:val="-2"/>
                <w:sz w:val="20"/>
              </w:rPr>
              <w:t> deposits</w:t>
            </w:r>
          </w:p>
        </w:tc>
        <w:tc>
          <w:tcPr>
            <w:tcW w:w="1147" w:type="dxa"/>
          </w:tcPr>
          <w:p>
            <w:pPr>
              <w:pStyle w:val="TableParagraph"/>
              <w:rPr>
                <w:rFonts w:ascii="Times New Roman"/>
                <w:sz w:val="18"/>
              </w:rPr>
            </w:pPr>
          </w:p>
        </w:tc>
        <w:tc>
          <w:tcPr>
            <w:tcW w:w="1277" w:type="dxa"/>
          </w:tcPr>
          <w:p>
            <w:pPr>
              <w:pStyle w:val="TableParagraph"/>
              <w:spacing w:line="222" w:lineRule="exact" w:before="24"/>
              <w:ind w:right="103"/>
              <w:jc w:val="right"/>
              <w:rPr>
                <w:sz w:val="20"/>
              </w:rPr>
            </w:pPr>
            <w:r>
              <w:rPr>
                <w:spacing w:val="-2"/>
                <w:sz w:val="20"/>
              </w:rPr>
              <w:t>6,065</w:t>
            </w:r>
          </w:p>
        </w:tc>
        <w:tc>
          <w:tcPr>
            <w:tcW w:w="1277" w:type="dxa"/>
            <w:shd w:val="clear" w:color="auto" w:fill="DDEBF6"/>
          </w:tcPr>
          <w:p>
            <w:pPr>
              <w:pStyle w:val="TableParagraph"/>
              <w:spacing w:line="222" w:lineRule="exact" w:before="24"/>
              <w:ind w:right="103"/>
              <w:jc w:val="right"/>
              <w:rPr>
                <w:b/>
                <w:sz w:val="20"/>
              </w:rPr>
            </w:pPr>
            <w:r>
              <w:rPr>
                <w:b/>
                <w:spacing w:val="-2"/>
                <w:sz w:val="20"/>
              </w:rPr>
              <w:t>6,065</w:t>
            </w:r>
          </w:p>
        </w:tc>
        <w:tc>
          <w:tcPr>
            <w:tcW w:w="1239" w:type="dxa"/>
          </w:tcPr>
          <w:p>
            <w:pPr>
              <w:pStyle w:val="TableParagraph"/>
              <w:spacing w:line="222" w:lineRule="exact" w:before="24"/>
              <w:ind w:right="65"/>
              <w:jc w:val="right"/>
              <w:rPr>
                <w:sz w:val="20"/>
              </w:rPr>
            </w:pPr>
            <w:r>
              <w:rPr>
                <w:spacing w:val="-2"/>
                <w:sz w:val="20"/>
              </w:rPr>
              <w:t>6,065</w:t>
            </w:r>
          </w:p>
        </w:tc>
        <w:tc>
          <w:tcPr>
            <w:tcW w:w="1514" w:type="dxa"/>
          </w:tcPr>
          <w:p>
            <w:pPr>
              <w:pStyle w:val="TableParagraph"/>
              <w:spacing w:line="222" w:lineRule="exact" w:before="24"/>
              <w:ind w:right="163"/>
              <w:jc w:val="right"/>
              <w:rPr>
                <w:sz w:val="20"/>
              </w:rPr>
            </w:pPr>
            <w:r>
              <w:rPr>
                <w:spacing w:val="-2"/>
                <w:sz w:val="20"/>
              </w:rPr>
              <w:t>6,065</w:t>
            </w:r>
          </w:p>
        </w:tc>
        <w:tc>
          <w:tcPr>
            <w:tcW w:w="1213" w:type="dxa"/>
            <w:tcBorders>
              <w:right w:val="single" w:sz="4" w:space="0" w:color="000000"/>
            </w:tcBorders>
          </w:tcPr>
          <w:p>
            <w:pPr>
              <w:pStyle w:val="TableParagraph"/>
              <w:spacing w:line="222" w:lineRule="exact" w:before="24"/>
              <w:ind w:right="97"/>
              <w:jc w:val="right"/>
              <w:rPr>
                <w:sz w:val="20"/>
              </w:rPr>
            </w:pPr>
            <w:r>
              <w:rPr>
                <w:spacing w:val="-2"/>
                <w:sz w:val="20"/>
              </w:rPr>
              <w:t>6,065</w:t>
            </w:r>
          </w:p>
        </w:tc>
      </w:tr>
      <w:tr>
        <w:trPr>
          <w:trHeight w:val="263" w:hRule="atLeast"/>
        </w:trPr>
        <w:tc>
          <w:tcPr>
            <w:tcW w:w="3243" w:type="dxa"/>
            <w:tcBorders>
              <w:left w:val="single" w:sz="4" w:space="0" w:color="000000"/>
            </w:tcBorders>
          </w:tcPr>
          <w:p>
            <w:pPr>
              <w:pStyle w:val="TableParagraph"/>
              <w:spacing w:before="5"/>
              <w:ind w:left="107"/>
              <w:rPr>
                <w:sz w:val="20"/>
              </w:rPr>
            </w:pPr>
            <w:r>
              <w:rPr>
                <w:sz w:val="20"/>
              </w:rPr>
              <w:t>Contract</w:t>
            </w:r>
            <w:r>
              <w:rPr>
                <w:spacing w:val="-7"/>
                <w:sz w:val="20"/>
              </w:rPr>
              <w:t> </w:t>
            </w:r>
            <w:r>
              <w:rPr>
                <w:sz w:val="20"/>
              </w:rPr>
              <w:t>and</w:t>
            </w:r>
            <w:r>
              <w:rPr>
                <w:spacing w:val="-3"/>
                <w:sz w:val="20"/>
              </w:rPr>
              <w:t> </w:t>
            </w:r>
            <w:r>
              <w:rPr>
                <w:sz w:val="20"/>
              </w:rPr>
              <w:t>other</w:t>
            </w:r>
            <w:r>
              <w:rPr>
                <w:spacing w:val="-5"/>
                <w:sz w:val="20"/>
              </w:rPr>
              <w:t> </w:t>
            </w:r>
            <w:r>
              <w:rPr>
                <w:spacing w:val="-2"/>
                <w:sz w:val="20"/>
              </w:rPr>
              <w:t>liabilities</w:t>
            </w:r>
          </w:p>
        </w:tc>
        <w:tc>
          <w:tcPr>
            <w:tcW w:w="1147" w:type="dxa"/>
          </w:tcPr>
          <w:p>
            <w:pPr>
              <w:pStyle w:val="TableParagraph"/>
              <w:rPr>
                <w:rFonts w:ascii="Times New Roman"/>
                <w:sz w:val="18"/>
              </w:rPr>
            </w:pPr>
          </w:p>
        </w:tc>
        <w:tc>
          <w:tcPr>
            <w:tcW w:w="1277" w:type="dxa"/>
          </w:tcPr>
          <w:p>
            <w:pPr>
              <w:pStyle w:val="TableParagraph"/>
              <w:spacing w:line="222" w:lineRule="exact" w:before="22"/>
              <w:ind w:right="102"/>
              <w:jc w:val="right"/>
              <w:rPr>
                <w:sz w:val="20"/>
              </w:rPr>
            </w:pPr>
            <w:r>
              <w:rPr>
                <w:w w:val="99"/>
                <w:sz w:val="20"/>
              </w:rPr>
              <w:t>-</w:t>
            </w:r>
          </w:p>
        </w:tc>
        <w:tc>
          <w:tcPr>
            <w:tcW w:w="1277" w:type="dxa"/>
            <w:shd w:val="clear" w:color="auto" w:fill="DDEBF6"/>
          </w:tcPr>
          <w:p>
            <w:pPr>
              <w:pStyle w:val="TableParagraph"/>
              <w:spacing w:line="222" w:lineRule="exact" w:before="22"/>
              <w:ind w:right="102"/>
              <w:jc w:val="right"/>
              <w:rPr>
                <w:b/>
                <w:sz w:val="20"/>
              </w:rPr>
            </w:pPr>
            <w:r>
              <w:rPr>
                <w:b/>
                <w:w w:val="99"/>
                <w:sz w:val="20"/>
              </w:rPr>
              <w:t>-</w:t>
            </w:r>
          </w:p>
        </w:tc>
        <w:tc>
          <w:tcPr>
            <w:tcW w:w="1239" w:type="dxa"/>
          </w:tcPr>
          <w:p>
            <w:pPr>
              <w:pStyle w:val="TableParagraph"/>
              <w:spacing w:line="222" w:lineRule="exact" w:before="22"/>
              <w:ind w:right="65"/>
              <w:jc w:val="right"/>
              <w:rPr>
                <w:sz w:val="20"/>
              </w:rPr>
            </w:pPr>
            <w:r>
              <w:rPr>
                <w:w w:val="99"/>
                <w:sz w:val="20"/>
              </w:rPr>
              <w:t>-</w:t>
            </w:r>
          </w:p>
        </w:tc>
        <w:tc>
          <w:tcPr>
            <w:tcW w:w="1514" w:type="dxa"/>
          </w:tcPr>
          <w:p>
            <w:pPr>
              <w:pStyle w:val="TableParagraph"/>
              <w:spacing w:line="222" w:lineRule="exact" w:before="22"/>
              <w:ind w:right="163"/>
              <w:jc w:val="right"/>
              <w:rPr>
                <w:sz w:val="20"/>
              </w:rPr>
            </w:pPr>
            <w:r>
              <w:rPr>
                <w:w w:val="99"/>
                <w:sz w:val="20"/>
              </w:rPr>
              <w:t>-</w:t>
            </w:r>
          </w:p>
        </w:tc>
        <w:tc>
          <w:tcPr>
            <w:tcW w:w="1213" w:type="dxa"/>
            <w:tcBorders>
              <w:right w:val="single" w:sz="4" w:space="0" w:color="000000"/>
            </w:tcBorders>
          </w:tcPr>
          <w:p>
            <w:pPr>
              <w:pStyle w:val="TableParagraph"/>
              <w:spacing w:line="222" w:lineRule="exact" w:before="22"/>
              <w:ind w:right="96"/>
              <w:jc w:val="right"/>
              <w:rPr>
                <w:sz w:val="20"/>
              </w:rPr>
            </w:pPr>
            <w:r>
              <w:rPr>
                <w:w w:val="99"/>
                <w:sz w:val="20"/>
              </w:rPr>
              <w:t>-</w:t>
            </w:r>
          </w:p>
        </w:tc>
      </w:tr>
      <w:tr>
        <w:trPr>
          <w:trHeight w:val="265" w:hRule="atLeast"/>
        </w:trPr>
        <w:tc>
          <w:tcPr>
            <w:tcW w:w="3243" w:type="dxa"/>
            <w:tcBorders>
              <w:left w:val="single" w:sz="4" w:space="0" w:color="000000"/>
            </w:tcBorders>
          </w:tcPr>
          <w:p>
            <w:pPr>
              <w:pStyle w:val="TableParagraph"/>
              <w:spacing w:before="5"/>
              <w:ind w:left="107"/>
              <w:rPr>
                <w:sz w:val="20"/>
              </w:rPr>
            </w:pPr>
            <w:r>
              <w:rPr>
                <w:spacing w:val="-2"/>
                <w:sz w:val="20"/>
              </w:rPr>
              <w:t>Provisions</w:t>
            </w:r>
          </w:p>
        </w:tc>
        <w:tc>
          <w:tcPr>
            <w:tcW w:w="1147" w:type="dxa"/>
          </w:tcPr>
          <w:p>
            <w:pPr>
              <w:pStyle w:val="TableParagraph"/>
              <w:rPr>
                <w:rFonts w:ascii="Times New Roman"/>
                <w:sz w:val="18"/>
              </w:rPr>
            </w:pPr>
          </w:p>
        </w:tc>
        <w:tc>
          <w:tcPr>
            <w:tcW w:w="1277" w:type="dxa"/>
          </w:tcPr>
          <w:p>
            <w:pPr>
              <w:pStyle w:val="TableParagraph"/>
              <w:spacing w:line="223" w:lineRule="exact" w:before="22"/>
              <w:ind w:right="104"/>
              <w:jc w:val="right"/>
              <w:rPr>
                <w:sz w:val="20"/>
              </w:rPr>
            </w:pPr>
            <w:r>
              <w:rPr>
                <w:spacing w:val="-2"/>
                <w:sz w:val="20"/>
              </w:rPr>
              <w:t>15,261</w:t>
            </w:r>
          </w:p>
        </w:tc>
        <w:tc>
          <w:tcPr>
            <w:tcW w:w="1277" w:type="dxa"/>
            <w:shd w:val="clear" w:color="auto" w:fill="DDEBF6"/>
          </w:tcPr>
          <w:p>
            <w:pPr>
              <w:pStyle w:val="TableParagraph"/>
              <w:spacing w:line="223" w:lineRule="exact" w:before="22"/>
              <w:ind w:right="104"/>
              <w:jc w:val="right"/>
              <w:rPr>
                <w:b/>
                <w:sz w:val="20"/>
              </w:rPr>
            </w:pPr>
            <w:r>
              <w:rPr>
                <w:b/>
                <w:spacing w:val="-2"/>
                <w:sz w:val="20"/>
              </w:rPr>
              <w:t>15,682</w:t>
            </w:r>
          </w:p>
        </w:tc>
        <w:tc>
          <w:tcPr>
            <w:tcW w:w="1239" w:type="dxa"/>
          </w:tcPr>
          <w:p>
            <w:pPr>
              <w:pStyle w:val="TableParagraph"/>
              <w:spacing w:line="223" w:lineRule="exact" w:before="22"/>
              <w:ind w:right="66"/>
              <w:jc w:val="right"/>
              <w:rPr>
                <w:sz w:val="20"/>
              </w:rPr>
            </w:pPr>
            <w:r>
              <w:rPr>
                <w:spacing w:val="-2"/>
                <w:sz w:val="20"/>
              </w:rPr>
              <w:t>16,050</w:t>
            </w:r>
          </w:p>
        </w:tc>
        <w:tc>
          <w:tcPr>
            <w:tcW w:w="1514" w:type="dxa"/>
          </w:tcPr>
          <w:p>
            <w:pPr>
              <w:pStyle w:val="TableParagraph"/>
              <w:spacing w:line="223" w:lineRule="exact" w:before="22"/>
              <w:ind w:right="164"/>
              <w:jc w:val="right"/>
              <w:rPr>
                <w:sz w:val="20"/>
              </w:rPr>
            </w:pPr>
            <w:r>
              <w:rPr>
                <w:spacing w:val="-2"/>
                <w:sz w:val="20"/>
              </w:rPr>
              <w:t>16,425</w:t>
            </w:r>
          </w:p>
        </w:tc>
        <w:tc>
          <w:tcPr>
            <w:tcW w:w="1213" w:type="dxa"/>
            <w:tcBorders>
              <w:right w:val="single" w:sz="4" w:space="0" w:color="000000"/>
            </w:tcBorders>
          </w:tcPr>
          <w:p>
            <w:pPr>
              <w:pStyle w:val="TableParagraph"/>
              <w:spacing w:line="223" w:lineRule="exact" w:before="22"/>
              <w:ind w:right="98"/>
              <w:jc w:val="right"/>
              <w:rPr>
                <w:sz w:val="20"/>
              </w:rPr>
            </w:pPr>
            <w:r>
              <w:rPr>
                <w:spacing w:val="-2"/>
                <w:sz w:val="20"/>
              </w:rPr>
              <w:t>16,810</w:t>
            </w:r>
          </w:p>
        </w:tc>
      </w:tr>
      <w:tr>
        <w:trPr>
          <w:trHeight w:val="265" w:hRule="atLeast"/>
        </w:trPr>
        <w:tc>
          <w:tcPr>
            <w:tcW w:w="3243" w:type="dxa"/>
            <w:tcBorders>
              <w:left w:val="single" w:sz="4" w:space="0" w:color="000000"/>
            </w:tcBorders>
          </w:tcPr>
          <w:p>
            <w:pPr>
              <w:pStyle w:val="TableParagraph"/>
              <w:spacing w:before="6"/>
              <w:ind w:left="107"/>
              <w:rPr>
                <w:sz w:val="20"/>
              </w:rPr>
            </w:pPr>
            <w:r>
              <w:rPr>
                <w:w w:val="95"/>
                <w:sz w:val="20"/>
              </w:rPr>
              <w:t>Interest-bearing</w:t>
            </w:r>
            <w:r>
              <w:rPr>
                <w:spacing w:val="54"/>
                <w:sz w:val="20"/>
              </w:rPr>
              <w:t> </w:t>
            </w:r>
            <w:r>
              <w:rPr>
                <w:spacing w:val="-2"/>
                <w:w w:val="95"/>
                <w:sz w:val="20"/>
              </w:rPr>
              <w:t>liabilities</w:t>
            </w:r>
          </w:p>
        </w:tc>
        <w:tc>
          <w:tcPr>
            <w:tcW w:w="1147" w:type="dxa"/>
          </w:tcPr>
          <w:p>
            <w:pPr>
              <w:pStyle w:val="TableParagraph"/>
              <w:spacing w:line="222" w:lineRule="exact" w:before="23"/>
              <w:ind w:left="292" w:right="135"/>
              <w:jc w:val="center"/>
              <w:rPr>
                <w:sz w:val="20"/>
              </w:rPr>
            </w:pPr>
            <w:r>
              <w:rPr>
                <w:spacing w:val="-2"/>
                <w:sz w:val="20"/>
              </w:rPr>
              <w:t>4.2.3</w:t>
            </w:r>
          </w:p>
        </w:tc>
        <w:tc>
          <w:tcPr>
            <w:tcW w:w="1277" w:type="dxa"/>
          </w:tcPr>
          <w:p>
            <w:pPr>
              <w:pStyle w:val="TableParagraph"/>
              <w:spacing w:line="222" w:lineRule="exact" w:before="23"/>
              <w:ind w:right="103"/>
              <w:jc w:val="right"/>
              <w:rPr>
                <w:sz w:val="20"/>
              </w:rPr>
            </w:pPr>
            <w:r>
              <w:rPr>
                <w:spacing w:val="-2"/>
                <w:sz w:val="20"/>
              </w:rPr>
              <w:t>2,962</w:t>
            </w:r>
          </w:p>
        </w:tc>
        <w:tc>
          <w:tcPr>
            <w:tcW w:w="1277" w:type="dxa"/>
            <w:shd w:val="clear" w:color="auto" w:fill="DDEBF6"/>
          </w:tcPr>
          <w:p>
            <w:pPr>
              <w:pStyle w:val="TableParagraph"/>
              <w:spacing w:line="222" w:lineRule="exact" w:before="23"/>
              <w:ind w:right="103"/>
              <w:jc w:val="right"/>
              <w:rPr>
                <w:b/>
                <w:sz w:val="20"/>
              </w:rPr>
            </w:pPr>
            <w:r>
              <w:rPr>
                <w:b/>
                <w:spacing w:val="-2"/>
                <w:sz w:val="20"/>
              </w:rPr>
              <w:t>3,094</w:t>
            </w:r>
          </w:p>
        </w:tc>
        <w:tc>
          <w:tcPr>
            <w:tcW w:w="1239" w:type="dxa"/>
          </w:tcPr>
          <w:p>
            <w:pPr>
              <w:pStyle w:val="TableParagraph"/>
              <w:spacing w:line="222" w:lineRule="exact" w:before="23"/>
              <w:ind w:right="65"/>
              <w:jc w:val="right"/>
              <w:rPr>
                <w:sz w:val="20"/>
              </w:rPr>
            </w:pPr>
            <w:r>
              <w:rPr>
                <w:spacing w:val="-2"/>
                <w:sz w:val="20"/>
              </w:rPr>
              <w:t>3,232</w:t>
            </w:r>
          </w:p>
        </w:tc>
        <w:tc>
          <w:tcPr>
            <w:tcW w:w="1514" w:type="dxa"/>
          </w:tcPr>
          <w:p>
            <w:pPr>
              <w:pStyle w:val="TableParagraph"/>
              <w:spacing w:line="222" w:lineRule="exact" w:before="23"/>
              <w:ind w:right="163"/>
              <w:jc w:val="right"/>
              <w:rPr>
                <w:sz w:val="20"/>
              </w:rPr>
            </w:pPr>
            <w:r>
              <w:rPr>
                <w:spacing w:val="-2"/>
                <w:sz w:val="20"/>
              </w:rPr>
              <w:t>3,376</w:t>
            </w:r>
          </w:p>
        </w:tc>
        <w:tc>
          <w:tcPr>
            <w:tcW w:w="1213" w:type="dxa"/>
            <w:tcBorders>
              <w:right w:val="single" w:sz="4" w:space="0" w:color="000000"/>
            </w:tcBorders>
          </w:tcPr>
          <w:p>
            <w:pPr>
              <w:pStyle w:val="TableParagraph"/>
              <w:spacing w:line="222" w:lineRule="exact" w:before="23"/>
              <w:ind w:right="97"/>
              <w:jc w:val="right"/>
              <w:rPr>
                <w:sz w:val="20"/>
              </w:rPr>
            </w:pPr>
            <w:r>
              <w:rPr>
                <w:spacing w:val="-2"/>
                <w:sz w:val="20"/>
              </w:rPr>
              <w:t>3,527</w:t>
            </w:r>
          </w:p>
        </w:tc>
      </w:tr>
      <w:tr>
        <w:trPr>
          <w:trHeight w:val="264" w:hRule="atLeast"/>
        </w:trPr>
        <w:tc>
          <w:tcPr>
            <w:tcW w:w="3243" w:type="dxa"/>
            <w:tcBorders>
              <w:left w:val="single" w:sz="4" w:space="0" w:color="000000"/>
            </w:tcBorders>
          </w:tcPr>
          <w:p>
            <w:pPr>
              <w:pStyle w:val="TableParagraph"/>
              <w:spacing w:before="5"/>
              <w:ind w:left="107"/>
              <w:rPr>
                <w:sz w:val="20"/>
              </w:rPr>
            </w:pPr>
            <w:r>
              <w:rPr>
                <w:sz w:val="20"/>
              </w:rPr>
              <w:t>Lease</w:t>
            </w:r>
            <w:r>
              <w:rPr>
                <w:spacing w:val="-6"/>
                <w:sz w:val="20"/>
              </w:rPr>
              <w:t> </w:t>
            </w:r>
            <w:r>
              <w:rPr>
                <w:spacing w:val="-2"/>
                <w:sz w:val="20"/>
              </w:rPr>
              <w:t>liabilities</w:t>
            </w:r>
          </w:p>
        </w:tc>
        <w:tc>
          <w:tcPr>
            <w:tcW w:w="1147" w:type="dxa"/>
          </w:tcPr>
          <w:p>
            <w:pPr>
              <w:pStyle w:val="TableParagraph"/>
              <w:spacing w:line="222" w:lineRule="exact" w:before="22"/>
              <w:ind w:left="292" w:right="135"/>
              <w:jc w:val="center"/>
              <w:rPr>
                <w:sz w:val="20"/>
              </w:rPr>
            </w:pPr>
            <w:r>
              <w:rPr>
                <w:spacing w:val="-2"/>
                <w:sz w:val="20"/>
              </w:rPr>
              <w:t>4.2.4</w:t>
            </w:r>
          </w:p>
        </w:tc>
        <w:tc>
          <w:tcPr>
            <w:tcW w:w="1277" w:type="dxa"/>
          </w:tcPr>
          <w:p>
            <w:pPr>
              <w:pStyle w:val="TableParagraph"/>
              <w:spacing w:line="222" w:lineRule="exact" w:before="22"/>
              <w:ind w:right="103"/>
              <w:jc w:val="right"/>
              <w:rPr>
                <w:sz w:val="20"/>
              </w:rPr>
            </w:pPr>
            <w:r>
              <w:rPr>
                <w:spacing w:val="-2"/>
                <w:sz w:val="20"/>
              </w:rPr>
              <w:t>1,277</w:t>
            </w:r>
          </w:p>
        </w:tc>
        <w:tc>
          <w:tcPr>
            <w:tcW w:w="1277" w:type="dxa"/>
            <w:shd w:val="clear" w:color="auto" w:fill="DDEBF6"/>
          </w:tcPr>
          <w:p>
            <w:pPr>
              <w:pStyle w:val="TableParagraph"/>
              <w:spacing w:line="222" w:lineRule="exact" w:before="22"/>
              <w:ind w:right="103"/>
              <w:jc w:val="right"/>
              <w:rPr>
                <w:b/>
                <w:sz w:val="20"/>
              </w:rPr>
            </w:pPr>
            <w:r>
              <w:rPr>
                <w:b/>
                <w:spacing w:val="-2"/>
                <w:sz w:val="20"/>
              </w:rPr>
              <w:t>1,921</w:t>
            </w:r>
          </w:p>
        </w:tc>
        <w:tc>
          <w:tcPr>
            <w:tcW w:w="1239" w:type="dxa"/>
          </w:tcPr>
          <w:p>
            <w:pPr>
              <w:pStyle w:val="TableParagraph"/>
              <w:spacing w:line="222" w:lineRule="exact" w:before="22"/>
              <w:ind w:right="65"/>
              <w:jc w:val="right"/>
              <w:rPr>
                <w:sz w:val="20"/>
              </w:rPr>
            </w:pPr>
            <w:r>
              <w:rPr>
                <w:spacing w:val="-2"/>
                <w:sz w:val="20"/>
              </w:rPr>
              <w:t>2,238</w:t>
            </w:r>
          </w:p>
        </w:tc>
        <w:tc>
          <w:tcPr>
            <w:tcW w:w="1514" w:type="dxa"/>
          </w:tcPr>
          <w:p>
            <w:pPr>
              <w:pStyle w:val="TableParagraph"/>
              <w:spacing w:line="222" w:lineRule="exact" w:before="22"/>
              <w:ind w:right="163"/>
              <w:jc w:val="right"/>
              <w:rPr>
                <w:sz w:val="20"/>
              </w:rPr>
            </w:pPr>
            <w:r>
              <w:rPr>
                <w:spacing w:val="-2"/>
                <w:sz w:val="20"/>
              </w:rPr>
              <w:t>2,607</w:t>
            </w:r>
          </w:p>
        </w:tc>
        <w:tc>
          <w:tcPr>
            <w:tcW w:w="1213" w:type="dxa"/>
            <w:tcBorders>
              <w:right w:val="single" w:sz="4" w:space="0" w:color="000000"/>
            </w:tcBorders>
          </w:tcPr>
          <w:p>
            <w:pPr>
              <w:pStyle w:val="TableParagraph"/>
              <w:spacing w:line="222" w:lineRule="exact" w:before="22"/>
              <w:ind w:right="97"/>
              <w:jc w:val="right"/>
              <w:rPr>
                <w:sz w:val="20"/>
              </w:rPr>
            </w:pPr>
            <w:r>
              <w:rPr>
                <w:spacing w:val="-2"/>
                <w:sz w:val="20"/>
              </w:rPr>
              <w:t>2,666</w:t>
            </w:r>
          </w:p>
        </w:tc>
      </w:tr>
      <w:tr>
        <w:trPr>
          <w:trHeight w:val="271" w:hRule="atLeast"/>
        </w:trPr>
        <w:tc>
          <w:tcPr>
            <w:tcW w:w="3243" w:type="dxa"/>
            <w:tcBorders>
              <w:left w:val="single" w:sz="4" w:space="0" w:color="000000"/>
            </w:tcBorders>
          </w:tcPr>
          <w:p>
            <w:pPr>
              <w:pStyle w:val="TableParagraph"/>
              <w:spacing w:before="5"/>
              <w:ind w:left="107"/>
              <w:rPr>
                <w:b/>
                <w:sz w:val="20"/>
              </w:rPr>
            </w:pPr>
            <w:r>
              <w:rPr>
                <w:b/>
                <w:sz w:val="20"/>
              </w:rPr>
              <w:t>Total</w:t>
            </w:r>
            <w:r>
              <w:rPr>
                <w:b/>
                <w:spacing w:val="-8"/>
                <w:sz w:val="20"/>
              </w:rPr>
              <w:t> </w:t>
            </w:r>
            <w:r>
              <w:rPr>
                <w:b/>
                <w:sz w:val="20"/>
              </w:rPr>
              <w:t>current</w:t>
            </w:r>
            <w:r>
              <w:rPr>
                <w:b/>
                <w:spacing w:val="-8"/>
                <w:sz w:val="20"/>
              </w:rPr>
              <w:t> </w:t>
            </w:r>
            <w:r>
              <w:rPr>
                <w:b/>
                <w:spacing w:val="-2"/>
                <w:sz w:val="20"/>
              </w:rPr>
              <w:t>liabilities</w:t>
            </w:r>
          </w:p>
        </w:tc>
        <w:tc>
          <w:tcPr>
            <w:tcW w:w="1147" w:type="dxa"/>
          </w:tcPr>
          <w:p>
            <w:pPr>
              <w:pStyle w:val="TableParagraph"/>
              <w:spacing w:line="227" w:lineRule="exact" w:before="24"/>
              <w:ind w:left="292" w:right="135"/>
              <w:jc w:val="center"/>
              <w:rPr>
                <w:sz w:val="20"/>
              </w:rPr>
            </w:pPr>
            <w:r>
              <w:rPr>
                <w:spacing w:val="-2"/>
                <w:sz w:val="20"/>
              </w:rPr>
              <w:t>4.2.2</w:t>
            </w:r>
          </w:p>
        </w:tc>
        <w:tc>
          <w:tcPr>
            <w:tcW w:w="1277" w:type="dxa"/>
            <w:tcBorders>
              <w:bottom w:val="single" w:sz="4" w:space="0" w:color="000000"/>
            </w:tcBorders>
          </w:tcPr>
          <w:p>
            <w:pPr>
              <w:pStyle w:val="TableParagraph"/>
              <w:spacing w:line="227" w:lineRule="exact" w:before="24"/>
              <w:ind w:right="104"/>
              <w:jc w:val="right"/>
              <w:rPr>
                <w:sz w:val="20"/>
              </w:rPr>
            </w:pPr>
            <w:r>
              <w:rPr>
                <w:spacing w:val="-2"/>
                <w:sz w:val="20"/>
              </w:rPr>
              <w:t>35,555</w:t>
            </w:r>
          </w:p>
        </w:tc>
        <w:tc>
          <w:tcPr>
            <w:tcW w:w="1277" w:type="dxa"/>
            <w:tcBorders>
              <w:bottom w:val="single" w:sz="4" w:space="0" w:color="000000"/>
            </w:tcBorders>
            <w:shd w:val="clear" w:color="auto" w:fill="DDEBF6"/>
          </w:tcPr>
          <w:p>
            <w:pPr>
              <w:pStyle w:val="TableParagraph"/>
              <w:spacing w:line="227" w:lineRule="exact" w:before="24"/>
              <w:ind w:right="104"/>
              <w:jc w:val="right"/>
              <w:rPr>
                <w:b/>
                <w:sz w:val="20"/>
              </w:rPr>
            </w:pPr>
            <w:r>
              <w:rPr>
                <w:b/>
                <w:spacing w:val="-2"/>
                <w:sz w:val="20"/>
              </w:rPr>
              <w:t>39,798</w:t>
            </w:r>
          </w:p>
        </w:tc>
        <w:tc>
          <w:tcPr>
            <w:tcW w:w="1239" w:type="dxa"/>
            <w:tcBorders>
              <w:bottom w:val="single" w:sz="4" w:space="0" w:color="000000"/>
            </w:tcBorders>
          </w:tcPr>
          <w:p>
            <w:pPr>
              <w:pStyle w:val="TableParagraph"/>
              <w:spacing w:line="227" w:lineRule="exact" w:before="24"/>
              <w:ind w:right="66"/>
              <w:jc w:val="right"/>
              <w:rPr>
                <w:sz w:val="20"/>
              </w:rPr>
            </w:pPr>
            <w:r>
              <w:rPr>
                <w:spacing w:val="-2"/>
                <w:sz w:val="20"/>
              </w:rPr>
              <w:t>38,295</w:t>
            </w:r>
          </w:p>
        </w:tc>
        <w:tc>
          <w:tcPr>
            <w:tcW w:w="1514" w:type="dxa"/>
            <w:tcBorders>
              <w:bottom w:val="single" w:sz="4" w:space="0" w:color="000000"/>
            </w:tcBorders>
          </w:tcPr>
          <w:p>
            <w:pPr>
              <w:pStyle w:val="TableParagraph"/>
              <w:spacing w:line="227" w:lineRule="exact" w:before="24"/>
              <w:ind w:right="164"/>
              <w:jc w:val="right"/>
              <w:rPr>
                <w:sz w:val="20"/>
              </w:rPr>
            </w:pPr>
            <w:r>
              <w:rPr>
                <w:spacing w:val="-2"/>
                <w:sz w:val="20"/>
              </w:rPr>
              <w:t>40,318</w:t>
            </w:r>
          </w:p>
        </w:tc>
        <w:tc>
          <w:tcPr>
            <w:tcW w:w="1213" w:type="dxa"/>
            <w:tcBorders>
              <w:bottom w:val="single" w:sz="4" w:space="0" w:color="000000"/>
              <w:right w:val="single" w:sz="4" w:space="0" w:color="000000"/>
            </w:tcBorders>
          </w:tcPr>
          <w:p>
            <w:pPr>
              <w:pStyle w:val="TableParagraph"/>
              <w:spacing w:line="227" w:lineRule="exact" w:before="24"/>
              <w:ind w:right="98"/>
              <w:jc w:val="right"/>
              <w:rPr>
                <w:sz w:val="20"/>
              </w:rPr>
            </w:pPr>
            <w:r>
              <w:rPr>
                <w:spacing w:val="-2"/>
                <w:sz w:val="20"/>
              </w:rPr>
              <w:t>42,652</w:t>
            </w:r>
          </w:p>
        </w:tc>
      </w:tr>
      <w:tr>
        <w:trPr>
          <w:trHeight w:val="515" w:hRule="atLeast"/>
        </w:trPr>
        <w:tc>
          <w:tcPr>
            <w:tcW w:w="3243" w:type="dxa"/>
            <w:tcBorders>
              <w:left w:val="single" w:sz="4" w:space="0" w:color="000000"/>
            </w:tcBorders>
          </w:tcPr>
          <w:p>
            <w:pPr>
              <w:pStyle w:val="TableParagraph"/>
              <w:spacing w:before="10"/>
              <w:rPr>
                <w:i/>
                <w:sz w:val="22"/>
              </w:rPr>
            </w:pPr>
          </w:p>
          <w:p>
            <w:pPr>
              <w:pStyle w:val="TableParagraph"/>
              <w:ind w:left="107"/>
              <w:rPr>
                <w:b/>
                <w:sz w:val="20"/>
              </w:rPr>
            </w:pPr>
            <w:r>
              <w:rPr>
                <w:b/>
                <w:sz w:val="20"/>
              </w:rPr>
              <w:t>Non-current</w:t>
            </w:r>
            <w:r>
              <w:rPr>
                <w:b/>
                <w:spacing w:val="-14"/>
                <w:sz w:val="20"/>
              </w:rPr>
              <w:t> </w:t>
            </w:r>
            <w:r>
              <w:rPr>
                <w:b/>
                <w:spacing w:val="-2"/>
                <w:sz w:val="20"/>
              </w:rPr>
              <w:t>liabilities</w:t>
            </w:r>
          </w:p>
        </w:tc>
        <w:tc>
          <w:tcPr>
            <w:tcW w:w="1147" w:type="dxa"/>
          </w:tcPr>
          <w:p>
            <w:pPr>
              <w:pStyle w:val="TableParagraph"/>
              <w:rPr>
                <w:rFonts w:ascii="Times New Roman"/>
                <w:sz w:val="18"/>
              </w:rPr>
            </w:pPr>
          </w:p>
        </w:tc>
        <w:tc>
          <w:tcPr>
            <w:tcW w:w="1277" w:type="dxa"/>
            <w:tcBorders>
              <w:top w:val="single" w:sz="4" w:space="0" w:color="000000"/>
            </w:tcBorders>
          </w:tcPr>
          <w:p>
            <w:pPr>
              <w:pStyle w:val="TableParagraph"/>
              <w:rPr>
                <w:rFonts w:ascii="Times New Roman"/>
                <w:sz w:val="18"/>
              </w:rPr>
            </w:pPr>
          </w:p>
        </w:tc>
        <w:tc>
          <w:tcPr>
            <w:tcW w:w="1277" w:type="dxa"/>
            <w:tcBorders>
              <w:top w:val="single" w:sz="4" w:space="0" w:color="000000"/>
            </w:tcBorders>
            <w:shd w:val="clear" w:color="auto" w:fill="DDEBF6"/>
          </w:tcPr>
          <w:p>
            <w:pPr>
              <w:pStyle w:val="TableParagraph"/>
              <w:rPr>
                <w:rFonts w:ascii="Times New Roman"/>
                <w:sz w:val="18"/>
              </w:rPr>
            </w:pPr>
          </w:p>
        </w:tc>
        <w:tc>
          <w:tcPr>
            <w:tcW w:w="1239" w:type="dxa"/>
            <w:tcBorders>
              <w:top w:val="single" w:sz="4" w:space="0" w:color="000000"/>
            </w:tcBorders>
          </w:tcPr>
          <w:p>
            <w:pPr>
              <w:pStyle w:val="TableParagraph"/>
              <w:rPr>
                <w:rFonts w:ascii="Times New Roman"/>
                <w:sz w:val="18"/>
              </w:rPr>
            </w:pPr>
          </w:p>
        </w:tc>
        <w:tc>
          <w:tcPr>
            <w:tcW w:w="1514" w:type="dxa"/>
            <w:tcBorders>
              <w:top w:val="single" w:sz="4" w:space="0" w:color="000000"/>
            </w:tcBorders>
          </w:tcPr>
          <w:p>
            <w:pPr>
              <w:pStyle w:val="TableParagraph"/>
              <w:rPr>
                <w:rFonts w:ascii="Times New Roman"/>
                <w:sz w:val="18"/>
              </w:rPr>
            </w:pPr>
          </w:p>
        </w:tc>
        <w:tc>
          <w:tcPr>
            <w:tcW w:w="1213" w:type="dxa"/>
            <w:tcBorders>
              <w:top w:val="single" w:sz="4" w:space="0" w:color="000000"/>
              <w:right w:val="single" w:sz="4" w:space="0" w:color="000000"/>
            </w:tcBorders>
          </w:tcPr>
          <w:p>
            <w:pPr>
              <w:pStyle w:val="TableParagraph"/>
              <w:rPr>
                <w:rFonts w:ascii="Times New Roman"/>
                <w:sz w:val="18"/>
              </w:rPr>
            </w:pPr>
          </w:p>
        </w:tc>
      </w:tr>
      <w:tr>
        <w:trPr>
          <w:trHeight w:val="273" w:hRule="atLeast"/>
        </w:trPr>
        <w:tc>
          <w:tcPr>
            <w:tcW w:w="3243" w:type="dxa"/>
            <w:tcBorders>
              <w:left w:val="single" w:sz="4" w:space="0" w:color="000000"/>
            </w:tcBorders>
          </w:tcPr>
          <w:p>
            <w:pPr>
              <w:pStyle w:val="TableParagraph"/>
              <w:spacing w:before="14"/>
              <w:ind w:left="107"/>
              <w:rPr>
                <w:sz w:val="20"/>
              </w:rPr>
            </w:pPr>
            <w:r>
              <w:rPr>
                <w:sz w:val="20"/>
              </w:rPr>
              <w:t>Trust</w:t>
            </w:r>
            <w:r>
              <w:rPr>
                <w:spacing w:val="-6"/>
                <w:sz w:val="20"/>
              </w:rPr>
              <w:t> </w:t>
            </w:r>
            <w:r>
              <w:rPr>
                <w:sz w:val="20"/>
              </w:rPr>
              <w:t>funds</w:t>
            </w:r>
            <w:r>
              <w:rPr>
                <w:spacing w:val="-4"/>
                <w:sz w:val="20"/>
              </w:rPr>
              <w:t> </w:t>
            </w:r>
            <w:r>
              <w:rPr>
                <w:sz w:val="20"/>
              </w:rPr>
              <w:t>and</w:t>
            </w:r>
            <w:r>
              <w:rPr>
                <w:spacing w:val="-2"/>
                <w:sz w:val="20"/>
              </w:rPr>
              <w:t> deposits</w:t>
            </w:r>
          </w:p>
        </w:tc>
        <w:tc>
          <w:tcPr>
            <w:tcW w:w="1147" w:type="dxa"/>
          </w:tcPr>
          <w:p>
            <w:pPr>
              <w:pStyle w:val="TableParagraph"/>
              <w:rPr>
                <w:rFonts w:ascii="Times New Roman"/>
                <w:sz w:val="18"/>
              </w:rPr>
            </w:pPr>
          </w:p>
        </w:tc>
        <w:tc>
          <w:tcPr>
            <w:tcW w:w="1277" w:type="dxa"/>
          </w:tcPr>
          <w:p>
            <w:pPr>
              <w:pStyle w:val="TableParagraph"/>
              <w:spacing w:line="222" w:lineRule="exact" w:before="31"/>
              <w:ind w:right="104"/>
              <w:jc w:val="right"/>
              <w:rPr>
                <w:sz w:val="20"/>
              </w:rPr>
            </w:pPr>
            <w:r>
              <w:rPr>
                <w:spacing w:val="-5"/>
                <w:sz w:val="20"/>
              </w:rPr>
              <w:t>132</w:t>
            </w:r>
          </w:p>
        </w:tc>
        <w:tc>
          <w:tcPr>
            <w:tcW w:w="1277" w:type="dxa"/>
            <w:shd w:val="clear" w:color="auto" w:fill="DDEBF6"/>
          </w:tcPr>
          <w:p>
            <w:pPr>
              <w:pStyle w:val="TableParagraph"/>
              <w:spacing w:line="222" w:lineRule="exact" w:before="31"/>
              <w:ind w:right="104"/>
              <w:jc w:val="right"/>
              <w:rPr>
                <w:b/>
                <w:sz w:val="20"/>
              </w:rPr>
            </w:pPr>
            <w:r>
              <w:rPr>
                <w:b/>
                <w:spacing w:val="-5"/>
                <w:sz w:val="20"/>
              </w:rPr>
              <w:t>132</w:t>
            </w:r>
          </w:p>
        </w:tc>
        <w:tc>
          <w:tcPr>
            <w:tcW w:w="1239" w:type="dxa"/>
          </w:tcPr>
          <w:p>
            <w:pPr>
              <w:pStyle w:val="TableParagraph"/>
              <w:spacing w:line="222" w:lineRule="exact" w:before="31"/>
              <w:ind w:right="66"/>
              <w:jc w:val="right"/>
              <w:rPr>
                <w:sz w:val="20"/>
              </w:rPr>
            </w:pPr>
            <w:r>
              <w:rPr>
                <w:spacing w:val="-5"/>
                <w:sz w:val="20"/>
              </w:rPr>
              <w:t>132</w:t>
            </w:r>
          </w:p>
        </w:tc>
        <w:tc>
          <w:tcPr>
            <w:tcW w:w="1514" w:type="dxa"/>
          </w:tcPr>
          <w:p>
            <w:pPr>
              <w:pStyle w:val="TableParagraph"/>
              <w:spacing w:line="222" w:lineRule="exact" w:before="31"/>
              <w:ind w:right="164"/>
              <w:jc w:val="right"/>
              <w:rPr>
                <w:sz w:val="20"/>
              </w:rPr>
            </w:pPr>
            <w:r>
              <w:rPr>
                <w:spacing w:val="-5"/>
                <w:sz w:val="20"/>
              </w:rPr>
              <w:t>132</w:t>
            </w:r>
          </w:p>
        </w:tc>
        <w:tc>
          <w:tcPr>
            <w:tcW w:w="1213" w:type="dxa"/>
            <w:tcBorders>
              <w:right w:val="single" w:sz="4" w:space="0" w:color="000000"/>
            </w:tcBorders>
          </w:tcPr>
          <w:p>
            <w:pPr>
              <w:pStyle w:val="TableParagraph"/>
              <w:spacing w:line="222" w:lineRule="exact" w:before="31"/>
              <w:ind w:right="98"/>
              <w:jc w:val="right"/>
              <w:rPr>
                <w:sz w:val="20"/>
              </w:rPr>
            </w:pPr>
            <w:r>
              <w:rPr>
                <w:spacing w:val="-5"/>
                <w:sz w:val="20"/>
              </w:rPr>
              <w:t>132</w:t>
            </w:r>
          </w:p>
        </w:tc>
      </w:tr>
      <w:tr>
        <w:trPr>
          <w:trHeight w:val="266" w:hRule="atLeast"/>
        </w:trPr>
        <w:tc>
          <w:tcPr>
            <w:tcW w:w="3243" w:type="dxa"/>
            <w:tcBorders>
              <w:left w:val="single" w:sz="4" w:space="0" w:color="000000"/>
            </w:tcBorders>
          </w:tcPr>
          <w:p>
            <w:pPr>
              <w:pStyle w:val="TableParagraph"/>
              <w:spacing w:before="5"/>
              <w:ind w:left="107"/>
              <w:rPr>
                <w:sz w:val="20"/>
              </w:rPr>
            </w:pPr>
            <w:r>
              <w:rPr>
                <w:sz w:val="20"/>
              </w:rPr>
              <w:t>Contract</w:t>
            </w:r>
            <w:r>
              <w:rPr>
                <w:spacing w:val="-7"/>
                <w:sz w:val="20"/>
              </w:rPr>
              <w:t> </w:t>
            </w:r>
            <w:r>
              <w:rPr>
                <w:sz w:val="20"/>
              </w:rPr>
              <w:t>and</w:t>
            </w:r>
            <w:r>
              <w:rPr>
                <w:spacing w:val="-3"/>
                <w:sz w:val="20"/>
              </w:rPr>
              <w:t> </w:t>
            </w:r>
            <w:r>
              <w:rPr>
                <w:sz w:val="20"/>
              </w:rPr>
              <w:t>other</w:t>
            </w:r>
            <w:r>
              <w:rPr>
                <w:spacing w:val="-5"/>
                <w:sz w:val="20"/>
              </w:rPr>
              <w:t> </w:t>
            </w:r>
            <w:r>
              <w:rPr>
                <w:spacing w:val="-2"/>
                <w:sz w:val="20"/>
              </w:rPr>
              <w:t>liabilities</w:t>
            </w:r>
          </w:p>
        </w:tc>
        <w:tc>
          <w:tcPr>
            <w:tcW w:w="1147" w:type="dxa"/>
          </w:tcPr>
          <w:p>
            <w:pPr>
              <w:pStyle w:val="TableParagraph"/>
              <w:rPr>
                <w:rFonts w:ascii="Times New Roman"/>
                <w:sz w:val="18"/>
              </w:rPr>
            </w:pPr>
          </w:p>
        </w:tc>
        <w:tc>
          <w:tcPr>
            <w:tcW w:w="1277" w:type="dxa"/>
          </w:tcPr>
          <w:p>
            <w:pPr>
              <w:pStyle w:val="TableParagraph"/>
              <w:spacing w:line="222" w:lineRule="exact" w:before="24"/>
              <w:ind w:right="104"/>
              <w:jc w:val="right"/>
              <w:rPr>
                <w:sz w:val="20"/>
              </w:rPr>
            </w:pPr>
            <w:r>
              <w:rPr>
                <w:spacing w:val="-2"/>
                <w:sz w:val="20"/>
              </w:rPr>
              <w:t>18,213</w:t>
            </w:r>
          </w:p>
        </w:tc>
        <w:tc>
          <w:tcPr>
            <w:tcW w:w="1277" w:type="dxa"/>
            <w:shd w:val="clear" w:color="auto" w:fill="DDEBF6"/>
          </w:tcPr>
          <w:p>
            <w:pPr>
              <w:pStyle w:val="TableParagraph"/>
              <w:spacing w:line="222" w:lineRule="exact" w:before="24"/>
              <w:ind w:right="102"/>
              <w:jc w:val="right"/>
              <w:rPr>
                <w:b/>
                <w:sz w:val="20"/>
              </w:rPr>
            </w:pPr>
            <w:r>
              <w:rPr>
                <w:b/>
                <w:w w:val="99"/>
                <w:sz w:val="20"/>
              </w:rPr>
              <w:t>-</w:t>
            </w:r>
          </w:p>
        </w:tc>
        <w:tc>
          <w:tcPr>
            <w:tcW w:w="1239" w:type="dxa"/>
          </w:tcPr>
          <w:p>
            <w:pPr>
              <w:pStyle w:val="TableParagraph"/>
              <w:spacing w:line="222" w:lineRule="exact" w:before="24"/>
              <w:ind w:right="65"/>
              <w:jc w:val="right"/>
              <w:rPr>
                <w:sz w:val="20"/>
              </w:rPr>
            </w:pPr>
            <w:r>
              <w:rPr>
                <w:w w:val="99"/>
                <w:sz w:val="20"/>
              </w:rPr>
              <w:t>-</w:t>
            </w:r>
          </w:p>
        </w:tc>
        <w:tc>
          <w:tcPr>
            <w:tcW w:w="1514" w:type="dxa"/>
          </w:tcPr>
          <w:p>
            <w:pPr>
              <w:pStyle w:val="TableParagraph"/>
              <w:spacing w:line="222" w:lineRule="exact" w:before="24"/>
              <w:ind w:right="163"/>
              <w:jc w:val="right"/>
              <w:rPr>
                <w:sz w:val="20"/>
              </w:rPr>
            </w:pPr>
            <w:r>
              <w:rPr>
                <w:w w:val="99"/>
                <w:sz w:val="20"/>
              </w:rPr>
              <w:t>-</w:t>
            </w:r>
          </w:p>
        </w:tc>
        <w:tc>
          <w:tcPr>
            <w:tcW w:w="1213" w:type="dxa"/>
            <w:tcBorders>
              <w:right w:val="single" w:sz="4" w:space="0" w:color="000000"/>
            </w:tcBorders>
          </w:tcPr>
          <w:p>
            <w:pPr>
              <w:pStyle w:val="TableParagraph"/>
              <w:spacing w:line="222" w:lineRule="exact" w:before="24"/>
              <w:ind w:right="96"/>
              <w:jc w:val="right"/>
              <w:rPr>
                <w:sz w:val="20"/>
              </w:rPr>
            </w:pPr>
            <w:r>
              <w:rPr>
                <w:w w:val="99"/>
                <w:sz w:val="20"/>
              </w:rPr>
              <w:t>-</w:t>
            </w:r>
          </w:p>
        </w:tc>
      </w:tr>
      <w:tr>
        <w:trPr>
          <w:trHeight w:val="264" w:hRule="atLeast"/>
        </w:trPr>
        <w:tc>
          <w:tcPr>
            <w:tcW w:w="3243" w:type="dxa"/>
            <w:tcBorders>
              <w:left w:val="single" w:sz="4" w:space="0" w:color="000000"/>
            </w:tcBorders>
          </w:tcPr>
          <w:p>
            <w:pPr>
              <w:pStyle w:val="TableParagraph"/>
              <w:spacing w:before="5"/>
              <w:ind w:left="107"/>
              <w:rPr>
                <w:sz w:val="20"/>
              </w:rPr>
            </w:pPr>
            <w:r>
              <w:rPr>
                <w:spacing w:val="-2"/>
                <w:sz w:val="20"/>
              </w:rPr>
              <w:t>Provisions</w:t>
            </w:r>
          </w:p>
        </w:tc>
        <w:tc>
          <w:tcPr>
            <w:tcW w:w="1147" w:type="dxa"/>
          </w:tcPr>
          <w:p>
            <w:pPr>
              <w:pStyle w:val="TableParagraph"/>
              <w:rPr>
                <w:rFonts w:ascii="Times New Roman"/>
                <w:sz w:val="18"/>
              </w:rPr>
            </w:pPr>
          </w:p>
        </w:tc>
        <w:tc>
          <w:tcPr>
            <w:tcW w:w="1277" w:type="dxa"/>
          </w:tcPr>
          <w:p>
            <w:pPr>
              <w:pStyle w:val="TableParagraph"/>
              <w:spacing w:line="222" w:lineRule="exact" w:before="22"/>
              <w:ind w:right="103"/>
              <w:jc w:val="right"/>
              <w:rPr>
                <w:sz w:val="20"/>
              </w:rPr>
            </w:pPr>
            <w:r>
              <w:rPr>
                <w:spacing w:val="-2"/>
                <w:sz w:val="20"/>
              </w:rPr>
              <w:t>1,167</w:t>
            </w:r>
          </w:p>
        </w:tc>
        <w:tc>
          <w:tcPr>
            <w:tcW w:w="1277" w:type="dxa"/>
            <w:shd w:val="clear" w:color="auto" w:fill="DDEBF6"/>
          </w:tcPr>
          <w:p>
            <w:pPr>
              <w:pStyle w:val="TableParagraph"/>
              <w:spacing w:line="222" w:lineRule="exact" w:before="22"/>
              <w:ind w:right="103"/>
              <w:jc w:val="right"/>
              <w:rPr>
                <w:b/>
                <w:sz w:val="20"/>
              </w:rPr>
            </w:pPr>
            <w:r>
              <w:rPr>
                <w:b/>
                <w:spacing w:val="-2"/>
                <w:sz w:val="20"/>
              </w:rPr>
              <w:t>1,225</w:t>
            </w:r>
          </w:p>
        </w:tc>
        <w:tc>
          <w:tcPr>
            <w:tcW w:w="1239" w:type="dxa"/>
          </w:tcPr>
          <w:p>
            <w:pPr>
              <w:pStyle w:val="TableParagraph"/>
              <w:spacing w:line="222" w:lineRule="exact" w:before="22"/>
              <w:ind w:right="65"/>
              <w:jc w:val="right"/>
              <w:rPr>
                <w:sz w:val="20"/>
              </w:rPr>
            </w:pPr>
            <w:r>
              <w:rPr>
                <w:spacing w:val="-2"/>
                <w:sz w:val="20"/>
              </w:rPr>
              <w:t>1,286</w:t>
            </w:r>
          </w:p>
        </w:tc>
        <w:tc>
          <w:tcPr>
            <w:tcW w:w="1514" w:type="dxa"/>
          </w:tcPr>
          <w:p>
            <w:pPr>
              <w:pStyle w:val="TableParagraph"/>
              <w:spacing w:line="222" w:lineRule="exact" w:before="22"/>
              <w:ind w:right="163"/>
              <w:jc w:val="right"/>
              <w:rPr>
                <w:sz w:val="20"/>
              </w:rPr>
            </w:pPr>
            <w:r>
              <w:rPr>
                <w:spacing w:val="-2"/>
                <w:sz w:val="20"/>
              </w:rPr>
              <w:t>1,350</w:t>
            </w:r>
          </w:p>
        </w:tc>
        <w:tc>
          <w:tcPr>
            <w:tcW w:w="1213" w:type="dxa"/>
            <w:tcBorders>
              <w:right w:val="single" w:sz="4" w:space="0" w:color="000000"/>
            </w:tcBorders>
          </w:tcPr>
          <w:p>
            <w:pPr>
              <w:pStyle w:val="TableParagraph"/>
              <w:spacing w:line="222" w:lineRule="exact" w:before="22"/>
              <w:ind w:right="97"/>
              <w:jc w:val="right"/>
              <w:rPr>
                <w:sz w:val="20"/>
              </w:rPr>
            </w:pPr>
            <w:r>
              <w:rPr>
                <w:spacing w:val="-2"/>
                <w:sz w:val="20"/>
              </w:rPr>
              <w:t>1,418</w:t>
            </w:r>
          </w:p>
        </w:tc>
      </w:tr>
      <w:tr>
        <w:trPr>
          <w:trHeight w:val="264" w:hRule="atLeast"/>
        </w:trPr>
        <w:tc>
          <w:tcPr>
            <w:tcW w:w="3243" w:type="dxa"/>
            <w:tcBorders>
              <w:left w:val="single" w:sz="4" w:space="0" w:color="000000"/>
            </w:tcBorders>
          </w:tcPr>
          <w:p>
            <w:pPr>
              <w:pStyle w:val="TableParagraph"/>
              <w:spacing w:before="5"/>
              <w:ind w:left="107"/>
              <w:rPr>
                <w:sz w:val="20"/>
              </w:rPr>
            </w:pPr>
            <w:r>
              <w:rPr>
                <w:w w:val="95"/>
                <w:sz w:val="20"/>
              </w:rPr>
              <w:t>Interest-bearing</w:t>
            </w:r>
            <w:r>
              <w:rPr>
                <w:spacing w:val="54"/>
                <w:sz w:val="20"/>
              </w:rPr>
              <w:t> </w:t>
            </w:r>
            <w:r>
              <w:rPr>
                <w:spacing w:val="-2"/>
                <w:w w:val="95"/>
                <w:sz w:val="20"/>
              </w:rPr>
              <w:t>liabilities</w:t>
            </w:r>
          </w:p>
        </w:tc>
        <w:tc>
          <w:tcPr>
            <w:tcW w:w="1147" w:type="dxa"/>
          </w:tcPr>
          <w:p>
            <w:pPr>
              <w:pStyle w:val="TableParagraph"/>
              <w:spacing w:before="5"/>
              <w:ind w:left="292" w:right="135"/>
              <w:jc w:val="center"/>
              <w:rPr>
                <w:sz w:val="20"/>
              </w:rPr>
            </w:pPr>
            <w:r>
              <w:rPr>
                <w:spacing w:val="-2"/>
                <w:sz w:val="20"/>
              </w:rPr>
              <w:t>4.2.3</w:t>
            </w:r>
          </w:p>
        </w:tc>
        <w:tc>
          <w:tcPr>
            <w:tcW w:w="1277" w:type="dxa"/>
          </w:tcPr>
          <w:p>
            <w:pPr>
              <w:pStyle w:val="TableParagraph"/>
              <w:spacing w:line="222" w:lineRule="exact" w:before="22"/>
              <w:ind w:right="104"/>
              <w:jc w:val="right"/>
              <w:rPr>
                <w:sz w:val="20"/>
              </w:rPr>
            </w:pPr>
            <w:r>
              <w:rPr>
                <w:spacing w:val="-2"/>
                <w:sz w:val="20"/>
              </w:rPr>
              <w:t>15,764</w:t>
            </w:r>
          </w:p>
        </w:tc>
        <w:tc>
          <w:tcPr>
            <w:tcW w:w="1277" w:type="dxa"/>
            <w:shd w:val="clear" w:color="auto" w:fill="DDEBF6"/>
          </w:tcPr>
          <w:p>
            <w:pPr>
              <w:pStyle w:val="TableParagraph"/>
              <w:spacing w:line="222" w:lineRule="exact" w:before="22"/>
              <w:ind w:right="104"/>
              <w:jc w:val="right"/>
              <w:rPr>
                <w:b/>
                <w:sz w:val="20"/>
              </w:rPr>
            </w:pPr>
            <w:r>
              <w:rPr>
                <w:b/>
                <w:spacing w:val="-2"/>
                <w:sz w:val="20"/>
              </w:rPr>
              <w:t>12,670</w:t>
            </w:r>
          </w:p>
        </w:tc>
        <w:tc>
          <w:tcPr>
            <w:tcW w:w="1239" w:type="dxa"/>
          </w:tcPr>
          <w:p>
            <w:pPr>
              <w:pStyle w:val="TableParagraph"/>
              <w:spacing w:line="222" w:lineRule="exact" w:before="22"/>
              <w:ind w:right="66"/>
              <w:jc w:val="right"/>
              <w:rPr>
                <w:sz w:val="20"/>
              </w:rPr>
            </w:pPr>
            <w:r>
              <w:rPr>
                <w:spacing w:val="-2"/>
                <w:sz w:val="20"/>
              </w:rPr>
              <w:t>23,689</w:t>
            </w:r>
          </w:p>
        </w:tc>
        <w:tc>
          <w:tcPr>
            <w:tcW w:w="1514" w:type="dxa"/>
          </w:tcPr>
          <w:p>
            <w:pPr>
              <w:pStyle w:val="TableParagraph"/>
              <w:spacing w:line="222" w:lineRule="exact" w:before="22"/>
              <w:ind w:right="164"/>
              <w:jc w:val="right"/>
              <w:rPr>
                <w:sz w:val="20"/>
              </w:rPr>
            </w:pPr>
            <w:r>
              <w:rPr>
                <w:spacing w:val="-2"/>
                <w:sz w:val="20"/>
              </w:rPr>
              <w:t>19,534</w:t>
            </w:r>
          </w:p>
        </w:tc>
        <w:tc>
          <w:tcPr>
            <w:tcW w:w="1213" w:type="dxa"/>
            <w:tcBorders>
              <w:right w:val="single" w:sz="4" w:space="0" w:color="000000"/>
            </w:tcBorders>
          </w:tcPr>
          <w:p>
            <w:pPr>
              <w:pStyle w:val="TableParagraph"/>
              <w:spacing w:line="222" w:lineRule="exact" w:before="22"/>
              <w:ind w:right="98"/>
              <w:jc w:val="right"/>
              <w:rPr>
                <w:sz w:val="20"/>
              </w:rPr>
            </w:pPr>
            <w:r>
              <w:rPr>
                <w:spacing w:val="-2"/>
                <w:sz w:val="20"/>
              </w:rPr>
              <w:t>15,197</w:t>
            </w:r>
          </w:p>
        </w:tc>
      </w:tr>
      <w:tr>
        <w:trPr>
          <w:trHeight w:val="266" w:hRule="atLeast"/>
        </w:trPr>
        <w:tc>
          <w:tcPr>
            <w:tcW w:w="3243" w:type="dxa"/>
            <w:tcBorders>
              <w:left w:val="single" w:sz="4" w:space="0" w:color="000000"/>
            </w:tcBorders>
          </w:tcPr>
          <w:p>
            <w:pPr>
              <w:pStyle w:val="TableParagraph"/>
              <w:spacing w:before="5"/>
              <w:ind w:left="107"/>
              <w:rPr>
                <w:sz w:val="20"/>
              </w:rPr>
            </w:pPr>
            <w:r>
              <w:rPr>
                <w:sz w:val="20"/>
              </w:rPr>
              <w:t>Lease</w:t>
            </w:r>
            <w:r>
              <w:rPr>
                <w:spacing w:val="-6"/>
                <w:sz w:val="20"/>
              </w:rPr>
              <w:t> </w:t>
            </w:r>
            <w:r>
              <w:rPr>
                <w:spacing w:val="-2"/>
                <w:sz w:val="20"/>
              </w:rPr>
              <w:t>liabilities</w:t>
            </w:r>
          </w:p>
        </w:tc>
        <w:tc>
          <w:tcPr>
            <w:tcW w:w="1147" w:type="dxa"/>
          </w:tcPr>
          <w:p>
            <w:pPr>
              <w:pStyle w:val="TableParagraph"/>
              <w:spacing w:before="5"/>
              <w:ind w:left="292" w:right="135"/>
              <w:jc w:val="center"/>
              <w:rPr>
                <w:sz w:val="20"/>
              </w:rPr>
            </w:pPr>
            <w:r>
              <w:rPr>
                <w:spacing w:val="-2"/>
                <w:sz w:val="20"/>
              </w:rPr>
              <w:t>4.2.4</w:t>
            </w:r>
          </w:p>
        </w:tc>
        <w:tc>
          <w:tcPr>
            <w:tcW w:w="1277" w:type="dxa"/>
          </w:tcPr>
          <w:p>
            <w:pPr>
              <w:pStyle w:val="TableParagraph"/>
              <w:spacing w:line="222" w:lineRule="exact" w:before="24"/>
              <w:ind w:right="103"/>
              <w:jc w:val="right"/>
              <w:rPr>
                <w:sz w:val="20"/>
              </w:rPr>
            </w:pPr>
            <w:r>
              <w:rPr>
                <w:spacing w:val="-2"/>
                <w:sz w:val="20"/>
              </w:rPr>
              <w:t>1,488</w:t>
            </w:r>
          </w:p>
        </w:tc>
        <w:tc>
          <w:tcPr>
            <w:tcW w:w="1277" w:type="dxa"/>
            <w:shd w:val="clear" w:color="auto" w:fill="DDEBF6"/>
          </w:tcPr>
          <w:p>
            <w:pPr>
              <w:pStyle w:val="TableParagraph"/>
              <w:spacing w:line="222" w:lineRule="exact" w:before="24"/>
              <w:ind w:right="103"/>
              <w:jc w:val="right"/>
              <w:rPr>
                <w:b/>
                <w:sz w:val="20"/>
              </w:rPr>
            </w:pPr>
            <w:r>
              <w:rPr>
                <w:b/>
                <w:spacing w:val="-2"/>
                <w:sz w:val="20"/>
              </w:rPr>
              <w:t>5,502</w:t>
            </w:r>
          </w:p>
        </w:tc>
        <w:tc>
          <w:tcPr>
            <w:tcW w:w="1239" w:type="dxa"/>
          </w:tcPr>
          <w:p>
            <w:pPr>
              <w:pStyle w:val="TableParagraph"/>
              <w:spacing w:line="222" w:lineRule="exact" w:before="24"/>
              <w:ind w:right="65"/>
              <w:jc w:val="right"/>
              <w:rPr>
                <w:sz w:val="20"/>
              </w:rPr>
            </w:pPr>
            <w:r>
              <w:rPr>
                <w:spacing w:val="-2"/>
                <w:sz w:val="20"/>
              </w:rPr>
              <w:t>4,796</w:t>
            </w:r>
          </w:p>
        </w:tc>
        <w:tc>
          <w:tcPr>
            <w:tcW w:w="1514" w:type="dxa"/>
          </w:tcPr>
          <w:p>
            <w:pPr>
              <w:pStyle w:val="TableParagraph"/>
              <w:spacing w:line="222" w:lineRule="exact" w:before="24"/>
              <w:ind w:right="163"/>
              <w:jc w:val="right"/>
              <w:rPr>
                <w:sz w:val="20"/>
              </w:rPr>
            </w:pPr>
            <w:r>
              <w:rPr>
                <w:spacing w:val="-2"/>
                <w:sz w:val="20"/>
              </w:rPr>
              <w:t>6,636</w:t>
            </w:r>
          </w:p>
        </w:tc>
        <w:tc>
          <w:tcPr>
            <w:tcW w:w="1213" w:type="dxa"/>
            <w:tcBorders>
              <w:right w:val="single" w:sz="4" w:space="0" w:color="000000"/>
            </w:tcBorders>
          </w:tcPr>
          <w:p>
            <w:pPr>
              <w:pStyle w:val="TableParagraph"/>
              <w:spacing w:line="222" w:lineRule="exact" w:before="24"/>
              <w:ind w:right="97"/>
              <w:jc w:val="right"/>
              <w:rPr>
                <w:sz w:val="20"/>
              </w:rPr>
            </w:pPr>
            <w:r>
              <w:rPr>
                <w:spacing w:val="-2"/>
                <w:sz w:val="20"/>
              </w:rPr>
              <w:t>4,947</w:t>
            </w:r>
          </w:p>
        </w:tc>
      </w:tr>
      <w:tr>
        <w:trPr>
          <w:trHeight w:val="269" w:hRule="atLeast"/>
        </w:trPr>
        <w:tc>
          <w:tcPr>
            <w:tcW w:w="3243" w:type="dxa"/>
            <w:tcBorders>
              <w:left w:val="single" w:sz="4" w:space="0" w:color="000000"/>
            </w:tcBorders>
          </w:tcPr>
          <w:p>
            <w:pPr>
              <w:pStyle w:val="TableParagraph"/>
              <w:spacing w:before="5"/>
              <w:ind w:left="107"/>
              <w:rPr>
                <w:b/>
                <w:sz w:val="20"/>
              </w:rPr>
            </w:pPr>
            <w:r>
              <w:rPr>
                <w:b/>
                <w:sz w:val="20"/>
              </w:rPr>
              <w:t>Total</w:t>
            </w:r>
            <w:r>
              <w:rPr>
                <w:b/>
                <w:spacing w:val="-10"/>
                <w:sz w:val="20"/>
              </w:rPr>
              <w:t> </w:t>
            </w:r>
            <w:r>
              <w:rPr>
                <w:b/>
                <w:sz w:val="20"/>
              </w:rPr>
              <w:t>non-current</w:t>
            </w:r>
            <w:r>
              <w:rPr>
                <w:b/>
                <w:spacing w:val="-10"/>
                <w:sz w:val="20"/>
              </w:rPr>
              <w:t> </w:t>
            </w:r>
            <w:r>
              <w:rPr>
                <w:b/>
                <w:spacing w:val="-2"/>
                <w:sz w:val="20"/>
              </w:rPr>
              <w:t>liabilities</w:t>
            </w:r>
          </w:p>
        </w:tc>
        <w:tc>
          <w:tcPr>
            <w:tcW w:w="1147" w:type="dxa"/>
          </w:tcPr>
          <w:p>
            <w:pPr>
              <w:pStyle w:val="TableParagraph"/>
              <w:spacing w:before="5"/>
              <w:ind w:left="292" w:right="135"/>
              <w:jc w:val="center"/>
              <w:rPr>
                <w:sz w:val="20"/>
              </w:rPr>
            </w:pPr>
            <w:r>
              <w:rPr>
                <w:spacing w:val="-2"/>
                <w:sz w:val="20"/>
              </w:rPr>
              <w:t>4.2.2</w:t>
            </w:r>
          </w:p>
        </w:tc>
        <w:tc>
          <w:tcPr>
            <w:tcW w:w="1277" w:type="dxa"/>
            <w:tcBorders>
              <w:bottom w:val="single" w:sz="4" w:space="0" w:color="000000"/>
            </w:tcBorders>
          </w:tcPr>
          <w:p>
            <w:pPr>
              <w:pStyle w:val="TableParagraph"/>
              <w:spacing w:line="227" w:lineRule="exact" w:before="22"/>
              <w:ind w:right="104"/>
              <w:jc w:val="right"/>
              <w:rPr>
                <w:sz w:val="20"/>
              </w:rPr>
            </w:pPr>
            <w:r>
              <w:rPr>
                <w:spacing w:val="-2"/>
                <w:sz w:val="20"/>
              </w:rPr>
              <w:t>36,764</w:t>
            </w:r>
          </w:p>
        </w:tc>
        <w:tc>
          <w:tcPr>
            <w:tcW w:w="1277" w:type="dxa"/>
            <w:tcBorders>
              <w:bottom w:val="single" w:sz="4" w:space="0" w:color="000000"/>
            </w:tcBorders>
            <w:shd w:val="clear" w:color="auto" w:fill="DDEBF6"/>
          </w:tcPr>
          <w:p>
            <w:pPr>
              <w:pStyle w:val="TableParagraph"/>
              <w:spacing w:line="227" w:lineRule="exact" w:before="22"/>
              <w:ind w:right="104"/>
              <w:jc w:val="right"/>
              <w:rPr>
                <w:b/>
                <w:sz w:val="20"/>
              </w:rPr>
            </w:pPr>
            <w:r>
              <w:rPr>
                <w:b/>
                <w:spacing w:val="-2"/>
                <w:sz w:val="20"/>
              </w:rPr>
              <w:t>19,529</w:t>
            </w:r>
          </w:p>
        </w:tc>
        <w:tc>
          <w:tcPr>
            <w:tcW w:w="1239" w:type="dxa"/>
            <w:tcBorders>
              <w:bottom w:val="single" w:sz="4" w:space="0" w:color="000000"/>
            </w:tcBorders>
          </w:tcPr>
          <w:p>
            <w:pPr>
              <w:pStyle w:val="TableParagraph"/>
              <w:spacing w:line="227" w:lineRule="exact" w:before="22"/>
              <w:ind w:right="66"/>
              <w:jc w:val="right"/>
              <w:rPr>
                <w:sz w:val="20"/>
              </w:rPr>
            </w:pPr>
            <w:r>
              <w:rPr>
                <w:spacing w:val="-2"/>
                <w:sz w:val="20"/>
              </w:rPr>
              <w:t>29,903</w:t>
            </w:r>
          </w:p>
        </w:tc>
        <w:tc>
          <w:tcPr>
            <w:tcW w:w="1514" w:type="dxa"/>
            <w:tcBorders>
              <w:bottom w:val="single" w:sz="4" w:space="0" w:color="000000"/>
            </w:tcBorders>
          </w:tcPr>
          <w:p>
            <w:pPr>
              <w:pStyle w:val="TableParagraph"/>
              <w:spacing w:line="227" w:lineRule="exact" w:before="22"/>
              <w:ind w:right="164"/>
              <w:jc w:val="right"/>
              <w:rPr>
                <w:sz w:val="20"/>
              </w:rPr>
            </w:pPr>
            <w:r>
              <w:rPr>
                <w:spacing w:val="-2"/>
                <w:sz w:val="20"/>
              </w:rPr>
              <w:t>27,652</w:t>
            </w:r>
          </w:p>
        </w:tc>
        <w:tc>
          <w:tcPr>
            <w:tcW w:w="1213" w:type="dxa"/>
            <w:tcBorders>
              <w:bottom w:val="single" w:sz="4" w:space="0" w:color="000000"/>
              <w:right w:val="single" w:sz="4" w:space="0" w:color="000000"/>
            </w:tcBorders>
          </w:tcPr>
          <w:p>
            <w:pPr>
              <w:pStyle w:val="TableParagraph"/>
              <w:spacing w:line="227" w:lineRule="exact" w:before="22"/>
              <w:ind w:right="98"/>
              <w:jc w:val="right"/>
              <w:rPr>
                <w:sz w:val="20"/>
              </w:rPr>
            </w:pPr>
            <w:r>
              <w:rPr>
                <w:spacing w:val="-2"/>
                <w:sz w:val="20"/>
              </w:rPr>
              <w:t>21,694</w:t>
            </w:r>
          </w:p>
        </w:tc>
      </w:tr>
      <w:tr>
        <w:trPr>
          <w:trHeight w:val="265" w:hRule="atLeast"/>
        </w:trPr>
        <w:tc>
          <w:tcPr>
            <w:tcW w:w="3243" w:type="dxa"/>
            <w:tcBorders>
              <w:left w:val="single" w:sz="4" w:space="0" w:color="000000"/>
            </w:tcBorders>
          </w:tcPr>
          <w:p>
            <w:pPr>
              <w:pStyle w:val="TableParagraph"/>
              <w:spacing w:line="229" w:lineRule="exact"/>
              <w:ind w:left="107"/>
              <w:rPr>
                <w:b/>
                <w:sz w:val="20"/>
              </w:rPr>
            </w:pPr>
            <w:r>
              <w:rPr>
                <w:b/>
                <w:sz w:val="20"/>
              </w:rPr>
              <w:t>Total</w:t>
            </w:r>
            <w:r>
              <w:rPr>
                <w:b/>
                <w:spacing w:val="-6"/>
                <w:sz w:val="20"/>
              </w:rPr>
              <w:t> </w:t>
            </w:r>
            <w:r>
              <w:rPr>
                <w:b/>
                <w:spacing w:val="-2"/>
                <w:sz w:val="20"/>
              </w:rPr>
              <w:t>liabilities</w:t>
            </w:r>
          </w:p>
        </w:tc>
        <w:tc>
          <w:tcPr>
            <w:tcW w:w="1147" w:type="dxa"/>
          </w:tcPr>
          <w:p>
            <w:pPr>
              <w:pStyle w:val="TableParagraph"/>
              <w:rPr>
                <w:rFonts w:ascii="Times New Roman"/>
                <w:sz w:val="18"/>
              </w:rPr>
            </w:pPr>
          </w:p>
        </w:tc>
        <w:tc>
          <w:tcPr>
            <w:tcW w:w="1277" w:type="dxa"/>
            <w:tcBorders>
              <w:top w:val="single" w:sz="4" w:space="0" w:color="000000"/>
              <w:bottom w:val="single" w:sz="4" w:space="0" w:color="000000"/>
            </w:tcBorders>
          </w:tcPr>
          <w:p>
            <w:pPr>
              <w:pStyle w:val="TableParagraph"/>
              <w:spacing w:line="227" w:lineRule="exact" w:before="18"/>
              <w:ind w:right="104"/>
              <w:jc w:val="right"/>
              <w:rPr>
                <w:sz w:val="20"/>
              </w:rPr>
            </w:pPr>
            <w:r>
              <w:rPr>
                <w:spacing w:val="-2"/>
                <w:sz w:val="20"/>
              </w:rPr>
              <w:t>72,319</w:t>
            </w:r>
          </w:p>
        </w:tc>
        <w:tc>
          <w:tcPr>
            <w:tcW w:w="1277" w:type="dxa"/>
            <w:tcBorders>
              <w:top w:val="single" w:sz="4" w:space="0" w:color="000000"/>
              <w:bottom w:val="single" w:sz="4" w:space="0" w:color="000000"/>
            </w:tcBorders>
            <w:shd w:val="clear" w:color="auto" w:fill="DDEBF6"/>
          </w:tcPr>
          <w:p>
            <w:pPr>
              <w:pStyle w:val="TableParagraph"/>
              <w:spacing w:line="227" w:lineRule="exact" w:before="18"/>
              <w:ind w:right="104"/>
              <w:jc w:val="right"/>
              <w:rPr>
                <w:b/>
                <w:sz w:val="20"/>
              </w:rPr>
            </w:pPr>
            <w:r>
              <w:rPr>
                <w:b/>
                <w:spacing w:val="-2"/>
                <w:sz w:val="20"/>
              </w:rPr>
              <w:t>59,327</w:t>
            </w:r>
          </w:p>
        </w:tc>
        <w:tc>
          <w:tcPr>
            <w:tcW w:w="1239" w:type="dxa"/>
            <w:tcBorders>
              <w:top w:val="single" w:sz="4" w:space="0" w:color="000000"/>
              <w:bottom w:val="single" w:sz="4" w:space="0" w:color="000000"/>
            </w:tcBorders>
          </w:tcPr>
          <w:p>
            <w:pPr>
              <w:pStyle w:val="TableParagraph"/>
              <w:spacing w:line="227" w:lineRule="exact" w:before="18"/>
              <w:ind w:right="66"/>
              <w:jc w:val="right"/>
              <w:rPr>
                <w:sz w:val="20"/>
              </w:rPr>
            </w:pPr>
            <w:r>
              <w:rPr>
                <w:spacing w:val="-2"/>
                <w:sz w:val="20"/>
              </w:rPr>
              <w:t>68,198</w:t>
            </w:r>
          </w:p>
        </w:tc>
        <w:tc>
          <w:tcPr>
            <w:tcW w:w="1514" w:type="dxa"/>
            <w:tcBorders>
              <w:top w:val="single" w:sz="4" w:space="0" w:color="000000"/>
              <w:bottom w:val="single" w:sz="4" w:space="0" w:color="000000"/>
            </w:tcBorders>
          </w:tcPr>
          <w:p>
            <w:pPr>
              <w:pStyle w:val="TableParagraph"/>
              <w:spacing w:line="227" w:lineRule="exact" w:before="18"/>
              <w:ind w:right="164"/>
              <w:jc w:val="right"/>
              <w:rPr>
                <w:sz w:val="20"/>
              </w:rPr>
            </w:pPr>
            <w:r>
              <w:rPr>
                <w:spacing w:val="-2"/>
                <w:sz w:val="20"/>
              </w:rPr>
              <w:t>67,970</w:t>
            </w:r>
          </w:p>
        </w:tc>
        <w:tc>
          <w:tcPr>
            <w:tcW w:w="1213" w:type="dxa"/>
            <w:tcBorders>
              <w:top w:val="single" w:sz="4" w:space="0" w:color="000000"/>
              <w:bottom w:val="single" w:sz="4" w:space="0" w:color="000000"/>
              <w:right w:val="single" w:sz="4" w:space="0" w:color="000000"/>
            </w:tcBorders>
          </w:tcPr>
          <w:p>
            <w:pPr>
              <w:pStyle w:val="TableParagraph"/>
              <w:spacing w:line="227" w:lineRule="exact" w:before="18"/>
              <w:ind w:right="98"/>
              <w:jc w:val="right"/>
              <w:rPr>
                <w:sz w:val="20"/>
              </w:rPr>
            </w:pPr>
            <w:r>
              <w:rPr>
                <w:spacing w:val="-2"/>
                <w:sz w:val="20"/>
              </w:rPr>
              <w:t>64,346</w:t>
            </w:r>
          </w:p>
        </w:tc>
      </w:tr>
      <w:tr>
        <w:trPr>
          <w:trHeight w:val="276" w:hRule="atLeast"/>
        </w:trPr>
        <w:tc>
          <w:tcPr>
            <w:tcW w:w="3243" w:type="dxa"/>
            <w:tcBorders>
              <w:left w:val="single" w:sz="4" w:space="0" w:color="000000"/>
            </w:tcBorders>
          </w:tcPr>
          <w:p>
            <w:pPr>
              <w:pStyle w:val="TableParagraph"/>
              <w:spacing w:line="229" w:lineRule="exact"/>
              <w:ind w:left="107"/>
              <w:rPr>
                <w:b/>
                <w:sz w:val="20"/>
              </w:rPr>
            </w:pPr>
            <w:r>
              <w:rPr>
                <w:b/>
                <w:sz w:val="20"/>
              </w:rPr>
              <w:t>Net</w:t>
            </w:r>
            <w:r>
              <w:rPr>
                <w:b/>
                <w:spacing w:val="-5"/>
                <w:sz w:val="20"/>
              </w:rPr>
              <w:t> </w:t>
            </w:r>
            <w:r>
              <w:rPr>
                <w:b/>
                <w:spacing w:val="-2"/>
                <w:sz w:val="20"/>
              </w:rPr>
              <w:t>assets</w:t>
            </w:r>
          </w:p>
        </w:tc>
        <w:tc>
          <w:tcPr>
            <w:tcW w:w="1147" w:type="dxa"/>
          </w:tcPr>
          <w:p>
            <w:pPr>
              <w:pStyle w:val="TableParagraph"/>
              <w:rPr>
                <w:rFonts w:ascii="Times New Roman"/>
                <w:sz w:val="18"/>
              </w:rPr>
            </w:pPr>
          </w:p>
        </w:tc>
        <w:tc>
          <w:tcPr>
            <w:tcW w:w="1277" w:type="dxa"/>
            <w:tcBorders>
              <w:top w:val="single" w:sz="4" w:space="0" w:color="000000"/>
              <w:bottom w:val="thickThinMediumGap" w:sz="4" w:space="0" w:color="000000"/>
            </w:tcBorders>
          </w:tcPr>
          <w:p>
            <w:pPr>
              <w:pStyle w:val="TableParagraph"/>
              <w:spacing w:before="23"/>
              <w:ind w:right="102"/>
              <w:jc w:val="right"/>
              <w:rPr>
                <w:sz w:val="20"/>
              </w:rPr>
            </w:pPr>
            <w:r>
              <w:rPr>
                <w:spacing w:val="-2"/>
                <w:sz w:val="20"/>
              </w:rPr>
              <w:t>2,106,306</w:t>
            </w:r>
          </w:p>
        </w:tc>
        <w:tc>
          <w:tcPr>
            <w:tcW w:w="1277" w:type="dxa"/>
            <w:tcBorders>
              <w:top w:val="single" w:sz="4" w:space="0" w:color="000000"/>
              <w:bottom w:val="thickThinMediumGap" w:sz="4" w:space="0" w:color="000000"/>
            </w:tcBorders>
            <w:shd w:val="clear" w:color="auto" w:fill="DDEBF6"/>
          </w:tcPr>
          <w:p>
            <w:pPr>
              <w:pStyle w:val="TableParagraph"/>
              <w:spacing w:before="23"/>
              <w:ind w:right="103"/>
              <w:jc w:val="right"/>
              <w:rPr>
                <w:b/>
                <w:sz w:val="20"/>
              </w:rPr>
            </w:pPr>
            <w:r>
              <w:rPr>
                <w:b/>
                <w:spacing w:val="-2"/>
                <w:sz w:val="20"/>
              </w:rPr>
              <w:t>2,136,438</w:t>
            </w:r>
          </w:p>
        </w:tc>
        <w:tc>
          <w:tcPr>
            <w:tcW w:w="1239" w:type="dxa"/>
            <w:tcBorders>
              <w:top w:val="single" w:sz="4" w:space="0" w:color="000000"/>
              <w:bottom w:val="thickThinMediumGap" w:sz="4" w:space="0" w:color="000000"/>
            </w:tcBorders>
          </w:tcPr>
          <w:p>
            <w:pPr>
              <w:pStyle w:val="TableParagraph"/>
              <w:spacing w:before="23"/>
              <w:ind w:right="65"/>
              <w:jc w:val="right"/>
              <w:rPr>
                <w:sz w:val="20"/>
              </w:rPr>
            </w:pPr>
            <w:r>
              <w:rPr>
                <w:spacing w:val="-2"/>
                <w:sz w:val="20"/>
              </w:rPr>
              <w:t>2,148,810</w:t>
            </w:r>
          </w:p>
        </w:tc>
        <w:tc>
          <w:tcPr>
            <w:tcW w:w="1514" w:type="dxa"/>
            <w:tcBorders>
              <w:top w:val="single" w:sz="4" w:space="0" w:color="000000"/>
              <w:bottom w:val="thickThinMediumGap" w:sz="4" w:space="0" w:color="000000"/>
            </w:tcBorders>
          </w:tcPr>
          <w:p>
            <w:pPr>
              <w:pStyle w:val="TableParagraph"/>
              <w:spacing w:before="23"/>
              <w:ind w:right="163"/>
              <w:jc w:val="right"/>
              <w:rPr>
                <w:sz w:val="20"/>
              </w:rPr>
            </w:pPr>
            <w:r>
              <w:rPr>
                <w:spacing w:val="-2"/>
                <w:sz w:val="20"/>
              </w:rPr>
              <w:t>2,164,098</w:t>
            </w:r>
          </w:p>
        </w:tc>
        <w:tc>
          <w:tcPr>
            <w:tcW w:w="1213" w:type="dxa"/>
            <w:tcBorders>
              <w:top w:val="single" w:sz="4" w:space="0" w:color="000000"/>
              <w:bottom w:val="thickThinMediumGap" w:sz="4" w:space="0" w:color="000000"/>
              <w:right w:val="single" w:sz="4" w:space="0" w:color="000000"/>
            </w:tcBorders>
          </w:tcPr>
          <w:p>
            <w:pPr>
              <w:pStyle w:val="TableParagraph"/>
              <w:spacing w:before="23"/>
              <w:ind w:right="96"/>
              <w:jc w:val="right"/>
              <w:rPr>
                <w:sz w:val="20"/>
              </w:rPr>
            </w:pPr>
            <w:r>
              <w:rPr>
                <w:spacing w:val="-2"/>
                <w:sz w:val="20"/>
              </w:rPr>
              <w:t>2,193,353</w:t>
            </w:r>
          </w:p>
        </w:tc>
      </w:tr>
      <w:tr>
        <w:trPr>
          <w:trHeight w:val="253" w:hRule="atLeast"/>
        </w:trPr>
        <w:tc>
          <w:tcPr>
            <w:tcW w:w="3243" w:type="dxa"/>
            <w:tcBorders>
              <w:left w:val="single" w:sz="4" w:space="0" w:color="000000"/>
            </w:tcBorders>
          </w:tcPr>
          <w:p>
            <w:pPr>
              <w:pStyle w:val="TableParagraph"/>
              <w:spacing w:line="227" w:lineRule="exact"/>
              <w:ind w:left="107"/>
              <w:rPr>
                <w:b/>
                <w:sz w:val="20"/>
              </w:rPr>
            </w:pPr>
            <w:r>
              <w:rPr>
                <w:b/>
                <w:spacing w:val="-2"/>
                <w:sz w:val="20"/>
              </w:rPr>
              <w:t>Equity</w:t>
            </w:r>
          </w:p>
        </w:tc>
        <w:tc>
          <w:tcPr>
            <w:tcW w:w="1147" w:type="dxa"/>
          </w:tcPr>
          <w:p>
            <w:pPr>
              <w:pStyle w:val="TableParagraph"/>
              <w:rPr>
                <w:rFonts w:ascii="Times New Roman"/>
                <w:sz w:val="18"/>
              </w:rPr>
            </w:pPr>
          </w:p>
        </w:tc>
        <w:tc>
          <w:tcPr>
            <w:tcW w:w="1277" w:type="dxa"/>
            <w:tcBorders>
              <w:top w:val="thinThickMediumGap" w:sz="4" w:space="0" w:color="000000"/>
            </w:tcBorders>
          </w:tcPr>
          <w:p>
            <w:pPr>
              <w:pStyle w:val="TableParagraph"/>
              <w:rPr>
                <w:rFonts w:ascii="Times New Roman"/>
                <w:sz w:val="18"/>
              </w:rPr>
            </w:pPr>
          </w:p>
        </w:tc>
        <w:tc>
          <w:tcPr>
            <w:tcW w:w="1277" w:type="dxa"/>
            <w:tcBorders>
              <w:top w:val="thinThickMediumGap" w:sz="4" w:space="0" w:color="000000"/>
            </w:tcBorders>
            <w:shd w:val="clear" w:color="auto" w:fill="DDEBF6"/>
          </w:tcPr>
          <w:p>
            <w:pPr>
              <w:pStyle w:val="TableParagraph"/>
              <w:rPr>
                <w:rFonts w:ascii="Times New Roman"/>
                <w:sz w:val="18"/>
              </w:rPr>
            </w:pPr>
          </w:p>
        </w:tc>
        <w:tc>
          <w:tcPr>
            <w:tcW w:w="1239" w:type="dxa"/>
            <w:tcBorders>
              <w:top w:val="thinThickMediumGap" w:sz="4" w:space="0" w:color="000000"/>
            </w:tcBorders>
          </w:tcPr>
          <w:p>
            <w:pPr>
              <w:pStyle w:val="TableParagraph"/>
              <w:rPr>
                <w:rFonts w:ascii="Times New Roman"/>
                <w:sz w:val="18"/>
              </w:rPr>
            </w:pPr>
          </w:p>
        </w:tc>
        <w:tc>
          <w:tcPr>
            <w:tcW w:w="1514" w:type="dxa"/>
            <w:tcBorders>
              <w:top w:val="thinThickMediumGap" w:sz="4" w:space="0" w:color="000000"/>
            </w:tcBorders>
          </w:tcPr>
          <w:p>
            <w:pPr>
              <w:pStyle w:val="TableParagraph"/>
              <w:rPr>
                <w:rFonts w:ascii="Times New Roman"/>
                <w:sz w:val="18"/>
              </w:rPr>
            </w:pPr>
          </w:p>
        </w:tc>
        <w:tc>
          <w:tcPr>
            <w:tcW w:w="1213" w:type="dxa"/>
            <w:tcBorders>
              <w:top w:val="thinThickMediumGap" w:sz="4" w:space="0" w:color="000000"/>
              <w:right w:val="single" w:sz="4" w:space="0" w:color="000000"/>
            </w:tcBorders>
          </w:tcPr>
          <w:p>
            <w:pPr>
              <w:pStyle w:val="TableParagraph"/>
              <w:rPr>
                <w:rFonts w:ascii="Times New Roman"/>
                <w:sz w:val="18"/>
              </w:rPr>
            </w:pPr>
          </w:p>
        </w:tc>
      </w:tr>
      <w:tr>
        <w:trPr>
          <w:trHeight w:val="280" w:hRule="atLeast"/>
        </w:trPr>
        <w:tc>
          <w:tcPr>
            <w:tcW w:w="3243" w:type="dxa"/>
            <w:tcBorders>
              <w:left w:val="single" w:sz="4" w:space="0" w:color="000000"/>
            </w:tcBorders>
          </w:tcPr>
          <w:p>
            <w:pPr>
              <w:pStyle w:val="TableParagraph"/>
              <w:spacing w:before="19"/>
              <w:ind w:left="107"/>
              <w:rPr>
                <w:sz w:val="20"/>
              </w:rPr>
            </w:pPr>
            <w:r>
              <w:rPr>
                <w:sz w:val="20"/>
              </w:rPr>
              <w:t>Accumulated</w:t>
            </w:r>
            <w:r>
              <w:rPr>
                <w:spacing w:val="-13"/>
                <w:sz w:val="20"/>
              </w:rPr>
              <w:t> </w:t>
            </w:r>
            <w:r>
              <w:rPr>
                <w:spacing w:val="-2"/>
                <w:sz w:val="20"/>
              </w:rPr>
              <w:t>surplus</w:t>
            </w:r>
          </w:p>
        </w:tc>
        <w:tc>
          <w:tcPr>
            <w:tcW w:w="1147" w:type="dxa"/>
          </w:tcPr>
          <w:p>
            <w:pPr>
              <w:pStyle w:val="TableParagraph"/>
              <w:rPr>
                <w:rFonts w:ascii="Times New Roman"/>
                <w:sz w:val="18"/>
              </w:rPr>
            </w:pPr>
          </w:p>
        </w:tc>
        <w:tc>
          <w:tcPr>
            <w:tcW w:w="1277" w:type="dxa"/>
          </w:tcPr>
          <w:p>
            <w:pPr>
              <w:pStyle w:val="TableParagraph"/>
              <w:spacing w:line="222" w:lineRule="exact" w:before="38"/>
              <w:ind w:right="104"/>
              <w:jc w:val="right"/>
              <w:rPr>
                <w:sz w:val="20"/>
              </w:rPr>
            </w:pPr>
            <w:r>
              <w:rPr>
                <w:spacing w:val="-2"/>
                <w:sz w:val="20"/>
              </w:rPr>
              <w:t>869,537</w:t>
            </w:r>
          </w:p>
        </w:tc>
        <w:tc>
          <w:tcPr>
            <w:tcW w:w="1277" w:type="dxa"/>
            <w:shd w:val="clear" w:color="auto" w:fill="DDEBF6"/>
          </w:tcPr>
          <w:p>
            <w:pPr>
              <w:pStyle w:val="TableParagraph"/>
              <w:spacing w:line="222" w:lineRule="exact" w:before="38"/>
              <w:ind w:right="104"/>
              <w:jc w:val="right"/>
              <w:rPr>
                <w:b/>
                <w:sz w:val="20"/>
              </w:rPr>
            </w:pPr>
            <w:r>
              <w:rPr>
                <w:b/>
                <w:spacing w:val="-2"/>
                <w:sz w:val="20"/>
              </w:rPr>
              <w:t>897,169</w:t>
            </w:r>
          </w:p>
        </w:tc>
        <w:tc>
          <w:tcPr>
            <w:tcW w:w="1239" w:type="dxa"/>
          </w:tcPr>
          <w:p>
            <w:pPr>
              <w:pStyle w:val="TableParagraph"/>
              <w:spacing w:line="222" w:lineRule="exact" w:before="38"/>
              <w:ind w:right="66"/>
              <w:jc w:val="right"/>
              <w:rPr>
                <w:sz w:val="20"/>
              </w:rPr>
            </w:pPr>
            <w:r>
              <w:rPr>
                <w:spacing w:val="-2"/>
                <w:sz w:val="20"/>
              </w:rPr>
              <w:t>906,041</w:t>
            </w:r>
          </w:p>
        </w:tc>
        <w:tc>
          <w:tcPr>
            <w:tcW w:w="1514" w:type="dxa"/>
          </w:tcPr>
          <w:p>
            <w:pPr>
              <w:pStyle w:val="TableParagraph"/>
              <w:spacing w:line="222" w:lineRule="exact" w:before="38"/>
              <w:ind w:right="164"/>
              <w:jc w:val="right"/>
              <w:rPr>
                <w:sz w:val="20"/>
              </w:rPr>
            </w:pPr>
            <w:r>
              <w:rPr>
                <w:spacing w:val="-2"/>
                <w:sz w:val="20"/>
              </w:rPr>
              <w:t>920,329</w:t>
            </w:r>
          </w:p>
        </w:tc>
        <w:tc>
          <w:tcPr>
            <w:tcW w:w="1213" w:type="dxa"/>
            <w:tcBorders>
              <w:right w:val="single" w:sz="4" w:space="0" w:color="000000"/>
            </w:tcBorders>
          </w:tcPr>
          <w:p>
            <w:pPr>
              <w:pStyle w:val="TableParagraph"/>
              <w:spacing w:line="222" w:lineRule="exact" w:before="38"/>
              <w:ind w:right="98"/>
              <w:jc w:val="right"/>
              <w:rPr>
                <w:sz w:val="20"/>
              </w:rPr>
            </w:pPr>
            <w:r>
              <w:rPr>
                <w:spacing w:val="-2"/>
                <w:sz w:val="20"/>
              </w:rPr>
              <w:t>944,584</w:t>
            </w:r>
          </w:p>
        </w:tc>
      </w:tr>
      <w:tr>
        <w:trPr>
          <w:trHeight w:val="264" w:hRule="atLeast"/>
        </w:trPr>
        <w:tc>
          <w:tcPr>
            <w:tcW w:w="3243" w:type="dxa"/>
            <w:tcBorders>
              <w:left w:val="single" w:sz="4" w:space="0" w:color="000000"/>
            </w:tcBorders>
          </w:tcPr>
          <w:p>
            <w:pPr>
              <w:pStyle w:val="TableParagraph"/>
              <w:spacing w:before="5"/>
              <w:ind w:left="107"/>
              <w:rPr>
                <w:sz w:val="20"/>
              </w:rPr>
            </w:pPr>
            <w:r>
              <w:rPr>
                <w:spacing w:val="-2"/>
                <w:sz w:val="20"/>
              </w:rPr>
              <w:t>Reserves</w:t>
            </w:r>
          </w:p>
        </w:tc>
        <w:tc>
          <w:tcPr>
            <w:tcW w:w="1147" w:type="dxa"/>
          </w:tcPr>
          <w:p>
            <w:pPr>
              <w:pStyle w:val="TableParagraph"/>
              <w:rPr>
                <w:rFonts w:ascii="Times New Roman"/>
                <w:sz w:val="18"/>
              </w:rPr>
            </w:pPr>
          </w:p>
        </w:tc>
        <w:tc>
          <w:tcPr>
            <w:tcW w:w="1277" w:type="dxa"/>
          </w:tcPr>
          <w:p>
            <w:pPr>
              <w:pStyle w:val="TableParagraph"/>
              <w:spacing w:line="222" w:lineRule="exact" w:before="22"/>
              <w:ind w:right="102"/>
              <w:jc w:val="right"/>
              <w:rPr>
                <w:sz w:val="20"/>
              </w:rPr>
            </w:pPr>
            <w:r>
              <w:rPr>
                <w:spacing w:val="-2"/>
                <w:sz w:val="20"/>
              </w:rPr>
              <w:t>1,236,769</w:t>
            </w:r>
          </w:p>
        </w:tc>
        <w:tc>
          <w:tcPr>
            <w:tcW w:w="1277" w:type="dxa"/>
            <w:shd w:val="clear" w:color="auto" w:fill="DDEBF6"/>
          </w:tcPr>
          <w:p>
            <w:pPr>
              <w:pStyle w:val="TableParagraph"/>
              <w:spacing w:line="222" w:lineRule="exact" w:before="22"/>
              <w:ind w:right="103"/>
              <w:jc w:val="right"/>
              <w:rPr>
                <w:b/>
                <w:sz w:val="20"/>
              </w:rPr>
            </w:pPr>
            <w:r>
              <w:rPr>
                <w:b/>
                <w:spacing w:val="-2"/>
                <w:sz w:val="20"/>
              </w:rPr>
              <w:t>1,239,269</w:t>
            </w:r>
          </w:p>
        </w:tc>
        <w:tc>
          <w:tcPr>
            <w:tcW w:w="1239" w:type="dxa"/>
          </w:tcPr>
          <w:p>
            <w:pPr>
              <w:pStyle w:val="TableParagraph"/>
              <w:spacing w:line="222" w:lineRule="exact" w:before="22"/>
              <w:ind w:right="65"/>
              <w:jc w:val="right"/>
              <w:rPr>
                <w:sz w:val="20"/>
              </w:rPr>
            </w:pPr>
            <w:r>
              <w:rPr>
                <w:spacing w:val="-2"/>
                <w:sz w:val="20"/>
              </w:rPr>
              <w:t>1,242,769</w:t>
            </w:r>
          </w:p>
        </w:tc>
        <w:tc>
          <w:tcPr>
            <w:tcW w:w="1514" w:type="dxa"/>
          </w:tcPr>
          <w:p>
            <w:pPr>
              <w:pStyle w:val="TableParagraph"/>
              <w:spacing w:line="222" w:lineRule="exact" w:before="22"/>
              <w:ind w:right="163"/>
              <w:jc w:val="right"/>
              <w:rPr>
                <w:sz w:val="20"/>
              </w:rPr>
            </w:pPr>
            <w:r>
              <w:rPr>
                <w:spacing w:val="-2"/>
                <w:sz w:val="20"/>
              </w:rPr>
              <w:t>1,243,769</w:t>
            </w:r>
          </w:p>
        </w:tc>
        <w:tc>
          <w:tcPr>
            <w:tcW w:w="1213" w:type="dxa"/>
            <w:tcBorders>
              <w:right w:val="single" w:sz="4" w:space="0" w:color="000000"/>
            </w:tcBorders>
          </w:tcPr>
          <w:p>
            <w:pPr>
              <w:pStyle w:val="TableParagraph"/>
              <w:spacing w:line="222" w:lineRule="exact" w:before="22"/>
              <w:ind w:right="96"/>
              <w:jc w:val="right"/>
              <w:rPr>
                <w:sz w:val="20"/>
              </w:rPr>
            </w:pPr>
            <w:r>
              <w:rPr>
                <w:spacing w:val="-2"/>
                <w:sz w:val="20"/>
              </w:rPr>
              <w:t>1,248,769</w:t>
            </w:r>
          </w:p>
        </w:tc>
      </w:tr>
      <w:tr>
        <w:trPr>
          <w:trHeight w:val="271" w:hRule="atLeast"/>
        </w:trPr>
        <w:tc>
          <w:tcPr>
            <w:tcW w:w="3243" w:type="dxa"/>
            <w:tcBorders>
              <w:left w:val="single" w:sz="4" w:space="0" w:color="000000"/>
              <w:bottom w:val="single" w:sz="4" w:space="0" w:color="000000"/>
            </w:tcBorders>
          </w:tcPr>
          <w:p>
            <w:pPr>
              <w:pStyle w:val="TableParagraph"/>
              <w:spacing w:before="5"/>
              <w:ind w:left="107"/>
              <w:rPr>
                <w:b/>
                <w:sz w:val="20"/>
              </w:rPr>
            </w:pPr>
            <w:r>
              <w:rPr>
                <w:b/>
                <w:sz w:val="20"/>
              </w:rPr>
              <w:t>Total</w:t>
            </w:r>
            <w:r>
              <w:rPr>
                <w:b/>
                <w:spacing w:val="-6"/>
                <w:sz w:val="20"/>
              </w:rPr>
              <w:t> </w:t>
            </w:r>
            <w:r>
              <w:rPr>
                <w:b/>
                <w:spacing w:val="-2"/>
                <w:sz w:val="20"/>
              </w:rPr>
              <w:t>equity</w:t>
            </w:r>
          </w:p>
        </w:tc>
        <w:tc>
          <w:tcPr>
            <w:tcW w:w="1147" w:type="dxa"/>
            <w:tcBorders>
              <w:bottom w:val="single" w:sz="4" w:space="0" w:color="000000"/>
            </w:tcBorders>
          </w:tcPr>
          <w:p>
            <w:pPr>
              <w:pStyle w:val="TableParagraph"/>
              <w:rPr>
                <w:rFonts w:ascii="Times New Roman"/>
                <w:sz w:val="18"/>
              </w:rPr>
            </w:pPr>
          </w:p>
        </w:tc>
        <w:tc>
          <w:tcPr>
            <w:tcW w:w="1277" w:type="dxa"/>
            <w:tcBorders>
              <w:bottom w:val="single" w:sz="4" w:space="0" w:color="000000"/>
            </w:tcBorders>
          </w:tcPr>
          <w:p>
            <w:pPr>
              <w:pStyle w:val="TableParagraph"/>
              <w:spacing w:line="227" w:lineRule="exact" w:before="24"/>
              <w:ind w:right="102"/>
              <w:jc w:val="right"/>
              <w:rPr>
                <w:sz w:val="20"/>
              </w:rPr>
            </w:pPr>
            <w:r>
              <w:rPr>
                <w:spacing w:val="-2"/>
                <w:sz w:val="20"/>
              </w:rPr>
              <w:t>2,106,306</w:t>
            </w:r>
          </w:p>
        </w:tc>
        <w:tc>
          <w:tcPr>
            <w:tcW w:w="1277" w:type="dxa"/>
            <w:tcBorders>
              <w:bottom w:val="single" w:sz="4" w:space="0" w:color="000000"/>
            </w:tcBorders>
            <w:shd w:val="clear" w:color="auto" w:fill="DDEBF6"/>
          </w:tcPr>
          <w:p>
            <w:pPr>
              <w:pStyle w:val="TableParagraph"/>
              <w:spacing w:line="227" w:lineRule="exact" w:before="24"/>
              <w:ind w:right="103"/>
              <w:jc w:val="right"/>
              <w:rPr>
                <w:b/>
                <w:sz w:val="20"/>
              </w:rPr>
            </w:pPr>
            <w:r>
              <w:rPr>
                <w:b/>
                <w:spacing w:val="-2"/>
                <w:sz w:val="20"/>
              </w:rPr>
              <w:t>2,136,438</w:t>
            </w:r>
          </w:p>
        </w:tc>
        <w:tc>
          <w:tcPr>
            <w:tcW w:w="1239" w:type="dxa"/>
            <w:tcBorders>
              <w:bottom w:val="single" w:sz="4" w:space="0" w:color="000000"/>
            </w:tcBorders>
          </w:tcPr>
          <w:p>
            <w:pPr>
              <w:pStyle w:val="TableParagraph"/>
              <w:spacing w:line="227" w:lineRule="exact" w:before="24"/>
              <w:ind w:right="65"/>
              <w:jc w:val="right"/>
              <w:rPr>
                <w:sz w:val="20"/>
              </w:rPr>
            </w:pPr>
            <w:r>
              <w:rPr>
                <w:spacing w:val="-2"/>
                <w:sz w:val="20"/>
              </w:rPr>
              <w:t>2,148,810</w:t>
            </w:r>
          </w:p>
        </w:tc>
        <w:tc>
          <w:tcPr>
            <w:tcW w:w="1514" w:type="dxa"/>
            <w:tcBorders>
              <w:bottom w:val="single" w:sz="4" w:space="0" w:color="000000"/>
            </w:tcBorders>
          </w:tcPr>
          <w:p>
            <w:pPr>
              <w:pStyle w:val="TableParagraph"/>
              <w:spacing w:line="227" w:lineRule="exact" w:before="24"/>
              <w:ind w:right="163"/>
              <w:jc w:val="right"/>
              <w:rPr>
                <w:sz w:val="20"/>
              </w:rPr>
            </w:pPr>
            <w:r>
              <w:rPr>
                <w:spacing w:val="-2"/>
                <w:sz w:val="20"/>
              </w:rPr>
              <w:t>2,164,098</w:t>
            </w:r>
          </w:p>
        </w:tc>
        <w:tc>
          <w:tcPr>
            <w:tcW w:w="1213" w:type="dxa"/>
            <w:tcBorders>
              <w:bottom w:val="single" w:sz="4" w:space="0" w:color="000000"/>
              <w:right w:val="single" w:sz="4" w:space="0" w:color="000000"/>
            </w:tcBorders>
          </w:tcPr>
          <w:p>
            <w:pPr>
              <w:pStyle w:val="TableParagraph"/>
              <w:spacing w:line="227" w:lineRule="exact" w:before="24"/>
              <w:ind w:right="96"/>
              <w:jc w:val="right"/>
              <w:rPr>
                <w:sz w:val="20"/>
              </w:rPr>
            </w:pPr>
            <w:r>
              <w:rPr>
                <w:spacing w:val="-2"/>
                <w:sz w:val="20"/>
              </w:rPr>
              <w:t>2,193,353</w:t>
            </w:r>
          </w:p>
        </w:tc>
      </w:tr>
    </w:tbl>
    <w:p>
      <w:pPr>
        <w:spacing w:after="0" w:line="227" w:lineRule="exact"/>
        <w:jc w:val="right"/>
        <w:rPr>
          <w:sz w:val="20"/>
        </w:rPr>
        <w:sectPr>
          <w:pgSz w:w="11910" w:h="16840"/>
          <w:pgMar w:header="0" w:footer="426" w:top="380" w:bottom="620" w:left="460" w:right="160"/>
        </w:sectPr>
      </w:pPr>
    </w:p>
    <w:p>
      <w:pPr>
        <w:pStyle w:val="BodyText"/>
        <w:spacing w:before="5"/>
        <w:rPr>
          <w:i/>
          <w:sz w:val="2"/>
        </w:rPr>
      </w:pPr>
    </w:p>
    <w:tbl>
      <w:tblPr>
        <w:tblW w:w="0" w:type="auto"/>
        <w:jc w:val="left"/>
        <w:tblInd w:w="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76"/>
        <w:gridCol w:w="1099"/>
        <w:gridCol w:w="1360"/>
        <w:gridCol w:w="1345"/>
        <w:gridCol w:w="1379"/>
        <w:gridCol w:w="1275"/>
      </w:tblGrid>
      <w:tr>
        <w:trPr>
          <w:trHeight w:val="919" w:hRule="atLeast"/>
        </w:trPr>
        <w:tc>
          <w:tcPr>
            <w:tcW w:w="10634" w:type="dxa"/>
            <w:gridSpan w:val="6"/>
            <w:tcBorders>
              <w:top w:val="single" w:sz="4" w:space="0" w:color="000000"/>
              <w:left w:val="single" w:sz="4" w:space="0" w:color="000000"/>
              <w:right w:val="single" w:sz="4" w:space="0" w:color="000000"/>
            </w:tcBorders>
          </w:tcPr>
          <w:p>
            <w:pPr>
              <w:pStyle w:val="TableParagraph"/>
              <w:ind w:left="107"/>
              <w:rPr>
                <w:b/>
                <w:sz w:val="24"/>
              </w:rPr>
            </w:pPr>
            <w:r>
              <w:rPr>
                <w:b/>
                <w:color w:val="4966AC"/>
                <w:sz w:val="24"/>
              </w:rPr>
              <w:t>Statement</w:t>
            </w:r>
            <w:r>
              <w:rPr>
                <w:b/>
                <w:color w:val="4966AC"/>
                <w:spacing w:val="-4"/>
                <w:sz w:val="24"/>
              </w:rPr>
              <w:t> </w:t>
            </w:r>
            <w:r>
              <w:rPr>
                <w:b/>
                <w:color w:val="4966AC"/>
                <w:sz w:val="24"/>
              </w:rPr>
              <w:t>of</w:t>
            </w:r>
            <w:r>
              <w:rPr>
                <w:b/>
                <w:color w:val="4966AC"/>
                <w:spacing w:val="-1"/>
                <w:sz w:val="24"/>
              </w:rPr>
              <w:t> </w:t>
            </w:r>
            <w:r>
              <w:rPr>
                <w:b/>
                <w:color w:val="4966AC"/>
                <w:sz w:val="24"/>
              </w:rPr>
              <w:t>Changes</w:t>
            </w:r>
            <w:r>
              <w:rPr>
                <w:b/>
                <w:color w:val="4966AC"/>
                <w:spacing w:val="3"/>
                <w:sz w:val="24"/>
              </w:rPr>
              <w:t> </w:t>
            </w:r>
            <w:r>
              <w:rPr>
                <w:b/>
                <w:color w:val="4966AC"/>
                <w:sz w:val="24"/>
              </w:rPr>
              <w:t>in</w:t>
            </w:r>
            <w:r>
              <w:rPr>
                <w:b/>
                <w:color w:val="4966AC"/>
                <w:spacing w:val="1"/>
                <w:sz w:val="24"/>
              </w:rPr>
              <w:t> </w:t>
            </w:r>
            <w:r>
              <w:rPr>
                <w:b/>
                <w:color w:val="4966AC"/>
                <w:spacing w:val="-2"/>
                <w:sz w:val="24"/>
              </w:rPr>
              <w:t>Equity</w:t>
            </w:r>
          </w:p>
          <w:p>
            <w:pPr>
              <w:pStyle w:val="TableParagraph"/>
              <w:spacing w:before="40"/>
              <w:ind w:left="107"/>
              <w:rPr>
                <w:sz w:val="22"/>
              </w:rPr>
            </w:pPr>
            <w:r>
              <w:rPr>
                <w:color w:val="4966AC"/>
                <w:sz w:val="22"/>
              </w:rPr>
              <w:t>For</w:t>
            </w:r>
            <w:r>
              <w:rPr>
                <w:color w:val="4966AC"/>
                <w:spacing w:val="-3"/>
                <w:sz w:val="22"/>
              </w:rPr>
              <w:t> </w:t>
            </w:r>
            <w:r>
              <w:rPr>
                <w:color w:val="4966AC"/>
                <w:sz w:val="22"/>
              </w:rPr>
              <w:t>the</w:t>
            </w:r>
            <w:r>
              <w:rPr>
                <w:color w:val="4966AC"/>
                <w:spacing w:val="-3"/>
                <w:sz w:val="22"/>
              </w:rPr>
              <w:t> </w:t>
            </w:r>
            <w:r>
              <w:rPr>
                <w:color w:val="4966AC"/>
                <w:sz w:val="22"/>
              </w:rPr>
              <w:t>four</w:t>
            </w:r>
            <w:r>
              <w:rPr>
                <w:color w:val="4966AC"/>
                <w:spacing w:val="-2"/>
                <w:sz w:val="22"/>
              </w:rPr>
              <w:t> </w:t>
            </w:r>
            <w:r>
              <w:rPr>
                <w:color w:val="4966AC"/>
                <w:sz w:val="22"/>
              </w:rPr>
              <w:t>years</w:t>
            </w:r>
            <w:r>
              <w:rPr>
                <w:color w:val="4966AC"/>
                <w:spacing w:val="-2"/>
                <w:sz w:val="22"/>
              </w:rPr>
              <w:t> </w:t>
            </w:r>
            <w:r>
              <w:rPr>
                <w:color w:val="4966AC"/>
                <w:sz w:val="22"/>
              </w:rPr>
              <w:t>ending</w:t>
            </w:r>
            <w:r>
              <w:rPr>
                <w:color w:val="4966AC"/>
                <w:spacing w:val="-3"/>
                <w:sz w:val="22"/>
              </w:rPr>
              <w:t> </w:t>
            </w:r>
            <w:r>
              <w:rPr>
                <w:color w:val="4966AC"/>
                <w:sz w:val="22"/>
              </w:rPr>
              <w:t>30</w:t>
            </w:r>
            <w:r>
              <w:rPr>
                <w:color w:val="4966AC"/>
                <w:spacing w:val="-2"/>
                <w:sz w:val="22"/>
              </w:rPr>
              <w:t> </w:t>
            </w:r>
            <w:r>
              <w:rPr>
                <w:color w:val="4966AC"/>
                <w:sz w:val="22"/>
              </w:rPr>
              <w:t>June</w:t>
            </w:r>
            <w:r>
              <w:rPr>
                <w:color w:val="4966AC"/>
                <w:spacing w:val="-3"/>
                <w:sz w:val="22"/>
              </w:rPr>
              <w:t> </w:t>
            </w:r>
            <w:r>
              <w:rPr>
                <w:color w:val="4966AC"/>
                <w:spacing w:val="-4"/>
                <w:sz w:val="22"/>
              </w:rPr>
              <w:t>2028</w:t>
            </w:r>
          </w:p>
        </w:tc>
      </w:tr>
      <w:tr>
        <w:trPr>
          <w:trHeight w:val="816" w:hRule="atLeast"/>
        </w:trPr>
        <w:tc>
          <w:tcPr>
            <w:tcW w:w="5275" w:type="dxa"/>
            <w:gridSpan w:val="2"/>
            <w:tcBorders>
              <w:left w:val="single" w:sz="4" w:space="0" w:color="000000"/>
            </w:tcBorders>
            <w:shd w:val="clear" w:color="auto" w:fill="5B9AD4"/>
          </w:tcPr>
          <w:p>
            <w:pPr>
              <w:pStyle w:val="TableParagraph"/>
              <w:rPr>
                <w:i/>
                <w:sz w:val="22"/>
              </w:rPr>
            </w:pPr>
          </w:p>
          <w:p>
            <w:pPr>
              <w:pStyle w:val="TableParagraph"/>
              <w:spacing w:before="8"/>
              <w:rPr>
                <w:i/>
                <w:sz w:val="25"/>
              </w:rPr>
            </w:pPr>
          </w:p>
          <w:p>
            <w:pPr>
              <w:pStyle w:val="TableParagraph"/>
              <w:ind w:right="107"/>
              <w:jc w:val="right"/>
              <w:rPr>
                <w:b/>
                <w:sz w:val="20"/>
              </w:rPr>
            </w:pPr>
            <w:r>
              <w:rPr>
                <w:b/>
                <w:color w:val="FFFFFF"/>
                <w:spacing w:val="-2"/>
                <w:sz w:val="20"/>
              </w:rPr>
              <w:t>NOTES</w:t>
            </w:r>
          </w:p>
        </w:tc>
        <w:tc>
          <w:tcPr>
            <w:tcW w:w="1360" w:type="dxa"/>
            <w:shd w:val="clear" w:color="auto" w:fill="5B9AD4"/>
          </w:tcPr>
          <w:p>
            <w:pPr>
              <w:pStyle w:val="TableParagraph"/>
              <w:spacing w:before="141"/>
              <w:ind w:left="432"/>
              <w:rPr>
                <w:b/>
                <w:sz w:val="20"/>
              </w:rPr>
            </w:pPr>
            <w:r>
              <w:rPr>
                <w:b/>
                <w:color w:val="FFFFFF"/>
                <w:spacing w:val="-2"/>
                <w:sz w:val="20"/>
              </w:rPr>
              <w:t>Total</w:t>
            </w:r>
          </w:p>
          <w:p>
            <w:pPr>
              <w:pStyle w:val="TableParagraph"/>
              <w:spacing w:before="178"/>
              <w:ind w:left="420"/>
              <w:rPr>
                <w:b/>
                <w:sz w:val="20"/>
              </w:rPr>
            </w:pPr>
            <w:r>
              <w:rPr>
                <w:b/>
                <w:color w:val="FFFFFF"/>
                <w:spacing w:val="-2"/>
                <w:sz w:val="20"/>
              </w:rPr>
              <w:t>$’000</w:t>
            </w:r>
          </w:p>
        </w:tc>
        <w:tc>
          <w:tcPr>
            <w:tcW w:w="1345" w:type="dxa"/>
            <w:shd w:val="clear" w:color="auto" w:fill="5B9AD4"/>
          </w:tcPr>
          <w:p>
            <w:pPr>
              <w:pStyle w:val="TableParagraph"/>
              <w:spacing w:before="75"/>
              <w:ind w:left="145" w:right="190"/>
              <w:jc w:val="center"/>
              <w:rPr>
                <w:b/>
                <w:sz w:val="16"/>
              </w:rPr>
            </w:pPr>
            <w:r>
              <w:rPr>
                <w:b/>
                <w:color w:val="FFFFFF"/>
                <w:spacing w:val="-2"/>
                <w:sz w:val="16"/>
              </w:rPr>
              <w:t>Accumulated Surplus</w:t>
            </w:r>
          </w:p>
          <w:p>
            <w:pPr>
              <w:pStyle w:val="TableParagraph"/>
              <w:spacing w:before="106"/>
              <w:ind w:left="142" w:right="190"/>
              <w:jc w:val="center"/>
              <w:rPr>
                <w:b/>
                <w:sz w:val="20"/>
              </w:rPr>
            </w:pPr>
            <w:r>
              <w:rPr>
                <w:b/>
                <w:color w:val="FFFFFF"/>
                <w:spacing w:val="-2"/>
                <w:sz w:val="20"/>
              </w:rPr>
              <w:t>$’000</w:t>
            </w:r>
          </w:p>
        </w:tc>
        <w:tc>
          <w:tcPr>
            <w:tcW w:w="1379" w:type="dxa"/>
            <w:shd w:val="clear" w:color="auto" w:fill="5B9AD4"/>
          </w:tcPr>
          <w:p>
            <w:pPr>
              <w:pStyle w:val="TableParagraph"/>
              <w:spacing w:before="49"/>
              <w:ind w:left="141" w:right="213"/>
              <w:jc w:val="center"/>
              <w:rPr>
                <w:b/>
                <w:sz w:val="18"/>
              </w:rPr>
            </w:pPr>
            <w:r>
              <w:rPr>
                <w:b/>
                <w:color w:val="FFFFFF"/>
                <w:spacing w:val="-2"/>
                <w:sz w:val="18"/>
              </w:rPr>
              <w:t>Revaluation Reserve</w:t>
            </w:r>
          </w:p>
          <w:p>
            <w:pPr>
              <w:pStyle w:val="TableParagraph"/>
              <w:spacing w:before="86"/>
              <w:ind w:left="141" w:right="211"/>
              <w:jc w:val="center"/>
              <w:rPr>
                <w:b/>
                <w:sz w:val="20"/>
              </w:rPr>
            </w:pPr>
            <w:r>
              <w:rPr>
                <w:b/>
                <w:color w:val="FFFFFF"/>
                <w:spacing w:val="-2"/>
                <w:sz w:val="20"/>
              </w:rPr>
              <w:t>$’000</w:t>
            </w:r>
          </w:p>
        </w:tc>
        <w:tc>
          <w:tcPr>
            <w:tcW w:w="1275" w:type="dxa"/>
            <w:tcBorders>
              <w:right w:val="single" w:sz="4" w:space="0" w:color="000000"/>
            </w:tcBorders>
            <w:shd w:val="clear" w:color="auto" w:fill="5B9AD4"/>
          </w:tcPr>
          <w:p>
            <w:pPr>
              <w:pStyle w:val="TableParagraph"/>
              <w:spacing w:before="28"/>
              <w:ind w:left="163" w:firstLine="180"/>
              <w:rPr>
                <w:b/>
                <w:sz w:val="20"/>
              </w:rPr>
            </w:pPr>
            <w:r>
              <w:rPr>
                <w:b/>
                <w:color w:val="FFFFFF"/>
                <w:spacing w:val="-2"/>
                <w:sz w:val="20"/>
              </w:rPr>
              <w:t>Other Reserves</w:t>
            </w:r>
          </w:p>
          <w:p>
            <w:pPr>
              <w:pStyle w:val="TableParagraph"/>
              <w:spacing w:before="61"/>
              <w:ind w:left="358"/>
              <w:rPr>
                <w:b/>
                <w:sz w:val="20"/>
              </w:rPr>
            </w:pPr>
            <w:r>
              <w:rPr>
                <w:b/>
                <w:color w:val="FFFFFF"/>
                <w:spacing w:val="-2"/>
                <w:sz w:val="20"/>
              </w:rPr>
              <w:t>$’000</w:t>
            </w:r>
          </w:p>
        </w:tc>
      </w:tr>
      <w:tr>
        <w:trPr>
          <w:trHeight w:val="305" w:hRule="atLeast"/>
        </w:trPr>
        <w:tc>
          <w:tcPr>
            <w:tcW w:w="5275" w:type="dxa"/>
            <w:gridSpan w:val="2"/>
            <w:tcBorders>
              <w:left w:val="single" w:sz="4" w:space="0" w:color="000000"/>
            </w:tcBorders>
          </w:tcPr>
          <w:p>
            <w:pPr>
              <w:pStyle w:val="TableParagraph"/>
              <w:spacing w:before="35"/>
              <w:ind w:left="107"/>
              <w:rPr>
                <w:b/>
                <w:sz w:val="20"/>
              </w:rPr>
            </w:pPr>
            <w:r>
              <w:rPr>
                <w:b/>
                <w:sz w:val="20"/>
              </w:rPr>
              <w:t>2024</w:t>
            </w:r>
            <w:r>
              <w:rPr>
                <w:b/>
                <w:spacing w:val="-8"/>
                <w:sz w:val="20"/>
              </w:rPr>
              <w:t> </w:t>
            </w:r>
            <w:r>
              <w:rPr>
                <w:b/>
                <w:sz w:val="20"/>
              </w:rPr>
              <w:t>Forecast</w:t>
            </w:r>
            <w:r>
              <w:rPr>
                <w:b/>
                <w:spacing w:val="-7"/>
                <w:sz w:val="20"/>
              </w:rPr>
              <w:t> </w:t>
            </w:r>
            <w:r>
              <w:rPr>
                <w:b/>
                <w:spacing w:val="-2"/>
                <w:sz w:val="20"/>
              </w:rPr>
              <w:t>Actual</w:t>
            </w:r>
          </w:p>
        </w:tc>
        <w:tc>
          <w:tcPr>
            <w:tcW w:w="1360" w:type="dxa"/>
          </w:tcPr>
          <w:p>
            <w:pPr>
              <w:pStyle w:val="TableParagraph"/>
              <w:rPr>
                <w:rFonts w:ascii="Times New Roman"/>
                <w:sz w:val="18"/>
              </w:rPr>
            </w:pPr>
          </w:p>
        </w:tc>
        <w:tc>
          <w:tcPr>
            <w:tcW w:w="1345" w:type="dxa"/>
          </w:tcPr>
          <w:p>
            <w:pPr>
              <w:pStyle w:val="TableParagraph"/>
              <w:rPr>
                <w:rFonts w:ascii="Times New Roman"/>
                <w:sz w:val="18"/>
              </w:rPr>
            </w:pPr>
          </w:p>
        </w:tc>
        <w:tc>
          <w:tcPr>
            <w:tcW w:w="1379" w:type="dxa"/>
          </w:tcPr>
          <w:p>
            <w:pPr>
              <w:pStyle w:val="TableParagraph"/>
              <w:rPr>
                <w:rFonts w:ascii="Times New Roman"/>
                <w:sz w:val="18"/>
              </w:rPr>
            </w:pPr>
          </w:p>
        </w:tc>
        <w:tc>
          <w:tcPr>
            <w:tcW w:w="1275" w:type="dxa"/>
            <w:tcBorders>
              <w:right w:val="single" w:sz="4" w:space="0" w:color="000000"/>
            </w:tcBorders>
          </w:tcPr>
          <w:p>
            <w:pPr>
              <w:pStyle w:val="TableParagraph"/>
              <w:rPr>
                <w:rFonts w:ascii="Times New Roman"/>
                <w:sz w:val="18"/>
              </w:rPr>
            </w:pPr>
          </w:p>
        </w:tc>
      </w:tr>
      <w:tr>
        <w:trPr>
          <w:trHeight w:val="320" w:hRule="atLeast"/>
        </w:trPr>
        <w:tc>
          <w:tcPr>
            <w:tcW w:w="5275" w:type="dxa"/>
            <w:gridSpan w:val="2"/>
            <w:tcBorders>
              <w:left w:val="single" w:sz="4" w:space="0" w:color="000000"/>
            </w:tcBorders>
          </w:tcPr>
          <w:p>
            <w:pPr>
              <w:pStyle w:val="TableParagraph"/>
              <w:spacing w:before="32"/>
              <w:ind w:left="107"/>
              <w:rPr>
                <w:sz w:val="20"/>
              </w:rPr>
            </w:pPr>
            <w:r>
              <w:rPr>
                <w:sz w:val="20"/>
              </w:rPr>
              <w:t>Balance</w:t>
            </w:r>
            <w:r>
              <w:rPr>
                <w:spacing w:val="-6"/>
                <w:sz w:val="20"/>
              </w:rPr>
              <w:t> </w:t>
            </w:r>
            <w:r>
              <w:rPr>
                <w:sz w:val="20"/>
              </w:rPr>
              <w:t>at</w:t>
            </w:r>
            <w:r>
              <w:rPr>
                <w:spacing w:val="-6"/>
                <w:sz w:val="20"/>
              </w:rPr>
              <w:t> </w:t>
            </w:r>
            <w:r>
              <w:rPr>
                <w:sz w:val="20"/>
              </w:rPr>
              <w:t>beginning</w:t>
            </w:r>
            <w:r>
              <w:rPr>
                <w:spacing w:val="-4"/>
                <w:sz w:val="20"/>
              </w:rPr>
              <w:t> </w:t>
            </w:r>
            <w:r>
              <w:rPr>
                <w:sz w:val="20"/>
              </w:rPr>
              <w:t>of</w:t>
            </w:r>
            <w:r>
              <w:rPr>
                <w:spacing w:val="-6"/>
                <w:sz w:val="20"/>
              </w:rPr>
              <w:t> </w:t>
            </w:r>
            <w:r>
              <w:rPr>
                <w:sz w:val="20"/>
              </w:rPr>
              <w:t>the</w:t>
            </w:r>
            <w:r>
              <w:rPr>
                <w:spacing w:val="-4"/>
                <w:sz w:val="20"/>
              </w:rPr>
              <w:t> </w:t>
            </w:r>
            <w:r>
              <w:rPr>
                <w:sz w:val="20"/>
              </w:rPr>
              <w:t>financial</w:t>
            </w:r>
            <w:r>
              <w:rPr>
                <w:spacing w:val="-7"/>
                <w:sz w:val="20"/>
              </w:rPr>
              <w:t> </w:t>
            </w:r>
            <w:r>
              <w:rPr>
                <w:spacing w:val="-4"/>
                <w:sz w:val="20"/>
              </w:rPr>
              <w:t>year</w:t>
            </w:r>
          </w:p>
        </w:tc>
        <w:tc>
          <w:tcPr>
            <w:tcW w:w="1360" w:type="dxa"/>
          </w:tcPr>
          <w:p>
            <w:pPr>
              <w:pStyle w:val="TableParagraph"/>
              <w:spacing w:before="68"/>
              <w:ind w:right="132"/>
              <w:jc w:val="right"/>
              <w:rPr>
                <w:sz w:val="20"/>
              </w:rPr>
            </w:pPr>
            <w:r>
              <w:rPr>
                <w:spacing w:val="-2"/>
                <w:sz w:val="20"/>
              </w:rPr>
              <w:t>2,094,698</w:t>
            </w:r>
          </w:p>
        </w:tc>
        <w:tc>
          <w:tcPr>
            <w:tcW w:w="1345" w:type="dxa"/>
          </w:tcPr>
          <w:p>
            <w:pPr>
              <w:pStyle w:val="TableParagraph"/>
              <w:spacing w:before="68"/>
              <w:ind w:right="129"/>
              <w:jc w:val="right"/>
              <w:rPr>
                <w:sz w:val="20"/>
              </w:rPr>
            </w:pPr>
            <w:r>
              <w:rPr>
                <w:spacing w:val="-2"/>
                <w:sz w:val="20"/>
              </w:rPr>
              <w:t>846,929</w:t>
            </w:r>
          </w:p>
        </w:tc>
        <w:tc>
          <w:tcPr>
            <w:tcW w:w="1379" w:type="dxa"/>
          </w:tcPr>
          <w:p>
            <w:pPr>
              <w:pStyle w:val="TableParagraph"/>
              <w:spacing w:before="68"/>
              <w:ind w:right="156"/>
              <w:jc w:val="right"/>
              <w:rPr>
                <w:sz w:val="20"/>
              </w:rPr>
            </w:pPr>
            <w:r>
              <w:rPr>
                <w:spacing w:val="-2"/>
                <w:sz w:val="20"/>
              </w:rPr>
              <w:t>1,235,769</w:t>
            </w:r>
          </w:p>
        </w:tc>
        <w:tc>
          <w:tcPr>
            <w:tcW w:w="1275" w:type="dxa"/>
            <w:tcBorders>
              <w:right w:val="single" w:sz="4" w:space="0" w:color="000000"/>
            </w:tcBorders>
          </w:tcPr>
          <w:p>
            <w:pPr>
              <w:pStyle w:val="TableParagraph"/>
              <w:spacing w:before="68"/>
              <w:ind w:right="98"/>
              <w:jc w:val="right"/>
              <w:rPr>
                <w:sz w:val="20"/>
              </w:rPr>
            </w:pPr>
            <w:r>
              <w:rPr>
                <w:spacing w:val="-2"/>
                <w:sz w:val="20"/>
              </w:rPr>
              <w:t>12,000</w:t>
            </w:r>
          </w:p>
        </w:tc>
      </w:tr>
      <w:tr>
        <w:trPr>
          <w:trHeight w:val="302" w:hRule="atLeast"/>
        </w:trPr>
        <w:tc>
          <w:tcPr>
            <w:tcW w:w="5275" w:type="dxa"/>
            <w:gridSpan w:val="2"/>
            <w:tcBorders>
              <w:left w:val="single" w:sz="4" w:space="0" w:color="000000"/>
            </w:tcBorders>
          </w:tcPr>
          <w:p>
            <w:pPr>
              <w:pStyle w:val="TableParagraph"/>
              <w:spacing w:before="14"/>
              <w:ind w:left="107"/>
              <w:rPr>
                <w:sz w:val="20"/>
              </w:rPr>
            </w:pPr>
            <w:r>
              <w:rPr>
                <w:sz w:val="20"/>
              </w:rPr>
              <w:t>Surplus/(deficit)</w:t>
            </w:r>
            <w:r>
              <w:rPr>
                <w:spacing w:val="-10"/>
                <w:sz w:val="20"/>
              </w:rPr>
              <w:t> </w:t>
            </w:r>
            <w:r>
              <w:rPr>
                <w:sz w:val="20"/>
              </w:rPr>
              <w:t>for</w:t>
            </w:r>
            <w:r>
              <w:rPr>
                <w:spacing w:val="-6"/>
                <w:sz w:val="20"/>
              </w:rPr>
              <w:t> </w:t>
            </w:r>
            <w:r>
              <w:rPr>
                <w:sz w:val="20"/>
              </w:rPr>
              <w:t>the</w:t>
            </w:r>
            <w:r>
              <w:rPr>
                <w:spacing w:val="-5"/>
                <w:sz w:val="20"/>
              </w:rPr>
              <w:t> </w:t>
            </w:r>
            <w:r>
              <w:rPr>
                <w:spacing w:val="-4"/>
                <w:sz w:val="20"/>
              </w:rPr>
              <w:t>year</w:t>
            </w:r>
          </w:p>
        </w:tc>
        <w:tc>
          <w:tcPr>
            <w:tcW w:w="1360" w:type="dxa"/>
          </w:tcPr>
          <w:p>
            <w:pPr>
              <w:pStyle w:val="TableParagraph"/>
              <w:spacing w:before="50"/>
              <w:ind w:right="133"/>
              <w:jc w:val="right"/>
              <w:rPr>
                <w:sz w:val="20"/>
              </w:rPr>
            </w:pPr>
            <w:r>
              <w:rPr>
                <w:spacing w:val="-2"/>
                <w:sz w:val="20"/>
              </w:rPr>
              <w:t>11,608</w:t>
            </w:r>
          </w:p>
        </w:tc>
        <w:tc>
          <w:tcPr>
            <w:tcW w:w="1345" w:type="dxa"/>
          </w:tcPr>
          <w:p>
            <w:pPr>
              <w:pStyle w:val="TableParagraph"/>
              <w:spacing w:before="50"/>
              <w:ind w:right="131"/>
              <w:jc w:val="right"/>
              <w:rPr>
                <w:sz w:val="20"/>
              </w:rPr>
            </w:pPr>
            <w:r>
              <w:rPr>
                <w:spacing w:val="-2"/>
                <w:sz w:val="20"/>
              </w:rPr>
              <w:t>11,608</w:t>
            </w:r>
          </w:p>
        </w:tc>
        <w:tc>
          <w:tcPr>
            <w:tcW w:w="1379" w:type="dxa"/>
          </w:tcPr>
          <w:p>
            <w:pPr>
              <w:pStyle w:val="TableParagraph"/>
              <w:spacing w:before="50"/>
              <w:ind w:right="156"/>
              <w:jc w:val="right"/>
              <w:rPr>
                <w:sz w:val="20"/>
              </w:rPr>
            </w:pPr>
            <w:r>
              <w:rPr>
                <w:w w:val="99"/>
                <w:sz w:val="20"/>
              </w:rPr>
              <w:t>-</w:t>
            </w:r>
          </w:p>
        </w:tc>
        <w:tc>
          <w:tcPr>
            <w:tcW w:w="1275" w:type="dxa"/>
            <w:tcBorders>
              <w:right w:val="single" w:sz="4" w:space="0" w:color="000000"/>
            </w:tcBorders>
          </w:tcPr>
          <w:p>
            <w:pPr>
              <w:pStyle w:val="TableParagraph"/>
              <w:spacing w:before="50"/>
              <w:ind w:right="96"/>
              <w:jc w:val="right"/>
              <w:rPr>
                <w:sz w:val="20"/>
              </w:rPr>
            </w:pPr>
            <w:r>
              <w:rPr>
                <w:w w:val="99"/>
                <w:sz w:val="20"/>
              </w:rPr>
              <w:t>-</w:t>
            </w:r>
          </w:p>
        </w:tc>
      </w:tr>
      <w:tr>
        <w:trPr>
          <w:trHeight w:val="306" w:hRule="atLeast"/>
        </w:trPr>
        <w:tc>
          <w:tcPr>
            <w:tcW w:w="5275" w:type="dxa"/>
            <w:gridSpan w:val="2"/>
            <w:tcBorders>
              <w:left w:val="single" w:sz="4" w:space="0" w:color="000000"/>
            </w:tcBorders>
          </w:tcPr>
          <w:p>
            <w:pPr>
              <w:pStyle w:val="TableParagraph"/>
              <w:spacing w:before="14"/>
              <w:ind w:left="107"/>
              <w:rPr>
                <w:sz w:val="20"/>
              </w:rPr>
            </w:pPr>
            <w:r>
              <w:rPr>
                <w:sz w:val="20"/>
              </w:rPr>
              <w:t>Transfers</w:t>
            </w:r>
            <w:r>
              <w:rPr>
                <w:spacing w:val="-4"/>
                <w:sz w:val="20"/>
              </w:rPr>
              <w:t> </w:t>
            </w:r>
            <w:r>
              <w:rPr>
                <w:sz w:val="20"/>
              </w:rPr>
              <w:t>to</w:t>
            </w:r>
            <w:r>
              <w:rPr>
                <w:spacing w:val="-5"/>
                <w:sz w:val="20"/>
              </w:rPr>
              <w:t> </w:t>
            </w:r>
            <w:r>
              <w:rPr>
                <w:sz w:val="20"/>
              </w:rPr>
              <w:t>/</w:t>
            </w:r>
            <w:r>
              <w:rPr>
                <w:spacing w:val="-4"/>
                <w:sz w:val="20"/>
              </w:rPr>
              <w:t> </w:t>
            </w:r>
            <w:r>
              <w:rPr>
                <w:sz w:val="20"/>
              </w:rPr>
              <w:t>from</w:t>
            </w:r>
            <w:r>
              <w:rPr>
                <w:spacing w:val="-6"/>
                <w:sz w:val="20"/>
              </w:rPr>
              <w:t> </w:t>
            </w:r>
            <w:r>
              <w:rPr>
                <w:sz w:val="20"/>
              </w:rPr>
              <w:t>general</w:t>
            </w:r>
            <w:r>
              <w:rPr>
                <w:spacing w:val="-2"/>
                <w:sz w:val="20"/>
              </w:rPr>
              <w:t> reserve</w:t>
            </w:r>
          </w:p>
        </w:tc>
        <w:tc>
          <w:tcPr>
            <w:tcW w:w="1360" w:type="dxa"/>
          </w:tcPr>
          <w:p>
            <w:pPr>
              <w:pStyle w:val="TableParagraph"/>
              <w:spacing w:before="50"/>
              <w:ind w:right="132"/>
              <w:jc w:val="right"/>
              <w:rPr>
                <w:sz w:val="20"/>
              </w:rPr>
            </w:pPr>
            <w:r>
              <w:rPr>
                <w:w w:val="99"/>
                <w:sz w:val="20"/>
              </w:rPr>
              <w:t>-</w:t>
            </w:r>
          </w:p>
        </w:tc>
        <w:tc>
          <w:tcPr>
            <w:tcW w:w="1345" w:type="dxa"/>
          </w:tcPr>
          <w:p>
            <w:pPr>
              <w:pStyle w:val="TableParagraph"/>
              <w:spacing w:before="50"/>
              <w:ind w:right="128"/>
              <w:jc w:val="right"/>
              <w:rPr>
                <w:sz w:val="20"/>
              </w:rPr>
            </w:pPr>
            <w:r>
              <w:rPr>
                <w:w w:val="99"/>
                <w:sz w:val="20"/>
              </w:rPr>
              <w:t>-</w:t>
            </w:r>
          </w:p>
        </w:tc>
        <w:tc>
          <w:tcPr>
            <w:tcW w:w="1379" w:type="dxa"/>
          </w:tcPr>
          <w:p>
            <w:pPr>
              <w:pStyle w:val="TableParagraph"/>
              <w:spacing w:before="50"/>
              <w:ind w:right="156"/>
              <w:jc w:val="right"/>
              <w:rPr>
                <w:sz w:val="20"/>
              </w:rPr>
            </w:pPr>
            <w:r>
              <w:rPr>
                <w:w w:val="99"/>
                <w:sz w:val="20"/>
              </w:rPr>
              <w:t>-</w:t>
            </w:r>
          </w:p>
        </w:tc>
        <w:tc>
          <w:tcPr>
            <w:tcW w:w="1275" w:type="dxa"/>
            <w:tcBorders>
              <w:right w:val="single" w:sz="4" w:space="0" w:color="000000"/>
            </w:tcBorders>
          </w:tcPr>
          <w:p>
            <w:pPr>
              <w:pStyle w:val="TableParagraph"/>
              <w:spacing w:before="50"/>
              <w:ind w:right="96"/>
              <w:jc w:val="right"/>
              <w:rPr>
                <w:sz w:val="20"/>
              </w:rPr>
            </w:pPr>
            <w:r>
              <w:rPr>
                <w:w w:val="99"/>
                <w:sz w:val="20"/>
              </w:rPr>
              <w:t>-</w:t>
            </w:r>
          </w:p>
        </w:tc>
      </w:tr>
      <w:tr>
        <w:trPr>
          <w:trHeight w:val="290" w:hRule="atLeast"/>
        </w:trPr>
        <w:tc>
          <w:tcPr>
            <w:tcW w:w="5275" w:type="dxa"/>
            <w:gridSpan w:val="2"/>
            <w:tcBorders>
              <w:left w:val="single" w:sz="4" w:space="0" w:color="000000"/>
            </w:tcBorders>
          </w:tcPr>
          <w:p>
            <w:pPr>
              <w:pStyle w:val="TableParagraph"/>
              <w:spacing w:before="18"/>
              <w:ind w:left="107"/>
              <w:rPr>
                <w:b/>
                <w:sz w:val="20"/>
              </w:rPr>
            </w:pPr>
            <w:r>
              <w:rPr>
                <w:b/>
                <w:sz w:val="20"/>
              </w:rPr>
              <w:t>Balance</w:t>
            </w:r>
            <w:r>
              <w:rPr>
                <w:b/>
                <w:spacing w:val="-8"/>
                <w:sz w:val="20"/>
              </w:rPr>
              <w:t> </w:t>
            </w:r>
            <w:r>
              <w:rPr>
                <w:b/>
                <w:sz w:val="20"/>
              </w:rPr>
              <w:t>at</w:t>
            </w:r>
            <w:r>
              <w:rPr>
                <w:b/>
                <w:spacing w:val="-3"/>
                <w:sz w:val="20"/>
              </w:rPr>
              <w:t> </w:t>
            </w:r>
            <w:r>
              <w:rPr>
                <w:b/>
                <w:sz w:val="20"/>
              </w:rPr>
              <w:t>end</w:t>
            </w:r>
            <w:r>
              <w:rPr>
                <w:b/>
                <w:spacing w:val="-5"/>
                <w:sz w:val="20"/>
              </w:rPr>
              <w:t> </w:t>
            </w:r>
            <w:r>
              <w:rPr>
                <w:b/>
                <w:sz w:val="20"/>
              </w:rPr>
              <w:t>of</w:t>
            </w:r>
            <w:r>
              <w:rPr>
                <w:b/>
                <w:spacing w:val="-3"/>
                <w:sz w:val="20"/>
              </w:rPr>
              <w:t> </w:t>
            </w:r>
            <w:r>
              <w:rPr>
                <w:b/>
                <w:sz w:val="20"/>
              </w:rPr>
              <w:t>the</w:t>
            </w:r>
            <w:r>
              <w:rPr>
                <w:b/>
                <w:spacing w:val="-5"/>
                <w:sz w:val="20"/>
              </w:rPr>
              <w:t> </w:t>
            </w:r>
            <w:r>
              <w:rPr>
                <w:b/>
                <w:sz w:val="20"/>
              </w:rPr>
              <w:t>financial</w:t>
            </w:r>
            <w:r>
              <w:rPr>
                <w:b/>
                <w:spacing w:val="-5"/>
                <w:sz w:val="20"/>
              </w:rPr>
              <w:t> </w:t>
            </w:r>
            <w:r>
              <w:rPr>
                <w:b/>
                <w:spacing w:val="-4"/>
                <w:sz w:val="20"/>
              </w:rPr>
              <w:t>year</w:t>
            </w:r>
          </w:p>
        </w:tc>
        <w:tc>
          <w:tcPr>
            <w:tcW w:w="1360" w:type="dxa"/>
            <w:tcBorders>
              <w:bottom w:val="thickThinMediumGap" w:sz="4" w:space="0" w:color="000000"/>
            </w:tcBorders>
          </w:tcPr>
          <w:p>
            <w:pPr>
              <w:pStyle w:val="TableParagraph"/>
              <w:spacing w:line="209" w:lineRule="exact" w:before="61"/>
              <w:ind w:right="132"/>
              <w:jc w:val="right"/>
              <w:rPr>
                <w:b/>
                <w:sz w:val="20"/>
              </w:rPr>
            </w:pPr>
            <w:r>
              <w:rPr>
                <w:b/>
                <w:spacing w:val="-2"/>
                <w:sz w:val="20"/>
              </w:rPr>
              <w:t>2,106,306</w:t>
            </w:r>
          </w:p>
        </w:tc>
        <w:tc>
          <w:tcPr>
            <w:tcW w:w="1345" w:type="dxa"/>
            <w:tcBorders>
              <w:bottom w:val="thickThinMediumGap" w:sz="4" w:space="0" w:color="000000"/>
            </w:tcBorders>
          </w:tcPr>
          <w:p>
            <w:pPr>
              <w:pStyle w:val="TableParagraph"/>
              <w:spacing w:line="209" w:lineRule="exact" w:before="61"/>
              <w:ind w:right="129"/>
              <w:jc w:val="right"/>
              <w:rPr>
                <w:b/>
                <w:sz w:val="20"/>
              </w:rPr>
            </w:pPr>
            <w:r>
              <w:rPr>
                <w:b/>
                <w:spacing w:val="-2"/>
                <w:sz w:val="20"/>
              </w:rPr>
              <w:t>858,537</w:t>
            </w:r>
          </w:p>
        </w:tc>
        <w:tc>
          <w:tcPr>
            <w:tcW w:w="1379" w:type="dxa"/>
            <w:tcBorders>
              <w:bottom w:val="thickThinMediumGap" w:sz="4" w:space="0" w:color="000000"/>
            </w:tcBorders>
          </w:tcPr>
          <w:p>
            <w:pPr>
              <w:pStyle w:val="TableParagraph"/>
              <w:spacing w:line="209" w:lineRule="exact" w:before="61"/>
              <w:ind w:right="156"/>
              <w:jc w:val="right"/>
              <w:rPr>
                <w:b/>
                <w:sz w:val="20"/>
              </w:rPr>
            </w:pPr>
            <w:r>
              <w:rPr>
                <w:b/>
                <w:spacing w:val="-2"/>
                <w:sz w:val="20"/>
              </w:rPr>
              <w:t>1,235,769</w:t>
            </w:r>
          </w:p>
        </w:tc>
        <w:tc>
          <w:tcPr>
            <w:tcW w:w="1275" w:type="dxa"/>
            <w:tcBorders>
              <w:bottom w:val="thickThinMediumGap" w:sz="4" w:space="0" w:color="000000"/>
              <w:right w:val="single" w:sz="4" w:space="0" w:color="000000"/>
            </w:tcBorders>
          </w:tcPr>
          <w:p>
            <w:pPr>
              <w:pStyle w:val="TableParagraph"/>
              <w:spacing w:line="209" w:lineRule="exact" w:before="61"/>
              <w:ind w:right="98"/>
              <w:jc w:val="right"/>
              <w:rPr>
                <w:b/>
                <w:sz w:val="20"/>
              </w:rPr>
            </w:pPr>
            <w:r>
              <w:rPr>
                <w:b/>
                <w:spacing w:val="-2"/>
                <w:sz w:val="20"/>
              </w:rPr>
              <w:t>12,000</w:t>
            </w:r>
          </w:p>
        </w:tc>
      </w:tr>
      <w:tr>
        <w:trPr>
          <w:trHeight w:val="314" w:hRule="atLeast"/>
        </w:trPr>
        <w:tc>
          <w:tcPr>
            <w:tcW w:w="5275" w:type="dxa"/>
            <w:gridSpan w:val="2"/>
            <w:tcBorders>
              <w:left w:val="single" w:sz="4" w:space="0" w:color="000000"/>
            </w:tcBorders>
          </w:tcPr>
          <w:p>
            <w:pPr>
              <w:pStyle w:val="TableParagraph"/>
              <w:rPr>
                <w:rFonts w:ascii="Times New Roman"/>
                <w:sz w:val="18"/>
              </w:rPr>
            </w:pPr>
          </w:p>
        </w:tc>
        <w:tc>
          <w:tcPr>
            <w:tcW w:w="5359" w:type="dxa"/>
            <w:gridSpan w:val="4"/>
            <w:tcBorders>
              <w:top w:val="thinThickMediumGap" w:sz="4" w:space="0" w:color="000000"/>
              <w:right w:val="single" w:sz="4" w:space="0" w:color="000000"/>
            </w:tcBorders>
          </w:tcPr>
          <w:p>
            <w:pPr>
              <w:pStyle w:val="TableParagraph"/>
              <w:rPr>
                <w:rFonts w:ascii="Times New Roman"/>
                <w:sz w:val="18"/>
              </w:rPr>
            </w:pPr>
          </w:p>
        </w:tc>
      </w:tr>
      <w:tr>
        <w:trPr>
          <w:trHeight w:val="304" w:hRule="atLeast"/>
        </w:trPr>
        <w:tc>
          <w:tcPr>
            <w:tcW w:w="4176" w:type="dxa"/>
            <w:tcBorders>
              <w:left w:val="single" w:sz="4" w:space="0" w:color="000000"/>
            </w:tcBorders>
            <w:shd w:val="clear" w:color="auto" w:fill="DDEBF6"/>
          </w:tcPr>
          <w:p>
            <w:pPr>
              <w:pStyle w:val="TableParagraph"/>
              <w:spacing w:before="35"/>
              <w:ind w:left="107"/>
              <w:rPr>
                <w:b/>
                <w:sz w:val="20"/>
              </w:rPr>
            </w:pPr>
            <w:r>
              <w:rPr>
                <w:b/>
                <w:sz w:val="20"/>
              </w:rPr>
              <w:t>2025</w:t>
            </w:r>
            <w:r>
              <w:rPr>
                <w:b/>
                <w:spacing w:val="-7"/>
                <w:sz w:val="20"/>
              </w:rPr>
              <w:t> </w:t>
            </w:r>
            <w:r>
              <w:rPr>
                <w:b/>
                <w:spacing w:val="-2"/>
                <w:sz w:val="20"/>
              </w:rPr>
              <w:t>Budget</w:t>
            </w:r>
          </w:p>
        </w:tc>
        <w:tc>
          <w:tcPr>
            <w:tcW w:w="1099" w:type="dxa"/>
            <w:shd w:val="clear" w:color="auto" w:fill="DDEBF6"/>
          </w:tcPr>
          <w:p>
            <w:pPr>
              <w:pStyle w:val="TableParagraph"/>
              <w:rPr>
                <w:rFonts w:ascii="Times New Roman"/>
                <w:sz w:val="18"/>
              </w:rPr>
            </w:pPr>
          </w:p>
        </w:tc>
        <w:tc>
          <w:tcPr>
            <w:tcW w:w="1360" w:type="dxa"/>
            <w:shd w:val="clear" w:color="auto" w:fill="DDEBF6"/>
          </w:tcPr>
          <w:p>
            <w:pPr>
              <w:pStyle w:val="TableParagraph"/>
              <w:rPr>
                <w:rFonts w:ascii="Times New Roman"/>
                <w:sz w:val="18"/>
              </w:rPr>
            </w:pPr>
          </w:p>
        </w:tc>
        <w:tc>
          <w:tcPr>
            <w:tcW w:w="1345" w:type="dxa"/>
            <w:shd w:val="clear" w:color="auto" w:fill="DDEBF6"/>
          </w:tcPr>
          <w:p>
            <w:pPr>
              <w:pStyle w:val="TableParagraph"/>
              <w:rPr>
                <w:rFonts w:ascii="Times New Roman"/>
                <w:sz w:val="18"/>
              </w:rPr>
            </w:pPr>
          </w:p>
        </w:tc>
        <w:tc>
          <w:tcPr>
            <w:tcW w:w="1379" w:type="dxa"/>
            <w:shd w:val="clear" w:color="auto" w:fill="DDEBF6"/>
          </w:tcPr>
          <w:p>
            <w:pPr>
              <w:pStyle w:val="TableParagraph"/>
              <w:rPr>
                <w:rFonts w:ascii="Times New Roman"/>
                <w:sz w:val="18"/>
              </w:rPr>
            </w:pPr>
          </w:p>
        </w:tc>
        <w:tc>
          <w:tcPr>
            <w:tcW w:w="1275" w:type="dxa"/>
            <w:tcBorders>
              <w:right w:val="single" w:sz="4" w:space="0" w:color="000000"/>
            </w:tcBorders>
            <w:shd w:val="clear" w:color="auto" w:fill="DDEBF6"/>
          </w:tcPr>
          <w:p>
            <w:pPr>
              <w:pStyle w:val="TableParagraph"/>
              <w:rPr>
                <w:rFonts w:ascii="Times New Roman"/>
                <w:sz w:val="18"/>
              </w:rPr>
            </w:pPr>
          </w:p>
        </w:tc>
      </w:tr>
      <w:tr>
        <w:trPr>
          <w:trHeight w:val="319" w:hRule="atLeast"/>
        </w:trPr>
        <w:tc>
          <w:tcPr>
            <w:tcW w:w="4176" w:type="dxa"/>
            <w:tcBorders>
              <w:left w:val="single" w:sz="4" w:space="0" w:color="000000"/>
            </w:tcBorders>
            <w:shd w:val="clear" w:color="auto" w:fill="DDEBF6"/>
          </w:tcPr>
          <w:p>
            <w:pPr>
              <w:pStyle w:val="TableParagraph"/>
              <w:spacing w:before="31"/>
              <w:ind w:left="107"/>
              <w:rPr>
                <w:sz w:val="20"/>
              </w:rPr>
            </w:pPr>
            <w:r>
              <w:rPr>
                <w:sz w:val="20"/>
              </w:rPr>
              <w:t>Balance</w:t>
            </w:r>
            <w:r>
              <w:rPr>
                <w:spacing w:val="-6"/>
                <w:sz w:val="20"/>
              </w:rPr>
              <w:t> </w:t>
            </w:r>
            <w:r>
              <w:rPr>
                <w:sz w:val="20"/>
              </w:rPr>
              <w:t>at</w:t>
            </w:r>
            <w:r>
              <w:rPr>
                <w:spacing w:val="-6"/>
                <w:sz w:val="20"/>
              </w:rPr>
              <w:t> </w:t>
            </w:r>
            <w:r>
              <w:rPr>
                <w:sz w:val="20"/>
              </w:rPr>
              <w:t>beginning</w:t>
            </w:r>
            <w:r>
              <w:rPr>
                <w:spacing w:val="-4"/>
                <w:sz w:val="20"/>
              </w:rPr>
              <w:t> </w:t>
            </w:r>
            <w:r>
              <w:rPr>
                <w:sz w:val="20"/>
              </w:rPr>
              <w:t>of</w:t>
            </w:r>
            <w:r>
              <w:rPr>
                <w:spacing w:val="-6"/>
                <w:sz w:val="20"/>
              </w:rPr>
              <w:t> </w:t>
            </w:r>
            <w:r>
              <w:rPr>
                <w:sz w:val="20"/>
              </w:rPr>
              <w:t>the</w:t>
            </w:r>
            <w:r>
              <w:rPr>
                <w:spacing w:val="-4"/>
                <w:sz w:val="20"/>
              </w:rPr>
              <w:t> </w:t>
            </w:r>
            <w:r>
              <w:rPr>
                <w:sz w:val="20"/>
              </w:rPr>
              <w:t>financial</w:t>
            </w:r>
            <w:r>
              <w:rPr>
                <w:spacing w:val="-7"/>
                <w:sz w:val="20"/>
              </w:rPr>
              <w:t> </w:t>
            </w:r>
            <w:r>
              <w:rPr>
                <w:spacing w:val="-4"/>
                <w:sz w:val="20"/>
              </w:rPr>
              <w:t>year</w:t>
            </w:r>
          </w:p>
        </w:tc>
        <w:tc>
          <w:tcPr>
            <w:tcW w:w="1099" w:type="dxa"/>
            <w:shd w:val="clear" w:color="auto" w:fill="DDEBF6"/>
          </w:tcPr>
          <w:p>
            <w:pPr>
              <w:pStyle w:val="TableParagraph"/>
              <w:rPr>
                <w:rFonts w:ascii="Times New Roman"/>
                <w:sz w:val="18"/>
              </w:rPr>
            </w:pPr>
          </w:p>
        </w:tc>
        <w:tc>
          <w:tcPr>
            <w:tcW w:w="1360" w:type="dxa"/>
            <w:shd w:val="clear" w:color="auto" w:fill="DDEBF6"/>
          </w:tcPr>
          <w:p>
            <w:pPr>
              <w:pStyle w:val="TableParagraph"/>
              <w:spacing w:before="67"/>
              <w:ind w:right="132"/>
              <w:jc w:val="right"/>
              <w:rPr>
                <w:sz w:val="20"/>
              </w:rPr>
            </w:pPr>
            <w:r>
              <w:rPr>
                <w:spacing w:val="-2"/>
                <w:sz w:val="20"/>
              </w:rPr>
              <w:t>2,106,306</w:t>
            </w:r>
          </w:p>
        </w:tc>
        <w:tc>
          <w:tcPr>
            <w:tcW w:w="1345" w:type="dxa"/>
            <w:shd w:val="clear" w:color="auto" w:fill="DDEBF6"/>
          </w:tcPr>
          <w:p>
            <w:pPr>
              <w:pStyle w:val="TableParagraph"/>
              <w:spacing w:before="67"/>
              <w:ind w:right="129"/>
              <w:jc w:val="right"/>
              <w:rPr>
                <w:sz w:val="20"/>
              </w:rPr>
            </w:pPr>
            <w:r>
              <w:rPr>
                <w:spacing w:val="-2"/>
                <w:sz w:val="20"/>
              </w:rPr>
              <w:t>858,537</w:t>
            </w:r>
          </w:p>
        </w:tc>
        <w:tc>
          <w:tcPr>
            <w:tcW w:w="1379" w:type="dxa"/>
            <w:shd w:val="clear" w:color="auto" w:fill="DDEBF6"/>
          </w:tcPr>
          <w:p>
            <w:pPr>
              <w:pStyle w:val="TableParagraph"/>
              <w:spacing w:before="67"/>
              <w:ind w:right="156"/>
              <w:jc w:val="right"/>
              <w:rPr>
                <w:sz w:val="20"/>
              </w:rPr>
            </w:pPr>
            <w:r>
              <w:rPr>
                <w:spacing w:val="-2"/>
                <w:sz w:val="20"/>
              </w:rPr>
              <w:t>1,235,769</w:t>
            </w:r>
          </w:p>
        </w:tc>
        <w:tc>
          <w:tcPr>
            <w:tcW w:w="1275" w:type="dxa"/>
            <w:tcBorders>
              <w:right w:val="single" w:sz="4" w:space="0" w:color="000000"/>
            </w:tcBorders>
            <w:shd w:val="clear" w:color="auto" w:fill="DDEBF6"/>
          </w:tcPr>
          <w:p>
            <w:pPr>
              <w:pStyle w:val="TableParagraph"/>
              <w:spacing w:before="67"/>
              <w:ind w:right="98"/>
              <w:jc w:val="right"/>
              <w:rPr>
                <w:sz w:val="20"/>
              </w:rPr>
            </w:pPr>
            <w:r>
              <w:rPr>
                <w:spacing w:val="-2"/>
                <w:sz w:val="20"/>
              </w:rPr>
              <w:t>12,000</w:t>
            </w:r>
          </w:p>
        </w:tc>
      </w:tr>
      <w:tr>
        <w:trPr>
          <w:trHeight w:val="302" w:hRule="atLeast"/>
        </w:trPr>
        <w:tc>
          <w:tcPr>
            <w:tcW w:w="4176" w:type="dxa"/>
            <w:tcBorders>
              <w:left w:val="single" w:sz="4" w:space="0" w:color="000000"/>
            </w:tcBorders>
            <w:shd w:val="clear" w:color="auto" w:fill="DDEBF6"/>
          </w:tcPr>
          <w:p>
            <w:pPr>
              <w:pStyle w:val="TableParagraph"/>
              <w:spacing w:before="14"/>
              <w:ind w:left="107"/>
              <w:rPr>
                <w:sz w:val="20"/>
              </w:rPr>
            </w:pPr>
            <w:r>
              <w:rPr>
                <w:sz w:val="20"/>
              </w:rPr>
              <w:t>Surplus/(deficit)</w:t>
            </w:r>
            <w:r>
              <w:rPr>
                <w:spacing w:val="-10"/>
                <w:sz w:val="20"/>
              </w:rPr>
              <w:t> </w:t>
            </w:r>
            <w:r>
              <w:rPr>
                <w:sz w:val="20"/>
              </w:rPr>
              <w:t>for</w:t>
            </w:r>
            <w:r>
              <w:rPr>
                <w:spacing w:val="-6"/>
                <w:sz w:val="20"/>
              </w:rPr>
              <w:t> </w:t>
            </w:r>
            <w:r>
              <w:rPr>
                <w:sz w:val="20"/>
              </w:rPr>
              <w:t>the</w:t>
            </w:r>
            <w:r>
              <w:rPr>
                <w:spacing w:val="-5"/>
                <w:sz w:val="20"/>
              </w:rPr>
              <w:t> </w:t>
            </w:r>
            <w:r>
              <w:rPr>
                <w:spacing w:val="-4"/>
                <w:sz w:val="20"/>
              </w:rPr>
              <w:t>year</w:t>
            </w:r>
          </w:p>
        </w:tc>
        <w:tc>
          <w:tcPr>
            <w:tcW w:w="1099" w:type="dxa"/>
            <w:shd w:val="clear" w:color="auto" w:fill="DDEBF6"/>
          </w:tcPr>
          <w:p>
            <w:pPr>
              <w:pStyle w:val="TableParagraph"/>
              <w:rPr>
                <w:rFonts w:ascii="Times New Roman"/>
                <w:sz w:val="18"/>
              </w:rPr>
            </w:pPr>
          </w:p>
        </w:tc>
        <w:tc>
          <w:tcPr>
            <w:tcW w:w="1360" w:type="dxa"/>
            <w:shd w:val="clear" w:color="auto" w:fill="DDEBF6"/>
          </w:tcPr>
          <w:p>
            <w:pPr>
              <w:pStyle w:val="TableParagraph"/>
              <w:spacing w:before="50"/>
              <w:ind w:right="133"/>
              <w:jc w:val="right"/>
              <w:rPr>
                <w:sz w:val="20"/>
              </w:rPr>
            </w:pPr>
            <w:r>
              <w:rPr>
                <w:spacing w:val="-2"/>
                <w:sz w:val="20"/>
              </w:rPr>
              <w:t>30,132</w:t>
            </w:r>
          </w:p>
        </w:tc>
        <w:tc>
          <w:tcPr>
            <w:tcW w:w="1345" w:type="dxa"/>
            <w:shd w:val="clear" w:color="auto" w:fill="DDEBF6"/>
          </w:tcPr>
          <w:p>
            <w:pPr>
              <w:pStyle w:val="TableParagraph"/>
              <w:spacing w:before="50"/>
              <w:ind w:right="131"/>
              <w:jc w:val="right"/>
              <w:rPr>
                <w:sz w:val="20"/>
              </w:rPr>
            </w:pPr>
            <w:r>
              <w:rPr>
                <w:spacing w:val="-2"/>
                <w:sz w:val="20"/>
              </w:rPr>
              <w:t>30,132</w:t>
            </w:r>
          </w:p>
        </w:tc>
        <w:tc>
          <w:tcPr>
            <w:tcW w:w="1379" w:type="dxa"/>
            <w:shd w:val="clear" w:color="auto" w:fill="DDEBF6"/>
          </w:tcPr>
          <w:p>
            <w:pPr>
              <w:pStyle w:val="TableParagraph"/>
              <w:spacing w:before="50"/>
              <w:ind w:right="156"/>
              <w:jc w:val="right"/>
              <w:rPr>
                <w:sz w:val="20"/>
              </w:rPr>
            </w:pPr>
            <w:r>
              <w:rPr>
                <w:w w:val="99"/>
                <w:sz w:val="20"/>
              </w:rPr>
              <w:t>-</w:t>
            </w:r>
          </w:p>
        </w:tc>
        <w:tc>
          <w:tcPr>
            <w:tcW w:w="1275" w:type="dxa"/>
            <w:tcBorders>
              <w:right w:val="single" w:sz="4" w:space="0" w:color="000000"/>
            </w:tcBorders>
            <w:shd w:val="clear" w:color="auto" w:fill="DDEBF6"/>
          </w:tcPr>
          <w:p>
            <w:pPr>
              <w:pStyle w:val="TableParagraph"/>
              <w:spacing w:before="50"/>
              <w:ind w:right="96"/>
              <w:jc w:val="right"/>
              <w:rPr>
                <w:sz w:val="20"/>
              </w:rPr>
            </w:pPr>
            <w:r>
              <w:rPr>
                <w:w w:val="99"/>
                <w:sz w:val="20"/>
              </w:rPr>
              <w:t>-</w:t>
            </w:r>
          </w:p>
        </w:tc>
      </w:tr>
      <w:tr>
        <w:trPr>
          <w:trHeight w:val="305" w:hRule="atLeast"/>
        </w:trPr>
        <w:tc>
          <w:tcPr>
            <w:tcW w:w="4176" w:type="dxa"/>
            <w:tcBorders>
              <w:left w:val="single" w:sz="4" w:space="0" w:color="000000"/>
            </w:tcBorders>
            <w:shd w:val="clear" w:color="auto" w:fill="DDEBF6"/>
          </w:tcPr>
          <w:p>
            <w:pPr>
              <w:pStyle w:val="TableParagraph"/>
              <w:spacing w:before="14"/>
              <w:ind w:left="107"/>
              <w:rPr>
                <w:sz w:val="20"/>
              </w:rPr>
            </w:pPr>
            <w:r>
              <w:rPr>
                <w:sz w:val="20"/>
              </w:rPr>
              <w:t>Transfers</w:t>
            </w:r>
            <w:r>
              <w:rPr>
                <w:spacing w:val="-4"/>
                <w:sz w:val="20"/>
              </w:rPr>
              <w:t> </w:t>
            </w:r>
            <w:r>
              <w:rPr>
                <w:sz w:val="20"/>
              </w:rPr>
              <w:t>to</w:t>
            </w:r>
            <w:r>
              <w:rPr>
                <w:spacing w:val="-5"/>
                <w:sz w:val="20"/>
              </w:rPr>
              <w:t> </w:t>
            </w:r>
            <w:r>
              <w:rPr>
                <w:sz w:val="20"/>
              </w:rPr>
              <w:t>/</w:t>
            </w:r>
            <w:r>
              <w:rPr>
                <w:spacing w:val="-4"/>
                <w:sz w:val="20"/>
              </w:rPr>
              <w:t> </w:t>
            </w:r>
            <w:r>
              <w:rPr>
                <w:sz w:val="20"/>
              </w:rPr>
              <w:t>from</w:t>
            </w:r>
            <w:r>
              <w:rPr>
                <w:spacing w:val="-6"/>
                <w:sz w:val="20"/>
              </w:rPr>
              <w:t> </w:t>
            </w:r>
            <w:r>
              <w:rPr>
                <w:sz w:val="20"/>
              </w:rPr>
              <w:t>general</w:t>
            </w:r>
            <w:r>
              <w:rPr>
                <w:spacing w:val="-2"/>
                <w:sz w:val="20"/>
              </w:rPr>
              <w:t> reserve</w:t>
            </w:r>
          </w:p>
        </w:tc>
        <w:tc>
          <w:tcPr>
            <w:tcW w:w="1099" w:type="dxa"/>
            <w:shd w:val="clear" w:color="auto" w:fill="DDEBF6"/>
          </w:tcPr>
          <w:p>
            <w:pPr>
              <w:pStyle w:val="TableParagraph"/>
              <w:spacing w:before="14"/>
              <w:ind w:right="235"/>
              <w:jc w:val="right"/>
              <w:rPr>
                <w:sz w:val="20"/>
              </w:rPr>
            </w:pPr>
            <w:r>
              <w:rPr>
                <w:spacing w:val="-2"/>
                <w:sz w:val="20"/>
              </w:rPr>
              <w:t>4.3.1</w:t>
            </w:r>
          </w:p>
        </w:tc>
        <w:tc>
          <w:tcPr>
            <w:tcW w:w="1360" w:type="dxa"/>
            <w:shd w:val="clear" w:color="auto" w:fill="DDEBF6"/>
          </w:tcPr>
          <w:p>
            <w:pPr>
              <w:pStyle w:val="TableParagraph"/>
              <w:spacing w:before="50"/>
              <w:ind w:right="132"/>
              <w:jc w:val="right"/>
              <w:rPr>
                <w:sz w:val="20"/>
              </w:rPr>
            </w:pPr>
            <w:r>
              <w:rPr>
                <w:w w:val="99"/>
                <w:sz w:val="20"/>
              </w:rPr>
              <w:t>-</w:t>
            </w:r>
          </w:p>
        </w:tc>
        <w:tc>
          <w:tcPr>
            <w:tcW w:w="1345" w:type="dxa"/>
            <w:shd w:val="clear" w:color="auto" w:fill="DDEBF6"/>
          </w:tcPr>
          <w:p>
            <w:pPr>
              <w:pStyle w:val="TableParagraph"/>
              <w:spacing w:before="50"/>
              <w:ind w:right="131"/>
              <w:jc w:val="right"/>
              <w:rPr>
                <w:sz w:val="20"/>
              </w:rPr>
            </w:pPr>
            <w:r>
              <w:rPr>
                <w:spacing w:val="-2"/>
                <w:sz w:val="20"/>
              </w:rPr>
              <w:t>(2,500)</w:t>
            </w:r>
          </w:p>
        </w:tc>
        <w:tc>
          <w:tcPr>
            <w:tcW w:w="1379" w:type="dxa"/>
            <w:shd w:val="clear" w:color="auto" w:fill="DDEBF6"/>
          </w:tcPr>
          <w:p>
            <w:pPr>
              <w:pStyle w:val="TableParagraph"/>
              <w:spacing w:before="50"/>
              <w:ind w:right="156"/>
              <w:jc w:val="right"/>
              <w:rPr>
                <w:sz w:val="20"/>
              </w:rPr>
            </w:pPr>
            <w:r>
              <w:rPr>
                <w:w w:val="99"/>
                <w:sz w:val="20"/>
              </w:rPr>
              <w:t>-</w:t>
            </w:r>
          </w:p>
        </w:tc>
        <w:tc>
          <w:tcPr>
            <w:tcW w:w="1275" w:type="dxa"/>
            <w:tcBorders>
              <w:right w:val="single" w:sz="4" w:space="0" w:color="000000"/>
            </w:tcBorders>
            <w:shd w:val="clear" w:color="auto" w:fill="DDEBF6"/>
          </w:tcPr>
          <w:p>
            <w:pPr>
              <w:pStyle w:val="TableParagraph"/>
              <w:spacing w:before="50"/>
              <w:ind w:right="97"/>
              <w:jc w:val="right"/>
              <w:rPr>
                <w:sz w:val="20"/>
              </w:rPr>
            </w:pPr>
            <w:r>
              <w:rPr>
                <w:spacing w:val="-2"/>
                <w:sz w:val="20"/>
              </w:rPr>
              <w:t>2,500</w:t>
            </w:r>
          </w:p>
        </w:tc>
      </w:tr>
      <w:tr>
        <w:trPr>
          <w:trHeight w:val="290" w:hRule="atLeast"/>
        </w:trPr>
        <w:tc>
          <w:tcPr>
            <w:tcW w:w="4176" w:type="dxa"/>
            <w:tcBorders>
              <w:left w:val="single" w:sz="4" w:space="0" w:color="000000"/>
            </w:tcBorders>
            <w:shd w:val="clear" w:color="auto" w:fill="DDEBF6"/>
          </w:tcPr>
          <w:p>
            <w:pPr>
              <w:pStyle w:val="TableParagraph"/>
              <w:spacing w:before="18"/>
              <w:ind w:left="107"/>
              <w:rPr>
                <w:b/>
                <w:sz w:val="20"/>
              </w:rPr>
            </w:pPr>
            <w:r>
              <w:rPr>
                <w:b/>
                <w:sz w:val="20"/>
              </w:rPr>
              <w:t>Balance</w:t>
            </w:r>
            <w:r>
              <w:rPr>
                <w:b/>
                <w:spacing w:val="-8"/>
                <w:sz w:val="20"/>
              </w:rPr>
              <w:t> </w:t>
            </w:r>
            <w:r>
              <w:rPr>
                <w:b/>
                <w:sz w:val="20"/>
              </w:rPr>
              <w:t>at</w:t>
            </w:r>
            <w:r>
              <w:rPr>
                <w:b/>
                <w:spacing w:val="-3"/>
                <w:sz w:val="20"/>
              </w:rPr>
              <w:t> </w:t>
            </w:r>
            <w:r>
              <w:rPr>
                <w:b/>
                <w:sz w:val="20"/>
              </w:rPr>
              <w:t>end</w:t>
            </w:r>
            <w:r>
              <w:rPr>
                <w:b/>
                <w:spacing w:val="-5"/>
                <w:sz w:val="20"/>
              </w:rPr>
              <w:t> </w:t>
            </w:r>
            <w:r>
              <w:rPr>
                <w:b/>
                <w:sz w:val="20"/>
              </w:rPr>
              <w:t>of</w:t>
            </w:r>
            <w:r>
              <w:rPr>
                <w:b/>
                <w:spacing w:val="-3"/>
                <w:sz w:val="20"/>
              </w:rPr>
              <w:t> </w:t>
            </w:r>
            <w:r>
              <w:rPr>
                <w:b/>
                <w:sz w:val="20"/>
              </w:rPr>
              <w:t>the</w:t>
            </w:r>
            <w:r>
              <w:rPr>
                <w:b/>
                <w:spacing w:val="-5"/>
                <w:sz w:val="20"/>
              </w:rPr>
              <w:t> </w:t>
            </w:r>
            <w:r>
              <w:rPr>
                <w:b/>
                <w:sz w:val="20"/>
              </w:rPr>
              <w:t>financial</w:t>
            </w:r>
            <w:r>
              <w:rPr>
                <w:b/>
                <w:spacing w:val="-5"/>
                <w:sz w:val="20"/>
              </w:rPr>
              <w:t> </w:t>
            </w:r>
            <w:r>
              <w:rPr>
                <w:b/>
                <w:spacing w:val="-4"/>
                <w:sz w:val="20"/>
              </w:rPr>
              <w:t>year</w:t>
            </w:r>
          </w:p>
        </w:tc>
        <w:tc>
          <w:tcPr>
            <w:tcW w:w="1099" w:type="dxa"/>
            <w:shd w:val="clear" w:color="auto" w:fill="DDEBF6"/>
          </w:tcPr>
          <w:p>
            <w:pPr>
              <w:pStyle w:val="TableParagraph"/>
              <w:spacing w:before="18"/>
              <w:ind w:right="235"/>
              <w:jc w:val="right"/>
              <w:rPr>
                <w:sz w:val="20"/>
              </w:rPr>
            </w:pPr>
            <w:r>
              <w:rPr>
                <w:spacing w:val="-2"/>
                <w:sz w:val="20"/>
              </w:rPr>
              <w:t>4.3.2</w:t>
            </w:r>
          </w:p>
        </w:tc>
        <w:tc>
          <w:tcPr>
            <w:tcW w:w="1360" w:type="dxa"/>
            <w:tcBorders>
              <w:bottom w:val="thickThinMediumGap" w:sz="4" w:space="0" w:color="000000"/>
            </w:tcBorders>
            <w:shd w:val="clear" w:color="auto" w:fill="DDEBF6"/>
          </w:tcPr>
          <w:p>
            <w:pPr>
              <w:pStyle w:val="TableParagraph"/>
              <w:spacing w:line="209" w:lineRule="exact" w:before="61"/>
              <w:ind w:right="132"/>
              <w:jc w:val="right"/>
              <w:rPr>
                <w:b/>
                <w:sz w:val="20"/>
              </w:rPr>
            </w:pPr>
            <w:r>
              <w:rPr>
                <w:b/>
                <w:spacing w:val="-2"/>
                <w:sz w:val="20"/>
              </w:rPr>
              <w:t>2,136,438</w:t>
            </w:r>
          </w:p>
        </w:tc>
        <w:tc>
          <w:tcPr>
            <w:tcW w:w="1345" w:type="dxa"/>
            <w:tcBorders>
              <w:bottom w:val="thickThinMediumGap" w:sz="4" w:space="0" w:color="000000"/>
            </w:tcBorders>
            <w:shd w:val="clear" w:color="auto" w:fill="DDEBF6"/>
          </w:tcPr>
          <w:p>
            <w:pPr>
              <w:pStyle w:val="TableParagraph"/>
              <w:spacing w:line="209" w:lineRule="exact" w:before="61"/>
              <w:ind w:right="129"/>
              <w:jc w:val="right"/>
              <w:rPr>
                <w:b/>
                <w:sz w:val="20"/>
              </w:rPr>
            </w:pPr>
            <w:r>
              <w:rPr>
                <w:b/>
                <w:spacing w:val="-2"/>
                <w:sz w:val="20"/>
              </w:rPr>
              <w:t>886,169</w:t>
            </w:r>
          </w:p>
        </w:tc>
        <w:tc>
          <w:tcPr>
            <w:tcW w:w="1379" w:type="dxa"/>
            <w:tcBorders>
              <w:bottom w:val="thickThinMediumGap" w:sz="4" w:space="0" w:color="000000"/>
            </w:tcBorders>
            <w:shd w:val="clear" w:color="auto" w:fill="DDEBF6"/>
          </w:tcPr>
          <w:p>
            <w:pPr>
              <w:pStyle w:val="TableParagraph"/>
              <w:spacing w:line="209" w:lineRule="exact" w:before="61"/>
              <w:ind w:right="156"/>
              <w:jc w:val="right"/>
              <w:rPr>
                <w:b/>
                <w:sz w:val="20"/>
              </w:rPr>
            </w:pPr>
            <w:r>
              <w:rPr>
                <w:b/>
                <w:spacing w:val="-2"/>
                <w:sz w:val="20"/>
              </w:rPr>
              <w:t>1,235,769</w:t>
            </w:r>
          </w:p>
        </w:tc>
        <w:tc>
          <w:tcPr>
            <w:tcW w:w="1275" w:type="dxa"/>
            <w:tcBorders>
              <w:bottom w:val="thickThinMediumGap" w:sz="4" w:space="0" w:color="000000"/>
              <w:right w:val="single" w:sz="4" w:space="0" w:color="000000"/>
            </w:tcBorders>
            <w:shd w:val="clear" w:color="auto" w:fill="DDEBF6"/>
          </w:tcPr>
          <w:p>
            <w:pPr>
              <w:pStyle w:val="TableParagraph"/>
              <w:spacing w:line="209" w:lineRule="exact" w:before="61"/>
              <w:ind w:right="98"/>
              <w:jc w:val="right"/>
              <w:rPr>
                <w:b/>
                <w:sz w:val="20"/>
              </w:rPr>
            </w:pPr>
            <w:r>
              <w:rPr>
                <w:b/>
                <w:spacing w:val="-2"/>
                <w:sz w:val="20"/>
              </w:rPr>
              <w:t>14,500</w:t>
            </w:r>
          </w:p>
        </w:tc>
      </w:tr>
      <w:tr>
        <w:trPr>
          <w:trHeight w:val="619" w:hRule="atLeast"/>
        </w:trPr>
        <w:tc>
          <w:tcPr>
            <w:tcW w:w="5275" w:type="dxa"/>
            <w:gridSpan w:val="2"/>
            <w:tcBorders>
              <w:left w:val="single" w:sz="4" w:space="0" w:color="000000"/>
            </w:tcBorders>
          </w:tcPr>
          <w:p>
            <w:pPr>
              <w:pStyle w:val="TableParagraph"/>
              <w:spacing w:before="5"/>
              <w:rPr>
                <w:i/>
                <w:sz w:val="30"/>
              </w:rPr>
            </w:pPr>
          </w:p>
          <w:p>
            <w:pPr>
              <w:pStyle w:val="TableParagraph"/>
              <w:ind w:left="107"/>
              <w:rPr>
                <w:b/>
                <w:sz w:val="20"/>
              </w:rPr>
            </w:pPr>
            <w:r>
              <w:rPr>
                <w:b/>
                <w:spacing w:val="-4"/>
                <w:sz w:val="20"/>
              </w:rPr>
              <w:t>2026</w:t>
            </w:r>
          </w:p>
        </w:tc>
        <w:tc>
          <w:tcPr>
            <w:tcW w:w="1360" w:type="dxa"/>
            <w:tcBorders>
              <w:top w:val="thinThickMediumGap" w:sz="4" w:space="0" w:color="000000"/>
            </w:tcBorders>
          </w:tcPr>
          <w:p>
            <w:pPr>
              <w:pStyle w:val="TableParagraph"/>
              <w:rPr>
                <w:rFonts w:ascii="Times New Roman"/>
                <w:sz w:val="18"/>
              </w:rPr>
            </w:pPr>
          </w:p>
        </w:tc>
        <w:tc>
          <w:tcPr>
            <w:tcW w:w="1345" w:type="dxa"/>
            <w:tcBorders>
              <w:top w:val="thinThickMediumGap" w:sz="4" w:space="0" w:color="000000"/>
            </w:tcBorders>
          </w:tcPr>
          <w:p>
            <w:pPr>
              <w:pStyle w:val="TableParagraph"/>
              <w:rPr>
                <w:rFonts w:ascii="Times New Roman"/>
                <w:sz w:val="18"/>
              </w:rPr>
            </w:pPr>
          </w:p>
        </w:tc>
        <w:tc>
          <w:tcPr>
            <w:tcW w:w="1379" w:type="dxa"/>
            <w:tcBorders>
              <w:top w:val="thinThickMediumGap" w:sz="4" w:space="0" w:color="000000"/>
            </w:tcBorders>
          </w:tcPr>
          <w:p>
            <w:pPr>
              <w:pStyle w:val="TableParagraph"/>
              <w:rPr>
                <w:rFonts w:ascii="Times New Roman"/>
                <w:sz w:val="18"/>
              </w:rPr>
            </w:pPr>
          </w:p>
        </w:tc>
        <w:tc>
          <w:tcPr>
            <w:tcW w:w="1275" w:type="dxa"/>
            <w:tcBorders>
              <w:top w:val="thinThickMediumGap" w:sz="4" w:space="0" w:color="000000"/>
              <w:right w:val="single" w:sz="4" w:space="0" w:color="000000"/>
            </w:tcBorders>
          </w:tcPr>
          <w:p>
            <w:pPr>
              <w:pStyle w:val="TableParagraph"/>
              <w:rPr>
                <w:rFonts w:ascii="Times New Roman"/>
                <w:sz w:val="18"/>
              </w:rPr>
            </w:pPr>
          </w:p>
        </w:tc>
      </w:tr>
      <w:tr>
        <w:trPr>
          <w:trHeight w:val="319" w:hRule="atLeast"/>
        </w:trPr>
        <w:tc>
          <w:tcPr>
            <w:tcW w:w="5275" w:type="dxa"/>
            <w:gridSpan w:val="2"/>
            <w:tcBorders>
              <w:left w:val="single" w:sz="4" w:space="0" w:color="000000"/>
            </w:tcBorders>
          </w:tcPr>
          <w:p>
            <w:pPr>
              <w:pStyle w:val="TableParagraph"/>
              <w:spacing w:before="32"/>
              <w:ind w:left="107"/>
              <w:rPr>
                <w:sz w:val="20"/>
              </w:rPr>
            </w:pPr>
            <w:r>
              <w:rPr>
                <w:sz w:val="20"/>
              </w:rPr>
              <w:t>Balance</w:t>
            </w:r>
            <w:r>
              <w:rPr>
                <w:spacing w:val="-6"/>
                <w:sz w:val="20"/>
              </w:rPr>
              <w:t> </w:t>
            </w:r>
            <w:r>
              <w:rPr>
                <w:sz w:val="20"/>
              </w:rPr>
              <w:t>at</w:t>
            </w:r>
            <w:r>
              <w:rPr>
                <w:spacing w:val="-6"/>
                <w:sz w:val="20"/>
              </w:rPr>
              <w:t> </w:t>
            </w:r>
            <w:r>
              <w:rPr>
                <w:sz w:val="20"/>
              </w:rPr>
              <w:t>beginning</w:t>
            </w:r>
            <w:r>
              <w:rPr>
                <w:spacing w:val="-4"/>
                <w:sz w:val="20"/>
              </w:rPr>
              <w:t> </w:t>
            </w:r>
            <w:r>
              <w:rPr>
                <w:sz w:val="20"/>
              </w:rPr>
              <w:t>of</w:t>
            </w:r>
            <w:r>
              <w:rPr>
                <w:spacing w:val="-6"/>
                <w:sz w:val="20"/>
              </w:rPr>
              <w:t> </w:t>
            </w:r>
            <w:r>
              <w:rPr>
                <w:sz w:val="20"/>
              </w:rPr>
              <w:t>the</w:t>
            </w:r>
            <w:r>
              <w:rPr>
                <w:spacing w:val="-4"/>
                <w:sz w:val="20"/>
              </w:rPr>
              <w:t> </w:t>
            </w:r>
            <w:r>
              <w:rPr>
                <w:sz w:val="20"/>
              </w:rPr>
              <w:t>financial</w:t>
            </w:r>
            <w:r>
              <w:rPr>
                <w:spacing w:val="-7"/>
                <w:sz w:val="20"/>
              </w:rPr>
              <w:t> </w:t>
            </w:r>
            <w:r>
              <w:rPr>
                <w:spacing w:val="-4"/>
                <w:sz w:val="20"/>
              </w:rPr>
              <w:t>year</w:t>
            </w:r>
          </w:p>
        </w:tc>
        <w:tc>
          <w:tcPr>
            <w:tcW w:w="1360" w:type="dxa"/>
          </w:tcPr>
          <w:p>
            <w:pPr>
              <w:pStyle w:val="TableParagraph"/>
              <w:spacing w:before="68"/>
              <w:ind w:right="132"/>
              <w:jc w:val="right"/>
              <w:rPr>
                <w:sz w:val="20"/>
              </w:rPr>
            </w:pPr>
            <w:r>
              <w:rPr>
                <w:spacing w:val="-2"/>
                <w:sz w:val="20"/>
              </w:rPr>
              <w:t>2,136,438</w:t>
            </w:r>
          </w:p>
        </w:tc>
        <w:tc>
          <w:tcPr>
            <w:tcW w:w="1345" w:type="dxa"/>
          </w:tcPr>
          <w:p>
            <w:pPr>
              <w:pStyle w:val="TableParagraph"/>
              <w:spacing w:before="68"/>
              <w:ind w:right="129"/>
              <w:jc w:val="right"/>
              <w:rPr>
                <w:sz w:val="20"/>
              </w:rPr>
            </w:pPr>
            <w:r>
              <w:rPr>
                <w:spacing w:val="-2"/>
                <w:sz w:val="20"/>
              </w:rPr>
              <w:t>886,169</w:t>
            </w:r>
          </w:p>
        </w:tc>
        <w:tc>
          <w:tcPr>
            <w:tcW w:w="1379" w:type="dxa"/>
          </w:tcPr>
          <w:p>
            <w:pPr>
              <w:pStyle w:val="TableParagraph"/>
              <w:spacing w:before="68"/>
              <w:ind w:right="156"/>
              <w:jc w:val="right"/>
              <w:rPr>
                <w:sz w:val="20"/>
              </w:rPr>
            </w:pPr>
            <w:r>
              <w:rPr>
                <w:spacing w:val="-2"/>
                <w:sz w:val="20"/>
              </w:rPr>
              <w:t>1,235,769</w:t>
            </w:r>
          </w:p>
        </w:tc>
        <w:tc>
          <w:tcPr>
            <w:tcW w:w="1275" w:type="dxa"/>
            <w:tcBorders>
              <w:right w:val="single" w:sz="4" w:space="0" w:color="000000"/>
            </w:tcBorders>
          </w:tcPr>
          <w:p>
            <w:pPr>
              <w:pStyle w:val="TableParagraph"/>
              <w:spacing w:before="68"/>
              <w:ind w:right="98"/>
              <w:jc w:val="right"/>
              <w:rPr>
                <w:sz w:val="20"/>
              </w:rPr>
            </w:pPr>
            <w:r>
              <w:rPr>
                <w:spacing w:val="-2"/>
                <w:sz w:val="20"/>
              </w:rPr>
              <w:t>14,500</w:t>
            </w:r>
          </w:p>
        </w:tc>
      </w:tr>
      <w:tr>
        <w:trPr>
          <w:trHeight w:val="301" w:hRule="atLeast"/>
        </w:trPr>
        <w:tc>
          <w:tcPr>
            <w:tcW w:w="5275" w:type="dxa"/>
            <w:gridSpan w:val="2"/>
            <w:tcBorders>
              <w:left w:val="single" w:sz="4" w:space="0" w:color="000000"/>
            </w:tcBorders>
          </w:tcPr>
          <w:p>
            <w:pPr>
              <w:pStyle w:val="TableParagraph"/>
              <w:spacing w:before="13"/>
              <w:ind w:left="107"/>
              <w:rPr>
                <w:sz w:val="20"/>
              </w:rPr>
            </w:pPr>
            <w:r>
              <w:rPr>
                <w:sz w:val="20"/>
              </w:rPr>
              <w:t>Surplus/(deficit)</w:t>
            </w:r>
            <w:r>
              <w:rPr>
                <w:spacing w:val="-10"/>
                <w:sz w:val="20"/>
              </w:rPr>
              <w:t> </w:t>
            </w:r>
            <w:r>
              <w:rPr>
                <w:sz w:val="20"/>
              </w:rPr>
              <w:t>for</w:t>
            </w:r>
            <w:r>
              <w:rPr>
                <w:spacing w:val="-6"/>
                <w:sz w:val="20"/>
              </w:rPr>
              <w:t> </w:t>
            </w:r>
            <w:r>
              <w:rPr>
                <w:sz w:val="20"/>
              </w:rPr>
              <w:t>the</w:t>
            </w:r>
            <w:r>
              <w:rPr>
                <w:spacing w:val="-5"/>
                <w:sz w:val="20"/>
              </w:rPr>
              <w:t> </w:t>
            </w:r>
            <w:r>
              <w:rPr>
                <w:spacing w:val="-4"/>
                <w:sz w:val="20"/>
              </w:rPr>
              <w:t>year</w:t>
            </w:r>
          </w:p>
        </w:tc>
        <w:tc>
          <w:tcPr>
            <w:tcW w:w="1360" w:type="dxa"/>
          </w:tcPr>
          <w:p>
            <w:pPr>
              <w:pStyle w:val="TableParagraph"/>
              <w:spacing w:before="49"/>
              <w:ind w:right="133"/>
              <w:jc w:val="right"/>
              <w:rPr>
                <w:sz w:val="20"/>
              </w:rPr>
            </w:pPr>
            <w:r>
              <w:rPr>
                <w:spacing w:val="-2"/>
                <w:sz w:val="20"/>
              </w:rPr>
              <w:t>12,372</w:t>
            </w:r>
          </w:p>
        </w:tc>
        <w:tc>
          <w:tcPr>
            <w:tcW w:w="1345" w:type="dxa"/>
          </w:tcPr>
          <w:p>
            <w:pPr>
              <w:pStyle w:val="TableParagraph"/>
              <w:spacing w:before="49"/>
              <w:ind w:right="131"/>
              <w:jc w:val="right"/>
              <w:rPr>
                <w:b/>
                <w:sz w:val="20"/>
              </w:rPr>
            </w:pPr>
            <w:r>
              <w:rPr>
                <w:b/>
                <w:spacing w:val="-2"/>
                <w:sz w:val="20"/>
              </w:rPr>
              <w:t>12,372</w:t>
            </w:r>
          </w:p>
        </w:tc>
        <w:tc>
          <w:tcPr>
            <w:tcW w:w="1379" w:type="dxa"/>
          </w:tcPr>
          <w:p>
            <w:pPr>
              <w:pStyle w:val="TableParagraph"/>
              <w:spacing w:before="49"/>
              <w:ind w:right="156"/>
              <w:jc w:val="right"/>
              <w:rPr>
                <w:sz w:val="20"/>
              </w:rPr>
            </w:pPr>
            <w:r>
              <w:rPr>
                <w:w w:val="99"/>
                <w:sz w:val="20"/>
              </w:rPr>
              <w:t>-</w:t>
            </w:r>
          </w:p>
        </w:tc>
        <w:tc>
          <w:tcPr>
            <w:tcW w:w="1275" w:type="dxa"/>
            <w:tcBorders>
              <w:right w:val="single" w:sz="4" w:space="0" w:color="000000"/>
            </w:tcBorders>
          </w:tcPr>
          <w:p>
            <w:pPr>
              <w:pStyle w:val="TableParagraph"/>
              <w:spacing w:before="49"/>
              <w:ind w:right="96"/>
              <w:jc w:val="right"/>
              <w:rPr>
                <w:sz w:val="20"/>
              </w:rPr>
            </w:pPr>
            <w:r>
              <w:rPr>
                <w:w w:val="99"/>
                <w:sz w:val="20"/>
              </w:rPr>
              <w:t>-</w:t>
            </w:r>
          </w:p>
        </w:tc>
      </w:tr>
      <w:tr>
        <w:trPr>
          <w:trHeight w:val="284" w:hRule="atLeast"/>
        </w:trPr>
        <w:tc>
          <w:tcPr>
            <w:tcW w:w="5275" w:type="dxa"/>
            <w:gridSpan w:val="2"/>
            <w:tcBorders>
              <w:left w:val="single" w:sz="4" w:space="0" w:color="000000"/>
            </w:tcBorders>
          </w:tcPr>
          <w:p>
            <w:pPr>
              <w:pStyle w:val="TableParagraph"/>
              <w:spacing w:before="14"/>
              <w:ind w:left="107"/>
              <w:rPr>
                <w:sz w:val="20"/>
              </w:rPr>
            </w:pPr>
            <w:r>
              <w:rPr>
                <w:sz w:val="20"/>
              </w:rPr>
              <w:t>Transfers</w:t>
            </w:r>
            <w:r>
              <w:rPr>
                <w:spacing w:val="-4"/>
                <w:sz w:val="20"/>
              </w:rPr>
              <w:t> </w:t>
            </w:r>
            <w:r>
              <w:rPr>
                <w:sz w:val="20"/>
              </w:rPr>
              <w:t>to</w:t>
            </w:r>
            <w:r>
              <w:rPr>
                <w:spacing w:val="-5"/>
                <w:sz w:val="20"/>
              </w:rPr>
              <w:t> </w:t>
            </w:r>
            <w:r>
              <w:rPr>
                <w:sz w:val="20"/>
              </w:rPr>
              <w:t>/</w:t>
            </w:r>
            <w:r>
              <w:rPr>
                <w:spacing w:val="-4"/>
                <w:sz w:val="20"/>
              </w:rPr>
              <w:t> </w:t>
            </w:r>
            <w:r>
              <w:rPr>
                <w:sz w:val="20"/>
              </w:rPr>
              <w:t>from</w:t>
            </w:r>
            <w:r>
              <w:rPr>
                <w:spacing w:val="-6"/>
                <w:sz w:val="20"/>
              </w:rPr>
              <w:t> </w:t>
            </w:r>
            <w:r>
              <w:rPr>
                <w:sz w:val="20"/>
              </w:rPr>
              <w:t>general</w:t>
            </w:r>
            <w:r>
              <w:rPr>
                <w:spacing w:val="-2"/>
                <w:sz w:val="20"/>
              </w:rPr>
              <w:t> reserve</w:t>
            </w:r>
          </w:p>
        </w:tc>
        <w:tc>
          <w:tcPr>
            <w:tcW w:w="1360" w:type="dxa"/>
          </w:tcPr>
          <w:p>
            <w:pPr>
              <w:pStyle w:val="TableParagraph"/>
              <w:spacing w:line="214" w:lineRule="exact" w:before="50"/>
              <w:ind w:right="132"/>
              <w:jc w:val="right"/>
              <w:rPr>
                <w:sz w:val="20"/>
              </w:rPr>
            </w:pPr>
            <w:r>
              <w:rPr>
                <w:w w:val="99"/>
                <w:sz w:val="20"/>
              </w:rPr>
              <w:t>-</w:t>
            </w:r>
          </w:p>
        </w:tc>
        <w:tc>
          <w:tcPr>
            <w:tcW w:w="1345" w:type="dxa"/>
          </w:tcPr>
          <w:p>
            <w:pPr>
              <w:pStyle w:val="TableParagraph"/>
              <w:spacing w:line="214" w:lineRule="exact" w:before="50"/>
              <w:ind w:right="131"/>
              <w:jc w:val="right"/>
              <w:rPr>
                <w:sz w:val="20"/>
              </w:rPr>
            </w:pPr>
            <w:r>
              <w:rPr>
                <w:spacing w:val="-2"/>
                <w:sz w:val="20"/>
              </w:rPr>
              <w:t>(3,500)</w:t>
            </w:r>
          </w:p>
        </w:tc>
        <w:tc>
          <w:tcPr>
            <w:tcW w:w="1379" w:type="dxa"/>
          </w:tcPr>
          <w:p>
            <w:pPr>
              <w:pStyle w:val="TableParagraph"/>
              <w:spacing w:line="214" w:lineRule="exact" w:before="50"/>
              <w:ind w:right="156"/>
              <w:jc w:val="right"/>
              <w:rPr>
                <w:sz w:val="20"/>
              </w:rPr>
            </w:pPr>
            <w:r>
              <w:rPr>
                <w:w w:val="99"/>
                <w:sz w:val="20"/>
              </w:rPr>
              <w:t>-</w:t>
            </w:r>
          </w:p>
        </w:tc>
        <w:tc>
          <w:tcPr>
            <w:tcW w:w="1275" w:type="dxa"/>
            <w:tcBorders>
              <w:right w:val="single" w:sz="4" w:space="0" w:color="000000"/>
            </w:tcBorders>
          </w:tcPr>
          <w:p>
            <w:pPr>
              <w:pStyle w:val="TableParagraph"/>
              <w:spacing w:line="214" w:lineRule="exact" w:before="50"/>
              <w:ind w:right="97"/>
              <w:jc w:val="right"/>
              <w:rPr>
                <w:sz w:val="20"/>
              </w:rPr>
            </w:pPr>
            <w:r>
              <w:rPr>
                <w:spacing w:val="-2"/>
                <w:sz w:val="20"/>
              </w:rPr>
              <w:t>3,500</w:t>
            </w:r>
          </w:p>
        </w:tc>
      </w:tr>
      <w:tr>
        <w:trPr>
          <w:trHeight w:val="311" w:hRule="atLeast"/>
        </w:trPr>
        <w:tc>
          <w:tcPr>
            <w:tcW w:w="5275" w:type="dxa"/>
            <w:gridSpan w:val="2"/>
            <w:tcBorders>
              <w:left w:val="single" w:sz="4" w:space="0" w:color="000000"/>
            </w:tcBorders>
          </w:tcPr>
          <w:p>
            <w:pPr>
              <w:pStyle w:val="TableParagraph"/>
              <w:spacing w:line="227" w:lineRule="exact"/>
              <w:ind w:left="107"/>
              <w:rPr>
                <w:b/>
                <w:sz w:val="20"/>
              </w:rPr>
            </w:pPr>
            <w:r>
              <w:rPr>
                <w:b/>
                <w:sz w:val="20"/>
              </w:rPr>
              <w:t>Balance</w:t>
            </w:r>
            <w:r>
              <w:rPr>
                <w:b/>
                <w:spacing w:val="-8"/>
                <w:sz w:val="20"/>
              </w:rPr>
              <w:t> </w:t>
            </w:r>
            <w:r>
              <w:rPr>
                <w:b/>
                <w:sz w:val="20"/>
              </w:rPr>
              <w:t>at</w:t>
            </w:r>
            <w:r>
              <w:rPr>
                <w:b/>
                <w:spacing w:val="-3"/>
                <w:sz w:val="20"/>
              </w:rPr>
              <w:t> </w:t>
            </w:r>
            <w:r>
              <w:rPr>
                <w:b/>
                <w:sz w:val="20"/>
              </w:rPr>
              <w:t>end</w:t>
            </w:r>
            <w:r>
              <w:rPr>
                <w:b/>
                <w:spacing w:val="-5"/>
                <w:sz w:val="20"/>
              </w:rPr>
              <w:t> </w:t>
            </w:r>
            <w:r>
              <w:rPr>
                <w:b/>
                <w:sz w:val="20"/>
              </w:rPr>
              <w:t>of</w:t>
            </w:r>
            <w:r>
              <w:rPr>
                <w:b/>
                <w:spacing w:val="-3"/>
                <w:sz w:val="20"/>
              </w:rPr>
              <w:t> </w:t>
            </w:r>
            <w:r>
              <w:rPr>
                <w:b/>
                <w:sz w:val="20"/>
              </w:rPr>
              <w:t>the</w:t>
            </w:r>
            <w:r>
              <w:rPr>
                <w:b/>
                <w:spacing w:val="-5"/>
                <w:sz w:val="20"/>
              </w:rPr>
              <w:t> </w:t>
            </w:r>
            <w:r>
              <w:rPr>
                <w:b/>
                <w:sz w:val="20"/>
              </w:rPr>
              <w:t>financial</w:t>
            </w:r>
            <w:r>
              <w:rPr>
                <w:b/>
                <w:spacing w:val="-5"/>
                <w:sz w:val="20"/>
              </w:rPr>
              <w:t> </w:t>
            </w:r>
            <w:r>
              <w:rPr>
                <w:b/>
                <w:spacing w:val="-4"/>
                <w:sz w:val="20"/>
              </w:rPr>
              <w:t>year</w:t>
            </w:r>
          </w:p>
        </w:tc>
        <w:tc>
          <w:tcPr>
            <w:tcW w:w="1360" w:type="dxa"/>
            <w:tcBorders>
              <w:bottom w:val="thickThinMediumGap" w:sz="4" w:space="0" w:color="000000"/>
            </w:tcBorders>
          </w:tcPr>
          <w:p>
            <w:pPr>
              <w:pStyle w:val="TableParagraph"/>
              <w:spacing w:line="209" w:lineRule="exact" w:before="83"/>
              <w:ind w:right="132"/>
              <w:jc w:val="right"/>
              <w:rPr>
                <w:b/>
                <w:sz w:val="20"/>
              </w:rPr>
            </w:pPr>
            <w:r>
              <w:rPr>
                <w:b/>
                <w:spacing w:val="-2"/>
                <w:sz w:val="20"/>
              </w:rPr>
              <w:t>2,148,810</w:t>
            </w:r>
          </w:p>
        </w:tc>
        <w:tc>
          <w:tcPr>
            <w:tcW w:w="1345" w:type="dxa"/>
            <w:tcBorders>
              <w:bottom w:val="thickThinMediumGap" w:sz="4" w:space="0" w:color="000000"/>
            </w:tcBorders>
          </w:tcPr>
          <w:p>
            <w:pPr>
              <w:pStyle w:val="TableParagraph"/>
              <w:spacing w:line="209" w:lineRule="exact" w:before="83"/>
              <w:ind w:right="129"/>
              <w:jc w:val="right"/>
              <w:rPr>
                <w:b/>
                <w:sz w:val="20"/>
              </w:rPr>
            </w:pPr>
            <w:r>
              <w:rPr>
                <w:b/>
                <w:spacing w:val="-2"/>
                <w:sz w:val="20"/>
              </w:rPr>
              <w:t>895,041</w:t>
            </w:r>
          </w:p>
        </w:tc>
        <w:tc>
          <w:tcPr>
            <w:tcW w:w="1379" w:type="dxa"/>
            <w:tcBorders>
              <w:bottom w:val="thickThinMediumGap" w:sz="4" w:space="0" w:color="000000"/>
            </w:tcBorders>
          </w:tcPr>
          <w:p>
            <w:pPr>
              <w:pStyle w:val="TableParagraph"/>
              <w:spacing w:line="209" w:lineRule="exact" w:before="83"/>
              <w:ind w:right="156"/>
              <w:jc w:val="right"/>
              <w:rPr>
                <w:b/>
                <w:sz w:val="20"/>
              </w:rPr>
            </w:pPr>
            <w:r>
              <w:rPr>
                <w:b/>
                <w:spacing w:val="-2"/>
                <w:sz w:val="20"/>
              </w:rPr>
              <w:t>1,235,769</w:t>
            </w:r>
          </w:p>
        </w:tc>
        <w:tc>
          <w:tcPr>
            <w:tcW w:w="1275" w:type="dxa"/>
            <w:tcBorders>
              <w:bottom w:val="thickThinMediumGap" w:sz="4" w:space="0" w:color="000000"/>
              <w:right w:val="single" w:sz="4" w:space="0" w:color="000000"/>
            </w:tcBorders>
          </w:tcPr>
          <w:p>
            <w:pPr>
              <w:pStyle w:val="TableParagraph"/>
              <w:spacing w:line="209" w:lineRule="exact" w:before="83"/>
              <w:ind w:right="98"/>
              <w:jc w:val="right"/>
              <w:rPr>
                <w:b/>
                <w:sz w:val="20"/>
              </w:rPr>
            </w:pPr>
            <w:r>
              <w:rPr>
                <w:b/>
                <w:spacing w:val="-2"/>
                <w:sz w:val="20"/>
              </w:rPr>
              <w:t>18,000</w:t>
            </w:r>
          </w:p>
        </w:tc>
      </w:tr>
      <w:tr>
        <w:trPr>
          <w:trHeight w:val="619" w:hRule="atLeast"/>
        </w:trPr>
        <w:tc>
          <w:tcPr>
            <w:tcW w:w="5275" w:type="dxa"/>
            <w:gridSpan w:val="2"/>
            <w:tcBorders>
              <w:left w:val="single" w:sz="4" w:space="0" w:color="000000"/>
            </w:tcBorders>
          </w:tcPr>
          <w:p>
            <w:pPr>
              <w:pStyle w:val="TableParagraph"/>
              <w:spacing w:before="5"/>
              <w:rPr>
                <w:i/>
                <w:sz w:val="30"/>
              </w:rPr>
            </w:pPr>
          </w:p>
          <w:p>
            <w:pPr>
              <w:pStyle w:val="TableParagraph"/>
              <w:ind w:left="107"/>
              <w:rPr>
                <w:b/>
                <w:sz w:val="20"/>
              </w:rPr>
            </w:pPr>
            <w:r>
              <w:rPr>
                <w:b/>
                <w:spacing w:val="-4"/>
                <w:sz w:val="20"/>
              </w:rPr>
              <w:t>2027</w:t>
            </w:r>
          </w:p>
        </w:tc>
        <w:tc>
          <w:tcPr>
            <w:tcW w:w="1360" w:type="dxa"/>
            <w:tcBorders>
              <w:top w:val="thinThickMediumGap" w:sz="4" w:space="0" w:color="000000"/>
            </w:tcBorders>
          </w:tcPr>
          <w:p>
            <w:pPr>
              <w:pStyle w:val="TableParagraph"/>
              <w:rPr>
                <w:rFonts w:ascii="Times New Roman"/>
                <w:sz w:val="18"/>
              </w:rPr>
            </w:pPr>
          </w:p>
        </w:tc>
        <w:tc>
          <w:tcPr>
            <w:tcW w:w="1345" w:type="dxa"/>
            <w:tcBorders>
              <w:top w:val="thinThickMediumGap" w:sz="4" w:space="0" w:color="000000"/>
            </w:tcBorders>
          </w:tcPr>
          <w:p>
            <w:pPr>
              <w:pStyle w:val="TableParagraph"/>
              <w:rPr>
                <w:rFonts w:ascii="Times New Roman"/>
                <w:sz w:val="18"/>
              </w:rPr>
            </w:pPr>
          </w:p>
        </w:tc>
        <w:tc>
          <w:tcPr>
            <w:tcW w:w="1379" w:type="dxa"/>
            <w:tcBorders>
              <w:top w:val="thinThickMediumGap" w:sz="4" w:space="0" w:color="000000"/>
            </w:tcBorders>
          </w:tcPr>
          <w:p>
            <w:pPr>
              <w:pStyle w:val="TableParagraph"/>
              <w:rPr>
                <w:rFonts w:ascii="Times New Roman"/>
                <w:sz w:val="18"/>
              </w:rPr>
            </w:pPr>
          </w:p>
        </w:tc>
        <w:tc>
          <w:tcPr>
            <w:tcW w:w="1275" w:type="dxa"/>
            <w:tcBorders>
              <w:top w:val="thinThickMediumGap" w:sz="4" w:space="0" w:color="000000"/>
              <w:right w:val="single" w:sz="4" w:space="0" w:color="000000"/>
            </w:tcBorders>
          </w:tcPr>
          <w:p>
            <w:pPr>
              <w:pStyle w:val="TableParagraph"/>
              <w:rPr>
                <w:rFonts w:ascii="Times New Roman"/>
                <w:sz w:val="18"/>
              </w:rPr>
            </w:pPr>
          </w:p>
        </w:tc>
      </w:tr>
      <w:tr>
        <w:trPr>
          <w:trHeight w:val="320" w:hRule="atLeast"/>
        </w:trPr>
        <w:tc>
          <w:tcPr>
            <w:tcW w:w="5275" w:type="dxa"/>
            <w:gridSpan w:val="2"/>
            <w:tcBorders>
              <w:left w:val="single" w:sz="4" w:space="0" w:color="000000"/>
            </w:tcBorders>
          </w:tcPr>
          <w:p>
            <w:pPr>
              <w:pStyle w:val="TableParagraph"/>
              <w:spacing w:before="32"/>
              <w:ind w:left="107"/>
              <w:rPr>
                <w:sz w:val="20"/>
              </w:rPr>
            </w:pPr>
            <w:r>
              <w:rPr>
                <w:sz w:val="20"/>
              </w:rPr>
              <w:t>Balance</w:t>
            </w:r>
            <w:r>
              <w:rPr>
                <w:spacing w:val="-6"/>
                <w:sz w:val="20"/>
              </w:rPr>
              <w:t> </w:t>
            </w:r>
            <w:r>
              <w:rPr>
                <w:sz w:val="20"/>
              </w:rPr>
              <w:t>at</w:t>
            </w:r>
            <w:r>
              <w:rPr>
                <w:spacing w:val="-6"/>
                <w:sz w:val="20"/>
              </w:rPr>
              <w:t> </w:t>
            </w:r>
            <w:r>
              <w:rPr>
                <w:sz w:val="20"/>
              </w:rPr>
              <w:t>beginning</w:t>
            </w:r>
            <w:r>
              <w:rPr>
                <w:spacing w:val="-4"/>
                <w:sz w:val="20"/>
              </w:rPr>
              <w:t> </w:t>
            </w:r>
            <w:r>
              <w:rPr>
                <w:sz w:val="20"/>
              </w:rPr>
              <w:t>of</w:t>
            </w:r>
            <w:r>
              <w:rPr>
                <w:spacing w:val="-6"/>
                <w:sz w:val="20"/>
              </w:rPr>
              <w:t> </w:t>
            </w:r>
            <w:r>
              <w:rPr>
                <w:sz w:val="20"/>
              </w:rPr>
              <w:t>the</w:t>
            </w:r>
            <w:r>
              <w:rPr>
                <w:spacing w:val="-4"/>
                <w:sz w:val="20"/>
              </w:rPr>
              <w:t> </w:t>
            </w:r>
            <w:r>
              <w:rPr>
                <w:sz w:val="20"/>
              </w:rPr>
              <w:t>financial</w:t>
            </w:r>
            <w:r>
              <w:rPr>
                <w:spacing w:val="-7"/>
                <w:sz w:val="20"/>
              </w:rPr>
              <w:t> </w:t>
            </w:r>
            <w:r>
              <w:rPr>
                <w:spacing w:val="-4"/>
                <w:sz w:val="20"/>
              </w:rPr>
              <w:t>year</w:t>
            </w:r>
          </w:p>
        </w:tc>
        <w:tc>
          <w:tcPr>
            <w:tcW w:w="1360" w:type="dxa"/>
          </w:tcPr>
          <w:p>
            <w:pPr>
              <w:pStyle w:val="TableParagraph"/>
              <w:spacing w:before="68"/>
              <w:ind w:right="132"/>
              <w:jc w:val="right"/>
              <w:rPr>
                <w:sz w:val="20"/>
              </w:rPr>
            </w:pPr>
            <w:r>
              <w:rPr>
                <w:spacing w:val="-2"/>
                <w:sz w:val="20"/>
              </w:rPr>
              <w:t>2,148,810</w:t>
            </w:r>
          </w:p>
        </w:tc>
        <w:tc>
          <w:tcPr>
            <w:tcW w:w="1345" w:type="dxa"/>
          </w:tcPr>
          <w:p>
            <w:pPr>
              <w:pStyle w:val="TableParagraph"/>
              <w:spacing w:before="68"/>
              <w:ind w:right="129"/>
              <w:jc w:val="right"/>
              <w:rPr>
                <w:sz w:val="20"/>
              </w:rPr>
            </w:pPr>
            <w:r>
              <w:rPr>
                <w:spacing w:val="-2"/>
                <w:sz w:val="20"/>
              </w:rPr>
              <w:t>895,041</w:t>
            </w:r>
          </w:p>
        </w:tc>
        <w:tc>
          <w:tcPr>
            <w:tcW w:w="1379" w:type="dxa"/>
          </w:tcPr>
          <w:p>
            <w:pPr>
              <w:pStyle w:val="TableParagraph"/>
              <w:spacing w:before="68"/>
              <w:ind w:right="156"/>
              <w:jc w:val="right"/>
              <w:rPr>
                <w:sz w:val="20"/>
              </w:rPr>
            </w:pPr>
            <w:r>
              <w:rPr>
                <w:spacing w:val="-2"/>
                <w:sz w:val="20"/>
              </w:rPr>
              <w:t>1,235,769</w:t>
            </w:r>
          </w:p>
        </w:tc>
        <w:tc>
          <w:tcPr>
            <w:tcW w:w="1275" w:type="dxa"/>
            <w:tcBorders>
              <w:right w:val="single" w:sz="4" w:space="0" w:color="000000"/>
            </w:tcBorders>
          </w:tcPr>
          <w:p>
            <w:pPr>
              <w:pStyle w:val="TableParagraph"/>
              <w:spacing w:before="68"/>
              <w:ind w:right="98"/>
              <w:jc w:val="right"/>
              <w:rPr>
                <w:sz w:val="20"/>
              </w:rPr>
            </w:pPr>
            <w:r>
              <w:rPr>
                <w:spacing w:val="-2"/>
                <w:sz w:val="20"/>
              </w:rPr>
              <w:t>18,000</w:t>
            </w:r>
          </w:p>
        </w:tc>
      </w:tr>
      <w:tr>
        <w:trPr>
          <w:trHeight w:val="302" w:hRule="atLeast"/>
        </w:trPr>
        <w:tc>
          <w:tcPr>
            <w:tcW w:w="5275" w:type="dxa"/>
            <w:gridSpan w:val="2"/>
            <w:tcBorders>
              <w:left w:val="single" w:sz="4" w:space="0" w:color="000000"/>
            </w:tcBorders>
          </w:tcPr>
          <w:p>
            <w:pPr>
              <w:pStyle w:val="TableParagraph"/>
              <w:spacing w:before="14"/>
              <w:ind w:left="107"/>
              <w:rPr>
                <w:sz w:val="20"/>
              </w:rPr>
            </w:pPr>
            <w:r>
              <w:rPr>
                <w:sz w:val="20"/>
              </w:rPr>
              <w:t>Surplus/(deficit)</w:t>
            </w:r>
            <w:r>
              <w:rPr>
                <w:spacing w:val="-10"/>
                <w:sz w:val="20"/>
              </w:rPr>
              <w:t> </w:t>
            </w:r>
            <w:r>
              <w:rPr>
                <w:sz w:val="20"/>
              </w:rPr>
              <w:t>for</w:t>
            </w:r>
            <w:r>
              <w:rPr>
                <w:spacing w:val="-6"/>
                <w:sz w:val="20"/>
              </w:rPr>
              <w:t> </w:t>
            </w:r>
            <w:r>
              <w:rPr>
                <w:sz w:val="20"/>
              </w:rPr>
              <w:t>the</w:t>
            </w:r>
            <w:r>
              <w:rPr>
                <w:spacing w:val="-5"/>
                <w:sz w:val="20"/>
              </w:rPr>
              <w:t> </w:t>
            </w:r>
            <w:r>
              <w:rPr>
                <w:spacing w:val="-4"/>
                <w:sz w:val="20"/>
              </w:rPr>
              <w:t>year</w:t>
            </w:r>
          </w:p>
        </w:tc>
        <w:tc>
          <w:tcPr>
            <w:tcW w:w="1360" w:type="dxa"/>
          </w:tcPr>
          <w:p>
            <w:pPr>
              <w:pStyle w:val="TableParagraph"/>
              <w:spacing w:before="50"/>
              <w:ind w:right="133"/>
              <w:jc w:val="right"/>
              <w:rPr>
                <w:sz w:val="20"/>
              </w:rPr>
            </w:pPr>
            <w:r>
              <w:rPr>
                <w:spacing w:val="-2"/>
                <w:sz w:val="20"/>
              </w:rPr>
              <w:t>15,288</w:t>
            </w:r>
          </w:p>
        </w:tc>
        <w:tc>
          <w:tcPr>
            <w:tcW w:w="1345" w:type="dxa"/>
          </w:tcPr>
          <w:p>
            <w:pPr>
              <w:pStyle w:val="TableParagraph"/>
              <w:spacing w:before="50"/>
              <w:ind w:right="131"/>
              <w:jc w:val="right"/>
              <w:rPr>
                <w:b/>
                <w:sz w:val="20"/>
              </w:rPr>
            </w:pPr>
            <w:r>
              <w:rPr>
                <w:b/>
                <w:spacing w:val="-2"/>
                <w:sz w:val="20"/>
              </w:rPr>
              <w:t>15,288</w:t>
            </w:r>
          </w:p>
        </w:tc>
        <w:tc>
          <w:tcPr>
            <w:tcW w:w="1379" w:type="dxa"/>
          </w:tcPr>
          <w:p>
            <w:pPr>
              <w:pStyle w:val="TableParagraph"/>
              <w:spacing w:before="50"/>
              <w:ind w:right="156"/>
              <w:jc w:val="right"/>
              <w:rPr>
                <w:sz w:val="20"/>
              </w:rPr>
            </w:pPr>
            <w:r>
              <w:rPr>
                <w:w w:val="99"/>
                <w:sz w:val="20"/>
              </w:rPr>
              <w:t>-</w:t>
            </w:r>
          </w:p>
        </w:tc>
        <w:tc>
          <w:tcPr>
            <w:tcW w:w="1275" w:type="dxa"/>
            <w:tcBorders>
              <w:right w:val="single" w:sz="4" w:space="0" w:color="000000"/>
            </w:tcBorders>
          </w:tcPr>
          <w:p>
            <w:pPr>
              <w:pStyle w:val="TableParagraph"/>
              <w:spacing w:before="50"/>
              <w:ind w:right="96"/>
              <w:jc w:val="right"/>
              <w:rPr>
                <w:sz w:val="20"/>
              </w:rPr>
            </w:pPr>
            <w:r>
              <w:rPr>
                <w:w w:val="99"/>
                <w:sz w:val="20"/>
              </w:rPr>
              <w:t>-</w:t>
            </w:r>
          </w:p>
        </w:tc>
      </w:tr>
      <w:tr>
        <w:trPr>
          <w:trHeight w:val="283" w:hRule="atLeast"/>
        </w:trPr>
        <w:tc>
          <w:tcPr>
            <w:tcW w:w="5275" w:type="dxa"/>
            <w:gridSpan w:val="2"/>
            <w:tcBorders>
              <w:left w:val="single" w:sz="4" w:space="0" w:color="000000"/>
            </w:tcBorders>
          </w:tcPr>
          <w:p>
            <w:pPr>
              <w:pStyle w:val="TableParagraph"/>
              <w:spacing w:before="14"/>
              <w:ind w:left="107"/>
              <w:rPr>
                <w:sz w:val="20"/>
              </w:rPr>
            </w:pPr>
            <w:r>
              <w:rPr>
                <w:sz w:val="20"/>
              </w:rPr>
              <w:t>Transfers</w:t>
            </w:r>
            <w:r>
              <w:rPr>
                <w:spacing w:val="-4"/>
                <w:sz w:val="20"/>
              </w:rPr>
              <w:t> </w:t>
            </w:r>
            <w:r>
              <w:rPr>
                <w:sz w:val="20"/>
              </w:rPr>
              <w:t>to</w:t>
            </w:r>
            <w:r>
              <w:rPr>
                <w:spacing w:val="-5"/>
                <w:sz w:val="20"/>
              </w:rPr>
              <w:t> </w:t>
            </w:r>
            <w:r>
              <w:rPr>
                <w:sz w:val="20"/>
              </w:rPr>
              <w:t>/</w:t>
            </w:r>
            <w:r>
              <w:rPr>
                <w:spacing w:val="-4"/>
                <w:sz w:val="20"/>
              </w:rPr>
              <w:t> </w:t>
            </w:r>
            <w:r>
              <w:rPr>
                <w:sz w:val="20"/>
              </w:rPr>
              <w:t>from</w:t>
            </w:r>
            <w:r>
              <w:rPr>
                <w:spacing w:val="-6"/>
                <w:sz w:val="20"/>
              </w:rPr>
              <w:t> </w:t>
            </w:r>
            <w:r>
              <w:rPr>
                <w:sz w:val="20"/>
              </w:rPr>
              <w:t>general</w:t>
            </w:r>
            <w:r>
              <w:rPr>
                <w:spacing w:val="-2"/>
                <w:sz w:val="20"/>
              </w:rPr>
              <w:t> reserve</w:t>
            </w:r>
          </w:p>
        </w:tc>
        <w:tc>
          <w:tcPr>
            <w:tcW w:w="1360" w:type="dxa"/>
          </w:tcPr>
          <w:p>
            <w:pPr>
              <w:pStyle w:val="TableParagraph"/>
              <w:spacing w:line="213" w:lineRule="exact" w:before="50"/>
              <w:ind w:right="132"/>
              <w:jc w:val="right"/>
              <w:rPr>
                <w:sz w:val="20"/>
              </w:rPr>
            </w:pPr>
            <w:r>
              <w:rPr>
                <w:w w:val="99"/>
                <w:sz w:val="20"/>
              </w:rPr>
              <w:t>-</w:t>
            </w:r>
          </w:p>
        </w:tc>
        <w:tc>
          <w:tcPr>
            <w:tcW w:w="1345" w:type="dxa"/>
          </w:tcPr>
          <w:p>
            <w:pPr>
              <w:pStyle w:val="TableParagraph"/>
              <w:spacing w:line="213" w:lineRule="exact" w:before="50"/>
              <w:ind w:right="131"/>
              <w:jc w:val="right"/>
              <w:rPr>
                <w:sz w:val="20"/>
              </w:rPr>
            </w:pPr>
            <w:r>
              <w:rPr>
                <w:spacing w:val="-2"/>
                <w:sz w:val="20"/>
              </w:rPr>
              <w:t>(1,000)</w:t>
            </w:r>
          </w:p>
        </w:tc>
        <w:tc>
          <w:tcPr>
            <w:tcW w:w="1379" w:type="dxa"/>
          </w:tcPr>
          <w:p>
            <w:pPr>
              <w:pStyle w:val="TableParagraph"/>
              <w:spacing w:line="213" w:lineRule="exact" w:before="50"/>
              <w:ind w:right="156"/>
              <w:jc w:val="right"/>
              <w:rPr>
                <w:sz w:val="20"/>
              </w:rPr>
            </w:pPr>
            <w:r>
              <w:rPr>
                <w:w w:val="99"/>
                <w:sz w:val="20"/>
              </w:rPr>
              <w:t>-</w:t>
            </w:r>
          </w:p>
        </w:tc>
        <w:tc>
          <w:tcPr>
            <w:tcW w:w="1275" w:type="dxa"/>
            <w:tcBorders>
              <w:right w:val="single" w:sz="4" w:space="0" w:color="000000"/>
            </w:tcBorders>
          </w:tcPr>
          <w:p>
            <w:pPr>
              <w:pStyle w:val="TableParagraph"/>
              <w:spacing w:line="213" w:lineRule="exact" w:before="50"/>
              <w:ind w:right="97"/>
              <w:jc w:val="right"/>
              <w:rPr>
                <w:sz w:val="20"/>
              </w:rPr>
            </w:pPr>
            <w:r>
              <w:rPr>
                <w:spacing w:val="-2"/>
                <w:sz w:val="20"/>
              </w:rPr>
              <w:t>1,000</w:t>
            </w:r>
          </w:p>
        </w:tc>
      </w:tr>
      <w:tr>
        <w:trPr>
          <w:trHeight w:val="312" w:hRule="atLeast"/>
        </w:trPr>
        <w:tc>
          <w:tcPr>
            <w:tcW w:w="5275" w:type="dxa"/>
            <w:gridSpan w:val="2"/>
            <w:tcBorders>
              <w:left w:val="single" w:sz="4" w:space="0" w:color="000000"/>
            </w:tcBorders>
          </w:tcPr>
          <w:p>
            <w:pPr>
              <w:pStyle w:val="TableParagraph"/>
              <w:spacing w:line="225" w:lineRule="exact"/>
              <w:ind w:left="107"/>
              <w:rPr>
                <w:b/>
                <w:sz w:val="20"/>
              </w:rPr>
            </w:pPr>
            <w:r>
              <w:rPr>
                <w:b/>
                <w:sz w:val="20"/>
              </w:rPr>
              <w:t>Balance</w:t>
            </w:r>
            <w:r>
              <w:rPr>
                <w:b/>
                <w:spacing w:val="-8"/>
                <w:sz w:val="20"/>
              </w:rPr>
              <w:t> </w:t>
            </w:r>
            <w:r>
              <w:rPr>
                <w:b/>
                <w:sz w:val="20"/>
              </w:rPr>
              <w:t>at</w:t>
            </w:r>
            <w:r>
              <w:rPr>
                <w:b/>
                <w:spacing w:val="-3"/>
                <w:sz w:val="20"/>
              </w:rPr>
              <w:t> </w:t>
            </w:r>
            <w:r>
              <w:rPr>
                <w:b/>
                <w:sz w:val="20"/>
              </w:rPr>
              <w:t>end</w:t>
            </w:r>
            <w:r>
              <w:rPr>
                <w:b/>
                <w:spacing w:val="-5"/>
                <w:sz w:val="20"/>
              </w:rPr>
              <w:t> </w:t>
            </w:r>
            <w:r>
              <w:rPr>
                <w:b/>
                <w:sz w:val="20"/>
              </w:rPr>
              <w:t>of</w:t>
            </w:r>
            <w:r>
              <w:rPr>
                <w:b/>
                <w:spacing w:val="-3"/>
                <w:sz w:val="20"/>
              </w:rPr>
              <w:t> </w:t>
            </w:r>
            <w:r>
              <w:rPr>
                <w:b/>
                <w:sz w:val="20"/>
              </w:rPr>
              <w:t>the</w:t>
            </w:r>
            <w:r>
              <w:rPr>
                <w:b/>
                <w:spacing w:val="-5"/>
                <w:sz w:val="20"/>
              </w:rPr>
              <w:t> </w:t>
            </w:r>
            <w:r>
              <w:rPr>
                <w:b/>
                <w:sz w:val="20"/>
              </w:rPr>
              <w:t>financial</w:t>
            </w:r>
            <w:r>
              <w:rPr>
                <w:b/>
                <w:spacing w:val="-5"/>
                <w:sz w:val="20"/>
              </w:rPr>
              <w:t> </w:t>
            </w:r>
            <w:r>
              <w:rPr>
                <w:b/>
                <w:spacing w:val="-4"/>
                <w:sz w:val="20"/>
              </w:rPr>
              <w:t>year</w:t>
            </w:r>
          </w:p>
        </w:tc>
        <w:tc>
          <w:tcPr>
            <w:tcW w:w="1360" w:type="dxa"/>
            <w:tcBorders>
              <w:bottom w:val="thickThinMediumGap" w:sz="4" w:space="0" w:color="000000"/>
            </w:tcBorders>
          </w:tcPr>
          <w:p>
            <w:pPr>
              <w:pStyle w:val="TableParagraph"/>
              <w:spacing w:line="209" w:lineRule="exact" w:before="84"/>
              <w:ind w:right="132"/>
              <w:jc w:val="right"/>
              <w:rPr>
                <w:b/>
                <w:sz w:val="20"/>
              </w:rPr>
            </w:pPr>
            <w:r>
              <w:rPr>
                <w:b/>
                <w:spacing w:val="-2"/>
                <w:sz w:val="20"/>
              </w:rPr>
              <w:t>2,164,098</w:t>
            </w:r>
          </w:p>
        </w:tc>
        <w:tc>
          <w:tcPr>
            <w:tcW w:w="1345" w:type="dxa"/>
            <w:tcBorders>
              <w:bottom w:val="thickThinMediumGap" w:sz="4" w:space="0" w:color="000000"/>
            </w:tcBorders>
          </w:tcPr>
          <w:p>
            <w:pPr>
              <w:pStyle w:val="TableParagraph"/>
              <w:spacing w:line="209" w:lineRule="exact" w:before="84"/>
              <w:ind w:right="129"/>
              <w:jc w:val="right"/>
              <w:rPr>
                <w:b/>
                <w:sz w:val="20"/>
              </w:rPr>
            </w:pPr>
            <w:r>
              <w:rPr>
                <w:b/>
                <w:spacing w:val="-2"/>
                <w:sz w:val="20"/>
              </w:rPr>
              <w:t>909,329</w:t>
            </w:r>
          </w:p>
        </w:tc>
        <w:tc>
          <w:tcPr>
            <w:tcW w:w="1379" w:type="dxa"/>
            <w:tcBorders>
              <w:bottom w:val="thickThinMediumGap" w:sz="4" w:space="0" w:color="000000"/>
            </w:tcBorders>
          </w:tcPr>
          <w:p>
            <w:pPr>
              <w:pStyle w:val="TableParagraph"/>
              <w:spacing w:line="209" w:lineRule="exact" w:before="84"/>
              <w:ind w:right="156"/>
              <w:jc w:val="right"/>
              <w:rPr>
                <w:b/>
                <w:sz w:val="20"/>
              </w:rPr>
            </w:pPr>
            <w:r>
              <w:rPr>
                <w:b/>
                <w:spacing w:val="-2"/>
                <w:sz w:val="20"/>
              </w:rPr>
              <w:t>1,235,769</w:t>
            </w:r>
          </w:p>
        </w:tc>
        <w:tc>
          <w:tcPr>
            <w:tcW w:w="1275" w:type="dxa"/>
            <w:tcBorders>
              <w:bottom w:val="thickThinMediumGap" w:sz="4" w:space="0" w:color="000000"/>
              <w:right w:val="single" w:sz="4" w:space="0" w:color="000000"/>
            </w:tcBorders>
          </w:tcPr>
          <w:p>
            <w:pPr>
              <w:pStyle w:val="TableParagraph"/>
              <w:spacing w:line="209" w:lineRule="exact" w:before="84"/>
              <w:ind w:right="98"/>
              <w:jc w:val="right"/>
              <w:rPr>
                <w:b/>
                <w:sz w:val="20"/>
              </w:rPr>
            </w:pPr>
            <w:r>
              <w:rPr>
                <w:b/>
                <w:spacing w:val="-2"/>
                <w:sz w:val="20"/>
              </w:rPr>
              <w:t>19,000</w:t>
            </w:r>
          </w:p>
        </w:tc>
      </w:tr>
      <w:tr>
        <w:trPr>
          <w:trHeight w:val="617" w:hRule="atLeast"/>
        </w:trPr>
        <w:tc>
          <w:tcPr>
            <w:tcW w:w="5275" w:type="dxa"/>
            <w:gridSpan w:val="2"/>
            <w:tcBorders>
              <w:left w:val="single" w:sz="4" w:space="0" w:color="000000"/>
            </w:tcBorders>
          </w:tcPr>
          <w:p>
            <w:pPr>
              <w:pStyle w:val="TableParagraph"/>
              <w:spacing w:before="2"/>
              <w:rPr>
                <w:i/>
                <w:sz w:val="30"/>
              </w:rPr>
            </w:pPr>
          </w:p>
          <w:p>
            <w:pPr>
              <w:pStyle w:val="TableParagraph"/>
              <w:spacing w:before="1"/>
              <w:ind w:left="107"/>
              <w:rPr>
                <w:b/>
                <w:sz w:val="20"/>
              </w:rPr>
            </w:pPr>
            <w:r>
              <w:rPr>
                <w:b/>
                <w:spacing w:val="-4"/>
                <w:sz w:val="20"/>
              </w:rPr>
              <w:t>2028</w:t>
            </w:r>
          </w:p>
        </w:tc>
        <w:tc>
          <w:tcPr>
            <w:tcW w:w="1360" w:type="dxa"/>
            <w:tcBorders>
              <w:top w:val="thinThickMediumGap" w:sz="4" w:space="0" w:color="000000"/>
            </w:tcBorders>
          </w:tcPr>
          <w:p>
            <w:pPr>
              <w:pStyle w:val="TableParagraph"/>
              <w:rPr>
                <w:rFonts w:ascii="Times New Roman"/>
                <w:sz w:val="18"/>
              </w:rPr>
            </w:pPr>
          </w:p>
        </w:tc>
        <w:tc>
          <w:tcPr>
            <w:tcW w:w="1345" w:type="dxa"/>
            <w:tcBorders>
              <w:top w:val="thinThickMediumGap" w:sz="4" w:space="0" w:color="000000"/>
            </w:tcBorders>
          </w:tcPr>
          <w:p>
            <w:pPr>
              <w:pStyle w:val="TableParagraph"/>
              <w:rPr>
                <w:rFonts w:ascii="Times New Roman"/>
                <w:sz w:val="18"/>
              </w:rPr>
            </w:pPr>
          </w:p>
        </w:tc>
        <w:tc>
          <w:tcPr>
            <w:tcW w:w="1379" w:type="dxa"/>
            <w:tcBorders>
              <w:top w:val="thinThickMediumGap" w:sz="4" w:space="0" w:color="000000"/>
            </w:tcBorders>
          </w:tcPr>
          <w:p>
            <w:pPr>
              <w:pStyle w:val="TableParagraph"/>
              <w:rPr>
                <w:rFonts w:ascii="Times New Roman"/>
                <w:sz w:val="18"/>
              </w:rPr>
            </w:pPr>
          </w:p>
        </w:tc>
        <w:tc>
          <w:tcPr>
            <w:tcW w:w="1275" w:type="dxa"/>
            <w:tcBorders>
              <w:top w:val="thinThickMediumGap" w:sz="4" w:space="0" w:color="000000"/>
              <w:right w:val="single" w:sz="4" w:space="0" w:color="000000"/>
            </w:tcBorders>
          </w:tcPr>
          <w:p>
            <w:pPr>
              <w:pStyle w:val="TableParagraph"/>
              <w:rPr>
                <w:rFonts w:ascii="Times New Roman"/>
                <w:sz w:val="18"/>
              </w:rPr>
            </w:pPr>
          </w:p>
        </w:tc>
      </w:tr>
      <w:tr>
        <w:trPr>
          <w:trHeight w:val="320" w:hRule="atLeast"/>
        </w:trPr>
        <w:tc>
          <w:tcPr>
            <w:tcW w:w="5275" w:type="dxa"/>
            <w:gridSpan w:val="2"/>
            <w:tcBorders>
              <w:left w:val="single" w:sz="4" w:space="0" w:color="000000"/>
            </w:tcBorders>
          </w:tcPr>
          <w:p>
            <w:pPr>
              <w:pStyle w:val="TableParagraph"/>
              <w:spacing w:before="32"/>
              <w:ind w:left="107"/>
              <w:rPr>
                <w:sz w:val="20"/>
              </w:rPr>
            </w:pPr>
            <w:r>
              <w:rPr>
                <w:sz w:val="20"/>
              </w:rPr>
              <w:t>Balance</w:t>
            </w:r>
            <w:r>
              <w:rPr>
                <w:spacing w:val="-6"/>
                <w:sz w:val="20"/>
              </w:rPr>
              <w:t> </w:t>
            </w:r>
            <w:r>
              <w:rPr>
                <w:sz w:val="20"/>
              </w:rPr>
              <w:t>at</w:t>
            </w:r>
            <w:r>
              <w:rPr>
                <w:spacing w:val="-6"/>
                <w:sz w:val="20"/>
              </w:rPr>
              <w:t> </w:t>
            </w:r>
            <w:r>
              <w:rPr>
                <w:sz w:val="20"/>
              </w:rPr>
              <w:t>beginning</w:t>
            </w:r>
            <w:r>
              <w:rPr>
                <w:spacing w:val="-4"/>
                <w:sz w:val="20"/>
              </w:rPr>
              <w:t> </w:t>
            </w:r>
            <w:r>
              <w:rPr>
                <w:sz w:val="20"/>
              </w:rPr>
              <w:t>of</w:t>
            </w:r>
            <w:r>
              <w:rPr>
                <w:spacing w:val="-6"/>
                <w:sz w:val="20"/>
              </w:rPr>
              <w:t> </w:t>
            </w:r>
            <w:r>
              <w:rPr>
                <w:sz w:val="20"/>
              </w:rPr>
              <w:t>the</w:t>
            </w:r>
            <w:r>
              <w:rPr>
                <w:spacing w:val="-4"/>
                <w:sz w:val="20"/>
              </w:rPr>
              <w:t> </w:t>
            </w:r>
            <w:r>
              <w:rPr>
                <w:sz w:val="20"/>
              </w:rPr>
              <w:t>financial</w:t>
            </w:r>
            <w:r>
              <w:rPr>
                <w:spacing w:val="-7"/>
                <w:sz w:val="20"/>
              </w:rPr>
              <w:t> </w:t>
            </w:r>
            <w:r>
              <w:rPr>
                <w:spacing w:val="-4"/>
                <w:sz w:val="20"/>
              </w:rPr>
              <w:t>year</w:t>
            </w:r>
          </w:p>
        </w:tc>
        <w:tc>
          <w:tcPr>
            <w:tcW w:w="1360" w:type="dxa"/>
          </w:tcPr>
          <w:p>
            <w:pPr>
              <w:pStyle w:val="TableParagraph"/>
              <w:spacing w:before="68"/>
              <w:ind w:right="132"/>
              <w:jc w:val="right"/>
              <w:rPr>
                <w:sz w:val="20"/>
              </w:rPr>
            </w:pPr>
            <w:r>
              <w:rPr>
                <w:spacing w:val="-2"/>
                <w:sz w:val="20"/>
              </w:rPr>
              <w:t>2,164,098</w:t>
            </w:r>
          </w:p>
        </w:tc>
        <w:tc>
          <w:tcPr>
            <w:tcW w:w="1345" w:type="dxa"/>
          </w:tcPr>
          <w:p>
            <w:pPr>
              <w:pStyle w:val="TableParagraph"/>
              <w:spacing w:before="68"/>
              <w:ind w:right="129"/>
              <w:jc w:val="right"/>
              <w:rPr>
                <w:sz w:val="20"/>
              </w:rPr>
            </w:pPr>
            <w:r>
              <w:rPr>
                <w:spacing w:val="-2"/>
                <w:sz w:val="20"/>
              </w:rPr>
              <w:t>909,329</w:t>
            </w:r>
          </w:p>
        </w:tc>
        <w:tc>
          <w:tcPr>
            <w:tcW w:w="1379" w:type="dxa"/>
          </w:tcPr>
          <w:p>
            <w:pPr>
              <w:pStyle w:val="TableParagraph"/>
              <w:spacing w:before="68"/>
              <w:ind w:right="156"/>
              <w:jc w:val="right"/>
              <w:rPr>
                <w:sz w:val="20"/>
              </w:rPr>
            </w:pPr>
            <w:r>
              <w:rPr>
                <w:spacing w:val="-2"/>
                <w:sz w:val="20"/>
              </w:rPr>
              <w:t>1,235,769</w:t>
            </w:r>
          </w:p>
        </w:tc>
        <w:tc>
          <w:tcPr>
            <w:tcW w:w="1275" w:type="dxa"/>
            <w:tcBorders>
              <w:right w:val="single" w:sz="4" w:space="0" w:color="000000"/>
            </w:tcBorders>
          </w:tcPr>
          <w:p>
            <w:pPr>
              <w:pStyle w:val="TableParagraph"/>
              <w:spacing w:before="68"/>
              <w:ind w:right="98"/>
              <w:jc w:val="right"/>
              <w:rPr>
                <w:sz w:val="20"/>
              </w:rPr>
            </w:pPr>
            <w:r>
              <w:rPr>
                <w:spacing w:val="-2"/>
                <w:sz w:val="20"/>
              </w:rPr>
              <w:t>19,000</w:t>
            </w:r>
          </w:p>
        </w:tc>
      </w:tr>
      <w:tr>
        <w:trPr>
          <w:trHeight w:val="302" w:hRule="atLeast"/>
        </w:trPr>
        <w:tc>
          <w:tcPr>
            <w:tcW w:w="5275" w:type="dxa"/>
            <w:gridSpan w:val="2"/>
            <w:tcBorders>
              <w:left w:val="single" w:sz="4" w:space="0" w:color="000000"/>
            </w:tcBorders>
          </w:tcPr>
          <w:p>
            <w:pPr>
              <w:pStyle w:val="TableParagraph"/>
              <w:spacing w:before="14"/>
              <w:ind w:left="107"/>
              <w:rPr>
                <w:sz w:val="20"/>
              </w:rPr>
            </w:pPr>
            <w:r>
              <w:rPr>
                <w:sz w:val="20"/>
              </w:rPr>
              <w:t>Surplus/(deficit)</w:t>
            </w:r>
            <w:r>
              <w:rPr>
                <w:spacing w:val="-10"/>
                <w:sz w:val="20"/>
              </w:rPr>
              <w:t> </w:t>
            </w:r>
            <w:r>
              <w:rPr>
                <w:sz w:val="20"/>
              </w:rPr>
              <w:t>for</w:t>
            </w:r>
            <w:r>
              <w:rPr>
                <w:spacing w:val="-6"/>
                <w:sz w:val="20"/>
              </w:rPr>
              <w:t> </w:t>
            </w:r>
            <w:r>
              <w:rPr>
                <w:sz w:val="20"/>
              </w:rPr>
              <w:t>the</w:t>
            </w:r>
            <w:r>
              <w:rPr>
                <w:spacing w:val="-5"/>
                <w:sz w:val="20"/>
              </w:rPr>
              <w:t> </w:t>
            </w:r>
            <w:r>
              <w:rPr>
                <w:spacing w:val="-4"/>
                <w:sz w:val="20"/>
              </w:rPr>
              <w:t>year</w:t>
            </w:r>
          </w:p>
        </w:tc>
        <w:tc>
          <w:tcPr>
            <w:tcW w:w="1360" w:type="dxa"/>
          </w:tcPr>
          <w:p>
            <w:pPr>
              <w:pStyle w:val="TableParagraph"/>
              <w:spacing w:before="50"/>
              <w:ind w:right="133"/>
              <w:jc w:val="right"/>
              <w:rPr>
                <w:sz w:val="20"/>
              </w:rPr>
            </w:pPr>
            <w:r>
              <w:rPr>
                <w:spacing w:val="-2"/>
                <w:sz w:val="20"/>
              </w:rPr>
              <w:t>29,255</w:t>
            </w:r>
          </w:p>
        </w:tc>
        <w:tc>
          <w:tcPr>
            <w:tcW w:w="1345" w:type="dxa"/>
          </w:tcPr>
          <w:p>
            <w:pPr>
              <w:pStyle w:val="TableParagraph"/>
              <w:spacing w:before="50"/>
              <w:ind w:right="131"/>
              <w:jc w:val="right"/>
              <w:rPr>
                <w:b/>
                <w:sz w:val="20"/>
              </w:rPr>
            </w:pPr>
            <w:r>
              <w:rPr>
                <w:b/>
                <w:spacing w:val="-2"/>
                <w:sz w:val="20"/>
              </w:rPr>
              <w:t>29,255</w:t>
            </w:r>
          </w:p>
        </w:tc>
        <w:tc>
          <w:tcPr>
            <w:tcW w:w="1379" w:type="dxa"/>
          </w:tcPr>
          <w:p>
            <w:pPr>
              <w:pStyle w:val="TableParagraph"/>
              <w:spacing w:before="50"/>
              <w:ind w:right="156"/>
              <w:jc w:val="right"/>
              <w:rPr>
                <w:sz w:val="20"/>
              </w:rPr>
            </w:pPr>
            <w:r>
              <w:rPr>
                <w:w w:val="99"/>
                <w:sz w:val="20"/>
              </w:rPr>
              <w:t>-</w:t>
            </w:r>
          </w:p>
        </w:tc>
        <w:tc>
          <w:tcPr>
            <w:tcW w:w="1275" w:type="dxa"/>
            <w:tcBorders>
              <w:right w:val="single" w:sz="4" w:space="0" w:color="000000"/>
            </w:tcBorders>
          </w:tcPr>
          <w:p>
            <w:pPr>
              <w:pStyle w:val="TableParagraph"/>
              <w:spacing w:before="50"/>
              <w:ind w:right="96"/>
              <w:jc w:val="right"/>
              <w:rPr>
                <w:sz w:val="20"/>
              </w:rPr>
            </w:pPr>
            <w:r>
              <w:rPr>
                <w:w w:val="99"/>
                <w:sz w:val="20"/>
              </w:rPr>
              <w:t>-</w:t>
            </w:r>
          </w:p>
        </w:tc>
      </w:tr>
      <w:tr>
        <w:trPr>
          <w:trHeight w:val="284" w:hRule="atLeast"/>
        </w:trPr>
        <w:tc>
          <w:tcPr>
            <w:tcW w:w="5275" w:type="dxa"/>
            <w:gridSpan w:val="2"/>
            <w:tcBorders>
              <w:left w:val="single" w:sz="4" w:space="0" w:color="000000"/>
            </w:tcBorders>
          </w:tcPr>
          <w:p>
            <w:pPr>
              <w:pStyle w:val="TableParagraph"/>
              <w:spacing w:before="14"/>
              <w:ind w:left="107"/>
              <w:rPr>
                <w:sz w:val="20"/>
              </w:rPr>
            </w:pPr>
            <w:r>
              <w:rPr>
                <w:sz w:val="20"/>
              </w:rPr>
              <w:t>Transfers</w:t>
            </w:r>
            <w:r>
              <w:rPr>
                <w:spacing w:val="-4"/>
                <w:sz w:val="20"/>
              </w:rPr>
              <w:t> </w:t>
            </w:r>
            <w:r>
              <w:rPr>
                <w:sz w:val="20"/>
              </w:rPr>
              <w:t>to</w:t>
            </w:r>
            <w:r>
              <w:rPr>
                <w:spacing w:val="-5"/>
                <w:sz w:val="20"/>
              </w:rPr>
              <w:t> </w:t>
            </w:r>
            <w:r>
              <w:rPr>
                <w:sz w:val="20"/>
              </w:rPr>
              <w:t>/</w:t>
            </w:r>
            <w:r>
              <w:rPr>
                <w:spacing w:val="-4"/>
                <w:sz w:val="20"/>
              </w:rPr>
              <w:t> </w:t>
            </w:r>
            <w:r>
              <w:rPr>
                <w:sz w:val="20"/>
              </w:rPr>
              <w:t>from</w:t>
            </w:r>
            <w:r>
              <w:rPr>
                <w:spacing w:val="-6"/>
                <w:sz w:val="20"/>
              </w:rPr>
              <w:t> </w:t>
            </w:r>
            <w:r>
              <w:rPr>
                <w:sz w:val="20"/>
              </w:rPr>
              <w:t>general</w:t>
            </w:r>
            <w:r>
              <w:rPr>
                <w:spacing w:val="-2"/>
                <w:sz w:val="20"/>
              </w:rPr>
              <w:t> reserve</w:t>
            </w:r>
          </w:p>
        </w:tc>
        <w:tc>
          <w:tcPr>
            <w:tcW w:w="1360" w:type="dxa"/>
          </w:tcPr>
          <w:p>
            <w:pPr>
              <w:pStyle w:val="TableParagraph"/>
              <w:spacing w:line="214" w:lineRule="exact" w:before="50"/>
              <w:ind w:right="132"/>
              <w:jc w:val="right"/>
              <w:rPr>
                <w:sz w:val="20"/>
              </w:rPr>
            </w:pPr>
            <w:r>
              <w:rPr>
                <w:w w:val="99"/>
                <w:sz w:val="20"/>
              </w:rPr>
              <w:t>-</w:t>
            </w:r>
          </w:p>
        </w:tc>
        <w:tc>
          <w:tcPr>
            <w:tcW w:w="1345" w:type="dxa"/>
          </w:tcPr>
          <w:p>
            <w:pPr>
              <w:pStyle w:val="TableParagraph"/>
              <w:spacing w:line="214" w:lineRule="exact" w:before="50"/>
              <w:ind w:right="131"/>
              <w:jc w:val="right"/>
              <w:rPr>
                <w:sz w:val="20"/>
              </w:rPr>
            </w:pPr>
            <w:r>
              <w:rPr>
                <w:spacing w:val="-2"/>
                <w:sz w:val="20"/>
              </w:rPr>
              <w:t>(5,000)</w:t>
            </w:r>
          </w:p>
        </w:tc>
        <w:tc>
          <w:tcPr>
            <w:tcW w:w="1379" w:type="dxa"/>
          </w:tcPr>
          <w:p>
            <w:pPr>
              <w:pStyle w:val="TableParagraph"/>
              <w:spacing w:line="214" w:lineRule="exact" w:before="50"/>
              <w:ind w:right="156"/>
              <w:jc w:val="right"/>
              <w:rPr>
                <w:sz w:val="20"/>
              </w:rPr>
            </w:pPr>
            <w:r>
              <w:rPr>
                <w:w w:val="99"/>
                <w:sz w:val="20"/>
              </w:rPr>
              <w:t>-</w:t>
            </w:r>
          </w:p>
        </w:tc>
        <w:tc>
          <w:tcPr>
            <w:tcW w:w="1275" w:type="dxa"/>
            <w:tcBorders>
              <w:right w:val="single" w:sz="4" w:space="0" w:color="000000"/>
            </w:tcBorders>
          </w:tcPr>
          <w:p>
            <w:pPr>
              <w:pStyle w:val="TableParagraph"/>
              <w:spacing w:line="214" w:lineRule="exact" w:before="50"/>
              <w:ind w:right="97"/>
              <w:jc w:val="right"/>
              <w:rPr>
                <w:sz w:val="20"/>
              </w:rPr>
            </w:pPr>
            <w:r>
              <w:rPr>
                <w:spacing w:val="-2"/>
                <w:sz w:val="20"/>
              </w:rPr>
              <w:t>5,000</w:t>
            </w:r>
          </w:p>
        </w:tc>
      </w:tr>
      <w:tr>
        <w:trPr>
          <w:trHeight w:val="313" w:hRule="atLeast"/>
        </w:trPr>
        <w:tc>
          <w:tcPr>
            <w:tcW w:w="5275" w:type="dxa"/>
            <w:gridSpan w:val="2"/>
            <w:tcBorders>
              <w:left w:val="single" w:sz="4" w:space="0" w:color="000000"/>
              <w:bottom w:val="single" w:sz="4" w:space="0" w:color="000000"/>
            </w:tcBorders>
          </w:tcPr>
          <w:p>
            <w:pPr>
              <w:pStyle w:val="TableParagraph"/>
              <w:spacing w:line="227" w:lineRule="exact"/>
              <w:ind w:left="107"/>
              <w:rPr>
                <w:b/>
                <w:sz w:val="20"/>
              </w:rPr>
            </w:pPr>
            <w:r>
              <w:rPr>
                <w:b/>
                <w:sz w:val="20"/>
              </w:rPr>
              <w:t>Balance</w:t>
            </w:r>
            <w:r>
              <w:rPr>
                <w:b/>
                <w:spacing w:val="-8"/>
                <w:sz w:val="20"/>
              </w:rPr>
              <w:t> </w:t>
            </w:r>
            <w:r>
              <w:rPr>
                <w:b/>
                <w:sz w:val="20"/>
              </w:rPr>
              <w:t>at</w:t>
            </w:r>
            <w:r>
              <w:rPr>
                <w:b/>
                <w:spacing w:val="-3"/>
                <w:sz w:val="20"/>
              </w:rPr>
              <w:t> </w:t>
            </w:r>
            <w:r>
              <w:rPr>
                <w:b/>
                <w:sz w:val="20"/>
              </w:rPr>
              <w:t>end</w:t>
            </w:r>
            <w:r>
              <w:rPr>
                <w:b/>
                <w:spacing w:val="-5"/>
                <w:sz w:val="20"/>
              </w:rPr>
              <w:t> </w:t>
            </w:r>
            <w:r>
              <w:rPr>
                <w:b/>
                <w:sz w:val="20"/>
              </w:rPr>
              <w:t>of</w:t>
            </w:r>
            <w:r>
              <w:rPr>
                <w:b/>
                <w:spacing w:val="-3"/>
                <w:sz w:val="20"/>
              </w:rPr>
              <w:t> </w:t>
            </w:r>
            <w:r>
              <w:rPr>
                <w:b/>
                <w:sz w:val="20"/>
              </w:rPr>
              <w:t>the</w:t>
            </w:r>
            <w:r>
              <w:rPr>
                <w:b/>
                <w:spacing w:val="-5"/>
                <w:sz w:val="20"/>
              </w:rPr>
              <w:t> </w:t>
            </w:r>
            <w:r>
              <w:rPr>
                <w:b/>
                <w:sz w:val="20"/>
              </w:rPr>
              <w:t>financial</w:t>
            </w:r>
            <w:r>
              <w:rPr>
                <w:b/>
                <w:spacing w:val="-5"/>
                <w:sz w:val="20"/>
              </w:rPr>
              <w:t> </w:t>
            </w:r>
            <w:r>
              <w:rPr>
                <w:b/>
                <w:spacing w:val="-4"/>
                <w:sz w:val="20"/>
              </w:rPr>
              <w:t>year</w:t>
            </w:r>
          </w:p>
        </w:tc>
        <w:tc>
          <w:tcPr>
            <w:tcW w:w="1360" w:type="dxa"/>
            <w:tcBorders>
              <w:bottom w:val="single" w:sz="4" w:space="0" w:color="000000"/>
            </w:tcBorders>
          </w:tcPr>
          <w:p>
            <w:pPr>
              <w:pStyle w:val="TableParagraph"/>
              <w:spacing w:line="211" w:lineRule="exact" w:before="83"/>
              <w:ind w:right="132"/>
              <w:jc w:val="right"/>
              <w:rPr>
                <w:b/>
                <w:sz w:val="20"/>
              </w:rPr>
            </w:pPr>
            <w:r>
              <w:rPr>
                <w:b/>
                <w:spacing w:val="-2"/>
                <w:sz w:val="20"/>
              </w:rPr>
              <w:t>2,193,353</w:t>
            </w:r>
          </w:p>
        </w:tc>
        <w:tc>
          <w:tcPr>
            <w:tcW w:w="1345" w:type="dxa"/>
            <w:tcBorders>
              <w:bottom w:val="single" w:sz="4" w:space="0" w:color="000000"/>
            </w:tcBorders>
          </w:tcPr>
          <w:p>
            <w:pPr>
              <w:pStyle w:val="TableParagraph"/>
              <w:spacing w:line="211" w:lineRule="exact" w:before="83"/>
              <w:ind w:right="129"/>
              <w:jc w:val="right"/>
              <w:rPr>
                <w:b/>
                <w:sz w:val="20"/>
              </w:rPr>
            </w:pPr>
            <w:r>
              <w:rPr>
                <w:b/>
                <w:spacing w:val="-2"/>
                <w:sz w:val="20"/>
              </w:rPr>
              <w:t>933,584</w:t>
            </w:r>
          </w:p>
        </w:tc>
        <w:tc>
          <w:tcPr>
            <w:tcW w:w="1379" w:type="dxa"/>
            <w:tcBorders>
              <w:bottom w:val="single" w:sz="4" w:space="0" w:color="000000"/>
            </w:tcBorders>
          </w:tcPr>
          <w:p>
            <w:pPr>
              <w:pStyle w:val="TableParagraph"/>
              <w:spacing w:line="211" w:lineRule="exact" w:before="83"/>
              <w:ind w:right="156"/>
              <w:jc w:val="right"/>
              <w:rPr>
                <w:b/>
                <w:sz w:val="20"/>
              </w:rPr>
            </w:pPr>
            <w:r>
              <w:rPr>
                <w:b/>
                <w:spacing w:val="-2"/>
                <w:sz w:val="20"/>
              </w:rPr>
              <w:t>1,235,769</w:t>
            </w:r>
          </w:p>
        </w:tc>
        <w:tc>
          <w:tcPr>
            <w:tcW w:w="1275" w:type="dxa"/>
            <w:tcBorders>
              <w:bottom w:val="single" w:sz="4" w:space="0" w:color="000000"/>
              <w:right w:val="single" w:sz="4" w:space="0" w:color="000000"/>
            </w:tcBorders>
          </w:tcPr>
          <w:p>
            <w:pPr>
              <w:pStyle w:val="TableParagraph"/>
              <w:spacing w:line="211" w:lineRule="exact" w:before="83"/>
              <w:ind w:right="98"/>
              <w:jc w:val="right"/>
              <w:rPr>
                <w:b/>
                <w:sz w:val="20"/>
              </w:rPr>
            </w:pPr>
            <w:r>
              <w:rPr>
                <w:b/>
                <w:spacing w:val="-2"/>
                <w:sz w:val="20"/>
              </w:rPr>
              <w:t>24,000</w:t>
            </w:r>
          </w:p>
        </w:tc>
      </w:tr>
    </w:tbl>
    <w:p>
      <w:pPr>
        <w:spacing w:after="0" w:line="211" w:lineRule="exact"/>
        <w:jc w:val="right"/>
        <w:rPr>
          <w:sz w:val="20"/>
        </w:rPr>
        <w:sectPr>
          <w:pgSz w:w="11910" w:h="16840"/>
          <w:pgMar w:header="0" w:footer="426" w:top="380" w:bottom="620" w:left="460" w:right="160"/>
        </w:sectPr>
      </w:pPr>
    </w:p>
    <w:p>
      <w:pPr>
        <w:pStyle w:val="BodyText"/>
        <w:spacing w:before="5"/>
        <w:rPr>
          <w:i/>
          <w:sz w:val="2"/>
        </w:rPr>
      </w:pPr>
    </w:p>
    <w:tbl>
      <w:tblPr>
        <w:tblW w:w="0" w:type="auto"/>
        <w:jc w:val="left"/>
        <w:tblInd w:w="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16"/>
        <w:gridCol w:w="790"/>
        <w:gridCol w:w="1162"/>
        <w:gridCol w:w="1208"/>
        <w:gridCol w:w="1170"/>
        <w:gridCol w:w="1162"/>
        <w:gridCol w:w="1154"/>
      </w:tblGrid>
      <w:tr>
        <w:trPr>
          <w:trHeight w:val="842" w:hRule="atLeast"/>
        </w:trPr>
        <w:tc>
          <w:tcPr>
            <w:tcW w:w="10762" w:type="dxa"/>
            <w:gridSpan w:val="7"/>
            <w:tcBorders>
              <w:top w:val="single" w:sz="4" w:space="0" w:color="000000"/>
              <w:left w:val="single" w:sz="4" w:space="0" w:color="000000"/>
              <w:right w:val="single" w:sz="4" w:space="0" w:color="000000"/>
            </w:tcBorders>
          </w:tcPr>
          <w:p>
            <w:pPr>
              <w:pStyle w:val="TableParagraph"/>
              <w:ind w:left="110"/>
              <w:rPr>
                <w:b/>
                <w:sz w:val="24"/>
              </w:rPr>
            </w:pPr>
            <w:r>
              <w:rPr>
                <w:b/>
                <w:color w:val="4966AC"/>
                <w:sz w:val="24"/>
              </w:rPr>
              <w:t>Statement</w:t>
            </w:r>
            <w:r>
              <w:rPr>
                <w:b/>
                <w:color w:val="4966AC"/>
                <w:spacing w:val="-2"/>
                <w:sz w:val="24"/>
              </w:rPr>
              <w:t> </w:t>
            </w:r>
            <w:r>
              <w:rPr>
                <w:b/>
                <w:color w:val="4966AC"/>
                <w:sz w:val="24"/>
              </w:rPr>
              <w:t>of</w:t>
            </w:r>
            <w:r>
              <w:rPr>
                <w:b/>
                <w:color w:val="4966AC"/>
                <w:spacing w:val="1"/>
                <w:sz w:val="24"/>
              </w:rPr>
              <w:t> </w:t>
            </w:r>
            <w:r>
              <w:rPr>
                <w:b/>
                <w:color w:val="4966AC"/>
                <w:sz w:val="24"/>
              </w:rPr>
              <w:t>Cash</w:t>
            </w:r>
            <w:r>
              <w:rPr>
                <w:b/>
                <w:color w:val="4966AC"/>
                <w:spacing w:val="1"/>
                <w:sz w:val="24"/>
              </w:rPr>
              <w:t> </w:t>
            </w:r>
            <w:r>
              <w:rPr>
                <w:b/>
                <w:color w:val="4966AC"/>
                <w:spacing w:val="-2"/>
                <w:sz w:val="24"/>
              </w:rPr>
              <w:t>Flows</w:t>
            </w:r>
          </w:p>
          <w:p>
            <w:pPr>
              <w:pStyle w:val="TableParagraph"/>
              <w:spacing w:before="14"/>
              <w:ind w:left="110"/>
              <w:rPr>
                <w:sz w:val="22"/>
              </w:rPr>
            </w:pPr>
            <w:r>
              <w:rPr>
                <w:color w:val="4966AC"/>
                <w:sz w:val="22"/>
              </w:rPr>
              <w:t>For</w:t>
            </w:r>
            <w:r>
              <w:rPr>
                <w:color w:val="4966AC"/>
                <w:spacing w:val="-3"/>
                <w:sz w:val="22"/>
              </w:rPr>
              <w:t> </w:t>
            </w:r>
            <w:r>
              <w:rPr>
                <w:color w:val="4966AC"/>
                <w:sz w:val="22"/>
              </w:rPr>
              <w:t>the</w:t>
            </w:r>
            <w:r>
              <w:rPr>
                <w:color w:val="4966AC"/>
                <w:spacing w:val="-3"/>
                <w:sz w:val="22"/>
              </w:rPr>
              <w:t> </w:t>
            </w:r>
            <w:r>
              <w:rPr>
                <w:color w:val="4966AC"/>
                <w:sz w:val="22"/>
              </w:rPr>
              <w:t>four</w:t>
            </w:r>
            <w:r>
              <w:rPr>
                <w:color w:val="4966AC"/>
                <w:spacing w:val="-2"/>
                <w:sz w:val="22"/>
              </w:rPr>
              <w:t> </w:t>
            </w:r>
            <w:r>
              <w:rPr>
                <w:color w:val="4966AC"/>
                <w:sz w:val="22"/>
              </w:rPr>
              <w:t>years</w:t>
            </w:r>
            <w:r>
              <w:rPr>
                <w:color w:val="4966AC"/>
                <w:spacing w:val="-2"/>
                <w:sz w:val="22"/>
              </w:rPr>
              <w:t> </w:t>
            </w:r>
            <w:r>
              <w:rPr>
                <w:color w:val="4966AC"/>
                <w:sz w:val="22"/>
              </w:rPr>
              <w:t>ending</w:t>
            </w:r>
            <w:r>
              <w:rPr>
                <w:color w:val="4966AC"/>
                <w:spacing w:val="-3"/>
                <w:sz w:val="22"/>
              </w:rPr>
              <w:t> </w:t>
            </w:r>
            <w:r>
              <w:rPr>
                <w:color w:val="4966AC"/>
                <w:sz w:val="22"/>
              </w:rPr>
              <w:t>30</w:t>
            </w:r>
            <w:r>
              <w:rPr>
                <w:color w:val="4966AC"/>
                <w:spacing w:val="-2"/>
                <w:sz w:val="22"/>
              </w:rPr>
              <w:t> </w:t>
            </w:r>
            <w:r>
              <w:rPr>
                <w:color w:val="4966AC"/>
                <w:sz w:val="22"/>
              </w:rPr>
              <w:t>June</w:t>
            </w:r>
            <w:r>
              <w:rPr>
                <w:color w:val="4966AC"/>
                <w:spacing w:val="-3"/>
                <w:sz w:val="22"/>
              </w:rPr>
              <w:t> </w:t>
            </w:r>
            <w:r>
              <w:rPr>
                <w:color w:val="4966AC"/>
                <w:spacing w:val="-4"/>
                <w:sz w:val="22"/>
              </w:rPr>
              <w:t>2028</w:t>
            </w:r>
          </w:p>
        </w:tc>
      </w:tr>
      <w:tr>
        <w:trPr>
          <w:trHeight w:val="1104" w:hRule="atLeast"/>
        </w:trPr>
        <w:tc>
          <w:tcPr>
            <w:tcW w:w="4116" w:type="dxa"/>
            <w:tcBorders>
              <w:left w:val="single" w:sz="4" w:space="0" w:color="000000"/>
            </w:tcBorders>
            <w:shd w:val="clear" w:color="auto" w:fill="5B9AD4"/>
          </w:tcPr>
          <w:p>
            <w:pPr>
              <w:pStyle w:val="TableParagraph"/>
              <w:rPr>
                <w:rFonts w:ascii="Times New Roman"/>
                <w:sz w:val="18"/>
              </w:rPr>
            </w:pPr>
          </w:p>
        </w:tc>
        <w:tc>
          <w:tcPr>
            <w:tcW w:w="790" w:type="dxa"/>
            <w:shd w:val="clear" w:color="auto" w:fill="5B9AD4"/>
          </w:tcPr>
          <w:p>
            <w:pPr>
              <w:pStyle w:val="TableParagraph"/>
              <w:rPr>
                <w:i/>
                <w:sz w:val="22"/>
              </w:rPr>
            </w:pPr>
          </w:p>
          <w:p>
            <w:pPr>
              <w:pStyle w:val="TableParagraph"/>
              <w:rPr>
                <w:i/>
                <w:sz w:val="22"/>
              </w:rPr>
            </w:pPr>
          </w:p>
          <w:p>
            <w:pPr>
              <w:pStyle w:val="TableParagraph"/>
              <w:spacing w:before="9"/>
              <w:rPr>
                <w:i/>
                <w:sz w:val="29"/>
              </w:rPr>
            </w:pPr>
          </w:p>
          <w:p>
            <w:pPr>
              <w:pStyle w:val="TableParagraph"/>
              <w:ind w:left="116" w:right="88"/>
              <w:jc w:val="center"/>
              <w:rPr>
                <w:b/>
                <w:sz w:val="20"/>
              </w:rPr>
            </w:pPr>
            <w:r>
              <w:rPr>
                <w:b/>
                <w:color w:val="FFFFFF"/>
                <w:spacing w:val="-2"/>
                <w:sz w:val="20"/>
              </w:rPr>
              <w:t>Notes</w:t>
            </w:r>
          </w:p>
        </w:tc>
        <w:tc>
          <w:tcPr>
            <w:tcW w:w="1162" w:type="dxa"/>
            <w:shd w:val="clear" w:color="auto" w:fill="5B9AD4"/>
          </w:tcPr>
          <w:p>
            <w:pPr>
              <w:pStyle w:val="TableParagraph"/>
              <w:spacing w:before="45"/>
              <w:ind w:left="99" w:right="92"/>
              <w:jc w:val="center"/>
              <w:rPr>
                <w:b/>
                <w:sz w:val="20"/>
              </w:rPr>
            </w:pPr>
            <w:r>
              <w:rPr>
                <w:b/>
                <w:color w:val="FFFFFF"/>
                <w:spacing w:val="-2"/>
                <w:sz w:val="20"/>
              </w:rPr>
              <w:t>Forecast Actual</w:t>
            </w:r>
          </w:p>
          <w:p>
            <w:pPr>
              <w:pStyle w:val="TableParagraph"/>
              <w:spacing w:before="68"/>
              <w:ind w:left="99" w:right="94"/>
              <w:jc w:val="center"/>
              <w:rPr>
                <w:b/>
                <w:sz w:val="20"/>
              </w:rPr>
            </w:pPr>
            <w:r>
              <w:rPr>
                <w:b/>
                <w:color w:val="FFFFFF"/>
                <w:spacing w:val="-2"/>
                <w:sz w:val="20"/>
              </w:rPr>
              <w:t>2023/2024</w:t>
            </w:r>
          </w:p>
          <w:p>
            <w:pPr>
              <w:pStyle w:val="TableParagraph"/>
              <w:spacing w:before="46"/>
              <w:ind w:left="98" w:right="94"/>
              <w:jc w:val="center"/>
              <w:rPr>
                <w:b/>
                <w:sz w:val="20"/>
              </w:rPr>
            </w:pPr>
            <w:r>
              <w:rPr>
                <w:b/>
                <w:color w:val="FFFFFF"/>
                <w:spacing w:val="-2"/>
                <w:sz w:val="20"/>
              </w:rPr>
              <w:t>$’000</w:t>
            </w:r>
          </w:p>
        </w:tc>
        <w:tc>
          <w:tcPr>
            <w:tcW w:w="1208" w:type="dxa"/>
            <w:shd w:val="clear" w:color="auto" w:fill="5B9AD4"/>
          </w:tcPr>
          <w:p>
            <w:pPr>
              <w:pStyle w:val="TableParagraph"/>
              <w:spacing w:line="416" w:lineRule="exact" w:before="12"/>
              <w:ind w:left="133" w:right="127" w:firstLine="127"/>
              <w:rPr>
                <w:b/>
                <w:sz w:val="20"/>
              </w:rPr>
            </w:pPr>
            <w:r>
              <w:rPr>
                <w:b/>
                <w:color w:val="FFFFFF"/>
                <w:spacing w:val="-2"/>
                <w:sz w:val="20"/>
              </w:rPr>
              <w:t>Budget 2024/2025</w:t>
            </w:r>
          </w:p>
          <w:p>
            <w:pPr>
              <w:pStyle w:val="TableParagraph"/>
              <w:spacing w:before="5"/>
              <w:ind w:left="354"/>
              <w:rPr>
                <w:b/>
                <w:sz w:val="20"/>
              </w:rPr>
            </w:pPr>
            <w:r>
              <w:rPr>
                <w:b/>
                <w:color w:val="FFFFFF"/>
                <w:spacing w:val="-2"/>
                <w:sz w:val="20"/>
              </w:rPr>
              <w:t>$’000</w:t>
            </w:r>
          </w:p>
        </w:tc>
        <w:tc>
          <w:tcPr>
            <w:tcW w:w="3486" w:type="dxa"/>
            <w:gridSpan w:val="3"/>
            <w:tcBorders>
              <w:right w:val="single" w:sz="4" w:space="0" w:color="000000"/>
            </w:tcBorders>
            <w:shd w:val="clear" w:color="auto" w:fill="5B9AD4"/>
          </w:tcPr>
          <w:p>
            <w:pPr>
              <w:pStyle w:val="TableParagraph"/>
              <w:tabs>
                <w:tab w:pos="1267" w:val="left" w:leader="none"/>
                <w:tab w:pos="2429" w:val="left" w:leader="none"/>
              </w:tabs>
              <w:spacing w:line="416" w:lineRule="exact" w:before="12"/>
              <w:ind w:left="106" w:right="101" w:firstLine="4"/>
              <w:jc w:val="center"/>
              <w:rPr>
                <w:b/>
                <w:sz w:val="20"/>
              </w:rPr>
            </w:pPr>
            <w:r>
              <w:rPr>
                <w:b/>
                <w:color w:val="FFFFFF"/>
                <w:sz w:val="20"/>
              </w:rPr>
              <w:t>Financial Plan Projections </w:t>
            </w:r>
            <w:r>
              <w:rPr>
                <w:b/>
                <w:color w:val="FFFFFF"/>
                <w:spacing w:val="-2"/>
                <w:sz w:val="20"/>
              </w:rPr>
              <w:t>2025/2026</w:t>
            </w:r>
            <w:r>
              <w:rPr>
                <w:b/>
                <w:color w:val="FFFFFF"/>
                <w:sz w:val="20"/>
              </w:rPr>
              <w:tab/>
            </w:r>
            <w:r>
              <w:rPr>
                <w:b/>
                <w:color w:val="FFFFFF"/>
                <w:spacing w:val="-2"/>
                <w:sz w:val="20"/>
              </w:rPr>
              <w:t>2026/2027</w:t>
            </w:r>
            <w:r>
              <w:rPr>
                <w:b/>
                <w:color w:val="FFFFFF"/>
                <w:sz w:val="20"/>
              </w:rPr>
              <w:tab/>
            </w:r>
            <w:r>
              <w:rPr>
                <w:b/>
                <w:color w:val="FFFFFF"/>
                <w:spacing w:val="-2"/>
                <w:sz w:val="20"/>
              </w:rPr>
              <w:t>2027/2028</w:t>
            </w:r>
          </w:p>
          <w:p>
            <w:pPr>
              <w:pStyle w:val="TableParagraph"/>
              <w:tabs>
                <w:tab w:pos="1162" w:val="left" w:leader="none"/>
                <w:tab w:pos="2324" w:val="left" w:leader="none"/>
              </w:tabs>
              <w:spacing w:before="5"/>
              <w:ind w:left="1"/>
              <w:jc w:val="center"/>
              <w:rPr>
                <w:b/>
                <w:sz w:val="20"/>
              </w:rPr>
            </w:pPr>
            <w:r>
              <w:rPr>
                <w:b/>
                <w:color w:val="FFFFFF"/>
                <w:spacing w:val="-2"/>
                <w:sz w:val="20"/>
              </w:rPr>
              <w:t>$’000</w:t>
            </w:r>
            <w:r>
              <w:rPr>
                <w:b/>
                <w:color w:val="FFFFFF"/>
                <w:sz w:val="20"/>
              </w:rPr>
              <w:tab/>
            </w:r>
            <w:r>
              <w:rPr>
                <w:b/>
                <w:color w:val="FFFFFF"/>
                <w:spacing w:val="-2"/>
                <w:sz w:val="20"/>
              </w:rPr>
              <w:t>$’000</w:t>
            </w:r>
            <w:r>
              <w:rPr>
                <w:b/>
                <w:color w:val="FFFFFF"/>
                <w:sz w:val="20"/>
              </w:rPr>
              <w:tab/>
            </w:r>
            <w:r>
              <w:rPr>
                <w:b/>
                <w:color w:val="FFFFFF"/>
                <w:spacing w:val="-4"/>
                <w:sz w:val="20"/>
              </w:rPr>
              <w:t>$’000</w:t>
            </w:r>
          </w:p>
        </w:tc>
      </w:tr>
      <w:tr>
        <w:trPr>
          <w:trHeight w:val="253" w:hRule="atLeast"/>
        </w:trPr>
        <w:tc>
          <w:tcPr>
            <w:tcW w:w="4116" w:type="dxa"/>
            <w:tcBorders>
              <w:left w:val="single" w:sz="4" w:space="0" w:color="000000"/>
            </w:tcBorders>
          </w:tcPr>
          <w:p>
            <w:pPr>
              <w:pStyle w:val="TableParagraph"/>
              <w:rPr>
                <w:rFonts w:ascii="Times New Roman"/>
                <w:sz w:val="18"/>
              </w:rPr>
            </w:pPr>
          </w:p>
        </w:tc>
        <w:tc>
          <w:tcPr>
            <w:tcW w:w="790" w:type="dxa"/>
          </w:tcPr>
          <w:p>
            <w:pPr>
              <w:pStyle w:val="TableParagraph"/>
              <w:rPr>
                <w:rFonts w:ascii="Times New Roman"/>
                <w:sz w:val="18"/>
              </w:rPr>
            </w:pPr>
          </w:p>
        </w:tc>
        <w:tc>
          <w:tcPr>
            <w:tcW w:w="1162" w:type="dxa"/>
          </w:tcPr>
          <w:p>
            <w:pPr>
              <w:pStyle w:val="TableParagraph"/>
              <w:spacing w:line="227" w:lineRule="exact"/>
              <w:ind w:left="273"/>
              <w:rPr>
                <w:sz w:val="20"/>
              </w:rPr>
            </w:pPr>
            <w:r>
              <w:rPr>
                <w:spacing w:val="-2"/>
                <w:sz w:val="20"/>
              </w:rPr>
              <w:t>Inflows</w:t>
            </w:r>
          </w:p>
        </w:tc>
        <w:tc>
          <w:tcPr>
            <w:tcW w:w="1208" w:type="dxa"/>
            <w:shd w:val="clear" w:color="auto" w:fill="DDEBF6"/>
          </w:tcPr>
          <w:p>
            <w:pPr>
              <w:pStyle w:val="TableParagraph"/>
              <w:spacing w:line="227" w:lineRule="exact"/>
              <w:ind w:left="260"/>
              <w:rPr>
                <w:b/>
                <w:sz w:val="20"/>
              </w:rPr>
            </w:pPr>
            <w:r>
              <w:rPr>
                <w:b/>
                <w:spacing w:val="-2"/>
                <w:sz w:val="20"/>
              </w:rPr>
              <w:t>Inflows</w:t>
            </w:r>
          </w:p>
        </w:tc>
        <w:tc>
          <w:tcPr>
            <w:tcW w:w="1170" w:type="dxa"/>
          </w:tcPr>
          <w:p>
            <w:pPr>
              <w:pStyle w:val="TableParagraph"/>
              <w:spacing w:line="227" w:lineRule="exact"/>
              <w:ind w:left="272"/>
              <w:rPr>
                <w:sz w:val="20"/>
              </w:rPr>
            </w:pPr>
            <w:r>
              <w:rPr>
                <w:spacing w:val="-2"/>
                <w:sz w:val="20"/>
              </w:rPr>
              <w:t>Inflows</w:t>
            </w:r>
          </w:p>
        </w:tc>
        <w:tc>
          <w:tcPr>
            <w:tcW w:w="1162" w:type="dxa"/>
          </w:tcPr>
          <w:p>
            <w:pPr>
              <w:pStyle w:val="TableParagraph"/>
              <w:spacing w:line="227" w:lineRule="exact"/>
              <w:ind w:left="263"/>
              <w:rPr>
                <w:sz w:val="20"/>
              </w:rPr>
            </w:pPr>
            <w:r>
              <w:rPr>
                <w:spacing w:val="-2"/>
                <w:sz w:val="20"/>
              </w:rPr>
              <w:t>Inflows</w:t>
            </w:r>
          </w:p>
        </w:tc>
        <w:tc>
          <w:tcPr>
            <w:tcW w:w="1154" w:type="dxa"/>
            <w:tcBorders>
              <w:right w:val="single" w:sz="4" w:space="0" w:color="000000"/>
            </w:tcBorders>
          </w:tcPr>
          <w:p>
            <w:pPr>
              <w:pStyle w:val="TableParagraph"/>
              <w:spacing w:line="227" w:lineRule="exact"/>
              <w:ind w:left="258"/>
              <w:rPr>
                <w:sz w:val="20"/>
              </w:rPr>
            </w:pPr>
            <w:r>
              <w:rPr>
                <w:spacing w:val="-2"/>
                <w:sz w:val="20"/>
              </w:rPr>
              <w:t>Inflows</w:t>
            </w:r>
          </w:p>
        </w:tc>
      </w:tr>
      <w:tr>
        <w:trPr>
          <w:trHeight w:val="276" w:hRule="atLeast"/>
        </w:trPr>
        <w:tc>
          <w:tcPr>
            <w:tcW w:w="4116" w:type="dxa"/>
            <w:tcBorders>
              <w:left w:val="single" w:sz="4" w:space="0" w:color="000000"/>
            </w:tcBorders>
          </w:tcPr>
          <w:p>
            <w:pPr>
              <w:pStyle w:val="TableParagraph"/>
              <w:rPr>
                <w:rFonts w:ascii="Times New Roman"/>
                <w:sz w:val="18"/>
              </w:rPr>
            </w:pPr>
          </w:p>
        </w:tc>
        <w:tc>
          <w:tcPr>
            <w:tcW w:w="790" w:type="dxa"/>
          </w:tcPr>
          <w:p>
            <w:pPr>
              <w:pStyle w:val="TableParagraph"/>
              <w:rPr>
                <w:rFonts w:ascii="Times New Roman"/>
                <w:sz w:val="18"/>
              </w:rPr>
            </w:pPr>
          </w:p>
        </w:tc>
        <w:tc>
          <w:tcPr>
            <w:tcW w:w="1162" w:type="dxa"/>
          </w:tcPr>
          <w:p>
            <w:pPr>
              <w:pStyle w:val="TableParagraph"/>
              <w:spacing w:before="19"/>
              <w:ind w:right="123"/>
              <w:jc w:val="right"/>
              <w:rPr>
                <w:sz w:val="20"/>
              </w:rPr>
            </w:pPr>
            <w:r>
              <w:rPr>
                <w:spacing w:val="-2"/>
                <w:sz w:val="20"/>
              </w:rPr>
              <w:t>(Outflows)</w:t>
            </w:r>
          </w:p>
        </w:tc>
        <w:tc>
          <w:tcPr>
            <w:tcW w:w="1208" w:type="dxa"/>
            <w:shd w:val="clear" w:color="auto" w:fill="DDEBF6"/>
          </w:tcPr>
          <w:p>
            <w:pPr>
              <w:pStyle w:val="TableParagraph"/>
              <w:spacing w:before="19"/>
              <w:ind w:right="104"/>
              <w:jc w:val="right"/>
              <w:rPr>
                <w:b/>
                <w:sz w:val="20"/>
              </w:rPr>
            </w:pPr>
            <w:r>
              <w:rPr>
                <w:b/>
                <w:spacing w:val="-2"/>
                <w:sz w:val="20"/>
              </w:rPr>
              <w:t>(Outflows)</w:t>
            </w:r>
          </w:p>
        </w:tc>
        <w:tc>
          <w:tcPr>
            <w:tcW w:w="1170" w:type="dxa"/>
          </w:tcPr>
          <w:p>
            <w:pPr>
              <w:pStyle w:val="TableParagraph"/>
              <w:spacing w:before="19"/>
              <w:ind w:right="132"/>
              <w:jc w:val="right"/>
              <w:rPr>
                <w:sz w:val="20"/>
              </w:rPr>
            </w:pPr>
            <w:r>
              <w:rPr>
                <w:spacing w:val="-2"/>
                <w:sz w:val="20"/>
              </w:rPr>
              <w:t>(Outflows)</w:t>
            </w:r>
          </w:p>
        </w:tc>
        <w:tc>
          <w:tcPr>
            <w:tcW w:w="1162" w:type="dxa"/>
          </w:tcPr>
          <w:p>
            <w:pPr>
              <w:pStyle w:val="TableParagraph"/>
              <w:spacing w:before="19"/>
              <w:ind w:right="132"/>
              <w:jc w:val="right"/>
              <w:rPr>
                <w:sz w:val="20"/>
              </w:rPr>
            </w:pPr>
            <w:r>
              <w:rPr>
                <w:spacing w:val="-2"/>
                <w:sz w:val="20"/>
              </w:rPr>
              <w:t>(Outflows)</w:t>
            </w:r>
          </w:p>
        </w:tc>
        <w:tc>
          <w:tcPr>
            <w:tcW w:w="1154" w:type="dxa"/>
            <w:tcBorders>
              <w:right w:val="single" w:sz="4" w:space="0" w:color="000000"/>
            </w:tcBorders>
          </w:tcPr>
          <w:p>
            <w:pPr>
              <w:pStyle w:val="TableParagraph"/>
              <w:spacing w:before="19"/>
              <w:ind w:right="120"/>
              <w:jc w:val="right"/>
              <w:rPr>
                <w:sz w:val="20"/>
              </w:rPr>
            </w:pPr>
            <w:r>
              <w:rPr>
                <w:spacing w:val="-2"/>
                <w:sz w:val="20"/>
              </w:rPr>
              <w:t>(Outflows)</w:t>
            </w:r>
          </w:p>
        </w:tc>
      </w:tr>
      <w:tr>
        <w:trPr>
          <w:trHeight w:val="275" w:hRule="atLeast"/>
        </w:trPr>
        <w:tc>
          <w:tcPr>
            <w:tcW w:w="4116" w:type="dxa"/>
            <w:tcBorders>
              <w:left w:val="single" w:sz="4" w:space="0" w:color="000000"/>
            </w:tcBorders>
          </w:tcPr>
          <w:p>
            <w:pPr>
              <w:pStyle w:val="TableParagraph"/>
              <w:spacing w:before="19"/>
              <w:ind w:left="110"/>
              <w:rPr>
                <w:b/>
                <w:sz w:val="20"/>
              </w:rPr>
            </w:pPr>
            <w:r>
              <w:rPr>
                <w:b/>
                <w:sz w:val="20"/>
              </w:rPr>
              <w:t>Cash</w:t>
            </w:r>
            <w:r>
              <w:rPr>
                <w:b/>
                <w:spacing w:val="-6"/>
                <w:sz w:val="20"/>
              </w:rPr>
              <w:t> </w:t>
            </w:r>
            <w:r>
              <w:rPr>
                <w:b/>
                <w:sz w:val="20"/>
              </w:rPr>
              <w:t>flows</w:t>
            </w:r>
            <w:r>
              <w:rPr>
                <w:b/>
                <w:spacing w:val="-6"/>
                <w:sz w:val="20"/>
              </w:rPr>
              <w:t> </w:t>
            </w:r>
            <w:r>
              <w:rPr>
                <w:b/>
                <w:sz w:val="20"/>
              </w:rPr>
              <w:t>from</w:t>
            </w:r>
            <w:r>
              <w:rPr>
                <w:b/>
                <w:spacing w:val="-6"/>
                <w:sz w:val="20"/>
              </w:rPr>
              <w:t> </w:t>
            </w:r>
            <w:r>
              <w:rPr>
                <w:b/>
                <w:sz w:val="20"/>
              </w:rPr>
              <w:t>operating</w:t>
            </w:r>
            <w:r>
              <w:rPr>
                <w:b/>
                <w:spacing w:val="-6"/>
                <w:sz w:val="20"/>
              </w:rPr>
              <w:t> </w:t>
            </w:r>
            <w:r>
              <w:rPr>
                <w:b/>
                <w:spacing w:val="-2"/>
                <w:sz w:val="20"/>
              </w:rPr>
              <w:t>activities</w:t>
            </w:r>
          </w:p>
        </w:tc>
        <w:tc>
          <w:tcPr>
            <w:tcW w:w="790" w:type="dxa"/>
          </w:tcPr>
          <w:p>
            <w:pPr>
              <w:pStyle w:val="TableParagraph"/>
              <w:rPr>
                <w:rFonts w:ascii="Times New Roman"/>
                <w:sz w:val="18"/>
              </w:rPr>
            </w:pPr>
          </w:p>
        </w:tc>
        <w:tc>
          <w:tcPr>
            <w:tcW w:w="1162" w:type="dxa"/>
          </w:tcPr>
          <w:p>
            <w:pPr>
              <w:pStyle w:val="TableParagraph"/>
              <w:rPr>
                <w:rFonts w:ascii="Times New Roman"/>
                <w:sz w:val="18"/>
              </w:rPr>
            </w:pPr>
          </w:p>
        </w:tc>
        <w:tc>
          <w:tcPr>
            <w:tcW w:w="1208" w:type="dxa"/>
            <w:shd w:val="clear" w:color="auto" w:fill="DDEBF6"/>
          </w:tcPr>
          <w:p>
            <w:pPr>
              <w:pStyle w:val="TableParagraph"/>
              <w:rPr>
                <w:rFonts w:ascii="Times New Roman"/>
                <w:sz w:val="18"/>
              </w:rPr>
            </w:pPr>
          </w:p>
        </w:tc>
        <w:tc>
          <w:tcPr>
            <w:tcW w:w="3486" w:type="dxa"/>
            <w:gridSpan w:val="3"/>
            <w:tcBorders>
              <w:right w:val="single" w:sz="4" w:space="0" w:color="000000"/>
            </w:tcBorders>
          </w:tcPr>
          <w:p>
            <w:pPr>
              <w:pStyle w:val="TableParagraph"/>
              <w:rPr>
                <w:rFonts w:ascii="Times New Roman"/>
                <w:sz w:val="18"/>
              </w:rPr>
            </w:pPr>
          </w:p>
        </w:tc>
      </w:tr>
      <w:tr>
        <w:trPr>
          <w:trHeight w:val="288" w:hRule="atLeast"/>
        </w:trPr>
        <w:tc>
          <w:tcPr>
            <w:tcW w:w="4116" w:type="dxa"/>
            <w:tcBorders>
              <w:left w:val="single" w:sz="4" w:space="0" w:color="000000"/>
            </w:tcBorders>
          </w:tcPr>
          <w:p>
            <w:pPr>
              <w:pStyle w:val="TableParagraph"/>
              <w:spacing w:before="19"/>
              <w:ind w:left="110"/>
              <w:rPr>
                <w:sz w:val="20"/>
              </w:rPr>
            </w:pPr>
            <w:r>
              <w:rPr>
                <w:sz w:val="20"/>
              </w:rPr>
              <w:t>Rates</w:t>
            </w:r>
            <w:r>
              <w:rPr>
                <w:spacing w:val="-5"/>
                <w:sz w:val="20"/>
              </w:rPr>
              <w:t> </w:t>
            </w:r>
            <w:r>
              <w:rPr>
                <w:sz w:val="20"/>
              </w:rPr>
              <w:t>and</w:t>
            </w:r>
            <w:r>
              <w:rPr>
                <w:spacing w:val="-6"/>
                <w:sz w:val="20"/>
              </w:rPr>
              <w:t> </w:t>
            </w:r>
            <w:r>
              <w:rPr>
                <w:spacing w:val="-2"/>
                <w:sz w:val="20"/>
              </w:rPr>
              <w:t>charges</w:t>
            </w:r>
          </w:p>
        </w:tc>
        <w:tc>
          <w:tcPr>
            <w:tcW w:w="790" w:type="dxa"/>
          </w:tcPr>
          <w:p>
            <w:pPr>
              <w:pStyle w:val="TableParagraph"/>
              <w:rPr>
                <w:rFonts w:ascii="Times New Roman"/>
                <w:sz w:val="18"/>
              </w:rPr>
            </w:pPr>
          </w:p>
        </w:tc>
        <w:tc>
          <w:tcPr>
            <w:tcW w:w="1162" w:type="dxa"/>
          </w:tcPr>
          <w:p>
            <w:pPr>
              <w:pStyle w:val="TableParagraph"/>
              <w:spacing w:line="225" w:lineRule="exact" w:before="43"/>
              <w:ind w:right="104"/>
              <w:jc w:val="right"/>
              <w:rPr>
                <w:sz w:val="20"/>
              </w:rPr>
            </w:pPr>
            <w:r>
              <w:rPr>
                <w:spacing w:val="-2"/>
                <w:sz w:val="20"/>
              </w:rPr>
              <w:t>108,808</w:t>
            </w:r>
          </w:p>
        </w:tc>
        <w:tc>
          <w:tcPr>
            <w:tcW w:w="1208" w:type="dxa"/>
            <w:shd w:val="clear" w:color="auto" w:fill="DDEBF6"/>
          </w:tcPr>
          <w:p>
            <w:pPr>
              <w:pStyle w:val="TableParagraph"/>
              <w:spacing w:line="225" w:lineRule="exact" w:before="43"/>
              <w:ind w:right="107"/>
              <w:jc w:val="right"/>
              <w:rPr>
                <w:b/>
                <w:sz w:val="20"/>
              </w:rPr>
            </w:pPr>
            <w:r>
              <w:rPr>
                <w:b/>
                <w:spacing w:val="-2"/>
                <w:sz w:val="20"/>
              </w:rPr>
              <w:t>111,540</w:t>
            </w:r>
          </w:p>
        </w:tc>
        <w:tc>
          <w:tcPr>
            <w:tcW w:w="1170" w:type="dxa"/>
          </w:tcPr>
          <w:p>
            <w:pPr>
              <w:pStyle w:val="TableParagraph"/>
              <w:spacing w:line="225" w:lineRule="exact" w:before="43"/>
              <w:ind w:right="113"/>
              <w:jc w:val="right"/>
              <w:rPr>
                <w:sz w:val="20"/>
              </w:rPr>
            </w:pPr>
            <w:r>
              <w:rPr>
                <w:spacing w:val="-2"/>
                <w:sz w:val="20"/>
              </w:rPr>
              <w:t>115,403</w:t>
            </w:r>
          </w:p>
        </w:tc>
        <w:tc>
          <w:tcPr>
            <w:tcW w:w="1162" w:type="dxa"/>
          </w:tcPr>
          <w:p>
            <w:pPr>
              <w:pStyle w:val="TableParagraph"/>
              <w:spacing w:line="225" w:lineRule="exact" w:before="43"/>
              <w:ind w:right="113"/>
              <w:jc w:val="right"/>
              <w:rPr>
                <w:sz w:val="20"/>
              </w:rPr>
            </w:pPr>
            <w:r>
              <w:rPr>
                <w:spacing w:val="-2"/>
                <w:sz w:val="20"/>
              </w:rPr>
              <w:t>119,492</w:t>
            </w:r>
          </w:p>
        </w:tc>
        <w:tc>
          <w:tcPr>
            <w:tcW w:w="1154" w:type="dxa"/>
            <w:tcBorders>
              <w:right w:val="single" w:sz="4" w:space="0" w:color="000000"/>
            </w:tcBorders>
          </w:tcPr>
          <w:p>
            <w:pPr>
              <w:pStyle w:val="TableParagraph"/>
              <w:spacing w:line="225" w:lineRule="exact" w:before="43"/>
              <w:ind w:right="101"/>
              <w:jc w:val="right"/>
              <w:rPr>
                <w:sz w:val="20"/>
              </w:rPr>
            </w:pPr>
            <w:r>
              <w:rPr>
                <w:spacing w:val="-2"/>
                <w:sz w:val="20"/>
              </w:rPr>
              <w:t>123,718</w:t>
            </w:r>
          </w:p>
        </w:tc>
      </w:tr>
      <w:tr>
        <w:trPr>
          <w:trHeight w:val="276" w:hRule="atLeast"/>
        </w:trPr>
        <w:tc>
          <w:tcPr>
            <w:tcW w:w="4116" w:type="dxa"/>
            <w:tcBorders>
              <w:left w:val="single" w:sz="4" w:space="0" w:color="000000"/>
            </w:tcBorders>
          </w:tcPr>
          <w:p>
            <w:pPr>
              <w:pStyle w:val="TableParagraph"/>
              <w:spacing w:before="7"/>
              <w:ind w:left="110"/>
              <w:rPr>
                <w:sz w:val="20"/>
              </w:rPr>
            </w:pPr>
            <w:r>
              <w:rPr>
                <w:sz w:val="20"/>
              </w:rPr>
              <w:t>Statutory</w:t>
            </w:r>
            <w:r>
              <w:rPr>
                <w:spacing w:val="-7"/>
                <w:sz w:val="20"/>
              </w:rPr>
              <w:t> </w:t>
            </w:r>
            <w:r>
              <w:rPr>
                <w:sz w:val="20"/>
              </w:rPr>
              <w:t>fees</w:t>
            </w:r>
            <w:r>
              <w:rPr>
                <w:spacing w:val="-6"/>
                <w:sz w:val="20"/>
              </w:rPr>
              <w:t> </w:t>
            </w:r>
            <w:r>
              <w:rPr>
                <w:sz w:val="20"/>
              </w:rPr>
              <w:t>and</w:t>
            </w:r>
            <w:r>
              <w:rPr>
                <w:spacing w:val="-6"/>
                <w:sz w:val="20"/>
              </w:rPr>
              <w:t> </w:t>
            </w:r>
            <w:r>
              <w:rPr>
                <w:spacing w:val="-4"/>
                <w:sz w:val="20"/>
              </w:rPr>
              <w:t>fines</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5,846</w:t>
            </w:r>
          </w:p>
        </w:tc>
        <w:tc>
          <w:tcPr>
            <w:tcW w:w="1208" w:type="dxa"/>
            <w:shd w:val="clear" w:color="auto" w:fill="DDEBF6"/>
          </w:tcPr>
          <w:p>
            <w:pPr>
              <w:pStyle w:val="TableParagraph"/>
              <w:spacing w:line="225" w:lineRule="exact" w:before="31"/>
              <w:ind w:right="106"/>
              <w:jc w:val="right"/>
              <w:rPr>
                <w:b/>
                <w:sz w:val="20"/>
              </w:rPr>
            </w:pPr>
            <w:r>
              <w:rPr>
                <w:b/>
                <w:spacing w:val="-2"/>
                <w:sz w:val="20"/>
              </w:rPr>
              <w:t>6,137</w:t>
            </w:r>
          </w:p>
        </w:tc>
        <w:tc>
          <w:tcPr>
            <w:tcW w:w="1170" w:type="dxa"/>
          </w:tcPr>
          <w:p>
            <w:pPr>
              <w:pStyle w:val="TableParagraph"/>
              <w:spacing w:line="225" w:lineRule="exact" w:before="31"/>
              <w:ind w:right="112"/>
              <w:jc w:val="right"/>
              <w:rPr>
                <w:sz w:val="20"/>
              </w:rPr>
            </w:pPr>
            <w:r>
              <w:rPr>
                <w:spacing w:val="-2"/>
                <w:sz w:val="20"/>
              </w:rPr>
              <w:t>6,408</w:t>
            </w:r>
          </w:p>
        </w:tc>
        <w:tc>
          <w:tcPr>
            <w:tcW w:w="1162" w:type="dxa"/>
          </w:tcPr>
          <w:p>
            <w:pPr>
              <w:pStyle w:val="TableParagraph"/>
              <w:spacing w:line="225" w:lineRule="exact" w:before="31"/>
              <w:ind w:right="113"/>
              <w:jc w:val="right"/>
              <w:rPr>
                <w:sz w:val="20"/>
              </w:rPr>
            </w:pPr>
            <w:r>
              <w:rPr>
                <w:spacing w:val="-2"/>
                <w:sz w:val="20"/>
              </w:rPr>
              <w:t>6,454</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6,604</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User</w:t>
            </w:r>
            <w:r>
              <w:rPr>
                <w:spacing w:val="-4"/>
                <w:sz w:val="20"/>
              </w:rPr>
              <w:t> fees</w:t>
            </w:r>
          </w:p>
        </w:tc>
        <w:tc>
          <w:tcPr>
            <w:tcW w:w="790" w:type="dxa"/>
          </w:tcPr>
          <w:p>
            <w:pPr>
              <w:pStyle w:val="TableParagraph"/>
              <w:rPr>
                <w:rFonts w:ascii="Times New Roman"/>
                <w:sz w:val="18"/>
              </w:rPr>
            </w:pPr>
          </w:p>
        </w:tc>
        <w:tc>
          <w:tcPr>
            <w:tcW w:w="1162" w:type="dxa"/>
          </w:tcPr>
          <w:p>
            <w:pPr>
              <w:pStyle w:val="TableParagraph"/>
              <w:spacing w:line="225" w:lineRule="exact" w:before="31"/>
              <w:ind w:right="104"/>
              <w:jc w:val="right"/>
              <w:rPr>
                <w:sz w:val="20"/>
              </w:rPr>
            </w:pPr>
            <w:r>
              <w:rPr>
                <w:spacing w:val="-2"/>
                <w:sz w:val="20"/>
              </w:rPr>
              <w:t>27,472</w:t>
            </w:r>
          </w:p>
        </w:tc>
        <w:tc>
          <w:tcPr>
            <w:tcW w:w="1208" w:type="dxa"/>
            <w:shd w:val="clear" w:color="auto" w:fill="DDEBF6"/>
          </w:tcPr>
          <w:p>
            <w:pPr>
              <w:pStyle w:val="TableParagraph"/>
              <w:spacing w:line="225" w:lineRule="exact" w:before="31"/>
              <w:ind w:right="107"/>
              <w:jc w:val="right"/>
              <w:rPr>
                <w:b/>
                <w:sz w:val="20"/>
              </w:rPr>
            </w:pPr>
            <w:r>
              <w:rPr>
                <w:b/>
                <w:spacing w:val="-2"/>
                <w:sz w:val="20"/>
              </w:rPr>
              <w:t>32,686</w:t>
            </w:r>
          </w:p>
        </w:tc>
        <w:tc>
          <w:tcPr>
            <w:tcW w:w="1170" w:type="dxa"/>
          </w:tcPr>
          <w:p>
            <w:pPr>
              <w:pStyle w:val="TableParagraph"/>
              <w:spacing w:line="225" w:lineRule="exact" w:before="31"/>
              <w:ind w:right="113"/>
              <w:jc w:val="right"/>
              <w:rPr>
                <w:sz w:val="20"/>
              </w:rPr>
            </w:pPr>
            <w:r>
              <w:rPr>
                <w:spacing w:val="-2"/>
                <w:sz w:val="20"/>
              </w:rPr>
              <w:t>35,313</w:t>
            </w:r>
          </w:p>
        </w:tc>
        <w:tc>
          <w:tcPr>
            <w:tcW w:w="1162" w:type="dxa"/>
          </w:tcPr>
          <w:p>
            <w:pPr>
              <w:pStyle w:val="TableParagraph"/>
              <w:spacing w:line="225" w:lineRule="exact" w:before="31"/>
              <w:ind w:right="115"/>
              <w:jc w:val="right"/>
              <w:rPr>
                <w:sz w:val="20"/>
              </w:rPr>
            </w:pPr>
            <w:r>
              <w:rPr>
                <w:spacing w:val="-2"/>
                <w:sz w:val="20"/>
              </w:rPr>
              <w:t>37,439</w:t>
            </w:r>
          </w:p>
        </w:tc>
        <w:tc>
          <w:tcPr>
            <w:tcW w:w="1154" w:type="dxa"/>
            <w:tcBorders>
              <w:right w:val="single" w:sz="4" w:space="0" w:color="000000"/>
            </w:tcBorders>
          </w:tcPr>
          <w:p>
            <w:pPr>
              <w:pStyle w:val="TableParagraph"/>
              <w:spacing w:line="225" w:lineRule="exact" w:before="31"/>
              <w:ind w:right="101"/>
              <w:jc w:val="right"/>
              <w:rPr>
                <w:sz w:val="20"/>
              </w:rPr>
            </w:pPr>
            <w:r>
              <w:rPr>
                <w:spacing w:val="-2"/>
                <w:sz w:val="20"/>
              </w:rPr>
              <w:t>39,114</w:t>
            </w:r>
          </w:p>
        </w:tc>
      </w:tr>
      <w:tr>
        <w:trPr>
          <w:trHeight w:val="276" w:hRule="atLeast"/>
        </w:trPr>
        <w:tc>
          <w:tcPr>
            <w:tcW w:w="4116" w:type="dxa"/>
            <w:tcBorders>
              <w:left w:val="single" w:sz="4" w:space="0" w:color="000000"/>
            </w:tcBorders>
          </w:tcPr>
          <w:p>
            <w:pPr>
              <w:pStyle w:val="TableParagraph"/>
              <w:spacing w:before="7"/>
              <w:ind w:left="110"/>
              <w:rPr>
                <w:sz w:val="20"/>
              </w:rPr>
            </w:pPr>
            <w:r>
              <w:rPr>
                <w:sz w:val="20"/>
              </w:rPr>
              <w:t>Grants</w:t>
            </w:r>
            <w:r>
              <w:rPr>
                <w:spacing w:val="-3"/>
                <w:sz w:val="20"/>
              </w:rPr>
              <w:t> </w:t>
            </w:r>
            <w:r>
              <w:rPr>
                <w:sz w:val="20"/>
              </w:rPr>
              <w:t>-</w:t>
            </w:r>
            <w:r>
              <w:rPr>
                <w:spacing w:val="-5"/>
                <w:sz w:val="20"/>
              </w:rPr>
              <w:t> </w:t>
            </w:r>
            <w:r>
              <w:rPr>
                <w:spacing w:val="-2"/>
                <w:sz w:val="20"/>
              </w:rPr>
              <w:t>operating</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6,791</w:t>
            </w:r>
          </w:p>
        </w:tc>
        <w:tc>
          <w:tcPr>
            <w:tcW w:w="1208" w:type="dxa"/>
            <w:shd w:val="clear" w:color="auto" w:fill="DDEBF6"/>
          </w:tcPr>
          <w:p>
            <w:pPr>
              <w:pStyle w:val="TableParagraph"/>
              <w:spacing w:line="225" w:lineRule="exact" w:before="31"/>
              <w:ind w:right="106"/>
              <w:jc w:val="right"/>
              <w:rPr>
                <w:b/>
                <w:sz w:val="20"/>
              </w:rPr>
            </w:pPr>
            <w:r>
              <w:rPr>
                <w:b/>
                <w:spacing w:val="-2"/>
                <w:sz w:val="20"/>
              </w:rPr>
              <w:t>9,029</w:t>
            </w:r>
          </w:p>
        </w:tc>
        <w:tc>
          <w:tcPr>
            <w:tcW w:w="1170" w:type="dxa"/>
          </w:tcPr>
          <w:p>
            <w:pPr>
              <w:pStyle w:val="TableParagraph"/>
              <w:spacing w:line="225" w:lineRule="exact" w:before="31"/>
              <w:ind w:right="112"/>
              <w:jc w:val="right"/>
              <w:rPr>
                <w:sz w:val="20"/>
              </w:rPr>
            </w:pPr>
            <w:r>
              <w:rPr>
                <w:spacing w:val="-2"/>
                <w:sz w:val="20"/>
              </w:rPr>
              <w:t>8,415</w:t>
            </w:r>
          </w:p>
        </w:tc>
        <w:tc>
          <w:tcPr>
            <w:tcW w:w="1162" w:type="dxa"/>
          </w:tcPr>
          <w:p>
            <w:pPr>
              <w:pStyle w:val="TableParagraph"/>
              <w:spacing w:line="225" w:lineRule="exact" w:before="31"/>
              <w:ind w:right="113"/>
              <w:jc w:val="right"/>
              <w:rPr>
                <w:sz w:val="20"/>
              </w:rPr>
            </w:pPr>
            <w:r>
              <w:rPr>
                <w:spacing w:val="-2"/>
                <w:sz w:val="20"/>
              </w:rPr>
              <w:t>8,549</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8,671</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Grants</w:t>
            </w:r>
            <w:r>
              <w:rPr>
                <w:spacing w:val="-3"/>
                <w:sz w:val="20"/>
              </w:rPr>
              <w:t> </w:t>
            </w:r>
            <w:r>
              <w:rPr>
                <w:sz w:val="20"/>
              </w:rPr>
              <w:t>-</w:t>
            </w:r>
            <w:r>
              <w:rPr>
                <w:spacing w:val="-5"/>
                <w:sz w:val="20"/>
              </w:rPr>
              <w:t> </w:t>
            </w:r>
            <w:r>
              <w:rPr>
                <w:spacing w:val="-2"/>
                <w:sz w:val="20"/>
              </w:rPr>
              <w:t>capital</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6,241</w:t>
            </w:r>
          </w:p>
        </w:tc>
        <w:tc>
          <w:tcPr>
            <w:tcW w:w="1208" w:type="dxa"/>
            <w:shd w:val="clear" w:color="auto" w:fill="DDEBF6"/>
          </w:tcPr>
          <w:p>
            <w:pPr>
              <w:pStyle w:val="TableParagraph"/>
              <w:spacing w:line="225" w:lineRule="exact" w:before="31"/>
              <w:ind w:right="106"/>
              <w:jc w:val="right"/>
              <w:rPr>
                <w:b/>
                <w:sz w:val="20"/>
              </w:rPr>
            </w:pPr>
            <w:r>
              <w:rPr>
                <w:b/>
                <w:spacing w:val="-2"/>
                <w:sz w:val="20"/>
              </w:rPr>
              <w:t>8,495</w:t>
            </w:r>
          </w:p>
        </w:tc>
        <w:tc>
          <w:tcPr>
            <w:tcW w:w="1170" w:type="dxa"/>
          </w:tcPr>
          <w:p>
            <w:pPr>
              <w:pStyle w:val="TableParagraph"/>
              <w:spacing w:line="225" w:lineRule="exact" w:before="31"/>
              <w:ind w:right="112"/>
              <w:jc w:val="right"/>
              <w:rPr>
                <w:sz w:val="20"/>
              </w:rPr>
            </w:pPr>
            <w:r>
              <w:rPr>
                <w:spacing w:val="-2"/>
                <w:sz w:val="20"/>
              </w:rPr>
              <w:t>3,008</w:t>
            </w:r>
          </w:p>
        </w:tc>
        <w:tc>
          <w:tcPr>
            <w:tcW w:w="1162" w:type="dxa"/>
          </w:tcPr>
          <w:p>
            <w:pPr>
              <w:pStyle w:val="TableParagraph"/>
              <w:spacing w:line="225" w:lineRule="exact" w:before="31"/>
              <w:ind w:right="113"/>
              <w:jc w:val="right"/>
              <w:rPr>
                <w:sz w:val="20"/>
              </w:rPr>
            </w:pPr>
            <w:r>
              <w:rPr>
                <w:spacing w:val="-2"/>
                <w:sz w:val="20"/>
              </w:rPr>
              <w:t>7,008</w:t>
            </w:r>
          </w:p>
        </w:tc>
        <w:tc>
          <w:tcPr>
            <w:tcW w:w="1154" w:type="dxa"/>
            <w:tcBorders>
              <w:right w:val="single" w:sz="4" w:space="0" w:color="000000"/>
            </w:tcBorders>
          </w:tcPr>
          <w:p>
            <w:pPr>
              <w:pStyle w:val="TableParagraph"/>
              <w:spacing w:line="225" w:lineRule="exact" w:before="31"/>
              <w:ind w:right="101"/>
              <w:jc w:val="right"/>
              <w:rPr>
                <w:sz w:val="20"/>
              </w:rPr>
            </w:pPr>
            <w:r>
              <w:rPr>
                <w:spacing w:val="-2"/>
                <w:sz w:val="20"/>
              </w:rPr>
              <w:t>18,971</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Contributions</w:t>
            </w:r>
            <w:r>
              <w:rPr>
                <w:spacing w:val="-8"/>
                <w:sz w:val="20"/>
              </w:rPr>
              <w:t> </w:t>
            </w:r>
            <w:r>
              <w:rPr>
                <w:sz w:val="20"/>
              </w:rPr>
              <w:t>-</w:t>
            </w:r>
            <w:r>
              <w:rPr>
                <w:spacing w:val="-7"/>
                <w:sz w:val="20"/>
              </w:rPr>
              <w:t> </w:t>
            </w:r>
            <w:r>
              <w:rPr>
                <w:spacing w:val="-2"/>
                <w:sz w:val="20"/>
              </w:rPr>
              <w:t>monetary</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7,762</w:t>
            </w:r>
          </w:p>
        </w:tc>
        <w:tc>
          <w:tcPr>
            <w:tcW w:w="1208" w:type="dxa"/>
            <w:shd w:val="clear" w:color="auto" w:fill="DDEBF6"/>
          </w:tcPr>
          <w:p>
            <w:pPr>
              <w:pStyle w:val="TableParagraph"/>
              <w:spacing w:line="225" w:lineRule="exact" w:before="31"/>
              <w:ind w:right="106"/>
              <w:jc w:val="right"/>
              <w:rPr>
                <w:b/>
                <w:sz w:val="20"/>
              </w:rPr>
            </w:pPr>
            <w:r>
              <w:rPr>
                <w:b/>
                <w:spacing w:val="-2"/>
                <w:sz w:val="20"/>
              </w:rPr>
              <w:t>7,697</w:t>
            </w:r>
          </w:p>
        </w:tc>
        <w:tc>
          <w:tcPr>
            <w:tcW w:w="1170" w:type="dxa"/>
          </w:tcPr>
          <w:p>
            <w:pPr>
              <w:pStyle w:val="TableParagraph"/>
              <w:spacing w:line="225" w:lineRule="exact" w:before="31"/>
              <w:ind w:right="112"/>
              <w:jc w:val="right"/>
              <w:rPr>
                <w:sz w:val="20"/>
              </w:rPr>
            </w:pPr>
            <w:r>
              <w:rPr>
                <w:spacing w:val="-2"/>
                <w:sz w:val="20"/>
              </w:rPr>
              <w:t>6,356</w:t>
            </w:r>
          </w:p>
        </w:tc>
        <w:tc>
          <w:tcPr>
            <w:tcW w:w="1162" w:type="dxa"/>
          </w:tcPr>
          <w:p>
            <w:pPr>
              <w:pStyle w:val="TableParagraph"/>
              <w:spacing w:line="225" w:lineRule="exact" w:before="31"/>
              <w:ind w:right="113"/>
              <w:jc w:val="right"/>
              <w:rPr>
                <w:sz w:val="20"/>
              </w:rPr>
            </w:pPr>
            <w:r>
              <w:rPr>
                <w:spacing w:val="-2"/>
                <w:sz w:val="20"/>
              </w:rPr>
              <w:t>7,002</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7,723</w:t>
            </w:r>
          </w:p>
        </w:tc>
      </w:tr>
      <w:tr>
        <w:trPr>
          <w:trHeight w:val="276" w:hRule="atLeast"/>
        </w:trPr>
        <w:tc>
          <w:tcPr>
            <w:tcW w:w="4116" w:type="dxa"/>
            <w:tcBorders>
              <w:left w:val="single" w:sz="4" w:space="0" w:color="000000"/>
            </w:tcBorders>
          </w:tcPr>
          <w:p>
            <w:pPr>
              <w:pStyle w:val="TableParagraph"/>
              <w:spacing w:before="7"/>
              <w:ind w:left="110"/>
              <w:rPr>
                <w:sz w:val="20"/>
              </w:rPr>
            </w:pPr>
            <w:r>
              <w:rPr>
                <w:sz w:val="20"/>
              </w:rPr>
              <w:t>Interest</w:t>
            </w:r>
            <w:r>
              <w:rPr>
                <w:spacing w:val="-10"/>
                <w:sz w:val="20"/>
              </w:rPr>
              <w:t> </w:t>
            </w:r>
            <w:r>
              <w:rPr>
                <w:spacing w:val="-2"/>
                <w:sz w:val="20"/>
              </w:rPr>
              <w:t>received</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4,861</w:t>
            </w:r>
          </w:p>
        </w:tc>
        <w:tc>
          <w:tcPr>
            <w:tcW w:w="1208" w:type="dxa"/>
            <w:shd w:val="clear" w:color="auto" w:fill="DDEBF6"/>
          </w:tcPr>
          <w:p>
            <w:pPr>
              <w:pStyle w:val="TableParagraph"/>
              <w:spacing w:line="225" w:lineRule="exact" w:before="31"/>
              <w:ind w:right="106"/>
              <w:jc w:val="right"/>
              <w:rPr>
                <w:b/>
                <w:sz w:val="20"/>
              </w:rPr>
            </w:pPr>
            <w:r>
              <w:rPr>
                <w:b/>
                <w:spacing w:val="-2"/>
                <w:sz w:val="20"/>
              </w:rPr>
              <w:t>4,631</w:t>
            </w:r>
          </w:p>
        </w:tc>
        <w:tc>
          <w:tcPr>
            <w:tcW w:w="1170" w:type="dxa"/>
          </w:tcPr>
          <w:p>
            <w:pPr>
              <w:pStyle w:val="TableParagraph"/>
              <w:spacing w:line="225" w:lineRule="exact" w:before="31"/>
              <w:ind w:right="112"/>
              <w:jc w:val="right"/>
              <w:rPr>
                <w:sz w:val="20"/>
              </w:rPr>
            </w:pPr>
            <w:r>
              <w:rPr>
                <w:spacing w:val="-2"/>
                <w:sz w:val="20"/>
              </w:rPr>
              <w:t>2,746</w:t>
            </w:r>
          </w:p>
        </w:tc>
        <w:tc>
          <w:tcPr>
            <w:tcW w:w="1162" w:type="dxa"/>
          </w:tcPr>
          <w:p>
            <w:pPr>
              <w:pStyle w:val="TableParagraph"/>
              <w:spacing w:line="225" w:lineRule="exact" w:before="31"/>
              <w:ind w:right="113"/>
              <w:jc w:val="right"/>
              <w:rPr>
                <w:sz w:val="20"/>
              </w:rPr>
            </w:pPr>
            <w:r>
              <w:rPr>
                <w:spacing w:val="-2"/>
                <w:sz w:val="20"/>
              </w:rPr>
              <w:t>3,446</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3,499</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Trust</w:t>
            </w:r>
            <w:r>
              <w:rPr>
                <w:spacing w:val="-8"/>
                <w:sz w:val="20"/>
              </w:rPr>
              <w:t> </w:t>
            </w:r>
            <w:r>
              <w:rPr>
                <w:sz w:val="20"/>
              </w:rPr>
              <w:t>funds</w:t>
            </w:r>
            <w:r>
              <w:rPr>
                <w:spacing w:val="-5"/>
                <w:sz w:val="20"/>
              </w:rPr>
              <w:t> </w:t>
            </w:r>
            <w:r>
              <w:rPr>
                <w:sz w:val="20"/>
              </w:rPr>
              <w:t>and</w:t>
            </w:r>
            <w:r>
              <w:rPr>
                <w:spacing w:val="-3"/>
                <w:sz w:val="20"/>
              </w:rPr>
              <w:t> </w:t>
            </w:r>
            <w:r>
              <w:rPr>
                <w:sz w:val="20"/>
              </w:rPr>
              <w:t>deposits</w:t>
            </w:r>
            <w:r>
              <w:rPr>
                <w:spacing w:val="-5"/>
                <w:sz w:val="20"/>
              </w:rPr>
              <w:t> </w:t>
            </w:r>
            <w:r>
              <w:rPr>
                <w:spacing w:val="-2"/>
                <w:sz w:val="20"/>
              </w:rPr>
              <w:t>taken</w:t>
            </w:r>
          </w:p>
        </w:tc>
        <w:tc>
          <w:tcPr>
            <w:tcW w:w="790" w:type="dxa"/>
          </w:tcPr>
          <w:p>
            <w:pPr>
              <w:pStyle w:val="TableParagraph"/>
              <w:rPr>
                <w:rFonts w:ascii="Times New Roman"/>
                <w:sz w:val="18"/>
              </w:rPr>
            </w:pPr>
          </w:p>
        </w:tc>
        <w:tc>
          <w:tcPr>
            <w:tcW w:w="1162" w:type="dxa"/>
          </w:tcPr>
          <w:p>
            <w:pPr>
              <w:pStyle w:val="TableParagraph"/>
              <w:spacing w:line="225" w:lineRule="exact" w:before="31"/>
              <w:ind w:right="104"/>
              <w:jc w:val="right"/>
              <w:rPr>
                <w:sz w:val="20"/>
              </w:rPr>
            </w:pPr>
            <w:r>
              <w:rPr>
                <w:spacing w:val="-2"/>
                <w:sz w:val="20"/>
              </w:rPr>
              <w:t>18,500</w:t>
            </w:r>
          </w:p>
        </w:tc>
        <w:tc>
          <w:tcPr>
            <w:tcW w:w="1208" w:type="dxa"/>
            <w:shd w:val="clear" w:color="auto" w:fill="DDEBF6"/>
          </w:tcPr>
          <w:p>
            <w:pPr>
              <w:pStyle w:val="TableParagraph"/>
              <w:spacing w:line="225" w:lineRule="exact" w:before="31"/>
              <w:ind w:right="107"/>
              <w:jc w:val="right"/>
              <w:rPr>
                <w:b/>
                <w:sz w:val="20"/>
              </w:rPr>
            </w:pPr>
            <w:r>
              <w:rPr>
                <w:b/>
                <w:spacing w:val="-2"/>
                <w:sz w:val="20"/>
              </w:rPr>
              <w:t>18,500</w:t>
            </w:r>
          </w:p>
        </w:tc>
        <w:tc>
          <w:tcPr>
            <w:tcW w:w="1170" w:type="dxa"/>
          </w:tcPr>
          <w:p>
            <w:pPr>
              <w:pStyle w:val="TableParagraph"/>
              <w:spacing w:line="225" w:lineRule="exact" w:before="31"/>
              <w:ind w:right="113"/>
              <w:jc w:val="right"/>
              <w:rPr>
                <w:sz w:val="20"/>
              </w:rPr>
            </w:pPr>
            <w:r>
              <w:rPr>
                <w:spacing w:val="-2"/>
                <w:sz w:val="20"/>
              </w:rPr>
              <w:t>18,500</w:t>
            </w:r>
          </w:p>
        </w:tc>
        <w:tc>
          <w:tcPr>
            <w:tcW w:w="1162" w:type="dxa"/>
          </w:tcPr>
          <w:p>
            <w:pPr>
              <w:pStyle w:val="TableParagraph"/>
              <w:spacing w:line="225" w:lineRule="exact" w:before="31"/>
              <w:ind w:right="115"/>
              <w:jc w:val="right"/>
              <w:rPr>
                <w:sz w:val="20"/>
              </w:rPr>
            </w:pPr>
            <w:r>
              <w:rPr>
                <w:spacing w:val="-2"/>
                <w:sz w:val="20"/>
              </w:rPr>
              <w:t>18,500</w:t>
            </w:r>
          </w:p>
        </w:tc>
        <w:tc>
          <w:tcPr>
            <w:tcW w:w="1154" w:type="dxa"/>
            <w:tcBorders>
              <w:right w:val="single" w:sz="4" w:space="0" w:color="000000"/>
            </w:tcBorders>
          </w:tcPr>
          <w:p>
            <w:pPr>
              <w:pStyle w:val="TableParagraph"/>
              <w:spacing w:line="225" w:lineRule="exact" w:before="31"/>
              <w:ind w:right="101"/>
              <w:jc w:val="right"/>
              <w:rPr>
                <w:sz w:val="20"/>
              </w:rPr>
            </w:pPr>
            <w:r>
              <w:rPr>
                <w:spacing w:val="-2"/>
                <w:sz w:val="20"/>
              </w:rPr>
              <w:t>18,500</w:t>
            </w:r>
          </w:p>
        </w:tc>
      </w:tr>
      <w:tr>
        <w:trPr>
          <w:trHeight w:val="276" w:hRule="atLeast"/>
        </w:trPr>
        <w:tc>
          <w:tcPr>
            <w:tcW w:w="4116" w:type="dxa"/>
            <w:tcBorders>
              <w:left w:val="single" w:sz="4" w:space="0" w:color="000000"/>
            </w:tcBorders>
          </w:tcPr>
          <w:p>
            <w:pPr>
              <w:pStyle w:val="TableParagraph"/>
              <w:spacing w:before="7"/>
              <w:ind w:left="110"/>
              <w:rPr>
                <w:sz w:val="20"/>
              </w:rPr>
            </w:pPr>
            <w:r>
              <w:rPr>
                <w:sz w:val="20"/>
              </w:rPr>
              <w:t>Net</w:t>
            </w:r>
            <w:r>
              <w:rPr>
                <w:spacing w:val="-5"/>
                <w:sz w:val="20"/>
              </w:rPr>
              <w:t> </w:t>
            </w:r>
            <w:r>
              <w:rPr>
                <w:sz w:val="20"/>
              </w:rPr>
              <w:t>GST</w:t>
            </w:r>
            <w:r>
              <w:rPr>
                <w:spacing w:val="-4"/>
                <w:sz w:val="20"/>
              </w:rPr>
              <w:t> </w:t>
            </w:r>
            <w:r>
              <w:rPr>
                <w:sz w:val="20"/>
              </w:rPr>
              <w:t>refund</w:t>
            </w:r>
            <w:r>
              <w:rPr>
                <w:spacing w:val="-5"/>
                <w:sz w:val="20"/>
              </w:rPr>
              <w:t> </w:t>
            </w:r>
            <w:r>
              <w:rPr>
                <w:sz w:val="20"/>
              </w:rPr>
              <w:t>/</w:t>
            </w:r>
            <w:r>
              <w:rPr>
                <w:spacing w:val="-4"/>
                <w:sz w:val="20"/>
              </w:rPr>
              <w:t> </w:t>
            </w:r>
            <w:r>
              <w:rPr>
                <w:spacing w:val="-2"/>
                <w:sz w:val="20"/>
              </w:rPr>
              <w:t>payment</w:t>
            </w:r>
          </w:p>
        </w:tc>
        <w:tc>
          <w:tcPr>
            <w:tcW w:w="790" w:type="dxa"/>
          </w:tcPr>
          <w:p>
            <w:pPr>
              <w:pStyle w:val="TableParagraph"/>
              <w:rPr>
                <w:rFonts w:ascii="Times New Roman"/>
                <w:sz w:val="18"/>
              </w:rPr>
            </w:pPr>
          </w:p>
        </w:tc>
        <w:tc>
          <w:tcPr>
            <w:tcW w:w="1162" w:type="dxa"/>
          </w:tcPr>
          <w:p>
            <w:pPr>
              <w:pStyle w:val="TableParagraph"/>
              <w:spacing w:line="225" w:lineRule="exact" w:before="31"/>
              <w:ind w:right="102"/>
              <w:jc w:val="right"/>
              <w:rPr>
                <w:sz w:val="20"/>
              </w:rPr>
            </w:pPr>
            <w:r>
              <w:rPr>
                <w:w w:val="99"/>
                <w:sz w:val="20"/>
              </w:rPr>
              <w:t>-</w:t>
            </w:r>
          </w:p>
        </w:tc>
        <w:tc>
          <w:tcPr>
            <w:tcW w:w="1208" w:type="dxa"/>
            <w:shd w:val="clear" w:color="auto" w:fill="DDEBF6"/>
          </w:tcPr>
          <w:p>
            <w:pPr>
              <w:pStyle w:val="TableParagraph"/>
              <w:spacing w:line="225" w:lineRule="exact" w:before="31"/>
              <w:ind w:right="106"/>
              <w:jc w:val="right"/>
              <w:rPr>
                <w:b/>
                <w:sz w:val="20"/>
              </w:rPr>
            </w:pPr>
            <w:r>
              <w:rPr>
                <w:b/>
                <w:w w:val="99"/>
                <w:sz w:val="20"/>
              </w:rPr>
              <w:t>-</w:t>
            </w:r>
          </w:p>
        </w:tc>
        <w:tc>
          <w:tcPr>
            <w:tcW w:w="1170" w:type="dxa"/>
          </w:tcPr>
          <w:p>
            <w:pPr>
              <w:pStyle w:val="TableParagraph"/>
              <w:spacing w:line="225" w:lineRule="exact" w:before="31"/>
              <w:ind w:right="112"/>
              <w:jc w:val="right"/>
              <w:rPr>
                <w:sz w:val="20"/>
              </w:rPr>
            </w:pPr>
            <w:r>
              <w:rPr>
                <w:w w:val="99"/>
                <w:sz w:val="20"/>
              </w:rPr>
              <w:t>-</w:t>
            </w:r>
          </w:p>
        </w:tc>
        <w:tc>
          <w:tcPr>
            <w:tcW w:w="1162" w:type="dxa"/>
          </w:tcPr>
          <w:p>
            <w:pPr>
              <w:pStyle w:val="TableParagraph"/>
              <w:spacing w:line="225" w:lineRule="exact" w:before="31"/>
              <w:ind w:right="112"/>
              <w:jc w:val="right"/>
              <w:rPr>
                <w:sz w:val="20"/>
              </w:rPr>
            </w:pPr>
            <w:r>
              <w:rPr>
                <w:w w:val="99"/>
                <w:sz w:val="20"/>
              </w:rPr>
              <w:t>-</w:t>
            </w:r>
          </w:p>
        </w:tc>
        <w:tc>
          <w:tcPr>
            <w:tcW w:w="1154" w:type="dxa"/>
            <w:tcBorders>
              <w:right w:val="single" w:sz="4" w:space="0" w:color="000000"/>
            </w:tcBorders>
          </w:tcPr>
          <w:p>
            <w:pPr>
              <w:pStyle w:val="TableParagraph"/>
              <w:spacing w:line="225" w:lineRule="exact" w:before="31"/>
              <w:ind w:right="99"/>
              <w:jc w:val="right"/>
              <w:rPr>
                <w:sz w:val="20"/>
              </w:rPr>
            </w:pPr>
            <w:r>
              <w:rPr>
                <w:w w:val="99"/>
                <w:sz w:val="20"/>
              </w:rPr>
              <w:t>-</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Employee</w:t>
            </w:r>
            <w:r>
              <w:rPr>
                <w:spacing w:val="-11"/>
                <w:sz w:val="20"/>
              </w:rPr>
              <w:t> </w:t>
            </w:r>
            <w:r>
              <w:rPr>
                <w:spacing w:val="-2"/>
                <w:sz w:val="20"/>
              </w:rPr>
              <w:t>costs</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(67,471)</w:t>
            </w:r>
          </w:p>
        </w:tc>
        <w:tc>
          <w:tcPr>
            <w:tcW w:w="1208" w:type="dxa"/>
            <w:shd w:val="clear" w:color="auto" w:fill="DDEBF6"/>
          </w:tcPr>
          <w:p>
            <w:pPr>
              <w:pStyle w:val="TableParagraph"/>
              <w:spacing w:line="225" w:lineRule="exact" w:before="31"/>
              <w:ind w:right="106"/>
              <w:jc w:val="right"/>
              <w:rPr>
                <w:b/>
                <w:sz w:val="20"/>
              </w:rPr>
            </w:pPr>
            <w:r>
              <w:rPr>
                <w:b/>
                <w:spacing w:val="-2"/>
                <w:sz w:val="20"/>
              </w:rPr>
              <w:t>(70,453)</w:t>
            </w:r>
          </w:p>
        </w:tc>
        <w:tc>
          <w:tcPr>
            <w:tcW w:w="1170" w:type="dxa"/>
          </w:tcPr>
          <w:p>
            <w:pPr>
              <w:pStyle w:val="TableParagraph"/>
              <w:spacing w:line="225" w:lineRule="exact" w:before="31"/>
              <w:ind w:right="112"/>
              <w:jc w:val="right"/>
              <w:rPr>
                <w:sz w:val="20"/>
              </w:rPr>
            </w:pPr>
            <w:r>
              <w:rPr>
                <w:spacing w:val="-2"/>
                <w:sz w:val="20"/>
              </w:rPr>
              <w:t>(71,038)</w:t>
            </w:r>
          </w:p>
        </w:tc>
        <w:tc>
          <w:tcPr>
            <w:tcW w:w="1162" w:type="dxa"/>
          </w:tcPr>
          <w:p>
            <w:pPr>
              <w:pStyle w:val="TableParagraph"/>
              <w:spacing w:line="225" w:lineRule="exact" w:before="31"/>
              <w:ind w:right="113"/>
              <w:jc w:val="right"/>
              <w:rPr>
                <w:sz w:val="20"/>
              </w:rPr>
            </w:pPr>
            <w:r>
              <w:rPr>
                <w:spacing w:val="-2"/>
                <w:sz w:val="20"/>
              </w:rPr>
              <w:t>(72,289)</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(73,676)</w:t>
            </w:r>
          </w:p>
        </w:tc>
      </w:tr>
      <w:tr>
        <w:trPr>
          <w:trHeight w:val="275" w:hRule="atLeast"/>
        </w:trPr>
        <w:tc>
          <w:tcPr>
            <w:tcW w:w="4116" w:type="dxa"/>
            <w:tcBorders>
              <w:left w:val="single" w:sz="4" w:space="0" w:color="000000"/>
            </w:tcBorders>
          </w:tcPr>
          <w:p>
            <w:pPr>
              <w:pStyle w:val="TableParagraph"/>
              <w:spacing w:before="7"/>
              <w:ind w:left="110"/>
              <w:rPr>
                <w:sz w:val="20"/>
              </w:rPr>
            </w:pPr>
            <w:r>
              <w:rPr>
                <w:sz w:val="20"/>
              </w:rPr>
              <w:t>Materials</w:t>
            </w:r>
            <w:r>
              <w:rPr>
                <w:spacing w:val="-6"/>
                <w:sz w:val="20"/>
              </w:rPr>
              <w:t> </w:t>
            </w:r>
            <w:r>
              <w:rPr>
                <w:sz w:val="20"/>
              </w:rPr>
              <w:t>and</w:t>
            </w:r>
            <w:r>
              <w:rPr>
                <w:spacing w:val="-9"/>
                <w:sz w:val="20"/>
              </w:rPr>
              <w:t> </w:t>
            </w:r>
            <w:r>
              <w:rPr>
                <w:spacing w:val="-2"/>
                <w:sz w:val="20"/>
              </w:rPr>
              <w:t>services</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(63,551)</w:t>
            </w:r>
          </w:p>
        </w:tc>
        <w:tc>
          <w:tcPr>
            <w:tcW w:w="1208" w:type="dxa"/>
            <w:shd w:val="clear" w:color="auto" w:fill="DDEBF6"/>
          </w:tcPr>
          <w:p>
            <w:pPr>
              <w:pStyle w:val="TableParagraph"/>
              <w:spacing w:line="225" w:lineRule="exact" w:before="31"/>
              <w:ind w:right="106"/>
              <w:jc w:val="right"/>
              <w:rPr>
                <w:b/>
                <w:sz w:val="20"/>
              </w:rPr>
            </w:pPr>
            <w:r>
              <w:rPr>
                <w:b/>
                <w:spacing w:val="-2"/>
                <w:sz w:val="20"/>
              </w:rPr>
              <w:t>(62,773)</w:t>
            </w:r>
          </w:p>
        </w:tc>
        <w:tc>
          <w:tcPr>
            <w:tcW w:w="1170" w:type="dxa"/>
          </w:tcPr>
          <w:p>
            <w:pPr>
              <w:pStyle w:val="TableParagraph"/>
              <w:spacing w:line="225" w:lineRule="exact" w:before="31"/>
              <w:ind w:right="112"/>
              <w:jc w:val="right"/>
              <w:rPr>
                <w:sz w:val="20"/>
              </w:rPr>
            </w:pPr>
            <w:r>
              <w:rPr>
                <w:spacing w:val="-2"/>
                <w:sz w:val="20"/>
              </w:rPr>
              <w:t>(68,043)</w:t>
            </w:r>
          </w:p>
        </w:tc>
        <w:tc>
          <w:tcPr>
            <w:tcW w:w="1162" w:type="dxa"/>
          </w:tcPr>
          <w:p>
            <w:pPr>
              <w:pStyle w:val="TableParagraph"/>
              <w:spacing w:line="225" w:lineRule="exact" w:before="31"/>
              <w:ind w:right="113"/>
              <w:jc w:val="right"/>
              <w:rPr>
                <w:sz w:val="20"/>
              </w:rPr>
            </w:pPr>
            <w:r>
              <w:rPr>
                <w:spacing w:val="-2"/>
                <w:sz w:val="20"/>
              </w:rPr>
              <w:t>(64,760)</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(67,049)</w:t>
            </w:r>
          </w:p>
        </w:tc>
      </w:tr>
      <w:tr>
        <w:trPr>
          <w:trHeight w:val="276" w:hRule="atLeast"/>
        </w:trPr>
        <w:tc>
          <w:tcPr>
            <w:tcW w:w="4116" w:type="dxa"/>
            <w:tcBorders>
              <w:left w:val="single" w:sz="4" w:space="0" w:color="000000"/>
            </w:tcBorders>
          </w:tcPr>
          <w:p>
            <w:pPr>
              <w:pStyle w:val="TableParagraph"/>
              <w:spacing w:before="7"/>
              <w:ind w:left="110"/>
              <w:rPr>
                <w:sz w:val="20"/>
              </w:rPr>
            </w:pPr>
            <w:r>
              <w:rPr>
                <w:sz w:val="20"/>
              </w:rPr>
              <w:t>Trust</w:t>
            </w:r>
            <w:r>
              <w:rPr>
                <w:spacing w:val="-8"/>
                <w:sz w:val="20"/>
              </w:rPr>
              <w:t> </w:t>
            </w:r>
            <w:r>
              <w:rPr>
                <w:sz w:val="20"/>
              </w:rPr>
              <w:t>funds</w:t>
            </w:r>
            <w:r>
              <w:rPr>
                <w:spacing w:val="-5"/>
                <w:sz w:val="20"/>
              </w:rPr>
              <w:t> </w:t>
            </w:r>
            <w:r>
              <w:rPr>
                <w:sz w:val="20"/>
              </w:rPr>
              <w:t>and</w:t>
            </w:r>
            <w:r>
              <w:rPr>
                <w:spacing w:val="-3"/>
                <w:sz w:val="20"/>
              </w:rPr>
              <w:t> </w:t>
            </w:r>
            <w:r>
              <w:rPr>
                <w:sz w:val="20"/>
              </w:rPr>
              <w:t>deposits</w:t>
            </w:r>
            <w:r>
              <w:rPr>
                <w:spacing w:val="-5"/>
                <w:sz w:val="20"/>
              </w:rPr>
              <w:t> </w:t>
            </w:r>
            <w:r>
              <w:rPr>
                <w:spacing w:val="-2"/>
                <w:sz w:val="20"/>
              </w:rPr>
              <w:t>repaid</w:t>
            </w:r>
          </w:p>
        </w:tc>
        <w:tc>
          <w:tcPr>
            <w:tcW w:w="790" w:type="dxa"/>
          </w:tcPr>
          <w:p>
            <w:pPr>
              <w:pStyle w:val="TableParagraph"/>
              <w:rPr>
                <w:rFonts w:ascii="Times New Roman"/>
                <w:sz w:val="18"/>
              </w:rPr>
            </w:pPr>
          </w:p>
        </w:tc>
        <w:tc>
          <w:tcPr>
            <w:tcW w:w="1162" w:type="dxa"/>
          </w:tcPr>
          <w:p>
            <w:pPr>
              <w:pStyle w:val="TableParagraph"/>
              <w:spacing w:line="225" w:lineRule="exact" w:before="31"/>
              <w:ind w:right="103"/>
              <w:jc w:val="right"/>
              <w:rPr>
                <w:sz w:val="20"/>
              </w:rPr>
            </w:pPr>
            <w:r>
              <w:rPr>
                <w:spacing w:val="-2"/>
                <w:sz w:val="20"/>
              </w:rPr>
              <w:t>(18,500)</w:t>
            </w:r>
          </w:p>
        </w:tc>
        <w:tc>
          <w:tcPr>
            <w:tcW w:w="1208" w:type="dxa"/>
            <w:shd w:val="clear" w:color="auto" w:fill="DDEBF6"/>
          </w:tcPr>
          <w:p>
            <w:pPr>
              <w:pStyle w:val="TableParagraph"/>
              <w:spacing w:line="225" w:lineRule="exact" w:before="31"/>
              <w:ind w:right="106"/>
              <w:jc w:val="right"/>
              <w:rPr>
                <w:b/>
                <w:sz w:val="20"/>
              </w:rPr>
            </w:pPr>
            <w:r>
              <w:rPr>
                <w:b/>
                <w:spacing w:val="-2"/>
                <w:sz w:val="20"/>
              </w:rPr>
              <w:t>(18,500)</w:t>
            </w:r>
          </w:p>
        </w:tc>
        <w:tc>
          <w:tcPr>
            <w:tcW w:w="1170" w:type="dxa"/>
          </w:tcPr>
          <w:p>
            <w:pPr>
              <w:pStyle w:val="TableParagraph"/>
              <w:spacing w:line="225" w:lineRule="exact" w:before="31"/>
              <w:ind w:right="112"/>
              <w:jc w:val="right"/>
              <w:rPr>
                <w:sz w:val="20"/>
              </w:rPr>
            </w:pPr>
            <w:r>
              <w:rPr>
                <w:spacing w:val="-2"/>
                <w:sz w:val="20"/>
              </w:rPr>
              <w:t>(18,500)</w:t>
            </w:r>
          </w:p>
        </w:tc>
        <w:tc>
          <w:tcPr>
            <w:tcW w:w="1162" w:type="dxa"/>
          </w:tcPr>
          <w:p>
            <w:pPr>
              <w:pStyle w:val="TableParagraph"/>
              <w:spacing w:line="225" w:lineRule="exact" w:before="31"/>
              <w:ind w:right="113"/>
              <w:jc w:val="right"/>
              <w:rPr>
                <w:sz w:val="20"/>
              </w:rPr>
            </w:pPr>
            <w:r>
              <w:rPr>
                <w:spacing w:val="-2"/>
                <w:sz w:val="20"/>
              </w:rPr>
              <w:t>(18,500)</w:t>
            </w:r>
          </w:p>
        </w:tc>
        <w:tc>
          <w:tcPr>
            <w:tcW w:w="1154" w:type="dxa"/>
            <w:tcBorders>
              <w:right w:val="single" w:sz="4" w:space="0" w:color="000000"/>
            </w:tcBorders>
          </w:tcPr>
          <w:p>
            <w:pPr>
              <w:pStyle w:val="TableParagraph"/>
              <w:spacing w:line="225" w:lineRule="exact" w:before="31"/>
              <w:ind w:right="100"/>
              <w:jc w:val="right"/>
              <w:rPr>
                <w:sz w:val="20"/>
              </w:rPr>
            </w:pPr>
            <w:r>
              <w:rPr>
                <w:spacing w:val="-2"/>
                <w:sz w:val="20"/>
              </w:rPr>
              <w:t>(18,500)</w:t>
            </w:r>
          </w:p>
        </w:tc>
      </w:tr>
      <w:tr>
        <w:trPr>
          <w:trHeight w:val="286" w:hRule="atLeast"/>
        </w:trPr>
        <w:tc>
          <w:tcPr>
            <w:tcW w:w="4116" w:type="dxa"/>
            <w:tcBorders>
              <w:left w:val="single" w:sz="4" w:space="0" w:color="000000"/>
            </w:tcBorders>
          </w:tcPr>
          <w:p>
            <w:pPr>
              <w:pStyle w:val="TableParagraph"/>
              <w:spacing w:before="7"/>
              <w:ind w:left="110"/>
              <w:rPr>
                <w:sz w:val="20"/>
              </w:rPr>
            </w:pPr>
            <w:r>
              <w:rPr>
                <w:sz w:val="20"/>
              </w:rPr>
              <w:t>Other</w:t>
            </w:r>
            <w:r>
              <w:rPr>
                <w:spacing w:val="-6"/>
                <w:sz w:val="20"/>
              </w:rPr>
              <w:t> </w:t>
            </w:r>
            <w:r>
              <w:rPr>
                <w:spacing w:val="-2"/>
                <w:sz w:val="20"/>
              </w:rPr>
              <w:t>payments</w:t>
            </w:r>
          </w:p>
        </w:tc>
        <w:tc>
          <w:tcPr>
            <w:tcW w:w="790" w:type="dxa"/>
          </w:tcPr>
          <w:p>
            <w:pPr>
              <w:pStyle w:val="TableParagraph"/>
              <w:rPr>
                <w:rFonts w:ascii="Times New Roman"/>
                <w:sz w:val="18"/>
              </w:rPr>
            </w:pPr>
          </w:p>
        </w:tc>
        <w:tc>
          <w:tcPr>
            <w:tcW w:w="1162" w:type="dxa"/>
            <w:tcBorders>
              <w:bottom w:val="single" w:sz="4" w:space="0" w:color="000000"/>
            </w:tcBorders>
          </w:tcPr>
          <w:p>
            <w:pPr>
              <w:pStyle w:val="TableParagraph"/>
              <w:spacing w:before="31"/>
              <w:ind w:right="102"/>
              <w:jc w:val="right"/>
              <w:rPr>
                <w:sz w:val="20"/>
              </w:rPr>
            </w:pPr>
            <w:r>
              <w:rPr>
                <w:w w:val="99"/>
                <w:sz w:val="20"/>
              </w:rPr>
              <w:t>-</w:t>
            </w:r>
          </w:p>
        </w:tc>
        <w:tc>
          <w:tcPr>
            <w:tcW w:w="1208" w:type="dxa"/>
            <w:tcBorders>
              <w:bottom w:val="single" w:sz="4" w:space="0" w:color="000000"/>
            </w:tcBorders>
            <w:shd w:val="clear" w:color="auto" w:fill="DDEBF6"/>
          </w:tcPr>
          <w:p>
            <w:pPr>
              <w:pStyle w:val="TableParagraph"/>
              <w:spacing w:before="31"/>
              <w:ind w:right="106"/>
              <w:jc w:val="right"/>
              <w:rPr>
                <w:b/>
                <w:sz w:val="20"/>
              </w:rPr>
            </w:pPr>
            <w:r>
              <w:rPr>
                <w:b/>
                <w:w w:val="99"/>
                <w:sz w:val="20"/>
              </w:rPr>
              <w:t>-</w:t>
            </w:r>
          </w:p>
        </w:tc>
        <w:tc>
          <w:tcPr>
            <w:tcW w:w="1170" w:type="dxa"/>
            <w:tcBorders>
              <w:bottom w:val="single" w:sz="4" w:space="0" w:color="000000"/>
            </w:tcBorders>
          </w:tcPr>
          <w:p>
            <w:pPr>
              <w:pStyle w:val="TableParagraph"/>
              <w:spacing w:before="31"/>
              <w:ind w:right="112"/>
              <w:jc w:val="right"/>
              <w:rPr>
                <w:sz w:val="20"/>
              </w:rPr>
            </w:pPr>
            <w:r>
              <w:rPr>
                <w:w w:val="99"/>
                <w:sz w:val="20"/>
              </w:rPr>
              <w:t>-</w:t>
            </w:r>
          </w:p>
        </w:tc>
        <w:tc>
          <w:tcPr>
            <w:tcW w:w="1162" w:type="dxa"/>
            <w:tcBorders>
              <w:bottom w:val="single" w:sz="4" w:space="0" w:color="000000"/>
            </w:tcBorders>
          </w:tcPr>
          <w:p>
            <w:pPr>
              <w:pStyle w:val="TableParagraph"/>
              <w:spacing w:before="31"/>
              <w:ind w:right="112"/>
              <w:jc w:val="right"/>
              <w:rPr>
                <w:sz w:val="20"/>
              </w:rPr>
            </w:pPr>
            <w:r>
              <w:rPr>
                <w:w w:val="99"/>
                <w:sz w:val="20"/>
              </w:rPr>
              <w:t>-</w:t>
            </w:r>
          </w:p>
        </w:tc>
        <w:tc>
          <w:tcPr>
            <w:tcW w:w="1154" w:type="dxa"/>
            <w:tcBorders>
              <w:bottom w:val="single" w:sz="4" w:space="0" w:color="000000"/>
              <w:right w:val="single" w:sz="4" w:space="0" w:color="000000"/>
            </w:tcBorders>
          </w:tcPr>
          <w:p>
            <w:pPr>
              <w:pStyle w:val="TableParagraph"/>
              <w:spacing w:before="31"/>
              <w:ind w:right="99"/>
              <w:jc w:val="right"/>
              <w:rPr>
                <w:sz w:val="20"/>
              </w:rPr>
            </w:pPr>
            <w:r>
              <w:rPr>
                <w:w w:val="99"/>
                <w:sz w:val="20"/>
              </w:rPr>
              <w:t>-</w:t>
            </w:r>
          </w:p>
        </w:tc>
      </w:tr>
      <w:tr>
        <w:trPr>
          <w:trHeight w:val="226" w:hRule="atLeast"/>
        </w:trPr>
        <w:tc>
          <w:tcPr>
            <w:tcW w:w="4116" w:type="dxa"/>
            <w:tcBorders>
              <w:left w:val="single" w:sz="4" w:space="0" w:color="000000"/>
            </w:tcBorders>
          </w:tcPr>
          <w:p>
            <w:pPr>
              <w:pStyle w:val="TableParagraph"/>
              <w:spacing w:line="207" w:lineRule="exact"/>
              <w:ind w:left="110"/>
              <w:rPr>
                <w:b/>
                <w:sz w:val="20"/>
              </w:rPr>
            </w:pPr>
            <w:r>
              <w:rPr>
                <w:b/>
                <w:sz w:val="20"/>
              </w:rPr>
              <w:t>Net</w:t>
            </w:r>
            <w:r>
              <w:rPr>
                <w:b/>
                <w:spacing w:val="-5"/>
                <w:sz w:val="20"/>
              </w:rPr>
              <w:t> </w:t>
            </w:r>
            <w:r>
              <w:rPr>
                <w:b/>
                <w:sz w:val="20"/>
              </w:rPr>
              <w:t>cash</w:t>
            </w:r>
            <w:r>
              <w:rPr>
                <w:b/>
                <w:spacing w:val="-3"/>
                <w:sz w:val="20"/>
              </w:rPr>
              <w:t> </w:t>
            </w:r>
            <w:r>
              <w:rPr>
                <w:b/>
                <w:sz w:val="20"/>
              </w:rPr>
              <w:t>provided</w:t>
            </w:r>
            <w:r>
              <w:rPr>
                <w:b/>
                <w:spacing w:val="-7"/>
                <w:sz w:val="20"/>
              </w:rPr>
              <w:t> </w:t>
            </w:r>
            <w:r>
              <w:rPr>
                <w:b/>
                <w:sz w:val="20"/>
              </w:rPr>
              <w:t>by/(used</w:t>
            </w:r>
            <w:r>
              <w:rPr>
                <w:b/>
                <w:spacing w:val="-6"/>
                <w:sz w:val="20"/>
              </w:rPr>
              <w:t> </w:t>
            </w:r>
            <w:r>
              <w:rPr>
                <w:b/>
                <w:sz w:val="20"/>
              </w:rPr>
              <w:t>in)</w:t>
            </w:r>
            <w:r>
              <w:rPr>
                <w:b/>
                <w:spacing w:val="-6"/>
                <w:sz w:val="20"/>
              </w:rPr>
              <w:t> </w:t>
            </w:r>
            <w:r>
              <w:rPr>
                <w:b/>
                <w:spacing w:val="-2"/>
                <w:sz w:val="20"/>
              </w:rPr>
              <w:t>operating</w:t>
            </w:r>
          </w:p>
        </w:tc>
        <w:tc>
          <w:tcPr>
            <w:tcW w:w="790" w:type="dxa"/>
          </w:tcPr>
          <w:p>
            <w:pPr>
              <w:pStyle w:val="TableParagraph"/>
              <w:spacing w:line="95" w:lineRule="exact" w:before="112"/>
              <w:ind w:left="114" w:right="88"/>
              <w:jc w:val="center"/>
              <w:rPr>
                <w:sz w:val="20"/>
              </w:rPr>
            </w:pPr>
            <w:r>
              <w:rPr>
                <w:spacing w:val="-2"/>
                <w:sz w:val="20"/>
              </w:rPr>
              <w:t>4.4.1</w:t>
            </w:r>
          </w:p>
        </w:tc>
        <w:tc>
          <w:tcPr>
            <w:tcW w:w="1162" w:type="dxa"/>
            <w:vMerge w:val="restart"/>
            <w:tcBorders>
              <w:top w:val="single" w:sz="4" w:space="0" w:color="000000"/>
              <w:bottom w:val="single" w:sz="4" w:space="0" w:color="000000"/>
            </w:tcBorders>
          </w:tcPr>
          <w:p>
            <w:pPr>
              <w:pStyle w:val="TableParagraph"/>
              <w:spacing w:before="112"/>
              <w:ind w:left="446"/>
              <w:rPr>
                <w:sz w:val="20"/>
              </w:rPr>
            </w:pPr>
            <w:r>
              <w:rPr>
                <w:spacing w:val="-2"/>
                <w:sz w:val="20"/>
              </w:rPr>
              <w:t>36,759</w:t>
            </w:r>
          </w:p>
        </w:tc>
        <w:tc>
          <w:tcPr>
            <w:tcW w:w="1208" w:type="dxa"/>
            <w:vMerge w:val="restart"/>
            <w:tcBorders>
              <w:top w:val="single" w:sz="4" w:space="0" w:color="000000"/>
              <w:bottom w:val="single" w:sz="4" w:space="0" w:color="000000"/>
            </w:tcBorders>
            <w:shd w:val="clear" w:color="auto" w:fill="DDEBF6"/>
          </w:tcPr>
          <w:p>
            <w:pPr>
              <w:pStyle w:val="TableParagraph"/>
              <w:spacing w:before="112"/>
              <w:ind w:left="488"/>
              <w:rPr>
                <w:b/>
                <w:sz w:val="20"/>
              </w:rPr>
            </w:pPr>
            <w:r>
              <w:rPr>
                <w:b/>
                <w:spacing w:val="-2"/>
                <w:sz w:val="20"/>
              </w:rPr>
              <w:t>46,989</w:t>
            </w:r>
          </w:p>
        </w:tc>
        <w:tc>
          <w:tcPr>
            <w:tcW w:w="1170" w:type="dxa"/>
            <w:vMerge w:val="restart"/>
            <w:tcBorders>
              <w:top w:val="single" w:sz="4" w:space="0" w:color="000000"/>
              <w:bottom w:val="single" w:sz="4" w:space="0" w:color="000000"/>
            </w:tcBorders>
          </w:tcPr>
          <w:p>
            <w:pPr>
              <w:pStyle w:val="TableParagraph"/>
              <w:spacing w:before="112"/>
              <w:ind w:left="444"/>
              <w:rPr>
                <w:sz w:val="20"/>
              </w:rPr>
            </w:pPr>
            <w:r>
              <w:rPr>
                <w:spacing w:val="-2"/>
                <w:sz w:val="20"/>
              </w:rPr>
              <w:t>38,568</w:t>
            </w:r>
          </w:p>
        </w:tc>
        <w:tc>
          <w:tcPr>
            <w:tcW w:w="1162" w:type="dxa"/>
            <w:vMerge w:val="restart"/>
            <w:tcBorders>
              <w:top w:val="single" w:sz="4" w:space="0" w:color="000000"/>
              <w:bottom w:val="single" w:sz="4" w:space="0" w:color="000000"/>
            </w:tcBorders>
          </w:tcPr>
          <w:p>
            <w:pPr>
              <w:pStyle w:val="TableParagraph"/>
              <w:spacing w:before="112"/>
              <w:ind w:left="436"/>
              <w:rPr>
                <w:sz w:val="20"/>
              </w:rPr>
            </w:pPr>
            <w:r>
              <w:rPr>
                <w:spacing w:val="-2"/>
                <w:sz w:val="20"/>
              </w:rPr>
              <w:t>52,341</w:t>
            </w:r>
          </w:p>
        </w:tc>
        <w:tc>
          <w:tcPr>
            <w:tcW w:w="1154" w:type="dxa"/>
            <w:vMerge w:val="restart"/>
            <w:tcBorders>
              <w:top w:val="single" w:sz="4" w:space="0" w:color="000000"/>
              <w:bottom w:val="single" w:sz="4" w:space="0" w:color="000000"/>
              <w:right w:val="single" w:sz="4" w:space="0" w:color="000000"/>
            </w:tcBorders>
          </w:tcPr>
          <w:p>
            <w:pPr>
              <w:pStyle w:val="TableParagraph"/>
              <w:spacing w:before="112"/>
              <w:ind w:left="431"/>
              <w:rPr>
                <w:sz w:val="20"/>
              </w:rPr>
            </w:pPr>
            <w:r>
              <w:rPr>
                <w:spacing w:val="-2"/>
                <w:sz w:val="20"/>
              </w:rPr>
              <w:t>67,575</w:t>
            </w:r>
          </w:p>
        </w:tc>
      </w:tr>
      <w:tr>
        <w:trPr>
          <w:trHeight w:val="221" w:hRule="atLeast"/>
        </w:trPr>
        <w:tc>
          <w:tcPr>
            <w:tcW w:w="4116" w:type="dxa"/>
            <w:tcBorders>
              <w:left w:val="single" w:sz="4" w:space="0" w:color="000000"/>
            </w:tcBorders>
          </w:tcPr>
          <w:p>
            <w:pPr>
              <w:pStyle w:val="TableParagraph"/>
              <w:spacing w:line="201" w:lineRule="exact"/>
              <w:ind w:left="110"/>
              <w:rPr>
                <w:b/>
                <w:sz w:val="20"/>
              </w:rPr>
            </w:pPr>
            <w:r>
              <w:rPr>
                <w:b/>
                <w:spacing w:val="-2"/>
                <w:sz w:val="20"/>
              </w:rPr>
              <w:t>activities</w:t>
            </w:r>
          </w:p>
        </w:tc>
        <w:tc>
          <w:tcPr>
            <w:tcW w:w="790" w:type="dxa"/>
          </w:tcPr>
          <w:p>
            <w:pPr>
              <w:pStyle w:val="TableParagraph"/>
              <w:rPr>
                <w:rFonts w:ascii="Times New Roman"/>
                <w:sz w:val="14"/>
              </w:rPr>
            </w:pPr>
          </w:p>
        </w:tc>
        <w:tc>
          <w:tcPr>
            <w:tcW w:w="1162" w:type="dxa"/>
            <w:vMerge/>
            <w:tcBorders>
              <w:top w:val="nil"/>
              <w:bottom w:val="single" w:sz="4" w:space="0" w:color="000000"/>
            </w:tcBorders>
          </w:tcPr>
          <w:p>
            <w:pPr>
              <w:rPr>
                <w:sz w:val="2"/>
                <w:szCs w:val="2"/>
              </w:rPr>
            </w:pPr>
          </w:p>
        </w:tc>
        <w:tc>
          <w:tcPr>
            <w:tcW w:w="1208" w:type="dxa"/>
            <w:vMerge/>
            <w:tcBorders>
              <w:top w:val="nil"/>
              <w:bottom w:val="single" w:sz="4" w:space="0" w:color="000000"/>
            </w:tcBorders>
            <w:shd w:val="clear" w:color="auto" w:fill="DDEBF6"/>
          </w:tcPr>
          <w:p>
            <w:pPr>
              <w:rPr>
                <w:sz w:val="2"/>
                <w:szCs w:val="2"/>
              </w:rPr>
            </w:pPr>
          </w:p>
        </w:tc>
        <w:tc>
          <w:tcPr>
            <w:tcW w:w="1170" w:type="dxa"/>
            <w:vMerge/>
            <w:tcBorders>
              <w:top w:val="nil"/>
              <w:bottom w:val="single" w:sz="4" w:space="0" w:color="000000"/>
            </w:tcBorders>
          </w:tcPr>
          <w:p>
            <w:pPr>
              <w:rPr>
                <w:sz w:val="2"/>
                <w:szCs w:val="2"/>
              </w:rPr>
            </w:pPr>
          </w:p>
        </w:tc>
        <w:tc>
          <w:tcPr>
            <w:tcW w:w="1162" w:type="dxa"/>
            <w:vMerge/>
            <w:tcBorders>
              <w:top w:val="nil"/>
              <w:bottom w:val="single" w:sz="4" w:space="0" w:color="000000"/>
            </w:tcBorders>
          </w:tcPr>
          <w:p>
            <w:pPr>
              <w:rPr>
                <w:sz w:val="2"/>
                <w:szCs w:val="2"/>
              </w:rPr>
            </w:pPr>
          </w:p>
        </w:tc>
        <w:tc>
          <w:tcPr>
            <w:tcW w:w="1154" w:type="dxa"/>
            <w:vMerge/>
            <w:tcBorders>
              <w:top w:val="nil"/>
              <w:bottom w:val="single" w:sz="4" w:space="0" w:color="000000"/>
              <w:right w:val="single" w:sz="4" w:space="0" w:color="000000"/>
            </w:tcBorders>
          </w:tcPr>
          <w:p>
            <w:pPr>
              <w:rPr>
                <w:sz w:val="2"/>
                <w:szCs w:val="2"/>
              </w:rPr>
            </w:pPr>
          </w:p>
        </w:tc>
      </w:tr>
      <w:tr>
        <w:trPr>
          <w:trHeight w:val="531" w:hRule="atLeast"/>
        </w:trPr>
        <w:tc>
          <w:tcPr>
            <w:tcW w:w="4116" w:type="dxa"/>
            <w:tcBorders>
              <w:left w:val="single" w:sz="4" w:space="0" w:color="000000"/>
            </w:tcBorders>
          </w:tcPr>
          <w:p>
            <w:pPr>
              <w:pStyle w:val="TableParagraph"/>
              <w:spacing w:before="10"/>
              <w:rPr>
                <w:i/>
                <w:sz w:val="23"/>
              </w:rPr>
            </w:pPr>
          </w:p>
          <w:p>
            <w:pPr>
              <w:pStyle w:val="TableParagraph"/>
              <w:spacing w:before="1"/>
              <w:ind w:left="110"/>
              <w:rPr>
                <w:b/>
                <w:sz w:val="20"/>
              </w:rPr>
            </w:pPr>
            <w:r>
              <w:rPr>
                <w:b/>
                <w:sz w:val="20"/>
              </w:rPr>
              <w:t>Cash</w:t>
            </w:r>
            <w:r>
              <w:rPr>
                <w:b/>
                <w:spacing w:val="-7"/>
                <w:sz w:val="20"/>
              </w:rPr>
              <w:t> </w:t>
            </w:r>
            <w:r>
              <w:rPr>
                <w:b/>
                <w:sz w:val="20"/>
              </w:rPr>
              <w:t>flows</w:t>
            </w:r>
            <w:r>
              <w:rPr>
                <w:b/>
                <w:spacing w:val="-7"/>
                <w:sz w:val="20"/>
              </w:rPr>
              <w:t> </w:t>
            </w:r>
            <w:r>
              <w:rPr>
                <w:b/>
                <w:sz w:val="20"/>
              </w:rPr>
              <w:t>from</w:t>
            </w:r>
            <w:r>
              <w:rPr>
                <w:b/>
                <w:spacing w:val="-4"/>
                <w:sz w:val="20"/>
              </w:rPr>
              <w:t> </w:t>
            </w:r>
            <w:r>
              <w:rPr>
                <w:b/>
                <w:sz w:val="20"/>
              </w:rPr>
              <w:t>investing</w:t>
            </w:r>
            <w:r>
              <w:rPr>
                <w:b/>
                <w:spacing w:val="-7"/>
                <w:sz w:val="20"/>
              </w:rPr>
              <w:t> </w:t>
            </w:r>
            <w:r>
              <w:rPr>
                <w:b/>
                <w:spacing w:val="-2"/>
                <w:sz w:val="20"/>
              </w:rPr>
              <w:t>activities</w:t>
            </w:r>
          </w:p>
        </w:tc>
        <w:tc>
          <w:tcPr>
            <w:tcW w:w="790" w:type="dxa"/>
          </w:tcPr>
          <w:p>
            <w:pPr>
              <w:pStyle w:val="TableParagraph"/>
              <w:rPr>
                <w:rFonts w:ascii="Times New Roman"/>
                <w:sz w:val="18"/>
              </w:rPr>
            </w:pPr>
          </w:p>
        </w:tc>
        <w:tc>
          <w:tcPr>
            <w:tcW w:w="1162" w:type="dxa"/>
            <w:tcBorders>
              <w:top w:val="single" w:sz="4" w:space="0" w:color="000000"/>
            </w:tcBorders>
          </w:tcPr>
          <w:p>
            <w:pPr>
              <w:pStyle w:val="TableParagraph"/>
              <w:rPr>
                <w:rFonts w:ascii="Times New Roman"/>
                <w:sz w:val="18"/>
              </w:rPr>
            </w:pPr>
          </w:p>
        </w:tc>
        <w:tc>
          <w:tcPr>
            <w:tcW w:w="1208" w:type="dxa"/>
            <w:tcBorders>
              <w:top w:val="single" w:sz="4" w:space="0" w:color="000000"/>
            </w:tcBorders>
            <w:shd w:val="clear" w:color="auto" w:fill="DDEBF6"/>
          </w:tcPr>
          <w:p>
            <w:pPr>
              <w:pStyle w:val="TableParagraph"/>
              <w:rPr>
                <w:rFonts w:ascii="Times New Roman"/>
                <w:sz w:val="18"/>
              </w:rPr>
            </w:pPr>
          </w:p>
        </w:tc>
        <w:tc>
          <w:tcPr>
            <w:tcW w:w="3486" w:type="dxa"/>
            <w:gridSpan w:val="3"/>
            <w:tcBorders>
              <w:top w:val="single" w:sz="4" w:space="0" w:color="000000"/>
              <w:right w:val="single" w:sz="4" w:space="0" w:color="000000"/>
            </w:tcBorders>
          </w:tcPr>
          <w:p>
            <w:pPr>
              <w:pStyle w:val="TableParagraph"/>
              <w:rPr>
                <w:rFonts w:ascii="Times New Roman"/>
                <w:sz w:val="18"/>
              </w:rPr>
            </w:pPr>
          </w:p>
        </w:tc>
      </w:tr>
      <w:tr>
        <w:trPr>
          <w:trHeight w:val="483" w:hRule="atLeast"/>
        </w:trPr>
        <w:tc>
          <w:tcPr>
            <w:tcW w:w="4116" w:type="dxa"/>
            <w:tcBorders>
              <w:left w:val="single" w:sz="4" w:space="0" w:color="000000"/>
            </w:tcBorders>
          </w:tcPr>
          <w:p>
            <w:pPr>
              <w:pStyle w:val="TableParagraph"/>
              <w:spacing w:line="230" w:lineRule="atLeast" w:before="3"/>
              <w:ind w:left="110"/>
              <w:rPr>
                <w:sz w:val="20"/>
              </w:rPr>
            </w:pPr>
            <w:r>
              <w:rPr>
                <w:sz w:val="20"/>
              </w:rPr>
              <w:t>Payments</w:t>
            </w:r>
            <w:r>
              <w:rPr>
                <w:spacing w:val="-9"/>
                <w:sz w:val="20"/>
              </w:rPr>
              <w:t> </w:t>
            </w:r>
            <w:r>
              <w:rPr>
                <w:sz w:val="20"/>
              </w:rPr>
              <w:t>for</w:t>
            </w:r>
            <w:r>
              <w:rPr>
                <w:spacing w:val="-9"/>
                <w:sz w:val="20"/>
              </w:rPr>
              <w:t> </w:t>
            </w:r>
            <w:r>
              <w:rPr>
                <w:sz w:val="20"/>
              </w:rPr>
              <w:t>property,</w:t>
            </w:r>
            <w:r>
              <w:rPr>
                <w:spacing w:val="-10"/>
                <w:sz w:val="20"/>
              </w:rPr>
              <w:t> </w:t>
            </w:r>
            <w:r>
              <w:rPr>
                <w:sz w:val="20"/>
              </w:rPr>
              <w:t>infrastructure,</w:t>
            </w:r>
            <w:r>
              <w:rPr>
                <w:spacing w:val="-10"/>
                <w:sz w:val="20"/>
              </w:rPr>
              <w:t> </w:t>
            </w:r>
            <w:r>
              <w:rPr>
                <w:sz w:val="20"/>
              </w:rPr>
              <w:t>plant, and equipment</w:t>
            </w:r>
          </w:p>
        </w:tc>
        <w:tc>
          <w:tcPr>
            <w:tcW w:w="790" w:type="dxa"/>
          </w:tcPr>
          <w:p>
            <w:pPr>
              <w:pStyle w:val="TableParagraph"/>
              <w:rPr>
                <w:rFonts w:ascii="Times New Roman"/>
                <w:sz w:val="18"/>
              </w:rPr>
            </w:pPr>
          </w:p>
        </w:tc>
        <w:tc>
          <w:tcPr>
            <w:tcW w:w="1162" w:type="dxa"/>
          </w:tcPr>
          <w:p>
            <w:pPr>
              <w:pStyle w:val="TableParagraph"/>
              <w:spacing w:before="134"/>
              <w:ind w:right="103"/>
              <w:jc w:val="right"/>
              <w:rPr>
                <w:sz w:val="20"/>
              </w:rPr>
            </w:pPr>
            <w:r>
              <w:rPr>
                <w:spacing w:val="-2"/>
                <w:sz w:val="20"/>
              </w:rPr>
              <w:t>(39,639)</w:t>
            </w:r>
          </w:p>
        </w:tc>
        <w:tc>
          <w:tcPr>
            <w:tcW w:w="1208" w:type="dxa"/>
            <w:shd w:val="clear" w:color="auto" w:fill="DDEBF6"/>
          </w:tcPr>
          <w:p>
            <w:pPr>
              <w:pStyle w:val="TableParagraph"/>
              <w:spacing w:before="134"/>
              <w:ind w:right="106"/>
              <w:jc w:val="right"/>
              <w:rPr>
                <w:b/>
                <w:sz w:val="20"/>
              </w:rPr>
            </w:pPr>
            <w:r>
              <w:rPr>
                <w:b/>
                <w:spacing w:val="-2"/>
                <w:sz w:val="20"/>
              </w:rPr>
              <w:t>(65,404)</w:t>
            </w:r>
          </w:p>
        </w:tc>
        <w:tc>
          <w:tcPr>
            <w:tcW w:w="1170" w:type="dxa"/>
          </w:tcPr>
          <w:p>
            <w:pPr>
              <w:pStyle w:val="TableParagraph"/>
              <w:spacing w:before="134"/>
              <w:ind w:right="112"/>
              <w:jc w:val="right"/>
              <w:rPr>
                <w:sz w:val="20"/>
              </w:rPr>
            </w:pPr>
            <w:r>
              <w:rPr>
                <w:spacing w:val="-2"/>
                <w:sz w:val="20"/>
              </w:rPr>
              <w:t>(42,103)</w:t>
            </w:r>
          </w:p>
        </w:tc>
        <w:tc>
          <w:tcPr>
            <w:tcW w:w="1162" w:type="dxa"/>
          </w:tcPr>
          <w:p>
            <w:pPr>
              <w:pStyle w:val="TableParagraph"/>
              <w:spacing w:before="134"/>
              <w:ind w:right="113"/>
              <w:jc w:val="right"/>
              <w:rPr>
                <w:sz w:val="20"/>
              </w:rPr>
            </w:pPr>
            <w:r>
              <w:rPr>
                <w:spacing w:val="-2"/>
                <w:sz w:val="20"/>
              </w:rPr>
              <w:t>(53,190)</w:t>
            </w:r>
          </w:p>
        </w:tc>
        <w:tc>
          <w:tcPr>
            <w:tcW w:w="1154" w:type="dxa"/>
            <w:tcBorders>
              <w:right w:val="single" w:sz="4" w:space="0" w:color="000000"/>
            </w:tcBorders>
          </w:tcPr>
          <w:p>
            <w:pPr>
              <w:pStyle w:val="TableParagraph"/>
              <w:spacing w:before="134"/>
              <w:ind w:right="100"/>
              <w:jc w:val="right"/>
              <w:rPr>
                <w:sz w:val="20"/>
              </w:rPr>
            </w:pPr>
            <w:r>
              <w:rPr>
                <w:spacing w:val="-2"/>
                <w:sz w:val="20"/>
              </w:rPr>
              <w:t>(67,710)</w:t>
            </w:r>
          </w:p>
        </w:tc>
      </w:tr>
      <w:tr>
        <w:trPr>
          <w:trHeight w:val="493" w:hRule="atLeast"/>
        </w:trPr>
        <w:tc>
          <w:tcPr>
            <w:tcW w:w="4116" w:type="dxa"/>
            <w:tcBorders>
              <w:left w:val="single" w:sz="4" w:space="0" w:color="000000"/>
            </w:tcBorders>
          </w:tcPr>
          <w:p>
            <w:pPr>
              <w:pStyle w:val="TableParagraph"/>
              <w:ind w:left="110" w:right="11"/>
              <w:rPr>
                <w:sz w:val="20"/>
              </w:rPr>
            </w:pPr>
            <w:r>
              <w:rPr>
                <w:sz w:val="20"/>
              </w:rPr>
              <w:t>Proceeds from sale of property, infrastructure,</w:t>
            </w:r>
            <w:r>
              <w:rPr>
                <w:spacing w:val="-10"/>
                <w:sz w:val="20"/>
              </w:rPr>
              <w:t> </w:t>
            </w:r>
            <w:r>
              <w:rPr>
                <w:sz w:val="20"/>
              </w:rPr>
              <w:t>plant,</w:t>
            </w:r>
            <w:r>
              <w:rPr>
                <w:spacing w:val="-13"/>
                <w:sz w:val="20"/>
              </w:rPr>
              <w:t> </w:t>
            </w:r>
            <w:r>
              <w:rPr>
                <w:sz w:val="20"/>
              </w:rPr>
              <w:t>and</w:t>
            </w:r>
            <w:r>
              <w:rPr>
                <w:spacing w:val="-13"/>
                <w:sz w:val="20"/>
              </w:rPr>
              <w:t> </w:t>
            </w:r>
            <w:r>
              <w:rPr>
                <w:sz w:val="20"/>
              </w:rPr>
              <w:t>equipment</w:t>
            </w:r>
          </w:p>
        </w:tc>
        <w:tc>
          <w:tcPr>
            <w:tcW w:w="790" w:type="dxa"/>
          </w:tcPr>
          <w:p>
            <w:pPr>
              <w:pStyle w:val="TableParagraph"/>
              <w:rPr>
                <w:rFonts w:ascii="Times New Roman"/>
                <w:sz w:val="18"/>
              </w:rPr>
            </w:pPr>
          </w:p>
        </w:tc>
        <w:tc>
          <w:tcPr>
            <w:tcW w:w="1162" w:type="dxa"/>
          </w:tcPr>
          <w:p>
            <w:pPr>
              <w:pStyle w:val="TableParagraph"/>
              <w:spacing w:before="143"/>
              <w:ind w:right="104"/>
              <w:jc w:val="right"/>
              <w:rPr>
                <w:sz w:val="20"/>
              </w:rPr>
            </w:pPr>
            <w:r>
              <w:rPr>
                <w:spacing w:val="-5"/>
                <w:sz w:val="20"/>
              </w:rPr>
              <w:t>785</w:t>
            </w:r>
          </w:p>
        </w:tc>
        <w:tc>
          <w:tcPr>
            <w:tcW w:w="1208" w:type="dxa"/>
            <w:shd w:val="clear" w:color="auto" w:fill="DDEBF6"/>
          </w:tcPr>
          <w:p>
            <w:pPr>
              <w:pStyle w:val="TableParagraph"/>
              <w:spacing w:before="143"/>
              <w:ind w:right="106"/>
              <w:jc w:val="right"/>
              <w:rPr>
                <w:b/>
                <w:sz w:val="20"/>
              </w:rPr>
            </w:pPr>
            <w:r>
              <w:rPr>
                <w:b/>
                <w:spacing w:val="-2"/>
                <w:sz w:val="20"/>
              </w:rPr>
              <w:t>1,808</w:t>
            </w:r>
          </w:p>
        </w:tc>
        <w:tc>
          <w:tcPr>
            <w:tcW w:w="1170" w:type="dxa"/>
          </w:tcPr>
          <w:p>
            <w:pPr>
              <w:pStyle w:val="TableParagraph"/>
              <w:spacing w:before="143"/>
              <w:ind w:right="113"/>
              <w:jc w:val="right"/>
              <w:rPr>
                <w:sz w:val="20"/>
              </w:rPr>
            </w:pPr>
            <w:r>
              <w:rPr>
                <w:spacing w:val="-2"/>
                <w:sz w:val="20"/>
              </w:rPr>
              <w:t>12,371</w:t>
            </w:r>
          </w:p>
        </w:tc>
        <w:tc>
          <w:tcPr>
            <w:tcW w:w="1162" w:type="dxa"/>
          </w:tcPr>
          <w:p>
            <w:pPr>
              <w:pStyle w:val="TableParagraph"/>
              <w:spacing w:before="143"/>
              <w:ind w:right="114"/>
              <w:jc w:val="right"/>
              <w:rPr>
                <w:sz w:val="20"/>
              </w:rPr>
            </w:pPr>
            <w:r>
              <w:rPr>
                <w:spacing w:val="-5"/>
                <w:sz w:val="20"/>
              </w:rPr>
              <w:t>367</w:t>
            </w:r>
          </w:p>
        </w:tc>
        <w:tc>
          <w:tcPr>
            <w:tcW w:w="1154" w:type="dxa"/>
            <w:tcBorders>
              <w:right w:val="single" w:sz="4" w:space="0" w:color="000000"/>
            </w:tcBorders>
          </w:tcPr>
          <w:p>
            <w:pPr>
              <w:pStyle w:val="TableParagraph"/>
              <w:spacing w:before="143"/>
              <w:ind w:right="100"/>
              <w:jc w:val="right"/>
              <w:rPr>
                <w:sz w:val="20"/>
              </w:rPr>
            </w:pPr>
            <w:r>
              <w:rPr>
                <w:spacing w:val="-2"/>
                <w:sz w:val="20"/>
              </w:rPr>
              <w:t>3,038</w:t>
            </w:r>
          </w:p>
        </w:tc>
      </w:tr>
      <w:tr>
        <w:trPr>
          <w:trHeight w:val="305" w:hRule="atLeast"/>
        </w:trPr>
        <w:tc>
          <w:tcPr>
            <w:tcW w:w="4116" w:type="dxa"/>
            <w:tcBorders>
              <w:left w:val="single" w:sz="4" w:space="0" w:color="000000"/>
            </w:tcBorders>
          </w:tcPr>
          <w:p>
            <w:pPr>
              <w:pStyle w:val="TableParagraph"/>
              <w:spacing w:before="29"/>
              <w:ind w:left="110"/>
              <w:rPr>
                <w:sz w:val="20"/>
              </w:rPr>
            </w:pPr>
            <w:r>
              <w:rPr>
                <w:sz w:val="20"/>
              </w:rPr>
              <w:t>Net</w:t>
            </w:r>
            <w:r>
              <w:rPr>
                <w:spacing w:val="-7"/>
                <w:sz w:val="20"/>
              </w:rPr>
              <w:t> </w:t>
            </w:r>
            <w:r>
              <w:rPr>
                <w:sz w:val="20"/>
              </w:rPr>
              <w:t>Payments/sale</w:t>
            </w:r>
            <w:r>
              <w:rPr>
                <w:spacing w:val="-6"/>
                <w:sz w:val="20"/>
              </w:rPr>
              <w:t> </w:t>
            </w:r>
            <w:r>
              <w:rPr>
                <w:sz w:val="20"/>
              </w:rPr>
              <w:t>for</w:t>
            </w:r>
            <w:r>
              <w:rPr>
                <w:spacing w:val="-3"/>
                <w:sz w:val="20"/>
              </w:rPr>
              <w:t> </w:t>
            </w:r>
            <w:r>
              <w:rPr>
                <w:spacing w:val="-2"/>
                <w:sz w:val="20"/>
              </w:rPr>
              <w:t>investments</w:t>
            </w:r>
          </w:p>
        </w:tc>
        <w:tc>
          <w:tcPr>
            <w:tcW w:w="790" w:type="dxa"/>
          </w:tcPr>
          <w:p>
            <w:pPr>
              <w:pStyle w:val="TableParagraph"/>
              <w:rPr>
                <w:rFonts w:ascii="Times New Roman"/>
                <w:sz w:val="18"/>
              </w:rPr>
            </w:pPr>
          </w:p>
        </w:tc>
        <w:tc>
          <w:tcPr>
            <w:tcW w:w="1162" w:type="dxa"/>
            <w:tcBorders>
              <w:bottom w:val="single" w:sz="4" w:space="0" w:color="000000"/>
            </w:tcBorders>
          </w:tcPr>
          <w:p>
            <w:pPr>
              <w:pStyle w:val="TableParagraph"/>
              <w:spacing w:before="50"/>
              <w:ind w:right="103"/>
              <w:jc w:val="right"/>
              <w:rPr>
                <w:sz w:val="20"/>
              </w:rPr>
            </w:pPr>
            <w:r>
              <w:rPr>
                <w:spacing w:val="-2"/>
                <w:sz w:val="20"/>
              </w:rPr>
              <w:t>(30,099)</w:t>
            </w:r>
          </w:p>
        </w:tc>
        <w:tc>
          <w:tcPr>
            <w:tcW w:w="1208" w:type="dxa"/>
            <w:tcBorders>
              <w:bottom w:val="single" w:sz="4" w:space="0" w:color="000000"/>
            </w:tcBorders>
            <w:shd w:val="clear" w:color="auto" w:fill="DDEBF6"/>
          </w:tcPr>
          <w:p>
            <w:pPr>
              <w:pStyle w:val="TableParagraph"/>
              <w:spacing w:before="50"/>
              <w:ind w:right="106"/>
              <w:jc w:val="right"/>
              <w:rPr>
                <w:b/>
                <w:sz w:val="20"/>
              </w:rPr>
            </w:pPr>
            <w:r>
              <w:rPr>
                <w:b/>
                <w:spacing w:val="-2"/>
                <w:sz w:val="20"/>
              </w:rPr>
              <w:t>8,748</w:t>
            </w:r>
          </w:p>
        </w:tc>
        <w:tc>
          <w:tcPr>
            <w:tcW w:w="1170" w:type="dxa"/>
            <w:tcBorders>
              <w:bottom w:val="single" w:sz="4" w:space="0" w:color="000000"/>
            </w:tcBorders>
          </w:tcPr>
          <w:p>
            <w:pPr>
              <w:pStyle w:val="TableParagraph"/>
              <w:spacing w:before="50"/>
              <w:ind w:right="114"/>
              <w:jc w:val="right"/>
              <w:rPr>
                <w:sz w:val="20"/>
              </w:rPr>
            </w:pPr>
            <w:r>
              <w:rPr>
                <w:spacing w:val="-2"/>
                <w:sz w:val="20"/>
              </w:rPr>
              <w:t>(6,635)</w:t>
            </w:r>
          </w:p>
        </w:tc>
        <w:tc>
          <w:tcPr>
            <w:tcW w:w="1162" w:type="dxa"/>
            <w:tcBorders>
              <w:bottom w:val="single" w:sz="4" w:space="0" w:color="000000"/>
            </w:tcBorders>
          </w:tcPr>
          <w:p>
            <w:pPr>
              <w:pStyle w:val="TableParagraph"/>
              <w:spacing w:before="50"/>
              <w:ind w:right="113"/>
              <w:jc w:val="right"/>
              <w:rPr>
                <w:sz w:val="20"/>
              </w:rPr>
            </w:pPr>
            <w:r>
              <w:rPr>
                <w:spacing w:val="-2"/>
                <w:sz w:val="20"/>
              </w:rPr>
              <w:t>3,172</w:t>
            </w:r>
          </w:p>
        </w:tc>
        <w:tc>
          <w:tcPr>
            <w:tcW w:w="1154" w:type="dxa"/>
            <w:tcBorders>
              <w:bottom w:val="single" w:sz="4" w:space="0" w:color="000000"/>
              <w:right w:val="single" w:sz="4" w:space="0" w:color="000000"/>
            </w:tcBorders>
          </w:tcPr>
          <w:p>
            <w:pPr>
              <w:pStyle w:val="TableParagraph"/>
              <w:spacing w:before="50"/>
              <w:ind w:right="100"/>
              <w:jc w:val="right"/>
              <w:rPr>
                <w:sz w:val="20"/>
              </w:rPr>
            </w:pPr>
            <w:r>
              <w:rPr>
                <w:spacing w:val="-2"/>
                <w:sz w:val="20"/>
              </w:rPr>
              <w:t>1,840</w:t>
            </w:r>
          </w:p>
        </w:tc>
      </w:tr>
      <w:tr>
        <w:trPr>
          <w:trHeight w:val="228" w:hRule="atLeast"/>
        </w:trPr>
        <w:tc>
          <w:tcPr>
            <w:tcW w:w="4116" w:type="dxa"/>
            <w:tcBorders>
              <w:left w:val="single" w:sz="4" w:space="0" w:color="000000"/>
            </w:tcBorders>
          </w:tcPr>
          <w:p>
            <w:pPr>
              <w:pStyle w:val="TableParagraph"/>
              <w:spacing w:line="208" w:lineRule="exact"/>
              <w:ind w:left="110"/>
              <w:rPr>
                <w:sz w:val="20"/>
              </w:rPr>
            </w:pPr>
            <w:r>
              <w:rPr>
                <w:sz w:val="20"/>
              </w:rPr>
              <w:t>Net</w:t>
            </w:r>
            <w:r>
              <w:rPr>
                <w:spacing w:val="-5"/>
                <w:sz w:val="20"/>
              </w:rPr>
              <w:t> </w:t>
            </w:r>
            <w:r>
              <w:rPr>
                <w:sz w:val="20"/>
              </w:rPr>
              <w:t>cash</w:t>
            </w:r>
            <w:r>
              <w:rPr>
                <w:spacing w:val="-6"/>
                <w:sz w:val="20"/>
              </w:rPr>
              <w:t> </w:t>
            </w:r>
            <w:r>
              <w:rPr>
                <w:sz w:val="20"/>
              </w:rPr>
              <w:t>provided</w:t>
            </w:r>
            <w:r>
              <w:rPr>
                <w:spacing w:val="-6"/>
                <w:sz w:val="20"/>
              </w:rPr>
              <w:t> </w:t>
            </w:r>
            <w:r>
              <w:rPr>
                <w:sz w:val="20"/>
              </w:rPr>
              <w:t>by/</w:t>
            </w:r>
            <w:r>
              <w:rPr>
                <w:spacing w:val="-5"/>
                <w:sz w:val="20"/>
              </w:rPr>
              <w:t> </w:t>
            </w:r>
            <w:r>
              <w:rPr>
                <w:sz w:val="20"/>
              </w:rPr>
              <w:t>(used</w:t>
            </w:r>
            <w:r>
              <w:rPr>
                <w:spacing w:val="-5"/>
                <w:sz w:val="20"/>
              </w:rPr>
              <w:t> </w:t>
            </w:r>
            <w:r>
              <w:rPr>
                <w:sz w:val="20"/>
              </w:rPr>
              <w:t>in)</w:t>
            </w:r>
            <w:r>
              <w:rPr>
                <w:spacing w:val="-1"/>
                <w:sz w:val="20"/>
              </w:rPr>
              <w:t> </w:t>
            </w:r>
            <w:r>
              <w:rPr>
                <w:spacing w:val="-2"/>
                <w:sz w:val="20"/>
              </w:rPr>
              <w:t>investing</w:t>
            </w:r>
          </w:p>
        </w:tc>
        <w:tc>
          <w:tcPr>
            <w:tcW w:w="790" w:type="dxa"/>
          </w:tcPr>
          <w:p>
            <w:pPr>
              <w:pStyle w:val="TableParagraph"/>
              <w:spacing w:line="94" w:lineRule="exact" w:before="114"/>
              <w:ind w:left="114" w:right="88"/>
              <w:jc w:val="center"/>
              <w:rPr>
                <w:sz w:val="20"/>
              </w:rPr>
            </w:pPr>
            <w:r>
              <w:rPr>
                <w:spacing w:val="-2"/>
                <w:sz w:val="20"/>
              </w:rPr>
              <w:t>4.4.2</w:t>
            </w:r>
          </w:p>
        </w:tc>
        <w:tc>
          <w:tcPr>
            <w:tcW w:w="1162" w:type="dxa"/>
            <w:vMerge w:val="restart"/>
            <w:tcBorders>
              <w:top w:val="single" w:sz="4" w:space="0" w:color="000000"/>
              <w:bottom w:val="single" w:sz="4" w:space="0" w:color="000000"/>
            </w:tcBorders>
          </w:tcPr>
          <w:p>
            <w:pPr>
              <w:pStyle w:val="TableParagraph"/>
              <w:spacing w:before="114"/>
              <w:ind w:left="314"/>
              <w:rPr>
                <w:sz w:val="20"/>
              </w:rPr>
            </w:pPr>
            <w:r>
              <w:rPr>
                <w:spacing w:val="-2"/>
                <w:sz w:val="20"/>
              </w:rPr>
              <w:t>(68,953)</w:t>
            </w:r>
          </w:p>
        </w:tc>
        <w:tc>
          <w:tcPr>
            <w:tcW w:w="1208" w:type="dxa"/>
            <w:vMerge w:val="restart"/>
            <w:tcBorders>
              <w:top w:val="single" w:sz="4" w:space="0" w:color="000000"/>
              <w:bottom w:val="single" w:sz="4" w:space="0" w:color="000000"/>
            </w:tcBorders>
            <w:shd w:val="clear" w:color="auto" w:fill="DDEBF6"/>
          </w:tcPr>
          <w:p>
            <w:pPr>
              <w:pStyle w:val="TableParagraph"/>
              <w:spacing w:before="114"/>
              <w:ind w:left="356"/>
              <w:rPr>
                <w:b/>
                <w:sz w:val="20"/>
              </w:rPr>
            </w:pPr>
            <w:r>
              <w:rPr>
                <w:b/>
                <w:spacing w:val="-2"/>
                <w:sz w:val="20"/>
              </w:rPr>
              <w:t>(54,848)</w:t>
            </w:r>
          </w:p>
        </w:tc>
        <w:tc>
          <w:tcPr>
            <w:tcW w:w="1170" w:type="dxa"/>
            <w:vMerge w:val="restart"/>
            <w:tcBorders>
              <w:top w:val="single" w:sz="4" w:space="0" w:color="000000"/>
              <w:bottom w:val="single" w:sz="4" w:space="0" w:color="000000"/>
            </w:tcBorders>
          </w:tcPr>
          <w:p>
            <w:pPr>
              <w:pStyle w:val="TableParagraph"/>
              <w:spacing w:before="114"/>
              <w:ind w:left="312"/>
              <w:rPr>
                <w:sz w:val="20"/>
              </w:rPr>
            </w:pPr>
            <w:r>
              <w:rPr>
                <w:spacing w:val="-2"/>
                <w:sz w:val="20"/>
              </w:rPr>
              <w:t>(36,367)</w:t>
            </w:r>
          </w:p>
        </w:tc>
        <w:tc>
          <w:tcPr>
            <w:tcW w:w="1162" w:type="dxa"/>
            <w:vMerge w:val="restart"/>
            <w:tcBorders>
              <w:top w:val="single" w:sz="4" w:space="0" w:color="000000"/>
              <w:bottom w:val="single" w:sz="4" w:space="0" w:color="000000"/>
            </w:tcBorders>
          </w:tcPr>
          <w:p>
            <w:pPr>
              <w:pStyle w:val="TableParagraph"/>
              <w:spacing w:before="114"/>
              <w:ind w:left="304"/>
              <w:rPr>
                <w:sz w:val="20"/>
              </w:rPr>
            </w:pPr>
            <w:r>
              <w:rPr>
                <w:spacing w:val="-2"/>
                <w:sz w:val="20"/>
              </w:rPr>
              <w:t>(49,651)</w:t>
            </w:r>
          </w:p>
        </w:tc>
        <w:tc>
          <w:tcPr>
            <w:tcW w:w="1154" w:type="dxa"/>
            <w:vMerge w:val="restart"/>
            <w:tcBorders>
              <w:top w:val="single" w:sz="4" w:space="0" w:color="000000"/>
              <w:bottom w:val="single" w:sz="4" w:space="0" w:color="000000"/>
              <w:right w:val="single" w:sz="4" w:space="0" w:color="000000"/>
            </w:tcBorders>
          </w:tcPr>
          <w:p>
            <w:pPr>
              <w:pStyle w:val="TableParagraph"/>
              <w:spacing w:before="114"/>
              <w:ind w:left="298"/>
              <w:rPr>
                <w:sz w:val="20"/>
              </w:rPr>
            </w:pPr>
            <w:r>
              <w:rPr>
                <w:spacing w:val="-2"/>
                <w:sz w:val="20"/>
              </w:rPr>
              <w:t>(62,832)</w:t>
            </w:r>
          </w:p>
        </w:tc>
      </w:tr>
      <w:tr>
        <w:trPr>
          <w:trHeight w:val="222" w:hRule="atLeast"/>
        </w:trPr>
        <w:tc>
          <w:tcPr>
            <w:tcW w:w="4116" w:type="dxa"/>
            <w:tcBorders>
              <w:left w:val="single" w:sz="4" w:space="0" w:color="000000"/>
            </w:tcBorders>
          </w:tcPr>
          <w:p>
            <w:pPr>
              <w:pStyle w:val="TableParagraph"/>
              <w:spacing w:line="202" w:lineRule="exact"/>
              <w:ind w:left="110"/>
              <w:rPr>
                <w:sz w:val="20"/>
              </w:rPr>
            </w:pPr>
            <w:r>
              <w:rPr>
                <w:spacing w:val="-2"/>
                <w:sz w:val="20"/>
              </w:rPr>
              <w:t>activities</w:t>
            </w:r>
          </w:p>
        </w:tc>
        <w:tc>
          <w:tcPr>
            <w:tcW w:w="790" w:type="dxa"/>
          </w:tcPr>
          <w:p>
            <w:pPr>
              <w:pStyle w:val="TableParagraph"/>
              <w:rPr>
                <w:rFonts w:ascii="Times New Roman"/>
                <w:sz w:val="14"/>
              </w:rPr>
            </w:pPr>
          </w:p>
        </w:tc>
        <w:tc>
          <w:tcPr>
            <w:tcW w:w="1162" w:type="dxa"/>
            <w:vMerge/>
            <w:tcBorders>
              <w:top w:val="nil"/>
              <w:bottom w:val="single" w:sz="4" w:space="0" w:color="000000"/>
            </w:tcBorders>
          </w:tcPr>
          <w:p>
            <w:pPr>
              <w:rPr>
                <w:sz w:val="2"/>
                <w:szCs w:val="2"/>
              </w:rPr>
            </w:pPr>
          </w:p>
        </w:tc>
        <w:tc>
          <w:tcPr>
            <w:tcW w:w="1208" w:type="dxa"/>
            <w:vMerge/>
            <w:tcBorders>
              <w:top w:val="nil"/>
              <w:bottom w:val="single" w:sz="4" w:space="0" w:color="000000"/>
            </w:tcBorders>
            <w:shd w:val="clear" w:color="auto" w:fill="DDEBF6"/>
          </w:tcPr>
          <w:p>
            <w:pPr>
              <w:rPr>
                <w:sz w:val="2"/>
                <w:szCs w:val="2"/>
              </w:rPr>
            </w:pPr>
          </w:p>
        </w:tc>
        <w:tc>
          <w:tcPr>
            <w:tcW w:w="1170" w:type="dxa"/>
            <w:vMerge/>
            <w:tcBorders>
              <w:top w:val="nil"/>
              <w:bottom w:val="single" w:sz="4" w:space="0" w:color="000000"/>
            </w:tcBorders>
          </w:tcPr>
          <w:p>
            <w:pPr>
              <w:rPr>
                <w:sz w:val="2"/>
                <w:szCs w:val="2"/>
              </w:rPr>
            </w:pPr>
          </w:p>
        </w:tc>
        <w:tc>
          <w:tcPr>
            <w:tcW w:w="1162" w:type="dxa"/>
            <w:vMerge/>
            <w:tcBorders>
              <w:top w:val="nil"/>
              <w:bottom w:val="single" w:sz="4" w:space="0" w:color="000000"/>
            </w:tcBorders>
          </w:tcPr>
          <w:p>
            <w:pPr>
              <w:rPr>
                <w:sz w:val="2"/>
                <w:szCs w:val="2"/>
              </w:rPr>
            </w:pPr>
          </w:p>
        </w:tc>
        <w:tc>
          <w:tcPr>
            <w:tcW w:w="1154" w:type="dxa"/>
            <w:vMerge/>
            <w:tcBorders>
              <w:top w:val="nil"/>
              <w:bottom w:val="single" w:sz="4" w:space="0" w:color="000000"/>
              <w:right w:val="single" w:sz="4" w:space="0" w:color="000000"/>
            </w:tcBorders>
          </w:tcPr>
          <w:p>
            <w:pPr>
              <w:rPr>
                <w:sz w:val="2"/>
                <w:szCs w:val="2"/>
              </w:rPr>
            </w:pPr>
          </w:p>
        </w:tc>
      </w:tr>
      <w:tr>
        <w:trPr>
          <w:trHeight w:val="531" w:hRule="atLeast"/>
        </w:trPr>
        <w:tc>
          <w:tcPr>
            <w:tcW w:w="4116" w:type="dxa"/>
            <w:tcBorders>
              <w:left w:val="single" w:sz="4" w:space="0" w:color="000000"/>
            </w:tcBorders>
          </w:tcPr>
          <w:p>
            <w:pPr>
              <w:pStyle w:val="TableParagraph"/>
              <w:spacing w:before="10"/>
              <w:rPr>
                <w:i/>
                <w:sz w:val="23"/>
              </w:rPr>
            </w:pPr>
          </w:p>
          <w:p>
            <w:pPr>
              <w:pStyle w:val="TableParagraph"/>
              <w:spacing w:before="1"/>
              <w:ind w:left="110"/>
              <w:rPr>
                <w:b/>
                <w:sz w:val="20"/>
              </w:rPr>
            </w:pPr>
            <w:r>
              <w:rPr>
                <w:b/>
                <w:sz w:val="20"/>
              </w:rPr>
              <w:t>Cash</w:t>
            </w:r>
            <w:r>
              <w:rPr>
                <w:b/>
                <w:spacing w:val="-6"/>
                <w:sz w:val="20"/>
              </w:rPr>
              <w:t> </w:t>
            </w:r>
            <w:r>
              <w:rPr>
                <w:b/>
                <w:sz w:val="20"/>
              </w:rPr>
              <w:t>flows</w:t>
            </w:r>
            <w:r>
              <w:rPr>
                <w:b/>
                <w:spacing w:val="-6"/>
                <w:sz w:val="20"/>
              </w:rPr>
              <w:t> </w:t>
            </w:r>
            <w:r>
              <w:rPr>
                <w:b/>
                <w:sz w:val="20"/>
              </w:rPr>
              <w:t>from</w:t>
            </w:r>
            <w:r>
              <w:rPr>
                <w:b/>
                <w:spacing w:val="-6"/>
                <w:sz w:val="20"/>
              </w:rPr>
              <w:t> </w:t>
            </w:r>
            <w:r>
              <w:rPr>
                <w:b/>
                <w:sz w:val="20"/>
              </w:rPr>
              <w:t>financing</w:t>
            </w:r>
            <w:r>
              <w:rPr>
                <w:b/>
                <w:spacing w:val="-6"/>
                <w:sz w:val="20"/>
              </w:rPr>
              <w:t> </w:t>
            </w:r>
            <w:r>
              <w:rPr>
                <w:b/>
                <w:spacing w:val="-2"/>
                <w:sz w:val="20"/>
              </w:rPr>
              <w:t>activities</w:t>
            </w:r>
          </w:p>
        </w:tc>
        <w:tc>
          <w:tcPr>
            <w:tcW w:w="790" w:type="dxa"/>
          </w:tcPr>
          <w:p>
            <w:pPr>
              <w:pStyle w:val="TableParagraph"/>
              <w:rPr>
                <w:rFonts w:ascii="Times New Roman"/>
                <w:sz w:val="18"/>
              </w:rPr>
            </w:pPr>
          </w:p>
        </w:tc>
        <w:tc>
          <w:tcPr>
            <w:tcW w:w="1162" w:type="dxa"/>
            <w:tcBorders>
              <w:top w:val="single" w:sz="4" w:space="0" w:color="000000"/>
            </w:tcBorders>
          </w:tcPr>
          <w:p>
            <w:pPr>
              <w:pStyle w:val="TableParagraph"/>
              <w:rPr>
                <w:rFonts w:ascii="Times New Roman"/>
                <w:sz w:val="18"/>
              </w:rPr>
            </w:pPr>
          </w:p>
        </w:tc>
        <w:tc>
          <w:tcPr>
            <w:tcW w:w="1208" w:type="dxa"/>
            <w:tcBorders>
              <w:top w:val="single" w:sz="4" w:space="0" w:color="000000"/>
            </w:tcBorders>
            <w:shd w:val="clear" w:color="auto" w:fill="DDEBF6"/>
          </w:tcPr>
          <w:p>
            <w:pPr>
              <w:pStyle w:val="TableParagraph"/>
              <w:rPr>
                <w:rFonts w:ascii="Times New Roman"/>
                <w:sz w:val="18"/>
              </w:rPr>
            </w:pPr>
          </w:p>
        </w:tc>
        <w:tc>
          <w:tcPr>
            <w:tcW w:w="3486" w:type="dxa"/>
            <w:gridSpan w:val="3"/>
            <w:tcBorders>
              <w:top w:val="single" w:sz="4" w:space="0" w:color="000000"/>
              <w:right w:val="single" w:sz="4" w:space="0" w:color="000000"/>
            </w:tcBorders>
          </w:tcPr>
          <w:p>
            <w:pPr>
              <w:pStyle w:val="TableParagraph"/>
              <w:rPr>
                <w:rFonts w:ascii="Times New Roman"/>
                <w:sz w:val="18"/>
              </w:rPr>
            </w:pPr>
          </w:p>
        </w:tc>
      </w:tr>
      <w:tr>
        <w:trPr>
          <w:trHeight w:val="286" w:hRule="atLeast"/>
        </w:trPr>
        <w:tc>
          <w:tcPr>
            <w:tcW w:w="4116" w:type="dxa"/>
            <w:tcBorders>
              <w:left w:val="single" w:sz="4" w:space="0" w:color="000000"/>
            </w:tcBorders>
          </w:tcPr>
          <w:p>
            <w:pPr>
              <w:pStyle w:val="TableParagraph"/>
              <w:spacing w:before="19"/>
              <w:ind w:left="110"/>
              <w:rPr>
                <w:sz w:val="20"/>
              </w:rPr>
            </w:pPr>
            <w:r>
              <w:rPr>
                <w:sz w:val="20"/>
              </w:rPr>
              <w:t>Finance</w:t>
            </w:r>
            <w:r>
              <w:rPr>
                <w:spacing w:val="-10"/>
                <w:sz w:val="20"/>
              </w:rPr>
              <w:t> </w:t>
            </w:r>
            <w:r>
              <w:rPr>
                <w:spacing w:val="-2"/>
                <w:sz w:val="20"/>
              </w:rPr>
              <w:t>costs</w:t>
            </w:r>
          </w:p>
        </w:tc>
        <w:tc>
          <w:tcPr>
            <w:tcW w:w="790" w:type="dxa"/>
          </w:tcPr>
          <w:p>
            <w:pPr>
              <w:pStyle w:val="TableParagraph"/>
              <w:rPr>
                <w:rFonts w:ascii="Times New Roman"/>
                <w:sz w:val="18"/>
              </w:rPr>
            </w:pPr>
          </w:p>
        </w:tc>
        <w:tc>
          <w:tcPr>
            <w:tcW w:w="1162" w:type="dxa"/>
          </w:tcPr>
          <w:p>
            <w:pPr>
              <w:pStyle w:val="TableParagraph"/>
              <w:spacing w:line="226" w:lineRule="exact" w:before="41"/>
              <w:ind w:right="106"/>
              <w:jc w:val="right"/>
              <w:rPr>
                <w:sz w:val="20"/>
              </w:rPr>
            </w:pPr>
            <w:r>
              <w:rPr>
                <w:spacing w:val="-2"/>
                <w:sz w:val="20"/>
              </w:rPr>
              <w:t>(914)</w:t>
            </w:r>
          </w:p>
        </w:tc>
        <w:tc>
          <w:tcPr>
            <w:tcW w:w="1208" w:type="dxa"/>
            <w:shd w:val="clear" w:color="auto" w:fill="DDEBF6"/>
          </w:tcPr>
          <w:p>
            <w:pPr>
              <w:pStyle w:val="TableParagraph"/>
              <w:spacing w:line="226" w:lineRule="exact" w:before="41"/>
              <w:ind w:right="109"/>
              <w:jc w:val="right"/>
              <w:rPr>
                <w:b/>
                <w:sz w:val="20"/>
              </w:rPr>
            </w:pPr>
            <w:r>
              <w:rPr>
                <w:b/>
                <w:spacing w:val="-2"/>
                <w:sz w:val="20"/>
              </w:rPr>
              <w:t>(788)</w:t>
            </w:r>
          </w:p>
        </w:tc>
        <w:tc>
          <w:tcPr>
            <w:tcW w:w="1170" w:type="dxa"/>
          </w:tcPr>
          <w:p>
            <w:pPr>
              <w:pStyle w:val="TableParagraph"/>
              <w:spacing w:line="226" w:lineRule="exact" w:before="41"/>
              <w:ind w:right="114"/>
              <w:jc w:val="right"/>
              <w:rPr>
                <w:sz w:val="20"/>
              </w:rPr>
            </w:pPr>
            <w:r>
              <w:rPr>
                <w:spacing w:val="-2"/>
                <w:sz w:val="20"/>
              </w:rPr>
              <w:t>(1,256)</w:t>
            </w:r>
          </w:p>
        </w:tc>
        <w:tc>
          <w:tcPr>
            <w:tcW w:w="1162" w:type="dxa"/>
          </w:tcPr>
          <w:p>
            <w:pPr>
              <w:pStyle w:val="TableParagraph"/>
              <w:spacing w:line="226" w:lineRule="exact" w:before="41"/>
              <w:ind w:right="115"/>
              <w:jc w:val="right"/>
              <w:rPr>
                <w:sz w:val="20"/>
              </w:rPr>
            </w:pPr>
            <w:r>
              <w:rPr>
                <w:spacing w:val="-2"/>
                <w:sz w:val="20"/>
              </w:rPr>
              <w:t>(1,089)</w:t>
            </w:r>
          </w:p>
        </w:tc>
        <w:tc>
          <w:tcPr>
            <w:tcW w:w="1154" w:type="dxa"/>
            <w:tcBorders>
              <w:right w:val="single" w:sz="4" w:space="0" w:color="000000"/>
            </w:tcBorders>
          </w:tcPr>
          <w:p>
            <w:pPr>
              <w:pStyle w:val="TableParagraph"/>
              <w:spacing w:line="226" w:lineRule="exact" w:before="41"/>
              <w:ind w:right="103"/>
              <w:jc w:val="right"/>
              <w:rPr>
                <w:sz w:val="20"/>
              </w:rPr>
            </w:pPr>
            <w:r>
              <w:rPr>
                <w:spacing w:val="-2"/>
                <w:sz w:val="20"/>
              </w:rPr>
              <w:t>(913)</w:t>
            </w:r>
          </w:p>
        </w:tc>
      </w:tr>
      <w:tr>
        <w:trPr>
          <w:trHeight w:val="275" w:hRule="atLeast"/>
        </w:trPr>
        <w:tc>
          <w:tcPr>
            <w:tcW w:w="4116" w:type="dxa"/>
            <w:tcBorders>
              <w:left w:val="single" w:sz="4" w:space="0" w:color="000000"/>
            </w:tcBorders>
          </w:tcPr>
          <w:p>
            <w:pPr>
              <w:pStyle w:val="TableParagraph"/>
              <w:spacing w:before="8"/>
              <w:ind w:left="110"/>
              <w:rPr>
                <w:sz w:val="20"/>
              </w:rPr>
            </w:pPr>
            <w:r>
              <w:rPr>
                <w:sz w:val="20"/>
              </w:rPr>
              <w:t>Proceeds</w:t>
            </w:r>
            <w:r>
              <w:rPr>
                <w:spacing w:val="-7"/>
                <w:sz w:val="20"/>
              </w:rPr>
              <w:t> </w:t>
            </w:r>
            <w:r>
              <w:rPr>
                <w:sz w:val="20"/>
              </w:rPr>
              <w:t>from</w:t>
            </w:r>
            <w:r>
              <w:rPr>
                <w:spacing w:val="-8"/>
                <w:sz w:val="20"/>
              </w:rPr>
              <w:t> </w:t>
            </w:r>
            <w:r>
              <w:rPr>
                <w:spacing w:val="-2"/>
                <w:sz w:val="20"/>
              </w:rPr>
              <w:t>borrowings</w:t>
            </w:r>
          </w:p>
        </w:tc>
        <w:tc>
          <w:tcPr>
            <w:tcW w:w="790" w:type="dxa"/>
          </w:tcPr>
          <w:p>
            <w:pPr>
              <w:pStyle w:val="TableParagraph"/>
              <w:rPr>
                <w:rFonts w:ascii="Times New Roman"/>
                <w:sz w:val="18"/>
              </w:rPr>
            </w:pPr>
          </w:p>
        </w:tc>
        <w:tc>
          <w:tcPr>
            <w:tcW w:w="1162" w:type="dxa"/>
          </w:tcPr>
          <w:p>
            <w:pPr>
              <w:pStyle w:val="TableParagraph"/>
              <w:spacing w:line="226" w:lineRule="exact" w:before="30"/>
              <w:ind w:right="102"/>
              <w:jc w:val="right"/>
              <w:rPr>
                <w:sz w:val="20"/>
              </w:rPr>
            </w:pPr>
            <w:r>
              <w:rPr>
                <w:w w:val="99"/>
                <w:sz w:val="20"/>
              </w:rPr>
              <w:t>-</w:t>
            </w:r>
          </w:p>
        </w:tc>
        <w:tc>
          <w:tcPr>
            <w:tcW w:w="1208" w:type="dxa"/>
            <w:shd w:val="clear" w:color="auto" w:fill="DDEBF6"/>
          </w:tcPr>
          <w:p>
            <w:pPr>
              <w:pStyle w:val="TableParagraph"/>
              <w:spacing w:line="226" w:lineRule="exact" w:before="30"/>
              <w:ind w:right="106"/>
              <w:jc w:val="right"/>
              <w:rPr>
                <w:b/>
                <w:sz w:val="20"/>
              </w:rPr>
            </w:pPr>
            <w:r>
              <w:rPr>
                <w:b/>
                <w:w w:val="99"/>
                <w:sz w:val="20"/>
              </w:rPr>
              <w:t>-</w:t>
            </w:r>
          </w:p>
        </w:tc>
        <w:tc>
          <w:tcPr>
            <w:tcW w:w="1170" w:type="dxa"/>
          </w:tcPr>
          <w:p>
            <w:pPr>
              <w:pStyle w:val="TableParagraph"/>
              <w:spacing w:line="226" w:lineRule="exact" w:before="30"/>
              <w:ind w:right="113"/>
              <w:jc w:val="right"/>
              <w:rPr>
                <w:sz w:val="20"/>
              </w:rPr>
            </w:pPr>
            <w:r>
              <w:rPr>
                <w:spacing w:val="-2"/>
                <w:sz w:val="20"/>
              </w:rPr>
              <w:t>15,000</w:t>
            </w:r>
          </w:p>
        </w:tc>
        <w:tc>
          <w:tcPr>
            <w:tcW w:w="1162" w:type="dxa"/>
          </w:tcPr>
          <w:p>
            <w:pPr>
              <w:pStyle w:val="TableParagraph"/>
              <w:spacing w:line="226" w:lineRule="exact" w:before="30"/>
              <w:ind w:right="112"/>
              <w:jc w:val="right"/>
              <w:rPr>
                <w:sz w:val="20"/>
              </w:rPr>
            </w:pPr>
            <w:r>
              <w:rPr>
                <w:w w:val="99"/>
                <w:sz w:val="20"/>
              </w:rPr>
              <w:t>-</w:t>
            </w:r>
          </w:p>
        </w:tc>
        <w:tc>
          <w:tcPr>
            <w:tcW w:w="1154" w:type="dxa"/>
            <w:tcBorders>
              <w:right w:val="single" w:sz="4" w:space="0" w:color="000000"/>
            </w:tcBorders>
          </w:tcPr>
          <w:p>
            <w:pPr>
              <w:pStyle w:val="TableParagraph"/>
              <w:spacing w:line="226" w:lineRule="exact" w:before="30"/>
              <w:ind w:right="99"/>
              <w:jc w:val="right"/>
              <w:rPr>
                <w:sz w:val="20"/>
              </w:rPr>
            </w:pPr>
            <w:r>
              <w:rPr>
                <w:w w:val="99"/>
                <w:sz w:val="20"/>
              </w:rPr>
              <w:t>-</w:t>
            </w:r>
          </w:p>
        </w:tc>
      </w:tr>
      <w:tr>
        <w:trPr>
          <w:trHeight w:val="275" w:hRule="atLeast"/>
        </w:trPr>
        <w:tc>
          <w:tcPr>
            <w:tcW w:w="4116" w:type="dxa"/>
            <w:tcBorders>
              <w:left w:val="single" w:sz="4" w:space="0" w:color="000000"/>
            </w:tcBorders>
          </w:tcPr>
          <w:p>
            <w:pPr>
              <w:pStyle w:val="TableParagraph"/>
              <w:spacing w:before="8"/>
              <w:ind w:left="110"/>
              <w:rPr>
                <w:sz w:val="20"/>
              </w:rPr>
            </w:pPr>
            <w:r>
              <w:rPr>
                <w:sz w:val="20"/>
              </w:rPr>
              <w:t>Repayment</w:t>
            </w:r>
            <w:r>
              <w:rPr>
                <w:spacing w:val="-5"/>
                <w:sz w:val="20"/>
              </w:rPr>
              <w:t> </w:t>
            </w:r>
            <w:r>
              <w:rPr>
                <w:sz w:val="20"/>
              </w:rPr>
              <w:t>of</w:t>
            </w:r>
            <w:r>
              <w:rPr>
                <w:spacing w:val="-7"/>
                <w:sz w:val="20"/>
              </w:rPr>
              <w:t> </w:t>
            </w:r>
            <w:r>
              <w:rPr>
                <w:spacing w:val="-2"/>
                <w:sz w:val="20"/>
              </w:rPr>
              <w:t>borrowings</w:t>
            </w:r>
          </w:p>
        </w:tc>
        <w:tc>
          <w:tcPr>
            <w:tcW w:w="790" w:type="dxa"/>
          </w:tcPr>
          <w:p>
            <w:pPr>
              <w:pStyle w:val="TableParagraph"/>
              <w:rPr>
                <w:rFonts w:ascii="Times New Roman"/>
                <w:sz w:val="18"/>
              </w:rPr>
            </w:pPr>
          </w:p>
        </w:tc>
        <w:tc>
          <w:tcPr>
            <w:tcW w:w="1162" w:type="dxa"/>
          </w:tcPr>
          <w:p>
            <w:pPr>
              <w:pStyle w:val="TableParagraph"/>
              <w:spacing w:line="226" w:lineRule="exact" w:before="30"/>
              <w:ind w:right="105"/>
              <w:jc w:val="right"/>
              <w:rPr>
                <w:sz w:val="20"/>
              </w:rPr>
            </w:pPr>
            <w:r>
              <w:rPr>
                <w:spacing w:val="-2"/>
                <w:sz w:val="20"/>
              </w:rPr>
              <w:t>(2,836)</w:t>
            </w:r>
          </w:p>
        </w:tc>
        <w:tc>
          <w:tcPr>
            <w:tcW w:w="1208" w:type="dxa"/>
            <w:shd w:val="clear" w:color="auto" w:fill="DDEBF6"/>
          </w:tcPr>
          <w:p>
            <w:pPr>
              <w:pStyle w:val="TableParagraph"/>
              <w:spacing w:line="226" w:lineRule="exact" w:before="30"/>
              <w:ind w:right="108"/>
              <w:jc w:val="right"/>
              <w:rPr>
                <w:b/>
                <w:sz w:val="20"/>
              </w:rPr>
            </w:pPr>
            <w:r>
              <w:rPr>
                <w:b/>
                <w:spacing w:val="-2"/>
                <w:sz w:val="20"/>
              </w:rPr>
              <w:t>(2,962)</w:t>
            </w:r>
          </w:p>
        </w:tc>
        <w:tc>
          <w:tcPr>
            <w:tcW w:w="1170" w:type="dxa"/>
          </w:tcPr>
          <w:p>
            <w:pPr>
              <w:pStyle w:val="TableParagraph"/>
              <w:spacing w:line="226" w:lineRule="exact" w:before="30"/>
              <w:ind w:right="114"/>
              <w:jc w:val="right"/>
              <w:rPr>
                <w:sz w:val="20"/>
              </w:rPr>
            </w:pPr>
            <w:r>
              <w:rPr>
                <w:spacing w:val="-2"/>
                <w:sz w:val="20"/>
              </w:rPr>
              <w:t>(3,843)</w:t>
            </w:r>
          </w:p>
        </w:tc>
        <w:tc>
          <w:tcPr>
            <w:tcW w:w="1162" w:type="dxa"/>
          </w:tcPr>
          <w:p>
            <w:pPr>
              <w:pStyle w:val="TableParagraph"/>
              <w:spacing w:line="226" w:lineRule="exact" w:before="30"/>
              <w:ind w:right="115"/>
              <w:jc w:val="right"/>
              <w:rPr>
                <w:sz w:val="20"/>
              </w:rPr>
            </w:pPr>
            <w:r>
              <w:rPr>
                <w:spacing w:val="-2"/>
                <w:sz w:val="20"/>
              </w:rPr>
              <w:t>(4,011)</w:t>
            </w:r>
          </w:p>
        </w:tc>
        <w:tc>
          <w:tcPr>
            <w:tcW w:w="1154" w:type="dxa"/>
            <w:tcBorders>
              <w:right w:val="single" w:sz="4" w:space="0" w:color="000000"/>
            </w:tcBorders>
          </w:tcPr>
          <w:p>
            <w:pPr>
              <w:pStyle w:val="TableParagraph"/>
              <w:spacing w:line="226" w:lineRule="exact" w:before="30"/>
              <w:ind w:right="102"/>
              <w:jc w:val="right"/>
              <w:rPr>
                <w:sz w:val="20"/>
              </w:rPr>
            </w:pPr>
            <w:r>
              <w:rPr>
                <w:spacing w:val="-2"/>
                <w:sz w:val="20"/>
              </w:rPr>
              <w:t>(4,186)</w:t>
            </w:r>
          </w:p>
        </w:tc>
      </w:tr>
      <w:tr>
        <w:trPr>
          <w:trHeight w:val="276" w:hRule="atLeast"/>
        </w:trPr>
        <w:tc>
          <w:tcPr>
            <w:tcW w:w="4116" w:type="dxa"/>
            <w:tcBorders>
              <w:left w:val="single" w:sz="4" w:space="0" w:color="000000"/>
            </w:tcBorders>
          </w:tcPr>
          <w:p>
            <w:pPr>
              <w:pStyle w:val="TableParagraph"/>
              <w:spacing w:before="8"/>
              <w:ind w:left="110"/>
              <w:rPr>
                <w:sz w:val="20"/>
              </w:rPr>
            </w:pPr>
            <w:r>
              <w:rPr>
                <w:sz w:val="20"/>
              </w:rPr>
              <w:t>Interest</w:t>
            </w:r>
            <w:r>
              <w:rPr>
                <w:spacing w:val="-6"/>
                <w:sz w:val="20"/>
              </w:rPr>
              <w:t> </w:t>
            </w:r>
            <w:r>
              <w:rPr>
                <w:sz w:val="20"/>
              </w:rPr>
              <w:t>paid</w:t>
            </w:r>
            <w:r>
              <w:rPr>
                <w:spacing w:val="-5"/>
                <w:sz w:val="20"/>
              </w:rPr>
              <w:t> </w:t>
            </w:r>
            <w:r>
              <w:rPr>
                <w:sz w:val="20"/>
              </w:rPr>
              <w:t>-</w:t>
            </w:r>
            <w:r>
              <w:rPr>
                <w:spacing w:val="-2"/>
                <w:sz w:val="20"/>
              </w:rPr>
              <w:t> </w:t>
            </w:r>
            <w:r>
              <w:rPr>
                <w:sz w:val="20"/>
              </w:rPr>
              <w:t>lease</w:t>
            </w:r>
            <w:r>
              <w:rPr>
                <w:spacing w:val="-3"/>
                <w:sz w:val="20"/>
              </w:rPr>
              <w:t> </w:t>
            </w:r>
            <w:r>
              <w:rPr>
                <w:spacing w:val="-2"/>
                <w:sz w:val="20"/>
              </w:rPr>
              <w:t>liability</w:t>
            </w:r>
          </w:p>
        </w:tc>
        <w:tc>
          <w:tcPr>
            <w:tcW w:w="790" w:type="dxa"/>
          </w:tcPr>
          <w:p>
            <w:pPr>
              <w:pStyle w:val="TableParagraph"/>
              <w:rPr>
                <w:rFonts w:ascii="Times New Roman"/>
                <w:sz w:val="18"/>
              </w:rPr>
            </w:pPr>
          </w:p>
        </w:tc>
        <w:tc>
          <w:tcPr>
            <w:tcW w:w="1162" w:type="dxa"/>
          </w:tcPr>
          <w:p>
            <w:pPr>
              <w:pStyle w:val="TableParagraph"/>
              <w:spacing w:line="226" w:lineRule="exact" w:before="30"/>
              <w:ind w:right="106"/>
              <w:jc w:val="right"/>
              <w:rPr>
                <w:sz w:val="20"/>
              </w:rPr>
            </w:pPr>
            <w:r>
              <w:rPr>
                <w:spacing w:val="-2"/>
                <w:sz w:val="20"/>
              </w:rPr>
              <w:t>(218)</w:t>
            </w:r>
          </w:p>
        </w:tc>
        <w:tc>
          <w:tcPr>
            <w:tcW w:w="1208" w:type="dxa"/>
            <w:shd w:val="clear" w:color="auto" w:fill="DDEBF6"/>
          </w:tcPr>
          <w:p>
            <w:pPr>
              <w:pStyle w:val="TableParagraph"/>
              <w:spacing w:line="226" w:lineRule="exact" w:before="30"/>
              <w:ind w:right="109"/>
              <w:jc w:val="right"/>
              <w:rPr>
                <w:b/>
                <w:sz w:val="20"/>
              </w:rPr>
            </w:pPr>
            <w:r>
              <w:rPr>
                <w:b/>
                <w:spacing w:val="-2"/>
                <w:sz w:val="20"/>
              </w:rPr>
              <w:t>(182)</w:t>
            </w:r>
          </w:p>
        </w:tc>
        <w:tc>
          <w:tcPr>
            <w:tcW w:w="1170" w:type="dxa"/>
          </w:tcPr>
          <w:p>
            <w:pPr>
              <w:pStyle w:val="TableParagraph"/>
              <w:spacing w:line="226" w:lineRule="exact" w:before="30"/>
              <w:ind w:right="115"/>
              <w:jc w:val="right"/>
              <w:rPr>
                <w:sz w:val="20"/>
              </w:rPr>
            </w:pPr>
            <w:r>
              <w:rPr>
                <w:spacing w:val="-2"/>
                <w:sz w:val="20"/>
              </w:rPr>
              <w:t>(175)</w:t>
            </w:r>
          </w:p>
        </w:tc>
        <w:tc>
          <w:tcPr>
            <w:tcW w:w="1162" w:type="dxa"/>
          </w:tcPr>
          <w:p>
            <w:pPr>
              <w:pStyle w:val="TableParagraph"/>
              <w:spacing w:line="226" w:lineRule="exact" w:before="30"/>
              <w:ind w:right="115"/>
              <w:jc w:val="right"/>
              <w:rPr>
                <w:sz w:val="20"/>
              </w:rPr>
            </w:pPr>
            <w:r>
              <w:rPr>
                <w:spacing w:val="-2"/>
                <w:sz w:val="20"/>
              </w:rPr>
              <w:t>(220)</w:t>
            </w:r>
          </w:p>
        </w:tc>
        <w:tc>
          <w:tcPr>
            <w:tcW w:w="1154" w:type="dxa"/>
            <w:tcBorders>
              <w:right w:val="single" w:sz="4" w:space="0" w:color="000000"/>
            </w:tcBorders>
          </w:tcPr>
          <w:p>
            <w:pPr>
              <w:pStyle w:val="TableParagraph"/>
              <w:spacing w:line="226" w:lineRule="exact" w:before="30"/>
              <w:ind w:right="103"/>
              <w:jc w:val="right"/>
              <w:rPr>
                <w:sz w:val="20"/>
              </w:rPr>
            </w:pPr>
            <w:r>
              <w:rPr>
                <w:spacing w:val="-2"/>
                <w:sz w:val="20"/>
              </w:rPr>
              <w:t>(169)</w:t>
            </w:r>
          </w:p>
        </w:tc>
      </w:tr>
      <w:tr>
        <w:trPr>
          <w:trHeight w:val="284" w:hRule="atLeast"/>
        </w:trPr>
        <w:tc>
          <w:tcPr>
            <w:tcW w:w="4116" w:type="dxa"/>
            <w:tcBorders>
              <w:left w:val="single" w:sz="4" w:space="0" w:color="000000"/>
            </w:tcBorders>
          </w:tcPr>
          <w:p>
            <w:pPr>
              <w:pStyle w:val="TableParagraph"/>
              <w:spacing w:before="8"/>
              <w:ind w:left="110"/>
              <w:rPr>
                <w:sz w:val="20"/>
              </w:rPr>
            </w:pPr>
            <w:r>
              <w:rPr>
                <w:sz w:val="20"/>
              </w:rPr>
              <w:t>Repayment</w:t>
            </w:r>
            <w:r>
              <w:rPr>
                <w:spacing w:val="-5"/>
                <w:sz w:val="20"/>
              </w:rPr>
              <w:t> </w:t>
            </w:r>
            <w:r>
              <w:rPr>
                <w:sz w:val="20"/>
              </w:rPr>
              <w:t>of</w:t>
            </w:r>
            <w:r>
              <w:rPr>
                <w:spacing w:val="-4"/>
                <w:sz w:val="20"/>
              </w:rPr>
              <w:t> </w:t>
            </w:r>
            <w:r>
              <w:rPr>
                <w:sz w:val="20"/>
              </w:rPr>
              <w:t>lease</w:t>
            </w:r>
            <w:r>
              <w:rPr>
                <w:spacing w:val="-6"/>
                <w:sz w:val="20"/>
              </w:rPr>
              <w:t> </w:t>
            </w:r>
            <w:r>
              <w:rPr>
                <w:spacing w:val="-2"/>
                <w:sz w:val="20"/>
              </w:rPr>
              <w:t>liabilities</w:t>
            </w:r>
          </w:p>
        </w:tc>
        <w:tc>
          <w:tcPr>
            <w:tcW w:w="790" w:type="dxa"/>
          </w:tcPr>
          <w:p>
            <w:pPr>
              <w:pStyle w:val="TableParagraph"/>
              <w:rPr>
                <w:rFonts w:ascii="Times New Roman"/>
                <w:sz w:val="18"/>
              </w:rPr>
            </w:pPr>
          </w:p>
        </w:tc>
        <w:tc>
          <w:tcPr>
            <w:tcW w:w="1162" w:type="dxa"/>
            <w:tcBorders>
              <w:bottom w:val="single" w:sz="4" w:space="0" w:color="000000"/>
            </w:tcBorders>
          </w:tcPr>
          <w:p>
            <w:pPr>
              <w:pStyle w:val="TableParagraph"/>
              <w:spacing w:before="30"/>
              <w:ind w:right="106"/>
              <w:jc w:val="right"/>
              <w:rPr>
                <w:sz w:val="20"/>
              </w:rPr>
            </w:pPr>
            <w:r>
              <w:rPr>
                <w:spacing w:val="-2"/>
                <w:sz w:val="20"/>
              </w:rPr>
              <w:t>(840)</w:t>
            </w:r>
          </w:p>
        </w:tc>
        <w:tc>
          <w:tcPr>
            <w:tcW w:w="1208" w:type="dxa"/>
            <w:tcBorders>
              <w:bottom w:val="single" w:sz="4" w:space="0" w:color="000000"/>
            </w:tcBorders>
            <w:shd w:val="clear" w:color="auto" w:fill="DDEBF6"/>
          </w:tcPr>
          <w:p>
            <w:pPr>
              <w:pStyle w:val="TableParagraph"/>
              <w:spacing w:before="30"/>
              <w:ind w:right="108"/>
              <w:jc w:val="right"/>
              <w:rPr>
                <w:b/>
                <w:sz w:val="20"/>
              </w:rPr>
            </w:pPr>
            <w:r>
              <w:rPr>
                <w:b/>
                <w:spacing w:val="-2"/>
                <w:sz w:val="20"/>
              </w:rPr>
              <w:t>(1,216)</w:t>
            </w:r>
          </w:p>
        </w:tc>
        <w:tc>
          <w:tcPr>
            <w:tcW w:w="1170" w:type="dxa"/>
            <w:tcBorders>
              <w:bottom w:val="single" w:sz="4" w:space="0" w:color="000000"/>
            </w:tcBorders>
          </w:tcPr>
          <w:p>
            <w:pPr>
              <w:pStyle w:val="TableParagraph"/>
              <w:spacing w:before="30"/>
              <w:ind w:right="114"/>
              <w:jc w:val="right"/>
              <w:rPr>
                <w:sz w:val="20"/>
              </w:rPr>
            </w:pPr>
            <w:r>
              <w:rPr>
                <w:spacing w:val="-2"/>
                <w:sz w:val="20"/>
              </w:rPr>
              <w:t>(1,526)</w:t>
            </w:r>
          </w:p>
        </w:tc>
        <w:tc>
          <w:tcPr>
            <w:tcW w:w="1162" w:type="dxa"/>
            <w:tcBorders>
              <w:bottom w:val="single" w:sz="4" w:space="0" w:color="000000"/>
            </w:tcBorders>
          </w:tcPr>
          <w:p>
            <w:pPr>
              <w:pStyle w:val="TableParagraph"/>
              <w:spacing w:before="30"/>
              <w:ind w:right="115"/>
              <w:jc w:val="right"/>
              <w:rPr>
                <w:sz w:val="20"/>
              </w:rPr>
            </w:pPr>
            <w:r>
              <w:rPr>
                <w:spacing w:val="-2"/>
                <w:sz w:val="20"/>
              </w:rPr>
              <w:t>(1,650)</w:t>
            </w:r>
          </w:p>
        </w:tc>
        <w:tc>
          <w:tcPr>
            <w:tcW w:w="1154" w:type="dxa"/>
            <w:tcBorders>
              <w:bottom w:val="single" w:sz="4" w:space="0" w:color="000000"/>
              <w:right w:val="single" w:sz="4" w:space="0" w:color="000000"/>
            </w:tcBorders>
          </w:tcPr>
          <w:p>
            <w:pPr>
              <w:pStyle w:val="TableParagraph"/>
              <w:spacing w:before="30"/>
              <w:ind w:right="102"/>
              <w:jc w:val="right"/>
              <w:rPr>
                <w:sz w:val="20"/>
              </w:rPr>
            </w:pPr>
            <w:r>
              <w:rPr>
                <w:spacing w:val="-2"/>
                <w:sz w:val="20"/>
              </w:rPr>
              <w:t>(1,746)</w:t>
            </w:r>
          </w:p>
        </w:tc>
      </w:tr>
      <w:tr>
        <w:trPr>
          <w:trHeight w:val="228" w:hRule="atLeast"/>
        </w:trPr>
        <w:tc>
          <w:tcPr>
            <w:tcW w:w="4116" w:type="dxa"/>
            <w:tcBorders>
              <w:left w:val="single" w:sz="4" w:space="0" w:color="000000"/>
            </w:tcBorders>
          </w:tcPr>
          <w:p>
            <w:pPr>
              <w:pStyle w:val="TableParagraph"/>
              <w:spacing w:line="208" w:lineRule="exact"/>
              <w:ind w:left="110"/>
              <w:rPr>
                <w:sz w:val="20"/>
              </w:rPr>
            </w:pPr>
            <w:r>
              <w:rPr>
                <w:sz w:val="20"/>
              </w:rPr>
              <w:t>Net</w:t>
            </w:r>
            <w:r>
              <w:rPr>
                <w:spacing w:val="-5"/>
                <w:sz w:val="20"/>
              </w:rPr>
              <w:t> </w:t>
            </w:r>
            <w:r>
              <w:rPr>
                <w:sz w:val="20"/>
              </w:rPr>
              <w:t>cash</w:t>
            </w:r>
            <w:r>
              <w:rPr>
                <w:spacing w:val="-6"/>
                <w:sz w:val="20"/>
              </w:rPr>
              <w:t> </w:t>
            </w:r>
            <w:r>
              <w:rPr>
                <w:sz w:val="20"/>
              </w:rPr>
              <w:t>provided</w:t>
            </w:r>
            <w:r>
              <w:rPr>
                <w:spacing w:val="-6"/>
                <w:sz w:val="20"/>
              </w:rPr>
              <w:t> </w:t>
            </w:r>
            <w:r>
              <w:rPr>
                <w:sz w:val="20"/>
              </w:rPr>
              <w:t>by/</w:t>
            </w:r>
            <w:r>
              <w:rPr>
                <w:spacing w:val="-5"/>
                <w:sz w:val="20"/>
              </w:rPr>
              <w:t> </w:t>
            </w:r>
            <w:r>
              <w:rPr>
                <w:sz w:val="20"/>
              </w:rPr>
              <w:t>(used</w:t>
            </w:r>
            <w:r>
              <w:rPr>
                <w:spacing w:val="-5"/>
                <w:sz w:val="20"/>
              </w:rPr>
              <w:t> </w:t>
            </w:r>
            <w:r>
              <w:rPr>
                <w:sz w:val="20"/>
              </w:rPr>
              <w:t>in)</w:t>
            </w:r>
            <w:r>
              <w:rPr>
                <w:spacing w:val="-3"/>
                <w:sz w:val="20"/>
              </w:rPr>
              <w:t> </w:t>
            </w:r>
            <w:r>
              <w:rPr>
                <w:spacing w:val="-2"/>
                <w:sz w:val="20"/>
              </w:rPr>
              <w:t>financing</w:t>
            </w:r>
          </w:p>
        </w:tc>
        <w:tc>
          <w:tcPr>
            <w:tcW w:w="790" w:type="dxa"/>
          </w:tcPr>
          <w:p>
            <w:pPr>
              <w:pStyle w:val="TableParagraph"/>
              <w:spacing w:line="94" w:lineRule="exact" w:before="114"/>
              <w:ind w:left="114" w:right="88"/>
              <w:jc w:val="center"/>
              <w:rPr>
                <w:sz w:val="20"/>
              </w:rPr>
            </w:pPr>
            <w:r>
              <w:rPr>
                <w:spacing w:val="-2"/>
                <w:sz w:val="20"/>
              </w:rPr>
              <w:t>4.4.3</w:t>
            </w:r>
          </w:p>
        </w:tc>
        <w:tc>
          <w:tcPr>
            <w:tcW w:w="1162" w:type="dxa"/>
            <w:vMerge w:val="restart"/>
            <w:tcBorders>
              <w:top w:val="single" w:sz="4" w:space="0" w:color="000000"/>
              <w:bottom w:val="single" w:sz="4" w:space="0" w:color="000000"/>
            </w:tcBorders>
          </w:tcPr>
          <w:p>
            <w:pPr>
              <w:pStyle w:val="TableParagraph"/>
              <w:spacing w:before="114"/>
              <w:ind w:left="424"/>
              <w:rPr>
                <w:sz w:val="20"/>
              </w:rPr>
            </w:pPr>
            <w:r>
              <w:rPr>
                <w:spacing w:val="-2"/>
                <w:sz w:val="20"/>
              </w:rPr>
              <w:t>(4,808)</w:t>
            </w:r>
          </w:p>
        </w:tc>
        <w:tc>
          <w:tcPr>
            <w:tcW w:w="1208" w:type="dxa"/>
            <w:vMerge w:val="restart"/>
            <w:tcBorders>
              <w:top w:val="single" w:sz="4" w:space="0" w:color="000000"/>
              <w:bottom w:val="single" w:sz="4" w:space="0" w:color="000000"/>
            </w:tcBorders>
            <w:shd w:val="clear" w:color="auto" w:fill="DDEBF6"/>
          </w:tcPr>
          <w:p>
            <w:pPr>
              <w:pStyle w:val="TableParagraph"/>
              <w:spacing w:before="114"/>
              <w:ind w:left="467"/>
              <w:rPr>
                <w:b/>
                <w:sz w:val="20"/>
              </w:rPr>
            </w:pPr>
            <w:r>
              <w:rPr>
                <w:b/>
                <w:spacing w:val="-2"/>
                <w:sz w:val="20"/>
              </w:rPr>
              <w:t>(5,148)</w:t>
            </w:r>
          </w:p>
        </w:tc>
        <w:tc>
          <w:tcPr>
            <w:tcW w:w="1170" w:type="dxa"/>
            <w:vMerge w:val="restart"/>
            <w:tcBorders>
              <w:top w:val="single" w:sz="4" w:space="0" w:color="000000"/>
              <w:bottom w:val="single" w:sz="4" w:space="0" w:color="000000"/>
            </w:tcBorders>
          </w:tcPr>
          <w:p>
            <w:pPr>
              <w:pStyle w:val="TableParagraph"/>
              <w:spacing w:before="114"/>
              <w:ind w:left="555"/>
              <w:rPr>
                <w:sz w:val="20"/>
              </w:rPr>
            </w:pPr>
            <w:r>
              <w:rPr>
                <w:spacing w:val="-2"/>
                <w:sz w:val="20"/>
              </w:rPr>
              <w:t>8,200</w:t>
            </w:r>
          </w:p>
        </w:tc>
        <w:tc>
          <w:tcPr>
            <w:tcW w:w="1162" w:type="dxa"/>
            <w:vMerge w:val="restart"/>
            <w:tcBorders>
              <w:top w:val="single" w:sz="4" w:space="0" w:color="000000"/>
              <w:bottom w:val="single" w:sz="4" w:space="0" w:color="000000"/>
            </w:tcBorders>
          </w:tcPr>
          <w:p>
            <w:pPr>
              <w:pStyle w:val="TableParagraph"/>
              <w:spacing w:before="114"/>
              <w:ind w:left="414"/>
              <w:rPr>
                <w:sz w:val="20"/>
              </w:rPr>
            </w:pPr>
            <w:r>
              <w:rPr>
                <w:spacing w:val="-2"/>
                <w:sz w:val="20"/>
              </w:rPr>
              <w:t>(6,970)</w:t>
            </w:r>
          </w:p>
        </w:tc>
        <w:tc>
          <w:tcPr>
            <w:tcW w:w="1154" w:type="dxa"/>
            <w:vMerge w:val="restart"/>
            <w:tcBorders>
              <w:top w:val="single" w:sz="4" w:space="0" w:color="000000"/>
              <w:bottom w:val="single" w:sz="4" w:space="0" w:color="000000"/>
              <w:right w:val="single" w:sz="4" w:space="0" w:color="000000"/>
            </w:tcBorders>
          </w:tcPr>
          <w:p>
            <w:pPr>
              <w:pStyle w:val="TableParagraph"/>
              <w:spacing w:before="114"/>
              <w:ind w:left="409"/>
              <w:rPr>
                <w:sz w:val="20"/>
              </w:rPr>
            </w:pPr>
            <w:r>
              <w:rPr>
                <w:spacing w:val="-2"/>
                <w:sz w:val="20"/>
              </w:rPr>
              <w:t>(7,014)</w:t>
            </w:r>
          </w:p>
        </w:tc>
      </w:tr>
      <w:tr>
        <w:trPr>
          <w:trHeight w:val="222" w:hRule="atLeast"/>
        </w:trPr>
        <w:tc>
          <w:tcPr>
            <w:tcW w:w="4116" w:type="dxa"/>
            <w:tcBorders>
              <w:left w:val="single" w:sz="4" w:space="0" w:color="000000"/>
            </w:tcBorders>
          </w:tcPr>
          <w:p>
            <w:pPr>
              <w:pStyle w:val="TableParagraph"/>
              <w:spacing w:line="202" w:lineRule="exact"/>
              <w:ind w:left="110"/>
              <w:rPr>
                <w:sz w:val="20"/>
              </w:rPr>
            </w:pPr>
            <w:r>
              <w:rPr>
                <w:spacing w:val="-2"/>
                <w:sz w:val="20"/>
              </w:rPr>
              <w:t>activities</w:t>
            </w:r>
          </w:p>
        </w:tc>
        <w:tc>
          <w:tcPr>
            <w:tcW w:w="790" w:type="dxa"/>
          </w:tcPr>
          <w:p>
            <w:pPr>
              <w:pStyle w:val="TableParagraph"/>
              <w:rPr>
                <w:rFonts w:ascii="Times New Roman"/>
                <w:sz w:val="14"/>
              </w:rPr>
            </w:pPr>
          </w:p>
        </w:tc>
        <w:tc>
          <w:tcPr>
            <w:tcW w:w="1162" w:type="dxa"/>
            <w:vMerge/>
            <w:tcBorders>
              <w:top w:val="nil"/>
              <w:bottom w:val="single" w:sz="4" w:space="0" w:color="000000"/>
            </w:tcBorders>
          </w:tcPr>
          <w:p>
            <w:pPr>
              <w:rPr>
                <w:sz w:val="2"/>
                <w:szCs w:val="2"/>
              </w:rPr>
            </w:pPr>
          </w:p>
        </w:tc>
        <w:tc>
          <w:tcPr>
            <w:tcW w:w="1208" w:type="dxa"/>
            <w:vMerge/>
            <w:tcBorders>
              <w:top w:val="nil"/>
              <w:bottom w:val="single" w:sz="4" w:space="0" w:color="000000"/>
            </w:tcBorders>
            <w:shd w:val="clear" w:color="auto" w:fill="DDEBF6"/>
          </w:tcPr>
          <w:p>
            <w:pPr>
              <w:rPr>
                <w:sz w:val="2"/>
                <w:szCs w:val="2"/>
              </w:rPr>
            </w:pPr>
          </w:p>
        </w:tc>
        <w:tc>
          <w:tcPr>
            <w:tcW w:w="1170" w:type="dxa"/>
            <w:vMerge/>
            <w:tcBorders>
              <w:top w:val="nil"/>
              <w:bottom w:val="single" w:sz="4" w:space="0" w:color="000000"/>
            </w:tcBorders>
          </w:tcPr>
          <w:p>
            <w:pPr>
              <w:rPr>
                <w:sz w:val="2"/>
                <w:szCs w:val="2"/>
              </w:rPr>
            </w:pPr>
          </w:p>
        </w:tc>
        <w:tc>
          <w:tcPr>
            <w:tcW w:w="1162" w:type="dxa"/>
            <w:vMerge/>
            <w:tcBorders>
              <w:top w:val="nil"/>
              <w:bottom w:val="single" w:sz="4" w:space="0" w:color="000000"/>
            </w:tcBorders>
          </w:tcPr>
          <w:p>
            <w:pPr>
              <w:rPr>
                <w:sz w:val="2"/>
                <w:szCs w:val="2"/>
              </w:rPr>
            </w:pPr>
          </w:p>
        </w:tc>
        <w:tc>
          <w:tcPr>
            <w:tcW w:w="1154" w:type="dxa"/>
            <w:vMerge/>
            <w:tcBorders>
              <w:top w:val="nil"/>
              <w:bottom w:val="single" w:sz="4" w:space="0" w:color="000000"/>
              <w:right w:val="single" w:sz="4" w:space="0" w:color="000000"/>
            </w:tcBorders>
          </w:tcPr>
          <w:p>
            <w:pPr>
              <w:rPr>
                <w:sz w:val="2"/>
                <w:szCs w:val="2"/>
              </w:rPr>
            </w:pPr>
          </w:p>
        </w:tc>
      </w:tr>
      <w:tr>
        <w:trPr>
          <w:trHeight w:val="462" w:hRule="atLeast"/>
        </w:trPr>
        <w:tc>
          <w:tcPr>
            <w:tcW w:w="4116" w:type="dxa"/>
            <w:tcBorders>
              <w:left w:val="single" w:sz="4" w:space="0" w:color="000000"/>
            </w:tcBorders>
          </w:tcPr>
          <w:p>
            <w:pPr>
              <w:pStyle w:val="TableParagraph"/>
              <w:spacing w:line="230" w:lineRule="exact"/>
              <w:ind w:left="110"/>
              <w:rPr>
                <w:b/>
                <w:sz w:val="20"/>
              </w:rPr>
            </w:pPr>
            <w:r>
              <w:rPr>
                <w:b/>
                <w:sz w:val="20"/>
              </w:rPr>
              <w:t>Net</w:t>
            </w:r>
            <w:r>
              <w:rPr>
                <w:b/>
                <w:spacing w:val="-7"/>
                <w:sz w:val="20"/>
              </w:rPr>
              <w:t> </w:t>
            </w:r>
            <w:r>
              <w:rPr>
                <w:b/>
                <w:sz w:val="20"/>
              </w:rPr>
              <w:t>increase/(decrease)</w:t>
            </w:r>
            <w:r>
              <w:rPr>
                <w:b/>
                <w:spacing w:val="-9"/>
                <w:sz w:val="20"/>
              </w:rPr>
              <w:t> </w:t>
            </w:r>
            <w:r>
              <w:rPr>
                <w:b/>
                <w:sz w:val="20"/>
              </w:rPr>
              <w:t>in</w:t>
            </w:r>
            <w:r>
              <w:rPr>
                <w:b/>
                <w:spacing w:val="-8"/>
                <w:sz w:val="20"/>
              </w:rPr>
              <w:t> </w:t>
            </w:r>
            <w:r>
              <w:rPr>
                <w:b/>
                <w:sz w:val="20"/>
              </w:rPr>
              <w:t>cash</w:t>
            </w:r>
            <w:r>
              <w:rPr>
                <w:b/>
                <w:spacing w:val="-7"/>
                <w:sz w:val="20"/>
              </w:rPr>
              <w:t> </w:t>
            </w:r>
            <w:r>
              <w:rPr>
                <w:b/>
                <w:sz w:val="20"/>
              </w:rPr>
              <w:t>&amp;</w:t>
            </w:r>
            <w:r>
              <w:rPr>
                <w:b/>
                <w:spacing w:val="-7"/>
                <w:sz w:val="20"/>
              </w:rPr>
              <w:t> </w:t>
            </w:r>
            <w:r>
              <w:rPr>
                <w:b/>
                <w:sz w:val="20"/>
              </w:rPr>
              <w:t>cash </w:t>
            </w:r>
            <w:r>
              <w:rPr>
                <w:b/>
                <w:spacing w:val="-2"/>
                <w:sz w:val="20"/>
              </w:rPr>
              <w:t>equivalents</w:t>
            </w:r>
          </w:p>
        </w:tc>
        <w:tc>
          <w:tcPr>
            <w:tcW w:w="790" w:type="dxa"/>
          </w:tcPr>
          <w:p>
            <w:pPr>
              <w:pStyle w:val="TableParagraph"/>
              <w:rPr>
                <w:rFonts w:ascii="Times New Roman"/>
                <w:sz w:val="18"/>
              </w:rPr>
            </w:pPr>
          </w:p>
        </w:tc>
        <w:tc>
          <w:tcPr>
            <w:tcW w:w="1162" w:type="dxa"/>
            <w:tcBorders>
              <w:top w:val="single" w:sz="4" w:space="0" w:color="000000"/>
            </w:tcBorders>
          </w:tcPr>
          <w:p>
            <w:pPr>
              <w:pStyle w:val="TableParagraph"/>
              <w:spacing w:before="114"/>
              <w:ind w:right="103"/>
              <w:jc w:val="right"/>
              <w:rPr>
                <w:sz w:val="20"/>
              </w:rPr>
            </w:pPr>
            <w:r>
              <w:rPr>
                <w:spacing w:val="-2"/>
                <w:sz w:val="20"/>
              </w:rPr>
              <w:t>(37,002)</w:t>
            </w:r>
          </w:p>
        </w:tc>
        <w:tc>
          <w:tcPr>
            <w:tcW w:w="1208" w:type="dxa"/>
            <w:tcBorders>
              <w:top w:val="single" w:sz="4" w:space="0" w:color="000000"/>
            </w:tcBorders>
            <w:shd w:val="clear" w:color="auto" w:fill="DDEBF6"/>
          </w:tcPr>
          <w:p>
            <w:pPr>
              <w:pStyle w:val="TableParagraph"/>
              <w:spacing w:before="114"/>
              <w:ind w:right="106"/>
              <w:jc w:val="right"/>
              <w:rPr>
                <w:sz w:val="20"/>
              </w:rPr>
            </w:pPr>
            <w:r>
              <w:rPr>
                <w:spacing w:val="-2"/>
                <w:sz w:val="20"/>
              </w:rPr>
              <w:t>(13,007)</w:t>
            </w:r>
          </w:p>
        </w:tc>
        <w:tc>
          <w:tcPr>
            <w:tcW w:w="1170" w:type="dxa"/>
            <w:tcBorders>
              <w:top w:val="single" w:sz="4" w:space="0" w:color="000000"/>
            </w:tcBorders>
          </w:tcPr>
          <w:p>
            <w:pPr>
              <w:pStyle w:val="TableParagraph"/>
              <w:spacing w:before="114"/>
              <w:ind w:right="113"/>
              <w:jc w:val="right"/>
              <w:rPr>
                <w:sz w:val="20"/>
              </w:rPr>
            </w:pPr>
            <w:r>
              <w:rPr>
                <w:spacing w:val="-2"/>
                <w:sz w:val="20"/>
              </w:rPr>
              <w:t>10,401</w:t>
            </w:r>
          </w:p>
        </w:tc>
        <w:tc>
          <w:tcPr>
            <w:tcW w:w="1162" w:type="dxa"/>
            <w:tcBorders>
              <w:top w:val="single" w:sz="4" w:space="0" w:color="000000"/>
            </w:tcBorders>
          </w:tcPr>
          <w:p>
            <w:pPr>
              <w:pStyle w:val="TableParagraph"/>
              <w:spacing w:before="114"/>
              <w:ind w:right="115"/>
              <w:jc w:val="right"/>
              <w:rPr>
                <w:sz w:val="20"/>
              </w:rPr>
            </w:pPr>
            <w:r>
              <w:rPr>
                <w:spacing w:val="-2"/>
                <w:sz w:val="20"/>
              </w:rPr>
              <w:t>(4,280)</w:t>
            </w:r>
          </w:p>
        </w:tc>
        <w:tc>
          <w:tcPr>
            <w:tcW w:w="1154" w:type="dxa"/>
            <w:tcBorders>
              <w:top w:val="single" w:sz="4" w:space="0" w:color="000000"/>
              <w:right w:val="single" w:sz="4" w:space="0" w:color="000000"/>
            </w:tcBorders>
          </w:tcPr>
          <w:p>
            <w:pPr>
              <w:pStyle w:val="TableParagraph"/>
              <w:spacing w:before="114"/>
              <w:ind w:right="102"/>
              <w:jc w:val="right"/>
              <w:rPr>
                <w:sz w:val="20"/>
              </w:rPr>
            </w:pPr>
            <w:r>
              <w:rPr>
                <w:spacing w:val="-2"/>
                <w:sz w:val="20"/>
              </w:rPr>
              <w:t>(2,271)</w:t>
            </w:r>
          </w:p>
        </w:tc>
      </w:tr>
      <w:tr>
        <w:trPr>
          <w:trHeight w:val="494" w:hRule="atLeast"/>
        </w:trPr>
        <w:tc>
          <w:tcPr>
            <w:tcW w:w="4116" w:type="dxa"/>
            <w:tcBorders>
              <w:left w:val="single" w:sz="4" w:space="0" w:color="000000"/>
            </w:tcBorders>
          </w:tcPr>
          <w:p>
            <w:pPr>
              <w:pStyle w:val="TableParagraph"/>
              <w:ind w:left="110" w:right="11"/>
              <w:rPr>
                <w:sz w:val="20"/>
              </w:rPr>
            </w:pPr>
            <w:r>
              <w:rPr>
                <w:sz w:val="20"/>
              </w:rPr>
              <w:t>Cash</w:t>
            </w:r>
            <w:r>
              <w:rPr>
                <w:spacing w:val="-7"/>
                <w:sz w:val="20"/>
              </w:rPr>
              <w:t> </w:t>
            </w:r>
            <w:r>
              <w:rPr>
                <w:sz w:val="20"/>
              </w:rPr>
              <w:t>and</w:t>
            </w:r>
            <w:r>
              <w:rPr>
                <w:spacing w:val="-7"/>
                <w:sz w:val="20"/>
              </w:rPr>
              <w:t> </w:t>
            </w:r>
            <w:r>
              <w:rPr>
                <w:sz w:val="20"/>
              </w:rPr>
              <w:t>cash</w:t>
            </w:r>
            <w:r>
              <w:rPr>
                <w:spacing w:val="-7"/>
                <w:sz w:val="20"/>
              </w:rPr>
              <w:t> </w:t>
            </w:r>
            <w:r>
              <w:rPr>
                <w:sz w:val="20"/>
              </w:rPr>
              <w:t>equivalents</w:t>
            </w:r>
            <w:r>
              <w:rPr>
                <w:spacing w:val="-3"/>
                <w:sz w:val="20"/>
              </w:rPr>
              <w:t> </w:t>
            </w:r>
            <w:r>
              <w:rPr>
                <w:sz w:val="20"/>
              </w:rPr>
              <w:t>at</w:t>
            </w:r>
            <w:r>
              <w:rPr>
                <w:spacing w:val="-7"/>
                <w:sz w:val="20"/>
              </w:rPr>
              <w:t> </w:t>
            </w:r>
            <w:r>
              <w:rPr>
                <w:sz w:val="20"/>
              </w:rPr>
              <w:t>the</w:t>
            </w:r>
            <w:r>
              <w:rPr>
                <w:spacing w:val="-7"/>
                <w:sz w:val="20"/>
              </w:rPr>
              <w:t> </w:t>
            </w:r>
            <w:r>
              <w:rPr>
                <w:sz w:val="20"/>
              </w:rPr>
              <w:t>beginning of the financial year</w:t>
            </w:r>
          </w:p>
        </w:tc>
        <w:tc>
          <w:tcPr>
            <w:tcW w:w="790" w:type="dxa"/>
          </w:tcPr>
          <w:p>
            <w:pPr>
              <w:pStyle w:val="TableParagraph"/>
              <w:rPr>
                <w:rFonts w:ascii="Times New Roman"/>
                <w:sz w:val="18"/>
              </w:rPr>
            </w:pPr>
          </w:p>
        </w:tc>
        <w:tc>
          <w:tcPr>
            <w:tcW w:w="1162" w:type="dxa"/>
            <w:tcBorders>
              <w:bottom w:val="single" w:sz="4" w:space="0" w:color="000000"/>
            </w:tcBorders>
          </w:tcPr>
          <w:p>
            <w:pPr>
              <w:pStyle w:val="TableParagraph"/>
              <w:spacing w:before="130"/>
              <w:ind w:right="105"/>
              <w:jc w:val="right"/>
              <w:rPr>
                <w:sz w:val="20"/>
              </w:rPr>
            </w:pPr>
            <w:r>
              <w:rPr>
                <w:spacing w:val="-2"/>
                <w:sz w:val="20"/>
              </w:rPr>
              <w:t>74,061</w:t>
            </w:r>
          </w:p>
        </w:tc>
        <w:tc>
          <w:tcPr>
            <w:tcW w:w="1208" w:type="dxa"/>
            <w:tcBorders>
              <w:bottom w:val="single" w:sz="4" w:space="0" w:color="000000"/>
            </w:tcBorders>
            <w:shd w:val="clear" w:color="auto" w:fill="DDEBF6"/>
          </w:tcPr>
          <w:p>
            <w:pPr>
              <w:pStyle w:val="TableParagraph"/>
              <w:spacing w:before="130"/>
              <w:ind w:right="107"/>
              <w:jc w:val="right"/>
              <w:rPr>
                <w:b/>
                <w:sz w:val="20"/>
              </w:rPr>
            </w:pPr>
            <w:r>
              <w:rPr>
                <w:b/>
                <w:spacing w:val="-2"/>
                <w:sz w:val="20"/>
              </w:rPr>
              <w:t>37,059</w:t>
            </w:r>
          </w:p>
        </w:tc>
        <w:tc>
          <w:tcPr>
            <w:tcW w:w="1170" w:type="dxa"/>
            <w:tcBorders>
              <w:bottom w:val="single" w:sz="4" w:space="0" w:color="000000"/>
            </w:tcBorders>
          </w:tcPr>
          <w:p>
            <w:pPr>
              <w:pStyle w:val="TableParagraph"/>
              <w:spacing w:before="130"/>
              <w:ind w:right="113"/>
              <w:jc w:val="right"/>
              <w:rPr>
                <w:sz w:val="20"/>
              </w:rPr>
            </w:pPr>
            <w:r>
              <w:rPr>
                <w:spacing w:val="-2"/>
                <w:sz w:val="20"/>
              </w:rPr>
              <w:t>24,052</w:t>
            </w:r>
          </w:p>
        </w:tc>
        <w:tc>
          <w:tcPr>
            <w:tcW w:w="1162" w:type="dxa"/>
            <w:tcBorders>
              <w:bottom w:val="single" w:sz="4" w:space="0" w:color="000000"/>
            </w:tcBorders>
          </w:tcPr>
          <w:p>
            <w:pPr>
              <w:pStyle w:val="TableParagraph"/>
              <w:spacing w:before="130"/>
              <w:ind w:right="115"/>
              <w:jc w:val="right"/>
              <w:rPr>
                <w:sz w:val="20"/>
              </w:rPr>
            </w:pPr>
            <w:r>
              <w:rPr>
                <w:spacing w:val="-2"/>
                <w:sz w:val="20"/>
              </w:rPr>
              <w:t>34,453</w:t>
            </w:r>
          </w:p>
        </w:tc>
        <w:tc>
          <w:tcPr>
            <w:tcW w:w="1154" w:type="dxa"/>
            <w:tcBorders>
              <w:bottom w:val="single" w:sz="4" w:space="0" w:color="000000"/>
              <w:right w:val="single" w:sz="4" w:space="0" w:color="000000"/>
            </w:tcBorders>
          </w:tcPr>
          <w:p>
            <w:pPr>
              <w:pStyle w:val="TableParagraph"/>
              <w:spacing w:before="130"/>
              <w:ind w:right="101"/>
              <w:jc w:val="right"/>
              <w:rPr>
                <w:sz w:val="20"/>
              </w:rPr>
            </w:pPr>
            <w:r>
              <w:rPr>
                <w:spacing w:val="-2"/>
                <w:sz w:val="20"/>
              </w:rPr>
              <w:t>30,173</w:t>
            </w:r>
          </w:p>
        </w:tc>
      </w:tr>
      <w:tr>
        <w:trPr>
          <w:trHeight w:val="226" w:hRule="atLeast"/>
        </w:trPr>
        <w:tc>
          <w:tcPr>
            <w:tcW w:w="4116" w:type="dxa"/>
            <w:tcBorders>
              <w:left w:val="single" w:sz="4" w:space="0" w:color="000000"/>
            </w:tcBorders>
          </w:tcPr>
          <w:p>
            <w:pPr>
              <w:pStyle w:val="TableParagraph"/>
              <w:spacing w:line="207" w:lineRule="exact"/>
              <w:ind w:left="110"/>
              <w:rPr>
                <w:b/>
                <w:sz w:val="20"/>
              </w:rPr>
            </w:pPr>
            <w:r>
              <w:rPr>
                <w:b/>
                <w:sz w:val="20"/>
              </w:rPr>
              <w:t>Cash</w:t>
            </w:r>
            <w:r>
              <w:rPr>
                <w:b/>
                <w:spacing w:val="-5"/>
                <w:sz w:val="20"/>
              </w:rPr>
              <w:t> </w:t>
            </w:r>
            <w:r>
              <w:rPr>
                <w:b/>
                <w:sz w:val="20"/>
              </w:rPr>
              <w:t>and</w:t>
            </w:r>
            <w:r>
              <w:rPr>
                <w:b/>
                <w:spacing w:val="-3"/>
                <w:sz w:val="20"/>
              </w:rPr>
              <w:t> </w:t>
            </w:r>
            <w:r>
              <w:rPr>
                <w:b/>
                <w:sz w:val="20"/>
              </w:rPr>
              <w:t>cash</w:t>
            </w:r>
            <w:r>
              <w:rPr>
                <w:b/>
                <w:spacing w:val="-4"/>
                <w:sz w:val="20"/>
              </w:rPr>
              <w:t> </w:t>
            </w:r>
            <w:r>
              <w:rPr>
                <w:b/>
                <w:sz w:val="20"/>
              </w:rPr>
              <w:t>equivalents</w:t>
            </w:r>
            <w:r>
              <w:rPr>
                <w:b/>
                <w:spacing w:val="-6"/>
                <w:sz w:val="20"/>
              </w:rPr>
              <w:t> </w:t>
            </w:r>
            <w:r>
              <w:rPr>
                <w:b/>
                <w:sz w:val="20"/>
              </w:rPr>
              <w:t>at</w:t>
            </w:r>
            <w:r>
              <w:rPr>
                <w:b/>
                <w:spacing w:val="-4"/>
                <w:sz w:val="20"/>
              </w:rPr>
              <w:t> </w:t>
            </w:r>
            <w:r>
              <w:rPr>
                <w:b/>
                <w:sz w:val="20"/>
              </w:rPr>
              <w:t>the</w:t>
            </w:r>
            <w:r>
              <w:rPr>
                <w:b/>
                <w:spacing w:val="-6"/>
                <w:sz w:val="20"/>
              </w:rPr>
              <w:t> </w:t>
            </w:r>
            <w:r>
              <w:rPr>
                <w:b/>
                <w:sz w:val="20"/>
              </w:rPr>
              <w:t>end</w:t>
            </w:r>
            <w:r>
              <w:rPr>
                <w:b/>
                <w:spacing w:val="-6"/>
                <w:sz w:val="20"/>
              </w:rPr>
              <w:t> </w:t>
            </w:r>
            <w:r>
              <w:rPr>
                <w:b/>
                <w:spacing w:val="-5"/>
                <w:sz w:val="20"/>
              </w:rPr>
              <w:t>of</w:t>
            </w:r>
          </w:p>
        </w:tc>
        <w:tc>
          <w:tcPr>
            <w:tcW w:w="790" w:type="dxa"/>
          </w:tcPr>
          <w:p>
            <w:pPr>
              <w:pStyle w:val="TableParagraph"/>
              <w:rPr>
                <w:rFonts w:ascii="Times New Roman"/>
                <w:sz w:val="16"/>
              </w:rPr>
            </w:pPr>
          </w:p>
        </w:tc>
        <w:tc>
          <w:tcPr>
            <w:tcW w:w="1162" w:type="dxa"/>
            <w:vMerge w:val="restart"/>
            <w:tcBorders>
              <w:top w:val="single" w:sz="4" w:space="0" w:color="000000"/>
              <w:bottom w:val="single" w:sz="4" w:space="0" w:color="000000"/>
            </w:tcBorders>
          </w:tcPr>
          <w:p>
            <w:pPr>
              <w:pStyle w:val="TableParagraph"/>
              <w:spacing w:before="146"/>
              <w:ind w:left="446"/>
              <w:rPr>
                <w:sz w:val="20"/>
              </w:rPr>
            </w:pPr>
            <w:r>
              <w:rPr>
                <w:spacing w:val="-2"/>
                <w:sz w:val="20"/>
              </w:rPr>
              <w:t>37,059</w:t>
            </w:r>
          </w:p>
        </w:tc>
        <w:tc>
          <w:tcPr>
            <w:tcW w:w="1208" w:type="dxa"/>
            <w:vMerge w:val="restart"/>
            <w:tcBorders>
              <w:top w:val="single" w:sz="4" w:space="0" w:color="000000"/>
              <w:bottom w:val="single" w:sz="4" w:space="0" w:color="000000"/>
            </w:tcBorders>
            <w:shd w:val="clear" w:color="auto" w:fill="DDEBF6"/>
          </w:tcPr>
          <w:p>
            <w:pPr>
              <w:pStyle w:val="TableParagraph"/>
              <w:spacing w:before="146"/>
              <w:ind w:left="488"/>
              <w:rPr>
                <w:b/>
                <w:sz w:val="20"/>
              </w:rPr>
            </w:pPr>
            <w:r>
              <w:rPr>
                <w:b/>
                <w:spacing w:val="-2"/>
                <w:sz w:val="20"/>
              </w:rPr>
              <w:t>24,052</w:t>
            </w:r>
          </w:p>
        </w:tc>
        <w:tc>
          <w:tcPr>
            <w:tcW w:w="1170" w:type="dxa"/>
            <w:vMerge w:val="restart"/>
            <w:tcBorders>
              <w:top w:val="single" w:sz="4" w:space="0" w:color="000000"/>
              <w:bottom w:val="single" w:sz="4" w:space="0" w:color="000000"/>
            </w:tcBorders>
          </w:tcPr>
          <w:p>
            <w:pPr>
              <w:pStyle w:val="TableParagraph"/>
              <w:spacing w:before="146"/>
              <w:ind w:left="444"/>
              <w:rPr>
                <w:sz w:val="20"/>
              </w:rPr>
            </w:pPr>
            <w:r>
              <w:rPr>
                <w:spacing w:val="-2"/>
                <w:sz w:val="20"/>
              </w:rPr>
              <w:t>34,453</w:t>
            </w:r>
          </w:p>
        </w:tc>
        <w:tc>
          <w:tcPr>
            <w:tcW w:w="1162" w:type="dxa"/>
            <w:vMerge w:val="restart"/>
            <w:tcBorders>
              <w:top w:val="single" w:sz="4" w:space="0" w:color="000000"/>
              <w:bottom w:val="single" w:sz="4" w:space="0" w:color="000000"/>
            </w:tcBorders>
          </w:tcPr>
          <w:p>
            <w:pPr>
              <w:pStyle w:val="TableParagraph"/>
              <w:spacing w:before="146"/>
              <w:ind w:left="436"/>
              <w:rPr>
                <w:sz w:val="20"/>
              </w:rPr>
            </w:pPr>
            <w:r>
              <w:rPr>
                <w:spacing w:val="-2"/>
                <w:sz w:val="20"/>
              </w:rPr>
              <w:t>30,173</w:t>
            </w:r>
          </w:p>
        </w:tc>
        <w:tc>
          <w:tcPr>
            <w:tcW w:w="1154" w:type="dxa"/>
            <w:vMerge w:val="restart"/>
            <w:tcBorders>
              <w:top w:val="single" w:sz="4" w:space="0" w:color="000000"/>
              <w:bottom w:val="single" w:sz="4" w:space="0" w:color="000000"/>
              <w:right w:val="single" w:sz="4" w:space="0" w:color="000000"/>
            </w:tcBorders>
          </w:tcPr>
          <w:p>
            <w:pPr>
              <w:pStyle w:val="TableParagraph"/>
              <w:spacing w:before="146"/>
              <w:ind w:left="431"/>
              <w:rPr>
                <w:sz w:val="20"/>
              </w:rPr>
            </w:pPr>
            <w:r>
              <w:rPr>
                <w:spacing w:val="-2"/>
                <w:sz w:val="20"/>
              </w:rPr>
              <w:t>27,902</w:t>
            </w:r>
          </w:p>
        </w:tc>
      </w:tr>
      <w:tr>
        <w:trPr>
          <w:trHeight w:val="290" w:hRule="atLeast"/>
        </w:trPr>
        <w:tc>
          <w:tcPr>
            <w:tcW w:w="4116" w:type="dxa"/>
            <w:tcBorders>
              <w:left w:val="single" w:sz="4" w:space="0" w:color="000000"/>
              <w:bottom w:val="single" w:sz="4" w:space="0" w:color="000000"/>
            </w:tcBorders>
          </w:tcPr>
          <w:p>
            <w:pPr>
              <w:pStyle w:val="TableParagraph"/>
              <w:spacing w:line="220" w:lineRule="exact"/>
              <w:ind w:left="110"/>
              <w:rPr>
                <w:b/>
                <w:sz w:val="20"/>
              </w:rPr>
            </w:pPr>
            <w:r>
              <w:rPr>
                <w:b/>
                <w:sz w:val="20"/>
              </w:rPr>
              <w:t>the</w:t>
            </w:r>
            <w:r>
              <w:rPr>
                <w:b/>
                <w:spacing w:val="-9"/>
                <w:sz w:val="20"/>
              </w:rPr>
              <w:t> </w:t>
            </w:r>
            <w:r>
              <w:rPr>
                <w:b/>
                <w:sz w:val="20"/>
              </w:rPr>
              <w:t>financial</w:t>
            </w:r>
            <w:r>
              <w:rPr>
                <w:b/>
                <w:spacing w:val="-6"/>
                <w:sz w:val="20"/>
              </w:rPr>
              <w:t> </w:t>
            </w:r>
            <w:r>
              <w:rPr>
                <w:b/>
                <w:spacing w:val="-4"/>
                <w:sz w:val="20"/>
              </w:rPr>
              <w:t>year</w:t>
            </w:r>
          </w:p>
        </w:tc>
        <w:tc>
          <w:tcPr>
            <w:tcW w:w="790" w:type="dxa"/>
            <w:tcBorders>
              <w:bottom w:val="single" w:sz="4" w:space="0" w:color="000000"/>
            </w:tcBorders>
          </w:tcPr>
          <w:p>
            <w:pPr>
              <w:pStyle w:val="TableParagraph"/>
              <w:rPr>
                <w:rFonts w:ascii="Times New Roman"/>
                <w:sz w:val="18"/>
              </w:rPr>
            </w:pPr>
          </w:p>
        </w:tc>
        <w:tc>
          <w:tcPr>
            <w:tcW w:w="1162" w:type="dxa"/>
            <w:vMerge/>
            <w:tcBorders>
              <w:top w:val="nil"/>
              <w:bottom w:val="single" w:sz="4" w:space="0" w:color="000000"/>
            </w:tcBorders>
          </w:tcPr>
          <w:p>
            <w:pPr>
              <w:rPr>
                <w:sz w:val="2"/>
                <w:szCs w:val="2"/>
              </w:rPr>
            </w:pPr>
          </w:p>
        </w:tc>
        <w:tc>
          <w:tcPr>
            <w:tcW w:w="1208" w:type="dxa"/>
            <w:vMerge/>
            <w:tcBorders>
              <w:top w:val="nil"/>
              <w:bottom w:val="single" w:sz="4" w:space="0" w:color="000000"/>
            </w:tcBorders>
            <w:shd w:val="clear" w:color="auto" w:fill="DDEBF6"/>
          </w:tcPr>
          <w:p>
            <w:pPr>
              <w:rPr>
                <w:sz w:val="2"/>
                <w:szCs w:val="2"/>
              </w:rPr>
            </w:pPr>
          </w:p>
        </w:tc>
        <w:tc>
          <w:tcPr>
            <w:tcW w:w="1170" w:type="dxa"/>
            <w:vMerge/>
            <w:tcBorders>
              <w:top w:val="nil"/>
              <w:bottom w:val="single" w:sz="4" w:space="0" w:color="000000"/>
            </w:tcBorders>
          </w:tcPr>
          <w:p>
            <w:pPr>
              <w:rPr>
                <w:sz w:val="2"/>
                <w:szCs w:val="2"/>
              </w:rPr>
            </w:pPr>
          </w:p>
        </w:tc>
        <w:tc>
          <w:tcPr>
            <w:tcW w:w="1162" w:type="dxa"/>
            <w:vMerge/>
            <w:tcBorders>
              <w:top w:val="nil"/>
              <w:bottom w:val="single" w:sz="4" w:space="0" w:color="000000"/>
            </w:tcBorders>
          </w:tcPr>
          <w:p>
            <w:pPr>
              <w:rPr>
                <w:sz w:val="2"/>
                <w:szCs w:val="2"/>
              </w:rPr>
            </w:pPr>
          </w:p>
        </w:tc>
        <w:tc>
          <w:tcPr>
            <w:tcW w:w="1154" w:type="dxa"/>
            <w:vMerge/>
            <w:tcBorders>
              <w:top w:val="nil"/>
              <w:bottom w:val="single" w:sz="4" w:space="0" w:color="000000"/>
              <w:right w:val="single" w:sz="4" w:space="0" w:color="000000"/>
            </w:tcBorders>
          </w:tcPr>
          <w:p>
            <w:pPr>
              <w:rPr>
                <w:sz w:val="2"/>
                <w:szCs w:val="2"/>
              </w:rPr>
            </w:pPr>
          </w:p>
        </w:tc>
      </w:tr>
    </w:tbl>
    <w:p>
      <w:pPr>
        <w:spacing w:after="0"/>
        <w:rPr>
          <w:sz w:val="2"/>
          <w:szCs w:val="2"/>
        </w:rPr>
        <w:sectPr>
          <w:pgSz w:w="11910" w:h="16840"/>
          <w:pgMar w:header="0" w:footer="426" w:top="380" w:bottom="620" w:left="460" w:right="160"/>
        </w:sectPr>
      </w:pPr>
    </w:p>
    <w:p>
      <w:pPr>
        <w:pStyle w:val="BodyText"/>
        <w:spacing w:before="3"/>
        <w:rPr>
          <w:i/>
          <w:sz w:val="2"/>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64"/>
        <w:gridCol w:w="964"/>
        <w:gridCol w:w="1200"/>
        <w:gridCol w:w="1162"/>
        <w:gridCol w:w="1552"/>
        <w:gridCol w:w="1341"/>
        <w:gridCol w:w="1559"/>
      </w:tblGrid>
      <w:tr>
        <w:trPr>
          <w:trHeight w:val="810" w:hRule="atLeast"/>
        </w:trPr>
        <w:tc>
          <w:tcPr>
            <w:tcW w:w="11042" w:type="dxa"/>
            <w:gridSpan w:val="7"/>
            <w:tcBorders>
              <w:top w:val="single" w:sz="4" w:space="0" w:color="000000"/>
              <w:left w:val="single" w:sz="4" w:space="0" w:color="000000"/>
              <w:right w:val="single" w:sz="4" w:space="0" w:color="000000"/>
            </w:tcBorders>
          </w:tcPr>
          <w:p>
            <w:pPr>
              <w:pStyle w:val="TableParagraph"/>
              <w:ind w:left="107"/>
              <w:rPr>
                <w:b/>
                <w:sz w:val="24"/>
              </w:rPr>
            </w:pPr>
            <w:r>
              <w:rPr>
                <w:b/>
                <w:color w:val="4966AC"/>
                <w:sz w:val="24"/>
              </w:rPr>
              <w:t>Statement</w:t>
            </w:r>
            <w:r>
              <w:rPr>
                <w:b/>
                <w:color w:val="4966AC"/>
                <w:spacing w:val="-3"/>
                <w:sz w:val="24"/>
              </w:rPr>
              <w:t> </w:t>
            </w:r>
            <w:r>
              <w:rPr>
                <w:b/>
                <w:color w:val="4966AC"/>
                <w:sz w:val="24"/>
              </w:rPr>
              <w:t>of Capital</w:t>
            </w:r>
            <w:r>
              <w:rPr>
                <w:b/>
                <w:color w:val="4966AC"/>
                <w:spacing w:val="2"/>
                <w:sz w:val="24"/>
              </w:rPr>
              <w:t> </w:t>
            </w:r>
            <w:r>
              <w:rPr>
                <w:b/>
                <w:color w:val="4966AC"/>
                <w:spacing w:val="-4"/>
                <w:sz w:val="24"/>
              </w:rPr>
              <w:t>Works</w:t>
            </w:r>
          </w:p>
          <w:p>
            <w:pPr>
              <w:pStyle w:val="TableParagraph"/>
              <w:spacing w:before="14"/>
              <w:ind w:left="107"/>
              <w:rPr>
                <w:sz w:val="22"/>
              </w:rPr>
            </w:pPr>
            <w:r>
              <w:rPr>
                <w:color w:val="4966AC"/>
                <w:sz w:val="22"/>
              </w:rPr>
              <w:t>For</w:t>
            </w:r>
            <w:r>
              <w:rPr>
                <w:color w:val="4966AC"/>
                <w:spacing w:val="-3"/>
                <w:sz w:val="22"/>
              </w:rPr>
              <w:t> </w:t>
            </w:r>
            <w:r>
              <w:rPr>
                <w:color w:val="4966AC"/>
                <w:sz w:val="22"/>
              </w:rPr>
              <w:t>the</w:t>
            </w:r>
            <w:r>
              <w:rPr>
                <w:color w:val="4966AC"/>
                <w:spacing w:val="-3"/>
                <w:sz w:val="22"/>
              </w:rPr>
              <w:t> </w:t>
            </w:r>
            <w:r>
              <w:rPr>
                <w:color w:val="4966AC"/>
                <w:sz w:val="22"/>
              </w:rPr>
              <w:t>four</w:t>
            </w:r>
            <w:r>
              <w:rPr>
                <w:color w:val="4966AC"/>
                <w:spacing w:val="-2"/>
                <w:sz w:val="22"/>
              </w:rPr>
              <w:t> </w:t>
            </w:r>
            <w:r>
              <w:rPr>
                <w:color w:val="4966AC"/>
                <w:sz w:val="22"/>
              </w:rPr>
              <w:t>years</w:t>
            </w:r>
            <w:r>
              <w:rPr>
                <w:color w:val="4966AC"/>
                <w:spacing w:val="-2"/>
                <w:sz w:val="22"/>
              </w:rPr>
              <w:t> </w:t>
            </w:r>
            <w:r>
              <w:rPr>
                <w:color w:val="4966AC"/>
                <w:sz w:val="22"/>
              </w:rPr>
              <w:t>ending</w:t>
            </w:r>
            <w:r>
              <w:rPr>
                <w:color w:val="4966AC"/>
                <w:spacing w:val="-3"/>
                <w:sz w:val="22"/>
              </w:rPr>
              <w:t> </w:t>
            </w:r>
            <w:r>
              <w:rPr>
                <w:color w:val="4966AC"/>
                <w:sz w:val="22"/>
              </w:rPr>
              <w:t>30</w:t>
            </w:r>
            <w:r>
              <w:rPr>
                <w:color w:val="4966AC"/>
                <w:spacing w:val="-2"/>
                <w:sz w:val="22"/>
              </w:rPr>
              <w:t> </w:t>
            </w:r>
            <w:r>
              <w:rPr>
                <w:color w:val="4966AC"/>
                <w:sz w:val="22"/>
              </w:rPr>
              <w:t>June</w:t>
            </w:r>
            <w:r>
              <w:rPr>
                <w:color w:val="4966AC"/>
                <w:spacing w:val="-3"/>
                <w:sz w:val="22"/>
              </w:rPr>
              <w:t> </w:t>
            </w:r>
            <w:r>
              <w:rPr>
                <w:color w:val="4966AC"/>
                <w:spacing w:val="-4"/>
                <w:sz w:val="22"/>
              </w:rPr>
              <w:t>2028</w:t>
            </w:r>
          </w:p>
        </w:tc>
      </w:tr>
      <w:tr>
        <w:trPr>
          <w:trHeight w:val="816" w:hRule="atLeast"/>
        </w:trPr>
        <w:tc>
          <w:tcPr>
            <w:tcW w:w="3264" w:type="dxa"/>
            <w:vMerge w:val="restart"/>
            <w:tcBorders>
              <w:left w:val="single" w:sz="4" w:space="0" w:color="000000"/>
            </w:tcBorders>
            <w:shd w:val="clear" w:color="auto" w:fill="5B9AD4"/>
          </w:tcPr>
          <w:p>
            <w:pPr>
              <w:pStyle w:val="TableParagraph"/>
              <w:rPr>
                <w:rFonts w:ascii="Times New Roman"/>
                <w:sz w:val="18"/>
              </w:rPr>
            </w:pPr>
          </w:p>
        </w:tc>
        <w:tc>
          <w:tcPr>
            <w:tcW w:w="964" w:type="dxa"/>
            <w:vMerge w:val="restart"/>
            <w:shd w:val="clear" w:color="auto" w:fill="5B9AD4"/>
          </w:tcPr>
          <w:p>
            <w:pPr>
              <w:pStyle w:val="TableParagraph"/>
              <w:rPr>
                <w:i/>
                <w:sz w:val="22"/>
              </w:rPr>
            </w:pPr>
          </w:p>
          <w:p>
            <w:pPr>
              <w:pStyle w:val="TableParagraph"/>
              <w:rPr>
                <w:i/>
                <w:sz w:val="22"/>
              </w:rPr>
            </w:pPr>
          </w:p>
          <w:p>
            <w:pPr>
              <w:pStyle w:val="TableParagraph"/>
              <w:rPr>
                <w:i/>
                <w:sz w:val="22"/>
              </w:rPr>
            </w:pPr>
          </w:p>
          <w:p>
            <w:pPr>
              <w:pStyle w:val="TableParagraph"/>
              <w:rPr>
                <w:i/>
                <w:sz w:val="22"/>
              </w:rPr>
            </w:pPr>
          </w:p>
          <w:p>
            <w:pPr>
              <w:pStyle w:val="TableParagraph"/>
              <w:spacing w:before="6"/>
              <w:rPr>
                <w:i/>
                <w:sz w:val="17"/>
              </w:rPr>
            </w:pPr>
          </w:p>
          <w:p>
            <w:pPr>
              <w:pStyle w:val="TableParagraph"/>
              <w:spacing w:line="211" w:lineRule="exact"/>
              <w:ind w:left="172"/>
              <w:rPr>
                <w:b/>
                <w:sz w:val="20"/>
              </w:rPr>
            </w:pPr>
            <w:r>
              <w:rPr>
                <w:b/>
                <w:color w:val="FFFFFF"/>
                <w:spacing w:val="-2"/>
                <w:sz w:val="20"/>
              </w:rPr>
              <w:t>NOTES</w:t>
            </w:r>
          </w:p>
        </w:tc>
        <w:tc>
          <w:tcPr>
            <w:tcW w:w="1200" w:type="dxa"/>
            <w:shd w:val="clear" w:color="auto" w:fill="5B9AD4"/>
          </w:tcPr>
          <w:p>
            <w:pPr>
              <w:pStyle w:val="TableParagraph"/>
              <w:rPr>
                <w:i/>
                <w:sz w:val="20"/>
              </w:rPr>
            </w:pPr>
          </w:p>
          <w:p>
            <w:pPr>
              <w:pStyle w:val="TableParagraph"/>
              <w:ind w:left="298" w:right="175" w:hanging="111"/>
              <w:rPr>
                <w:b/>
                <w:sz w:val="20"/>
              </w:rPr>
            </w:pPr>
            <w:r>
              <w:rPr>
                <w:b/>
                <w:color w:val="FFFFFF"/>
                <w:spacing w:val="-2"/>
                <w:sz w:val="20"/>
              </w:rPr>
              <w:t>Forecast Actual</w:t>
            </w:r>
          </w:p>
        </w:tc>
        <w:tc>
          <w:tcPr>
            <w:tcW w:w="1162" w:type="dxa"/>
            <w:shd w:val="clear" w:color="auto" w:fill="5B9AD4"/>
          </w:tcPr>
          <w:p>
            <w:pPr>
              <w:pStyle w:val="TableParagraph"/>
              <w:rPr>
                <w:i/>
                <w:sz w:val="22"/>
              </w:rPr>
            </w:pPr>
          </w:p>
          <w:p>
            <w:pPr>
              <w:pStyle w:val="TableParagraph"/>
              <w:rPr>
                <w:i/>
                <w:sz w:val="18"/>
              </w:rPr>
            </w:pPr>
          </w:p>
          <w:p>
            <w:pPr>
              <w:pStyle w:val="TableParagraph"/>
              <w:ind w:left="240"/>
              <w:rPr>
                <w:b/>
                <w:sz w:val="20"/>
              </w:rPr>
            </w:pPr>
            <w:r>
              <w:rPr>
                <w:b/>
                <w:color w:val="FFFFFF"/>
                <w:spacing w:val="-2"/>
                <w:sz w:val="20"/>
              </w:rPr>
              <w:t>Budget</w:t>
            </w:r>
          </w:p>
        </w:tc>
        <w:tc>
          <w:tcPr>
            <w:tcW w:w="1552" w:type="dxa"/>
            <w:shd w:val="clear" w:color="auto" w:fill="5B9AD4"/>
          </w:tcPr>
          <w:p>
            <w:pPr>
              <w:pStyle w:val="TableParagraph"/>
              <w:ind w:left="228" w:right="233"/>
              <w:jc w:val="center"/>
              <w:rPr>
                <w:b/>
                <w:sz w:val="20"/>
              </w:rPr>
            </w:pPr>
            <w:r>
              <w:rPr>
                <w:b/>
                <w:color w:val="FFFFFF"/>
                <w:spacing w:val="-2"/>
                <w:sz w:val="20"/>
              </w:rPr>
              <w:t>Financial </w:t>
            </w:r>
            <w:r>
              <w:rPr>
                <w:b/>
                <w:color w:val="FFFFFF"/>
                <w:spacing w:val="-4"/>
                <w:sz w:val="20"/>
              </w:rPr>
              <w:t>Plan </w:t>
            </w:r>
            <w:r>
              <w:rPr>
                <w:b/>
                <w:color w:val="FFFFFF"/>
                <w:spacing w:val="-2"/>
                <w:sz w:val="20"/>
              </w:rPr>
              <w:t>Projections</w:t>
            </w:r>
          </w:p>
        </w:tc>
        <w:tc>
          <w:tcPr>
            <w:tcW w:w="1341" w:type="dxa"/>
            <w:shd w:val="clear" w:color="auto" w:fill="5B9AD4"/>
          </w:tcPr>
          <w:p>
            <w:pPr>
              <w:pStyle w:val="TableParagraph"/>
              <w:rPr>
                <w:rFonts w:ascii="Times New Roman"/>
                <w:sz w:val="18"/>
              </w:rPr>
            </w:pPr>
          </w:p>
        </w:tc>
        <w:tc>
          <w:tcPr>
            <w:tcW w:w="1559" w:type="dxa"/>
            <w:tcBorders>
              <w:right w:val="single" w:sz="4" w:space="0" w:color="000000"/>
            </w:tcBorders>
            <w:shd w:val="clear" w:color="auto" w:fill="5B9AD4"/>
          </w:tcPr>
          <w:p>
            <w:pPr>
              <w:pStyle w:val="TableParagraph"/>
              <w:rPr>
                <w:rFonts w:ascii="Times New Roman"/>
                <w:sz w:val="18"/>
              </w:rPr>
            </w:pPr>
          </w:p>
        </w:tc>
      </w:tr>
      <w:tr>
        <w:trPr>
          <w:trHeight w:val="376" w:hRule="atLeast"/>
        </w:trPr>
        <w:tc>
          <w:tcPr>
            <w:tcW w:w="3264" w:type="dxa"/>
            <w:vMerge/>
            <w:tcBorders>
              <w:top w:val="nil"/>
              <w:left w:val="single" w:sz="4" w:space="0" w:color="000000"/>
            </w:tcBorders>
            <w:shd w:val="clear" w:color="auto" w:fill="5B9AD4"/>
          </w:tcPr>
          <w:p>
            <w:pPr>
              <w:rPr>
                <w:sz w:val="2"/>
                <w:szCs w:val="2"/>
              </w:rPr>
            </w:pPr>
          </w:p>
        </w:tc>
        <w:tc>
          <w:tcPr>
            <w:tcW w:w="964" w:type="dxa"/>
            <w:vMerge/>
            <w:tcBorders>
              <w:top w:val="nil"/>
            </w:tcBorders>
            <w:shd w:val="clear" w:color="auto" w:fill="5B9AD4"/>
          </w:tcPr>
          <w:p>
            <w:pPr>
              <w:rPr>
                <w:sz w:val="2"/>
                <w:szCs w:val="2"/>
              </w:rPr>
            </w:pPr>
          </w:p>
        </w:tc>
        <w:tc>
          <w:tcPr>
            <w:tcW w:w="1200" w:type="dxa"/>
            <w:shd w:val="clear" w:color="auto" w:fill="5B9AD4"/>
          </w:tcPr>
          <w:p>
            <w:pPr>
              <w:pStyle w:val="TableParagraph"/>
              <w:spacing w:before="119"/>
              <w:ind w:right="122"/>
              <w:jc w:val="right"/>
              <w:rPr>
                <w:b/>
                <w:sz w:val="20"/>
              </w:rPr>
            </w:pPr>
            <w:r>
              <w:rPr>
                <w:b/>
                <w:color w:val="FFFFFF"/>
                <w:spacing w:val="-2"/>
                <w:sz w:val="20"/>
              </w:rPr>
              <w:t>2023/2024</w:t>
            </w:r>
          </w:p>
        </w:tc>
        <w:tc>
          <w:tcPr>
            <w:tcW w:w="1162" w:type="dxa"/>
            <w:shd w:val="clear" w:color="auto" w:fill="5B9AD4"/>
          </w:tcPr>
          <w:p>
            <w:pPr>
              <w:pStyle w:val="TableParagraph"/>
              <w:spacing w:before="119"/>
              <w:ind w:right="103"/>
              <w:jc w:val="right"/>
              <w:rPr>
                <w:b/>
                <w:sz w:val="20"/>
              </w:rPr>
            </w:pPr>
            <w:r>
              <w:rPr>
                <w:b/>
                <w:color w:val="FFFFFF"/>
                <w:spacing w:val="-2"/>
                <w:sz w:val="20"/>
              </w:rPr>
              <w:t>2024/2025</w:t>
            </w:r>
          </w:p>
        </w:tc>
        <w:tc>
          <w:tcPr>
            <w:tcW w:w="1552" w:type="dxa"/>
            <w:shd w:val="clear" w:color="auto" w:fill="5B9AD4"/>
          </w:tcPr>
          <w:p>
            <w:pPr>
              <w:pStyle w:val="TableParagraph"/>
              <w:spacing w:before="119"/>
              <w:ind w:left="300"/>
              <w:rPr>
                <w:b/>
                <w:sz w:val="20"/>
              </w:rPr>
            </w:pPr>
            <w:r>
              <w:rPr>
                <w:b/>
                <w:color w:val="FFFFFF"/>
                <w:spacing w:val="-2"/>
                <w:sz w:val="20"/>
              </w:rPr>
              <w:t>2025/2026</w:t>
            </w:r>
          </w:p>
        </w:tc>
        <w:tc>
          <w:tcPr>
            <w:tcW w:w="1341" w:type="dxa"/>
            <w:shd w:val="clear" w:color="auto" w:fill="5B9AD4"/>
          </w:tcPr>
          <w:p>
            <w:pPr>
              <w:pStyle w:val="TableParagraph"/>
              <w:spacing w:before="119"/>
              <w:ind w:right="267"/>
              <w:jc w:val="right"/>
              <w:rPr>
                <w:b/>
                <w:sz w:val="20"/>
              </w:rPr>
            </w:pPr>
            <w:r>
              <w:rPr>
                <w:b/>
                <w:color w:val="FFFFFF"/>
                <w:spacing w:val="-2"/>
                <w:sz w:val="20"/>
              </w:rPr>
              <w:t>2026/2027</w:t>
            </w:r>
          </w:p>
        </w:tc>
        <w:tc>
          <w:tcPr>
            <w:tcW w:w="1559" w:type="dxa"/>
            <w:tcBorders>
              <w:right w:val="single" w:sz="4" w:space="0" w:color="000000"/>
            </w:tcBorders>
            <w:shd w:val="clear" w:color="auto" w:fill="5B9AD4"/>
          </w:tcPr>
          <w:p>
            <w:pPr>
              <w:pStyle w:val="TableParagraph"/>
              <w:spacing w:before="119"/>
              <w:ind w:left="239"/>
              <w:rPr>
                <w:b/>
                <w:sz w:val="20"/>
              </w:rPr>
            </w:pPr>
            <w:r>
              <w:rPr>
                <w:b/>
                <w:color w:val="FFFFFF"/>
                <w:spacing w:val="-2"/>
                <w:sz w:val="20"/>
              </w:rPr>
              <w:t>2027/2028</w:t>
            </w:r>
          </w:p>
        </w:tc>
      </w:tr>
      <w:tr>
        <w:trPr>
          <w:trHeight w:val="251" w:hRule="atLeast"/>
        </w:trPr>
        <w:tc>
          <w:tcPr>
            <w:tcW w:w="3264" w:type="dxa"/>
            <w:vMerge/>
            <w:tcBorders>
              <w:top w:val="nil"/>
              <w:left w:val="single" w:sz="4" w:space="0" w:color="000000"/>
            </w:tcBorders>
            <w:shd w:val="clear" w:color="auto" w:fill="5B9AD4"/>
          </w:tcPr>
          <w:p>
            <w:pPr>
              <w:rPr>
                <w:sz w:val="2"/>
                <w:szCs w:val="2"/>
              </w:rPr>
            </w:pPr>
          </w:p>
        </w:tc>
        <w:tc>
          <w:tcPr>
            <w:tcW w:w="964" w:type="dxa"/>
            <w:vMerge/>
            <w:tcBorders>
              <w:top w:val="nil"/>
            </w:tcBorders>
            <w:shd w:val="clear" w:color="auto" w:fill="5B9AD4"/>
          </w:tcPr>
          <w:p>
            <w:pPr>
              <w:rPr>
                <w:sz w:val="2"/>
                <w:szCs w:val="2"/>
              </w:rPr>
            </w:pPr>
          </w:p>
        </w:tc>
        <w:tc>
          <w:tcPr>
            <w:tcW w:w="1200" w:type="dxa"/>
            <w:shd w:val="clear" w:color="auto" w:fill="5B9AD4"/>
          </w:tcPr>
          <w:p>
            <w:pPr>
              <w:pStyle w:val="TableParagraph"/>
              <w:spacing w:line="211" w:lineRule="exact" w:before="20"/>
              <w:ind w:left="353"/>
              <w:rPr>
                <w:b/>
                <w:sz w:val="20"/>
              </w:rPr>
            </w:pPr>
            <w:r>
              <w:rPr>
                <w:b/>
                <w:color w:val="FFFFFF"/>
                <w:spacing w:val="-2"/>
                <w:sz w:val="20"/>
              </w:rPr>
              <w:t>$’000</w:t>
            </w:r>
          </w:p>
        </w:tc>
        <w:tc>
          <w:tcPr>
            <w:tcW w:w="1162" w:type="dxa"/>
            <w:shd w:val="clear" w:color="auto" w:fill="5B9AD4"/>
          </w:tcPr>
          <w:p>
            <w:pPr>
              <w:pStyle w:val="TableParagraph"/>
              <w:spacing w:line="211" w:lineRule="exact" w:before="20"/>
              <w:ind w:left="334"/>
              <w:rPr>
                <w:b/>
                <w:sz w:val="20"/>
              </w:rPr>
            </w:pPr>
            <w:r>
              <w:rPr>
                <w:b/>
                <w:color w:val="FFFFFF"/>
                <w:spacing w:val="-2"/>
                <w:sz w:val="20"/>
              </w:rPr>
              <w:t>$’000</w:t>
            </w:r>
          </w:p>
        </w:tc>
        <w:tc>
          <w:tcPr>
            <w:tcW w:w="1552" w:type="dxa"/>
            <w:shd w:val="clear" w:color="auto" w:fill="5B9AD4"/>
          </w:tcPr>
          <w:p>
            <w:pPr>
              <w:pStyle w:val="TableParagraph"/>
              <w:spacing w:line="211" w:lineRule="exact" w:before="20"/>
              <w:ind w:left="226" w:right="233"/>
              <w:jc w:val="center"/>
              <w:rPr>
                <w:b/>
                <w:sz w:val="20"/>
              </w:rPr>
            </w:pPr>
            <w:r>
              <w:rPr>
                <w:b/>
                <w:color w:val="FFFFFF"/>
                <w:spacing w:val="-2"/>
                <w:sz w:val="20"/>
              </w:rPr>
              <w:t>$’000</w:t>
            </w:r>
          </w:p>
        </w:tc>
        <w:tc>
          <w:tcPr>
            <w:tcW w:w="1341" w:type="dxa"/>
            <w:shd w:val="clear" w:color="auto" w:fill="5B9AD4"/>
          </w:tcPr>
          <w:p>
            <w:pPr>
              <w:pStyle w:val="TableParagraph"/>
              <w:spacing w:line="211" w:lineRule="exact" w:before="20"/>
              <w:ind w:left="349"/>
              <w:rPr>
                <w:b/>
                <w:sz w:val="20"/>
              </w:rPr>
            </w:pPr>
            <w:r>
              <w:rPr>
                <w:b/>
                <w:color w:val="FFFFFF"/>
                <w:spacing w:val="-2"/>
                <w:sz w:val="20"/>
              </w:rPr>
              <w:t>$’000</w:t>
            </w:r>
          </w:p>
        </w:tc>
        <w:tc>
          <w:tcPr>
            <w:tcW w:w="1559" w:type="dxa"/>
            <w:tcBorders>
              <w:right w:val="single" w:sz="4" w:space="0" w:color="000000"/>
            </w:tcBorders>
            <w:shd w:val="clear" w:color="auto" w:fill="5B9AD4"/>
          </w:tcPr>
          <w:p>
            <w:pPr>
              <w:pStyle w:val="TableParagraph"/>
              <w:spacing w:line="211" w:lineRule="exact" w:before="20"/>
              <w:ind w:left="462"/>
              <w:rPr>
                <w:b/>
                <w:sz w:val="20"/>
              </w:rPr>
            </w:pPr>
            <w:r>
              <w:rPr>
                <w:b/>
                <w:color w:val="FFFFFF"/>
                <w:spacing w:val="-2"/>
                <w:sz w:val="20"/>
              </w:rPr>
              <w:t>$’000</w:t>
            </w:r>
          </w:p>
        </w:tc>
      </w:tr>
      <w:tr>
        <w:trPr>
          <w:trHeight w:val="280" w:hRule="atLeast"/>
        </w:trPr>
        <w:tc>
          <w:tcPr>
            <w:tcW w:w="3264" w:type="dxa"/>
            <w:tcBorders>
              <w:left w:val="single" w:sz="4" w:space="0" w:color="000000"/>
            </w:tcBorders>
          </w:tcPr>
          <w:p>
            <w:pPr>
              <w:pStyle w:val="TableParagraph"/>
              <w:spacing w:line="229" w:lineRule="exact" w:before="31"/>
              <w:ind w:left="107"/>
              <w:rPr>
                <w:b/>
                <w:sz w:val="20"/>
              </w:rPr>
            </w:pPr>
            <w:r>
              <w:rPr>
                <w:b/>
                <w:spacing w:val="-2"/>
                <w:sz w:val="20"/>
              </w:rPr>
              <w:t>Property</w:t>
            </w:r>
          </w:p>
        </w:tc>
        <w:tc>
          <w:tcPr>
            <w:tcW w:w="964" w:type="dxa"/>
          </w:tcPr>
          <w:p>
            <w:pPr>
              <w:pStyle w:val="TableParagraph"/>
              <w:rPr>
                <w:rFonts w:ascii="Times New Roman"/>
                <w:sz w:val="18"/>
              </w:rPr>
            </w:pPr>
          </w:p>
        </w:tc>
        <w:tc>
          <w:tcPr>
            <w:tcW w:w="1200" w:type="dxa"/>
          </w:tcPr>
          <w:p>
            <w:pPr>
              <w:pStyle w:val="TableParagraph"/>
              <w:rPr>
                <w:rFonts w:ascii="Times New Roman"/>
                <w:sz w:val="18"/>
              </w:rPr>
            </w:pPr>
          </w:p>
        </w:tc>
        <w:tc>
          <w:tcPr>
            <w:tcW w:w="1162" w:type="dxa"/>
            <w:shd w:val="clear" w:color="auto" w:fill="DDEBF6"/>
          </w:tcPr>
          <w:p>
            <w:pPr>
              <w:pStyle w:val="TableParagraph"/>
              <w:rPr>
                <w:rFonts w:ascii="Times New Roman"/>
                <w:sz w:val="18"/>
              </w:rPr>
            </w:pPr>
          </w:p>
        </w:tc>
        <w:tc>
          <w:tcPr>
            <w:tcW w:w="1552" w:type="dxa"/>
          </w:tcPr>
          <w:p>
            <w:pPr>
              <w:pStyle w:val="TableParagraph"/>
              <w:rPr>
                <w:rFonts w:ascii="Times New Roman"/>
                <w:sz w:val="18"/>
              </w:rPr>
            </w:pPr>
          </w:p>
        </w:tc>
        <w:tc>
          <w:tcPr>
            <w:tcW w:w="1341" w:type="dxa"/>
          </w:tcPr>
          <w:p>
            <w:pPr>
              <w:pStyle w:val="TableParagraph"/>
              <w:rPr>
                <w:rFonts w:ascii="Times New Roman"/>
                <w:sz w:val="18"/>
              </w:rPr>
            </w:pPr>
          </w:p>
        </w:tc>
        <w:tc>
          <w:tcPr>
            <w:tcW w:w="1559" w:type="dxa"/>
            <w:tcBorders>
              <w:right w:val="single" w:sz="4" w:space="0" w:color="000000"/>
            </w:tcBorders>
          </w:tcPr>
          <w:p>
            <w:pPr>
              <w:pStyle w:val="TableParagraph"/>
              <w:rPr>
                <w:rFonts w:ascii="Times New Roman"/>
                <w:sz w:val="18"/>
              </w:rPr>
            </w:pPr>
          </w:p>
        </w:tc>
      </w:tr>
      <w:tr>
        <w:trPr>
          <w:trHeight w:val="262" w:hRule="atLeast"/>
        </w:trPr>
        <w:tc>
          <w:tcPr>
            <w:tcW w:w="3264" w:type="dxa"/>
            <w:tcBorders>
              <w:left w:val="single" w:sz="4" w:space="0" w:color="000000"/>
            </w:tcBorders>
          </w:tcPr>
          <w:p>
            <w:pPr>
              <w:pStyle w:val="TableParagraph"/>
              <w:spacing w:before="12"/>
              <w:ind w:left="107"/>
              <w:rPr>
                <w:sz w:val="20"/>
              </w:rPr>
            </w:pPr>
            <w:r>
              <w:rPr>
                <w:spacing w:val="-4"/>
                <w:sz w:val="20"/>
              </w:rPr>
              <w:t>Land</w:t>
            </w:r>
          </w:p>
        </w:tc>
        <w:tc>
          <w:tcPr>
            <w:tcW w:w="964" w:type="dxa"/>
          </w:tcPr>
          <w:p>
            <w:pPr>
              <w:pStyle w:val="TableParagraph"/>
              <w:rPr>
                <w:rFonts w:ascii="Times New Roman"/>
                <w:sz w:val="18"/>
              </w:rPr>
            </w:pPr>
          </w:p>
        </w:tc>
        <w:tc>
          <w:tcPr>
            <w:tcW w:w="1200" w:type="dxa"/>
          </w:tcPr>
          <w:p>
            <w:pPr>
              <w:pStyle w:val="TableParagraph"/>
              <w:spacing w:before="12"/>
              <w:ind w:right="101"/>
              <w:jc w:val="right"/>
              <w:rPr>
                <w:sz w:val="20"/>
              </w:rPr>
            </w:pPr>
            <w:r>
              <w:rPr>
                <w:w w:val="99"/>
                <w:sz w:val="20"/>
              </w:rPr>
              <w:t>-</w:t>
            </w:r>
          </w:p>
        </w:tc>
        <w:tc>
          <w:tcPr>
            <w:tcW w:w="1162" w:type="dxa"/>
            <w:shd w:val="clear" w:color="auto" w:fill="DDEBF6"/>
          </w:tcPr>
          <w:p>
            <w:pPr>
              <w:pStyle w:val="TableParagraph"/>
              <w:spacing w:before="12"/>
              <w:ind w:right="101"/>
              <w:jc w:val="right"/>
              <w:rPr>
                <w:sz w:val="20"/>
              </w:rPr>
            </w:pPr>
            <w:r>
              <w:rPr>
                <w:w w:val="99"/>
                <w:sz w:val="20"/>
              </w:rPr>
              <w:t>-</w:t>
            </w:r>
          </w:p>
        </w:tc>
        <w:tc>
          <w:tcPr>
            <w:tcW w:w="1552" w:type="dxa"/>
          </w:tcPr>
          <w:p>
            <w:pPr>
              <w:pStyle w:val="TableParagraph"/>
              <w:spacing w:before="12"/>
              <w:ind w:right="117"/>
              <w:jc w:val="right"/>
              <w:rPr>
                <w:sz w:val="20"/>
              </w:rPr>
            </w:pPr>
            <w:r>
              <w:rPr>
                <w:w w:val="99"/>
                <w:sz w:val="20"/>
              </w:rPr>
              <w:t>-</w:t>
            </w:r>
          </w:p>
        </w:tc>
        <w:tc>
          <w:tcPr>
            <w:tcW w:w="1341" w:type="dxa"/>
          </w:tcPr>
          <w:p>
            <w:pPr>
              <w:pStyle w:val="TableParagraph"/>
              <w:spacing w:before="12"/>
              <w:ind w:right="234"/>
              <w:jc w:val="right"/>
              <w:rPr>
                <w:sz w:val="20"/>
              </w:rPr>
            </w:pPr>
            <w:r>
              <w:rPr>
                <w:w w:val="99"/>
                <w:sz w:val="20"/>
              </w:rPr>
              <w:t>-</w:t>
            </w:r>
          </w:p>
        </w:tc>
        <w:tc>
          <w:tcPr>
            <w:tcW w:w="1559" w:type="dxa"/>
            <w:tcBorders>
              <w:right w:val="single" w:sz="4" w:space="0" w:color="000000"/>
            </w:tcBorders>
          </w:tcPr>
          <w:p>
            <w:pPr>
              <w:pStyle w:val="TableParagraph"/>
              <w:spacing w:before="12"/>
              <w:ind w:right="99"/>
              <w:jc w:val="right"/>
              <w:rPr>
                <w:sz w:val="20"/>
              </w:rPr>
            </w:pPr>
            <w:r>
              <w:rPr>
                <w:w w:val="99"/>
                <w:sz w:val="20"/>
              </w:rPr>
              <w:t>-</w:t>
            </w:r>
          </w:p>
        </w:tc>
      </w:tr>
      <w:tr>
        <w:trPr>
          <w:trHeight w:val="244" w:hRule="atLeast"/>
        </w:trPr>
        <w:tc>
          <w:tcPr>
            <w:tcW w:w="3264" w:type="dxa"/>
            <w:tcBorders>
              <w:left w:val="single" w:sz="4" w:space="0" w:color="000000"/>
            </w:tcBorders>
          </w:tcPr>
          <w:p>
            <w:pPr>
              <w:pStyle w:val="TableParagraph"/>
              <w:spacing w:line="211" w:lineRule="exact" w:before="13"/>
              <w:ind w:left="107"/>
              <w:rPr>
                <w:sz w:val="20"/>
              </w:rPr>
            </w:pPr>
            <w:r>
              <w:rPr>
                <w:sz w:val="20"/>
              </w:rPr>
              <w:t>Land</w:t>
            </w:r>
            <w:r>
              <w:rPr>
                <w:spacing w:val="-7"/>
                <w:sz w:val="20"/>
              </w:rPr>
              <w:t> </w:t>
            </w:r>
            <w:r>
              <w:rPr>
                <w:spacing w:val="-2"/>
                <w:sz w:val="20"/>
              </w:rPr>
              <w:t>improvements</w:t>
            </w:r>
          </w:p>
        </w:tc>
        <w:tc>
          <w:tcPr>
            <w:tcW w:w="964" w:type="dxa"/>
          </w:tcPr>
          <w:p>
            <w:pPr>
              <w:pStyle w:val="TableParagraph"/>
              <w:rPr>
                <w:rFonts w:ascii="Times New Roman"/>
                <w:sz w:val="16"/>
              </w:rPr>
            </w:pPr>
          </w:p>
        </w:tc>
        <w:tc>
          <w:tcPr>
            <w:tcW w:w="1200" w:type="dxa"/>
            <w:tcBorders>
              <w:bottom w:val="single" w:sz="4" w:space="0" w:color="000000"/>
            </w:tcBorders>
          </w:tcPr>
          <w:p>
            <w:pPr>
              <w:pStyle w:val="TableParagraph"/>
              <w:spacing w:line="211" w:lineRule="exact" w:before="13"/>
              <w:ind w:right="101"/>
              <w:jc w:val="right"/>
              <w:rPr>
                <w:sz w:val="20"/>
              </w:rPr>
            </w:pPr>
            <w:r>
              <w:rPr>
                <w:w w:val="99"/>
                <w:sz w:val="20"/>
              </w:rPr>
              <w:t>-</w:t>
            </w:r>
          </w:p>
        </w:tc>
        <w:tc>
          <w:tcPr>
            <w:tcW w:w="1162" w:type="dxa"/>
            <w:tcBorders>
              <w:bottom w:val="single" w:sz="4" w:space="0" w:color="000000"/>
            </w:tcBorders>
            <w:shd w:val="clear" w:color="auto" w:fill="DDEBF6"/>
          </w:tcPr>
          <w:p>
            <w:pPr>
              <w:pStyle w:val="TableParagraph"/>
              <w:spacing w:line="211" w:lineRule="exact" w:before="13"/>
              <w:ind w:right="101"/>
              <w:jc w:val="right"/>
              <w:rPr>
                <w:sz w:val="20"/>
              </w:rPr>
            </w:pPr>
            <w:r>
              <w:rPr>
                <w:w w:val="99"/>
                <w:sz w:val="20"/>
              </w:rPr>
              <w:t>-</w:t>
            </w:r>
          </w:p>
        </w:tc>
        <w:tc>
          <w:tcPr>
            <w:tcW w:w="1552" w:type="dxa"/>
            <w:tcBorders>
              <w:bottom w:val="single" w:sz="4" w:space="0" w:color="000000"/>
            </w:tcBorders>
          </w:tcPr>
          <w:p>
            <w:pPr>
              <w:pStyle w:val="TableParagraph"/>
              <w:spacing w:line="211" w:lineRule="exact" w:before="13"/>
              <w:ind w:right="117"/>
              <w:jc w:val="right"/>
              <w:rPr>
                <w:sz w:val="20"/>
              </w:rPr>
            </w:pPr>
            <w:r>
              <w:rPr>
                <w:w w:val="99"/>
                <w:sz w:val="20"/>
              </w:rPr>
              <w:t>-</w:t>
            </w:r>
          </w:p>
        </w:tc>
        <w:tc>
          <w:tcPr>
            <w:tcW w:w="1341" w:type="dxa"/>
            <w:tcBorders>
              <w:bottom w:val="single" w:sz="4" w:space="0" w:color="000000"/>
            </w:tcBorders>
          </w:tcPr>
          <w:p>
            <w:pPr>
              <w:pStyle w:val="TableParagraph"/>
              <w:spacing w:line="211" w:lineRule="exact" w:before="13"/>
              <w:ind w:right="234"/>
              <w:jc w:val="right"/>
              <w:rPr>
                <w:sz w:val="20"/>
              </w:rPr>
            </w:pPr>
            <w:r>
              <w:rPr>
                <w:w w:val="99"/>
                <w:sz w:val="20"/>
              </w:rPr>
              <w:t>-</w:t>
            </w:r>
          </w:p>
        </w:tc>
        <w:tc>
          <w:tcPr>
            <w:tcW w:w="1559" w:type="dxa"/>
            <w:tcBorders>
              <w:bottom w:val="single" w:sz="4" w:space="0" w:color="000000"/>
              <w:right w:val="single" w:sz="4" w:space="0" w:color="000000"/>
            </w:tcBorders>
          </w:tcPr>
          <w:p>
            <w:pPr>
              <w:pStyle w:val="TableParagraph"/>
              <w:spacing w:line="211" w:lineRule="exact" w:before="13"/>
              <w:ind w:right="99"/>
              <w:jc w:val="right"/>
              <w:rPr>
                <w:sz w:val="20"/>
              </w:rPr>
            </w:pPr>
            <w:r>
              <w:rPr>
                <w:w w:val="99"/>
                <w:sz w:val="20"/>
              </w:rPr>
              <w:t>-</w:t>
            </w:r>
          </w:p>
        </w:tc>
      </w:tr>
      <w:tr>
        <w:trPr>
          <w:trHeight w:val="261" w:hRule="atLeast"/>
        </w:trPr>
        <w:tc>
          <w:tcPr>
            <w:tcW w:w="3264" w:type="dxa"/>
            <w:tcBorders>
              <w:left w:val="single" w:sz="4" w:space="0" w:color="000000"/>
            </w:tcBorders>
          </w:tcPr>
          <w:p>
            <w:pPr>
              <w:pStyle w:val="TableParagraph"/>
              <w:spacing w:line="211" w:lineRule="exact" w:before="30"/>
              <w:ind w:left="107"/>
              <w:rPr>
                <w:b/>
                <w:sz w:val="20"/>
              </w:rPr>
            </w:pPr>
            <w:r>
              <w:rPr>
                <w:b/>
                <w:sz w:val="20"/>
              </w:rPr>
              <w:t>Total</w:t>
            </w:r>
            <w:r>
              <w:rPr>
                <w:b/>
                <w:spacing w:val="-6"/>
                <w:sz w:val="20"/>
              </w:rPr>
              <w:t> </w:t>
            </w:r>
            <w:r>
              <w:rPr>
                <w:b/>
                <w:spacing w:val="-4"/>
                <w:sz w:val="20"/>
              </w:rPr>
              <w:t>land</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line="211" w:lineRule="exact" w:before="30"/>
              <w:ind w:right="101"/>
              <w:jc w:val="right"/>
              <w:rPr>
                <w:sz w:val="20"/>
              </w:rPr>
            </w:pPr>
            <w:r>
              <w:rPr>
                <w:w w:val="99"/>
                <w:sz w:val="20"/>
              </w:rPr>
              <w:t>-</w:t>
            </w:r>
          </w:p>
        </w:tc>
        <w:tc>
          <w:tcPr>
            <w:tcW w:w="1162" w:type="dxa"/>
            <w:tcBorders>
              <w:top w:val="single" w:sz="4" w:space="0" w:color="000000"/>
              <w:bottom w:val="single" w:sz="4" w:space="0" w:color="000000"/>
            </w:tcBorders>
            <w:shd w:val="clear" w:color="auto" w:fill="DDEBF6"/>
          </w:tcPr>
          <w:p>
            <w:pPr>
              <w:pStyle w:val="TableParagraph"/>
              <w:spacing w:line="211" w:lineRule="exact" w:before="30"/>
              <w:ind w:right="101"/>
              <w:jc w:val="right"/>
              <w:rPr>
                <w:sz w:val="20"/>
              </w:rPr>
            </w:pPr>
            <w:r>
              <w:rPr>
                <w:w w:val="99"/>
                <w:sz w:val="20"/>
              </w:rPr>
              <w:t>-</w:t>
            </w:r>
          </w:p>
        </w:tc>
        <w:tc>
          <w:tcPr>
            <w:tcW w:w="1552" w:type="dxa"/>
            <w:tcBorders>
              <w:top w:val="single" w:sz="4" w:space="0" w:color="000000"/>
              <w:bottom w:val="single" w:sz="4" w:space="0" w:color="000000"/>
            </w:tcBorders>
          </w:tcPr>
          <w:p>
            <w:pPr>
              <w:pStyle w:val="TableParagraph"/>
              <w:spacing w:line="211" w:lineRule="exact" w:before="30"/>
              <w:ind w:right="117"/>
              <w:jc w:val="right"/>
              <w:rPr>
                <w:sz w:val="20"/>
              </w:rPr>
            </w:pPr>
            <w:r>
              <w:rPr>
                <w:w w:val="99"/>
                <w:sz w:val="20"/>
              </w:rPr>
              <w:t>-</w:t>
            </w:r>
          </w:p>
        </w:tc>
        <w:tc>
          <w:tcPr>
            <w:tcW w:w="1341" w:type="dxa"/>
            <w:tcBorders>
              <w:top w:val="single" w:sz="4" w:space="0" w:color="000000"/>
              <w:bottom w:val="single" w:sz="4" w:space="0" w:color="000000"/>
            </w:tcBorders>
          </w:tcPr>
          <w:p>
            <w:pPr>
              <w:pStyle w:val="TableParagraph"/>
              <w:spacing w:line="211" w:lineRule="exact" w:before="30"/>
              <w:ind w:right="234"/>
              <w:jc w:val="right"/>
              <w:rPr>
                <w:sz w:val="20"/>
              </w:rPr>
            </w:pPr>
            <w:r>
              <w:rPr>
                <w:w w:val="99"/>
                <w:sz w:val="20"/>
              </w:rPr>
              <w:t>-</w:t>
            </w:r>
          </w:p>
        </w:tc>
        <w:tc>
          <w:tcPr>
            <w:tcW w:w="1559" w:type="dxa"/>
            <w:tcBorders>
              <w:top w:val="single" w:sz="4" w:space="0" w:color="000000"/>
              <w:bottom w:val="single" w:sz="4" w:space="0" w:color="000000"/>
              <w:right w:val="single" w:sz="4" w:space="0" w:color="000000"/>
            </w:tcBorders>
          </w:tcPr>
          <w:p>
            <w:pPr>
              <w:pStyle w:val="TableParagraph"/>
              <w:spacing w:line="211" w:lineRule="exact" w:before="30"/>
              <w:ind w:right="99"/>
              <w:jc w:val="right"/>
              <w:rPr>
                <w:sz w:val="20"/>
              </w:rPr>
            </w:pPr>
            <w:r>
              <w:rPr>
                <w:w w:val="99"/>
                <w:sz w:val="20"/>
              </w:rPr>
              <w:t>-</w:t>
            </w:r>
          </w:p>
        </w:tc>
      </w:tr>
      <w:tr>
        <w:trPr>
          <w:trHeight w:val="261" w:hRule="atLeast"/>
        </w:trPr>
        <w:tc>
          <w:tcPr>
            <w:tcW w:w="3264" w:type="dxa"/>
            <w:tcBorders>
              <w:left w:val="single" w:sz="4" w:space="0" w:color="000000"/>
            </w:tcBorders>
          </w:tcPr>
          <w:p>
            <w:pPr>
              <w:pStyle w:val="TableParagraph"/>
              <w:spacing w:line="211" w:lineRule="exact" w:before="30"/>
              <w:ind w:left="107"/>
              <w:rPr>
                <w:sz w:val="20"/>
              </w:rPr>
            </w:pPr>
            <w:r>
              <w:rPr>
                <w:spacing w:val="-2"/>
                <w:sz w:val="20"/>
              </w:rPr>
              <w:t>Buildings</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line="225" w:lineRule="exact" w:before="16"/>
              <w:ind w:right="102"/>
              <w:jc w:val="right"/>
              <w:rPr>
                <w:sz w:val="20"/>
              </w:rPr>
            </w:pPr>
            <w:r>
              <w:rPr>
                <w:spacing w:val="-2"/>
                <w:sz w:val="20"/>
              </w:rPr>
              <w:t>16,265</w:t>
            </w:r>
          </w:p>
        </w:tc>
        <w:tc>
          <w:tcPr>
            <w:tcW w:w="1162" w:type="dxa"/>
            <w:tcBorders>
              <w:top w:val="single" w:sz="4" w:space="0" w:color="000000"/>
              <w:bottom w:val="single" w:sz="4" w:space="0" w:color="000000"/>
            </w:tcBorders>
            <w:shd w:val="clear" w:color="auto" w:fill="DDEBF6"/>
          </w:tcPr>
          <w:p>
            <w:pPr>
              <w:pStyle w:val="TableParagraph"/>
              <w:spacing w:line="225" w:lineRule="exact" w:before="16"/>
              <w:ind w:right="103"/>
              <w:jc w:val="right"/>
              <w:rPr>
                <w:sz w:val="20"/>
              </w:rPr>
            </w:pPr>
            <w:r>
              <w:rPr>
                <w:spacing w:val="-2"/>
                <w:sz w:val="20"/>
              </w:rPr>
              <w:t>43,736</w:t>
            </w:r>
          </w:p>
        </w:tc>
        <w:tc>
          <w:tcPr>
            <w:tcW w:w="1552" w:type="dxa"/>
            <w:tcBorders>
              <w:top w:val="single" w:sz="4" w:space="0" w:color="000000"/>
              <w:bottom w:val="single" w:sz="4" w:space="0" w:color="000000"/>
            </w:tcBorders>
          </w:tcPr>
          <w:p>
            <w:pPr>
              <w:pStyle w:val="TableParagraph"/>
              <w:spacing w:line="225" w:lineRule="exact" w:before="16"/>
              <w:ind w:right="119"/>
              <w:jc w:val="right"/>
              <w:rPr>
                <w:sz w:val="20"/>
              </w:rPr>
            </w:pPr>
            <w:r>
              <w:rPr>
                <w:spacing w:val="-2"/>
                <w:sz w:val="20"/>
              </w:rPr>
              <w:t>21,276</w:t>
            </w:r>
          </w:p>
        </w:tc>
        <w:tc>
          <w:tcPr>
            <w:tcW w:w="1341" w:type="dxa"/>
            <w:tcBorders>
              <w:top w:val="single" w:sz="4" w:space="0" w:color="000000"/>
              <w:bottom w:val="single" w:sz="4" w:space="0" w:color="000000"/>
            </w:tcBorders>
          </w:tcPr>
          <w:p>
            <w:pPr>
              <w:pStyle w:val="TableParagraph"/>
              <w:spacing w:line="225" w:lineRule="exact" w:before="16"/>
              <w:ind w:right="236"/>
              <w:jc w:val="right"/>
              <w:rPr>
                <w:sz w:val="20"/>
              </w:rPr>
            </w:pPr>
            <w:r>
              <w:rPr>
                <w:spacing w:val="-2"/>
                <w:sz w:val="20"/>
              </w:rPr>
              <w:t>27,609</w:t>
            </w:r>
          </w:p>
        </w:tc>
        <w:tc>
          <w:tcPr>
            <w:tcW w:w="1559" w:type="dxa"/>
            <w:tcBorders>
              <w:top w:val="single" w:sz="4" w:space="0" w:color="000000"/>
              <w:bottom w:val="single" w:sz="4" w:space="0" w:color="000000"/>
              <w:right w:val="single" w:sz="4" w:space="0" w:color="000000"/>
            </w:tcBorders>
          </w:tcPr>
          <w:p>
            <w:pPr>
              <w:pStyle w:val="TableParagraph"/>
              <w:spacing w:line="225" w:lineRule="exact" w:before="16"/>
              <w:ind w:right="100"/>
              <w:jc w:val="right"/>
              <w:rPr>
                <w:sz w:val="20"/>
              </w:rPr>
            </w:pPr>
            <w:r>
              <w:rPr>
                <w:spacing w:val="-2"/>
                <w:sz w:val="20"/>
              </w:rPr>
              <w:t>42,893</w:t>
            </w:r>
          </w:p>
        </w:tc>
      </w:tr>
      <w:tr>
        <w:trPr>
          <w:trHeight w:val="263" w:hRule="atLeast"/>
        </w:trPr>
        <w:tc>
          <w:tcPr>
            <w:tcW w:w="3264" w:type="dxa"/>
            <w:tcBorders>
              <w:left w:val="single" w:sz="4" w:space="0" w:color="000000"/>
            </w:tcBorders>
          </w:tcPr>
          <w:p>
            <w:pPr>
              <w:pStyle w:val="TableParagraph"/>
              <w:spacing w:line="211" w:lineRule="exact" w:before="33"/>
              <w:ind w:left="107"/>
              <w:rPr>
                <w:b/>
                <w:sz w:val="20"/>
              </w:rPr>
            </w:pPr>
            <w:r>
              <w:rPr>
                <w:b/>
                <w:sz w:val="20"/>
              </w:rPr>
              <w:t>Total</w:t>
            </w:r>
            <w:r>
              <w:rPr>
                <w:b/>
                <w:spacing w:val="-6"/>
                <w:sz w:val="20"/>
              </w:rPr>
              <w:t> </w:t>
            </w:r>
            <w:r>
              <w:rPr>
                <w:b/>
                <w:spacing w:val="-2"/>
                <w:sz w:val="20"/>
              </w:rPr>
              <w:t>buildings</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line="227" w:lineRule="exact" w:before="16"/>
              <w:ind w:right="102"/>
              <w:jc w:val="right"/>
              <w:rPr>
                <w:sz w:val="20"/>
              </w:rPr>
            </w:pPr>
            <w:r>
              <w:rPr>
                <w:spacing w:val="-2"/>
                <w:sz w:val="20"/>
              </w:rPr>
              <w:t>16,265</w:t>
            </w:r>
          </w:p>
        </w:tc>
        <w:tc>
          <w:tcPr>
            <w:tcW w:w="1162" w:type="dxa"/>
            <w:tcBorders>
              <w:top w:val="single" w:sz="4" w:space="0" w:color="000000"/>
              <w:bottom w:val="single" w:sz="4" w:space="0" w:color="000000"/>
            </w:tcBorders>
            <w:shd w:val="clear" w:color="auto" w:fill="DDEBF6"/>
          </w:tcPr>
          <w:p>
            <w:pPr>
              <w:pStyle w:val="TableParagraph"/>
              <w:spacing w:line="227" w:lineRule="exact" w:before="16"/>
              <w:ind w:right="103"/>
              <w:jc w:val="right"/>
              <w:rPr>
                <w:sz w:val="20"/>
              </w:rPr>
            </w:pPr>
            <w:r>
              <w:rPr>
                <w:spacing w:val="-2"/>
                <w:sz w:val="20"/>
              </w:rPr>
              <w:t>43,736</w:t>
            </w:r>
          </w:p>
        </w:tc>
        <w:tc>
          <w:tcPr>
            <w:tcW w:w="1552" w:type="dxa"/>
            <w:tcBorders>
              <w:top w:val="single" w:sz="4" w:space="0" w:color="000000"/>
              <w:bottom w:val="single" w:sz="4" w:space="0" w:color="000000"/>
            </w:tcBorders>
          </w:tcPr>
          <w:p>
            <w:pPr>
              <w:pStyle w:val="TableParagraph"/>
              <w:spacing w:line="227" w:lineRule="exact" w:before="16"/>
              <w:ind w:right="119"/>
              <w:jc w:val="right"/>
              <w:rPr>
                <w:sz w:val="20"/>
              </w:rPr>
            </w:pPr>
            <w:r>
              <w:rPr>
                <w:spacing w:val="-2"/>
                <w:sz w:val="20"/>
              </w:rPr>
              <w:t>21,276</w:t>
            </w:r>
          </w:p>
        </w:tc>
        <w:tc>
          <w:tcPr>
            <w:tcW w:w="1341" w:type="dxa"/>
            <w:tcBorders>
              <w:top w:val="single" w:sz="4" w:space="0" w:color="000000"/>
              <w:bottom w:val="single" w:sz="4" w:space="0" w:color="000000"/>
            </w:tcBorders>
          </w:tcPr>
          <w:p>
            <w:pPr>
              <w:pStyle w:val="TableParagraph"/>
              <w:spacing w:line="227" w:lineRule="exact" w:before="16"/>
              <w:ind w:right="236"/>
              <w:jc w:val="right"/>
              <w:rPr>
                <w:sz w:val="20"/>
              </w:rPr>
            </w:pPr>
            <w:r>
              <w:rPr>
                <w:spacing w:val="-2"/>
                <w:sz w:val="20"/>
              </w:rPr>
              <w:t>27,609</w:t>
            </w:r>
          </w:p>
        </w:tc>
        <w:tc>
          <w:tcPr>
            <w:tcW w:w="1559" w:type="dxa"/>
            <w:tcBorders>
              <w:top w:val="single" w:sz="4" w:space="0" w:color="000000"/>
              <w:bottom w:val="single" w:sz="4" w:space="0" w:color="000000"/>
              <w:right w:val="single" w:sz="4" w:space="0" w:color="000000"/>
            </w:tcBorders>
          </w:tcPr>
          <w:p>
            <w:pPr>
              <w:pStyle w:val="TableParagraph"/>
              <w:spacing w:line="227" w:lineRule="exact" w:before="16"/>
              <w:ind w:right="100"/>
              <w:jc w:val="right"/>
              <w:rPr>
                <w:sz w:val="20"/>
              </w:rPr>
            </w:pPr>
            <w:r>
              <w:rPr>
                <w:spacing w:val="-2"/>
                <w:sz w:val="20"/>
              </w:rPr>
              <w:t>42,893</w:t>
            </w:r>
          </w:p>
        </w:tc>
      </w:tr>
      <w:tr>
        <w:trPr>
          <w:trHeight w:val="261" w:hRule="atLeast"/>
        </w:trPr>
        <w:tc>
          <w:tcPr>
            <w:tcW w:w="3264" w:type="dxa"/>
            <w:tcBorders>
              <w:left w:val="single" w:sz="4" w:space="0" w:color="000000"/>
            </w:tcBorders>
          </w:tcPr>
          <w:p>
            <w:pPr>
              <w:pStyle w:val="TableParagraph"/>
              <w:spacing w:line="211" w:lineRule="exact" w:before="30"/>
              <w:ind w:left="107"/>
              <w:rPr>
                <w:b/>
                <w:sz w:val="20"/>
              </w:rPr>
            </w:pPr>
            <w:r>
              <w:rPr>
                <w:b/>
                <w:sz w:val="20"/>
              </w:rPr>
              <w:t>Total</w:t>
            </w:r>
            <w:r>
              <w:rPr>
                <w:b/>
                <w:spacing w:val="-6"/>
                <w:sz w:val="20"/>
              </w:rPr>
              <w:t> </w:t>
            </w:r>
            <w:r>
              <w:rPr>
                <w:b/>
                <w:spacing w:val="-2"/>
                <w:sz w:val="20"/>
              </w:rPr>
              <w:t>property</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line="227" w:lineRule="exact" w:before="14"/>
              <w:ind w:right="102"/>
              <w:jc w:val="right"/>
              <w:rPr>
                <w:sz w:val="20"/>
              </w:rPr>
            </w:pPr>
            <w:r>
              <w:rPr>
                <w:spacing w:val="-2"/>
                <w:sz w:val="20"/>
              </w:rPr>
              <w:t>16,265</w:t>
            </w:r>
          </w:p>
        </w:tc>
        <w:tc>
          <w:tcPr>
            <w:tcW w:w="1162" w:type="dxa"/>
            <w:tcBorders>
              <w:top w:val="single" w:sz="4" w:space="0" w:color="000000"/>
              <w:bottom w:val="single" w:sz="4" w:space="0" w:color="000000"/>
            </w:tcBorders>
            <w:shd w:val="clear" w:color="auto" w:fill="DDEBF6"/>
          </w:tcPr>
          <w:p>
            <w:pPr>
              <w:pStyle w:val="TableParagraph"/>
              <w:spacing w:line="227" w:lineRule="exact" w:before="14"/>
              <w:ind w:right="103"/>
              <w:jc w:val="right"/>
              <w:rPr>
                <w:b/>
                <w:sz w:val="20"/>
              </w:rPr>
            </w:pPr>
            <w:r>
              <w:rPr>
                <w:b/>
                <w:spacing w:val="-2"/>
                <w:sz w:val="20"/>
              </w:rPr>
              <w:t>43,736</w:t>
            </w:r>
          </w:p>
        </w:tc>
        <w:tc>
          <w:tcPr>
            <w:tcW w:w="1552" w:type="dxa"/>
            <w:tcBorders>
              <w:top w:val="single" w:sz="4" w:space="0" w:color="000000"/>
              <w:bottom w:val="single" w:sz="4" w:space="0" w:color="000000"/>
            </w:tcBorders>
          </w:tcPr>
          <w:p>
            <w:pPr>
              <w:pStyle w:val="TableParagraph"/>
              <w:spacing w:line="227" w:lineRule="exact" w:before="14"/>
              <w:ind w:right="119"/>
              <w:jc w:val="right"/>
              <w:rPr>
                <w:sz w:val="20"/>
              </w:rPr>
            </w:pPr>
            <w:r>
              <w:rPr>
                <w:spacing w:val="-2"/>
                <w:sz w:val="20"/>
              </w:rPr>
              <w:t>21,276</w:t>
            </w:r>
          </w:p>
        </w:tc>
        <w:tc>
          <w:tcPr>
            <w:tcW w:w="1341" w:type="dxa"/>
            <w:tcBorders>
              <w:top w:val="single" w:sz="4" w:space="0" w:color="000000"/>
              <w:bottom w:val="single" w:sz="4" w:space="0" w:color="000000"/>
            </w:tcBorders>
          </w:tcPr>
          <w:p>
            <w:pPr>
              <w:pStyle w:val="TableParagraph"/>
              <w:spacing w:line="227" w:lineRule="exact" w:before="14"/>
              <w:ind w:right="236"/>
              <w:jc w:val="right"/>
              <w:rPr>
                <w:sz w:val="20"/>
              </w:rPr>
            </w:pPr>
            <w:r>
              <w:rPr>
                <w:spacing w:val="-2"/>
                <w:sz w:val="20"/>
              </w:rPr>
              <w:t>27,609</w:t>
            </w:r>
          </w:p>
        </w:tc>
        <w:tc>
          <w:tcPr>
            <w:tcW w:w="1559" w:type="dxa"/>
            <w:tcBorders>
              <w:top w:val="single" w:sz="4" w:space="0" w:color="000000"/>
              <w:bottom w:val="single" w:sz="4" w:space="0" w:color="000000"/>
              <w:right w:val="single" w:sz="4" w:space="0" w:color="000000"/>
            </w:tcBorders>
          </w:tcPr>
          <w:p>
            <w:pPr>
              <w:pStyle w:val="TableParagraph"/>
              <w:spacing w:line="227" w:lineRule="exact" w:before="14"/>
              <w:ind w:right="100"/>
              <w:jc w:val="right"/>
              <w:rPr>
                <w:sz w:val="20"/>
              </w:rPr>
            </w:pPr>
            <w:r>
              <w:rPr>
                <w:spacing w:val="-2"/>
                <w:sz w:val="20"/>
              </w:rPr>
              <w:t>42,893</w:t>
            </w:r>
          </w:p>
        </w:tc>
      </w:tr>
      <w:tr>
        <w:trPr>
          <w:trHeight w:val="534" w:hRule="atLeast"/>
        </w:trPr>
        <w:tc>
          <w:tcPr>
            <w:tcW w:w="3264" w:type="dxa"/>
            <w:tcBorders>
              <w:left w:val="single" w:sz="4" w:space="0" w:color="000000"/>
            </w:tcBorders>
          </w:tcPr>
          <w:p>
            <w:pPr>
              <w:pStyle w:val="TableParagraph"/>
              <w:spacing w:before="4"/>
              <w:rPr>
                <w:i/>
                <w:sz w:val="25"/>
              </w:rPr>
            </w:pPr>
          </w:p>
          <w:p>
            <w:pPr>
              <w:pStyle w:val="TableParagraph"/>
              <w:spacing w:line="222" w:lineRule="exact"/>
              <w:ind w:left="107"/>
              <w:rPr>
                <w:b/>
                <w:sz w:val="20"/>
              </w:rPr>
            </w:pPr>
            <w:r>
              <w:rPr>
                <w:b/>
                <w:sz w:val="20"/>
              </w:rPr>
              <w:t>Plant</w:t>
            </w:r>
            <w:r>
              <w:rPr>
                <w:b/>
                <w:spacing w:val="-5"/>
                <w:sz w:val="20"/>
              </w:rPr>
              <w:t> </w:t>
            </w:r>
            <w:r>
              <w:rPr>
                <w:b/>
                <w:sz w:val="20"/>
              </w:rPr>
              <w:t>and</w:t>
            </w:r>
            <w:r>
              <w:rPr>
                <w:b/>
                <w:spacing w:val="-4"/>
                <w:sz w:val="20"/>
              </w:rPr>
              <w:t> </w:t>
            </w:r>
            <w:r>
              <w:rPr>
                <w:b/>
                <w:spacing w:val="-2"/>
                <w:sz w:val="20"/>
              </w:rPr>
              <w:t>equipment</w:t>
            </w:r>
          </w:p>
        </w:tc>
        <w:tc>
          <w:tcPr>
            <w:tcW w:w="964" w:type="dxa"/>
          </w:tcPr>
          <w:p>
            <w:pPr>
              <w:pStyle w:val="TableParagraph"/>
              <w:rPr>
                <w:rFonts w:ascii="Times New Roman"/>
                <w:sz w:val="18"/>
              </w:rPr>
            </w:pPr>
          </w:p>
        </w:tc>
        <w:tc>
          <w:tcPr>
            <w:tcW w:w="1200" w:type="dxa"/>
            <w:tcBorders>
              <w:top w:val="single" w:sz="4" w:space="0" w:color="000000"/>
            </w:tcBorders>
          </w:tcPr>
          <w:p>
            <w:pPr>
              <w:pStyle w:val="TableParagraph"/>
              <w:rPr>
                <w:rFonts w:ascii="Times New Roman"/>
                <w:sz w:val="18"/>
              </w:rPr>
            </w:pPr>
          </w:p>
        </w:tc>
        <w:tc>
          <w:tcPr>
            <w:tcW w:w="1162" w:type="dxa"/>
            <w:tcBorders>
              <w:top w:val="single" w:sz="4" w:space="0" w:color="000000"/>
            </w:tcBorders>
            <w:shd w:val="clear" w:color="auto" w:fill="DDEBF6"/>
          </w:tcPr>
          <w:p>
            <w:pPr>
              <w:pStyle w:val="TableParagraph"/>
              <w:rPr>
                <w:rFonts w:ascii="Times New Roman"/>
                <w:sz w:val="18"/>
              </w:rPr>
            </w:pPr>
          </w:p>
        </w:tc>
        <w:tc>
          <w:tcPr>
            <w:tcW w:w="1552" w:type="dxa"/>
            <w:tcBorders>
              <w:top w:val="single" w:sz="4" w:space="0" w:color="000000"/>
            </w:tcBorders>
          </w:tcPr>
          <w:p>
            <w:pPr>
              <w:pStyle w:val="TableParagraph"/>
              <w:rPr>
                <w:rFonts w:ascii="Times New Roman"/>
                <w:sz w:val="18"/>
              </w:rPr>
            </w:pPr>
          </w:p>
        </w:tc>
        <w:tc>
          <w:tcPr>
            <w:tcW w:w="1341" w:type="dxa"/>
            <w:tcBorders>
              <w:top w:val="single" w:sz="4" w:space="0" w:color="000000"/>
            </w:tcBorders>
          </w:tcPr>
          <w:p>
            <w:pPr>
              <w:pStyle w:val="TableParagraph"/>
              <w:rPr>
                <w:rFonts w:ascii="Times New Roman"/>
                <w:sz w:val="18"/>
              </w:rPr>
            </w:pPr>
          </w:p>
        </w:tc>
        <w:tc>
          <w:tcPr>
            <w:tcW w:w="1559" w:type="dxa"/>
            <w:tcBorders>
              <w:top w:val="single" w:sz="4" w:space="0" w:color="000000"/>
              <w:right w:val="single" w:sz="4" w:space="0" w:color="000000"/>
            </w:tcBorders>
          </w:tcPr>
          <w:p>
            <w:pPr>
              <w:pStyle w:val="TableParagraph"/>
              <w:rPr>
                <w:rFonts w:ascii="Times New Roman"/>
                <w:sz w:val="18"/>
              </w:rPr>
            </w:pPr>
          </w:p>
        </w:tc>
      </w:tr>
      <w:tr>
        <w:trPr>
          <w:trHeight w:val="262" w:hRule="atLeast"/>
        </w:trPr>
        <w:tc>
          <w:tcPr>
            <w:tcW w:w="3264" w:type="dxa"/>
            <w:tcBorders>
              <w:left w:val="single" w:sz="4" w:space="0" w:color="000000"/>
            </w:tcBorders>
          </w:tcPr>
          <w:p>
            <w:pPr>
              <w:pStyle w:val="TableParagraph"/>
              <w:spacing w:line="221" w:lineRule="exact" w:before="22"/>
              <w:ind w:left="107"/>
              <w:rPr>
                <w:sz w:val="20"/>
              </w:rPr>
            </w:pPr>
            <w:r>
              <w:rPr>
                <w:sz w:val="20"/>
              </w:rPr>
              <w:t>Plant,</w:t>
            </w:r>
            <w:r>
              <w:rPr>
                <w:spacing w:val="-4"/>
                <w:sz w:val="20"/>
              </w:rPr>
              <w:t> </w:t>
            </w:r>
            <w:r>
              <w:rPr>
                <w:sz w:val="20"/>
              </w:rPr>
              <w:t>machinery,</w:t>
            </w:r>
            <w:r>
              <w:rPr>
                <w:spacing w:val="-8"/>
                <w:sz w:val="20"/>
              </w:rPr>
              <w:t> </w:t>
            </w:r>
            <w:r>
              <w:rPr>
                <w:sz w:val="20"/>
              </w:rPr>
              <w:t>and</w:t>
            </w:r>
            <w:r>
              <w:rPr>
                <w:spacing w:val="-4"/>
                <w:sz w:val="20"/>
              </w:rPr>
              <w:t> </w:t>
            </w:r>
            <w:r>
              <w:rPr>
                <w:spacing w:val="-2"/>
                <w:sz w:val="20"/>
              </w:rPr>
              <w:t>equipment</w:t>
            </w:r>
          </w:p>
        </w:tc>
        <w:tc>
          <w:tcPr>
            <w:tcW w:w="964" w:type="dxa"/>
          </w:tcPr>
          <w:p>
            <w:pPr>
              <w:pStyle w:val="TableParagraph"/>
              <w:rPr>
                <w:rFonts w:ascii="Times New Roman"/>
                <w:sz w:val="18"/>
              </w:rPr>
            </w:pPr>
          </w:p>
        </w:tc>
        <w:tc>
          <w:tcPr>
            <w:tcW w:w="1200" w:type="dxa"/>
          </w:tcPr>
          <w:p>
            <w:pPr>
              <w:pStyle w:val="TableParagraph"/>
              <w:spacing w:before="5"/>
              <w:ind w:right="101"/>
              <w:jc w:val="right"/>
              <w:rPr>
                <w:sz w:val="20"/>
              </w:rPr>
            </w:pPr>
            <w:r>
              <w:rPr>
                <w:spacing w:val="-2"/>
                <w:sz w:val="20"/>
              </w:rPr>
              <w:t>3,337</w:t>
            </w:r>
          </w:p>
        </w:tc>
        <w:tc>
          <w:tcPr>
            <w:tcW w:w="1162" w:type="dxa"/>
            <w:shd w:val="clear" w:color="auto" w:fill="DDEBF6"/>
          </w:tcPr>
          <w:p>
            <w:pPr>
              <w:pStyle w:val="TableParagraph"/>
              <w:spacing w:before="5"/>
              <w:ind w:right="102"/>
              <w:jc w:val="right"/>
              <w:rPr>
                <w:sz w:val="20"/>
              </w:rPr>
            </w:pPr>
            <w:r>
              <w:rPr>
                <w:spacing w:val="-2"/>
                <w:sz w:val="20"/>
              </w:rPr>
              <w:t>2,637</w:t>
            </w:r>
          </w:p>
        </w:tc>
        <w:tc>
          <w:tcPr>
            <w:tcW w:w="1552" w:type="dxa"/>
          </w:tcPr>
          <w:p>
            <w:pPr>
              <w:pStyle w:val="TableParagraph"/>
              <w:spacing w:before="5"/>
              <w:ind w:right="118"/>
              <w:jc w:val="right"/>
              <w:rPr>
                <w:sz w:val="20"/>
              </w:rPr>
            </w:pPr>
            <w:r>
              <w:rPr>
                <w:spacing w:val="-2"/>
                <w:sz w:val="20"/>
              </w:rPr>
              <w:t>1,257</w:t>
            </w:r>
          </w:p>
        </w:tc>
        <w:tc>
          <w:tcPr>
            <w:tcW w:w="1341" w:type="dxa"/>
          </w:tcPr>
          <w:p>
            <w:pPr>
              <w:pStyle w:val="TableParagraph"/>
              <w:spacing w:before="5"/>
              <w:ind w:right="235"/>
              <w:jc w:val="right"/>
              <w:rPr>
                <w:sz w:val="20"/>
              </w:rPr>
            </w:pPr>
            <w:r>
              <w:rPr>
                <w:spacing w:val="-2"/>
                <w:sz w:val="20"/>
              </w:rPr>
              <w:t>1,104</w:t>
            </w:r>
          </w:p>
        </w:tc>
        <w:tc>
          <w:tcPr>
            <w:tcW w:w="1559" w:type="dxa"/>
            <w:tcBorders>
              <w:right w:val="single" w:sz="4" w:space="0" w:color="000000"/>
            </w:tcBorders>
          </w:tcPr>
          <w:p>
            <w:pPr>
              <w:pStyle w:val="TableParagraph"/>
              <w:spacing w:before="5"/>
              <w:ind w:right="99"/>
              <w:jc w:val="right"/>
              <w:rPr>
                <w:sz w:val="20"/>
              </w:rPr>
            </w:pPr>
            <w:r>
              <w:rPr>
                <w:spacing w:val="-2"/>
                <w:sz w:val="20"/>
              </w:rPr>
              <w:t>3,350</w:t>
            </w:r>
          </w:p>
        </w:tc>
      </w:tr>
      <w:tr>
        <w:trPr>
          <w:trHeight w:val="254" w:hRule="atLeast"/>
        </w:trPr>
        <w:tc>
          <w:tcPr>
            <w:tcW w:w="3264" w:type="dxa"/>
            <w:tcBorders>
              <w:left w:val="single" w:sz="4" w:space="0" w:color="000000"/>
            </w:tcBorders>
          </w:tcPr>
          <w:p>
            <w:pPr>
              <w:pStyle w:val="TableParagraph"/>
              <w:spacing w:line="214" w:lineRule="exact" w:before="20"/>
              <w:ind w:left="107"/>
              <w:rPr>
                <w:sz w:val="20"/>
              </w:rPr>
            </w:pPr>
            <w:r>
              <w:rPr>
                <w:sz w:val="20"/>
              </w:rPr>
              <w:t>Fixtures,</w:t>
            </w:r>
            <w:r>
              <w:rPr>
                <w:spacing w:val="-7"/>
                <w:sz w:val="20"/>
              </w:rPr>
              <w:t> </w:t>
            </w:r>
            <w:r>
              <w:rPr>
                <w:sz w:val="20"/>
              </w:rPr>
              <w:t>fittings,</w:t>
            </w:r>
            <w:r>
              <w:rPr>
                <w:spacing w:val="-6"/>
                <w:sz w:val="20"/>
              </w:rPr>
              <w:t> </w:t>
            </w:r>
            <w:r>
              <w:rPr>
                <w:sz w:val="20"/>
              </w:rPr>
              <w:t>and</w:t>
            </w:r>
            <w:r>
              <w:rPr>
                <w:spacing w:val="-7"/>
                <w:sz w:val="20"/>
              </w:rPr>
              <w:t> </w:t>
            </w:r>
            <w:r>
              <w:rPr>
                <w:spacing w:val="-2"/>
                <w:sz w:val="20"/>
              </w:rPr>
              <w:t>furniture</w:t>
            </w:r>
          </w:p>
        </w:tc>
        <w:tc>
          <w:tcPr>
            <w:tcW w:w="964" w:type="dxa"/>
          </w:tcPr>
          <w:p>
            <w:pPr>
              <w:pStyle w:val="TableParagraph"/>
              <w:rPr>
                <w:rFonts w:ascii="Times New Roman"/>
                <w:sz w:val="18"/>
              </w:rPr>
            </w:pPr>
          </w:p>
        </w:tc>
        <w:tc>
          <w:tcPr>
            <w:tcW w:w="1200" w:type="dxa"/>
          </w:tcPr>
          <w:p>
            <w:pPr>
              <w:pStyle w:val="TableParagraph"/>
              <w:spacing w:before="4"/>
              <w:ind w:right="102"/>
              <w:jc w:val="right"/>
              <w:rPr>
                <w:sz w:val="20"/>
              </w:rPr>
            </w:pPr>
            <w:r>
              <w:rPr>
                <w:spacing w:val="-5"/>
                <w:sz w:val="20"/>
              </w:rPr>
              <w:t>131</w:t>
            </w:r>
          </w:p>
        </w:tc>
        <w:tc>
          <w:tcPr>
            <w:tcW w:w="1162" w:type="dxa"/>
            <w:shd w:val="clear" w:color="auto" w:fill="DDEBF6"/>
          </w:tcPr>
          <w:p>
            <w:pPr>
              <w:pStyle w:val="TableParagraph"/>
              <w:spacing w:before="4"/>
              <w:ind w:right="103"/>
              <w:jc w:val="right"/>
              <w:rPr>
                <w:sz w:val="20"/>
              </w:rPr>
            </w:pPr>
            <w:r>
              <w:rPr>
                <w:spacing w:val="-5"/>
                <w:sz w:val="20"/>
              </w:rPr>
              <w:t>832</w:t>
            </w:r>
          </w:p>
        </w:tc>
        <w:tc>
          <w:tcPr>
            <w:tcW w:w="1552" w:type="dxa"/>
          </w:tcPr>
          <w:p>
            <w:pPr>
              <w:pStyle w:val="TableParagraph"/>
              <w:spacing w:before="4"/>
              <w:ind w:right="119"/>
              <w:jc w:val="right"/>
              <w:rPr>
                <w:sz w:val="20"/>
              </w:rPr>
            </w:pPr>
            <w:r>
              <w:rPr>
                <w:spacing w:val="-5"/>
                <w:sz w:val="20"/>
              </w:rPr>
              <w:t>809</w:t>
            </w:r>
          </w:p>
        </w:tc>
        <w:tc>
          <w:tcPr>
            <w:tcW w:w="1341" w:type="dxa"/>
          </w:tcPr>
          <w:p>
            <w:pPr>
              <w:pStyle w:val="TableParagraph"/>
              <w:spacing w:before="4"/>
              <w:ind w:right="236"/>
              <w:jc w:val="right"/>
              <w:rPr>
                <w:sz w:val="20"/>
              </w:rPr>
            </w:pPr>
            <w:r>
              <w:rPr>
                <w:spacing w:val="-5"/>
                <w:sz w:val="20"/>
              </w:rPr>
              <w:t>835</w:t>
            </w:r>
          </w:p>
        </w:tc>
        <w:tc>
          <w:tcPr>
            <w:tcW w:w="1559" w:type="dxa"/>
            <w:tcBorders>
              <w:right w:val="single" w:sz="4" w:space="0" w:color="000000"/>
            </w:tcBorders>
          </w:tcPr>
          <w:p>
            <w:pPr>
              <w:pStyle w:val="TableParagraph"/>
              <w:spacing w:before="4"/>
              <w:ind w:right="100"/>
              <w:jc w:val="right"/>
              <w:rPr>
                <w:sz w:val="20"/>
              </w:rPr>
            </w:pPr>
            <w:r>
              <w:rPr>
                <w:spacing w:val="-5"/>
                <w:sz w:val="20"/>
              </w:rPr>
              <w:t>837</w:t>
            </w:r>
          </w:p>
        </w:tc>
      </w:tr>
      <w:tr>
        <w:trPr>
          <w:trHeight w:val="455" w:hRule="atLeast"/>
        </w:trPr>
        <w:tc>
          <w:tcPr>
            <w:tcW w:w="3264" w:type="dxa"/>
            <w:tcBorders>
              <w:left w:val="single" w:sz="4" w:space="0" w:color="000000"/>
            </w:tcBorders>
          </w:tcPr>
          <w:p>
            <w:pPr>
              <w:pStyle w:val="TableParagraph"/>
              <w:spacing w:line="228" w:lineRule="exact"/>
              <w:ind w:left="107" w:right="73"/>
              <w:rPr>
                <w:sz w:val="20"/>
              </w:rPr>
            </w:pPr>
            <w:r>
              <w:rPr>
                <w:sz w:val="20"/>
              </w:rPr>
              <w:t>Computers and </w:t>
            </w:r>
            <w:r>
              <w:rPr>
                <w:spacing w:val="-2"/>
                <w:sz w:val="20"/>
              </w:rPr>
              <w:t>telecommunications</w:t>
            </w:r>
          </w:p>
        </w:tc>
        <w:tc>
          <w:tcPr>
            <w:tcW w:w="964" w:type="dxa"/>
          </w:tcPr>
          <w:p>
            <w:pPr>
              <w:pStyle w:val="TableParagraph"/>
              <w:rPr>
                <w:rFonts w:ascii="Times New Roman"/>
                <w:sz w:val="18"/>
              </w:rPr>
            </w:pPr>
          </w:p>
        </w:tc>
        <w:tc>
          <w:tcPr>
            <w:tcW w:w="1200" w:type="dxa"/>
            <w:tcBorders>
              <w:bottom w:val="single" w:sz="4" w:space="0" w:color="000000"/>
            </w:tcBorders>
          </w:tcPr>
          <w:p>
            <w:pPr>
              <w:pStyle w:val="TableParagraph"/>
              <w:spacing w:before="112"/>
              <w:ind w:right="102"/>
              <w:jc w:val="right"/>
              <w:rPr>
                <w:sz w:val="20"/>
              </w:rPr>
            </w:pPr>
            <w:r>
              <w:rPr>
                <w:spacing w:val="-5"/>
                <w:sz w:val="20"/>
              </w:rPr>
              <w:t>621</w:t>
            </w:r>
          </w:p>
        </w:tc>
        <w:tc>
          <w:tcPr>
            <w:tcW w:w="1162" w:type="dxa"/>
            <w:tcBorders>
              <w:bottom w:val="single" w:sz="4" w:space="0" w:color="000000"/>
            </w:tcBorders>
            <w:shd w:val="clear" w:color="auto" w:fill="DDEBF6"/>
          </w:tcPr>
          <w:p>
            <w:pPr>
              <w:pStyle w:val="TableParagraph"/>
              <w:spacing w:before="112"/>
              <w:ind w:right="103"/>
              <w:jc w:val="right"/>
              <w:rPr>
                <w:sz w:val="20"/>
              </w:rPr>
            </w:pPr>
            <w:r>
              <w:rPr>
                <w:spacing w:val="-5"/>
                <w:sz w:val="20"/>
              </w:rPr>
              <w:t>516</w:t>
            </w:r>
          </w:p>
        </w:tc>
        <w:tc>
          <w:tcPr>
            <w:tcW w:w="1552" w:type="dxa"/>
            <w:tcBorders>
              <w:bottom w:val="single" w:sz="4" w:space="0" w:color="000000"/>
            </w:tcBorders>
          </w:tcPr>
          <w:p>
            <w:pPr>
              <w:pStyle w:val="TableParagraph"/>
              <w:spacing w:before="112"/>
              <w:ind w:right="119"/>
              <w:jc w:val="right"/>
              <w:rPr>
                <w:sz w:val="20"/>
              </w:rPr>
            </w:pPr>
            <w:r>
              <w:rPr>
                <w:spacing w:val="-5"/>
                <w:sz w:val="20"/>
              </w:rPr>
              <w:t>326</w:t>
            </w:r>
          </w:p>
        </w:tc>
        <w:tc>
          <w:tcPr>
            <w:tcW w:w="1341" w:type="dxa"/>
            <w:tcBorders>
              <w:bottom w:val="single" w:sz="4" w:space="0" w:color="000000"/>
            </w:tcBorders>
          </w:tcPr>
          <w:p>
            <w:pPr>
              <w:pStyle w:val="TableParagraph"/>
              <w:spacing w:before="112"/>
              <w:ind w:right="236"/>
              <w:jc w:val="right"/>
              <w:rPr>
                <w:sz w:val="20"/>
              </w:rPr>
            </w:pPr>
            <w:r>
              <w:rPr>
                <w:spacing w:val="-5"/>
                <w:sz w:val="20"/>
              </w:rPr>
              <w:t>601</w:t>
            </w:r>
          </w:p>
        </w:tc>
        <w:tc>
          <w:tcPr>
            <w:tcW w:w="1559" w:type="dxa"/>
            <w:tcBorders>
              <w:bottom w:val="single" w:sz="4" w:space="0" w:color="000000"/>
              <w:right w:val="single" w:sz="4" w:space="0" w:color="000000"/>
            </w:tcBorders>
          </w:tcPr>
          <w:p>
            <w:pPr>
              <w:pStyle w:val="TableParagraph"/>
              <w:spacing w:before="112"/>
              <w:ind w:right="100"/>
              <w:jc w:val="right"/>
              <w:rPr>
                <w:sz w:val="20"/>
              </w:rPr>
            </w:pPr>
            <w:r>
              <w:rPr>
                <w:spacing w:val="-5"/>
                <w:sz w:val="20"/>
              </w:rPr>
              <w:t>366</w:t>
            </w:r>
          </w:p>
        </w:tc>
      </w:tr>
      <w:tr>
        <w:trPr>
          <w:trHeight w:val="262" w:hRule="atLeast"/>
        </w:trPr>
        <w:tc>
          <w:tcPr>
            <w:tcW w:w="3264" w:type="dxa"/>
            <w:tcBorders>
              <w:left w:val="single" w:sz="4" w:space="0" w:color="000000"/>
            </w:tcBorders>
          </w:tcPr>
          <w:p>
            <w:pPr>
              <w:pStyle w:val="TableParagraph"/>
              <w:spacing w:line="211" w:lineRule="exact" w:before="32"/>
              <w:ind w:left="107"/>
              <w:rPr>
                <w:b/>
                <w:sz w:val="20"/>
              </w:rPr>
            </w:pPr>
            <w:r>
              <w:rPr>
                <w:b/>
                <w:sz w:val="20"/>
              </w:rPr>
              <w:t>Total</w:t>
            </w:r>
            <w:r>
              <w:rPr>
                <w:b/>
                <w:spacing w:val="-6"/>
                <w:sz w:val="20"/>
              </w:rPr>
              <w:t> </w:t>
            </w:r>
            <w:r>
              <w:rPr>
                <w:b/>
                <w:sz w:val="20"/>
              </w:rPr>
              <w:t>plant</w:t>
            </w:r>
            <w:r>
              <w:rPr>
                <w:b/>
                <w:spacing w:val="-4"/>
                <w:sz w:val="20"/>
              </w:rPr>
              <w:t> </w:t>
            </w:r>
            <w:r>
              <w:rPr>
                <w:b/>
                <w:sz w:val="20"/>
              </w:rPr>
              <w:t>and</w:t>
            </w:r>
            <w:r>
              <w:rPr>
                <w:b/>
                <w:spacing w:val="-6"/>
                <w:sz w:val="20"/>
              </w:rPr>
              <w:t> </w:t>
            </w:r>
            <w:r>
              <w:rPr>
                <w:b/>
                <w:spacing w:val="-2"/>
                <w:sz w:val="20"/>
              </w:rPr>
              <w:t>equipment</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line="227" w:lineRule="exact" w:before="15"/>
              <w:ind w:right="101"/>
              <w:jc w:val="right"/>
              <w:rPr>
                <w:sz w:val="20"/>
              </w:rPr>
            </w:pPr>
            <w:r>
              <w:rPr>
                <w:spacing w:val="-2"/>
                <w:sz w:val="20"/>
              </w:rPr>
              <w:t>4,089</w:t>
            </w:r>
          </w:p>
        </w:tc>
        <w:tc>
          <w:tcPr>
            <w:tcW w:w="1162" w:type="dxa"/>
            <w:tcBorders>
              <w:top w:val="single" w:sz="4" w:space="0" w:color="000000"/>
              <w:bottom w:val="single" w:sz="4" w:space="0" w:color="000000"/>
            </w:tcBorders>
            <w:shd w:val="clear" w:color="auto" w:fill="DDEBF6"/>
          </w:tcPr>
          <w:p>
            <w:pPr>
              <w:pStyle w:val="TableParagraph"/>
              <w:spacing w:line="227" w:lineRule="exact" w:before="15"/>
              <w:ind w:right="102"/>
              <w:jc w:val="right"/>
              <w:rPr>
                <w:b/>
                <w:sz w:val="20"/>
              </w:rPr>
            </w:pPr>
            <w:r>
              <w:rPr>
                <w:b/>
                <w:spacing w:val="-2"/>
                <w:sz w:val="20"/>
              </w:rPr>
              <w:t>3,985</w:t>
            </w:r>
          </w:p>
        </w:tc>
        <w:tc>
          <w:tcPr>
            <w:tcW w:w="1552" w:type="dxa"/>
            <w:tcBorders>
              <w:top w:val="single" w:sz="4" w:space="0" w:color="000000"/>
              <w:bottom w:val="single" w:sz="4" w:space="0" w:color="000000"/>
            </w:tcBorders>
          </w:tcPr>
          <w:p>
            <w:pPr>
              <w:pStyle w:val="TableParagraph"/>
              <w:spacing w:line="227" w:lineRule="exact" w:before="15"/>
              <w:ind w:right="118"/>
              <w:jc w:val="right"/>
              <w:rPr>
                <w:sz w:val="20"/>
              </w:rPr>
            </w:pPr>
            <w:r>
              <w:rPr>
                <w:spacing w:val="-2"/>
                <w:sz w:val="20"/>
              </w:rPr>
              <w:t>2,392</w:t>
            </w:r>
          </w:p>
        </w:tc>
        <w:tc>
          <w:tcPr>
            <w:tcW w:w="1341" w:type="dxa"/>
            <w:tcBorders>
              <w:top w:val="single" w:sz="4" w:space="0" w:color="000000"/>
              <w:bottom w:val="single" w:sz="4" w:space="0" w:color="000000"/>
            </w:tcBorders>
          </w:tcPr>
          <w:p>
            <w:pPr>
              <w:pStyle w:val="TableParagraph"/>
              <w:spacing w:line="227" w:lineRule="exact" w:before="15"/>
              <w:ind w:right="235"/>
              <w:jc w:val="right"/>
              <w:rPr>
                <w:sz w:val="20"/>
              </w:rPr>
            </w:pPr>
            <w:r>
              <w:rPr>
                <w:spacing w:val="-2"/>
                <w:sz w:val="20"/>
              </w:rPr>
              <w:t>2,540</w:t>
            </w:r>
          </w:p>
        </w:tc>
        <w:tc>
          <w:tcPr>
            <w:tcW w:w="1559" w:type="dxa"/>
            <w:tcBorders>
              <w:top w:val="single" w:sz="4" w:space="0" w:color="000000"/>
              <w:bottom w:val="single" w:sz="4" w:space="0" w:color="000000"/>
              <w:right w:val="single" w:sz="4" w:space="0" w:color="000000"/>
            </w:tcBorders>
          </w:tcPr>
          <w:p>
            <w:pPr>
              <w:pStyle w:val="TableParagraph"/>
              <w:spacing w:line="227" w:lineRule="exact" w:before="15"/>
              <w:ind w:right="99"/>
              <w:jc w:val="right"/>
              <w:rPr>
                <w:sz w:val="20"/>
              </w:rPr>
            </w:pPr>
            <w:r>
              <w:rPr>
                <w:spacing w:val="-2"/>
                <w:sz w:val="20"/>
              </w:rPr>
              <w:t>4,553</w:t>
            </w:r>
          </w:p>
        </w:tc>
      </w:tr>
      <w:tr>
        <w:trPr>
          <w:trHeight w:val="534" w:hRule="atLeast"/>
        </w:trPr>
        <w:tc>
          <w:tcPr>
            <w:tcW w:w="3264" w:type="dxa"/>
            <w:tcBorders>
              <w:left w:val="single" w:sz="4" w:space="0" w:color="000000"/>
            </w:tcBorders>
          </w:tcPr>
          <w:p>
            <w:pPr>
              <w:pStyle w:val="TableParagraph"/>
              <w:spacing w:before="4"/>
              <w:rPr>
                <w:i/>
                <w:sz w:val="25"/>
              </w:rPr>
            </w:pPr>
          </w:p>
          <w:p>
            <w:pPr>
              <w:pStyle w:val="TableParagraph"/>
              <w:spacing w:line="222" w:lineRule="exact"/>
              <w:ind w:left="107"/>
              <w:rPr>
                <w:b/>
                <w:sz w:val="20"/>
              </w:rPr>
            </w:pPr>
            <w:r>
              <w:rPr>
                <w:b/>
                <w:spacing w:val="-2"/>
                <w:sz w:val="20"/>
              </w:rPr>
              <w:t>Infrastructure</w:t>
            </w:r>
          </w:p>
        </w:tc>
        <w:tc>
          <w:tcPr>
            <w:tcW w:w="964" w:type="dxa"/>
          </w:tcPr>
          <w:p>
            <w:pPr>
              <w:pStyle w:val="TableParagraph"/>
              <w:rPr>
                <w:rFonts w:ascii="Times New Roman"/>
                <w:sz w:val="18"/>
              </w:rPr>
            </w:pPr>
          </w:p>
        </w:tc>
        <w:tc>
          <w:tcPr>
            <w:tcW w:w="1200" w:type="dxa"/>
            <w:tcBorders>
              <w:top w:val="single" w:sz="4" w:space="0" w:color="000000"/>
            </w:tcBorders>
          </w:tcPr>
          <w:p>
            <w:pPr>
              <w:pStyle w:val="TableParagraph"/>
              <w:rPr>
                <w:rFonts w:ascii="Times New Roman"/>
                <w:sz w:val="18"/>
              </w:rPr>
            </w:pPr>
          </w:p>
        </w:tc>
        <w:tc>
          <w:tcPr>
            <w:tcW w:w="1162" w:type="dxa"/>
            <w:tcBorders>
              <w:top w:val="single" w:sz="4" w:space="0" w:color="000000"/>
            </w:tcBorders>
            <w:shd w:val="clear" w:color="auto" w:fill="DDEBF6"/>
          </w:tcPr>
          <w:p>
            <w:pPr>
              <w:pStyle w:val="TableParagraph"/>
              <w:rPr>
                <w:rFonts w:ascii="Times New Roman"/>
                <w:sz w:val="18"/>
              </w:rPr>
            </w:pPr>
          </w:p>
        </w:tc>
        <w:tc>
          <w:tcPr>
            <w:tcW w:w="1552" w:type="dxa"/>
            <w:tcBorders>
              <w:top w:val="single" w:sz="4" w:space="0" w:color="000000"/>
            </w:tcBorders>
          </w:tcPr>
          <w:p>
            <w:pPr>
              <w:pStyle w:val="TableParagraph"/>
              <w:rPr>
                <w:rFonts w:ascii="Times New Roman"/>
                <w:sz w:val="18"/>
              </w:rPr>
            </w:pPr>
          </w:p>
        </w:tc>
        <w:tc>
          <w:tcPr>
            <w:tcW w:w="1341" w:type="dxa"/>
            <w:tcBorders>
              <w:top w:val="single" w:sz="4" w:space="0" w:color="000000"/>
            </w:tcBorders>
          </w:tcPr>
          <w:p>
            <w:pPr>
              <w:pStyle w:val="TableParagraph"/>
              <w:rPr>
                <w:rFonts w:ascii="Times New Roman"/>
                <w:sz w:val="18"/>
              </w:rPr>
            </w:pPr>
          </w:p>
        </w:tc>
        <w:tc>
          <w:tcPr>
            <w:tcW w:w="1559" w:type="dxa"/>
            <w:tcBorders>
              <w:top w:val="single" w:sz="4" w:space="0" w:color="000000"/>
              <w:right w:val="single" w:sz="4" w:space="0" w:color="000000"/>
            </w:tcBorders>
          </w:tcPr>
          <w:p>
            <w:pPr>
              <w:pStyle w:val="TableParagraph"/>
              <w:rPr>
                <w:rFonts w:ascii="Times New Roman"/>
                <w:sz w:val="18"/>
              </w:rPr>
            </w:pPr>
          </w:p>
        </w:tc>
      </w:tr>
      <w:tr>
        <w:trPr>
          <w:trHeight w:val="261" w:hRule="atLeast"/>
        </w:trPr>
        <w:tc>
          <w:tcPr>
            <w:tcW w:w="3264" w:type="dxa"/>
            <w:tcBorders>
              <w:left w:val="single" w:sz="4" w:space="0" w:color="000000"/>
            </w:tcBorders>
          </w:tcPr>
          <w:p>
            <w:pPr>
              <w:pStyle w:val="TableParagraph"/>
              <w:spacing w:line="222" w:lineRule="exact" w:before="19"/>
              <w:ind w:left="107"/>
              <w:rPr>
                <w:sz w:val="20"/>
              </w:rPr>
            </w:pPr>
            <w:r>
              <w:rPr>
                <w:spacing w:val="-2"/>
                <w:sz w:val="20"/>
              </w:rPr>
              <w:t>Roads</w:t>
            </w:r>
          </w:p>
        </w:tc>
        <w:tc>
          <w:tcPr>
            <w:tcW w:w="964" w:type="dxa"/>
          </w:tcPr>
          <w:p>
            <w:pPr>
              <w:pStyle w:val="TableParagraph"/>
              <w:rPr>
                <w:rFonts w:ascii="Times New Roman"/>
                <w:sz w:val="18"/>
              </w:rPr>
            </w:pPr>
          </w:p>
        </w:tc>
        <w:tc>
          <w:tcPr>
            <w:tcW w:w="1200" w:type="dxa"/>
          </w:tcPr>
          <w:p>
            <w:pPr>
              <w:pStyle w:val="TableParagraph"/>
              <w:spacing w:before="5"/>
              <w:ind w:right="101"/>
              <w:jc w:val="right"/>
              <w:rPr>
                <w:sz w:val="20"/>
              </w:rPr>
            </w:pPr>
            <w:r>
              <w:rPr>
                <w:spacing w:val="-2"/>
                <w:sz w:val="20"/>
              </w:rPr>
              <w:t>5,213</w:t>
            </w:r>
          </w:p>
        </w:tc>
        <w:tc>
          <w:tcPr>
            <w:tcW w:w="1162" w:type="dxa"/>
            <w:shd w:val="clear" w:color="auto" w:fill="DDEBF6"/>
          </w:tcPr>
          <w:p>
            <w:pPr>
              <w:pStyle w:val="TableParagraph"/>
              <w:spacing w:before="5"/>
              <w:ind w:right="102"/>
              <w:jc w:val="right"/>
              <w:rPr>
                <w:sz w:val="20"/>
              </w:rPr>
            </w:pPr>
            <w:r>
              <w:rPr>
                <w:spacing w:val="-2"/>
                <w:sz w:val="20"/>
              </w:rPr>
              <w:t>4,295</w:t>
            </w:r>
          </w:p>
        </w:tc>
        <w:tc>
          <w:tcPr>
            <w:tcW w:w="1552" w:type="dxa"/>
          </w:tcPr>
          <w:p>
            <w:pPr>
              <w:pStyle w:val="TableParagraph"/>
              <w:spacing w:before="5"/>
              <w:ind w:right="118"/>
              <w:jc w:val="right"/>
              <w:rPr>
                <w:sz w:val="20"/>
              </w:rPr>
            </w:pPr>
            <w:r>
              <w:rPr>
                <w:spacing w:val="-2"/>
                <w:sz w:val="20"/>
              </w:rPr>
              <w:t>4,426</w:t>
            </w:r>
          </w:p>
        </w:tc>
        <w:tc>
          <w:tcPr>
            <w:tcW w:w="1341" w:type="dxa"/>
          </w:tcPr>
          <w:p>
            <w:pPr>
              <w:pStyle w:val="TableParagraph"/>
              <w:spacing w:before="5"/>
              <w:ind w:right="235"/>
              <w:jc w:val="right"/>
              <w:rPr>
                <w:sz w:val="20"/>
              </w:rPr>
            </w:pPr>
            <w:r>
              <w:rPr>
                <w:spacing w:val="-2"/>
                <w:sz w:val="20"/>
              </w:rPr>
              <w:t>4,596</w:t>
            </w:r>
          </w:p>
        </w:tc>
        <w:tc>
          <w:tcPr>
            <w:tcW w:w="1559" w:type="dxa"/>
            <w:tcBorders>
              <w:right w:val="single" w:sz="4" w:space="0" w:color="000000"/>
            </w:tcBorders>
          </w:tcPr>
          <w:p>
            <w:pPr>
              <w:pStyle w:val="TableParagraph"/>
              <w:spacing w:before="5"/>
              <w:ind w:right="99"/>
              <w:jc w:val="right"/>
              <w:rPr>
                <w:sz w:val="20"/>
              </w:rPr>
            </w:pPr>
            <w:r>
              <w:rPr>
                <w:spacing w:val="-2"/>
                <w:sz w:val="20"/>
              </w:rPr>
              <w:t>4,696</w:t>
            </w:r>
          </w:p>
        </w:tc>
      </w:tr>
      <w:tr>
        <w:trPr>
          <w:trHeight w:val="262" w:hRule="atLeast"/>
        </w:trPr>
        <w:tc>
          <w:tcPr>
            <w:tcW w:w="3264" w:type="dxa"/>
            <w:tcBorders>
              <w:left w:val="single" w:sz="4" w:space="0" w:color="000000"/>
            </w:tcBorders>
          </w:tcPr>
          <w:p>
            <w:pPr>
              <w:pStyle w:val="TableParagraph"/>
              <w:spacing w:line="221" w:lineRule="exact" w:before="22"/>
              <w:ind w:left="107"/>
              <w:rPr>
                <w:sz w:val="20"/>
              </w:rPr>
            </w:pPr>
            <w:r>
              <w:rPr>
                <w:sz w:val="20"/>
              </w:rPr>
              <w:t>Footpaths</w:t>
            </w:r>
            <w:r>
              <w:rPr>
                <w:spacing w:val="-7"/>
                <w:sz w:val="20"/>
              </w:rPr>
              <w:t> </w:t>
            </w:r>
            <w:r>
              <w:rPr>
                <w:sz w:val="20"/>
              </w:rPr>
              <w:t>and</w:t>
            </w:r>
            <w:r>
              <w:rPr>
                <w:spacing w:val="-9"/>
                <w:sz w:val="20"/>
              </w:rPr>
              <w:t> </w:t>
            </w:r>
            <w:r>
              <w:rPr>
                <w:spacing w:val="-2"/>
                <w:sz w:val="20"/>
              </w:rPr>
              <w:t>cycleways</w:t>
            </w:r>
          </w:p>
        </w:tc>
        <w:tc>
          <w:tcPr>
            <w:tcW w:w="964" w:type="dxa"/>
          </w:tcPr>
          <w:p>
            <w:pPr>
              <w:pStyle w:val="TableParagraph"/>
              <w:rPr>
                <w:rFonts w:ascii="Times New Roman"/>
                <w:sz w:val="18"/>
              </w:rPr>
            </w:pPr>
          </w:p>
        </w:tc>
        <w:tc>
          <w:tcPr>
            <w:tcW w:w="1200" w:type="dxa"/>
          </w:tcPr>
          <w:p>
            <w:pPr>
              <w:pStyle w:val="TableParagraph"/>
              <w:spacing w:before="5"/>
              <w:ind w:right="101"/>
              <w:jc w:val="right"/>
              <w:rPr>
                <w:sz w:val="20"/>
              </w:rPr>
            </w:pPr>
            <w:r>
              <w:rPr>
                <w:spacing w:val="-2"/>
                <w:sz w:val="20"/>
              </w:rPr>
              <w:t>2,615</w:t>
            </w:r>
          </w:p>
        </w:tc>
        <w:tc>
          <w:tcPr>
            <w:tcW w:w="1162" w:type="dxa"/>
            <w:shd w:val="clear" w:color="auto" w:fill="DDEBF6"/>
          </w:tcPr>
          <w:p>
            <w:pPr>
              <w:pStyle w:val="TableParagraph"/>
              <w:spacing w:before="5"/>
              <w:ind w:right="102"/>
              <w:jc w:val="right"/>
              <w:rPr>
                <w:sz w:val="20"/>
              </w:rPr>
            </w:pPr>
            <w:r>
              <w:rPr>
                <w:spacing w:val="-2"/>
                <w:sz w:val="20"/>
              </w:rPr>
              <w:t>3,292</w:t>
            </w:r>
          </w:p>
        </w:tc>
        <w:tc>
          <w:tcPr>
            <w:tcW w:w="1552" w:type="dxa"/>
          </w:tcPr>
          <w:p>
            <w:pPr>
              <w:pStyle w:val="TableParagraph"/>
              <w:spacing w:before="5"/>
              <w:ind w:right="118"/>
              <w:jc w:val="right"/>
              <w:rPr>
                <w:sz w:val="20"/>
              </w:rPr>
            </w:pPr>
            <w:r>
              <w:rPr>
                <w:spacing w:val="-2"/>
                <w:sz w:val="20"/>
              </w:rPr>
              <w:t>3,387</w:t>
            </w:r>
          </w:p>
        </w:tc>
        <w:tc>
          <w:tcPr>
            <w:tcW w:w="1341" w:type="dxa"/>
          </w:tcPr>
          <w:p>
            <w:pPr>
              <w:pStyle w:val="TableParagraph"/>
              <w:spacing w:before="5"/>
              <w:ind w:right="235"/>
              <w:jc w:val="right"/>
              <w:rPr>
                <w:sz w:val="20"/>
              </w:rPr>
            </w:pPr>
            <w:r>
              <w:rPr>
                <w:spacing w:val="-2"/>
                <w:sz w:val="20"/>
              </w:rPr>
              <w:t>3,528</w:t>
            </w:r>
          </w:p>
        </w:tc>
        <w:tc>
          <w:tcPr>
            <w:tcW w:w="1559" w:type="dxa"/>
            <w:tcBorders>
              <w:right w:val="single" w:sz="4" w:space="0" w:color="000000"/>
            </w:tcBorders>
          </w:tcPr>
          <w:p>
            <w:pPr>
              <w:pStyle w:val="TableParagraph"/>
              <w:spacing w:before="5"/>
              <w:ind w:right="99"/>
              <w:jc w:val="right"/>
              <w:rPr>
                <w:sz w:val="20"/>
              </w:rPr>
            </w:pPr>
            <w:r>
              <w:rPr>
                <w:spacing w:val="-2"/>
                <w:sz w:val="20"/>
              </w:rPr>
              <w:t>3,685</w:t>
            </w:r>
          </w:p>
        </w:tc>
      </w:tr>
      <w:tr>
        <w:trPr>
          <w:trHeight w:val="254" w:hRule="atLeast"/>
        </w:trPr>
        <w:tc>
          <w:tcPr>
            <w:tcW w:w="3264" w:type="dxa"/>
            <w:tcBorders>
              <w:left w:val="single" w:sz="4" w:space="0" w:color="000000"/>
            </w:tcBorders>
          </w:tcPr>
          <w:p>
            <w:pPr>
              <w:pStyle w:val="TableParagraph"/>
              <w:spacing w:line="214" w:lineRule="exact" w:before="20"/>
              <w:ind w:left="107"/>
              <w:rPr>
                <w:sz w:val="20"/>
              </w:rPr>
            </w:pPr>
            <w:r>
              <w:rPr>
                <w:spacing w:val="-2"/>
                <w:sz w:val="20"/>
              </w:rPr>
              <w:t>Drainage</w:t>
            </w:r>
          </w:p>
        </w:tc>
        <w:tc>
          <w:tcPr>
            <w:tcW w:w="964" w:type="dxa"/>
          </w:tcPr>
          <w:p>
            <w:pPr>
              <w:pStyle w:val="TableParagraph"/>
              <w:rPr>
                <w:rFonts w:ascii="Times New Roman"/>
                <w:sz w:val="18"/>
              </w:rPr>
            </w:pPr>
          </w:p>
        </w:tc>
        <w:tc>
          <w:tcPr>
            <w:tcW w:w="1200" w:type="dxa"/>
          </w:tcPr>
          <w:p>
            <w:pPr>
              <w:pStyle w:val="TableParagraph"/>
              <w:spacing w:before="4"/>
              <w:ind w:right="101"/>
              <w:jc w:val="right"/>
              <w:rPr>
                <w:sz w:val="20"/>
              </w:rPr>
            </w:pPr>
            <w:r>
              <w:rPr>
                <w:spacing w:val="-2"/>
                <w:sz w:val="20"/>
              </w:rPr>
              <w:t>6,699</w:t>
            </w:r>
          </w:p>
        </w:tc>
        <w:tc>
          <w:tcPr>
            <w:tcW w:w="1162" w:type="dxa"/>
            <w:shd w:val="clear" w:color="auto" w:fill="DDEBF6"/>
          </w:tcPr>
          <w:p>
            <w:pPr>
              <w:pStyle w:val="TableParagraph"/>
              <w:spacing w:before="4"/>
              <w:ind w:right="102"/>
              <w:jc w:val="right"/>
              <w:rPr>
                <w:sz w:val="20"/>
              </w:rPr>
            </w:pPr>
            <w:r>
              <w:rPr>
                <w:spacing w:val="-2"/>
                <w:sz w:val="20"/>
              </w:rPr>
              <w:t>3,785</w:t>
            </w:r>
          </w:p>
        </w:tc>
        <w:tc>
          <w:tcPr>
            <w:tcW w:w="1552" w:type="dxa"/>
          </w:tcPr>
          <w:p>
            <w:pPr>
              <w:pStyle w:val="TableParagraph"/>
              <w:spacing w:before="4"/>
              <w:ind w:right="118"/>
              <w:jc w:val="right"/>
              <w:rPr>
                <w:sz w:val="20"/>
              </w:rPr>
            </w:pPr>
            <w:r>
              <w:rPr>
                <w:spacing w:val="-2"/>
                <w:sz w:val="20"/>
              </w:rPr>
              <w:t>4,430</w:t>
            </w:r>
          </w:p>
        </w:tc>
        <w:tc>
          <w:tcPr>
            <w:tcW w:w="1341" w:type="dxa"/>
          </w:tcPr>
          <w:p>
            <w:pPr>
              <w:pStyle w:val="TableParagraph"/>
              <w:spacing w:before="4"/>
              <w:ind w:right="235"/>
              <w:jc w:val="right"/>
              <w:rPr>
                <w:sz w:val="20"/>
              </w:rPr>
            </w:pPr>
            <w:r>
              <w:rPr>
                <w:spacing w:val="-2"/>
                <w:sz w:val="20"/>
              </w:rPr>
              <w:t>4,470</w:t>
            </w:r>
          </w:p>
        </w:tc>
        <w:tc>
          <w:tcPr>
            <w:tcW w:w="1559" w:type="dxa"/>
            <w:tcBorders>
              <w:right w:val="single" w:sz="4" w:space="0" w:color="000000"/>
            </w:tcBorders>
          </w:tcPr>
          <w:p>
            <w:pPr>
              <w:pStyle w:val="TableParagraph"/>
              <w:spacing w:before="4"/>
              <w:ind w:right="99"/>
              <w:jc w:val="right"/>
              <w:rPr>
                <w:sz w:val="20"/>
              </w:rPr>
            </w:pPr>
            <w:r>
              <w:rPr>
                <w:spacing w:val="-2"/>
                <w:sz w:val="20"/>
              </w:rPr>
              <w:t>4,500</w:t>
            </w:r>
          </w:p>
        </w:tc>
      </w:tr>
      <w:tr>
        <w:trPr>
          <w:trHeight w:val="466" w:hRule="atLeast"/>
        </w:trPr>
        <w:tc>
          <w:tcPr>
            <w:tcW w:w="3264" w:type="dxa"/>
            <w:tcBorders>
              <w:left w:val="single" w:sz="4" w:space="0" w:color="000000"/>
            </w:tcBorders>
          </w:tcPr>
          <w:p>
            <w:pPr>
              <w:pStyle w:val="TableParagraph"/>
              <w:spacing w:line="228" w:lineRule="exact"/>
              <w:ind w:left="107" w:right="73"/>
              <w:rPr>
                <w:sz w:val="20"/>
              </w:rPr>
            </w:pPr>
            <w:r>
              <w:rPr>
                <w:sz w:val="20"/>
              </w:rPr>
              <w:t>Recreational,</w:t>
            </w:r>
            <w:r>
              <w:rPr>
                <w:spacing w:val="-14"/>
                <w:sz w:val="20"/>
              </w:rPr>
              <w:t> </w:t>
            </w:r>
            <w:r>
              <w:rPr>
                <w:sz w:val="20"/>
              </w:rPr>
              <w:t>leisure</w:t>
            </w:r>
            <w:r>
              <w:rPr>
                <w:spacing w:val="-14"/>
                <w:sz w:val="20"/>
              </w:rPr>
              <w:t> </w:t>
            </w:r>
            <w:r>
              <w:rPr>
                <w:sz w:val="20"/>
              </w:rPr>
              <w:t>and community facilities</w:t>
            </w:r>
          </w:p>
        </w:tc>
        <w:tc>
          <w:tcPr>
            <w:tcW w:w="964" w:type="dxa"/>
          </w:tcPr>
          <w:p>
            <w:pPr>
              <w:pStyle w:val="TableParagraph"/>
              <w:rPr>
                <w:rFonts w:ascii="Times New Roman"/>
                <w:sz w:val="18"/>
              </w:rPr>
            </w:pPr>
          </w:p>
        </w:tc>
        <w:tc>
          <w:tcPr>
            <w:tcW w:w="1200" w:type="dxa"/>
          </w:tcPr>
          <w:p>
            <w:pPr>
              <w:pStyle w:val="TableParagraph"/>
              <w:spacing w:before="109"/>
              <w:ind w:right="101"/>
              <w:jc w:val="right"/>
              <w:rPr>
                <w:sz w:val="20"/>
              </w:rPr>
            </w:pPr>
            <w:r>
              <w:rPr>
                <w:spacing w:val="-2"/>
                <w:sz w:val="20"/>
              </w:rPr>
              <w:t>1,297</w:t>
            </w:r>
          </w:p>
        </w:tc>
        <w:tc>
          <w:tcPr>
            <w:tcW w:w="1162" w:type="dxa"/>
            <w:shd w:val="clear" w:color="auto" w:fill="DDEBF6"/>
          </w:tcPr>
          <w:p>
            <w:pPr>
              <w:pStyle w:val="TableParagraph"/>
              <w:spacing w:before="109"/>
              <w:ind w:right="102"/>
              <w:jc w:val="right"/>
              <w:rPr>
                <w:sz w:val="20"/>
              </w:rPr>
            </w:pPr>
            <w:r>
              <w:rPr>
                <w:spacing w:val="-2"/>
                <w:sz w:val="20"/>
              </w:rPr>
              <w:t>1,971</w:t>
            </w:r>
          </w:p>
        </w:tc>
        <w:tc>
          <w:tcPr>
            <w:tcW w:w="1552" w:type="dxa"/>
          </w:tcPr>
          <w:p>
            <w:pPr>
              <w:pStyle w:val="TableParagraph"/>
              <w:spacing w:before="109"/>
              <w:ind w:right="118"/>
              <w:jc w:val="right"/>
              <w:rPr>
                <w:sz w:val="20"/>
              </w:rPr>
            </w:pPr>
            <w:r>
              <w:rPr>
                <w:spacing w:val="-2"/>
                <w:sz w:val="20"/>
              </w:rPr>
              <w:t>1,971</w:t>
            </w:r>
          </w:p>
        </w:tc>
        <w:tc>
          <w:tcPr>
            <w:tcW w:w="1341" w:type="dxa"/>
          </w:tcPr>
          <w:p>
            <w:pPr>
              <w:pStyle w:val="TableParagraph"/>
              <w:spacing w:before="109"/>
              <w:ind w:right="235"/>
              <w:jc w:val="right"/>
              <w:rPr>
                <w:sz w:val="20"/>
              </w:rPr>
            </w:pPr>
            <w:r>
              <w:rPr>
                <w:spacing w:val="-2"/>
                <w:sz w:val="20"/>
              </w:rPr>
              <w:t>2,006</w:t>
            </w:r>
          </w:p>
        </w:tc>
        <w:tc>
          <w:tcPr>
            <w:tcW w:w="1559" w:type="dxa"/>
            <w:tcBorders>
              <w:right w:val="single" w:sz="4" w:space="0" w:color="000000"/>
            </w:tcBorders>
          </w:tcPr>
          <w:p>
            <w:pPr>
              <w:pStyle w:val="TableParagraph"/>
              <w:spacing w:before="109"/>
              <w:ind w:right="99"/>
              <w:jc w:val="right"/>
              <w:rPr>
                <w:sz w:val="20"/>
              </w:rPr>
            </w:pPr>
            <w:r>
              <w:rPr>
                <w:spacing w:val="-2"/>
                <w:sz w:val="20"/>
              </w:rPr>
              <w:t>2,066</w:t>
            </w:r>
          </w:p>
        </w:tc>
      </w:tr>
      <w:tr>
        <w:trPr>
          <w:trHeight w:val="254" w:hRule="atLeast"/>
        </w:trPr>
        <w:tc>
          <w:tcPr>
            <w:tcW w:w="3264" w:type="dxa"/>
            <w:tcBorders>
              <w:left w:val="single" w:sz="4" w:space="0" w:color="000000"/>
            </w:tcBorders>
          </w:tcPr>
          <w:p>
            <w:pPr>
              <w:pStyle w:val="TableParagraph"/>
              <w:spacing w:line="213" w:lineRule="exact" w:before="22"/>
              <w:ind w:left="107"/>
              <w:rPr>
                <w:sz w:val="20"/>
              </w:rPr>
            </w:pPr>
            <w:r>
              <w:rPr>
                <w:sz w:val="20"/>
              </w:rPr>
              <w:t>Waste</w:t>
            </w:r>
            <w:r>
              <w:rPr>
                <w:spacing w:val="-6"/>
                <w:sz w:val="20"/>
              </w:rPr>
              <w:t> </w:t>
            </w:r>
            <w:r>
              <w:rPr>
                <w:spacing w:val="-2"/>
                <w:sz w:val="20"/>
              </w:rPr>
              <w:t>management</w:t>
            </w:r>
          </w:p>
        </w:tc>
        <w:tc>
          <w:tcPr>
            <w:tcW w:w="964" w:type="dxa"/>
          </w:tcPr>
          <w:p>
            <w:pPr>
              <w:pStyle w:val="TableParagraph"/>
              <w:rPr>
                <w:rFonts w:ascii="Times New Roman"/>
                <w:sz w:val="18"/>
              </w:rPr>
            </w:pPr>
          </w:p>
        </w:tc>
        <w:tc>
          <w:tcPr>
            <w:tcW w:w="1200" w:type="dxa"/>
          </w:tcPr>
          <w:p>
            <w:pPr>
              <w:pStyle w:val="TableParagraph"/>
              <w:spacing w:line="229" w:lineRule="exact" w:before="5"/>
              <w:ind w:right="103"/>
              <w:jc w:val="right"/>
              <w:rPr>
                <w:sz w:val="20"/>
              </w:rPr>
            </w:pPr>
            <w:r>
              <w:rPr>
                <w:spacing w:val="-5"/>
                <w:sz w:val="20"/>
              </w:rPr>
              <w:t>50</w:t>
            </w:r>
          </w:p>
        </w:tc>
        <w:tc>
          <w:tcPr>
            <w:tcW w:w="1162" w:type="dxa"/>
            <w:shd w:val="clear" w:color="auto" w:fill="DDEBF6"/>
          </w:tcPr>
          <w:p>
            <w:pPr>
              <w:pStyle w:val="TableParagraph"/>
              <w:spacing w:line="229" w:lineRule="exact" w:before="5"/>
              <w:ind w:right="103"/>
              <w:jc w:val="right"/>
              <w:rPr>
                <w:sz w:val="20"/>
              </w:rPr>
            </w:pPr>
            <w:r>
              <w:rPr>
                <w:spacing w:val="-5"/>
                <w:sz w:val="20"/>
              </w:rPr>
              <w:t>50</w:t>
            </w:r>
          </w:p>
        </w:tc>
        <w:tc>
          <w:tcPr>
            <w:tcW w:w="1552" w:type="dxa"/>
          </w:tcPr>
          <w:p>
            <w:pPr>
              <w:pStyle w:val="TableParagraph"/>
              <w:spacing w:line="229" w:lineRule="exact" w:before="5"/>
              <w:ind w:right="119"/>
              <w:jc w:val="right"/>
              <w:rPr>
                <w:sz w:val="20"/>
              </w:rPr>
            </w:pPr>
            <w:r>
              <w:rPr>
                <w:spacing w:val="-5"/>
                <w:sz w:val="20"/>
              </w:rPr>
              <w:t>50</w:t>
            </w:r>
          </w:p>
        </w:tc>
        <w:tc>
          <w:tcPr>
            <w:tcW w:w="1341" w:type="dxa"/>
          </w:tcPr>
          <w:p>
            <w:pPr>
              <w:pStyle w:val="TableParagraph"/>
              <w:spacing w:line="229" w:lineRule="exact" w:before="5"/>
              <w:ind w:right="235"/>
              <w:jc w:val="right"/>
              <w:rPr>
                <w:sz w:val="20"/>
              </w:rPr>
            </w:pPr>
            <w:r>
              <w:rPr>
                <w:spacing w:val="-2"/>
                <w:sz w:val="20"/>
              </w:rPr>
              <w:t>3,550</w:t>
            </w:r>
          </w:p>
        </w:tc>
        <w:tc>
          <w:tcPr>
            <w:tcW w:w="1559" w:type="dxa"/>
            <w:tcBorders>
              <w:right w:val="single" w:sz="4" w:space="0" w:color="000000"/>
            </w:tcBorders>
          </w:tcPr>
          <w:p>
            <w:pPr>
              <w:pStyle w:val="TableParagraph"/>
              <w:spacing w:line="229" w:lineRule="exact" w:before="5"/>
              <w:ind w:right="100"/>
              <w:jc w:val="right"/>
              <w:rPr>
                <w:sz w:val="20"/>
              </w:rPr>
            </w:pPr>
            <w:r>
              <w:rPr>
                <w:spacing w:val="-5"/>
                <w:sz w:val="20"/>
              </w:rPr>
              <w:t>550</w:t>
            </w:r>
          </w:p>
        </w:tc>
      </w:tr>
      <w:tr>
        <w:trPr>
          <w:trHeight w:val="467" w:hRule="atLeast"/>
        </w:trPr>
        <w:tc>
          <w:tcPr>
            <w:tcW w:w="3264" w:type="dxa"/>
            <w:tcBorders>
              <w:left w:val="single" w:sz="4" w:space="0" w:color="000000"/>
            </w:tcBorders>
          </w:tcPr>
          <w:p>
            <w:pPr>
              <w:pStyle w:val="TableParagraph"/>
              <w:spacing w:line="225" w:lineRule="exact"/>
              <w:ind w:left="107"/>
              <w:rPr>
                <w:sz w:val="20"/>
              </w:rPr>
            </w:pPr>
            <w:r>
              <w:rPr>
                <w:sz w:val="20"/>
              </w:rPr>
              <w:t>Parks,</w:t>
            </w:r>
            <w:r>
              <w:rPr>
                <w:spacing w:val="-8"/>
                <w:sz w:val="20"/>
              </w:rPr>
              <w:t> </w:t>
            </w:r>
            <w:r>
              <w:rPr>
                <w:sz w:val="20"/>
              </w:rPr>
              <w:t>open</w:t>
            </w:r>
            <w:r>
              <w:rPr>
                <w:spacing w:val="-7"/>
                <w:sz w:val="20"/>
              </w:rPr>
              <w:t> </w:t>
            </w:r>
            <w:r>
              <w:rPr>
                <w:sz w:val="20"/>
              </w:rPr>
              <w:t>space,</w:t>
            </w:r>
            <w:r>
              <w:rPr>
                <w:spacing w:val="-3"/>
                <w:sz w:val="20"/>
              </w:rPr>
              <w:t> </w:t>
            </w:r>
            <w:r>
              <w:rPr>
                <w:spacing w:val="-5"/>
                <w:sz w:val="20"/>
              </w:rPr>
              <w:t>and</w:t>
            </w:r>
          </w:p>
          <w:p>
            <w:pPr>
              <w:pStyle w:val="TableParagraph"/>
              <w:spacing w:line="222" w:lineRule="exact"/>
              <w:ind w:left="107"/>
              <w:rPr>
                <w:sz w:val="20"/>
              </w:rPr>
            </w:pPr>
            <w:r>
              <w:rPr>
                <w:spacing w:val="-2"/>
                <w:sz w:val="20"/>
              </w:rPr>
              <w:t>streetscapes</w:t>
            </w:r>
          </w:p>
        </w:tc>
        <w:tc>
          <w:tcPr>
            <w:tcW w:w="964" w:type="dxa"/>
          </w:tcPr>
          <w:p>
            <w:pPr>
              <w:pStyle w:val="TableParagraph"/>
              <w:rPr>
                <w:rFonts w:ascii="Times New Roman"/>
                <w:sz w:val="18"/>
              </w:rPr>
            </w:pPr>
          </w:p>
        </w:tc>
        <w:tc>
          <w:tcPr>
            <w:tcW w:w="1200" w:type="dxa"/>
          </w:tcPr>
          <w:p>
            <w:pPr>
              <w:pStyle w:val="TableParagraph"/>
              <w:spacing w:before="110"/>
              <w:ind w:right="101"/>
              <w:jc w:val="right"/>
              <w:rPr>
                <w:sz w:val="20"/>
              </w:rPr>
            </w:pPr>
            <w:r>
              <w:rPr>
                <w:spacing w:val="-2"/>
                <w:sz w:val="20"/>
              </w:rPr>
              <w:t>2,661</w:t>
            </w:r>
          </w:p>
        </w:tc>
        <w:tc>
          <w:tcPr>
            <w:tcW w:w="1162" w:type="dxa"/>
            <w:shd w:val="clear" w:color="auto" w:fill="DDEBF6"/>
          </w:tcPr>
          <w:p>
            <w:pPr>
              <w:pStyle w:val="TableParagraph"/>
              <w:spacing w:before="110"/>
              <w:ind w:right="102"/>
              <w:jc w:val="right"/>
              <w:rPr>
                <w:sz w:val="20"/>
              </w:rPr>
            </w:pPr>
            <w:r>
              <w:rPr>
                <w:spacing w:val="-2"/>
                <w:sz w:val="20"/>
              </w:rPr>
              <w:t>2,736</w:t>
            </w:r>
          </w:p>
        </w:tc>
        <w:tc>
          <w:tcPr>
            <w:tcW w:w="1552" w:type="dxa"/>
          </w:tcPr>
          <w:p>
            <w:pPr>
              <w:pStyle w:val="TableParagraph"/>
              <w:spacing w:before="110"/>
              <w:ind w:right="118"/>
              <w:jc w:val="right"/>
              <w:rPr>
                <w:sz w:val="20"/>
              </w:rPr>
            </w:pPr>
            <w:r>
              <w:rPr>
                <w:spacing w:val="-2"/>
                <w:sz w:val="20"/>
              </w:rPr>
              <w:t>2,486</w:t>
            </w:r>
          </w:p>
        </w:tc>
        <w:tc>
          <w:tcPr>
            <w:tcW w:w="1341" w:type="dxa"/>
          </w:tcPr>
          <w:p>
            <w:pPr>
              <w:pStyle w:val="TableParagraph"/>
              <w:spacing w:before="110"/>
              <w:ind w:right="235"/>
              <w:jc w:val="right"/>
              <w:rPr>
                <w:sz w:val="20"/>
              </w:rPr>
            </w:pPr>
            <w:r>
              <w:rPr>
                <w:spacing w:val="-2"/>
                <w:sz w:val="20"/>
              </w:rPr>
              <w:t>3,176</w:t>
            </w:r>
          </w:p>
        </w:tc>
        <w:tc>
          <w:tcPr>
            <w:tcW w:w="1559" w:type="dxa"/>
            <w:tcBorders>
              <w:right w:val="single" w:sz="4" w:space="0" w:color="000000"/>
            </w:tcBorders>
          </w:tcPr>
          <w:p>
            <w:pPr>
              <w:pStyle w:val="TableParagraph"/>
              <w:spacing w:before="110"/>
              <w:ind w:right="99"/>
              <w:jc w:val="right"/>
              <w:rPr>
                <w:sz w:val="20"/>
              </w:rPr>
            </w:pPr>
            <w:r>
              <w:rPr>
                <w:spacing w:val="-2"/>
                <w:sz w:val="20"/>
              </w:rPr>
              <w:t>2,991</w:t>
            </w:r>
          </w:p>
        </w:tc>
      </w:tr>
      <w:tr>
        <w:trPr>
          <w:trHeight w:val="261" w:hRule="atLeast"/>
        </w:trPr>
        <w:tc>
          <w:tcPr>
            <w:tcW w:w="3264" w:type="dxa"/>
            <w:tcBorders>
              <w:left w:val="single" w:sz="4" w:space="0" w:color="000000"/>
            </w:tcBorders>
          </w:tcPr>
          <w:p>
            <w:pPr>
              <w:pStyle w:val="TableParagraph"/>
              <w:spacing w:line="222" w:lineRule="exact" w:before="19"/>
              <w:ind w:left="107"/>
              <w:rPr>
                <w:sz w:val="20"/>
              </w:rPr>
            </w:pPr>
            <w:r>
              <w:rPr>
                <w:sz w:val="20"/>
              </w:rPr>
              <w:t>Off</w:t>
            </w:r>
            <w:r>
              <w:rPr>
                <w:spacing w:val="-5"/>
                <w:sz w:val="20"/>
              </w:rPr>
              <w:t> </w:t>
            </w:r>
            <w:r>
              <w:rPr>
                <w:sz w:val="20"/>
              </w:rPr>
              <w:t>street</w:t>
            </w:r>
            <w:r>
              <w:rPr>
                <w:spacing w:val="-5"/>
                <w:sz w:val="20"/>
              </w:rPr>
              <w:t> </w:t>
            </w:r>
            <w:r>
              <w:rPr>
                <w:sz w:val="20"/>
              </w:rPr>
              <w:t>car</w:t>
            </w:r>
            <w:r>
              <w:rPr>
                <w:spacing w:val="-3"/>
                <w:sz w:val="20"/>
              </w:rPr>
              <w:t> </w:t>
            </w:r>
            <w:r>
              <w:rPr>
                <w:spacing w:val="-2"/>
                <w:sz w:val="20"/>
              </w:rPr>
              <w:t>parks</w:t>
            </w:r>
          </w:p>
        </w:tc>
        <w:tc>
          <w:tcPr>
            <w:tcW w:w="964" w:type="dxa"/>
          </w:tcPr>
          <w:p>
            <w:pPr>
              <w:pStyle w:val="TableParagraph"/>
              <w:rPr>
                <w:rFonts w:ascii="Times New Roman"/>
                <w:sz w:val="18"/>
              </w:rPr>
            </w:pPr>
          </w:p>
        </w:tc>
        <w:tc>
          <w:tcPr>
            <w:tcW w:w="1200" w:type="dxa"/>
          </w:tcPr>
          <w:p>
            <w:pPr>
              <w:pStyle w:val="TableParagraph"/>
              <w:spacing w:before="5"/>
              <w:ind w:right="101"/>
              <w:jc w:val="right"/>
              <w:rPr>
                <w:sz w:val="20"/>
              </w:rPr>
            </w:pPr>
            <w:r>
              <w:rPr>
                <w:w w:val="99"/>
                <w:sz w:val="20"/>
              </w:rPr>
              <w:t>-</w:t>
            </w:r>
          </w:p>
        </w:tc>
        <w:tc>
          <w:tcPr>
            <w:tcW w:w="1162" w:type="dxa"/>
            <w:shd w:val="clear" w:color="auto" w:fill="DDEBF6"/>
          </w:tcPr>
          <w:p>
            <w:pPr>
              <w:pStyle w:val="TableParagraph"/>
              <w:spacing w:before="5"/>
              <w:ind w:right="103"/>
              <w:jc w:val="right"/>
              <w:rPr>
                <w:sz w:val="20"/>
              </w:rPr>
            </w:pPr>
            <w:r>
              <w:rPr>
                <w:spacing w:val="-5"/>
                <w:sz w:val="20"/>
              </w:rPr>
              <w:t>420</w:t>
            </w:r>
          </w:p>
        </w:tc>
        <w:tc>
          <w:tcPr>
            <w:tcW w:w="1552" w:type="dxa"/>
          </w:tcPr>
          <w:p>
            <w:pPr>
              <w:pStyle w:val="TableParagraph"/>
              <w:spacing w:before="5"/>
              <w:ind w:right="119"/>
              <w:jc w:val="right"/>
              <w:rPr>
                <w:sz w:val="20"/>
              </w:rPr>
            </w:pPr>
            <w:r>
              <w:rPr>
                <w:spacing w:val="-5"/>
                <w:sz w:val="20"/>
              </w:rPr>
              <w:t>440</w:t>
            </w:r>
          </w:p>
        </w:tc>
        <w:tc>
          <w:tcPr>
            <w:tcW w:w="1341" w:type="dxa"/>
          </w:tcPr>
          <w:p>
            <w:pPr>
              <w:pStyle w:val="TableParagraph"/>
              <w:spacing w:before="5"/>
              <w:ind w:right="236"/>
              <w:jc w:val="right"/>
              <w:rPr>
                <w:sz w:val="20"/>
              </w:rPr>
            </w:pPr>
            <w:r>
              <w:rPr>
                <w:spacing w:val="-5"/>
                <w:sz w:val="20"/>
              </w:rPr>
              <w:t>470</w:t>
            </w:r>
          </w:p>
        </w:tc>
        <w:tc>
          <w:tcPr>
            <w:tcW w:w="1559" w:type="dxa"/>
            <w:tcBorders>
              <w:right w:val="single" w:sz="4" w:space="0" w:color="000000"/>
            </w:tcBorders>
          </w:tcPr>
          <w:p>
            <w:pPr>
              <w:pStyle w:val="TableParagraph"/>
              <w:spacing w:before="5"/>
              <w:ind w:right="100"/>
              <w:jc w:val="right"/>
              <w:rPr>
                <w:sz w:val="20"/>
              </w:rPr>
            </w:pPr>
            <w:r>
              <w:rPr>
                <w:spacing w:val="-5"/>
                <w:sz w:val="20"/>
              </w:rPr>
              <w:t>530</w:t>
            </w:r>
          </w:p>
        </w:tc>
      </w:tr>
      <w:tr>
        <w:trPr>
          <w:trHeight w:val="252" w:hRule="atLeast"/>
        </w:trPr>
        <w:tc>
          <w:tcPr>
            <w:tcW w:w="3264" w:type="dxa"/>
            <w:tcBorders>
              <w:left w:val="single" w:sz="4" w:space="0" w:color="000000"/>
            </w:tcBorders>
          </w:tcPr>
          <w:p>
            <w:pPr>
              <w:pStyle w:val="TableParagraph"/>
              <w:spacing w:line="211" w:lineRule="exact" w:before="22"/>
              <w:ind w:left="107"/>
              <w:rPr>
                <w:sz w:val="20"/>
              </w:rPr>
            </w:pPr>
            <w:r>
              <w:rPr>
                <w:sz w:val="20"/>
              </w:rPr>
              <w:t>Other</w:t>
            </w:r>
            <w:r>
              <w:rPr>
                <w:spacing w:val="-6"/>
                <w:sz w:val="20"/>
              </w:rPr>
              <w:t> </w:t>
            </w:r>
            <w:r>
              <w:rPr>
                <w:spacing w:val="-2"/>
                <w:sz w:val="20"/>
              </w:rPr>
              <w:t>infrastructure</w:t>
            </w:r>
          </w:p>
        </w:tc>
        <w:tc>
          <w:tcPr>
            <w:tcW w:w="964" w:type="dxa"/>
          </w:tcPr>
          <w:p>
            <w:pPr>
              <w:pStyle w:val="TableParagraph"/>
              <w:rPr>
                <w:rFonts w:ascii="Times New Roman"/>
                <w:sz w:val="18"/>
              </w:rPr>
            </w:pPr>
          </w:p>
        </w:tc>
        <w:tc>
          <w:tcPr>
            <w:tcW w:w="1200" w:type="dxa"/>
            <w:tcBorders>
              <w:bottom w:val="single" w:sz="4" w:space="0" w:color="000000"/>
            </w:tcBorders>
          </w:tcPr>
          <w:p>
            <w:pPr>
              <w:pStyle w:val="TableParagraph"/>
              <w:spacing w:line="227" w:lineRule="exact" w:before="5"/>
              <w:ind w:right="102"/>
              <w:jc w:val="right"/>
              <w:rPr>
                <w:sz w:val="20"/>
              </w:rPr>
            </w:pPr>
            <w:r>
              <w:rPr>
                <w:spacing w:val="-5"/>
                <w:sz w:val="20"/>
              </w:rPr>
              <w:t>752</w:t>
            </w:r>
          </w:p>
        </w:tc>
        <w:tc>
          <w:tcPr>
            <w:tcW w:w="1162" w:type="dxa"/>
            <w:tcBorders>
              <w:bottom w:val="single" w:sz="4" w:space="0" w:color="000000"/>
            </w:tcBorders>
            <w:shd w:val="clear" w:color="auto" w:fill="DDEBF6"/>
          </w:tcPr>
          <w:p>
            <w:pPr>
              <w:pStyle w:val="TableParagraph"/>
              <w:spacing w:line="227" w:lineRule="exact" w:before="5"/>
              <w:ind w:right="102"/>
              <w:jc w:val="right"/>
              <w:rPr>
                <w:sz w:val="20"/>
              </w:rPr>
            </w:pPr>
            <w:r>
              <w:rPr>
                <w:spacing w:val="-2"/>
                <w:sz w:val="20"/>
              </w:rPr>
              <w:t>1,215</w:t>
            </w:r>
          </w:p>
        </w:tc>
        <w:tc>
          <w:tcPr>
            <w:tcW w:w="1552" w:type="dxa"/>
            <w:tcBorders>
              <w:bottom w:val="single" w:sz="4" w:space="0" w:color="000000"/>
            </w:tcBorders>
          </w:tcPr>
          <w:p>
            <w:pPr>
              <w:pStyle w:val="TableParagraph"/>
              <w:spacing w:line="227" w:lineRule="exact" w:before="5"/>
              <w:ind w:right="118"/>
              <w:jc w:val="right"/>
              <w:rPr>
                <w:sz w:val="20"/>
              </w:rPr>
            </w:pPr>
            <w:r>
              <w:rPr>
                <w:spacing w:val="-2"/>
                <w:sz w:val="20"/>
              </w:rPr>
              <w:t>1,245</w:t>
            </w:r>
          </w:p>
        </w:tc>
        <w:tc>
          <w:tcPr>
            <w:tcW w:w="1341" w:type="dxa"/>
            <w:tcBorders>
              <w:bottom w:val="single" w:sz="4" w:space="0" w:color="000000"/>
            </w:tcBorders>
          </w:tcPr>
          <w:p>
            <w:pPr>
              <w:pStyle w:val="TableParagraph"/>
              <w:spacing w:line="227" w:lineRule="exact" w:before="5"/>
              <w:ind w:right="235"/>
              <w:jc w:val="right"/>
              <w:rPr>
                <w:sz w:val="20"/>
              </w:rPr>
            </w:pPr>
            <w:r>
              <w:rPr>
                <w:spacing w:val="-2"/>
                <w:sz w:val="20"/>
              </w:rPr>
              <w:t>1,245</w:t>
            </w:r>
          </w:p>
        </w:tc>
        <w:tc>
          <w:tcPr>
            <w:tcW w:w="1559" w:type="dxa"/>
            <w:tcBorders>
              <w:bottom w:val="single" w:sz="4" w:space="0" w:color="000000"/>
              <w:right w:val="single" w:sz="4" w:space="0" w:color="000000"/>
            </w:tcBorders>
          </w:tcPr>
          <w:p>
            <w:pPr>
              <w:pStyle w:val="TableParagraph"/>
              <w:spacing w:line="227" w:lineRule="exact" w:before="5"/>
              <w:ind w:right="99"/>
              <w:jc w:val="right"/>
              <w:rPr>
                <w:sz w:val="20"/>
              </w:rPr>
            </w:pPr>
            <w:r>
              <w:rPr>
                <w:spacing w:val="-2"/>
                <w:sz w:val="20"/>
              </w:rPr>
              <w:t>1,245</w:t>
            </w:r>
          </w:p>
        </w:tc>
      </w:tr>
      <w:tr>
        <w:trPr>
          <w:trHeight w:val="522" w:hRule="atLeast"/>
        </w:trPr>
        <w:tc>
          <w:tcPr>
            <w:tcW w:w="3264" w:type="dxa"/>
            <w:tcBorders>
              <w:left w:val="single" w:sz="4" w:space="0" w:color="000000"/>
            </w:tcBorders>
          </w:tcPr>
          <w:p>
            <w:pPr>
              <w:pStyle w:val="TableParagraph"/>
              <w:spacing w:before="30"/>
              <w:ind w:left="107"/>
              <w:rPr>
                <w:b/>
                <w:sz w:val="20"/>
              </w:rPr>
            </w:pPr>
            <w:r>
              <w:rPr>
                <w:b/>
                <w:sz w:val="20"/>
              </w:rPr>
              <w:t>Total</w:t>
            </w:r>
            <w:r>
              <w:rPr>
                <w:b/>
                <w:spacing w:val="-6"/>
                <w:sz w:val="20"/>
              </w:rPr>
              <w:t> </w:t>
            </w:r>
            <w:r>
              <w:rPr>
                <w:b/>
                <w:spacing w:val="-2"/>
                <w:sz w:val="20"/>
              </w:rPr>
              <w:t>infrastructure</w:t>
            </w:r>
          </w:p>
        </w:tc>
        <w:tc>
          <w:tcPr>
            <w:tcW w:w="964" w:type="dxa"/>
          </w:tcPr>
          <w:p>
            <w:pPr>
              <w:pStyle w:val="TableParagraph"/>
              <w:rPr>
                <w:rFonts w:ascii="Times New Roman"/>
                <w:sz w:val="18"/>
              </w:rPr>
            </w:pPr>
          </w:p>
        </w:tc>
        <w:tc>
          <w:tcPr>
            <w:tcW w:w="1200" w:type="dxa"/>
            <w:tcBorders>
              <w:top w:val="single" w:sz="4" w:space="0" w:color="000000"/>
              <w:bottom w:val="single" w:sz="4" w:space="0" w:color="000000"/>
            </w:tcBorders>
          </w:tcPr>
          <w:p>
            <w:pPr>
              <w:pStyle w:val="TableParagraph"/>
              <w:spacing w:before="14"/>
              <w:ind w:right="102"/>
              <w:jc w:val="right"/>
              <w:rPr>
                <w:sz w:val="20"/>
              </w:rPr>
            </w:pPr>
            <w:r>
              <w:rPr>
                <w:spacing w:val="-2"/>
                <w:sz w:val="20"/>
              </w:rPr>
              <w:t>19,287</w:t>
            </w:r>
          </w:p>
        </w:tc>
        <w:tc>
          <w:tcPr>
            <w:tcW w:w="1162" w:type="dxa"/>
            <w:tcBorders>
              <w:top w:val="single" w:sz="4" w:space="0" w:color="000000"/>
              <w:bottom w:val="single" w:sz="4" w:space="0" w:color="000000"/>
            </w:tcBorders>
            <w:shd w:val="clear" w:color="auto" w:fill="DDEBF6"/>
          </w:tcPr>
          <w:p>
            <w:pPr>
              <w:pStyle w:val="TableParagraph"/>
              <w:spacing w:before="14"/>
              <w:ind w:right="103"/>
              <w:jc w:val="right"/>
              <w:rPr>
                <w:b/>
                <w:sz w:val="20"/>
              </w:rPr>
            </w:pPr>
            <w:r>
              <w:rPr>
                <w:b/>
                <w:spacing w:val="-2"/>
                <w:sz w:val="20"/>
              </w:rPr>
              <w:t>17,764</w:t>
            </w:r>
          </w:p>
        </w:tc>
        <w:tc>
          <w:tcPr>
            <w:tcW w:w="1552" w:type="dxa"/>
            <w:tcBorders>
              <w:top w:val="single" w:sz="4" w:space="0" w:color="000000"/>
              <w:bottom w:val="single" w:sz="4" w:space="0" w:color="000000"/>
            </w:tcBorders>
          </w:tcPr>
          <w:p>
            <w:pPr>
              <w:pStyle w:val="TableParagraph"/>
              <w:spacing w:before="14"/>
              <w:ind w:right="119"/>
              <w:jc w:val="right"/>
              <w:rPr>
                <w:sz w:val="20"/>
              </w:rPr>
            </w:pPr>
            <w:r>
              <w:rPr>
                <w:spacing w:val="-2"/>
                <w:sz w:val="20"/>
              </w:rPr>
              <w:t>18,435</w:t>
            </w:r>
          </w:p>
        </w:tc>
        <w:tc>
          <w:tcPr>
            <w:tcW w:w="1341" w:type="dxa"/>
            <w:tcBorders>
              <w:top w:val="single" w:sz="4" w:space="0" w:color="000000"/>
              <w:bottom w:val="single" w:sz="4" w:space="0" w:color="000000"/>
            </w:tcBorders>
          </w:tcPr>
          <w:p>
            <w:pPr>
              <w:pStyle w:val="TableParagraph"/>
              <w:spacing w:before="14"/>
              <w:ind w:right="236"/>
              <w:jc w:val="right"/>
              <w:rPr>
                <w:sz w:val="20"/>
              </w:rPr>
            </w:pPr>
            <w:r>
              <w:rPr>
                <w:spacing w:val="-2"/>
                <w:sz w:val="20"/>
              </w:rPr>
              <w:t>23,041</w:t>
            </w:r>
          </w:p>
        </w:tc>
        <w:tc>
          <w:tcPr>
            <w:tcW w:w="1559" w:type="dxa"/>
            <w:tcBorders>
              <w:top w:val="single" w:sz="4" w:space="0" w:color="000000"/>
              <w:bottom w:val="single" w:sz="4" w:space="0" w:color="000000"/>
              <w:right w:val="single" w:sz="4" w:space="0" w:color="000000"/>
            </w:tcBorders>
          </w:tcPr>
          <w:p>
            <w:pPr>
              <w:pStyle w:val="TableParagraph"/>
              <w:spacing w:before="14"/>
              <w:ind w:right="100"/>
              <w:jc w:val="right"/>
              <w:rPr>
                <w:sz w:val="20"/>
              </w:rPr>
            </w:pPr>
            <w:r>
              <w:rPr>
                <w:spacing w:val="-2"/>
                <w:sz w:val="20"/>
              </w:rPr>
              <w:t>20,263</w:t>
            </w:r>
          </w:p>
        </w:tc>
      </w:tr>
      <w:tr>
        <w:trPr>
          <w:trHeight w:val="271" w:hRule="atLeast"/>
        </w:trPr>
        <w:tc>
          <w:tcPr>
            <w:tcW w:w="3264" w:type="dxa"/>
            <w:tcBorders>
              <w:left w:val="single" w:sz="4" w:space="0" w:color="000000"/>
            </w:tcBorders>
          </w:tcPr>
          <w:p>
            <w:pPr>
              <w:pStyle w:val="TableParagraph"/>
              <w:spacing w:line="209" w:lineRule="exact" w:before="42"/>
              <w:ind w:left="107"/>
              <w:rPr>
                <w:b/>
                <w:sz w:val="20"/>
              </w:rPr>
            </w:pPr>
            <w:r>
              <w:rPr>
                <w:b/>
                <w:sz w:val="20"/>
              </w:rPr>
              <w:t>Total</w:t>
            </w:r>
            <w:r>
              <w:rPr>
                <w:b/>
                <w:spacing w:val="-8"/>
                <w:sz w:val="20"/>
              </w:rPr>
              <w:t> </w:t>
            </w:r>
            <w:r>
              <w:rPr>
                <w:b/>
                <w:sz w:val="20"/>
              </w:rPr>
              <w:t>capital</w:t>
            </w:r>
            <w:r>
              <w:rPr>
                <w:b/>
                <w:spacing w:val="-7"/>
                <w:sz w:val="20"/>
              </w:rPr>
              <w:t> </w:t>
            </w:r>
            <w:r>
              <w:rPr>
                <w:b/>
                <w:sz w:val="20"/>
              </w:rPr>
              <w:t>works</w:t>
            </w:r>
            <w:r>
              <w:rPr>
                <w:b/>
                <w:spacing w:val="-4"/>
                <w:sz w:val="20"/>
              </w:rPr>
              <w:t> </w:t>
            </w:r>
            <w:r>
              <w:rPr>
                <w:b/>
                <w:spacing w:val="-2"/>
                <w:sz w:val="20"/>
              </w:rPr>
              <w:t>expenditure</w:t>
            </w:r>
          </w:p>
        </w:tc>
        <w:tc>
          <w:tcPr>
            <w:tcW w:w="964" w:type="dxa"/>
          </w:tcPr>
          <w:p>
            <w:pPr>
              <w:pStyle w:val="TableParagraph"/>
              <w:spacing w:before="21"/>
              <w:ind w:right="224"/>
              <w:jc w:val="right"/>
              <w:rPr>
                <w:sz w:val="20"/>
              </w:rPr>
            </w:pPr>
            <w:r>
              <w:rPr>
                <w:spacing w:val="-2"/>
                <w:sz w:val="20"/>
              </w:rPr>
              <w:t>4.5.1</w:t>
            </w:r>
          </w:p>
        </w:tc>
        <w:tc>
          <w:tcPr>
            <w:tcW w:w="1200" w:type="dxa"/>
            <w:tcBorders>
              <w:top w:val="single" w:sz="4" w:space="0" w:color="000000"/>
              <w:bottom w:val="thickThinMediumGap" w:sz="4" w:space="0" w:color="000000"/>
            </w:tcBorders>
          </w:tcPr>
          <w:p>
            <w:pPr>
              <w:pStyle w:val="TableParagraph"/>
              <w:spacing w:before="21"/>
              <w:ind w:right="102"/>
              <w:jc w:val="right"/>
              <w:rPr>
                <w:sz w:val="20"/>
              </w:rPr>
            </w:pPr>
            <w:r>
              <w:rPr>
                <w:spacing w:val="-2"/>
                <w:sz w:val="20"/>
              </w:rPr>
              <w:t>39,641</w:t>
            </w:r>
          </w:p>
        </w:tc>
        <w:tc>
          <w:tcPr>
            <w:tcW w:w="1162" w:type="dxa"/>
            <w:tcBorders>
              <w:top w:val="single" w:sz="4" w:space="0" w:color="000000"/>
              <w:bottom w:val="thickThinMediumGap" w:sz="4" w:space="0" w:color="000000"/>
            </w:tcBorders>
            <w:shd w:val="clear" w:color="auto" w:fill="DDEBF6"/>
          </w:tcPr>
          <w:p>
            <w:pPr>
              <w:pStyle w:val="TableParagraph"/>
              <w:spacing w:before="21"/>
              <w:ind w:right="103"/>
              <w:jc w:val="right"/>
              <w:rPr>
                <w:b/>
                <w:sz w:val="20"/>
              </w:rPr>
            </w:pPr>
            <w:r>
              <w:rPr>
                <w:b/>
                <w:spacing w:val="-2"/>
                <w:sz w:val="20"/>
              </w:rPr>
              <w:t>65,485</w:t>
            </w:r>
          </w:p>
        </w:tc>
        <w:tc>
          <w:tcPr>
            <w:tcW w:w="1552" w:type="dxa"/>
            <w:tcBorders>
              <w:top w:val="single" w:sz="4" w:space="0" w:color="000000"/>
              <w:bottom w:val="thickThinMediumGap" w:sz="4" w:space="0" w:color="000000"/>
            </w:tcBorders>
          </w:tcPr>
          <w:p>
            <w:pPr>
              <w:pStyle w:val="TableParagraph"/>
              <w:spacing w:before="21"/>
              <w:ind w:right="119"/>
              <w:jc w:val="right"/>
              <w:rPr>
                <w:sz w:val="20"/>
              </w:rPr>
            </w:pPr>
            <w:r>
              <w:rPr>
                <w:spacing w:val="-2"/>
                <w:sz w:val="20"/>
              </w:rPr>
              <w:t>42,103</w:t>
            </w:r>
          </w:p>
        </w:tc>
        <w:tc>
          <w:tcPr>
            <w:tcW w:w="1341" w:type="dxa"/>
            <w:tcBorders>
              <w:top w:val="single" w:sz="4" w:space="0" w:color="000000"/>
              <w:bottom w:val="thickThinMediumGap" w:sz="4" w:space="0" w:color="000000"/>
            </w:tcBorders>
          </w:tcPr>
          <w:p>
            <w:pPr>
              <w:pStyle w:val="TableParagraph"/>
              <w:spacing w:before="21"/>
              <w:ind w:right="236"/>
              <w:jc w:val="right"/>
              <w:rPr>
                <w:sz w:val="20"/>
              </w:rPr>
            </w:pPr>
            <w:r>
              <w:rPr>
                <w:spacing w:val="-2"/>
                <w:sz w:val="20"/>
              </w:rPr>
              <w:t>53,190</w:t>
            </w:r>
          </w:p>
        </w:tc>
        <w:tc>
          <w:tcPr>
            <w:tcW w:w="1559" w:type="dxa"/>
            <w:tcBorders>
              <w:top w:val="single" w:sz="4" w:space="0" w:color="000000"/>
              <w:bottom w:val="thickThinMediumGap" w:sz="4" w:space="0" w:color="000000"/>
              <w:right w:val="single" w:sz="4" w:space="0" w:color="000000"/>
            </w:tcBorders>
          </w:tcPr>
          <w:p>
            <w:pPr>
              <w:pStyle w:val="TableParagraph"/>
              <w:spacing w:before="21"/>
              <w:ind w:right="100"/>
              <w:jc w:val="right"/>
              <w:rPr>
                <w:sz w:val="20"/>
              </w:rPr>
            </w:pPr>
            <w:r>
              <w:rPr>
                <w:spacing w:val="-2"/>
                <w:sz w:val="20"/>
              </w:rPr>
              <w:t>67,709</w:t>
            </w:r>
          </w:p>
        </w:tc>
      </w:tr>
      <w:tr>
        <w:trPr>
          <w:trHeight w:val="544" w:hRule="atLeast"/>
        </w:trPr>
        <w:tc>
          <w:tcPr>
            <w:tcW w:w="3264" w:type="dxa"/>
            <w:tcBorders>
              <w:left w:val="single" w:sz="4" w:space="0" w:color="000000"/>
            </w:tcBorders>
          </w:tcPr>
          <w:p>
            <w:pPr>
              <w:pStyle w:val="TableParagraph"/>
              <w:spacing w:before="3"/>
              <w:rPr>
                <w:i/>
                <w:sz w:val="26"/>
              </w:rPr>
            </w:pPr>
          </w:p>
          <w:p>
            <w:pPr>
              <w:pStyle w:val="TableParagraph"/>
              <w:spacing w:line="222" w:lineRule="exact"/>
              <w:ind w:left="107"/>
              <w:rPr>
                <w:b/>
                <w:sz w:val="20"/>
              </w:rPr>
            </w:pPr>
            <w:r>
              <w:rPr>
                <w:b/>
                <w:spacing w:val="-2"/>
                <w:sz w:val="20"/>
              </w:rPr>
              <w:t>Represented</w:t>
            </w:r>
            <w:r>
              <w:rPr>
                <w:b/>
                <w:spacing w:val="5"/>
                <w:sz w:val="20"/>
              </w:rPr>
              <w:t> </w:t>
            </w:r>
            <w:r>
              <w:rPr>
                <w:b/>
                <w:spacing w:val="-5"/>
                <w:sz w:val="20"/>
              </w:rPr>
              <w:t>by:</w:t>
            </w:r>
          </w:p>
        </w:tc>
        <w:tc>
          <w:tcPr>
            <w:tcW w:w="964" w:type="dxa"/>
          </w:tcPr>
          <w:p>
            <w:pPr>
              <w:pStyle w:val="TableParagraph"/>
              <w:rPr>
                <w:rFonts w:ascii="Times New Roman"/>
                <w:sz w:val="18"/>
              </w:rPr>
            </w:pPr>
          </w:p>
        </w:tc>
        <w:tc>
          <w:tcPr>
            <w:tcW w:w="1200" w:type="dxa"/>
            <w:tcBorders>
              <w:top w:val="thinThickMediumGap" w:sz="4" w:space="0" w:color="000000"/>
            </w:tcBorders>
          </w:tcPr>
          <w:p>
            <w:pPr>
              <w:pStyle w:val="TableParagraph"/>
              <w:rPr>
                <w:rFonts w:ascii="Times New Roman"/>
                <w:sz w:val="18"/>
              </w:rPr>
            </w:pPr>
          </w:p>
        </w:tc>
        <w:tc>
          <w:tcPr>
            <w:tcW w:w="1162" w:type="dxa"/>
            <w:tcBorders>
              <w:top w:val="thinThickMediumGap" w:sz="4" w:space="0" w:color="000000"/>
            </w:tcBorders>
            <w:shd w:val="clear" w:color="auto" w:fill="DDEBF6"/>
          </w:tcPr>
          <w:p>
            <w:pPr>
              <w:pStyle w:val="TableParagraph"/>
              <w:rPr>
                <w:rFonts w:ascii="Times New Roman"/>
                <w:sz w:val="18"/>
              </w:rPr>
            </w:pPr>
          </w:p>
        </w:tc>
        <w:tc>
          <w:tcPr>
            <w:tcW w:w="1552" w:type="dxa"/>
            <w:tcBorders>
              <w:top w:val="thinThickMediumGap" w:sz="4" w:space="0" w:color="000000"/>
            </w:tcBorders>
          </w:tcPr>
          <w:p>
            <w:pPr>
              <w:pStyle w:val="TableParagraph"/>
              <w:rPr>
                <w:rFonts w:ascii="Times New Roman"/>
                <w:sz w:val="18"/>
              </w:rPr>
            </w:pPr>
          </w:p>
        </w:tc>
        <w:tc>
          <w:tcPr>
            <w:tcW w:w="1341" w:type="dxa"/>
            <w:tcBorders>
              <w:top w:val="thinThickMediumGap" w:sz="4" w:space="0" w:color="000000"/>
            </w:tcBorders>
          </w:tcPr>
          <w:p>
            <w:pPr>
              <w:pStyle w:val="TableParagraph"/>
              <w:rPr>
                <w:rFonts w:ascii="Times New Roman"/>
                <w:sz w:val="18"/>
              </w:rPr>
            </w:pPr>
          </w:p>
        </w:tc>
        <w:tc>
          <w:tcPr>
            <w:tcW w:w="1559" w:type="dxa"/>
            <w:tcBorders>
              <w:top w:val="thinThickMediumGap" w:sz="4" w:space="0" w:color="000000"/>
              <w:right w:val="single" w:sz="4" w:space="0" w:color="000000"/>
            </w:tcBorders>
          </w:tcPr>
          <w:p>
            <w:pPr>
              <w:pStyle w:val="TableParagraph"/>
              <w:rPr>
                <w:rFonts w:ascii="Times New Roman"/>
                <w:sz w:val="18"/>
              </w:rPr>
            </w:pPr>
          </w:p>
        </w:tc>
      </w:tr>
      <w:tr>
        <w:trPr>
          <w:trHeight w:val="262" w:hRule="atLeast"/>
        </w:trPr>
        <w:tc>
          <w:tcPr>
            <w:tcW w:w="3264" w:type="dxa"/>
            <w:tcBorders>
              <w:left w:val="single" w:sz="4" w:space="0" w:color="000000"/>
            </w:tcBorders>
          </w:tcPr>
          <w:p>
            <w:pPr>
              <w:pStyle w:val="TableParagraph"/>
              <w:spacing w:line="221" w:lineRule="exact" w:before="22"/>
              <w:ind w:left="107"/>
              <w:rPr>
                <w:sz w:val="20"/>
              </w:rPr>
            </w:pPr>
            <w:r>
              <w:rPr>
                <w:sz w:val="20"/>
              </w:rPr>
              <w:t>New</w:t>
            </w:r>
            <w:r>
              <w:rPr>
                <w:spacing w:val="-6"/>
                <w:sz w:val="20"/>
              </w:rPr>
              <w:t> </w:t>
            </w:r>
            <w:r>
              <w:rPr>
                <w:sz w:val="20"/>
              </w:rPr>
              <w:t>asset</w:t>
            </w:r>
            <w:r>
              <w:rPr>
                <w:spacing w:val="-2"/>
                <w:sz w:val="20"/>
              </w:rPr>
              <w:t> expenditure</w:t>
            </w:r>
          </w:p>
        </w:tc>
        <w:tc>
          <w:tcPr>
            <w:tcW w:w="964" w:type="dxa"/>
          </w:tcPr>
          <w:p>
            <w:pPr>
              <w:pStyle w:val="TableParagraph"/>
              <w:rPr>
                <w:rFonts w:ascii="Times New Roman"/>
                <w:sz w:val="18"/>
              </w:rPr>
            </w:pPr>
          </w:p>
        </w:tc>
        <w:tc>
          <w:tcPr>
            <w:tcW w:w="1200" w:type="dxa"/>
          </w:tcPr>
          <w:p>
            <w:pPr>
              <w:pStyle w:val="TableParagraph"/>
              <w:spacing w:before="5"/>
              <w:ind w:right="101"/>
              <w:jc w:val="right"/>
              <w:rPr>
                <w:sz w:val="20"/>
              </w:rPr>
            </w:pPr>
            <w:r>
              <w:rPr>
                <w:spacing w:val="-2"/>
                <w:sz w:val="20"/>
              </w:rPr>
              <w:t>9,731</w:t>
            </w:r>
          </w:p>
        </w:tc>
        <w:tc>
          <w:tcPr>
            <w:tcW w:w="1162" w:type="dxa"/>
            <w:shd w:val="clear" w:color="auto" w:fill="DDEBF6"/>
          </w:tcPr>
          <w:p>
            <w:pPr>
              <w:pStyle w:val="TableParagraph"/>
              <w:spacing w:before="5"/>
              <w:ind w:right="103"/>
              <w:jc w:val="right"/>
              <w:rPr>
                <w:b/>
                <w:sz w:val="20"/>
              </w:rPr>
            </w:pPr>
            <w:r>
              <w:rPr>
                <w:b/>
                <w:spacing w:val="-2"/>
                <w:sz w:val="20"/>
              </w:rPr>
              <w:t>30,611</w:t>
            </w:r>
          </w:p>
        </w:tc>
        <w:tc>
          <w:tcPr>
            <w:tcW w:w="1552" w:type="dxa"/>
          </w:tcPr>
          <w:p>
            <w:pPr>
              <w:pStyle w:val="TableParagraph"/>
              <w:spacing w:before="5"/>
              <w:ind w:right="118"/>
              <w:jc w:val="right"/>
              <w:rPr>
                <w:sz w:val="20"/>
              </w:rPr>
            </w:pPr>
            <w:r>
              <w:rPr>
                <w:spacing w:val="-2"/>
                <w:sz w:val="20"/>
              </w:rPr>
              <w:t>6,881</w:t>
            </w:r>
          </w:p>
        </w:tc>
        <w:tc>
          <w:tcPr>
            <w:tcW w:w="1341" w:type="dxa"/>
          </w:tcPr>
          <w:p>
            <w:pPr>
              <w:pStyle w:val="TableParagraph"/>
              <w:spacing w:before="5"/>
              <w:ind w:right="235"/>
              <w:jc w:val="right"/>
              <w:rPr>
                <w:sz w:val="20"/>
              </w:rPr>
            </w:pPr>
            <w:r>
              <w:rPr>
                <w:spacing w:val="-2"/>
                <w:sz w:val="20"/>
              </w:rPr>
              <w:t>7,559</w:t>
            </w:r>
          </w:p>
        </w:tc>
        <w:tc>
          <w:tcPr>
            <w:tcW w:w="1559" w:type="dxa"/>
            <w:tcBorders>
              <w:right w:val="single" w:sz="4" w:space="0" w:color="000000"/>
            </w:tcBorders>
          </w:tcPr>
          <w:p>
            <w:pPr>
              <w:pStyle w:val="TableParagraph"/>
              <w:spacing w:before="5"/>
              <w:ind w:right="100"/>
              <w:jc w:val="right"/>
              <w:rPr>
                <w:sz w:val="20"/>
              </w:rPr>
            </w:pPr>
            <w:r>
              <w:rPr>
                <w:spacing w:val="-2"/>
                <w:sz w:val="20"/>
              </w:rPr>
              <w:t>4,500</w:t>
            </w:r>
          </w:p>
        </w:tc>
      </w:tr>
      <w:tr>
        <w:trPr>
          <w:trHeight w:val="261" w:hRule="atLeast"/>
        </w:trPr>
        <w:tc>
          <w:tcPr>
            <w:tcW w:w="3264" w:type="dxa"/>
            <w:tcBorders>
              <w:left w:val="single" w:sz="4" w:space="0" w:color="000000"/>
            </w:tcBorders>
          </w:tcPr>
          <w:p>
            <w:pPr>
              <w:pStyle w:val="TableParagraph"/>
              <w:spacing w:line="221" w:lineRule="exact" w:before="20"/>
              <w:ind w:left="107"/>
              <w:rPr>
                <w:sz w:val="20"/>
              </w:rPr>
            </w:pPr>
            <w:r>
              <w:rPr>
                <w:sz w:val="20"/>
              </w:rPr>
              <w:t>Asset</w:t>
            </w:r>
            <w:r>
              <w:rPr>
                <w:spacing w:val="-10"/>
                <w:sz w:val="20"/>
              </w:rPr>
              <w:t> </w:t>
            </w:r>
            <w:r>
              <w:rPr>
                <w:sz w:val="20"/>
              </w:rPr>
              <w:t>renewal</w:t>
            </w:r>
            <w:r>
              <w:rPr>
                <w:spacing w:val="-5"/>
                <w:sz w:val="20"/>
              </w:rPr>
              <w:t> </w:t>
            </w:r>
            <w:r>
              <w:rPr>
                <w:spacing w:val="-2"/>
                <w:sz w:val="20"/>
              </w:rPr>
              <w:t>expenditure</w:t>
            </w:r>
          </w:p>
        </w:tc>
        <w:tc>
          <w:tcPr>
            <w:tcW w:w="964" w:type="dxa"/>
          </w:tcPr>
          <w:p>
            <w:pPr>
              <w:pStyle w:val="TableParagraph"/>
              <w:rPr>
                <w:rFonts w:ascii="Times New Roman"/>
                <w:sz w:val="18"/>
              </w:rPr>
            </w:pPr>
          </w:p>
        </w:tc>
        <w:tc>
          <w:tcPr>
            <w:tcW w:w="1200" w:type="dxa"/>
          </w:tcPr>
          <w:p>
            <w:pPr>
              <w:pStyle w:val="TableParagraph"/>
              <w:spacing w:before="4"/>
              <w:ind w:right="102"/>
              <w:jc w:val="right"/>
              <w:rPr>
                <w:sz w:val="20"/>
              </w:rPr>
            </w:pPr>
            <w:r>
              <w:rPr>
                <w:spacing w:val="-2"/>
                <w:sz w:val="20"/>
              </w:rPr>
              <w:t>23,806</w:t>
            </w:r>
          </w:p>
        </w:tc>
        <w:tc>
          <w:tcPr>
            <w:tcW w:w="1162" w:type="dxa"/>
            <w:shd w:val="clear" w:color="auto" w:fill="DDEBF6"/>
          </w:tcPr>
          <w:p>
            <w:pPr>
              <w:pStyle w:val="TableParagraph"/>
              <w:spacing w:before="4"/>
              <w:ind w:right="103"/>
              <w:jc w:val="right"/>
              <w:rPr>
                <w:b/>
                <w:sz w:val="20"/>
              </w:rPr>
            </w:pPr>
            <w:r>
              <w:rPr>
                <w:b/>
                <w:spacing w:val="-2"/>
                <w:sz w:val="20"/>
              </w:rPr>
              <w:t>28,318</w:t>
            </w:r>
          </w:p>
        </w:tc>
        <w:tc>
          <w:tcPr>
            <w:tcW w:w="1552" w:type="dxa"/>
          </w:tcPr>
          <w:p>
            <w:pPr>
              <w:pStyle w:val="TableParagraph"/>
              <w:spacing w:before="4"/>
              <w:ind w:right="119"/>
              <w:jc w:val="right"/>
              <w:rPr>
                <w:sz w:val="20"/>
              </w:rPr>
            </w:pPr>
            <w:r>
              <w:rPr>
                <w:spacing w:val="-2"/>
                <w:sz w:val="20"/>
              </w:rPr>
              <w:t>28,287</w:t>
            </w:r>
          </w:p>
        </w:tc>
        <w:tc>
          <w:tcPr>
            <w:tcW w:w="1341" w:type="dxa"/>
          </w:tcPr>
          <w:p>
            <w:pPr>
              <w:pStyle w:val="TableParagraph"/>
              <w:spacing w:before="4"/>
              <w:ind w:right="236"/>
              <w:jc w:val="right"/>
              <w:rPr>
                <w:sz w:val="20"/>
              </w:rPr>
            </w:pPr>
            <w:r>
              <w:rPr>
                <w:spacing w:val="-2"/>
                <w:sz w:val="20"/>
              </w:rPr>
              <w:t>36,609</w:t>
            </w:r>
          </w:p>
        </w:tc>
        <w:tc>
          <w:tcPr>
            <w:tcW w:w="1559" w:type="dxa"/>
            <w:tcBorders>
              <w:right w:val="single" w:sz="4" w:space="0" w:color="000000"/>
            </w:tcBorders>
          </w:tcPr>
          <w:p>
            <w:pPr>
              <w:pStyle w:val="TableParagraph"/>
              <w:spacing w:before="4"/>
              <w:ind w:right="100"/>
              <w:jc w:val="right"/>
              <w:rPr>
                <w:sz w:val="20"/>
              </w:rPr>
            </w:pPr>
            <w:r>
              <w:rPr>
                <w:spacing w:val="-2"/>
                <w:sz w:val="20"/>
              </w:rPr>
              <w:t>51,102</w:t>
            </w:r>
          </w:p>
        </w:tc>
      </w:tr>
      <w:tr>
        <w:trPr>
          <w:trHeight w:val="251" w:hRule="atLeast"/>
        </w:trPr>
        <w:tc>
          <w:tcPr>
            <w:tcW w:w="3264" w:type="dxa"/>
            <w:tcBorders>
              <w:left w:val="single" w:sz="4" w:space="0" w:color="000000"/>
            </w:tcBorders>
          </w:tcPr>
          <w:p>
            <w:pPr>
              <w:pStyle w:val="TableParagraph"/>
              <w:spacing w:line="211" w:lineRule="exact" w:before="20"/>
              <w:ind w:left="107"/>
              <w:rPr>
                <w:sz w:val="20"/>
              </w:rPr>
            </w:pPr>
            <w:r>
              <w:rPr>
                <w:sz w:val="20"/>
              </w:rPr>
              <w:t>Asset</w:t>
            </w:r>
            <w:r>
              <w:rPr>
                <w:spacing w:val="-8"/>
                <w:sz w:val="20"/>
              </w:rPr>
              <w:t> </w:t>
            </w:r>
            <w:r>
              <w:rPr>
                <w:sz w:val="20"/>
              </w:rPr>
              <w:t>upgrade</w:t>
            </w:r>
            <w:r>
              <w:rPr>
                <w:spacing w:val="-7"/>
                <w:sz w:val="20"/>
              </w:rPr>
              <w:t> </w:t>
            </w:r>
            <w:r>
              <w:rPr>
                <w:spacing w:val="-2"/>
                <w:sz w:val="20"/>
              </w:rPr>
              <w:t>expenditure</w:t>
            </w:r>
          </w:p>
        </w:tc>
        <w:tc>
          <w:tcPr>
            <w:tcW w:w="964" w:type="dxa"/>
          </w:tcPr>
          <w:p>
            <w:pPr>
              <w:pStyle w:val="TableParagraph"/>
              <w:rPr>
                <w:rFonts w:ascii="Times New Roman"/>
                <w:sz w:val="18"/>
              </w:rPr>
            </w:pPr>
          </w:p>
        </w:tc>
        <w:tc>
          <w:tcPr>
            <w:tcW w:w="1200" w:type="dxa"/>
            <w:tcBorders>
              <w:bottom w:val="single" w:sz="4" w:space="0" w:color="000000"/>
            </w:tcBorders>
          </w:tcPr>
          <w:p>
            <w:pPr>
              <w:pStyle w:val="TableParagraph"/>
              <w:spacing w:line="227" w:lineRule="exact" w:before="4"/>
              <w:ind w:right="101"/>
              <w:jc w:val="right"/>
              <w:rPr>
                <w:sz w:val="20"/>
              </w:rPr>
            </w:pPr>
            <w:r>
              <w:rPr>
                <w:spacing w:val="-2"/>
                <w:sz w:val="20"/>
              </w:rPr>
              <w:t>6,104</w:t>
            </w:r>
          </w:p>
        </w:tc>
        <w:tc>
          <w:tcPr>
            <w:tcW w:w="1162" w:type="dxa"/>
            <w:tcBorders>
              <w:bottom w:val="single" w:sz="4" w:space="0" w:color="000000"/>
            </w:tcBorders>
            <w:shd w:val="clear" w:color="auto" w:fill="DDEBF6"/>
          </w:tcPr>
          <w:p>
            <w:pPr>
              <w:pStyle w:val="TableParagraph"/>
              <w:spacing w:line="227" w:lineRule="exact" w:before="4"/>
              <w:ind w:right="102"/>
              <w:jc w:val="right"/>
              <w:rPr>
                <w:b/>
                <w:sz w:val="20"/>
              </w:rPr>
            </w:pPr>
            <w:r>
              <w:rPr>
                <w:b/>
                <w:spacing w:val="-2"/>
                <w:sz w:val="20"/>
              </w:rPr>
              <w:t>6,556</w:t>
            </w:r>
          </w:p>
        </w:tc>
        <w:tc>
          <w:tcPr>
            <w:tcW w:w="1552" w:type="dxa"/>
            <w:tcBorders>
              <w:bottom w:val="single" w:sz="4" w:space="0" w:color="000000"/>
            </w:tcBorders>
          </w:tcPr>
          <w:p>
            <w:pPr>
              <w:pStyle w:val="TableParagraph"/>
              <w:spacing w:line="227" w:lineRule="exact" w:before="4"/>
              <w:ind w:right="118"/>
              <w:jc w:val="right"/>
              <w:rPr>
                <w:sz w:val="20"/>
              </w:rPr>
            </w:pPr>
            <w:r>
              <w:rPr>
                <w:spacing w:val="-2"/>
                <w:sz w:val="20"/>
              </w:rPr>
              <w:t>6,935</w:t>
            </w:r>
          </w:p>
        </w:tc>
        <w:tc>
          <w:tcPr>
            <w:tcW w:w="1341" w:type="dxa"/>
            <w:tcBorders>
              <w:bottom w:val="single" w:sz="4" w:space="0" w:color="000000"/>
            </w:tcBorders>
          </w:tcPr>
          <w:p>
            <w:pPr>
              <w:pStyle w:val="TableParagraph"/>
              <w:spacing w:line="227" w:lineRule="exact" w:before="4"/>
              <w:ind w:right="235"/>
              <w:jc w:val="right"/>
              <w:rPr>
                <w:sz w:val="20"/>
              </w:rPr>
            </w:pPr>
            <w:r>
              <w:rPr>
                <w:spacing w:val="-2"/>
                <w:sz w:val="20"/>
              </w:rPr>
              <w:t>9,022</w:t>
            </w:r>
          </w:p>
        </w:tc>
        <w:tc>
          <w:tcPr>
            <w:tcW w:w="1559" w:type="dxa"/>
            <w:tcBorders>
              <w:bottom w:val="single" w:sz="4" w:space="0" w:color="000000"/>
              <w:right w:val="single" w:sz="4" w:space="0" w:color="000000"/>
            </w:tcBorders>
          </w:tcPr>
          <w:p>
            <w:pPr>
              <w:pStyle w:val="TableParagraph"/>
              <w:spacing w:line="227" w:lineRule="exact" w:before="4"/>
              <w:ind w:right="100"/>
              <w:jc w:val="right"/>
              <w:rPr>
                <w:sz w:val="20"/>
              </w:rPr>
            </w:pPr>
            <w:r>
              <w:rPr>
                <w:spacing w:val="-2"/>
                <w:sz w:val="20"/>
              </w:rPr>
              <w:t>12,107</w:t>
            </w:r>
          </w:p>
        </w:tc>
      </w:tr>
      <w:tr>
        <w:trPr>
          <w:trHeight w:val="271" w:hRule="atLeast"/>
        </w:trPr>
        <w:tc>
          <w:tcPr>
            <w:tcW w:w="3264" w:type="dxa"/>
            <w:tcBorders>
              <w:left w:val="single" w:sz="4" w:space="0" w:color="000000"/>
            </w:tcBorders>
          </w:tcPr>
          <w:p>
            <w:pPr>
              <w:pStyle w:val="TableParagraph"/>
              <w:spacing w:line="209" w:lineRule="exact" w:before="42"/>
              <w:ind w:left="107"/>
              <w:rPr>
                <w:b/>
                <w:sz w:val="20"/>
              </w:rPr>
            </w:pPr>
            <w:r>
              <w:rPr>
                <w:b/>
                <w:sz w:val="20"/>
              </w:rPr>
              <w:t>Total</w:t>
            </w:r>
            <w:r>
              <w:rPr>
                <w:b/>
                <w:spacing w:val="-8"/>
                <w:sz w:val="20"/>
              </w:rPr>
              <w:t> </w:t>
            </w:r>
            <w:r>
              <w:rPr>
                <w:b/>
                <w:sz w:val="20"/>
              </w:rPr>
              <w:t>capital</w:t>
            </w:r>
            <w:r>
              <w:rPr>
                <w:b/>
                <w:spacing w:val="-7"/>
                <w:sz w:val="20"/>
              </w:rPr>
              <w:t> </w:t>
            </w:r>
            <w:r>
              <w:rPr>
                <w:b/>
                <w:sz w:val="20"/>
              </w:rPr>
              <w:t>works</w:t>
            </w:r>
            <w:r>
              <w:rPr>
                <w:b/>
                <w:spacing w:val="-4"/>
                <w:sz w:val="20"/>
              </w:rPr>
              <w:t> </w:t>
            </w:r>
            <w:r>
              <w:rPr>
                <w:b/>
                <w:spacing w:val="-2"/>
                <w:sz w:val="20"/>
              </w:rPr>
              <w:t>expenditure</w:t>
            </w:r>
          </w:p>
        </w:tc>
        <w:tc>
          <w:tcPr>
            <w:tcW w:w="964" w:type="dxa"/>
          </w:tcPr>
          <w:p>
            <w:pPr>
              <w:pStyle w:val="TableParagraph"/>
              <w:spacing w:before="21"/>
              <w:ind w:right="224"/>
              <w:jc w:val="right"/>
              <w:rPr>
                <w:sz w:val="20"/>
              </w:rPr>
            </w:pPr>
            <w:r>
              <w:rPr>
                <w:spacing w:val="-2"/>
                <w:sz w:val="20"/>
              </w:rPr>
              <w:t>4.5.1</w:t>
            </w:r>
          </w:p>
        </w:tc>
        <w:tc>
          <w:tcPr>
            <w:tcW w:w="1200" w:type="dxa"/>
            <w:tcBorders>
              <w:top w:val="single" w:sz="4" w:space="0" w:color="000000"/>
              <w:bottom w:val="thickThinMediumGap" w:sz="4" w:space="0" w:color="000000"/>
            </w:tcBorders>
          </w:tcPr>
          <w:p>
            <w:pPr>
              <w:pStyle w:val="TableParagraph"/>
              <w:spacing w:before="21"/>
              <w:ind w:right="102"/>
              <w:jc w:val="right"/>
              <w:rPr>
                <w:sz w:val="20"/>
              </w:rPr>
            </w:pPr>
            <w:r>
              <w:rPr>
                <w:spacing w:val="-2"/>
                <w:sz w:val="20"/>
              </w:rPr>
              <w:t>39,641</w:t>
            </w:r>
          </w:p>
        </w:tc>
        <w:tc>
          <w:tcPr>
            <w:tcW w:w="1162" w:type="dxa"/>
            <w:tcBorders>
              <w:top w:val="single" w:sz="4" w:space="0" w:color="000000"/>
              <w:bottom w:val="thickThinMediumGap" w:sz="4" w:space="0" w:color="000000"/>
            </w:tcBorders>
            <w:shd w:val="clear" w:color="auto" w:fill="DDEBF6"/>
          </w:tcPr>
          <w:p>
            <w:pPr>
              <w:pStyle w:val="TableParagraph"/>
              <w:spacing w:before="21"/>
              <w:ind w:right="103"/>
              <w:jc w:val="right"/>
              <w:rPr>
                <w:b/>
                <w:sz w:val="20"/>
              </w:rPr>
            </w:pPr>
            <w:r>
              <w:rPr>
                <w:b/>
                <w:spacing w:val="-2"/>
                <w:sz w:val="20"/>
              </w:rPr>
              <w:t>65,485</w:t>
            </w:r>
          </w:p>
        </w:tc>
        <w:tc>
          <w:tcPr>
            <w:tcW w:w="1552" w:type="dxa"/>
            <w:tcBorders>
              <w:top w:val="single" w:sz="4" w:space="0" w:color="000000"/>
              <w:bottom w:val="double" w:sz="6" w:space="0" w:color="000000"/>
            </w:tcBorders>
          </w:tcPr>
          <w:p>
            <w:pPr>
              <w:pStyle w:val="TableParagraph"/>
              <w:spacing w:before="21"/>
              <w:ind w:right="119"/>
              <w:jc w:val="right"/>
              <w:rPr>
                <w:sz w:val="20"/>
              </w:rPr>
            </w:pPr>
            <w:r>
              <w:rPr>
                <w:spacing w:val="-2"/>
                <w:sz w:val="20"/>
              </w:rPr>
              <w:t>42,103</w:t>
            </w:r>
          </w:p>
        </w:tc>
        <w:tc>
          <w:tcPr>
            <w:tcW w:w="1341" w:type="dxa"/>
            <w:tcBorders>
              <w:top w:val="single" w:sz="4" w:space="0" w:color="000000"/>
              <w:bottom w:val="double" w:sz="6" w:space="0" w:color="000000"/>
            </w:tcBorders>
          </w:tcPr>
          <w:p>
            <w:pPr>
              <w:pStyle w:val="TableParagraph"/>
              <w:spacing w:before="21"/>
              <w:ind w:right="236"/>
              <w:jc w:val="right"/>
              <w:rPr>
                <w:sz w:val="20"/>
              </w:rPr>
            </w:pPr>
            <w:r>
              <w:rPr>
                <w:spacing w:val="-2"/>
                <w:sz w:val="20"/>
              </w:rPr>
              <w:t>53,190</w:t>
            </w:r>
          </w:p>
        </w:tc>
        <w:tc>
          <w:tcPr>
            <w:tcW w:w="1559" w:type="dxa"/>
            <w:tcBorders>
              <w:top w:val="single" w:sz="4" w:space="0" w:color="000000"/>
              <w:bottom w:val="double" w:sz="6" w:space="0" w:color="000000"/>
              <w:right w:val="single" w:sz="4" w:space="0" w:color="000000"/>
            </w:tcBorders>
          </w:tcPr>
          <w:p>
            <w:pPr>
              <w:pStyle w:val="TableParagraph"/>
              <w:spacing w:before="21"/>
              <w:ind w:right="100"/>
              <w:jc w:val="right"/>
              <w:rPr>
                <w:sz w:val="20"/>
              </w:rPr>
            </w:pPr>
            <w:r>
              <w:rPr>
                <w:spacing w:val="-2"/>
                <w:sz w:val="20"/>
              </w:rPr>
              <w:t>67,709</w:t>
            </w:r>
          </w:p>
        </w:tc>
      </w:tr>
      <w:tr>
        <w:trPr>
          <w:trHeight w:val="504" w:hRule="atLeast"/>
        </w:trPr>
        <w:tc>
          <w:tcPr>
            <w:tcW w:w="3264" w:type="dxa"/>
            <w:tcBorders>
              <w:left w:val="single" w:sz="4" w:space="0" w:color="000000"/>
            </w:tcBorders>
          </w:tcPr>
          <w:p>
            <w:pPr>
              <w:pStyle w:val="TableParagraph"/>
              <w:spacing w:before="6"/>
              <w:rPr>
                <w:i/>
                <w:sz w:val="23"/>
              </w:rPr>
            </w:pPr>
          </w:p>
          <w:p>
            <w:pPr>
              <w:pStyle w:val="TableParagraph"/>
              <w:spacing w:line="214" w:lineRule="exact"/>
              <w:ind w:left="107"/>
              <w:rPr>
                <w:b/>
                <w:sz w:val="20"/>
              </w:rPr>
            </w:pPr>
            <w:r>
              <w:rPr>
                <w:b/>
                <w:sz w:val="20"/>
              </w:rPr>
              <w:t>Funding</w:t>
            </w:r>
            <w:r>
              <w:rPr>
                <w:b/>
                <w:spacing w:val="-10"/>
                <w:sz w:val="20"/>
              </w:rPr>
              <w:t> </w:t>
            </w:r>
            <w:r>
              <w:rPr>
                <w:b/>
                <w:sz w:val="20"/>
              </w:rPr>
              <w:t>sources</w:t>
            </w:r>
            <w:r>
              <w:rPr>
                <w:b/>
                <w:spacing w:val="-9"/>
                <w:sz w:val="20"/>
              </w:rPr>
              <w:t> </w:t>
            </w:r>
            <w:r>
              <w:rPr>
                <w:b/>
                <w:spacing w:val="-2"/>
                <w:sz w:val="20"/>
              </w:rPr>
              <w:t>represented</w:t>
            </w:r>
          </w:p>
        </w:tc>
        <w:tc>
          <w:tcPr>
            <w:tcW w:w="964" w:type="dxa"/>
          </w:tcPr>
          <w:p>
            <w:pPr>
              <w:pStyle w:val="TableParagraph"/>
              <w:rPr>
                <w:rFonts w:ascii="Times New Roman"/>
                <w:sz w:val="18"/>
              </w:rPr>
            </w:pPr>
          </w:p>
        </w:tc>
        <w:tc>
          <w:tcPr>
            <w:tcW w:w="1200" w:type="dxa"/>
            <w:tcBorders>
              <w:top w:val="thinThickMediumGap" w:sz="4" w:space="0" w:color="000000"/>
            </w:tcBorders>
          </w:tcPr>
          <w:p>
            <w:pPr>
              <w:pStyle w:val="TableParagraph"/>
              <w:rPr>
                <w:rFonts w:ascii="Times New Roman"/>
                <w:sz w:val="18"/>
              </w:rPr>
            </w:pPr>
          </w:p>
        </w:tc>
        <w:tc>
          <w:tcPr>
            <w:tcW w:w="1162" w:type="dxa"/>
            <w:tcBorders>
              <w:top w:val="thinThickMediumGap" w:sz="4" w:space="0" w:color="000000"/>
            </w:tcBorders>
            <w:shd w:val="clear" w:color="auto" w:fill="DDEBF6"/>
          </w:tcPr>
          <w:p>
            <w:pPr>
              <w:pStyle w:val="TableParagraph"/>
              <w:rPr>
                <w:rFonts w:ascii="Times New Roman"/>
                <w:sz w:val="18"/>
              </w:rPr>
            </w:pPr>
          </w:p>
        </w:tc>
        <w:tc>
          <w:tcPr>
            <w:tcW w:w="1552" w:type="dxa"/>
            <w:tcBorders>
              <w:top w:val="double" w:sz="6" w:space="0" w:color="000000"/>
            </w:tcBorders>
          </w:tcPr>
          <w:p>
            <w:pPr>
              <w:pStyle w:val="TableParagraph"/>
              <w:rPr>
                <w:rFonts w:ascii="Times New Roman"/>
                <w:sz w:val="18"/>
              </w:rPr>
            </w:pPr>
          </w:p>
        </w:tc>
        <w:tc>
          <w:tcPr>
            <w:tcW w:w="1341" w:type="dxa"/>
            <w:tcBorders>
              <w:top w:val="double" w:sz="6" w:space="0" w:color="000000"/>
            </w:tcBorders>
          </w:tcPr>
          <w:p>
            <w:pPr>
              <w:pStyle w:val="TableParagraph"/>
              <w:rPr>
                <w:rFonts w:ascii="Times New Roman"/>
                <w:sz w:val="18"/>
              </w:rPr>
            </w:pPr>
          </w:p>
        </w:tc>
        <w:tc>
          <w:tcPr>
            <w:tcW w:w="1559" w:type="dxa"/>
            <w:tcBorders>
              <w:top w:val="double" w:sz="6" w:space="0" w:color="000000"/>
              <w:right w:val="single" w:sz="4" w:space="0" w:color="000000"/>
            </w:tcBorders>
          </w:tcPr>
          <w:p>
            <w:pPr>
              <w:pStyle w:val="TableParagraph"/>
              <w:rPr>
                <w:rFonts w:ascii="Times New Roman"/>
                <w:sz w:val="18"/>
              </w:rPr>
            </w:pPr>
          </w:p>
        </w:tc>
      </w:tr>
      <w:tr>
        <w:trPr>
          <w:trHeight w:val="237" w:hRule="atLeast"/>
        </w:trPr>
        <w:tc>
          <w:tcPr>
            <w:tcW w:w="3264" w:type="dxa"/>
            <w:tcBorders>
              <w:left w:val="single" w:sz="4" w:space="0" w:color="000000"/>
            </w:tcBorders>
          </w:tcPr>
          <w:p>
            <w:pPr>
              <w:pStyle w:val="TableParagraph"/>
              <w:spacing w:line="218" w:lineRule="exact"/>
              <w:ind w:left="107"/>
              <w:rPr>
                <w:b/>
                <w:sz w:val="20"/>
              </w:rPr>
            </w:pPr>
            <w:r>
              <w:rPr>
                <w:b/>
                <w:spacing w:val="-5"/>
                <w:sz w:val="20"/>
              </w:rPr>
              <w:t>by:</w:t>
            </w:r>
          </w:p>
        </w:tc>
        <w:tc>
          <w:tcPr>
            <w:tcW w:w="964" w:type="dxa"/>
          </w:tcPr>
          <w:p>
            <w:pPr>
              <w:pStyle w:val="TableParagraph"/>
              <w:rPr>
                <w:rFonts w:ascii="Times New Roman"/>
                <w:sz w:val="16"/>
              </w:rPr>
            </w:pPr>
          </w:p>
        </w:tc>
        <w:tc>
          <w:tcPr>
            <w:tcW w:w="1200" w:type="dxa"/>
          </w:tcPr>
          <w:p>
            <w:pPr>
              <w:pStyle w:val="TableParagraph"/>
              <w:rPr>
                <w:rFonts w:ascii="Times New Roman"/>
                <w:sz w:val="16"/>
              </w:rPr>
            </w:pPr>
          </w:p>
        </w:tc>
        <w:tc>
          <w:tcPr>
            <w:tcW w:w="1162" w:type="dxa"/>
            <w:shd w:val="clear" w:color="auto" w:fill="DDEBF6"/>
          </w:tcPr>
          <w:p>
            <w:pPr>
              <w:pStyle w:val="TableParagraph"/>
              <w:rPr>
                <w:rFonts w:ascii="Times New Roman"/>
                <w:sz w:val="16"/>
              </w:rPr>
            </w:pPr>
          </w:p>
        </w:tc>
        <w:tc>
          <w:tcPr>
            <w:tcW w:w="1552" w:type="dxa"/>
          </w:tcPr>
          <w:p>
            <w:pPr>
              <w:pStyle w:val="TableParagraph"/>
              <w:rPr>
                <w:rFonts w:ascii="Times New Roman"/>
                <w:sz w:val="16"/>
              </w:rPr>
            </w:pPr>
          </w:p>
        </w:tc>
        <w:tc>
          <w:tcPr>
            <w:tcW w:w="1341" w:type="dxa"/>
          </w:tcPr>
          <w:p>
            <w:pPr>
              <w:pStyle w:val="TableParagraph"/>
              <w:rPr>
                <w:rFonts w:ascii="Times New Roman"/>
                <w:sz w:val="16"/>
              </w:rPr>
            </w:pPr>
          </w:p>
        </w:tc>
        <w:tc>
          <w:tcPr>
            <w:tcW w:w="1559" w:type="dxa"/>
            <w:tcBorders>
              <w:right w:val="single" w:sz="4" w:space="0" w:color="000000"/>
            </w:tcBorders>
          </w:tcPr>
          <w:p>
            <w:pPr>
              <w:pStyle w:val="TableParagraph"/>
              <w:rPr>
                <w:rFonts w:ascii="Times New Roman"/>
                <w:sz w:val="16"/>
              </w:rPr>
            </w:pPr>
          </w:p>
        </w:tc>
      </w:tr>
      <w:tr>
        <w:trPr>
          <w:trHeight w:val="262" w:hRule="atLeast"/>
        </w:trPr>
        <w:tc>
          <w:tcPr>
            <w:tcW w:w="3264" w:type="dxa"/>
            <w:tcBorders>
              <w:left w:val="single" w:sz="4" w:space="0" w:color="000000"/>
            </w:tcBorders>
          </w:tcPr>
          <w:p>
            <w:pPr>
              <w:pStyle w:val="TableParagraph"/>
              <w:spacing w:line="222" w:lineRule="exact" w:before="20"/>
              <w:ind w:left="107"/>
              <w:rPr>
                <w:sz w:val="20"/>
              </w:rPr>
            </w:pPr>
            <w:r>
              <w:rPr>
                <w:spacing w:val="-2"/>
                <w:sz w:val="20"/>
              </w:rPr>
              <w:t>Grants</w:t>
            </w:r>
          </w:p>
        </w:tc>
        <w:tc>
          <w:tcPr>
            <w:tcW w:w="964" w:type="dxa"/>
          </w:tcPr>
          <w:p>
            <w:pPr>
              <w:pStyle w:val="TableParagraph"/>
              <w:rPr>
                <w:rFonts w:ascii="Times New Roman"/>
                <w:sz w:val="18"/>
              </w:rPr>
            </w:pPr>
          </w:p>
        </w:tc>
        <w:tc>
          <w:tcPr>
            <w:tcW w:w="1200" w:type="dxa"/>
          </w:tcPr>
          <w:p>
            <w:pPr>
              <w:pStyle w:val="TableParagraph"/>
              <w:spacing w:before="4"/>
              <w:ind w:right="101"/>
              <w:jc w:val="right"/>
              <w:rPr>
                <w:sz w:val="20"/>
              </w:rPr>
            </w:pPr>
            <w:r>
              <w:rPr>
                <w:spacing w:val="-2"/>
                <w:sz w:val="20"/>
              </w:rPr>
              <w:t>6,675</w:t>
            </w:r>
          </w:p>
        </w:tc>
        <w:tc>
          <w:tcPr>
            <w:tcW w:w="1162" w:type="dxa"/>
            <w:shd w:val="clear" w:color="auto" w:fill="DDEBF6"/>
          </w:tcPr>
          <w:p>
            <w:pPr>
              <w:pStyle w:val="TableParagraph"/>
              <w:spacing w:before="4"/>
              <w:ind w:right="103"/>
              <w:jc w:val="right"/>
              <w:rPr>
                <w:b/>
                <w:sz w:val="20"/>
              </w:rPr>
            </w:pPr>
            <w:r>
              <w:rPr>
                <w:b/>
                <w:spacing w:val="-2"/>
                <w:sz w:val="20"/>
              </w:rPr>
              <w:t>26,708</w:t>
            </w:r>
          </w:p>
        </w:tc>
        <w:tc>
          <w:tcPr>
            <w:tcW w:w="1552" w:type="dxa"/>
          </w:tcPr>
          <w:p>
            <w:pPr>
              <w:pStyle w:val="TableParagraph"/>
              <w:spacing w:before="4"/>
              <w:ind w:right="118"/>
              <w:jc w:val="right"/>
              <w:rPr>
                <w:sz w:val="20"/>
              </w:rPr>
            </w:pPr>
            <w:r>
              <w:rPr>
                <w:spacing w:val="-2"/>
                <w:sz w:val="20"/>
              </w:rPr>
              <w:t>3,008</w:t>
            </w:r>
          </w:p>
        </w:tc>
        <w:tc>
          <w:tcPr>
            <w:tcW w:w="1341" w:type="dxa"/>
          </w:tcPr>
          <w:p>
            <w:pPr>
              <w:pStyle w:val="TableParagraph"/>
              <w:spacing w:before="4"/>
              <w:ind w:right="235"/>
              <w:jc w:val="right"/>
              <w:rPr>
                <w:sz w:val="20"/>
              </w:rPr>
            </w:pPr>
            <w:r>
              <w:rPr>
                <w:spacing w:val="-2"/>
                <w:sz w:val="20"/>
              </w:rPr>
              <w:t>7,008</w:t>
            </w:r>
          </w:p>
        </w:tc>
        <w:tc>
          <w:tcPr>
            <w:tcW w:w="1559" w:type="dxa"/>
            <w:tcBorders>
              <w:right w:val="single" w:sz="4" w:space="0" w:color="000000"/>
            </w:tcBorders>
          </w:tcPr>
          <w:p>
            <w:pPr>
              <w:pStyle w:val="TableParagraph"/>
              <w:spacing w:before="4"/>
              <w:ind w:right="100"/>
              <w:jc w:val="right"/>
              <w:rPr>
                <w:sz w:val="20"/>
              </w:rPr>
            </w:pPr>
            <w:r>
              <w:rPr>
                <w:spacing w:val="-2"/>
                <w:sz w:val="20"/>
              </w:rPr>
              <w:t>18,971</w:t>
            </w:r>
          </w:p>
        </w:tc>
      </w:tr>
      <w:tr>
        <w:trPr>
          <w:trHeight w:val="261" w:hRule="atLeast"/>
        </w:trPr>
        <w:tc>
          <w:tcPr>
            <w:tcW w:w="3264" w:type="dxa"/>
            <w:tcBorders>
              <w:left w:val="single" w:sz="4" w:space="0" w:color="000000"/>
            </w:tcBorders>
          </w:tcPr>
          <w:p>
            <w:pPr>
              <w:pStyle w:val="TableParagraph"/>
              <w:spacing w:line="222" w:lineRule="exact" w:before="19"/>
              <w:ind w:left="107"/>
              <w:rPr>
                <w:sz w:val="20"/>
              </w:rPr>
            </w:pPr>
            <w:r>
              <w:rPr>
                <w:spacing w:val="-2"/>
                <w:sz w:val="20"/>
              </w:rPr>
              <w:t>Contributions</w:t>
            </w:r>
          </w:p>
        </w:tc>
        <w:tc>
          <w:tcPr>
            <w:tcW w:w="964" w:type="dxa"/>
          </w:tcPr>
          <w:p>
            <w:pPr>
              <w:pStyle w:val="TableParagraph"/>
              <w:rPr>
                <w:rFonts w:ascii="Times New Roman"/>
                <w:sz w:val="18"/>
              </w:rPr>
            </w:pPr>
          </w:p>
        </w:tc>
        <w:tc>
          <w:tcPr>
            <w:tcW w:w="1200" w:type="dxa"/>
          </w:tcPr>
          <w:p>
            <w:pPr>
              <w:pStyle w:val="TableParagraph"/>
              <w:spacing w:before="5"/>
              <w:ind w:right="102"/>
              <w:jc w:val="right"/>
              <w:rPr>
                <w:sz w:val="20"/>
              </w:rPr>
            </w:pPr>
            <w:r>
              <w:rPr>
                <w:spacing w:val="-5"/>
                <w:sz w:val="20"/>
              </w:rPr>
              <w:t>429</w:t>
            </w:r>
          </w:p>
        </w:tc>
        <w:tc>
          <w:tcPr>
            <w:tcW w:w="1162" w:type="dxa"/>
            <w:shd w:val="clear" w:color="auto" w:fill="DDEBF6"/>
          </w:tcPr>
          <w:p>
            <w:pPr>
              <w:pStyle w:val="TableParagraph"/>
              <w:spacing w:before="5"/>
              <w:ind w:right="102"/>
              <w:jc w:val="right"/>
              <w:rPr>
                <w:b/>
                <w:sz w:val="20"/>
              </w:rPr>
            </w:pPr>
            <w:r>
              <w:rPr>
                <w:b/>
                <w:spacing w:val="-2"/>
                <w:sz w:val="20"/>
              </w:rPr>
              <w:t>2,034</w:t>
            </w:r>
          </w:p>
        </w:tc>
        <w:tc>
          <w:tcPr>
            <w:tcW w:w="1552" w:type="dxa"/>
          </w:tcPr>
          <w:p>
            <w:pPr>
              <w:pStyle w:val="TableParagraph"/>
              <w:spacing w:before="5"/>
              <w:ind w:right="119"/>
              <w:jc w:val="right"/>
              <w:rPr>
                <w:sz w:val="20"/>
              </w:rPr>
            </w:pPr>
            <w:r>
              <w:rPr>
                <w:spacing w:val="-5"/>
                <w:sz w:val="20"/>
              </w:rPr>
              <w:t>597</w:t>
            </w:r>
          </w:p>
        </w:tc>
        <w:tc>
          <w:tcPr>
            <w:tcW w:w="1341" w:type="dxa"/>
          </w:tcPr>
          <w:p>
            <w:pPr>
              <w:pStyle w:val="TableParagraph"/>
              <w:spacing w:before="5"/>
              <w:ind w:right="236"/>
              <w:jc w:val="right"/>
              <w:rPr>
                <w:sz w:val="20"/>
              </w:rPr>
            </w:pPr>
            <w:r>
              <w:rPr>
                <w:spacing w:val="-5"/>
                <w:sz w:val="20"/>
              </w:rPr>
              <w:t>603</w:t>
            </w:r>
          </w:p>
        </w:tc>
        <w:tc>
          <w:tcPr>
            <w:tcW w:w="1559" w:type="dxa"/>
            <w:tcBorders>
              <w:right w:val="single" w:sz="4" w:space="0" w:color="000000"/>
            </w:tcBorders>
          </w:tcPr>
          <w:p>
            <w:pPr>
              <w:pStyle w:val="TableParagraph"/>
              <w:spacing w:before="5"/>
              <w:ind w:right="100"/>
              <w:jc w:val="right"/>
              <w:rPr>
                <w:sz w:val="20"/>
              </w:rPr>
            </w:pPr>
            <w:r>
              <w:rPr>
                <w:spacing w:val="-2"/>
                <w:sz w:val="20"/>
              </w:rPr>
              <w:t>1,274</w:t>
            </w:r>
          </w:p>
        </w:tc>
      </w:tr>
      <w:tr>
        <w:trPr>
          <w:trHeight w:val="250" w:hRule="atLeast"/>
        </w:trPr>
        <w:tc>
          <w:tcPr>
            <w:tcW w:w="3264" w:type="dxa"/>
            <w:tcBorders>
              <w:left w:val="single" w:sz="4" w:space="0" w:color="000000"/>
            </w:tcBorders>
          </w:tcPr>
          <w:p>
            <w:pPr>
              <w:pStyle w:val="TableParagraph"/>
              <w:spacing w:line="211" w:lineRule="exact" w:before="19"/>
              <w:ind w:left="107"/>
              <w:rPr>
                <w:sz w:val="20"/>
              </w:rPr>
            </w:pPr>
            <w:r>
              <w:rPr>
                <w:sz w:val="20"/>
              </w:rPr>
              <w:t>Council</w:t>
            </w:r>
            <w:r>
              <w:rPr>
                <w:spacing w:val="-9"/>
                <w:sz w:val="20"/>
              </w:rPr>
              <w:t> </w:t>
            </w:r>
            <w:r>
              <w:rPr>
                <w:spacing w:val="-4"/>
                <w:sz w:val="20"/>
              </w:rPr>
              <w:t>cash</w:t>
            </w:r>
          </w:p>
        </w:tc>
        <w:tc>
          <w:tcPr>
            <w:tcW w:w="964" w:type="dxa"/>
          </w:tcPr>
          <w:p>
            <w:pPr>
              <w:pStyle w:val="TableParagraph"/>
              <w:rPr>
                <w:rFonts w:ascii="Times New Roman"/>
                <w:sz w:val="18"/>
              </w:rPr>
            </w:pPr>
          </w:p>
        </w:tc>
        <w:tc>
          <w:tcPr>
            <w:tcW w:w="1200" w:type="dxa"/>
            <w:tcBorders>
              <w:bottom w:val="single" w:sz="4" w:space="0" w:color="000000"/>
            </w:tcBorders>
          </w:tcPr>
          <w:p>
            <w:pPr>
              <w:pStyle w:val="TableParagraph"/>
              <w:spacing w:line="225" w:lineRule="exact" w:before="5"/>
              <w:ind w:right="102"/>
              <w:jc w:val="right"/>
              <w:rPr>
                <w:sz w:val="20"/>
              </w:rPr>
            </w:pPr>
            <w:r>
              <w:rPr>
                <w:spacing w:val="-2"/>
                <w:sz w:val="20"/>
              </w:rPr>
              <w:t>32,537</w:t>
            </w:r>
          </w:p>
        </w:tc>
        <w:tc>
          <w:tcPr>
            <w:tcW w:w="1162" w:type="dxa"/>
            <w:tcBorders>
              <w:bottom w:val="single" w:sz="4" w:space="0" w:color="000000"/>
            </w:tcBorders>
            <w:shd w:val="clear" w:color="auto" w:fill="DDEBF6"/>
          </w:tcPr>
          <w:p>
            <w:pPr>
              <w:pStyle w:val="TableParagraph"/>
              <w:spacing w:line="225" w:lineRule="exact" w:before="5"/>
              <w:ind w:right="103"/>
              <w:jc w:val="right"/>
              <w:rPr>
                <w:b/>
                <w:sz w:val="20"/>
              </w:rPr>
            </w:pPr>
            <w:r>
              <w:rPr>
                <w:b/>
                <w:spacing w:val="-2"/>
                <w:sz w:val="20"/>
              </w:rPr>
              <w:t>36,743</w:t>
            </w:r>
          </w:p>
        </w:tc>
        <w:tc>
          <w:tcPr>
            <w:tcW w:w="1552" w:type="dxa"/>
            <w:tcBorders>
              <w:bottom w:val="single" w:sz="4" w:space="0" w:color="000000"/>
            </w:tcBorders>
          </w:tcPr>
          <w:p>
            <w:pPr>
              <w:pStyle w:val="TableParagraph"/>
              <w:spacing w:line="225" w:lineRule="exact" w:before="5"/>
              <w:ind w:right="119"/>
              <w:jc w:val="right"/>
              <w:rPr>
                <w:sz w:val="20"/>
              </w:rPr>
            </w:pPr>
            <w:r>
              <w:rPr>
                <w:spacing w:val="-2"/>
                <w:sz w:val="20"/>
              </w:rPr>
              <w:t>38,498</w:t>
            </w:r>
          </w:p>
        </w:tc>
        <w:tc>
          <w:tcPr>
            <w:tcW w:w="1341" w:type="dxa"/>
            <w:tcBorders>
              <w:bottom w:val="single" w:sz="4" w:space="0" w:color="000000"/>
            </w:tcBorders>
          </w:tcPr>
          <w:p>
            <w:pPr>
              <w:pStyle w:val="TableParagraph"/>
              <w:spacing w:line="225" w:lineRule="exact" w:before="5"/>
              <w:ind w:right="236"/>
              <w:jc w:val="right"/>
              <w:rPr>
                <w:sz w:val="20"/>
              </w:rPr>
            </w:pPr>
            <w:r>
              <w:rPr>
                <w:spacing w:val="-2"/>
                <w:sz w:val="20"/>
              </w:rPr>
              <w:t>45,579</w:t>
            </w:r>
          </w:p>
        </w:tc>
        <w:tc>
          <w:tcPr>
            <w:tcW w:w="1559" w:type="dxa"/>
            <w:tcBorders>
              <w:bottom w:val="single" w:sz="4" w:space="0" w:color="000000"/>
              <w:right w:val="single" w:sz="4" w:space="0" w:color="000000"/>
            </w:tcBorders>
          </w:tcPr>
          <w:p>
            <w:pPr>
              <w:pStyle w:val="TableParagraph"/>
              <w:spacing w:line="225" w:lineRule="exact" w:before="5"/>
              <w:ind w:right="100"/>
              <w:jc w:val="right"/>
              <w:rPr>
                <w:sz w:val="20"/>
              </w:rPr>
            </w:pPr>
            <w:r>
              <w:rPr>
                <w:spacing w:val="-2"/>
                <w:sz w:val="20"/>
              </w:rPr>
              <w:t>47,464</w:t>
            </w:r>
          </w:p>
        </w:tc>
      </w:tr>
      <w:tr>
        <w:trPr>
          <w:trHeight w:val="274" w:hRule="atLeast"/>
        </w:trPr>
        <w:tc>
          <w:tcPr>
            <w:tcW w:w="3264" w:type="dxa"/>
            <w:tcBorders>
              <w:left w:val="single" w:sz="4" w:space="0" w:color="000000"/>
              <w:bottom w:val="single" w:sz="4" w:space="0" w:color="000000"/>
            </w:tcBorders>
          </w:tcPr>
          <w:p>
            <w:pPr>
              <w:pStyle w:val="TableParagraph"/>
              <w:spacing w:line="210" w:lineRule="exact" w:before="45"/>
              <w:ind w:left="107"/>
              <w:rPr>
                <w:b/>
                <w:sz w:val="20"/>
              </w:rPr>
            </w:pPr>
            <w:r>
              <w:rPr>
                <w:b/>
                <w:sz w:val="20"/>
              </w:rPr>
              <w:t>Total</w:t>
            </w:r>
            <w:r>
              <w:rPr>
                <w:b/>
                <w:spacing w:val="-8"/>
                <w:sz w:val="20"/>
              </w:rPr>
              <w:t> </w:t>
            </w:r>
            <w:r>
              <w:rPr>
                <w:b/>
                <w:sz w:val="20"/>
              </w:rPr>
              <w:t>capital</w:t>
            </w:r>
            <w:r>
              <w:rPr>
                <w:b/>
                <w:spacing w:val="-7"/>
                <w:sz w:val="20"/>
              </w:rPr>
              <w:t> </w:t>
            </w:r>
            <w:r>
              <w:rPr>
                <w:b/>
                <w:sz w:val="20"/>
              </w:rPr>
              <w:t>works</w:t>
            </w:r>
            <w:r>
              <w:rPr>
                <w:b/>
                <w:spacing w:val="-4"/>
                <w:sz w:val="20"/>
              </w:rPr>
              <w:t> </w:t>
            </w:r>
            <w:r>
              <w:rPr>
                <w:b/>
                <w:spacing w:val="-2"/>
                <w:sz w:val="20"/>
              </w:rPr>
              <w:t>expenditure</w:t>
            </w:r>
          </w:p>
        </w:tc>
        <w:tc>
          <w:tcPr>
            <w:tcW w:w="964" w:type="dxa"/>
            <w:tcBorders>
              <w:bottom w:val="single" w:sz="4" w:space="0" w:color="000000"/>
            </w:tcBorders>
          </w:tcPr>
          <w:p>
            <w:pPr>
              <w:pStyle w:val="TableParagraph"/>
              <w:spacing w:before="23"/>
              <w:ind w:right="224"/>
              <w:jc w:val="right"/>
              <w:rPr>
                <w:sz w:val="20"/>
              </w:rPr>
            </w:pPr>
            <w:r>
              <w:rPr>
                <w:spacing w:val="-2"/>
                <w:sz w:val="20"/>
              </w:rPr>
              <w:t>4.5.1</w:t>
            </w:r>
          </w:p>
        </w:tc>
        <w:tc>
          <w:tcPr>
            <w:tcW w:w="1200" w:type="dxa"/>
            <w:tcBorders>
              <w:top w:val="single" w:sz="4" w:space="0" w:color="000000"/>
              <w:bottom w:val="double" w:sz="6" w:space="0" w:color="000000"/>
            </w:tcBorders>
          </w:tcPr>
          <w:p>
            <w:pPr>
              <w:pStyle w:val="TableParagraph"/>
              <w:spacing w:before="23"/>
              <w:ind w:right="102"/>
              <w:jc w:val="right"/>
              <w:rPr>
                <w:sz w:val="20"/>
              </w:rPr>
            </w:pPr>
            <w:r>
              <w:rPr>
                <w:spacing w:val="-2"/>
                <w:sz w:val="20"/>
              </w:rPr>
              <w:t>39,641</w:t>
            </w:r>
          </w:p>
        </w:tc>
        <w:tc>
          <w:tcPr>
            <w:tcW w:w="1162" w:type="dxa"/>
            <w:tcBorders>
              <w:top w:val="single" w:sz="4" w:space="0" w:color="000000"/>
              <w:bottom w:val="double" w:sz="6" w:space="0" w:color="000000"/>
            </w:tcBorders>
            <w:shd w:val="clear" w:color="auto" w:fill="DDEBF6"/>
          </w:tcPr>
          <w:p>
            <w:pPr>
              <w:pStyle w:val="TableParagraph"/>
              <w:spacing w:before="23"/>
              <w:ind w:right="103"/>
              <w:jc w:val="right"/>
              <w:rPr>
                <w:b/>
                <w:sz w:val="20"/>
              </w:rPr>
            </w:pPr>
            <w:r>
              <w:rPr>
                <w:b/>
                <w:spacing w:val="-2"/>
                <w:sz w:val="20"/>
              </w:rPr>
              <w:t>65,485</w:t>
            </w:r>
          </w:p>
        </w:tc>
        <w:tc>
          <w:tcPr>
            <w:tcW w:w="1552" w:type="dxa"/>
            <w:tcBorders>
              <w:top w:val="single" w:sz="4" w:space="0" w:color="000000"/>
              <w:bottom w:val="double" w:sz="6" w:space="0" w:color="000000"/>
            </w:tcBorders>
          </w:tcPr>
          <w:p>
            <w:pPr>
              <w:pStyle w:val="TableParagraph"/>
              <w:spacing w:before="23"/>
              <w:ind w:right="119"/>
              <w:jc w:val="right"/>
              <w:rPr>
                <w:sz w:val="20"/>
              </w:rPr>
            </w:pPr>
            <w:r>
              <w:rPr>
                <w:spacing w:val="-2"/>
                <w:sz w:val="20"/>
              </w:rPr>
              <w:t>42,103</w:t>
            </w:r>
          </w:p>
        </w:tc>
        <w:tc>
          <w:tcPr>
            <w:tcW w:w="1341" w:type="dxa"/>
            <w:tcBorders>
              <w:top w:val="single" w:sz="4" w:space="0" w:color="000000"/>
              <w:bottom w:val="double" w:sz="6" w:space="0" w:color="000000"/>
            </w:tcBorders>
          </w:tcPr>
          <w:p>
            <w:pPr>
              <w:pStyle w:val="TableParagraph"/>
              <w:spacing w:before="23"/>
              <w:ind w:right="236"/>
              <w:jc w:val="right"/>
              <w:rPr>
                <w:sz w:val="20"/>
              </w:rPr>
            </w:pPr>
            <w:r>
              <w:rPr>
                <w:spacing w:val="-2"/>
                <w:sz w:val="20"/>
              </w:rPr>
              <w:t>53,190</w:t>
            </w:r>
          </w:p>
        </w:tc>
        <w:tc>
          <w:tcPr>
            <w:tcW w:w="1559" w:type="dxa"/>
            <w:tcBorders>
              <w:top w:val="single" w:sz="4" w:space="0" w:color="000000"/>
              <w:bottom w:val="double" w:sz="6" w:space="0" w:color="000000"/>
              <w:right w:val="single" w:sz="4" w:space="0" w:color="000000"/>
            </w:tcBorders>
          </w:tcPr>
          <w:p>
            <w:pPr>
              <w:pStyle w:val="TableParagraph"/>
              <w:spacing w:before="23"/>
              <w:ind w:right="100"/>
              <w:jc w:val="right"/>
              <w:rPr>
                <w:sz w:val="20"/>
              </w:rPr>
            </w:pPr>
            <w:r>
              <w:rPr>
                <w:spacing w:val="-2"/>
                <w:sz w:val="20"/>
              </w:rPr>
              <w:t>67,709</w:t>
            </w:r>
          </w:p>
        </w:tc>
      </w:tr>
    </w:tbl>
    <w:p>
      <w:pPr>
        <w:spacing w:after="0"/>
        <w:jc w:val="right"/>
        <w:rPr>
          <w:sz w:val="20"/>
        </w:rPr>
        <w:sectPr>
          <w:pgSz w:w="11910" w:h="16840"/>
          <w:pgMar w:header="0" w:footer="426" w:top="380" w:bottom="620" w:left="460" w:right="160"/>
        </w:sectPr>
      </w:pPr>
    </w:p>
    <w:p>
      <w:pPr>
        <w:pStyle w:val="Heading4"/>
        <w:spacing w:line="276" w:lineRule="exact" w:before="67"/>
        <w:ind w:left="391" w:firstLine="0"/>
      </w:pPr>
      <w:r>
        <w:rPr>
          <w:color w:val="4966AC"/>
        </w:rPr>
        <w:t>Statement</w:t>
      </w:r>
      <w:r>
        <w:rPr>
          <w:color w:val="4966AC"/>
          <w:spacing w:val="-3"/>
        </w:rPr>
        <w:t> </w:t>
      </w:r>
      <w:r>
        <w:rPr>
          <w:color w:val="4966AC"/>
        </w:rPr>
        <w:t>of Human</w:t>
      </w:r>
      <w:r>
        <w:rPr>
          <w:color w:val="4966AC"/>
          <w:spacing w:val="2"/>
        </w:rPr>
        <w:t> </w:t>
      </w:r>
      <w:r>
        <w:rPr>
          <w:color w:val="4966AC"/>
          <w:spacing w:val="-2"/>
        </w:rPr>
        <w:t>Resources</w:t>
      </w:r>
    </w:p>
    <w:p>
      <w:pPr>
        <w:pStyle w:val="BodyText"/>
        <w:spacing w:line="253" w:lineRule="exact"/>
        <w:ind w:left="391"/>
      </w:pPr>
      <w:r>
        <w:rPr>
          <w:color w:val="4966AC"/>
        </w:rPr>
        <w:t>For</w:t>
      </w:r>
      <w:r>
        <w:rPr>
          <w:color w:val="4966AC"/>
          <w:spacing w:val="-3"/>
        </w:rPr>
        <w:t> </w:t>
      </w:r>
      <w:r>
        <w:rPr>
          <w:color w:val="4966AC"/>
        </w:rPr>
        <w:t>the</w:t>
      </w:r>
      <w:r>
        <w:rPr>
          <w:color w:val="4966AC"/>
          <w:spacing w:val="-3"/>
        </w:rPr>
        <w:t> </w:t>
      </w:r>
      <w:r>
        <w:rPr>
          <w:color w:val="4966AC"/>
        </w:rPr>
        <w:t>four</w:t>
      </w:r>
      <w:r>
        <w:rPr>
          <w:color w:val="4966AC"/>
          <w:spacing w:val="-2"/>
        </w:rPr>
        <w:t> </w:t>
      </w:r>
      <w:r>
        <w:rPr>
          <w:color w:val="4966AC"/>
        </w:rPr>
        <w:t>years</w:t>
      </w:r>
      <w:r>
        <w:rPr>
          <w:color w:val="4966AC"/>
          <w:spacing w:val="-2"/>
        </w:rPr>
        <w:t> </w:t>
      </w:r>
      <w:r>
        <w:rPr>
          <w:color w:val="4966AC"/>
        </w:rPr>
        <w:t>ending</w:t>
      </w:r>
      <w:r>
        <w:rPr>
          <w:color w:val="4966AC"/>
          <w:spacing w:val="-3"/>
        </w:rPr>
        <w:t> </w:t>
      </w:r>
      <w:r>
        <w:rPr>
          <w:color w:val="4966AC"/>
        </w:rPr>
        <w:t>30</w:t>
      </w:r>
      <w:r>
        <w:rPr>
          <w:color w:val="4966AC"/>
          <w:spacing w:val="-2"/>
        </w:rPr>
        <w:t> </w:t>
      </w:r>
      <w:r>
        <w:rPr>
          <w:color w:val="4966AC"/>
        </w:rPr>
        <w:t>June</w:t>
      </w:r>
      <w:r>
        <w:rPr>
          <w:color w:val="4966AC"/>
          <w:spacing w:val="-3"/>
        </w:rPr>
        <w:t> </w:t>
      </w:r>
      <w:r>
        <w:rPr>
          <w:color w:val="4966AC"/>
          <w:spacing w:val="-4"/>
        </w:rPr>
        <w:t>2028</w:t>
      </w:r>
    </w:p>
    <w:p>
      <w:pPr>
        <w:pStyle w:val="BodyText"/>
        <w:spacing w:before="4"/>
        <w:rPr>
          <w:sz w:val="21"/>
        </w:rPr>
      </w:pPr>
    </w:p>
    <w:tbl>
      <w:tblPr>
        <w:tblW w:w="0" w:type="auto"/>
        <w:jc w:val="left"/>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40"/>
        <w:gridCol w:w="1277"/>
        <w:gridCol w:w="1419"/>
        <w:gridCol w:w="1517"/>
        <w:gridCol w:w="1560"/>
        <w:gridCol w:w="1459"/>
      </w:tblGrid>
      <w:tr>
        <w:trPr>
          <w:trHeight w:val="1259" w:hRule="atLeast"/>
        </w:trPr>
        <w:tc>
          <w:tcPr>
            <w:tcW w:w="3540" w:type="dxa"/>
            <w:tcBorders>
              <w:top w:val="single" w:sz="4" w:space="0" w:color="000000"/>
              <w:left w:val="single" w:sz="4" w:space="0" w:color="000000"/>
            </w:tcBorders>
            <w:shd w:val="clear" w:color="auto" w:fill="5B9AD4"/>
          </w:tcPr>
          <w:p>
            <w:pPr>
              <w:pStyle w:val="TableParagraph"/>
              <w:rPr>
                <w:rFonts w:ascii="Times New Roman"/>
                <w:sz w:val="18"/>
              </w:rPr>
            </w:pPr>
          </w:p>
        </w:tc>
        <w:tc>
          <w:tcPr>
            <w:tcW w:w="1277" w:type="dxa"/>
            <w:tcBorders>
              <w:top w:val="single" w:sz="4" w:space="0" w:color="000000"/>
            </w:tcBorders>
            <w:shd w:val="clear" w:color="auto" w:fill="5B9AD4"/>
          </w:tcPr>
          <w:p>
            <w:pPr>
              <w:pStyle w:val="TableParagraph"/>
              <w:rPr>
                <w:sz w:val="22"/>
              </w:rPr>
            </w:pPr>
          </w:p>
          <w:p>
            <w:pPr>
              <w:pStyle w:val="TableParagraph"/>
              <w:spacing w:line="285" w:lineRule="auto" w:before="145"/>
              <w:ind w:left="170" w:right="161" w:firstLine="3"/>
              <w:jc w:val="center"/>
              <w:rPr>
                <w:b/>
                <w:sz w:val="20"/>
              </w:rPr>
            </w:pPr>
            <w:r>
              <w:rPr>
                <w:b/>
                <w:color w:val="FFFFFF"/>
                <w:spacing w:val="-2"/>
                <w:sz w:val="20"/>
              </w:rPr>
              <w:t>Forecast 2023/2024</w:t>
            </w:r>
          </w:p>
          <w:p>
            <w:pPr>
              <w:pStyle w:val="TableParagraph"/>
              <w:spacing w:line="211" w:lineRule="exact" w:before="83"/>
              <w:ind w:left="375" w:right="365"/>
              <w:jc w:val="center"/>
              <w:rPr>
                <w:b/>
                <w:sz w:val="20"/>
              </w:rPr>
            </w:pPr>
            <w:r>
              <w:rPr>
                <w:b/>
                <w:color w:val="FFFFFF"/>
                <w:spacing w:val="-2"/>
                <w:sz w:val="20"/>
              </w:rPr>
              <w:t>$’000</w:t>
            </w:r>
          </w:p>
        </w:tc>
        <w:tc>
          <w:tcPr>
            <w:tcW w:w="1419" w:type="dxa"/>
            <w:tcBorders>
              <w:top w:val="single" w:sz="4" w:space="0" w:color="000000"/>
            </w:tcBorders>
            <w:shd w:val="clear" w:color="auto" w:fill="5B9AD4"/>
          </w:tcPr>
          <w:p>
            <w:pPr>
              <w:pStyle w:val="TableParagraph"/>
              <w:rPr>
                <w:sz w:val="22"/>
              </w:rPr>
            </w:pPr>
          </w:p>
          <w:p>
            <w:pPr>
              <w:pStyle w:val="TableParagraph"/>
              <w:spacing w:line="285" w:lineRule="auto" w:before="145"/>
              <w:ind w:left="239" w:right="232" w:firstLine="129"/>
              <w:rPr>
                <w:b/>
                <w:sz w:val="20"/>
              </w:rPr>
            </w:pPr>
            <w:r>
              <w:rPr>
                <w:b/>
                <w:color w:val="FFFFFF"/>
                <w:spacing w:val="-2"/>
                <w:sz w:val="20"/>
              </w:rPr>
              <w:t>Budget 2024/2025</w:t>
            </w:r>
          </w:p>
          <w:p>
            <w:pPr>
              <w:pStyle w:val="TableParagraph"/>
              <w:spacing w:line="211" w:lineRule="exact" w:before="83"/>
              <w:ind w:left="463"/>
              <w:rPr>
                <w:b/>
                <w:sz w:val="20"/>
              </w:rPr>
            </w:pPr>
            <w:r>
              <w:rPr>
                <w:b/>
                <w:color w:val="FFFFFF"/>
                <w:spacing w:val="-2"/>
                <w:sz w:val="20"/>
              </w:rPr>
              <w:t>$’000</w:t>
            </w:r>
          </w:p>
        </w:tc>
        <w:tc>
          <w:tcPr>
            <w:tcW w:w="1517" w:type="dxa"/>
            <w:tcBorders>
              <w:top w:val="single" w:sz="4" w:space="0" w:color="000000"/>
            </w:tcBorders>
            <w:shd w:val="clear" w:color="auto" w:fill="5B9AD4"/>
          </w:tcPr>
          <w:p>
            <w:pPr>
              <w:pStyle w:val="TableParagraph"/>
              <w:rPr>
                <w:sz w:val="22"/>
              </w:rPr>
            </w:pPr>
          </w:p>
          <w:p>
            <w:pPr>
              <w:pStyle w:val="TableParagraph"/>
              <w:rPr>
                <w:sz w:val="22"/>
              </w:rPr>
            </w:pPr>
          </w:p>
          <w:p>
            <w:pPr>
              <w:pStyle w:val="TableParagraph"/>
              <w:spacing w:before="165"/>
              <w:ind w:left="228" w:right="321"/>
              <w:jc w:val="center"/>
              <w:rPr>
                <w:b/>
                <w:sz w:val="20"/>
              </w:rPr>
            </w:pPr>
            <w:r>
              <w:rPr>
                <w:b/>
                <w:color w:val="FFFFFF"/>
                <w:spacing w:val="-2"/>
                <w:sz w:val="20"/>
              </w:rPr>
              <w:t>2025/2026</w:t>
            </w:r>
          </w:p>
          <w:p>
            <w:pPr>
              <w:pStyle w:val="TableParagraph"/>
              <w:spacing w:line="211" w:lineRule="exact" w:before="128"/>
              <w:ind w:left="228" w:right="318"/>
              <w:jc w:val="center"/>
              <w:rPr>
                <w:b/>
                <w:sz w:val="20"/>
              </w:rPr>
            </w:pPr>
            <w:r>
              <w:rPr>
                <w:b/>
                <w:color w:val="FFFFFF"/>
                <w:spacing w:val="-2"/>
                <w:sz w:val="20"/>
              </w:rPr>
              <w:t>$’000</w:t>
            </w:r>
          </w:p>
        </w:tc>
        <w:tc>
          <w:tcPr>
            <w:tcW w:w="1560" w:type="dxa"/>
            <w:tcBorders>
              <w:top w:val="single" w:sz="4" w:space="0" w:color="000000"/>
            </w:tcBorders>
            <w:shd w:val="clear" w:color="auto" w:fill="5B9AD4"/>
          </w:tcPr>
          <w:p>
            <w:pPr>
              <w:pStyle w:val="TableParagraph"/>
              <w:rPr>
                <w:sz w:val="22"/>
              </w:rPr>
            </w:pPr>
          </w:p>
          <w:p>
            <w:pPr>
              <w:pStyle w:val="TableParagraph"/>
              <w:spacing w:line="285" w:lineRule="auto" w:before="145"/>
              <w:ind w:left="212" w:hanging="3"/>
              <w:rPr>
                <w:b/>
                <w:sz w:val="20"/>
              </w:rPr>
            </w:pPr>
            <w:r>
              <w:rPr>
                <w:b/>
                <w:color w:val="FFFFFF"/>
                <w:spacing w:val="-2"/>
                <w:sz w:val="20"/>
              </w:rPr>
              <w:t>Projections 2026/2027</w:t>
            </w:r>
          </w:p>
          <w:p>
            <w:pPr>
              <w:pStyle w:val="TableParagraph"/>
              <w:spacing w:line="211" w:lineRule="exact" w:before="83"/>
              <w:ind w:left="433"/>
              <w:rPr>
                <w:b/>
                <w:sz w:val="20"/>
              </w:rPr>
            </w:pPr>
            <w:r>
              <w:rPr>
                <w:b/>
                <w:color w:val="FFFFFF"/>
                <w:spacing w:val="-2"/>
                <w:sz w:val="20"/>
              </w:rPr>
              <w:t>$’000</w:t>
            </w:r>
          </w:p>
        </w:tc>
        <w:tc>
          <w:tcPr>
            <w:tcW w:w="1459" w:type="dxa"/>
            <w:tcBorders>
              <w:top w:val="single" w:sz="4" w:space="0" w:color="000000"/>
              <w:right w:val="single" w:sz="4" w:space="0" w:color="000000"/>
            </w:tcBorders>
            <w:shd w:val="clear" w:color="auto" w:fill="5B9AD4"/>
          </w:tcPr>
          <w:p>
            <w:pPr>
              <w:pStyle w:val="TableParagraph"/>
              <w:rPr>
                <w:sz w:val="22"/>
              </w:rPr>
            </w:pPr>
          </w:p>
          <w:p>
            <w:pPr>
              <w:pStyle w:val="TableParagraph"/>
              <w:rPr>
                <w:sz w:val="22"/>
              </w:rPr>
            </w:pPr>
          </w:p>
          <w:p>
            <w:pPr>
              <w:pStyle w:val="TableParagraph"/>
              <w:spacing w:before="165"/>
              <w:ind w:left="196" w:right="289"/>
              <w:jc w:val="center"/>
              <w:rPr>
                <w:b/>
                <w:sz w:val="20"/>
              </w:rPr>
            </w:pPr>
            <w:r>
              <w:rPr>
                <w:b/>
                <w:color w:val="FFFFFF"/>
                <w:spacing w:val="-2"/>
                <w:sz w:val="20"/>
              </w:rPr>
              <w:t>2027/2028</w:t>
            </w:r>
          </w:p>
          <w:p>
            <w:pPr>
              <w:pStyle w:val="TableParagraph"/>
              <w:spacing w:line="211" w:lineRule="exact" w:before="128"/>
              <w:ind w:left="196" w:right="286"/>
              <w:jc w:val="center"/>
              <w:rPr>
                <w:b/>
                <w:sz w:val="20"/>
              </w:rPr>
            </w:pPr>
            <w:r>
              <w:rPr>
                <w:b/>
                <w:color w:val="FFFFFF"/>
                <w:spacing w:val="-2"/>
                <w:sz w:val="20"/>
              </w:rPr>
              <w:t>$’000</w:t>
            </w:r>
          </w:p>
        </w:tc>
      </w:tr>
      <w:tr>
        <w:trPr>
          <w:trHeight w:val="338" w:hRule="atLeast"/>
        </w:trPr>
        <w:tc>
          <w:tcPr>
            <w:tcW w:w="3540" w:type="dxa"/>
            <w:tcBorders>
              <w:left w:val="single" w:sz="4" w:space="0" w:color="000000"/>
            </w:tcBorders>
          </w:tcPr>
          <w:p>
            <w:pPr>
              <w:pStyle w:val="TableParagraph"/>
              <w:spacing w:before="83"/>
              <w:ind w:left="107"/>
              <w:rPr>
                <w:b/>
                <w:sz w:val="20"/>
              </w:rPr>
            </w:pPr>
            <w:r>
              <w:rPr>
                <w:b/>
                <w:sz w:val="20"/>
              </w:rPr>
              <w:t>Staff</w:t>
            </w:r>
            <w:r>
              <w:rPr>
                <w:b/>
                <w:spacing w:val="-6"/>
                <w:sz w:val="20"/>
              </w:rPr>
              <w:t> </w:t>
            </w:r>
            <w:r>
              <w:rPr>
                <w:b/>
                <w:spacing w:val="-2"/>
                <w:sz w:val="20"/>
              </w:rPr>
              <w:t>expenditure</w:t>
            </w:r>
          </w:p>
        </w:tc>
        <w:tc>
          <w:tcPr>
            <w:tcW w:w="1277" w:type="dxa"/>
          </w:tcPr>
          <w:p>
            <w:pPr>
              <w:pStyle w:val="TableParagraph"/>
              <w:rPr>
                <w:rFonts w:ascii="Times New Roman"/>
                <w:sz w:val="18"/>
              </w:rPr>
            </w:pPr>
          </w:p>
        </w:tc>
        <w:tc>
          <w:tcPr>
            <w:tcW w:w="1419" w:type="dxa"/>
            <w:shd w:val="clear" w:color="auto" w:fill="DDEBF6"/>
          </w:tcPr>
          <w:p>
            <w:pPr>
              <w:pStyle w:val="TableParagraph"/>
              <w:rPr>
                <w:rFonts w:ascii="Times New Roman"/>
                <w:sz w:val="18"/>
              </w:rPr>
            </w:pPr>
          </w:p>
        </w:tc>
        <w:tc>
          <w:tcPr>
            <w:tcW w:w="1517" w:type="dxa"/>
          </w:tcPr>
          <w:p>
            <w:pPr>
              <w:pStyle w:val="TableParagraph"/>
              <w:rPr>
                <w:rFonts w:ascii="Times New Roman"/>
                <w:sz w:val="18"/>
              </w:rPr>
            </w:pPr>
          </w:p>
        </w:tc>
        <w:tc>
          <w:tcPr>
            <w:tcW w:w="1560" w:type="dxa"/>
          </w:tcPr>
          <w:p>
            <w:pPr>
              <w:pStyle w:val="TableParagraph"/>
              <w:rPr>
                <w:rFonts w:ascii="Times New Roman"/>
                <w:sz w:val="18"/>
              </w:rPr>
            </w:pPr>
          </w:p>
        </w:tc>
        <w:tc>
          <w:tcPr>
            <w:tcW w:w="1459" w:type="dxa"/>
            <w:tcBorders>
              <w:right w:val="single" w:sz="4" w:space="0" w:color="000000"/>
            </w:tcBorders>
          </w:tcPr>
          <w:p>
            <w:pPr>
              <w:pStyle w:val="TableParagraph"/>
              <w:rPr>
                <w:rFonts w:ascii="Times New Roman"/>
                <w:sz w:val="18"/>
              </w:rPr>
            </w:pPr>
          </w:p>
        </w:tc>
      </w:tr>
      <w:tr>
        <w:trPr>
          <w:trHeight w:val="317" w:hRule="atLeast"/>
        </w:trPr>
        <w:tc>
          <w:tcPr>
            <w:tcW w:w="3540" w:type="dxa"/>
            <w:tcBorders>
              <w:left w:val="single" w:sz="4" w:space="0" w:color="000000"/>
            </w:tcBorders>
          </w:tcPr>
          <w:p>
            <w:pPr>
              <w:pStyle w:val="TableParagraph"/>
              <w:spacing w:before="59"/>
              <w:ind w:left="107"/>
              <w:rPr>
                <w:sz w:val="20"/>
              </w:rPr>
            </w:pPr>
            <w:r>
              <w:rPr>
                <w:sz w:val="20"/>
              </w:rPr>
              <w:t>Employee</w:t>
            </w:r>
            <w:r>
              <w:rPr>
                <w:spacing w:val="-6"/>
                <w:sz w:val="20"/>
              </w:rPr>
              <w:t> </w:t>
            </w:r>
            <w:r>
              <w:rPr>
                <w:sz w:val="20"/>
              </w:rPr>
              <w:t>costs</w:t>
            </w:r>
            <w:r>
              <w:rPr>
                <w:spacing w:val="-3"/>
                <w:sz w:val="20"/>
              </w:rPr>
              <w:t> </w:t>
            </w:r>
            <w:r>
              <w:rPr>
                <w:sz w:val="20"/>
              </w:rPr>
              <w:t>-</w:t>
            </w:r>
            <w:r>
              <w:rPr>
                <w:spacing w:val="-6"/>
                <w:sz w:val="20"/>
              </w:rPr>
              <w:t> </w:t>
            </w:r>
            <w:r>
              <w:rPr>
                <w:spacing w:val="-2"/>
                <w:sz w:val="20"/>
              </w:rPr>
              <w:t>operating</w:t>
            </w:r>
          </w:p>
        </w:tc>
        <w:tc>
          <w:tcPr>
            <w:tcW w:w="1277" w:type="dxa"/>
          </w:tcPr>
          <w:p>
            <w:pPr>
              <w:pStyle w:val="TableParagraph"/>
              <w:spacing w:before="18"/>
              <w:ind w:right="101"/>
              <w:jc w:val="right"/>
              <w:rPr>
                <w:sz w:val="20"/>
              </w:rPr>
            </w:pPr>
            <w:r>
              <w:rPr>
                <w:spacing w:val="-2"/>
                <w:sz w:val="20"/>
              </w:rPr>
              <w:t>67,983</w:t>
            </w:r>
          </w:p>
        </w:tc>
        <w:tc>
          <w:tcPr>
            <w:tcW w:w="1419" w:type="dxa"/>
            <w:shd w:val="clear" w:color="auto" w:fill="DDEBF6"/>
          </w:tcPr>
          <w:p>
            <w:pPr>
              <w:pStyle w:val="TableParagraph"/>
              <w:spacing w:before="18"/>
              <w:ind w:right="104"/>
              <w:jc w:val="right"/>
              <w:rPr>
                <w:b/>
                <w:sz w:val="20"/>
              </w:rPr>
            </w:pPr>
            <w:r>
              <w:rPr>
                <w:b/>
                <w:spacing w:val="-2"/>
                <w:sz w:val="20"/>
              </w:rPr>
              <w:t>70,932</w:t>
            </w:r>
          </w:p>
        </w:tc>
        <w:tc>
          <w:tcPr>
            <w:tcW w:w="1517" w:type="dxa"/>
          </w:tcPr>
          <w:p>
            <w:pPr>
              <w:pStyle w:val="TableParagraph"/>
              <w:spacing w:before="18"/>
              <w:ind w:right="204"/>
              <w:jc w:val="right"/>
              <w:rPr>
                <w:sz w:val="20"/>
              </w:rPr>
            </w:pPr>
            <w:r>
              <w:rPr>
                <w:spacing w:val="-2"/>
                <w:sz w:val="20"/>
              </w:rPr>
              <w:t>71,467</w:t>
            </w:r>
          </w:p>
        </w:tc>
        <w:tc>
          <w:tcPr>
            <w:tcW w:w="1560" w:type="dxa"/>
          </w:tcPr>
          <w:p>
            <w:pPr>
              <w:pStyle w:val="TableParagraph"/>
              <w:spacing w:before="18"/>
              <w:ind w:right="204"/>
              <w:jc w:val="right"/>
              <w:rPr>
                <w:sz w:val="20"/>
              </w:rPr>
            </w:pPr>
            <w:r>
              <w:rPr>
                <w:spacing w:val="-2"/>
                <w:sz w:val="20"/>
              </w:rPr>
              <w:t>72,729</w:t>
            </w:r>
          </w:p>
        </w:tc>
        <w:tc>
          <w:tcPr>
            <w:tcW w:w="1459" w:type="dxa"/>
            <w:tcBorders>
              <w:right w:val="single" w:sz="4" w:space="0" w:color="000000"/>
            </w:tcBorders>
          </w:tcPr>
          <w:p>
            <w:pPr>
              <w:pStyle w:val="TableParagraph"/>
              <w:spacing w:before="18"/>
              <w:ind w:right="99"/>
              <w:jc w:val="right"/>
              <w:rPr>
                <w:sz w:val="20"/>
              </w:rPr>
            </w:pPr>
            <w:r>
              <w:rPr>
                <w:spacing w:val="-2"/>
                <w:sz w:val="20"/>
              </w:rPr>
              <w:t>74,126</w:t>
            </w:r>
          </w:p>
        </w:tc>
      </w:tr>
      <w:tr>
        <w:trPr>
          <w:trHeight w:val="302" w:hRule="atLeast"/>
        </w:trPr>
        <w:tc>
          <w:tcPr>
            <w:tcW w:w="3540" w:type="dxa"/>
            <w:tcBorders>
              <w:left w:val="single" w:sz="4" w:space="0" w:color="000000"/>
            </w:tcBorders>
          </w:tcPr>
          <w:p>
            <w:pPr>
              <w:pStyle w:val="TableParagraph"/>
              <w:spacing w:line="210" w:lineRule="exact" w:before="72"/>
              <w:ind w:left="107"/>
              <w:rPr>
                <w:sz w:val="20"/>
              </w:rPr>
            </w:pPr>
            <w:r>
              <w:rPr>
                <w:sz w:val="20"/>
              </w:rPr>
              <w:t>Employee</w:t>
            </w:r>
            <w:r>
              <w:rPr>
                <w:spacing w:val="-6"/>
                <w:sz w:val="20"/>
              </w:rPr>
              <w:t> </w:t>
            </w:r>
            <w:r>
              <w:rPr>
                <w:sz w:val="20"/>
              </w:rPr>
              <w:t>costs</w:t>
            </w:r>
            <w:r>
              <w:rPr>
                <w:spacing w:val="-3"/>
                <w:sz w:val="20"/>
              </w:rPr>
              <w:t> </w:t>
            </w:r>
            <w:r>
              <w:rPr>
                <w:sz w:val="20"/>
              </w:rPr>
              <w:t>-</w:t>
            </w:r>
            <w:r>
              <w:rPr>
                <w:spacing w:val="-6"/>
                <w:sz w:val="20"/>
              </w:rPr>
              <w:t> </w:t>
            </w:r>
            <w:r>
              <w:rPr>
                <w:spacing w:val="-2"/>
                <w:sz w:val="20"/>
              </w:rPr>
              <w:t>capital</w:t>
            </w:r>
          </w:p>
        </w:tc>
        <w:tc>
          <w:tcPr>
            <w:tcW w:w="1277" w:type="dxa"/>
            <w:tcBorders>
              <w:bottom w:val="single" w:sz="8" w:space="0" w:color="000000"/>
            </w:tcBorders>
          </w:tcPr>
          <w:p>
            <w:pPr>
              <w:pStyle w:val="TableParagraph"/>
              <w:spacing w:before="22"/>
              <w:ind w:right="100"/>
              <w:jc w:val="right"/>
              <w:rPr>
                <w:sz w:val="20"/>
              </w:rPr>
            </w:pPr>
            <w:r>
              <w:rPr>
                <w:spacing w:val="-2"/>
                <w:sz w:val="20"/>
              </w:rPr>
              <w:t>1,855</w:t>
            </w:r>
          </w:p>
        </w:tc>
        <w:tc>
          <w:tcPr>
            <w:tcW w:w="1419" w:type="dxa"/>
            <w:tcBorders>
              <w:bottom w:val="single" w:sz="8" w:space="0" w:color="000000"/>
            </w:tcBorders>
            <w:shd w:val="clear" w:color="auto" w:fill="DDEBF6"/>
          </w:tcPr>
          <w:p>
            <w:pPr>
              <w:pStyle w:val="TableParagraph"/>
              <w:spacing w:before="22"/>
              <w:ind w:right="103"/>
              <w:jc w:val="right"/>
              <w:rPr>
                <w:b/>
                <w:sz w:val="20"/>
              </w:rPr>
            </w:pPr>
            <w:r>
              <w:rPr>
                <w:b/>
                <w:spacing w:val="-2"/>
                <w:sz w:val="20"/>
              </w:rPr>
              <w:t>1,928</w:t>
            </w:r>
          </w:p>
        </w:tc>
        <w:tc>
          <w:tcPr>
            <w:tcW w:w="1517" w:type="dxa"/>
            <w:tcBorders>
              <w:bottom w:val="single" w:sz="8" w:space="0" w:color="000000"/>
            </w:tcBorders>
          </w:tcPr>
          <w:p>
            <w:pPr>
              <w:pStyle w:val="TableParagraph"/>
              <w:spacing w:before="22"/>
              <w:ind w:right="202"/>
              <w:jc w:val="right"/>
              <w:rPr>
                <w:sz w:val="20"/>
              </w:rPr>
            </w:pPr>
            <w:r>
              <w:rPr>
                <w:spacing w:val="-2"/>
                <w:sz w:val="20"/>
              </w:rPr>
              <w:t>1,974</w:t>
            </w:r>
          </w:p>
        </w:tc>
        <w:tc>
          <w:tcPr>
            <w:tcW w:w="1560" w:type="dxa"/>
            <w:tcBorders>
              <w:bottom w:val="single" w:sz="8" w:space="0" w:color="000000"/>
            </w:tcBorders>
          </w:tcPr>
          <w:p>
            <w:pPr>
              <w:pStyle w:val="TableParagraph"/>
              <w:spacing w:before="22"/>
              <w:ind w:right="202"/>
              <w:jc w:val="right"/>
              <w:rPr>
                <w:sz w:val="20"/>
              </w:rPr>
            </w:pPr>
            <w:r>
              <w:rPr>
                <w:spacing w:val="-2"/>
                <w:sz w:val="20"/>
              </w:rPr>
              <w:t>2,021</w:t>
            </w:r>
          </w:p>
        </w:tc>
        <w:tc>
          <w:tcPr>
            <w:tcW w:w="1459" w:type="dxa"/>
            <w:tcBorders>
              <w:bottom w:val="single" w:sz="8" w:space="0" w:color="000000"/>
              <w:right w:val="single" w:sz="4" w:space="0" w:color="000000"/>
            </w:tcBorders>
          </w:tcPr>
          <w:p>
            <w:pPr>
              <w:pStyle w:val="TableParagraph"/>
              <w:spacing w:before="22"/>
              <w:ind w:right="98"/>
              <w:jc w:val="right"/>
              <w:rPr>
                <w:sz w:val="20"/>
              </w:rPr>
            </w:pPr>
            <w:r>
              <w:rPr>
                <w:spacing w:val="-2"/>
                <w:sz w:val="20"/>
              </w:rPr>
              <w:t>2,069</w:t>
            </w:r>
          </w:p>
        </w:tc>
      </w:tr>
      <w:tr>
        <w:trPr>
          <w:trHeight w:val="328" w:hRule="atLeast"/>
        </w:trPr>
        <w:tc>
          <w:tcPr>
            <w:tcW w:w="3540" w:type="dxa"/>
            <w:tcBorders>
              <w:left w:val="single" w:sz="4" w:space="0" w:color="000000"/>
            </w:tcBorders>
          </w:tcPr>
          <w:p>
            <w:pPr>
              <w:pStyle w:val="TableParagraph"/>
              <w:spacing w:line="209" w:lineRule="exact" w:before="100"/>
              <w:ind w:left="107"/>
              <w:rPr>
                <w:b/>
                <w:sz w:val="20"/>
              </w:rPr>
            </w:pPr>
            <w:r>
              <w:rPr>
                <w:b/>
                <w:sz w:val="20"/>
              </w:rPr>
              <w:t>Total</w:t>
            </w:r>
            <w:r>
              <w:rPr>
                <w:b/>
                <w:spacing w:val="-7"/>
                <w:sz w:val="20"/>
              </w:rPr>
              <w:t> </w:t>
            </w:r>
            <w:r>
              <w:rPr>
                <w:b/>
                <w:sz w:val="20"/>
              </w:rPr>
              <w:t>staff</w:t>
            </w:r>
            <w:r>
              <w:rPr>
                <w:b/>
                <w:spacing w:val="-4"/>
                <w:sz w:val="20"/>
              </w:rPr>
              <w:t> </w:t>
            </w:r>
            <w:r>
              <w:rPr>
                <w:b/>
                <w:spacing w:val="-2"/>
                <w:sz w:val="20"/>
              </w:rPr>
              <w:t>expenditure</w:t>
            </w:r>
          </w:p>
        </w:tc>
        <w:tc>
          <w:tcPr>
            <w:tcW w:w="1277" w:type="dxa"/>
            <w:tcBorders>
              <w:top w:val="single" w:sz="8" w:space="0" w:color="000000"/>
              <w:bottom w:val="thickThinMediumGap" w:sz="4" w:space="0" w:color="000000"/>
            </w:tcBorders>
          </w:tcPr>
          <w:p>
            <w:pPr>
              <w:pStyle w:val="TableParagraph"/>
              <w:spacing w:before="49"/>
              <w:ind w:right="101"/>
              <w:jc w:val="right"/>
              <w:rPr>
                <w:sz w:val="20"/>
              </w:rPr>
            </w:pPr>
            <w:r>
              <w:rPr>
                <w:spacing w:val="-2"/>
                <w:sz w:val="20"/>
              </w:rPr>
              <w:t>69,838</w:t>
            </w:r>
          </w:p>
        </w:tc>
        <w:tc>
          <w:tcPr>
            <w:tcW w:w="1419" w:type="dxa"/>
            <w:tcBorders>
              <w:top w:val="single" w:sz="8" w:space="0" w:color="000000"/>
              <w:bottom w:val="thickThinMediumGap" w:sz="4" w:space="0" w:color="000000"/>
            </w:tcBorders>
            <w:shd w:val="clear" w:color="auto" w:fill="DDEBF6"/>
          </w:tcPr>
          <w:p>
            <w:pPr>
              <w:pStyle w:val="TableParagraph"/>
              <w:spacing w:before="49"/>
              <w:ind w:right="104"/>
              <w:jc w:val="right"/>
              <w:rPr>
                <w:b/>
                <w:sz w:val="20"/>
              </w:rPr>
            </w:pPr>
            <w:r>
              <w:rPr>
                <w:b/>
                <w:spacing w:val="-2"/>
                <w:sz w:val="20"/>
              </w:rPr>
              <w:t>72,860</w:t>
            </w:r>
          </w:p>
        </w:tc>
        <w:tc>
          <w:tcPr>
            <w:tcW w:w="1517" w:type="dxa"/>
            <w:tcBorders>
              <w:top w:val="single" w:sz="8" w:space="0" w:color="000000"/>
              <w:bottom w:val="thickThinMediumGap" w:sz="4" w:space="0" w:color="000000"/>
            </w:tcBorders>
          </w:tcPr>
          <w:p>
            <w:pPr>
              <w:pStyle w:val="TableParagraph"/>
              <w:spacing w:before="49"/>
              <w:ind w:right="204"/>
              <w:jc w:val="right"/>
              <w:rPr>
                <w:sz w:val="20"/>
              </w:rPr>
            </w:pPr>
            <w:r>
              <w:rPr>
                <w:spacing w:val="-2"/>
                <w:sz w:val="20"/>
              </w:rPr>
              <w:t>73,441</w:t>
            </w:r>
          </w:p>
        </w:tc>
        <w:tc>
          <w:tcPr>
            <w:tcW w:w="1560" w:type="dxa"/>
            <w:tcBorders>
              <w:top w:val="single" w:sz="8" w:space="0" w:color="000000"/>
              <w:bottom w:val="thickThinMediumGap" w:sz="4" w:space="0" w:color="000000"/>
            </w:tcBorders>
          </w:tcPr>
          <w:p>
            <w:pPr>
              <w:pStyle w:val="TableParagraph"/>
              <w:spacing w:before="49"/>
              <w:ind w:right="204"/>
              <w:jc w:val="right"/>
              <w:rPr>
                <w:sz w:val="20"/>
              </w:rPr>
            </w:pPr>
            <w:r>
              <w:rPr>
                <w:spacing w:val="-2"/>
                <w:sz w:val="20"/>
              </w:rPr>
              <w:t>74,750</w:t>
            </w:r>
          </w:p>
        </w:tc>
        <w:tc>
          <w:tcPr>
            <w:tcW w:w="1459" w:type="dxa"/>
            <w:tcBorders>
              <w:top w:val="single" w:sz="8" w:space="0" w:color="000000"/>
              <w:bottom w:val="thickThinMediumGap" w:sz="4" w:space="0" w:color="000000"/>
              <w:right w:val="single" w:sz="4" w:space="0" w:color="000000"/>
            </w:tcBorders>
          </w:tcPr>
          <w:p>
            <w:pPr>
              <w:pStyle w:val="TableParagraph"/>
              <w:spacing w:before="49"/>
              <w:ind w:right="99"/>
              <w:jc w:val="right"/>
              <w:rPr>
                <w:sz w:val="20"/>
              </w:rPr>
            </w:pPr>
            <w:r>
              <w:rPr>
                <w:spacing w:val="-2"/>
                <w:sz w:val="20"/>
              </w:rPr>
              <w:t>76,195</w:t>
            </w:r>
          </w:p>
        </w:tc>
      </w:tr>
      <w:tr>
        <w:trPr>
          <w:trHeight w:val="664" w:hRule="atLeast"/>
        </w:trPr>
        <w:tc>
          <w:tcPr>
            <w:tcW w:w="3540" w:type="dxa"/>
            <w:tcBorders>
              <w:left w:val="single" w:sz="4" w:space="0" w:color="000000"/>
            </w:tcBorders>
          </w:tcPr>
          <w:p>
            <w:pPr>
              <w:pStyle w:val="TableParagraph"/>
              <w:rPr>
                <w:rFonts w:ascii="Times New Roman"/>
                <w:sz w:val="18"/>
              </w:rPr>
            </w:pPr>
          </w:p>
        </w:tc>
        <w:tc>
          <w:tcPr>
            <w:tcW w:w="1277" w:type="dxa"/>
            <w:tcBorders>
              <w:top w:val="thinThickMediumGap" w:sz="4" w:space="0" w:color="000000"/>
            </w:tcBorders>
          </w:tcPr>
          <w:p>
            <w:pPr>
              <w:pStyle w:val="TableParagraph"/>
              <w:spacing w:before="10"/>
              <w:rPr>
                <w:sz w:val="31"/>
              </w:rPr>
            </w:pPr>
          </w:p>
          <w:p>
            <w:pPr>
              <w:pStyle w:val="TableParagraph"/>
              <w:ind w:right="99"/>
              <w:jc w:val="right"/>
              <w:rPr>
                <w:sz w:val="20"/>
              </w:rPr>
            </w:pPr>
            <w:r>
              <w:rPr>
                <w:spacing w:val="-5"/>
                <w:sz w:val="20"/>
              </w:rPr>
              <w:t>EFT</w:t>
            </w:r>
          </w:p>
        </w:tc>
        <w:tc>
          <w:tcPr>
            <w:tcW w:w="1419" w:type="dxa"/>
            <w:tcBorders>
              <w:top w:val="thinThickMediumGap" w:sz="4" w:space="0" w:color="000000"/>
            </w:tcBorders>
            <w:shd w:val="clear" w:color="auto" w:fill="DDEBF6"/>
          </w:tcPr>
          <w:p>
            <w:pPr>
              <w:pStyle w:val="TableParagraph"/>
              <w:spacing w:before="10"/>
              <w:rPr>
                <w:sz w:val="31"/>
              </w:rPr>
            </w:pPr>
          </w:p>
          <w:p>
            <w:pPr>
              <w:pStyle w:val="TableParagraph"/>
              <w:ind w:right="102"/>
              <w:jc w:val="right"/>
              <w:rPr>
                <w:b/>
                <w:sz w:val="20"/>
              </w:rPr>
            </w:pPr>
            <w:r>
              <w:rPr>
                <w:b/>
                <w:spacing w:val="-5"/>
                <w:sz w:val="20"/>
              </w:rPr>
              <w:t>EFT</w:t>
            </w:r>
          </w:p>
        </w:tc>
        <w:tc>
          <w:tcPr>
            <w:tcW w:w="1517" w:type="dxa"/>
            <w:tcBorders>
              <w:top w:val="thinThickMediumGap" w:sz="4" w:space="0" w:color="000000"/>
            </w:tcBorders>
          </w:tcPr>
          <w:p>
            <w:pPr>
              <w:pStyle w:val="TableParagraph"/>
              <w:spacing w:before="10"/>
              <w:rPr>
                <w:sz w:val="31"/>
              </w:rPr>
            </w:pPr>
          </w:p>
          <w:p>
            <w:pPr>
              <w:pStyle w:val="TableParagraph"/>
              <w:ind w:right="200"/>
              <w:jc w:val="right"/>
              <w:rPr>
                <w:sz w:val="20"/>
              </w:rPr>
            </w:pPr>
            <w:r>
              <w:rPr>
                <w:spacing w:val="-5"/>
                <w:sz w:val="20"/>
              </w:rPr>
              <w:t>EFT</w:t>
            </w:r>
          </w:p>
        </w:tc>
        <w:tc>
          <w:tcPr>
            <w:tcW w:w="1560" w:type="dxa"/>
            <w:tcBorders>
              <w:top w:val="thinThickMediumGap" w:sz="4" w:space="0" w:color="000000"/>
            </w:tcBorders>
          </w:tcPr>
          <w:p>
            <w:pPr>
              <w:pStyle w:val="TableParagraph"/>
              <w:spacing w:before="10"/>
              <w:rPr>
                <w:sz w:val="31"/>
              </w:rPr>
            </w:pPr>
          </w:p>
          <w:p>
            <w:pPr>
              <w:pStyle w:val="TableParagraph"/>
              <w:ind w:right="200"/>
              <w:jc w:val="right"/>
              <w:rPr>
                <w:sz w:val="20"/>
              </w:rPr>
            </w:pPr>
            <w:r>
              <w:rPr>
                <w:spacing w:val="-5"/>
                <w:sz w:val="20"/>
              </w:rPr>
              <w:t>EFT</w:t>
            </w:r>
          </w:p>
        </w:tc>
        <w:tc>
          <w:tcPr>
            <w:tcW w:w="1459" w:type="dxa"/>
            <w:tcBorders>
              <w:top w:val="thinThickMediumGap" w:sz="4" w:space="0" w:color="000000"/>
              <w:right w:val="single" w:sz="4" w:space="0" w:color="000000"/>
            </w:tcBorders>
          </w:tcPr>
          <w:p>
            <w:pPr>
              <w:pStyle w:val="TableParagraph"/>
              <w:spacing w:before="10"/>
              <w:rPr>
                <w:sz w:val="31"/>
              </w:rPr>
            </w:pPr>
          </w:p>
          <w:p>
            <w:pPr>
              <w:pStyle w:val="TableParagraph"/>
              <w:ind w:right="97"/>
              <w:jc w:val="right"/>
              <w:rPr>
                <w:sz w:val="20"/>
              </w:rPr>
            </w:pPr>
            <w:r>
              <w:rPr>
                <w:spacing w:val="-5"/>
                <w:sz w:val="20"/>
              </w:rPr>
              <w:t>EFT</w:t>
            </w:r>
          </w:p>
        </w:tc>
      </w:tr>
      <w:tr>
        <w:trPr>
          <w:trHeight w:val="319" w:hRule="atLeast"/>
        </w:trPr>
        <w:tc>
          <w:tcPr>
            <w:tcW w:w="3540" w:type="dxa"/>
            <w:tcBorders>
              <w:left w:val="single" w:sz="4" w:space="0" w:color="000000"/>
            </w:tcBorders>
          </w:tcPr>
          <w:p>
            <w:pPr>
              <w:pStyle w:val="TableParagraph"/>
              <w:spacing w:before="60"/>
              <w:ind w:left="107"/>
              <w:rPr>
                <w:b/>
                <w:sz w:val="20"/>
              </w:rPr>
            </w:pPr>
            <w:r>
              <w:rPr>
                <w:b/>
                <w:sz w:val="20"/>
              </w:rPr>
              <w:t>Staff</w:t>
            </w:r>
            <w:r>
              <w:rPr>
                <w:b/>
                <w:spacing w:val="-6"/>
                <w:sz w:val="20"/>
              </w:rPr>
              <w:t> </w:t>
            </w:r>
            <w:r>
              <w:rPr>
                <w:b/>
                <w:spacing w:val="-2"/>
                <w:sz w:val="20"/>
              </w:rPr>
              <w:t>numbers</w:t>
            </w:r>
          </w:p>
        </w:tc>
        <w:tc>
          <w:tcPr>
            <w:tcW w:w="1277" w:type="dxa"/>
          </w:tcPr>
          <w:p>
            <w:pPr>
              <w:pStyle w:val="TableParagraph"/>
              <w:rPr>
                <w:rFonts w:ascii="Times New Roman"/>
                <w:sz w:val="18"/>
              </w:rPr>
            </w:pPr>
          </w:p>
        </w:tc>
        <w:tc>
          <w:tcPr>
            <w:tcW w:w="1419" w:type="dxa"/>
            <w:shd w:val="clear" w:color="auto" w:fill="DDEBF6"/>
          </w:tcPr>
          <w:p>
            <w:pPr>
              <w:pStyle w:val="TableParagraph"/>
              <w:rPr>
                <w:rFonts w:ascii="Times New Roman"/>
                <w:sz w:val="18"/>
              </w:rPr>
            </w:pPr>
          </w:p>
        </w:tc>
        <w:tc>
          <w:tcPr>
            <w:tcW w:w="1517" w:type="dxa"/>
          </w:tcPr>
          <w:p>
            <w:pPr>
              <w:pStyle w:val="TableParagraph"/>
              <w:rPr>
                <w:rFonts w:ascii="Times New Roman"/>
                <w:sz w:val="18"/>
              </w:rPr>
            </w:pPr>
          </w:p>
        </w:tc>
        <w:tc>
          <w:tcPr>
            <w:tcW w:w="1560" w:type="dxa"/>
          </w:tcPr>
          <w:p>
            <w:pPr>
              <w:pStyle w:val="TableParagraph"/>
              <w:rPr>
                <w:rFonts w:ascii="Times New Roman"/>
                <w:sz w:val="18"/>
              </w:rPr>
            </w:pPr>
          </w:p>
        </w:tc>
        <w:tc>
          <w:tcPr>
            <w:tcW w:w="1459" w:type="dxa"/>
            <w:tcBorders>
              <w:right w:val="single" w:sz="4" w:space="0" w:color="000000"/>
            </w:tcBorders>
          </w:tcPr>
          <w:p>
            <w:pPr>
              <w:pStyle w:val="TableParagraph"/>
              <w:rPr>
                <w:rFonts w:ascii="Times New Roman"/>
                <w:sz w:val="18"/>
              </w:rPr>
            </w:pPr>
          </w:p>
        </w:tc>
      </w:tr>
      <w:tr>
        <w:trPr>
          <w:trHeight w:val="302" w:hRule="atLeast"/>
        </w:trPr>
        <w:tc>
          <w:tcPr>
            <w:tcW w:w="3540" w:type="dxa"/>
            <w:tcBorders>
              <w:left w:val="single" w:sz="4" w:space="0" w:color="000000"/>
            </w:tcBorders>
          </w:tcPr>
          <w:p>
            <w:pPr>
              <w:pStyle w:val="TableParagraph"/>
              <w:spacing w:line="210" w:lineRule="exact" w:before="72"/>
              <w:ind w:left="107"/>
              <w:rPr>
                <w:sz w:val="20"/>
              </w:rPr>
            </w:pPr>
            <w:r>
              <w:rPr>
                <w:sz w:val="20"/>
              </w:rPr>
              <w:t>Employees</w:t>
            </w:r>
            <w:r>
              <w:rPr>
                <w:spacing w:val="-10"/>
                <w:sz w:val="20"/>
              </w:rPr>
              <w:t> </w:t>
            </w:r>
            <w:r>
              <w:rPr>
                <w:spacing w:val="-2"/>
                <w:sz w:val="20"/>
              </w:rPr>
              <w:t>(EFT*)</w:t>
            </w:r>
          </w:p>
        </w:tc>
        <w:tc>
          <w:tcPr>
            <w:tcW w:w="1277" w:type="dxa"/>
            <w:tcBorders>
              <w:bottom w:val="single" w:sz="8" w:space="0" w:color="000000"/>
            </w:tcBorders>
          </w:tcPr>
          <w:p>
            <w:pPr>
              <w:pStyle w:val="TableParagraph"/>
              <w:spacing w:before="22"/>
              <w:ind w:right="100"/>
              <w:jc w:val="right"/>
              <w:rPr>
                <w:sz w:val="20"/>
              </w:rPr>
            </w:pPr>
            <w:r>
              <w:rPr>
                <w:spacing w:val="-2"/>
                <w:sz w:val="20"/>
              </w:rPr>
              <w:t>586.3</w:t>
            </w:r>
          </w:p>
        </w:tc>
        <w:tc>
          <w:tcPr>
            <w:tcW w:w="1419" w:type="dxa"/>
            <w:tcBorders>
              <w:bottom w:val="single" w:sz="8" w:space="0" w:color="000000"/>
            </w:tcBorders>
            <w:shd w:val="clear" w:color="auto" w:fill="DDEBF6"/>
          </w:tcPr>
          <w:p>
            <w:pPr>
              <w:pStyle w:val="TableParagraph"/>
              <w:spacing w:before="22"/>
              <w:ind w:right="103"/>
              <w:jc w:val="right"/>
              <w:rPr>
                <w:b/>
                <w:sz w:val="20"/>
              </w:rPr>
            </w:pPr>
            <w:r>
              <w:rPr>
                <w:b/>
                <w:spacing w:val="-2"/>
                <w:sz w:val="20"/>
              </w:rPr>
              <w:t>586.3</w:t>
            </w:r>
          </w:p>
        </w:tc>
        <w:tc>
          <w:tcPr>
            <w:tcW w:w="1517" w:type="dxa"/>
            <w:tcBorders>
              <w:bottom w:val="single" w:sz="8" w:space="0" w:color="000000"/>
            </w:tcBorders>
          </w:tcPr>
          <w:p>
            <w:pPr>
              <w:pStyle w:val="TableParagraph"/>
              <w:spacing w:before="22"/>
              <w:ind w:right="202"/>
              <w:jc w:val="right"/>
              <w:rPr>
                <w:sz w:val="20"/>
              </w:rPr>
            </w:pPr>
            <w:r>
              <w:rPr>
                <w:spacing w:val="-2"/>
                <w:sz w:val="20"/>
              </w:rPr>
              <w:t>586.3</w:t>
            </w:r>
          </w:p>
        </w:tc>
        <w:tc>
          <w:tcPr>
            <w:tcW w:w="1560" w:type="dxa"/>
            <w:tcBorders>
              <w:bottom w:val="single" w:sz="8" w:space="0" w:color="000000"/>
            </w:tcBorders>
          </w:tcPr>
          <w:p>
            <w:pPr>
              <w:pStyle w:val="TableParagraph"/>
              <w:spacing w:before="22"/>
              <w:ind w:right="202"/>
              <w:jc w:val="right"/>
              <w:rPr>
                <w:sz w:val="20"/>
              </w:rPr>
            </w:pPr>
            <w:r>
              <w:rPr>
                <w:spacing w:val="-2"/>
                <w:sz w:val="20"/>
              </w:rPr>
              <w:t>586.3</w:t>
            </w:r>
          </w:p>
        </w:tc>
        <w:tc>
          <w:tcPr>
            <w:tcW w:w="1459" w:type="dxa"/>
            <w:tcBorders>
              <w:bottom w:val="single" w:sz="8" w:space="0" w:color="000000"/>
              <w:right w:val="single" w:sz="4" w:space="0" w:color="000000"/>
            </w:tcBorders>
          </w:tcPr>
          <w:p>
            <w:pPr>
              <w:pStyle w:val="TableParagraph"/>
              <w:spacing w:before="22"/>
              <w:ind w:right="98"/>
              <w:jc w:val="right"/>
              <w:rPr>
                <w:sz w:val="20"/>
              </w:rPr>
            </w:pPr>
            <w:r>
              <w:rPr>
                <w:spacing w:val="-2"/>
                <w:sz w:val="20"/>
              </w:rPr>
              <w:t>586.3</w:t>
            </w:r>
          </w:p>
        </w:tc>
      </w:tr>
      <w:tr>
        <w:trPr>
          <w:trHeight w:val="328" w:hRule="atLeast"/>
        </w:trPr>
        <w:tc>
          <w:tcPr>
            <w:tcW w:w="3540" w:type="dxa"/>
            <w:tcBorders>
              <w:left w:val="single" w:sz="4" w:space="0" w:color="000000"/>
            </w:tcBorders>
          </w:tcPr>
          <w:p>
            <w:pPr>
              <w:pStyle w:val="TableParagraph"/>
              <w:spacing w:line="209" w:lineRule="exact" w:before="100"/>
              <w:ind w:left="107"/>
              <w:rPr>
                <w:sz w:val="20"/>
              </w:rPr>
            </w:pPr>
            <w:r>
              <w:rPr>
                <w:sz w:val="20"/>
              </w:rPr>
              <w:t>Total</w:t>
            </w:r>
            <w:r>
              <w:rPr>
                <w:spacing w:val="-6"/>
                <w:sz w:val="20"/>
              </w:rPr>
              <w:t> </w:t>
            </w:r>
            <w:r>
              <w:rPr>
                <w:sz w:val="20"/>
              </w:rPr>
              <w:t>staff</w:t>
            </w:r>
            <w:r>
              <w:rPr>
                <w:spacing w:val="-4"/>
                <w:sz w:val="20"/>
              </w:rPr>
              <w:t> </w:t>
            </w:r>
            <w:r>
              <w:rPr>
                <w:spacing w:val="-2"/>
                <w:sz w:val="20"/>
              </w:rPr>
              <w:t>numbers</w:t>
            </w:r>
          </w:p>
        </w:tc>
        <w:tc>
          <w:tcPr>
            <w:tcW w:w="1277" w:type="dxa"/>
            <w:tcBorders>
              <w:top w:val="single" w:sz="8" w:space="0" w:color="000000"/>
              <w:bottom w:val="thickThinMediumGap" w:sz="4" w:space="0" w:color="000000"/>
            </w:tcBorders>
          </w:tcPr>
          <w:p>
            <w:pPr>
              <w:pStyle w:val="TableParagraph"/>
              <w:spacing w:before="49"/>
              <w:ind w:right="100"/>
              <w:jc w:val="right"/>
              <w:rPr>
                <w:sz w:val="20"/>
              </w:rPr>
            </w:pPr>
            <w:r>
              <w:rPr>
                <w:spacing w:val="-2"/>
                <w:sz w:val="20"/>
              </w:rPr>
              <w:t>586.3</w:t>
            </w:r>
          </w:p>
        </w:tc>
        <w:tc>
          <w:tcPr>
            <w:tcW w:w="1419" w:type="dxa"/>
            <w:tcBorders>
              <w:top w:val="single" w:sz="8" w:space="0" w:color="000000"/>
              <w:bottom w:val="thickThinMediumGap" w:sz="4" w:space="0" w:color="000000"/>
            </w:tcBorders>
            <w:shd w:val="clear" w:color="auto" w:fill="DDEBF6"/>
          </w:tcPr>
          <w:p>
            <w:pPr>
              <w:pStyle w:val="TableParagraph"/>
              <w:spacing w:before="49"/>
              <w:ind w:right="103"/>
              <w:jc w:val="right"/>
              <w:rPr>
                <w:b/>
                <w:sz w:val="20"/>
              </w:rPr>
            </w:pPr>
            <w:r>
              <w:rPr>
                <w:b/>
                <w:spacing w:val="-2"/>
                <w:sz w:val="20"/>
              </w:rPr>
              <w:t>586.3</w:t>
            </w:r>
          </w:p>
        </w:tc>
        <w:tc>
          <w:tcPr>
            <w:tcW w:w="1517" w:type="dxa"/>
            <w:tcBorders>
              <w:top w:val="single" w:sz="8" w:space="0" w:color="000000"/>
              <w:bottom w:val="thickThinMediumGap" w:sz="4" w:space="0" w:color="000000"/>
            </w:tcBorders>
          </w:tcPr>
          <w:p>
            <w:pPr>
              <w:pStyle w:val="TableParagraph"/>
              <w:spacing w:before="49"/>
              <w:ind w:right="202"/>
              <w:jc w:val="right"/>
              <w:rPr>
                <w:sz w:val="20"/>
              </w:rPr>
            </w:pPr>
            <w:r>
              <w:rPr>
                <w:spacing w:val="-2"/>
                <w:sz w:val="20"/>
              </w:rPr>
              <w:t>586.3</w:t>
            </w:r>
          </w:p>
        </w:tc>
        <w:tc>
          <w:tcPr>
            <w:tcW w:w="1560" w:type="dxa"/>
            <w:tcBorders>
              <w:top w:val="single" w:sz="8" w:space="0" w:color="000000"/>
              <w:bottom w:val="thickThinMediumGap" w:sz="4" w:space="0" w:color="000000"/>
            </w:tcBorders>
          </w:tcPr>
          <w:p>
            <w:pPr>
              <w:pStyle w:val="TableParagraph"/>
              <w:spacing w:before="49"/>
              <w:ind w:right="202"/>
              <w:jc w:val="right"/>
              <w:rPr>
                <w:sz w:val="20"/>
              </w:rPr>
            </w:pPr>
            <w:r>
              <w:rPr>
                <w:spacing w:val="-2"/>
                <w:sz w:val="20"/>
              </w:rPr>
              <w:t>586.3</w:t>
            </w:r>
          </w:p>
        </w:tc>
        <w:tc>
          <w:tcPr>
            <w:tcW w:w="1459" w:type="dxa"/>
            <w:tcBorders>
              <w:top w:val="single" w:sz="8" w:space="0" w:color="000000"/>
              <w:bottom w:val="thickThinMediumGap" w:sz="4" w:space="0" w:color="000000"/>
              <w:right w:val="single" w:sz="4" w:space="0" w:color="000000"/>
            </w:tcBorders>
          </w:tcPr>
          <w:p>
            <w:pPr>
              <w:pStyle w:val="TableParagraph"/>
              <w:spacing w:before="49"/>
              <w:ind w:right="98"/>
              <w:jc w:val="right"/>
              <w:rPr>
                <w:sz w:val="20"/>
              </w:rPr>
            </w:pPr>
            <w:r>
              <w:rPr>
                <w:spacing w:val="-2"/>
                <w:sz w:val="20"/>
              </w:rPr>
              <w:t>586.3</w:t>
            </w:r>
          </w:p>
        </w:tc>
      </w:tr>
      <w:tr>
        <w:trPr>
          <w:trHeight w:val="326" w:hRule="atLeast"/>
        </w:trPr>
        <w:tc>
          <w:tcPr>
            <w:tcW w:w="10772" w:type="dxa"/>
            <w:gridSpan w:val="6"/>
            <w:tcBorders>
              <w:left w:val="single" w:sz="4" w:space="0" w:color="000000"/>
              <w:bottom w:val="single" w:sz="4" w:space="0" w:color="000000"/>
              <w:right w:val="single" w:sz="4" w:space="0" w:color="000000"/>
            </w:tcBorders>
          </w:tcPr>
          <w:p>
            <w:pPr>
              <w:pStyle w:val="TableParagraph"/>
              <w:spacing w:line="187" w:lineRule="exact" w:before="119"/>
              <w:ind w:left="107"/>
              <w:rPr>
                <w:sz w:val="18"/>
              </w:rPr>
            </w:pPr>
            <w:r>
              <w:rPr>
                <w:sz w:val="18"/>
              </w:rPr>
              <w:t>*</w:t>
            </w:r>
            <w:r>
              <w:rPr>
                <w:spacing w:val="-2"/>
                <w:sz w:val="18"/>
              </w:rPr>
              <w:t> </w:t>
            </w:r>
            <w:r>
              <w:rPr>
                <w:sz w:val="18"/>
              </w:rPr>
              <w:t>EFT represents</w:t>
            </w:r>
            <w:r>
              <w:rPr>
                <w:spacing w:val="-1"/>
                <w:sz w:val="18"/>
              </w:rPr>
              <w:t> </w:t>
            </w:r>
            <w:r>
              <w:rPr>
                <w:sz w:val="18"/>
              </w:rPr>
              <w:t>the</w:t>
            </w:r>
            <w:r>
              <w:rPr>
                <w:spacing w:val="1"/>
                <w:sz w:val="18"/>
              </w:rPr>
              <w:t> </w:t>
            </w:r>
            <w:r>
              <w:rPr>
                <w:sz w:val="18"/>
              </w:rPr>
              <w:t>full-time</w:t>
            </w:r>
            <w:r>
              <w:rPr>
                <w:spacing w:val="-3"/>
                <w:sz w:val="18"/>
              </w:rPr>
              <w:t> </w:t>
            </w:r>
            <w:r>
              <w:rPr>
                <w:sz w:val="18"/>
              </w:rPr>
              <w:t>equivalent</w:t>
            </w:r>
            <w:r>
              <w:rPr>
                <w:spacing w:val="-2"/>
                <w:sz w:val="18"/>
              </w:rPr>
              <w:t> </w:t>
            </w:r>
            <w:r>
              <w:rPr>
                <w:sz w:val="18"/>
              </w:rPr>
              <w:t>number</w:t>
            </w:r>
            <w:r>
              <w:rPr>
                <w:spacing w:val="-1"/>
                <w:sz w:val="18"/>
              </w:rPr>
              <w:t> </w:t>
            </w:r>
            <w:r>
              <w:rPr>
                <w:sz w:val="18"/>
              </w:rPr>
              <w:t>of</w:t>
            </w:r>
            <w:r>
              <w:rPr>
                <w:spacing w:val="-3"/>
                <w:sz w:val="18"/>
              </w:rPr>
              <w:t> </w:t>
            </w:r>
            <w:r>
              <w:rPr>
                <w:spacing w:val="-2"/>
                <w:sz w:val="18"/>
              </w:rPr>
              <w:t>employees</w:t>
            </w:r>
          </w:p>
        </w:tc>
      </w:tr>
    </w:tbl>
    <w:p>
      <w:pPr>
        <w:pStyle w:val="BodyText"/>
        <w:spacing w:before="6"/>
        <w:rPr>
          <w:sz w:val="20"/>
        </w:rPr>
      </w:pPr>
    </w:p>
    <w:p>
      <w:pPr>
        <w:pStyle w:val="BodyText"/>
        <w:ind w:left="391"/>
      </w:pPr>
      <w:r>
        <w:rPr/>
        <w:t>A summary of human resources expenditure categorised according to organisational structure of Council is detailed below:</w:t>
      </w:r>
    </w:p>
    <w:tbl>
      <w:tblPr>
        <w:tblW w:w="0" w:type="auto"/>
        <w:jc w:val="left"/>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20"/>
        <w:gridCol w:w="1452"/>
        <w:gridCol w:w="1761"/>
        <w:gridCol w:w="1163"/>
        <w:gridCol w:w="876"/>
      </w:tblGrid>
      <w:tr>
        <w:trPr>
          <w:trHeight w:val="1159" w:hRule="atLeast"/>
        </w:trPr>
        <w:tc>
          <w:tcPr>
            <w:tcW w:w="5520" w:type="dxa"/>
            <w:tcBorders>
              <w:top w:val="single" w:sz="4" w:space="0" w:color="000000"/>
              <w:left w:val="single" w:sz="4" w:space="0" w:color="000000"/>
            </w:tcBorders>
            <w:shd w:val="clear" w:color="auto" w:fill="5B9AD4"/>
          </w:tcPr>
          <w:p>
            <w:pPr>
              <w:pStyle w:val="TableParagraph"/>
              <w:rPr>
                <w:sz w:val="22"/>
              </w:rPr>
            </w:pPr>
          </w:p>
          <w:p>
            <w:pPr>
              <w:pStyle w:val="TableParagraph"/>
              <w:rPr>
                <w:sz w:val="22"/>
              </w:rPr>
            </w:pPr>
          </w:p>
          <w:p>
            <w:pPr>
              <w:pStyle w:val="TableParagraph"/>
              <w:spacing w:before="132"/>
              <w:ind w:left="107"/>
              <w:rPr>
                <w:b/>
                <w:sz w:val="20"/>
              </w:rPr>
            </w:pPr>
            <w:r>
              <w:rPr>
                <w:b/>
                <w:color w:val="FFFFFF"/>
                <w:spacing w:val="-2"/>
                <w:sz w:val="20"/>
              </w:rPr>
              <w:t>Department</w:t>
            </w:r>
          </w:p>
        </w:tc>
        <w:tc>
          <w:tcPr>
            <w:tcW w:w="1452" w:type="dxa"/>
            <w:tcBorders>
              <w:top w:val="single" w:sz="4" w:space="0" w:color="000000"/>
            </w:tcBorders>
            <w:shd w:val="clear" w:color="auto" w:fill="5B9AD4"/>
          </w:tcPr>
          <w:p>
            <w:pPr>
              <w:pStyle w:val="TableParagraph"/>
              <w:spacing w:before="4"/>
              <w:rPr>
                <w:sz w:val="30"/>
              </w:rPr>
            </w:pPr>
          </w:p>
          <w:p>
            <w:pPr>
              <w:pStyle w:val="TableParagraph"/>
              <w:spacing w:line="300" w:lineRule="auto" w:before="1"/>
              <w:ind w:left="256" w:right="248" w:firstLine="127"/>
              <w:rPr>
                <w:b/>
                <w:sz w:val="20"/>
              </w:rPr>
            </w:pPr>
            <w:r>
              <w:rPr>
                <w:b/>
                <w:color w:val="FFFFFF"/>
                <w:spacing w:val="-2"/>
                <w:sz w:val="20"/>
              </w:rPr>
              <w:t>Budget 2024/2025</w:t>
            </w:r>
          </w:p>
          <w:p>
            <w:pPr>
              <w:pStyle w:val="TableParagraph"/>
              <w:spacing w:line="211" w:lineRule="exact" w:before="3"/>
              <w:ind w:left="482"/>
              <w:rPr>
                <w:b/>
                <w:sz w:val="20"/>
              </w:rPr>
            </w:pPr>
            <w:r>
              <w:rPr>
                <w:b/>
                <w:color w:val="FFFFFF"/>
                <w:spacing w:val="-2"/>
                <w:sz w:val="20"/>
              </w:rPr>
              <w:t>$'000</w:t>
            </w:r>
          </w:p>
        </w:tc>
        <w:tc>
          <w:tcPr>
            <w:tcW w:w="2924" w:type="dxa"/>
            <w:gridSpan w:val="2"/>
            <w:tcBorders>
              <w:top w:val="single" w:sz="4" w:space="0" w:color="000000"/>
            </w:tcBorders>
            <w:shd w:val="clear" w:color="auto" w:fill="5B9AD4"/>
          </w:tcPr>
          <w:p>
            <w:pPr>
              <w:pStyle w:val="TableParagraph"/>
              <w:spacing w:line="302" w:lineRule="auto" w:before="59"/>
              <w:ind w:left="933" w:firstLine="453"/>
              <w:rPr>
                <w:b/>
                <w:sz w:val="20"/>
              </w:rPr>
            </w:pPr>
            <w:r>
              <w:rPr>
                <w:b/>
                <w:color w:val="FFFFFF"/>
                <w:spacing w:val="-2"/>
                <w:sz w:val="20"/>
              </w:rPr>
              <w:t>Comprises Permanent</w:t>
            </w:r>
          </w:p>
          <w:p>
            <w:pPr>
              <w:pStyle w:val="TableParagraph"/>
              <w:tabs>
                <w:tab w:pos="1435" w:val="left" w:leader="none"/>
              </w:tabs>
              <w:spacing w:before="23"/>
              <w:jc w:val="center"/>
              <w:rPr>
                <w:b/>
                <w:sz w:val="18"/>
              </w:rPr>
            </w:pPr>
            <w:r>
              <w:rPr>
                <w:b/>
                <w:color w:val="FFFFFF"/>
                <w:sz w:val="18"/>
              </w:rPr>
              <w:t>Full</w:t>
            </w:r>
            <w:r>
              <w:rPr>
                <w:b/>
                <w:color w:val="FFFFFF"/>
                <w:spacing w:val="1"/>
                <w:sz w:val="18"/>
              </w:rPr>
              <w:t> </w:t>
            </w:r>
            <w:r>
              <w:rPr>
                <w:b/>
                <w:color w:val="FFFFFF"/>
                <w:spacing w:val="-4"/>
                <w:sz w:val="18"/>
              </w:rPr>
              <w:t>Time</w:t>
            </w:r>
            <w:r>
              <w:rPr>
                <w:b/>
                <w:color w:val="FFFFFF"/>
                <w:sz w:val="18"/>
              </w:rPr>
              <w:tab/>
              <w:t>Part</w:t>
            </w:r>
            <w:r>
              <w:rPr>
                <w:b/>
                <w:color w:val="FFFFFF"/>
                <w:spacing w:val="-2"/>
                <w:sz w:val="18"/>
              </w:rPr>
              <w:t> </w:t>
            </w:r>
            <w:r>
              <w:rPr>
                <w:b/>
                <w:color w:val="FFFFFF"/>
                <w:spacing w:val="-4"/>
                <w:sz w:val="18"/>
              </w:rPr>
              <w:t>Time</w:t>
            </w:r>
          </w:p>
          <w:p>
            <w:pPr>
              <w:pStyle w:val="TableParagraph"/>
              <w:tabs>
                <w:tab w:pos="1451" w:val="left" w:leader="none"/>
              </w:tabs>
              <w:spacing w:line="211" w:lineRule="exact" w:before="59"/>
              <w:ind w:right="15"/>
              <w:jc w:val="center"/>
              <w:rPr>
                <w:b/>
                <w:sz w:val="20"/>
              </w:rPr>
            </w:pPr>
            <w:r>
              <w:rPr>
                <w:b/>
                <w:color w:val="FFFFFF"/>
                <w:spacing w:val="-2"/>
                <w:sz w:val="20"/>
              </w:rPr>
              <w:t>$'000</w:t>
            </w:r>
            <w:r>
              <w:rPr>
                <w:b/>
                <w:color w:val="FFFFFF"/>
                <w:sz w:val="20"/>
              </w:rPr>
              <w:tab/>
            </w:r>
            <w:r>
              <w:rPr>
                <w:b/>
                <w:color w:val="FFFFFF"/>
                <w:spacing w:val="-4"/>
                <w:sz w:val="20"/>
              </w:rPr>
              <w:t>$'000</w:t>
            </w:r>
          </w:p>
        </w:tc>
        <w:tc>
          <w:tcPr>
            <w:tcW w:w="876" w:type="dxa"/>
            <w:tcBorders>
              <w:top w:val="single" w:sz="4" w:space="0" w:color="000000"/>
              <w:right w:val="single" w:sz="4" w:space="0" w:color="000000"/>
            </w:tcBorders>
            <w:shd w:val="clear" w:color="auto" w:fill="5B9AD4"/>
          </w:tcPr>
          <w:p>
            <w:pPr>
              <w:pStyle w:val="TableParagraph"/>
              <w:rPr>
                <w:sz w:val="20"/>
              </w:rPr>
            </w:pPr>
          </w:p>
          <w:p>
            <w:pPr>
              <w:pStyle w:val="TableParagraph"/>
              <w:rPr>
                <w:sz w:val="20"/>
              </w:rPr>
            </w:pPr>
          </w:p>
          <w:p>
            <w:pPr>
              <w:pStyle w:val="TableParagraph"/>
              <w:spacing w:before="5"/>
              <w:rPr>
                <w:sz w:val="17"/>
              </w:rPr>
            </w:pPr>
          </w:p>
          <w:p>
            <w:pPr>
              <w:pStyle w:val="TableParagraph"/>
              <w:spacing w:before="1"/>
              <w:ind w:left="131"/>
              <w:rPr>
                <w:b/>
                <w:sz w:val="18"/>
              </w:rPr>
            </w:pPr>
            <w:r>
              <w:rPr>
                <w:b/>
                <w:color w:val="FFFFFF"/>
                <w:spacing w:val="-2"/>
                <w:sz w:val="18"/>
              </w:rPr>
              <w:t>Casual</w:t>
            </w:r>
          </w:p>
          <w:p>
            <w:pPr>
              <w:pStyle w:val="TableParagraph"/>
              <w:spacing w:line="211" w:lineRule="exact" w:before="59"/>
              <w:ind w:left="178"/>
              <w:rPr>
                <w:b/>
                <w:sz w:val="20"/>
              </w:rPr>
            </w:pPr>
            <w:r>
              <w:rPr>
                <w:b/>
                <w:color w:val="FFFFFF"/>
                <w:spacing w:val="-2"/>
                <w:sz w:val="20"/>
              </w:rPr>
              <w:t>$'000</w:t>
            </w:r>
          </w:p>
        </w:tc>
      </w:tr>
      <w:tr>
        <w:trPr>
          <w:trHeight w:val="307" w:hRule="atLeast"/>
        </w:trPr>
        <w:tc>
          <w:tcPr>
            <w:tcW w:w="5520" w:type="dxa"/>
            <w:tcBorders>
              <w:left w:val="single" w:sz="4" w:space="0" w:color="000000"/>
            </w:tcBorders>
          </w:tcPr>
          <w:p>
            <w:pPr>
              <w:pStyle w:val="TableParagraph"/>
              <w:spacing w:line="228" w:lineRule="exact" w:before="59"/>
              <w:ind w:left="107"/>
              <w:rPr>
                <w:sz w:val="20"/>
              </w:rPr>
            </w:pPr>
            <w:r>
              <w:rPr>
                <w:sz w:val="20"/>
              </w:rPr>
              <w:t>Strategy</w:t>
            </w:r>
            <w:r>
              <w:rPr>
                <w:spacing w:val="-7"/>
                <w:sz w:val="20"/>
              </w:rPr>
              <w:t> </w:t>
            </w:r>
            <w:r>
              <w:rPr>
                <w:sz w:val="20"/>
              </w:rPr>
              <w:t>and</w:t>
            </w:r>
            <w:r>
              <w:rPr>
                <w:spacing w:val="-8"/>
                <w:sz w:val="20"/>
              </w:rPr>
              <w:t> </w:t>
            </w:r>
            <w:r>
              <w:rPr>
                <w:spacing w:val="-2"/>
                <w:sz w:val="20"/>
              </w:rPr>
              <w:t>Development</w:t>
            </w:r>
          </w:p>
        </w:tc>
        <w:tc>
          <w:tcPr>
            <w:tcW w:w="1452" w:type="dxa"/>
            <w:shd w:val="clear" w:color="auto" w:fill="DFEBF4"/>
          </w:tcPr>
          <w:p>
            <w:pPr>
              <w:pStyle w:val="TableParagraph"/>
              <w:spacing w:before="31"/>
              <w:ind w:right="107"/>
              <w:jc w:val="right"/>
              <w:rPr>
                <w:b/>
                <w:sz w:val="20"/>
              </w:rPr>
            </w:pPr>
            <w:r>
              <w:rPr>
                <w:b/>
                <w:spacing w:val="-2"/>
                <w:sz w:val="20"/>
              </w:rPr>
              <w:t>14,831</w:t>
            </w:r>
          </w:p>
        </w:tc>
        <w:tc>
          <w:tcPr>
            <w:tcW w:w="1761" w:type="dxa"/>
          </w:tcPr>
          <w:p>
            <w:pPr>
              <w:pStyle w:val="TableParagraph"/>
              <w:spacing w:before="31"/>
              <w:ind w:right="416"/>
              <w:jc w:val="right"/>
              <w:rPr>
                <w:sz w:val="20"/>
              </w:rPr>
            </w:pPr>
            <w:r>
              <w:rPr>
                <w:spacing w:val="-2"/>
                <w:sz w:val="20"/>
              </w:rPr>
              <w:t>10,680</w:t>
            </w:r>
          </w:p>
        </w:tc>
        <w:tc>
          <w:tcPr>
            <w:tcW w:w="1163" w:type="dxa"/>
          </w:tcPr>
          <w:p>
            <w:pPr>
              <w:pStyle w:val="TableParagraph"/>
              <w:spacing w:before="31"/>
              <w:ind w:right="125"/>
              <w:jc w:val="right"/>
              <w:rPr>
                <w:sz w:val="20"/>
              </w:rPr>
            </w:pPr>
            <w:r>
              <w:rPr>
                <w:spacing w:val="-2"/>
                <w:sz w:val="20"/>
              </w:rPr>
              <w:t>3,698</w:t>
            </w:r>
          </w:p>
        </w:tc>
        <w:tc>
          <w:tcPr>
            <w:tcW w:w="876" w:type="dxa"/>
            <w:tcBorders>
              <w:right w:val="single" w:sz="4" w:space="0" w:color="000000"/>
            </w:tcBorders>
          </w:tcPr>
          <w:p>
            <w:pPr>
              <w:pStyle w:val="TableParagraph"/>
              <w:spacing w:before="31"/>
              <w:ind w:right="99"/>
              <w:jc w:val="right"/>
              <w:rPr>
                <w:sz w:val="20"/>
              </w:rPr>
            </w:pPr>
            <w:r>
              <w:rPr>
                <w:spacing w:val="-5"/>
                <w:sz w:val="20"/>
              </w:rPr>
              <w:t>453</w:t>
            </w:r>
          </w:p>
        </w:tc>
      </w:tr>
      <w:tr>
        <w:trPr>
          <w:trHeight w:val="290" w:hRule="atLeast"/>
        </w:trPr>
        <w:tc>
          <w:tcPr>
            <w:tcW w:w="5520" w:type="dxa"/>
            <w:tcBorders>
              <w:left w:val="single" w:sz="4" w:space="0" w:color="000000"/>
            </w:tcBorders>
          </w:tcPr>
          <w:p>
            <w:pPr>
              <w:pStyle w:val="TableParagraph"/>
              <w:spacing w:line="228" w:lineRule="exact" w:before="42"/>
              <w:ind w:left="107"/>
              <w:rPr>
                <w:sz w:val="20"/>
              </w:rPr>
            </w:pPr>
            <w:r>
              <w:rPr>
                <w:sz w:val="20"/>
              </w:rPr>
              <w:t>People</w:t>
            </w:r>
            <w:r>
              <w:rPr>
                <w:spacing w:val="-7"/>
                <w:sz w:val="20"/>
              </w:rPr>
              <w:t> </w:t>
            </w:r>
            <w:r>
              <w:rPr>
                <w:sz w:val="20"/>
              </w:rPr>
              <w:t>and</w:t>
            </w:r>
            <w:r>
              <w:rPr>
                <w:spacing w:val="-6"/>
                <w:sz w:val="20"/>
              </w:rPr>
              <w:t> </w:t>
            </w:r>
            <w:r>
              <w:rPr>
                <w:spacing w:val="-2"/>
                <w:sz w:val="20"/>
              </w:rPr>
              <w:t>Places</w:t>
            </w:r>
          </w:p>
        </w:tc>
        <w:tc>
          <w:tcPr>
            <w:tcW w:w="1452" w:type="dxa"/>
            <w:shd w:val="clear" w:color="auto" w:fill="DFEBF4"/>
          </w:tcPr>
          <w:p>
            <w:pPr>
              <w:pStyle w:val="TableParagraph"/>
              <w:spacing w:before="11"/>
              <w:ind w:right="107"/>
              <w:jc w:val="right"/>
              <w:rPr>
                <w:b/>
                <w:sz w:val="20"/>
              </w:rPr>
            </w:pPr>
            <w:r>
              <w:rPr>
                <w:b/>
                <w:spacing w:val="-2"/>
                <w:sz w:val="20"/>
              </w:rPr>
              <w:t>18,070</w:t>
            </w:r>
          </w:p>
        </w:tc>
        <w:tc>
          <w:tcPr>
            <w:tcW w:w="1761" w:type="dxa"/>
          </w:tcPr>
          <w:p>
            <w:pPr>
              <w:pStyle w:val="TableParagraph"/>
              <w:spacing w:before="11"/>
              <w:ind w:right="414"/>
              <w:jc w:val="right"/>
              <w:rPr>
                <w:sz w:val="20"/>
              </w:rPr>
            </w:pPr>
            <w:r>
              <w:rPr>
                <w:spacing w:val="-2"/>
                <w:sz w:val="20"/>
              </w:rPr>
              <w:t>8,898</w:t>
            </w:r>
          </w:p>
        </w:tc>
        <w:tc>
          <w:tcPr>
            <w:tcW w:w="1163" w:type="dxa"/>
          </w:tcPr>
          <w:p>
            <w:pPr>
              <w:pStyle w:val="TableParagraph"/>
              <w:spacing w:before="11"/>
              <w:ind w:right="125"/>
              <w:jc w:val="right"/>
              <w:rPr>
                <w:sz w:val="20"/>
              </w:rPr>
            </w:pPr>
            <w:r>
              <w:rPr>
                <w:spacing w:val="-2"/>
                <w:sz w:val="20"/>
              </w:rPr>
              <w:t>7,081</w:t>
            </w:r>
          </w:p>
        </w:tc>
        <w:tc>
          <w:tcPr>
            <w:tcW w:w="876" w:type="dxa"/>
            <w:tcBorders>
              <w:right w:val="single" w:sz="4" w:space="0" w:color="000000"/>
            </w:tcBorders>
          </w:tcPr>
          <w:p>
            <w:pPr>
              <w:pStyle w:val="TableParagraph"/>
              <w:spacing w:before="11"/>
              <w:ind w:right="98"/>
              <w:jc w:val="right"/>
              <w:rPr>
                <w:sz w:val="20"/>
              </w:rPr>
            </w:pPr>
            <w:r>
              <w:rPr>
                <w:spacing w:val="-2"/>
                <w:sz w:val="20"/>
              </w:rPr>
              <w:t>2,092</w:t>
            </w:r>
          </w:p>
        </w:tc>
      </w:tr>
      <w:tr>
        <w:trPr>
          <w:trHeight w:val="290" w:hRule="atLeast"/>
        </w:trPr>
        <w:tc>
          <w:tcPr>
            <w:tcW w:w="5520" w:type="dxa"/>
            <w:tcBorders>
              <w:left w:val="single" w:sz="4" w:space="0" w:color="000000"/>
            </w:tcBorders>
          </w:tcPr>
          <w:p>
            <w:pPr>
              <w:pStyle w:val="TableParagraph"/>
              <w:spacing w:line="228" w:lineRule="exact" w:before="42"/>
              <w:ind w:left="107"/>
              <w:rPr>
                <w:sz w:val="20"/>
              </w:rPr>
            </w:pPr>
            <w:r>
              <w:rPr>
                <w:sz w:val="20"/>
              </w:rPr>
              <w:t>Assets</w:t>
            </w:r>
            <w:r>
              <w:rPr>
                <w:spacing w:val="-5"/>
                <w:sz w:val="20"/>
              </w:rPr>
              <w:t> </w:t>
            </w:r>
            <w:r>
              <w:rPr>
                <w:sz w:val="20"/>
              </w:rPr>
              <w:t>and</w:t>
            </w:r>
            <w:r>
              <w:rPr>
                <w:spacing w:val="-6"/>
                <w:sz w:val="20"/>
              </w:rPr>
              <w:t> </w:t>
            </w:r>
            <w:r>
              <w:rPr>
                <w:spacing w:val="-2"/>
                <w:sz w:val="20"/>
              </w:rPr>
              <w:t>Leisure</w:t>
            </w:r>
          </w:p>
        </w:tc>
        <w:tc>
          <w:tcPr>
            <w:tcW w:w="1452" w:type="dxa"/>
            <w:shd w:val="clear" w:color="auto" w:fill="DFEBF4"/>
          </w:tcPr>
          <w:p>
            <w:pPr>
              <w:pStyle w:val="TableParagraph"/>
              <w:spacing w:before="11"/>
              <w:ind w:right="107"/>
              <w:jc w:val="right"/>
              <w:rPr>
                <w:b/>
                <w:sz w:val="20"/>
              </w:rPr>
            </w:pPr>
            <w:r>
              <w:rPr>
                <w:b/>
                <w:spacing w:val="-2"/>
                <w:sz w:val="20"/>
              </w:rPr>
              <w:t>26,107</w:t>
            </w:r>
          </w:p>
        </w:tc>
        <w:tc>
          <w:tcPr>
            <w:tcW w:w="1761" w:type="dxa"/>
          </w:tcPr>
          <w:p>
            <w:pPr>
              <w:pStyle w:val="TableParagraph"/>
              <w:spacing w:before="11"/>
              <w:ind w:right="416"/>
              <w:jc w:val="right"/>
              <w:rPr>
                <w:sz w:val="20"/>
              </w:rPr>
            </w:pPr>
            <w:r>
              <w:rPr>
                <w:spacing w:val="-2"/>
                <w:sz w:val="20"/>
              </w:rPr>
              <w:t>16,194</w:t>
            </w:r>
          </w:p>
        </w:tc>
        <w:tc>
          <w:tcPr>
            <w:tcW w:w="1163" w:type="dxa"/>
          </w:tcPr>
          <w:p>
            <w:pPr>
              <w:pStyle w:val="TableParagraph"/>
              <w:spacing w:before="11"/>
              <w:ind w:right="125"/>
              <w:jc w:val="right"/>
              <w:rPr>
                <w:sz w:val="20"/>
              </w:rPr>
            </w:pPr>
            <w:r>
              <w:rPr>
                <w:spacing w:val="-2"/>
                <w:sz w:val="20"/>
              </w:rPr>
              <w:t>2,576</w:t>
            </w:r>
          </w:p>
        </w:tc>
        <w:tc>
          <w:tcPr>
            <w:tcW w:w="876" w:type="dxa"/>
            <w:tcBorders>
              <w:right w:val="single" w:sz="4" w:space="0" w:color="000000"/>
            </w:tcBorders>
          </w:tcPr>
          <w:p>
            <w:pPr>
              <w:pStyle w:val="TableParagraph"/>
              <w:spacing w:before="11"/>
              <w:ind w:right="98"/>
              <w:jc w:val="right"/>
              <w:rPr>
                <w:sz w:val="20"/>
              </w:rPr>
            </w:pPr>
            <w:r>
              <w:rPr>
                <w:spacing w:val="-2"/>
                <w:sz w:val="20"/>
              </w:rPr>
              <w:t>7,336</w:t>
            </w:r>
          </w:p>
        </w:tc>
      </w:tr>
      <w:tr>
        <w:trPr>
          <w:trHeight w:val="290" w:hRule="atLeast"/>
        </w:trPr>
        <w:tc>
          <w:tcPr>
            <w:tcW w:w="5520" w:type="dxa"/>
            <w:tcBorders>
              <w:left w:val="single" w:sz="4" w:space="0" w:color="000000"/>
            </w:tcBorders>
          </w:tcPr>
          <w:p>
            <w:pPr>
              <w:pStyle w:val="TableParagraph"/>
              <w:spacing w:line="228" w:lineRule="exact" w:before="42"/>
              <w:ind w:left="107"/>
              <w:rPr>
                <w:sz w:val="20"/>
              </w:rPr>
            </w:pPr>
            <w:r>
              <w:rPr>
                <w:sz w:val="20"/>
              </w:rPr>
              <w:t>Chief</w:t>
            </w:r>
            <w:r>
              <w:rPr>
                <w:spacing w:val="-9"/>
                <w:sz w:val="20"/>
              </w:rPr>
              <w:t> </w:t>
            </w:r>
            <w:r>
              <w:rPr>
                <w:sz w:val="20"/>
              </w:rPr>
              <w:t>Executive's</w:t>
            </w:r>
            <w:r>
              <w:rPr>
                <w:spacing w:val="-5"/>
                <w:sz w:val="20"/>
              </w:rPr>
              <w:t> </w:t>
            </w:r>
            <w:r>
              <w:rPr>
                <w:spacing w:val="-2"/>
                <w:sz w:val="20"/>
              </w:rPr>
              <w:t>Office</w:t>
            </w:r>
          </w:p>
        </w:tc>
        <w:tc>
          <w:tcPr>
            <w:tcW w:w="1452" w:type="dxa"/>
            <w:shd w:val="clear" w:color="auto" w:fill="DFEBF4"/>
          </w:tcPr>
          <w:p>
            <w:pPr>
              <w:pStyle w:val="TableParagraph"/>
              <w:spacing w:before="11"/>
              <w:ind w:right="105"/>
              <w:jc w:val="right"/>
              <w:rPr>
                <w:b/>
                <w:sz w:val="20"/>
              </w:rPr>
            </w:pPr>
            <w:r>
              <w:rPr>
                <w:b/>
                <w:spacing w:val="-2"/>
                <w:sz w:val="20"/>
              </w:rPr>
              <w:t>1,093</w:t>
            </w:r>
          </w:p>
        </w:tc>
        <w:tc>
          <w:tcPr>
            <w:tcW w:w="1761" w:type="dxa"/>
          </w:tcPr>
          <w:p>
            <w:pPr>
              <w:pStyle w:val="TableParagraph"/>
              <w:spacing w:before="11"/>
              <w:ind w:right="414"/>
              <w:jc w:val="right"/>
              <w:rPr>
                <w:sz w:val="20"/>
              </w:rPr>
            </w:pPr>
            <w:r>
              <w:rPr>
                <w:spacing w:val="-2"/>
                <w:sz w:val="20"/>
              </w:rPr>
              <w:t>1,073</w:t>
            </w:r>
          </w:p>
        </w:tc>
        <w:tc>
          <w:tcPr>
            <w:tcW w:w="1163" w:type="dxa"/>
          </w:tcPr>
          <w:p>
            <w:pPr>
              <w:pStyle w:val="TableParagraph"/>
              <w:spacing w:before="11"/>
              <w:ind w:right="126"/>
              <w:jc w:val="right"/>
              <w:rPr>
                <w:sz w:val="20"/>
              </w:rPr>
            </w:pPr>
            <w:r>
              <w:rPr>
                <w:spacing w:val="-5"/>
                <w:sz w:val="20"/>
              </w:rPr>
              <w:t>20</w:t>
            </w:r>
          </w:p>
        </w:tc>
        <w:tc>
          <w:tcPr>
            <w:tcW w:w="876" w:type="dxa"/>
            <w:tcBorders>
              <w:right w:val="single" w:sz="4" w:space="0" w:color="000000"/>
            </w:tcBorders>
          </w:tcPr>
          <w:p>
            <w:pPr>
              <w:pStyle w:val="TableParagraph"/>
              <w:spacing w:before="11"/>
              <w:ind w:right="96"/>
              <w:jc w:val="right"/>
              <w:rPr>
                <w:sz w:val="20"/>
              </w:rPr>
            </w:pPr>
            <w:r>
              <w:rPr>
                <w:w w:val="99"/>
                <w:sz w:val="20"/>
              </w:rPr>
              <w:t>0</w:t>
            </w:r>
          </w:p>
        </w:tc>
      </w:tr>
      <w:tr>
        <w:trPr>
          <w:trHeight w:val="270" w:hRule="atLeast"/>
        </w:trPr>
        <w:tc>
          <w:tcPr>
            <w:tcW w:w="5520" w:type="dxa"/>
            <w:tcBorders>
              <w:left w:val="single" w:sz="4" w:space="0" w:color="000000"/>
            </w:tcBorders>
          </w:tcPr>
          <w:p>
            <w:pPr>
              <w:pStyle w:val="TableParagraph"/>
              <w:spacing w:line="211" w:lineRule="exact" w:before="40"/>
              <w:ind w:left="107"/>
              <w:rPr>
                <w:sz w:val="20"/>
              </w:rPr>
            </w:pPr>
            <w:r>
              <w:rPr>
                <w:sz w:val="20"/>
              </w:rPr>
              <w:t>Chief</w:t>
            </w:r>
            <w:r>
              <w:rPr>
                <w:spacing w:val="-9"/>
                <w:sz w:val="20"/>
              </w:rPr>
              <w:t> </w:t>
            </w:r>
            <w:r>
              <w:rPr>
                <w:sz w:val="20"/>
              </w:rPr>
              <w:t>Financial</w:t>
            </w:r>
            <w:r>
              <w:rPr>
                <w:spacing w:val="-9"/>
                <w:sz w:val="20"/>
              </w:rPr>
              <w:t> </w:t>
            </w:r>
            <w:r>
              <w:rPr>
                <w:spacing w:val="-2"/>
                <w:sz w:val="20"/>
              </w:rPr>
              <w:t>Office</w:t>
            </w:r>
          </w:p>
        </w:tc>
        <w:tc>
          <w:tcPr>
            <w:tcW w:w="1452" w:type="dxa"/>
            <w:tcBorders>
              <w:bottom w:val="single" w:sz="4" w:space="0" w:color="000000"/>
            </w:tcBorders>
            <w:shd w:val="clear" w:color="auto" w:fill="DFEBF4"/>
          </w:tcPr>
          <w:p>
            <w:pPr>
              <w:pStyle w:val="TableParagraph"/>
              <w:spacing w:before="11"/>
              <w:ind w:right="105"/>
              <w:jc w:val="right"/>
              <w:rPr>
                <w:b/>
                <w:sz w:val="20"/>
              </w:rPr>
            </w:pPr>
            <w:r>
              <w:rPr>
                <w:b/>
                <w:spacing w:val="-2"/>
                <w:sz w:val="20"/>
              </w:rPr>
              <w:t>9,502</w:t>
            </w:r>
          </w:p>
        </w:tc>
        <w:tc>
          <w:tcPr>
            <w:tcW w:w="1761" w:type="dxa"/>
            <w:tcBorders>
              <w:bottom w:val="single" w:sz="4" w:space="0" w:color="000000"/>
            </w:tcBorders>
          </w:tcPr>
          <w:p>
            <w:pPr>
              <w:pStyle w:val="TableParagraph"/>
              <w:spacing w:before="11"/>
              <w:ind w:right="414"/>
              <w:jc w:val="right"/>
              <w:rPr>
                <w:sz w:val="20"/>
              </w:rPr>
            </w:pPr>
            <w:r>
              <w:rPr>
                <w:spacing w:val="-2"/>
                <w:sz w:val="20"/>
              </w:rPr>
              <w:t>8,351</w:t>
            </w:r>
          </w:p>
        </w:tc>
        <w:tc>
          <w:tcPr>
            <w:tcW w:w="1163" w:type="dxa"/>
            <w:tcBorders>
              <w:bottom w:val="single" w:sz="4" w:space="0" w:color="000000"/>
            </w:tcBorders>
          </w:tcPr>
          <w:p>
            <w:pPr>
              <w:pStyle w:val="TableParagraph"/>
              <w:spacing w:before="11"/>
              <w:ind w:right="125"/>
              <w:jc w:val="right"/>
              <w:rPr>
                <w:sz w:val="20"/>
              </w:rPr>
            </w:pPr>
            <w:r>
              <w:rPr>
                <w:spacing w:val="-2"/>
                <w:sz w:val="20"/>
              </w:rPr>
              <w:t>1,121</w:t>
            </w:r>
          </w:p>
        </w:tc>
        <w:tc>
          <w:tcPr>
            <w:tcW w:w="876" w:type="dxa"/>
            <w:tcBorders>
              <w:bottom w:val="single" w:sz="4" w:space="0" w:color="000000"/>
              <w:right w:val="single" w:sz="4" w:space="0" w:color="000000"/>
            </w:tcBorders>
          </w:tcPr>
          <w:p>
            <w:pPr>
              <w:pStyle w:val="TableParagraph"/>
              <w:spacing w:before="11"/>
              <w:ind w:right="99"/>
              <w:jc w:val="right"/>
              <w:rPr>
                <w:sz w:val="20"/>
              </w:rPr>
            </w:pPr>
            <w:r>
              <w:rPr>
                <w:spacing w:val="-5"/>
                <w:sz w:val="20"/>
              </w:rPr>
              <w:t>30</w:t>
            </w:r>
          </w:p>
        </w:tc>
      </w:tr>
      <w:tr>
        <w:trPr>
          <w:trHeight w:val="308" w:hRule="atLeast"/>
        </w:trPr>
        <w:tc>
          <w:tcPr>
            <w:tcW w:w="5520" w:type="dxa"/>
            <w:tcBorders>
              <w:left w:val="single" w:sz="4" w:space="0" w:color="000000"/>
            </w:tcBorders>
          </w:tcPr>
          <w:p>
            <w:pPr>
              <w:pStyle w:val="TableParagraph"/>
              <w:spacing w:line="229" w:lineRule="exact" w:before="59"/>
              <w:ind w:left="107"/>
              <w:rPr>
                <w:sz w:val="20"/>
              </w:rPr>
            </w:pPr>
            <w:r>
              <w:rPr>
                <w:sz w:val="20"/>
              </w:rPr>
              <w:t>Total</w:t>
            </w:r>
            <w:r>
              <w:rPr>
                <w:spacing w:val="-7"/>
                <w:sz w:val="20"/>
              </w:rPr>
              <w:t> </w:t>
            </w:r>
            <w:r>
              <w:rPr>
                <w:sz w:val="20"/>
              </w:rPr>
              <w:t>permanent</w:t>
            </w:r>
            <w:r>
              <w:rPr>
                <w:spacing w:val="-7"/>
                <w:sz w:val="20"/>
              </w:rPr>
              <w:t> </w:t>
            </w:r>
            <w:r>
              <w:rPr>
                <w:sz w:val="20"/>
              </w:rPr>
              <w:t>staff</w:t>
            </w:r>
            <w:r>
              <w:rPr>
                <w:spacing w:val="-4"/>
                <w:sz w:val="20"/>
              </w:rPr>
              <w:t> </w:t>
            </w:r>
            <w:r>
              <w:rPr>
                <w:spacing w:val="-2"/>
                <w:sz w:val="20"/>
              </w:rPr>
              <w:t>expenditure</w:t>
            </w:r>
          </w:p>
        </w:tc>
        <w:tc>
          <w:tcPr>
            <w:tcW w:w="1452" w:type="dxa"/>
            <w:tcBorders>
              <w:top w:val="single" w:sz="4" w:space="0" w:color="000000"/>
            </w:tcBorders>
            <w:shd w:val="clear" w:color="auto" w:fill="DFEBF4"/>
          </w:tcPr>
          <w:p>
            <w:pPr>
              <w:pStyle w:val="TableParagraph"/>
              <w:spacing w:before="30"/>
              <w:ind w:right="107"/>
              <w:jc w:val="right"/>
              <w:rPr>
                <w:b/>
                <w:sz w:val="20"/>
              </w:rPr>
            </w:pPr>
            <w:r>
              <w:rPr>
                <w:b/>
                <w:spacing w:val="-2"/>
                <w:sz w:val="20"/>
              </w:rPr>
              <w:t>69,603</w:t>
            </w:r>
          </w:p>
        </w:tc>
        <w:tc>
          <w:tcPr>
            <w:tcW w:w="1761" w:type="dxa"/>
            <w:tcBorders>
              <w:top w:val="single" w:sz="4" w:space="0" w:color="000000"/>
            </w:tcBorders>
          </w:tcPr>
          <w:p>
            <w:pPr>
              <w:pStyle w:val="TableParagraph"/>
              <w:spacing w:before="30"/>
              <w:ind w:right="416"/>
              <w:jc w:val="right"/>
              <w:rPr>
                <w:sz w:val="20"/>
              </w:rPr>
            </w:pPr>
            <w:r>
              <w:rPr>
                <w:spacing w:val="-2"/>
                <w:sz w:val="20"/>
              </w:rPr>
              <w:t>45,196</w:t>
            </w:r>
          </w:p>
        </w:tc>
        <w:tc>
          <w:tcPr>
            <w:tcW w:w="1163" w:type="dxa"/>
            <w:tcBorders>
              <w:top w:val="single" w:sz="4" w:space="0" w:color="000000"/>
            </w:tcBorders>
          </w:tcPr>
          <w:p>
            <w:pPr>
              <w:pStyle w:val="TableParagraph"/>
              <w:spacing w:before="30"/>
              <w:ind w:right="127"/>
              <w:jc w:val="right"/>
              <w:rPr>
                <w:sz w:val="20"/>
              </w:rPr>
            </w:pPr>
            <w:r>
              <w:rPr>
                <w:spacing w:val="-2"/>
                <w:sz w:val="20"/>
              </w:rPr>
              <w:t>14,496</w:t>
            </w:r>
          </w:p>
        </w:tc>
        <w:tc>
          <w:tcPr>
            <w:tcW w:w="876" w:type="dxa"/>
            <w:tcBorders>
              <w:top w:val="single" w:sz="4" w:space="0" w:color="000000"/>
              <w:right w:val="single" w:sz="4" w:space="0" w:color="000000"/>
            </w:tcBorders>
          </w:tcPr>
          <w:p>
            <w:pPr>
              <w:pStyle w:val="TableParagraph"/>
              <w:spacing w:before="30"/>
              <w:ind w:right="98"/>
              <w:jc w:val="right"/>
              <w:rPr>
                <w:sz w:val="20"/>
              </w:rPr>
            </w:pPr>
            <w:r>
              <w:rPr>
                <w:spacing w:val="-2"/>
                <w:sz w:val="20"/>
              </w:rPr>
              <w:t>9,911</w:t>
            </w:r>
          </w:p>
        </w:tc>
      </w:tr>
      <w:tr>
        <w:trPr>
          <w:trHeight w:val="294" w:hRule="atLeast"/>
        </w:trPr>
        <w:tc>
          <w:tcPr>
            <w:tcW w:w="5520" w:type="dxa"/>
            <w:tcBorders>
              <w:left w:val="single" w:sz="4" w:space="0" w:color="000000"/>
            </w:tcBorders>
          </w:tcPr>
          <w:p>
            <w:pPr>
              <w:pStyle w:val="TableParagraph"/>
              <w:spacing w:before="41"/>
              <w:ind w:left="107"/>
              <w:rPr>
                <w:sz w:val="20"/>
              </w:rPr>
            </w:pPr>
            <w:r>
              <w:rPr>
                <w:sz w:val="20"/>
              </w:rPr>
              <w:t>Other</w:t>
            </w:r>
            <w:r>
              <w:rPr>
                <w:spacing w:val="-7"/>
                <w:sz w:val="20"/>
              </w:rPr>
              <w:t> </w:t>
            </w:r>
            <w:r>
              <w:rPr>
                <w:sz w:val="20"/>
              </w:rPr>
              <w:t>Employee</w:t>
            </w:r>
            <w:r>
              <w:rPr>
                <w:spacing w:val="-5"/>
                <w:sz w:val="20"/>
              </w:rPr>
              <w:t> </w:t>
            </w:r>
            <w:r>
              <w:rPr>
                <w:sz w:val="20"/>
              </w:rPr>
              <w:t>Related</w:t>
            </w:r>
            <w:r>
              <w:rPr>
                <w:spacing w:val="-9"/>
                <w:sz w:val="20"/>
              </w:rPr>
              <w:t> </w:t>
            </w:r>
            <w:r>
              <w:rPr>
                <w:spacing w:val="-2"/>
                <w:sz w:val="20"/>
              </w:rPr>
              <w:t>Expenditure*</w:t>
            </w:r>
          </w:p>
        </w:tc>
        <w:tc>
          <w:tcPr>
            <w:tcW w:w="1452" w:type="dxa"/>
            <w:shd w:val="clear" w:color="auto" w:fill="DFEBF4"/>
          </w:tcPr>
          <w:p>
            <w:pPr>
              <w:pStyle w:val="TableParagraph"/>
              <w:spacing w:before="12"/>
              <w:ind w:right="105"/>
              <w:jc w:val="right"/>
              <w:rPr>
                <w:b/>
                <w:sz w:val="20"/>
              </w:rPr>
            </w:pPr>
            <w:r>
              <w:rPr>
                <w:b/>
                <w:spacing w:val="-2"/>
                <w:sz w:val="20"/>
              </w:rPr>
              <w:t>1,328</w:t>
            </w:r>
          </w:p>
        </w:tc>
        <w:tc>
          <w:tcPr>
            <w:tcW w:w="1761" w:type="dxa"/>
          </w:tcPr>
          <w:p>
            <w:pPr>
              <w:pStyle w:val="TableParagraph"/>
              <w:rPr>
                <w:rFonts w:ascii="Times New Roman"/>
                <w:sz w:val="18"/>
              </w:rPr>
            </w:pPr>
          </w:p>
        </w:tc>
        <w:tc>
          <w:tcPr>
            <w:tcW w:w="1163" w:type="dxa"/>
          </w:tcPr>
          <w:p>
            <w:pPr>
              <w:pStyle w:val="TableParagraph"/>
              <w:rPr>
                <w:rFonts w:ascii="Times New Roman"/>
                <w:sz w:val="18"/>
              </w:rPr>
            </w:pPr>
          </w:p>
        </w:tc>
        <w:tc>
          <w:tcPr>
            <w:tcW w:w="876" w:type="dxa"/>
            <w:tcBorders>
              <w:right w:val="single" w:sz="4" w:space="0" w:color="000000"/>
            </w:tcBorders>
          </w:tcPr>
          <w:p>
            <w:pPr>
              <w:pStyle w:val="TableParagraph"/>
              <w:rPr>
                <w:rFonts w:ascii="Times New Roman"/>
                <w:sz w:val="18"/>
              </w:rPr>
            </w:pPr>
          </w:p>
        </w:tc>
      </w:tr>
      <w:tr>
        <w:trPr>
          <w:trHeight w:val="282" w:hRule="atLeast"/>
        </w:trPr>
        <w:tc>
          <w:tcPr>
            <w:tcW w:w="5520" w:type="dxa"/>
            <w:tcBorders>
              <w:left w:val="single" w:sz="4" w:space="0" w:color="000000"/>
              <w:bottom w:val="single" w:sz="8" w:space="0" w:color="000000"/>
            </w:tcBorders>
          </w:tcPr>
          <w:p>
            <w:pPr>
              <w:pStyle w:val="TableParagraph"/>
              <w:spacing w:line="210" w:lineRule="exact" w:before="52"/>
              <w:ind w:left="107"/>
              <w:rPr>
                <w:sz w:val="20"/>
              </w:rPr>
            </w:pPr>
            <w:r>
              <w:rPr>
                <w:sz w:val="20"/>
              </w:rPr>
              <w:t>Capitalised</w:t>
            </w:r>
            <w:r>
              <w:rPr>
                <w:spacing w:val="-9"/>
                <w:sz w:val="20"/>
              </w:rPr>
              <w:t> </w:t>
            </w:r>
            <w:r>
              <w:rPr>
                <w:sz w:val="20"/>
              </w:rPr>
              <w:t>labour</w:t>
            </w:r>
            <w:r>
              <w:rPr>
                <w:spacing w:val="-7"/>
                <w:sz w:val="20"/>
              </w:rPr>
              <w:t> </w:t>
            </w:r>
            <w:r>
              <w:rPr>
                <w:spacing w:val="-2"/>
                <w:sz w:val="20"/>
              </w:rPr>
              <w:t>costs</w:t>
            </w:r>
          </w:p>
        </w:tc>
        <w:tc>
          <w:tcPr>
            <w:tcW w:w="1452" w:type="dxa"/>
            <w:tcBorders>
              <w:bottom w:val="single" w:sz="8" w:space="0" w:color="000000"/>
            </w:tcBorders>
            <w:shd w:val="clear" w:color="auto" w:fill="DFEBF4"/>
          </w:tcPr>
          <w:p>
            <w:pPr>
              <w:pStyle w:val="TableParagraph"/>
              <w:spacing w:before="16"/>
              <w:ind w:right="105"/>
              <w:jc w:val="right"/>
              <w:rPr>
                <w:b/>
                <w:sz w:val="20"/>
              </w:rPr>
            </w:pPr>
            <w:r>
              <w:rPr>
                <w:b/>
                <w:spacing w:val="-2"/>
                <w:sz w:val="20"/>
              </w:rPr>
              <w:t>1,929</w:t>
            </w:r>
          </w:p>
        </w:tc>
        <w:tc>
          <w:tcPr>
            <w:tcW w:w="1761" w:type="dxa"/>
          </w:tcPr>
          <w:p>
            <w:pPr>
              <w:pStyle w:val="TableParagraph"/>
              <w:rPr>
                <w:rFonts w:ascii="Times New Roman"/>
                <w:sz w:val="18"/>
              </w:rPr>
            </w:pPr>
          </w:p>
        </w:tc>
        <w:tc>
          <w:tcPr>
            <w:tcW w:w="1163" w:type="dxa"/>
          </w:tcPr>
          <w:p>
            <w:pPr>
              <w:pStyle w:val="TableParagraph"/>
              <w:rPr>
                <w:rFonts w:ascii="Times New Roman"/>
                <w:sz w:val="18"/>
              </w:rPr>
            </w:pPr>
          </w:p>
        </w:tc>
        <w:tc>
          <w:tcPr>
            <w:tcW w:w="876" w:type="dxa"/>
            <w:tcBorders>
              <w:right w:val="single" w:sz="4" w:space="0" w:color="000000"/>
            </w:tcBorders>
          </w:tcPr>
          <w:p>
            <w:pPr>
              <w:pStyle w:val="TableParagraph"/>
              <w:rPr>
                <w:rFonts w:ascii="Times New Roman"/>
                <w:sz w:val="18"/>
              </w:rPr>
            </w:pPr>
          </w:p>
        </w:tc>
      </w:tr>
      <w:tr>
        <w:trPr>
          <w:trHeight w:val="306" w:hRule="atLeast"/>
        </w:trPr>
        <w:tc>
          <w:tcPr>
            <w:tcW w:w="5520" w:type="dxa"/>
            <w:tcBorders>
              <w:top w:val="single" w:sz="8" w:space="0" w:color="000000"/>
              <w:left w:val="single" w:sz="4" w:space="0" w:color="000000"/>
              <w:bottom w:val="single" w:sz="4" w:space="0" w:color="000000"/>
            </w:tcBorders>
          </w:tcPr>
          <w:p>
            <w:pPr>
              <w:pStyle w:val="TableParagraph"/>
              <w:spacing w:line="211" w:lineRule="exact" w:before="76"/>
              <w:ind w:left="107"/>
              <w:rPr>
                <w:b/>
                <w:sz w:val="20"/>
              </w:rPr>
            </w:pPr>
            <w:r>
              <w:rPr>
                <w:b/>
                <w:sz w:val="20"/>
              </w:rPr>
              <w:t>Total</w:t>
            </w:r>
            <w:r>
              <w:rPr>
                <w:b/>
                <w:spacing w:val="-6"/>
                <w:sz w:val="20"/>
              </w:rPr>
              <w:t> </w:t>
            </w:r>
            <w:r>
              <w:rPr>
                <w:b/>
                <w:spacing w:val="-2"/>
                <w:sz w:val="20"/>
              </w:rPr>
              <w:t>expenditure</w:t>
            </w:r>
          </w:p>
        </w:tc>
        <w:tc>
          <w:tcPr>
            <w:tcW w:w="1452" w:type="dxa"/>
            <w:tcBorders>
              <w:top w:val="single" w:sz="8" w:space="0" w:color="000000"/>
              <w:bottom w:val="single" w:sz="4" w:space="0" w:color="000000"/>
            </w:tcBorders>
            <w:shd w:val="clear" w:color="auto" w:fill="DFEBF4"/>
          </w:tcPr>
          <w:p>
            <w:pPr>
              <w:pStyle w:val="TableParagraph"/>
              <w:spacing w:before="37"/>
              <w:ind w:right="107"/>
              <w:jc w:val="right"/>
              <w:rPr>
                <w:b/>
                <w:sz w:val="20"/>
              </w:rPr>
            </w:pPr>
            <w:r>
              <w:rPr>
                <w:b/>
                <w:spacing w:val="-2"/>
                <w:sz w:val="20"/>
              </w:rPr>
              <w:t>72,860</w:t>
            </w:r>
          </w:p>
        </w:tc>
        <w:tc>
          <w:tcPr>
            <w:tcW w:w="1761" w:type="dxa"/>
            <w:tcBorders>
              <w:bottom w:val="single" w:sz="4" w:space="0" w:color="000000"/>
            </w:tcBorders>
          </w:tcPr>
          <w:p>
            <w:pPr>
              <w:pStyle w:val="TableParagraph"/>
              <w:rPr>
                <w:rFonts w:ascii="Times New Roman"/>
                <w:sz w:val="18"/>
              </w:rPr>
            </w:pPr>
          </w:p>
        </w:tc>
        <w:tc>
          <w:tcPr>
            <w:tcW w:w="1163" w:type="dxa"/>
            <w:tcBorders>
              <w:bottom w:val="single" w:sz="4" w:space="0" w:color="000000"/>
            </w:tcBorders>
          </w:tcPr>
          <w:p>
            <w:pPr>
              <w:pStyle w:val="TableParagraph"/>
              <w:rPr>
                <w:rFonts w:ascii="Times New Roman"/>
                <w:sz w:val="18"/>
              </w:rPr>
            </w:pPr>
          </w:p>
        </w:tc>
        <w:tc>
          <w:tcPr>
            <w:tcW w:w="876" w:type="dxa"/>
            <w:tcBorders>
              <w:bottom w:val="single" w:sz="4" w:space="0" w:color="000000"/>
              <w:right w:val="single" w:sz="4" w:space="0" w:color="000000"/>
            </w:tcBorders>
          </w:tcPr>
          <w:p>
            <w:pPr>
              <w:pStyle w:val="TableParagraph"/>
              <w:rPr>
                <w:rFonts w:ascii="Times New Roman"/>
                <w:sz w:val="18"/>
              </w:rPr>
            </w:pPr>
          </w:p>
        </w:tc>
      </w:tr>
    </w:tbl>
    <w:p>
      <w:pPr>
        <w:spacing w:before="2"/>
        <w:ind w:left="391" w:right="0" w:firstLine="0"/>
        <w:jc w:val="left"/>
        <w:rPr>
          <w:sz w:val="18"/>
        </w:rPr>
      </w:pPr>
      <w:r>
        <w:rPr>
          <w:sz w:val="18"/>
        </w:rPr>
        <w:t>*Seasonal</w:t>
      </w:r>
      <w:r>
        <w:rPr>
          <w:spacing w:val="-1"/>
          <w:sz w:val="18"/>
        </w:rPr>
        <w:t> </w:t>
      </w:r>
      <w:r>
        <w:rPr>
          <w:sz w:val="18"/>
        </w:rPr>
        <w:t>employees,</w:t>
      </w:r>
      <w:r>
        <w:rPr>
          <w:spacing w:val="-2"/>
          <w:sz w:val="18"/>
        </w:rPr>
        <w:t> </w:t>
      </w:r>
      <w:r>
        <w:rPr>
          <w:sz w:val="18"/>
        </w:rPr>
        <w:t>other</w:t>
      </w:r>
      <w:r>
        <w:rPr>
          <w:spacing w:val="-2"/>
          <w:sz w:val="18"/>
        </w:rPr>
        <w:t> </w:t>
      </w:r>
      <w:r>
        <w:rPr>
          <w:sz w:val="18"/>
        </w:rPr>
        <w:t>expenditure relates</w:t>
      </w:r>
      <w:r>
        <w:rPr>
          <w:spacing w:val="-1"/>
          <w:sz w:val="18"/>
        </w:rPr>
        <w:t> </w:t>
      </w:r>
      <w:r>
        <w:rPr>
          <w:sz w:val="18"/>
        </w:rPr>
        <w:t>to</w:t>
      </w:r>
      <w:r>
        <w:rPr>
          <w:spacing w:val="-4"/>
          <w:sz w:val="18"/>
        </w:rPr>
        <w:t> </w:t>
      </w:r>
      <w:r>
        <w:rPr>
          <w:sz w:val="18"/>
        </w:rPr>
        <w:t>Overtime,</w:t>
      </w:r>
      <w:r>
        <w:rPr>
          <w:spacing w:val="-2"/>
          <w:sz w:val="18"/>
        </w:rPr>
        <w:t> </w:t>
      </w:r>
      <w:r>
        <w:rPr>
          <w:sz w:val="18"/>
        </w:rPr>
        <w:t>Travel</w:t>
      </w:r>
      <w:r>
        <w:rPr>
          <w:spacing w:val="-1"/>
          <w:sz w:val="18"/>
        </w:rPr>
        <w:t> </w:t>
      </w:r>
      <w:r>
        <w:rPr>
          <w:sz w:val="18"/>
        </w:rPr>
        <w:t>Allowance,</w:t>
      </w:r>
      <w:r>
        <w:rPr>
          <w:spacing w:val="-4"/>
          <w:sz w:val="18"/>
        </w:rPr>
        <w:t> </w:t>
      </w:r>
      <w:r>
        <w:rPr>
          <w:sz w:val="18"/>
        </w:rPr>
        <w:t>Performance</w:t>
      </w:r>
      <w:r>
        <w:rPr>
          <w:spacing w:val="-2"/>
          <w:sz w:val="18"/>
        </w:rPr>
        <w:t> </w:t>
      </w:r>
      <w:r>
        <w:rPr>
          <w:sz w:val="18"/>
        </w:rPr>
        <w:t>Recognition, Training</w:t>
      </w:r>
      <w:r>
        <w:rPr>
          <w:spacing w:val="-3"/>
          <w:sz w:val="18"/>
        </w:rPr>
        <w:t> </w:t>
      </w:r>
      <w:r>
        <w:rPr>
          <w:spacing w:val="-4"/>
          <w:sz w:val="18"/>
        </w:rPr>
        <w:t>etc.</w:t>
      </w:r>
    </w:p>
    <w:p>
      <w:pPr>
        <w:pStyle w:val="BodyText"/>
        <w:rPr>
          <w:sz w:val="18"/>
        </w:rPr>
      </w:pPr>
    </w:p>
    <w:p>
      <w:pPr>
        <w:pStyle w:val="BodyText"/>
        <w:ind w:left="391" w:right="376"/>
      </w:pPr>
      <w:r>
        <w:rPr/>
        <w:t>A</w:t>
      </w:r>
      <w:r>
        <w:rPr>
          <w:spacing w:val="-16"/>
        </w:rPr>
        <w:t> </w:t>
      </w:r>
      <w:r>
        <w:rPr/>
        <w:t>summary</w:t>
      </w:r>
      <w:r>
        <w:rPr>
          <w:spacing w:val="-15"/>
        </w:rPr>
        <w:t> </w:t>
      </w:r>
      <w:r>
        <w:rPr/>
        <w:t>of</w:t>
      </w:r>
      <w:r>
        <w:rPr>
          <w:spacing w:val="-15"/>
        </w:rPr>
        <w:t> </w:t>
      </w:r>
      <w:r>
        <w:rPr/>
        <w:t>the</w:t>
      </w:r>
      <w:r>
        <w:rPr>
          <w:spacing w:val="-15"/>
        </w:rPr>
        <w:t> </w:t>
      </w:r>
      <w:r>
        <w:rPr/>
        <w:t>number</w:t>
      </w:r>
      <w:r>
        <w:rPr>
          <w:spacing w:val="-11"/>
        </w:rPr>
        <w:t> </w:t>
      </w:r>
      <w:r>
        <w:rPr/>
        <w:t>of</w:t>
      </w:r>
      <w:r>
        <w:rPr>
          <w:spacing w:val="-15"/>
        </w:rPr>
        <w:t> </w:t>
      </w:r>
      <w:r>
        <w:rPr/>
        <w:t>full</w:t>
      </w:r>
      <w:r>
        <w:rPr>
          <w:spacing w:val="-16"/>
        </w:rPr>
        <w:t> </w:t>
      </w:r>
      <w:r>
        <w:rPr/>
        <w:t>time</w:t>
      </w:r>
      <w:r>
        <w:rPr>
          <w:spacing w:val="-13"/>
        </w:rPr>
        <w:t> </w:t>
      </w:r>
      <w:r>
        <w:rPr/>
        <w:t>equivalent</w:t>
      </w:r>
      <w:r>
        <w:rPr>
          <w:spacing w:val="-16"/>
        </w:rPr>
        <w:t> </w:t>
      </w:r>
      <w:r>
        <w:rPr/>
        <w:t>(FTE)</w:t>
      </w:r>
      <w:r>
        <w:rPr>
          <w:spacing w:val="-11"/>
        </w:rPr>
        <w:t> </w:t>
      </w:r>
      <w:r>
        <w:rPr/>
        <w:t>Council</w:t>
      </w:r>
      <w:r>
        <w:rPr>
          <w:spacing w:val="-16"/>
        </w:rPr>
        <w:t> </w:t>
      </w:r>
      <w:r>
        <w:rPr/>
        <w:t>employees</w:t>
      </w:r>
      <w:r>
        <w:rPr>
          <w:spacing w:val="-13"/>
        </w:rPr>
        <w:t> </w:t>
      </w:r>
      <w:r>
        <w:rPr/>
        <w:t>in</w:t>
      </w:r>
      <w:r>
        <w:rPr>
          <w:spacing w:val="-14"/>
        </w:rPr>
        <w:t> </w:t>
      </w:r>
      <w:r>
        <w:rPr/>
        <w:t>relation</w:t>
      </w:r>
      <w:r>
        <w:rPr>
          <w:spacing w:val="-14"/>
        </w:rPr>
        <w:t> </w:t>
      </w:r>
      <w:r>
        <w:rPr/>
        <w:t>to</w:t>
      </w:r>
      <w:r>
        <w:rPr>
          <w:spacing w:val="-17"/>
        </w:rPr>
        <w:t> </w:t>
      </w:r>
      <w:r>
        <w:rPr/>
        <w:t>the</w:t>
      </w:r>
      <w:r>
        <w:rPr>
          <w:spacing w:val="-13"/>
        </w:rPr>
        <w:t> </w:t>
      </w:r>
      <w:r>
        <w:rPr/>
        <w:t>above</w:t>
      </w:r>
      <w:r>
        <w:rPr>
          <w:spacing w:val="-16"/>
        </w:rPr>
        <w:t> </w:t>
      </w:r>
      <w:r>
        <w:rPr/>
        <w:t>expenditure is included below:</w:t>
      </w: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32"/>
        <w:gridCol w:w="1454"/>
        <w:gridCol w:w="1821"/>
        <w:gridCol w:w="1218"/>
        <w:gridCol w:w="740"/>
      </w:tblGrid>
      <w:tr>
        <w:trPr>
          <w:trHeight w:val="825" w:hRule="atLeast"/>
        </w:trPr>
        <w:tc>
          <w:tcPr>
            <w:tcW w:w="10765" w:type="dxa"/>
            <w:gridSpan w:val="5"/>
            <w:tcBorders>
              <w:top w:val="single" w:sz="4" w:space="0" w:color="000000"/>
              <w:left w:val="single" w:sz="4" w:space="0" w:color="000000"/>
              <w:right w:val="single" w:sz="4" w:space="0" w:color="000000"/>
            </w:tcBorders>
            <w:shd w:val="clear" w:color="auto" w:fill="5B9AD4"/>
          </w:tcPr>
          <w:p>
            <w:pPr>
              <w:pStyle w:val="TableParagraph"/>
              <w:spacing w:before="45"/>
              <w:ind w:left="8359"/>
              <w:rPr>
                <w:b/>
                <w:sz w:val="20"/>
              </w:rPr>
            </w:pPr>
            <w:r>
              <w:rPr>
                <w:b/>
                <w:color w:val="FFFFFF"/>
                <w:spacing w:val="-2"/>
                <w:sz w:val="20"/>
              </w:rPr>
              <w:t>Comprises</w:t>
            </w:r>
          </w:p>
          <w:p>
            <w:pPr>
              <w:pStyle w:val="TableParagraph"/>
              <w:tabs>
                <w:tab w:pos="7922" w:val="left" w:leader="none"/>
              </w:tabs>
              <w:spacing w:before="46"/>
              <w:ind w:left="5913"/>
              <w:rPr>
                <w:b/>
                <w:sz w:val="20"/>
              </w:rPr>
            </w:pPr>
            <w:r>
              <w:rPr>
                <w:b/>
                <w:color w:val="FFFFFF"/>
                <w:spacing w:val="-2"/>
                <w:sz w:val="20"/>
              </w:rPr>
              <w:t>Budget</w:t>
            </w:r>
            <w:r>
              <w:rPr>
                <w:b/>
                <w:color w:val="FFFFFF"/>
                <w:sz w:val="20"/>
              </w:rPr>
              <w:tab/>
            </w:r>
            <w:r>
              <w:rPr>
                <w:b/>
                <w:color w:val="FFFFFF"/>
                <w:spacing w:val="-2"/>
                <w:sz w:val="20"/>
              </w:rPr>
              <w:t>Permanent</w:t>
            </w:r>
          </w:p>
          <w:p>
            <w:pPr>
              <w:pStyle w:val="TableParagraph"/>
              <w:tabs>
                <w:tab w:pos="7317" w:val="left" w:leader="none"/>
                <w:tab w:pos="8754" w:val="left" w:leader="none"/>
                <w:tab w:pos="10034" w:val="left" w:leader="none"/>
              </w:tabs>
              <w:spacing w:line="206" w:lineRule="exact" w:before="48"/>
              <w:ind w:left="6069"/>
              <w:rPr>
                <w:b/>
                <w:sz w:val="18"/>
              </w:rPr>
            </w:pPr>
            <w:r>
              <w:rPr>
                <w:b/>
                <w:color w:val="FFFFFF"/>
                <w:spacing w:val="-5"/>
                <w:sz w:val="20"/>
              </w:rPr>
              <w:t>FTE</w:t>
            </w:r>
            <w:r>
              <w:rPr>
                <w:b/>
                <w:color w:val="FFFFFF"/>
                <w:sz w:val="20"/>
              </w:rPr>
              <w:tab/>
            </w:r>
            <w:r>
              <w:rPr>
                <w:b/>
                <w:color w:val="FFFFFF"/>
                <w:sz w:val="18"/>
              </w:rPr>
              <w:t>Full</w:t>
            </w:r>
            <w:r>
              <w:rPr>
                <w:b/>
                <w:color w:val="FFFFFF"/>
                <w:spacing w:val="-1"/>
                <w:sz w:val="18"/>
              </w:rPr>
              <w:t> </w:t>
            </w:r>
            <w:r>
              <w:rPr>
                <w:b/>
                <w:color w:val="FFFFFF"/>
                <w:spacing w:val="-4"/>
                <w:sz w:val="18"/>
              </w:rPr>
              <w:t>Time</w:t>
            </w:r>
            <w:r>
              <w:rPr>
                <w:b/>
                <w:color w:val="FFFFFF"/>
                <w:sz w:val="18"/>
              </w:rPr>
              <w:tab/>
              <w:t>Part </w:t>
            </w:r>
            <w:r>
              <w:rPr>
                <w:b/>
                <w:color w:val="FFFFFF"/>
                <w:spacing w:val="-4"/>
                <w:sz w:val="18"/>
              </w:rPr>
              <w:t>Time</w:t>
            </w:r>
            <w:r>
              <w:rPr>
                <w:b/>
                <w:color w:val="FFFFFF"/>
                <w:sz w:val="18"/>
              </w:rPr>
              <w:tab/>
            </w:r>
            <w:r>
              <w:rPr>
                <w:b/>
                <w:color w:val="FFFFFF"/>
                <w:spacing w:val="-2"/>
                <w:sz w:val="18"/>
              </w:rPr>
              <w:t>Casual</w:t>
            </w:r>
          </w:p>
        </w:tc>
      </w:tr>
      <w:tr>
        <w:trPr>
          <w:trHeight w:val="289" w:hRule="atLeast"/>
        </w:trPr>
        <w:tc>
          <w:tcPr>
            <w:tcW w:w="5532" w:type="dxa"/>
            <w:tcBorders>
              <w:left w:val="single" w:sz="4" w:space="0" w:color="000000"/>
            </w:tcBorders>
          </w:tcPr>
          <w:p>
            <w:pPr>
              <w:pStyle w:val="TableParagraph"/>
              <w:spacing w:line="225" w:lineRule="exact" w:before="45"/>
              <w:ind w:left="107"/>
              <w:rPr>
                <w:sz w:val="20"/>
              </w:rPr>
            </w:pPr>
            <w:r>
              <w:rPr>
                <w:sz w:val="20"/>
              </w:rPr>
              <w:t>Strategy</w:t>
            </w:r>
            <w:r>
              <w:rPr>
                <w:spacing w:val="-7"/>
                <w:sz w:val="20"/>
              </w:rPr>
              <w:t> </w:t>
            </w:r>
            <w:r>
              <w:rPr>
                <w:sz w:val="20"/>
              </w:rPr>
              <w:t>and</w:t>
            </w:r>
            <w:r>
              <w:rPr>
                <w:spacing w:val="-8"/>
                <w:sz w:val="20"/>
              </w:rPr>
              <w:t> </w:t>
            </w:r>
            <w:r>
              <w:rPr>
                <w:spacing w:val="-2"/>
                <w:sz w:val="20"/>
              </w:rPr>
              <w:t>Development</w:t>
            </w:r>
          </w:p>
        </w:tc>
        <w:tc>
          <w:tcPr>
            <w:tcW w:w="1454" w:type="dxa"/>
            <w:shd w:val="clear" w:color="auto" w:fill="DFEBF4"/>
          </w:tcPr>
          <w:p>
            <w:pPr>
              <w:pStyle w:val="TableParagraph"/>
              <w:spacing w:before="21"/>
              <w:ind w:right="102"/>
              <w:jc w:val="right"/>
              <w:rPr>
                <w:b/>
                <w:sz w:val="20"/>
              </w:rPr>
            </w:pPr>
            <w:r>
              <w:rPr>
                <w:b/>
                <w:spacing w:val="-2"/>
                <w:sz w:val="20"/>
              </w:rPr>
              <w:t>118.5</w:t>
            </w:r>
          </w:p>
        </w:tc>
        <w:tc>
          <w:tcPr>
            <w:tcW w:w="1821" w:type="dxa"/>
          </w:tcPr>
          <w:p>
            <w:pPr>
              <w:pStyle w:val="TableParagraph"/>
              <w:spacing w:before="21"/>
              <w:ind w:right="469"/>
              <w:jc w:val="right"/>
              <w:rPr>
                <w:sz w:val="20"/>
              </w:rPr>
            </w:pPr>
            <w:r>
              <w:rPr>
                <w:spacing w:val="-4"/>
                <w:sz w:val="20"/>
              </w:rPr>
              <w:t>78.6</w:t>
            </w:r>
          </w:p>
        </w:tc>
        <w:tc>
          <w:tcPr>
            <w:tcW w:w="1218" w:type="dxa"/>
          </w:tcPr>
          <w:p>
            <w:pPr>
              <w:pStyle w:val="TableParagraph"/>
              <w:spacing w:before="21"/>
              <w:ind w:right="233"/>
              <w:jc w:val="right"/>
              <w:rPr>
                <w:sz w:val="20"/>
              </w:rPr>
            </w:pPr>
            <w:r>
              <w:rPr>
                <w:spacing w:val="-4"/>
                <w:sz w:val="20"/>
              </w:rPr>
              <w:t>33.7</w:t>
            </w:r>
          </w:p>
        </w:tc>
        <w:tc>
          <w:tcPr>
            <w:tcW w:w="740" w:type="dxa"/>
            <w:tcBorders>
              <w:right w:val="single" w:sz="4" w:space="0" w:color="000000"/>
            </w:tcBorders>
          </w:tcPr>
          <w:p>
            <w:pPr>
              <w:pStyle w:val="TableParagraph"/>
              <w:spacing w:before="21"/>
              <w:ind w:right="97"/>
              <w:jc w:val="right"/>
              <w:rPr>
                <w:sz w:val="20"/>
              </w:rPr>
            </w:pPr>
            <w:r>
              <w:rPr>
                <w:spacing w:val="-5"/>
                <w:sz w:val="20"/>
              </w:rPr>
              <w:t>6.2</w:t>
            </w:r>
          </w:p>
        </w:tc>
      </w:tr>
      <w:tr>
        <w:trPr>
          <w:trHeight w:val="274" w:hRule="atLeast"/>
        </w:trPr>
        <w:tc>
          <w:tcPr>
            <w:tcW w:w="5532" w:type="dxa"/>
            <w:tcBorders>
              <w:left w:val="single" w:sz="4" w:space="0" w:color="000000"/>
            </w:tcBorders>
          </w:tcPr>
          <w:p>
            <w:pPr>
              <w:pStyle w:val="TableParagraph"/>
              <w:spacing w:line="226" w:lineRule="exact" w:before="29"/>
              <w:ind w:left="107"/>
              <w:rPr>
                <w:sz w:val="20"/>
              </w:rPr>
            </w:pPr>
            <w:r>
              <w:rPr>
                <w:sz w:val="20"/>
              </w:rPr>
              <w:t>People</w:t>
            </w:r>
            <w:r>
              <w:rPr>
                <w:spacing w:val="-7"/>
                <w:sz w:val="20"/>
              </w:rPr>
              <w:t> </w:t>
            </w:r>
            <w:r>
              <w:rPr>
                <w:sz w:val="20"/>
              </w:rPr>
              <w:t>and</w:t>
            </w:r>
            <w:r>
              <w:rPr>
                <w:spacing w:val="-6"/>
                <w:sz w:val="20"/>
              </w:rPr>
              <w:t> </w:t>
            </w:r>
            <w:r>
              <w:rPr>
                <w:spacing w:val="-2"/>
                <w:sz w:val="20"/>
              </w:rPr>
              <w:t>Places</w:t>
            </w:r>
          </w:p>
        </w:tc>
        <w:tc>
          <w:tcPr>
            <w:tcW w:w="1454" w:type="dxa"/>
            <w:shd w:val="clear" w:color="auto" w:fill="DFEBF4"/>
          </w:tcPr>
          <w:p>
            <w:pPr>
              <w:pStyle w:val="TableParagraph"/>
              <w:spacing w:before="7"/>
              <w:ind w:right="102"/>
              <w:jc w:val="right"/>
              <w:rPr>
                <w:b/>
                <w:sz w:val="20"/>
              </w:rPr>
            </w:pPr>
            <w:r>
              <w:rPr>
                <w:b/>
                <w:spacing w:val="-2"/>
                <w:sz w:val="20"/>
              </w:rPr>
              <w:t>141.8</w:t>
            </w:r>
          </w:p>
        </w:tc>
        <w:tc>
          <w:tcPr>
            <w:tcW w:w="1821" w:type="dxa"/>
          </w:tcPr>
          <w:p>
            <w:pPr>
              <w:pStyle w:val="TableParagraph"/>
              <w:spacing w:before="7"/>
              <w:ind w:right="469"/>
              <w:jc w:val="right"/>
              <w:rPr>
                <w:sz w:val="20"/>
              </w:rPr>
            </w:pPr>
            <w:r>
              <w:rPr>
                <w:spacing w:val="-4"/>
                <w:sz w:val="20"/>
              </w:rPr>
              <w:t>66.1</w:t>
            </w:r>
          </w:p>
        </w:tc>
        <w:tc>
          <w:tcPr>
            <w:tcW w:w="1218" w:type="dxa"/>
          </w:tcPr>
          <w:p>
            <w:pPr>
              <w:pStyle w:val="TableParagraph"/>
              <w:spacing w:before="7"/>
              <w:ind w:right="233"/>
              <w:jc w:val="right"/>
              <w:rPr>
                <w:sz w:val="20"/>
              </w:rPr>
            </w:pPr>
            <w:r>
              <w:rPr>
                <w:spacing w:val="-4"/>
                <w:sz w:val="20"/>
              </w:rPr>
              <w:t>62.6</w:t>
            </w:r>
          </w:p>
        </w:tc>
        <w:tc>
          <w:tcPr>
            <w:tcW w:w="740" w:type="dxa"/>
            <w:tcBorders>
              <w:right w:val="single" w:sz="4" w:space="0" w:color="000000"/>
            </w:tcBorders>
          </w:tcPr>
          <w:p>
            <w:pPr>
              <w:pStyle w:val="TableParagraph"/>
              <w:spacing w:before="7"/>
              <w:ind w:right="97"/>
              <w:jc w:val="right"/>
              <w:rPr>
                <w:sz w:val="20"/>
              </w:rPr>
            </w:pPr>
            <w:r>
              <w:rPr>
                <w:spacing w:val="-4"/>
                <w:sz w:val="20"/>
              </w:rPr>
              <w:t>13.2</w:t>
            </w:r>
          </w:p>
        </w:tc>
      </w:tr>
      <w:tr>
        <w:trPr>
          <w:trHeight w:val="274" w:hRule="atLeast"/>
        </w:trPr>
        <w:tc>
          <w:tcPr>
            <w:tcW w:w="5532" w:type="dxa"/>
            <w:tcBorders>
              <w:left w:val="single" w:sz="4" w:space="0" w:color="000000"/>
            </w:tcBorders>
          </w:tcPr>
          <w:p>
            <w:pPr>
              <w:pStyle w:val="TableParagraph"/>
              <w:spacing w:line="225" w:lineRule="exact" w:before="30"/>
              <w:ind w:left="107"/>
              <w:rPr>
                <w:sz w:val="20"/>
              </w:rPr>
            </w:pPr>
            <w:r>
              <w:rPr>
                <w:sz w:val="20"/>
              </w:rPr>
              <w:t>Assets</w:t>
            </w:r>
            <w:r>
              <w:rPr>
                <w:spacing w:val="-5"/>
                <w:sz w:val="20"/>
              </w:rPr>
              <w:t> </w:t>
            </w:r>
            <w:r>
              <w:rPr>
                <w:sz w:val="20"/>
              </w:rPr>
              <w:t>and</w:t>
            </w:r>
            <w:r>
              <w:rPr>
                <w:spacing w:val="-6"/>
                <w:sz w:val="20"/>
              </w:rPr>
              <w:t> </w:t>
            </w:r>
            <w:r>
              <w:rPr>
                <w:spacing w:val="-2"/>
                <w:sz w:val="20"/>
              </w:rPr>
              <w:t>Leisure</w:t>
            </w:r>
          </w:p>
        </w:tc>
        <w:tc>
          <w:tcPr>
            <w:tcW w:w="1454" w:type="dxa"/>
            <w:shd w:val="clear" w:color="auto" w:fill="DFEBF4"/>
          </w:tcPr>
          <w:p>
            <w:pPr>
              <w:pStyle w:val="TableParagraph"/>
              <w:spacing w:before="8"/>
              <w:ind w:right="102"/>
              <w:jc w:val="right"/>
              <w:rPr>
                <w:b/>
                <w:sz w:val="20"/>
              </w:rPr>
            </w:pPr>
            <w:r>
              <w:rPr>
                <w:b/>
                <w:spacing w:val="-2"/>
                <w:sz w:val="20"/>
              </w:rPr>
              <w:t>230.9</w:t>
            </w:r>
          </w:p>
        </w:tc>
        <w:tc>
          <w:tcPr>
            <w:tcW w:w="1821" w:type="dxa"/>
          </w:tcPr>
          <w:p>
            <w:pPr>
              <w:pStyle w:val="TableParagraph"/>
              <w:spacing w:before="8"/>
              <w:ind w:right="469"/>
              <w:jc w:val="right"/>
              <w:rPr>
                <w:sz w:val="20"/>
              </w:rPr>
            </w:pPr>
            <w:r>
              <w:rPr>
                <w:spacing w:val="-2"/>
                <w:sz w:val="20"/>
              </w:rPr>
              <w:t>145.3</w:t>
            </w:r>
          </w:p>
        </w:tc>
        <w:tc>
          <w:tcPr>
            <w:tcW w:w="1218" w:type="dxa"/>
          </w:tcPr>
          <w:p>
            <w:pPr>
              <w:pStyle w:val="TableParagraph"/>
              <w:spacing w:before="8"/>
              <w:ind w:right="233"/>
              <w:jc w:val="right"/>
              <w:rPr>
                <w:sz w:val="20"/>
              </w:rPr>
            </w:pPr>
            <w:r>
              <w:rPr>
                <w:spacing w:val="-4"/>
                <w:sz w:val="20"/>
              </w:rPr>
              <w:t>31.1</w:t>
            </w:r>
          </w:p>
        </w:tc>
        <w:tc>
          <w:tcPr>
            <w:tcW w:w="740" w:type="dxa"/>
            <w:tcBorders>
              <w:right w:val="single" w:sz="4" w:space="0" w:color="000000"/>
            </w:tcBorders>
          </w:tcPr>
          <w:p>
            <w:pPr>
              <w:pStyle w:val="TableParagraph"/>
              <w:spacing w:before="8"/>
              <w:ind w:right="97"/>
              <w:jc w:val="right"/>
              <w:rPr>
                <w:sz w:val="20"/>
              </w:rPr>
            </w:pPr>
            <w:r>
              <w:rPr>
                <w:spacing w:val="-4"/>
                <w:sz w:val="20"/>
              </w:rPr>
              <w:t>54.5</w:t>
            </w:r>
          </w:p>
        </w:tc>
      </w:tr>
      <w:tr>
        <w:trPr>
          <w:trHeight w:val="274" w:hRule="atLeast"/>
        </w:trPr>
        <w:tc>
          <w:tcPr>
            <w:tcW w:w="5532" w:type="dxa"/>
            <w:tcBorders>
              <w:left w:val="single" w:sz="4" w:space="0" w:color="000000"/>
            </w:tcBorders>
          </w:tcPr>
          <w:p>
            <w:pPr>
              <w:pStyle w:val="TableParagraph"/>
              <w:spacing w:line="226" w:lineRule="exact" w:before="29"/>
              <w:ind w:left="107"/>
              <w:rPr>
                <w:sz w:val="20"/>
              </w:rPr>
            </w:pPr>
            <w:r>
              <w:rPr>
                <w:sz w:val="20"/>
              </w:rPr>
              <w:t>Chief</w:t>
            </w:r>
            <w:r>
              <w:rPr>
                <w:spacing w:val="-9"/>
                <w:sz w:val="20"/>
              </w:rPr>
              <w:t> </w:t>
            </w:r>
            <w:r>
              <w:rPr>
                <w:sz w:val="20"/>
              </w:rPr>
              <w:t>Executive's</w:t>
            </w:r>
            <w:r>
              <w:rPr>
                <w:spacing w:val="-5"/>
                <w:sz w:val="20"/>
              </w:rPr>
              <w:t> </w:t>
            </w:r>
            <w:r>
              <w:rPr>
                <w:spacing w:val="-2"/>
                <w:sz w:val="20"/>
              </w:rPr>
              <w:t>Office</w:t>
            </w:r>
          </w:p>
        </w:tc>
        <w:tc>
          <w:tcPr>
            <w:tcW w:w="1454" w:type="dxa"/>
            <w:shd w:val="clear" w:color="auto" w:fill="DFEBF4"/>
          </w:tcPr>
          <w:p>
            <w:pPr>
              <w:pStyle w:val="TableParagraph"/>
              <w:spacing w:before="7"/>
              <w:ind w:right="103"/>
              <w:jc w:val="right"/>
              <w:rPr>
                <w:b/>
                <w:sz w:val="20"/>
              </w:rPr>
            </w:pPr>
            <w:r>
              <w:rPr>
                <w:b/>
                <w:spacing w:val="-5"/>
                <w:sz w:val="20"/>
              </w:rPr>
              <w:t>5.2</w:t>
            </w:r>
          </w:p>
        </w:tc>
        <w:tc>
          <w:tcPr>
            <w:tcW w:w="1821" w:type="dxa"/>
          </w:tcPr>
          <w:p>
            <w:pPr>
              <w:pStyle w:val="TableParagraph"/>
              <w:spacing w:before="7"/>
              <w:ind w:right="470"/>
              <w:jc w:val="right"/>
              <w:rPr>
                <w:sz w:val="20"/>
              </w:rPr>
            </w:pPr>
            <w:r>
              <w:rPr>
                <w:spacing w:val="-5"/>
                <w:sz w:val="20"/>
              </w:rPr>
              <w:t>5.0</w:t>
            </w:r>
          </w:p>
        </w:tc>
        <w:tc>
          <w:tcPr>
            <w:tcW w:w="1218" w:type="dxa"/>
          </w:tcPr>
          <w:p>
            <w:pPr>
              <w:pStyle w:val="TableParagraph"/>
              <w:spacing w:before="7"/>
              <w:ind w:right="233"/>
              <w:jc w:val="right"/>
              <w:rPr>
                <w:sz w:val="20"/>
              </w:rPr>
            </w:pPr>
            <w:r>
              <w:rPr>
                <w:spacing w:val="-5"/>
                <w:sz w:val="20"/>
              </w:rPr>
              <w:t>0.2</w:t>
            </w:r>
          </w:p>
        </w:tc>
        <w:tc>
          <w:tcPr>
            <w:tcW w:w="740" w:type="dxa"/>
            <w:tcBorders>
              <w:right w:val="single" w:sz="4" w:space="0" w:color="000000"/>
            </w:tcBorders>
          </w:tcPr>
          <w:p>
            <w:pPr>
              <w:pStyle w:val="TableParagraph"/>
              <w:spacing w:before="7"/>
              <w:ind w:right="97"/>
              <w:jc w:val="right"/>
              <w:rPr>
                <w:sz w:val="20"/>
              </w:rPr>
            </w:pPr>
            <w:r>
              <w:rPr>
                <w:spacing w:val="-5"/>
                <w:sz w:val="20"/>
              </w:rPr>
              <w:t>0.0</w:t>
            </w:r>
          </w:p>
        </w:tc>
      </w:tr>
      <w:tr>
        <w:trPr>
          <w:trHeight w:val="278" w:hRule="atLeast"/>
        </w:trPr>
        <w:tc>
          <w:tcPr>
            <w:tcW w:w="5532" w:type="dxa"/>
            <w:tcBorders>
              <w:left w:val="single" w:sz="4" w:space="0" w:color="000000"/>
            </w:tcBorders>
          </w:tcPr>
          <w:p>
            <w:pPr>
              <w:pStyle w:val="TableParagraph"/>
              <w:spacing w:line="228" w:lineRule="exact" w:before="30"/>
              <w:ind w:left="107"/>
              <w:rPr>
                <w:sz w:val="20"/>
              </w:rPr>
            </w:pPr>
            <w:r>
              <w:rPr>
                <w:sz w:val="20"/>
              </w:rPr>
              <w:t>Chief</w:t>
            </w:r>
            <w:r>
              <w:rPr>
                <w:spacing w:val="-9"/>
                <w:sz w:val="20"/>
              </w:rPr>
              <w:t> </w:t>
            </w:r>
            <w:r>
              <w:rPr>
                <w:sz w:val="20"/>
              </w:rPr>
              <w:t>Financial</w:t>
            </w:r>
            <w:r>
              <w:rPr>
                <w:spacing w:val="-9"/>
                <w:sz w:val="20"/>
              </w:rPr>
              <w:t> </w:t>
            </w:r>
            <w:r>
              <w:rPr>
                <w:spacing w:val="-2"/>
                <w:sz w:val="20"/>
              </w:rPr>
              <w:t>Office</w:t>
            </w:r>
          </w:p>
        </w:tc>
        <w:tc>
          <w:tcPr>
            <w:tcW w:w="1454" w:type="dxa"/>
            <w:shd w:val="clear" w:color="auto" w:fill="DFEBF4"/>
          </w:tcPr>
          <w:p>
            <w:pPr>
              <w:pStyle w:val="TableParagraph"/>
              <w:spacing w:before="8"/>
              <w:ind w:right="103"/>
              <w:jc w:val="right"/>
              <w:rPr>
                <w:b/>
                <w:sz w:val="20"/>
              </w:rPr>
            </w:pPr>
            <w:r>
              <w:rPr>
                <w:b/>
                <w:spacing w:val="-4"/>
                <w:sz w:val="20"/>
              </w:rPr>
              <w:t>73.9</w:t>
            </w:r>
          </w:p>
        </w:tc>
        <w:tc>
          <w:tcPr>
            <w:tcW w:w="1821" w:type="dxa"/>
          </w:tcPr>
          <w:p>
            <w:pPr>
              <w:pStyle w:val="TableParagraph"/>
              <w:spacing w:before="8"/>
              <w:ind w:right="469"/>
              <w:jc w:val="right"/>
              <w:rPr>
                <w:sz w:val="20"/>
              </w:rPr>
            </w:pPr>
            <w:r>
              <w:rPr>
                <w:spacing w:val="-4"/>
                <w:sz w:val="20"/>
              </w:rPr>
              <w:t>64.0</w:t>
            </w:r>
          </w:p>
        </w:tc>
        <w:tc>
          <w:tcPr>
            <w:tcW w:w="1218" w:type="dxa"/>
          </w:tcPr>
          <w:p>
            <w:pPr>
              <w:pStyle w:val="TableParagraph"/>
              <w:spacing w:before="8"/>
              <w:ind w:right="233"/>
              <w:jc w:val="right"/>
              <w:rPr>
                <w:sz w:val="20"/>
              </w:rPr>
            </w:pPr>
            <w:r>
              <w:rPr>
                <w:spacing w:val="-5"/>
                <w:sz w:val="20"/>
              </w:rPr>
              <w:t>9.8</w:t>
            </w:r>
          </w:p>
        </w:tc>
        <w:tc>
          <w:tcPr>
            <w:tcW w:w="740" w:type="dxa"/>
            <w:tcBorders>
              <w:right w:val="single" w:sz="4" w:space="0" w:color="000000"/>
            </w:tcBorders>
          </w:tcPr>
          <w:p>
            <w:pPr>
              <w:pStyle w:val="TableParagraph"/>
              <w:spacing w:before="8"/>
              <w:ind w:right="97"/>
              <w:jc w:val="right"/>
              <w:rPr>
                <w:sz w:val="20"/>
              </w:rPr>
            </w:pPr>
            <w:r>
              <w:rPr>
                <w:spacing w:val="-5"/>
                <w:sz w:val="20"/>
              </w:rPr>
              <w:t>0.1</w:t>
            </w:r>
          </w:p>
        </w:tc>
      </w:tr>
      <w:tr>
        <w:trPr>
          <w:trHeight w:val="270" w:hRule="atLeast"/>
        </w:trPr>
        <w:tc>
          <w:tcPr>
            <w:tcW w:w="5532" w:type="dxa"/>
            <w:tcBorders>
              <w:left w:val="single" w:sz="4" w:space="0" w:color="000000"/>
              <w:bottom w:val="single" w:sz="4" w:space="0" w:color="000000"/>
            </w:tcBorders>
          </w:tcPr>
          <w:p>
            <w:pPr>
              <w:pStyle w:val="TableParagraph"/>
              <w:spacing w:line="211" w:lineRule="exact" w:before="40"/>
              <w:ind w:left="107"/>
              <w:rPr>
                <w:sz w:val="20"/>
              </w:rPr>
            </w:pPr>
            <w:r>
              <w:rPr>
                <w:sz w:val="20"/>
              </w:rPr>
              <w:t>Capitalised</w:t>
            </w:r>
            <w:r>
              <w:rPr>
                <w:spacing w:val="-11"/>
                <w:sz w:val="20"/>
              </w:rPr>
              <w:t> </w:t>
            </w:r>
            <w:r>
              <w:rPr>
                <w:spacing w:val="-2"/>
                <w:sz w:val="20"/>
              </w:rPr>
              <w:t>labour</w:t>
            </w:r>
          </w:p>
        </w:tc>
        <w:tc>
          <w:tcPr>
            <w:tcW w:w="1454" w:type="dxa"/>
            <w:tcBorders>
              <w:bottom w:val="single" w:sz="4" w:space="0" w:color="000000"/>
            </w:tcBorders>
            <w:shd w:val="clear" w:color="auto" w:fill="DFEBF4"/>
          </w:tcPr>
          <w:p>
            <w:pPr>
              <w:pStyle w:val="TableParagraph"/>
              <w:spacing w:before="11"/>
              <w:ind w:right="103"/>
              <w:jc w:val="right"/>
              <w:rPr>
                <w:b/>
                <w:sz w:val="20"/>
              </w:rPr>
            </w:pPr>
            <w:r>
              <w:rPr>
                <w:b/>
                <w:spacing w:val="-4"/>
                <w:sz w:val="20"/>
              </w:rPr>
              <w:t>16.0</w:t>
            </w:r>
          </w:p>
        </w:tc>
        <w:tc>
          <w:tcPr>
            <w:tcW w:w="1821" w:type="dxa"/>
            <w:tcBorders>
              <w:bottom w:val="single" w:sz="4" w:space="0" w:color="000000"/>
            </w:tcBorders>
          </w:tcPr>
          <w:p>
            <w:pPr>
              <w:pStyle w:val="TableParagraph"/>
              <w:spacing w:before="11"/>
              <w:ind w:right="469"/>
              <w:jc w:val="right"/>
              <w:rPr>
                <w:sz w:val="20"/>
              </w:rPr>
            </w:pPr>
            <w:r>
              <w:rPr>
                <w:spacing w:val="-4"/>
                <w:sz w:val="20"/>
              </w:rPr>
              <w:t>16.0</w:t>
            </w:r>
          </w:p>
        </w:tc>
        <w:tc>
          <w:tcPr>
            <w:tcW w:w="1218" w:type="dxa"/>
            <w:tcBorders>
              <w:bottom w:val="single" w:sz="4" w:space="0" w:color="000000"/>
            </w:tcBorders>
          </w:tcPr>
          <w:p>
            <w:pPr>
              <w:pStyle w:val="TableParagraph"/>
              <w:spacing w:before="11"/>
              <w:ind w:right="233"/>
              <w:jc w:val="right"/>
              <w:rPr>
                <w:sz w:val="20"/>
              </w:rPr>
            </w:pPr>
            <w:r>
              <w:rPr>
                <w:spacing w:val="-5"/>
                <w:sz w:val="20"/>
              </w:rPr>
              <w:t>0.0</w:t>
            </w:r>
          </w:p>
        </w:tc>
        <w:tc>
          <w:tcPr>
            <w:tcW w:w="740" w:type="dxa"/>
            <w:tcBorders>
              <w:bottom w:val="single" w:sz="4" w:space="0" w:color="000000"/>
              <w:right w:val="single" w:sz="4" w:space="0" w:color="000000"/>
            </w:tcBorders>
          </w:tcPr>
          <w:p>
            <w:pPr>
              <w:pStyle w:val="TableParagraph"/>
              <w:spacing w:before="11"/>
              <w:ind w:right="97"/>
              <w:jc w:val="right"/>
              <w:rPr>
                <w:sz w:val="20"/>
              </w:rPr>
            </w:pPr>
            <w:r>
              <w:rPr>
                <w:spacing w:val="-5"/>
                <w:sz w:val="20"/>
              </w:rPr>
              <w:t>0.0</w:t>
            </w:r>
          </w:p>
        </w:tc>
      </w:tr>
      <w:tr>
        <w:trPr>
          <w:trHeight w:val="275" w:hRule="atLeast"/>
        </w:trPr>
        <w:tc>
          <w:tcPr>
            <w:tcW w:w="5532" w:type="dxa"/>
            <w:tcBorders>
              <w:top w:val="single" w:sz="4" w:space="0" w:color="000000"/>
              <w:left w:val="single" w:sz="4" w:space="0" w:color="000000"/>
              <w:bottom w:val="single" w:sz="4" w:space="0" w:color="000000"/>
            </w:tcBorders>
          </w:tcPr>
          <w:p>
            <w:pPr>
              <w:pStyle w:val="TableParagraph"/>
              <w:spacing w:line="211" w:lineRule="exact" w:before="45"/>
              <w:ind w:left="107"/>
              <w:rPr>
                <w:b/>
                <w:sz w:val="20"/>
              </w:rPr>
            </w:pPr>
            <w:r>
              <w:rPr>
                <w:b/>
                <w:sz w:val="20"/>
              </w:rPr>
              <w:t>Total</w:t>
            </w:r>
            <w:r>
              <w:rPr>
                <w:b/>
                <w:spacing w:val="-6"/>
                <w:sz w:val="20"/>
              </w:rPr>
              <w:t> </w:t>
            </w:r>
            <w:r>
              <w:rPr>
                <w:b/>
                <w:spacing w:val="-2"/>
                <w:sz w:val="20"/>
              </w:rPr>
              <w:t>staff</w:t>
            </w:r>
          </w:p>
        </w:tc>
        <w:tc>
          <w:tcPr>
            <w:tcW w:w="1454" w:type="dxa"/>
            <w:tcBorders>
              <w:top w:val="single" w:sz="4" w:space="0" w:color="000000"/>
              <w:bottom w:val="single" w:sz="4" w:space="0" w:color="000000"/>
            </w:tcBorders>
            <w:shd w:val="clear" w:color="auto" w:fill="DFEBF4"/>
          </w:tcPr>
          <w:p>
            <w:pPr>
              <w:pStyle w:val="TableParagraph"/>
              <w:spacing w:before="21"/>
              <w:ind w:right="102"/>
              <w:jc w:val="right"/>
              <w:rPr>
                <w:b/>
                <w:sz w:val="20"/>
              </w:rPr>
            </w:pPr>
            <w:r>
              <w:rPr>
                <w:b/>
                <w:spacing w:val="-2"/>
                <w:sz w:val="20"/>
              </w:rPr>
              <w:t>586.3</w:t>
            </w:r>
          </w:p>
        </w:tc>
        <w:tc>
          <w:tcPr>
            <w:tcW w:w="1821" w:type="dxa"/>
            <w:tcBorders>
              <w:top w:val="single" w:sz="4" w:space="0" w:color="000000"/>
              <w:bottom w:val="single" w:sz="4" w:space="0" w:color="000000"/>
            </w:tcBorders>
          </w:tcPr>
          <w:p>
            <w:pPr>
              <w:pStyle w:val="TableParagraph"/>
              <w:spacing w:before="21"/>
              <w:ind w:right="469"/>
              <w:jc w:val="right"/>
              <w:rPr>
                <w:sz w:val="20"/>
              </w:rPr>
            </w:pPr>
            <w:r>
              <w:rPr>
                <w:spacing w:val="-2"/>
                <w:sz w:val="20"/>
              </w:rPr>
              <w:t>375.0</w:t>
            </w:r>
          </w:p>
        </w:tc>
        <w:tc>
          <w:tcPr>
            <w:tcW w:w="1218" w:type="dxa"/>
            <w:tcBorders>
              <w:top w:val="single" w:sz="4" w:space="0" w:color="000000"/>
              <w:bottom w:val="single" w:sz="4" w:space="0" w:color="000000"/>
            </w:tcBorders>
          </w:tcPr>
          <w:p>
            <w:pPr>
              <w:pStyle w:val="TableParagraph"/>
              <w:spacing w:before="21"/>
              <w:ind w:right="232"/>
              <w:jc w:val="right"/>
              <w:rPr>
                <w:sz w:val="20"/>
              </w:rPr>
            </w:pPr>
            <w:r>
              <w:rPr>
                <w:spacing w:val="-2"/>
                <w:sz w:val="20"/>
              </w:rPr>
              <w:t>137.4</w:t>
            </w:r>
          </w:p>
        </w:tc>
        <w:tc>
          <w:tcPr>
            <w:tcW w:w="740" w:type="dxa"/>
            <w:tcBorders>
              <w:top w:val="single" w:sz="4" w:space="0" w:color="000000"/>
              <w:bottom w:val="single" w:sz="4" w:space="0" w:color="000000"/>
              <w:right w:val="single" w:sz="4" w:space="0" w:color="000000"/>
            </w:tcBorders>
          </w:tcPr>
          <w:p>
            <w:pPr>
              <w:pStyle w:val="TableParagraph"/>
              <w:spacing w:before="21"/>
              <w:ind w:right="97"/>
              <w:jc w:val="right"/>
              <w:rPr>
                <w:sz w:val="20"/>
              </w:rPr>
            </w:pPr>
            <w:r>
              <w:rPr>
                <w:spacing w:val="-4"/>
                <w:sz w:val="20"/>
              </w:rPr>
              <w:t>73.9</w:t>
            </w:r>
          </w:p>
        </w:tc>
      </w:tr>
    </w:tbl>
    <w:p>
      <w:pPr>
        <w:spacing w:after="0"/>
        <w:jc w:val="right"/>
        <w:rPr>
          <w:sz w:val="20"/>
        </w:rPr>
        <w:sectPr>
          <w:pgSz w:w="11910" w:h="16840"/>
          <w:pgMar w:header="0" w:footer="426" w:top="340" w:bottom="620" w:left="460" w:right="160"/>
        </w:sectPr>
      </w:pPr>
    </w:p>
    <w:p>
      <w:pPr>
        <w:pStyle w:val="Heading4"/>
        <w:spacing w:line="276" w:lineRule="exact" w:before="67"/>
        <w:ind w:left="391" w:firstLine="0"/>
      </w:pPr>
      <w:r>
        <w:rPr>
          <w:color w:val="4966AC"/>
        </w:rPr>
        <w:t>Statement</w:t>
      </w:r>
      <w:r>
        <w:rPr>
          <w:color w:val="4966AC"/>
          <w:spacing w:val="-4"/>
        </w:rPr>
        <w:t> </w:t>
      </w:r>
      <w:r>
        <w:rPr>
          <w:color w:val="4966AC"/>
        </w:rPr>
        <w:t>of</w:t>
      </w:r>
      <w:r>
        <w:rPr>
          <w:color w:val="4966AC"/>
          <w:spacing w:val="-2"/>
        </w:rPr>
        <w:t> </w:t>
      </w:r>
      <w:r>
        <w:rPr>
          <w:color w:val="4966AC"/>
        </w:rPr>
        <w:t>Planned</w:t>
      </w:r>
      <w:r>
        <w:rPr>
          <w:color w:val="4966AC"/>
          <w:spacing w:val="-2"/>
        </w:rPr>
        <w:t> </w:t>
      </w:r>
      <w:r>
        <w:rPr>
          <w:color w:val="4966AC"/>
        </w:rPr>
        <w:t>Human</w:t>
      </w:r>
      <w:r>
        <w:rPr>
          <w:color w:val="4966AC"/>
          <w:spacing w:val="2"/>
        </w:rPr>
        <w:t> </w:t>
      </w:r>
      <w:r>
        <w:rPr>
          <w:color w:val="4966AC"/>
        </w:rPr>
        <w:t>Resources</w:t>
      </w:r>
      <w:r>
        <w:rPr>
          <w:color w:val="4966AC"/>
          <w:spacing w:val="-1"/>
        </w:rPr>
        <w:t> </w:t>
      </w:r>
      <w:r>
        <w:rPr>
          <w:color w:val="4966AC"/>
          <w:spacing w:val="-2"/>
        </w:rPr>
        <w:t>Expenditure</w:t>
      </w:r>
    </w:p>
    <w:p>
      <w:pPr>
        <w:pStyle w:val="BodyText"/>
        <w:spacing w:line="253" w:lineRule="exact"/>
        <w:ind w:left="391"/>
      </w:pPr>
      <w:r>
        <w:rPr>
          <w:color w:val="4966AC"/>
        </w:rPr>
        <w:t>For</w:t>
      </w:r>
      <w:r>
        <w:rPr>
          <w:color w:val="4966AC"/>
          <w:spacing w:val="-3"/>
        </w:rPr>
        <w:t> </w:t>
      </w:r>
      <w:r>
        <w:rPr>
          <w:color w:val="4966AC"/>
        </w:rPr>
        <w:t>the</w:t>
      </w:r>
      <w:r>
        <w:rPr>
          <w:color w:val="4966AC"/>
          <w:spacing w:val="-3"/>
        </w:rPr>
        <w:t> </w:t>
      </w:r>
      <w:r>
        <w:rPr>
          <w:color w:val="4966AC"/>
        </w:rPr>
        <w:t>four</w:t>
      </w:r>
      <w:r>
        <w:rPr>
          <w:color w:val="4966AC"/>
          <w:spacing w:val="-2"/>
        </w:rPr>
        <w:t> </w:t>
      </w:r>
      <w:r>
        <w:rPr>
          <w:color w:val="4966AC"/>
        </w:rPr>
        <w:t>years</w:t>
      </w:r>
      <w:r>
        <w:rPr>
          <w:color w:val="4966AC"/>
          <w:spacing w:val="-2"/>
        </w:rPr>
        <w:t> </w:t>
      </w:r>
      <w:r>
        <w:rPr>
          <w:color w:val="4966AC"/>
        </w:rPr>
        <w:t>ending</w:t>
      </w:r>
      <w:r>
        <w:rPr>
          <w:color w:val="4966AC"/>
          <w:spacing w:val="-3"/>
        </w:rPr>
        <w:t> </w:t>
      </w:r>
      <w:r>
        <w:rPr>
          <w:color w:val="4966AC"/>
        </w:rPr>
        <w:t>30</w:t>
      </w:r>
      <w:r>
        <w:rPr>
          <w:color w:val="4966AC"/>
          <w:spacing w:val="-2"/>
        </w:rPr>
        <w:t> </w:t>
      </w:r>
      <w:r>
        <w:rPr>
          <w:color w:val="4966AC"/>
        </w:rPr>
        <w:t>June</w:t>
      </w:r>
      <w:r>
        <w:rPr>
          <w:color w:val="4966AC"/>
          <w:spacing w:val="-3"/>
        </w:rPr>
        <w:t> </w:t>
      </w:r>
      <w:r>
        <w:rPr>
          <w:color w:val="4966AC"/>
          <w:spacing w:val="-4"/>
        </w:rPr>
        <w:t>2027</w:t>
      </w:r>
    </w:p>
    <w:p>
      <w:pPr>
        <w:pStyle w:val="BodyText"/>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63"/>
        <w:gridCol w:w="1218"/>
        <w:gridCol w:w="1260"/>
        <w:gridCol w:w="1405"/>
        <w:gridCol w:w="1315"/>
      </w:tblGrid>
      <w:tr>
        <w:trPr>
          <w:trHeight w:val="537" w:hRule="atLeast"/>
        </w:trPr>
        <w:tc>
          <w:tcPr>
            <w:tcW w:w="5563" w:type="dxa"/>
            <w:tcBorders>
              <w:top w:val="single" w:sz="4" w:space="0" w:color="000000"/>
              <w:left w:val="single" w:sz="4" w:space="0" w:color="000000"/>
            </w:tcBorders>
            <w:shd w:val="clear" w:color="auto" w:fill="629CD1"/>
          </w:tcPr>
          <w:p>
            <w:pPr>
              <w:pStyle w:val="TableParagraph"/>
              <w:spacing w:before="38"/>
              <w:ind w:left="1663"/>
              <w:rPr>
                <w:b/>
                <w:sz w:val="20"/>
              </w:rPr>
            </w:pPr>
            <w:r>
              <w:rPr>
                <w:b/>
                <w:color w:val="FFFFFF"/>
                <w:spacing w:val="-2"/>
                <w:sz w:val="20"/>
              </w:rPr>
              <w:t>Directorate</w:t>
            </w:r>
          </w:p>
        </w:tc>
        <w:tc>
          <w:tcPr>
            <w:tcW w:w="1218" w:type="dxa"/>
            <w:tcBorders>
              <w:top w:val="single" w:sz="4" w:space="0" w:color="000000"/>
            </w:tcBorders>
            <w:shd w:val="clear" w:color="auto" w:fill="629CD1"/>
          </w:tcPr>
          <w:p>
            <w:pPr>
              <w:pStyle w:val="TableParagraph"/>
              <w:spacing w:before="38"/>
              <w:ind w:left="116" w:right="119"/>
              <w:jc w:val="center"/>
              <w:rPr>
                <w:b/>
                <w:sz w:val="20"/>
              </w:rPr>
            </w:pPr>
            <w:r>
              <w:rPr>
                <w:b/>
                <w:color w:val="FFFFFF"/>
                <w:spacing w:val="-2"/>
                <w:sz w:val="20"/>
              </w:rPr>
              <w:t>2023/2024</w:t>
            </w:r>
          </w:p>
          <w:p>
            <w:pPr>
              <w:pStyle w:val="TableParagraph"/>
              <w:spacing w:line="211" w:lineRule="exact" w:before="38"/>
              <w:ind w:left="116" w:right="122"/>
              <w:jc w:val="center"/>
              <w:rPr>
                <w:b/>
                <w:sz w:val="20"/>
              </w:rPr>
            </w:pPr>
            <w:r>
              <w:rPr>
                <w:b/>
                <w:color w:val="FFFFFF"/>
                <w:spacing w:val="-2"/>
                <w:sz w:val="20"/>
              </w:rPr>
              <w:t>$'000</w:t>
            </w:r>
          </w:p>
        </w:tc>
        <w:tc>
          <w:tcPr>
            <w:tcW w:w="1260" w:type="dxa"/>
            <w:tcBorders>
              <w:top w:val="single" w:sz="4" w:space="0" w:color="000000"/>
            </w:tcBorders>
            <w:shd w:val="clear" w:color="auto" w:fill="629CD1"/>
          </w:tcPr>
          <w:p>
            <w:pPr>
              <w:pStyle w:val="TableParagraph"/>
              <w:spacing w:before="38"/>
              <w:ind w:left="112" w:right="179"/>
              <w:jc w:val="center"/>
              <w:rPr>
                <w:b/>
                <w:sz w:val="20"/>
              </w:rPr>
            </w:pPr>
            <w:r>
              <w:rPr>
                <w:b/>
                <w:color w:val="FFFFFF"/>
                <w:spacing w:val="-2"/>
                <w:sz w:val="20"/>
              </w:rPr>
              <w:t>2024/2025</w:t>
            </w:r>
          </w:p>
          <w:p>
            <w:pPr>
              <w:pStyle w:val="TableParagraph"/>
              <w:spacing w:line="211" w:lineRule="exact" w:before="38"/>
              <w:ind w:left="112" w:right="177"/>
              <w:jc w:val="center"/>
              <w:rPr>
                <w:b/>
                <w:sz w:val="20"/>
              </w:rPr>
            </w:pPr>
            <w:r>
              <w:rPr>
                <w:b/>
                <w:color w:val="FFFFFF"/>
                <w:spacing w:val="-2"/>
                <w:sz w:val="20"/>
              </w:rPr>
              <w:t>$'000</w:t>
            </w:r>
          </w:p>
        </w:tc>
        <w:tc>
          <w:tcPr>
            <w:tcW w:w="1405" w:type="dxa"/>
            <w:tcBorders>
              <w:top w:val="single" w:sz="4" w:space="0" w:color="000000"/>
            </w:tcBorders>
            <w:shd w:val="clear" w:color="auto" w:fill="629CD1"/>
          </w:tcPr>
          <w:p>
            <w:pPr>
              <w:pStyle w:val="TableParagraph"/>
              <w:spacing w:before="38"/>
              <w:ind w:left="165" w:right="271"/>
              <w:jc w:val="center"/>
              <w:rPr>
                <w:b/>
                <w:sz w:val="20"/>
              </w:rPr>
            </w:pPr>
            <w:r>
              <w:rPr>
                <w:b/>
                <w:color w:val="FFFFFF"/>
                <w:spacing w:val="-2"/>
                <w:sz w:val="20"/>
              </w:rPr>
              <w:t>2025/2026</w:t>
            </w:r>
          </w:p>
          <w:p>
            <w:pPr>
              <w:pStyle w:val="TableParagraph"/>
              <w:spacing w:line="211" w:lineRule="exact" w:before="38"/>
              <w:ind w:left="165" w:right="269"/>
              <w:jc w:val="center"/>
              <w:rPr>
                <w:b/>
                <w:sz w:val="20"/>
              </w:rPr>
            </w:pPr>
            <w:r>
              <w:rPr>
                <w:b/>
                <w:color w:val="FFFFFF"/>
                <w:spacing w:val="-2"/>
                <w:sz w:val="20"/>
              </w:rPr>
              <w:t>$'000</w:t>
            </w:r>
          </w:p>
        </w:tc>
        <w:tc>
          <w:tcPr>
            <w:tcW w:w="1315" w:type="dxa"/>
            <w:tcBorders>
              <w:top w:val="single" w:sz="4" w:space="0" w:color="000000"/>
              <w:right w:val="single" w:sz="4" w:space="0" w:color="000000"/>
            </w:tcBorders>
            <w:shd w:val="clear" w:color="auto" w:fill="629CD1"/>
          </w:tcPr>
          <w:p>
            <w:pPr>
              <w:pStyle w:val="TableParagraph"/>
              <w:spacing w:before="38"/>
              <w:ind w:left="150" w:right="192"/>
              <w:jc w:val="center"/>
              <w:rPr>
                <w:b/>
                <w:sz w:val="20"/>
              </w:rPr>
            </w:pPr>
            <w:r>
              <w:rPr>
                <w:b/>
                <w:color w:val="FFFFFF"/>
                <w:spacing w:val="-2"/>
                <w:sz w:val="20"/>
              </w:rPr>
              <w:t>2026/2027</w:t>
            </w:r>
          </w:p>
          <w:p>
            <w:pPr>
              <w:pStyle w:val="TableParagraph"/>
              <w:spacing w:line="211" w:lineRule="exact" w:before="38"/>
              <w:ind w:left="150" w:right="190"/>
              <w:jc w:val="center"/>
              <w:rPr>
                <w:b/>
                <w:sz w:val="20"/>
              </w:rPr>
            </w:pPr>
            <w:r>
              <w:rPr>
                <w:b/>
                <w:color w:val="FFFFFF"/>
                <w:spacing w:val="-2"/>
                <w:sz w:val="20"/>
              </w:rPr>
              <w:t>$'000</w:t>
            </w:r>
          </w:p>
        </w:tc>
      </w:tr>
      <w:tr>
        <w:trPr>
          <w:trHeight w:val="278" w:hRule="atLeast"/>
        </w:trPr>
        <w:tc>
          <w:tcPr>
            <w:tcW w:w="5563" w:type="dxa"/>
            <w:tcBorders>
              <w:left w:val="single" w:sz="4" w:space="0" w:color="000000"/>
            </w:tcBorders>
          </w:tcPr>
          <w:p>
            <w:pPr>
              <w:pStyle w:val="TableParagraph"/>
              <w:spacing w:line="223" w:lineRule="exact" w:before="35"/>
              <w:ind w:left="107"/>
              <w:rPr>
                <w:b/>
                <w:sz w:val="20"/>
              </w:rPr>
            </w:pPr>
            <w:r>
              <w:rPr>
                <w:b/>
                <w:sz w:val="20"/>
              </w:rPr>
              <w:t>Strategy</w:t>
            </w:r>
            <w:r>
              <w:rPr>
                <w:b/>
                <w:spacing w:val="-8"/>
                <w:sz w:val="20"/>
              </w:rPr>
              <w:t> </w:t>
            </w:r>
            <w:r>
              <w:rPr>
                <w:b/>
                <w:sz w:val="20"/>
              </w:rPr>
              <w:t>and</w:t>
            </w:r>
            <w:r>
              <w:rPr>
                <w:b/>
                <w:spacing w:val="-8"/>
                <w:sz w:val="20"/>
              </w:rPr>
              <w:t> </w:t>
            </w:r>
            <w:r>
              <w:rPr>
                <w:b/>
                <w:spacing w:val="-2"/>
                <w:sz w:val="20"/>
              </w:rPr>
              <w:t>Development</w:t>
            </w:r>
          </w:p>
        </w:tc>
        <w:tc>
          <w:tcPr>
            <w:tcW w:w="1218" w:type="dxa"/>
          </w:tcPr>
          <w:p>
            <w:pPr>
              <w:pStyle w:val="TableParagraph"/>
              <w:rPr>
                <w:rFonts w:ascii="Times New Roman"/>
                <w:sz w:val="18"/>
              </w:rPr>
            </w:pPr>
          </w:p>
        </w:tc>
        <w:tc>
          <w:tcPr>
            <w:tcW w:w="1260" w:type="dxa"/>
          </w:tcPr>
          <w:p>
            <w:pPr>
              <w:pStyle w:val="TableParagraph"/>
              <w:rPr>
                <w:rFonts w:ascii="Times New Roman"/>
                <w:sz w:val="18"/>
              </w:rPr>
            </w:pPr>
          </w:p>
        </w:tc>
        <w:tc>
          <w:tcPr>
            <w:tcW w:w="1405" w:type="dxa"/>
          </w:tcPr>
          <w:p>
            <w:pPr>
              <w:pStyle w:val="TableParagraph"/>
              <w:rPr>
                <w:rFonts w:ascii="Times New Roman"/>
                <w:sz w:val="18"/>
              </w:rPr>
            </w:pPr>
          </w:p>
        </w:tc>
        <w:tc>
          <w:tcPr>
            <w:tcW w:w="1315" w:type="dxa"/>
            <w:tcBorders>
              <w:right w:val="single" w:sz="4" w:space="0" w:color="000000"/>
            </w:tcBorders>
          </w:tcPr>
          <w:p>
            <w:pPr>
              <w:pStyle w:val="TableParagraph"/>
              <w:rPr>
                <w:rFonts w:ascii="Times New Roman"/>
                <w:sz w:val="18"/>
              </w:rPr>
            </w:pPr>
          </w:p>
        </w:tc>
      </w:tr>
      <w:tr>
        <w:trPr>
          <w:trHeight w:val="268" w:hRule="atLeast"/>
        </w:trPr>
        <w:tc>
          <w:tcPr>
            <w:tcW w:w="5563"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6"/>
              <w:ind w:right="114"/>
              <w:jc w:val="right"/>
              <w:rPr>
                <w:b/>
                <w:sz w:val="20"/>
              </w:rPr>
            </w:pPr>
            <w:r>
              <w:rPr>
                <w:b/>
                <w:spacing w:val="-2"/>
                <w:sz w:val="20"/>
              </w:rPr>
              <w:t>10,680</w:t>
            </w:r>
          </w:p>
        </w:tc>
        <w:tc>
          <w:tcPr>
            <w:tcW w:w="1260" w:type="dxa"/>
          </w:tcPr>
          <w:p>
            <w:pPr>
              <w:pStyle w:val="TableParagraph"/>
              <w:spacing w:before="6"/>
              <w:ind w:right="168"/>
              <w:jc w:val="right"/>
              <w:rPr>
                <w:b/>
                <w:sz w:val="20"/>
              </w:rPr>
            </w:pPr>
            <w:r>
              <w:rPr>
                <w:b/>
                <w:spacing w:val="-2"/>
                <w:sz w:val="20"/>
              </w:rPr>
              <w:t>10,765</w:t>
            </w:r>
          </w:p>
        </w:tc>
        <w:tc>
          <w:tcPr>
            <w:tcW w:w="1405" w:type="dxa"/>
          </w:tcPr>
          <w:p>
            <w:pPr>
              <w:pStyle w:val="TableParagraph"/>
              <w:spacing w:before="6"/>
              <w:ind w:right="153"/>
              <w:jc w:val="right"/>
              <w:rPr>
                <w:b/>
                <w:sz w:val="20"/>
              </w:rPr>
            </w:pPr>
            <w:r>
              <w:rPr>
                <w:b/>
                <w:spacing w:val="-2"/>
                <w:sz w:val="20"/>
              </w:rPr>
              <w:t>10,957</w:t>
            </w:r>
          </w:p>
        </w:tc>
        <w:tc>
          <w:tcPr>
            <w:tcW w:w="1315" w:type="dxa"/>
            <w:tcBorders>
              <w:right w:val="single" w:sz="4" w:space="0" w:color="000000"/>
            </w:tcBorders>
          </w:tcPr>
          <w:p>
            <w:pPr>
              <w:pStyle w:val="TableParagraph"/>
              <w:spacing w:before="6"/>
              <w:ind w:right="99"/>
              <w:jc w:val="right"/>
              <w:rPr>
                <w:b/>
                <w:sz w:val="20"/>
              </w:rPr>
            </w:pPr>
            <w:r>
              <w:rPr>
                <w:b/>
                <w:spacing w:val="-2"/>
                <w:sz w:val="20"/>
              </w:rPr>
              <w:t>11,169</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4,219</w:t>
            </w:r>
          </w:p>
        </w:tc>
        <w:tc>
          <w:tcPr>
            <w:tcW w:w="1260" w:type="dxa"/>
          </w:tcPr>
          <w:p>
            <w:pPr>
              <w:pStyle w:val="TableParagraph"/>
              <w:spacing w:before="6"/>
              <w:ind w:right="166"/>
              <w:jc w:val="right"/>
              <w:rPr>
                <w:sz w:val="20"/>
              </w:rPr>
            </w:pPr>
            <w:r>
              <w:rPr>
                <w:spacing w:val="-2"/>
                <w:sz w:val="20"/>
              </w:rPr>
              <w:t>4,253</w:t>
            </w:r>
          </w:p>
        </w:tc>
        <w:tc>
          <w:tcPr>
            <w:tcW w:w="1405" w:type="dxa"/>
          </w:tcPr>
          <w:p>
            <w:pPr>
              <w:pStyle w:val="TableParagraph"/>
              <w:spacing w:before="6"/>
              <w:ind w:right="152"/>
              <w:jc w:val="right"/>
              <w:rPr>
                <w:sz w:val="20"/>
              </w:rPr>
            </w:pPr>
            <w:r>
              <w:rPr>
                <w:spacing w:val="-2"/>
                <w:sz w:val="20"/>
              </w:rPr>
              <w:t>4,329</w:t>
            </w:r>
          </w:p>
        </w:tc>
        <w:tc>
          <w:tcPr>
            <w:tcW w:w="1315" w:type="dxa"/>
            <w:tcBorders>
              <w:right w:val="single" w:sz="4" w:space="0" w:color="000000"/>
            </w:tcBorders>
          </w:tcPr>
          <w:p>
            <w:pPr>
              <w:pStyle w:val="TableParagraph"/>
              <w:spacing w:before="6"/>
              <w:ind w:right="97"/>
              <w:jc w:val="right"/>
              <w:rPr>
                <w:sz w:val="20"/>
              </w:rPr>
            </w:pPr>
            <w:r>
              <w:rPr>
                <w:spacing w:val="-2"/>
                <w:sz w:val="20"/>
              </w:rPr>
              <w:t>4,412</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pacing w:val="-5"/>
                <w:sz w:val="20"/>
              </w:rPr>
              <w:t>Men</w:t>
            </w:r>
          </w:p>
        </w:tc>
        <w:tc>
          <w:tcPr>
            <w:tcW w:w="1218" w:type="dxa"/>
          </w:tcPr>
          <w:p>
            <w:pPr>
              <w:pStyle w:val="TableParagraph"/>
              <w:spacing w:before="6"/>
              <w:ind w:right="113"/>
              <w:jc w:val="right"/>
              <w:rPr>
                <w:sz w:val="20"/>
              </w:rPr>
            </w:pPr>
            <w:r>
              <w:rPr>
                <w:spacing w:val="-2"/>
                <w:sz w:val="20"/>
              </w:rPr>
              <w:t>6,461</w:t>
            </w:r>
          </w:p>
        </w:tc>
        <w:tc>
          <w:tcPr>
            <w:tcW w:w="1260" w:type="dxa"/>
          </w:tcPr>
          <w:p>
            <w:pPr>
              <w:pStyle w:val="TableParagraph"/>
              <w:spacing w:before="6"/>
              <w:ind w:right="166"/>
              <w:jc w:val="right"/>
              <w:rPr>
                <w:sz w:val="20"/>
              </w:rPr>
            </w:pPr>
            <w:r>
              <w:rPr>
                <w:spacing w:val="-2"/>
                <w:sz w:val="20"/>
              </w:rPr>
              <w:t>6,513</w:t>
            </w:r>
          </w:p>
        </w:tc>
        <w:tc>
          <w:tcPr>
            <w:tcW w:w="1405" w:type="dxa"/>
          </w:tcPr>
          <w:p>
            <w:pPr>
              <w:pStyle w:val="TableParagraph"/>
              <w:spacing w:before="6"/>
              <w:ind w:right="152"/>
              <w:jc w:val="right"/>
              <w:rPr>
                <w:sz w:val="20"/>
              </w:rPr>
            </w:pPr>
            <w:r>
              <w:rPr>
                <w:spacing w:val="-2"/>
                <w:sz w:val="20"/>
              </w:rPr>
              <w:t>6,629</w:t>
            </w:r>
          </w:p>
        </w:tc>
        <w:tc>
          <w:tcPr>
            <w:tcW w:w="1315" w:type="dxa"/>
            <w:tcBorders>
              <w:right w:val="single" w:sz="4" w:space="0" w:color="000000"/>
            </w:tcBorders>
          </w:tcPr>
          <w:p>
            <w:pPr>
              <w:pStyle w:val="TableParagraph"/>
              <w:spacing w:before="6"/>
              <w:ind w:right="97"/>
              <w:jc w:val="right"/>
              <w:rPr>
                <w:sz w:val="20"/>
              </w:rPr>
            </w:pPr>
            <w:r>
              <w:rPr>
                <w:spacing w:val="-2"/>
                <w:sz w:val="20"/>
              </w:rPr>
              <w:t>6,757</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Vacant</w:t>
            </w:r>
            <w:r>
              <w:rPr>
                <w:spacing w:val="-7"/>
                <w:sz w:val="20"/>
              </w:rPr>
              <w:t> </w:t>
            </w:r>
            <w:r>
              <w:rPr>
                <w:spacing w:val="-2"/>
                <w:sz w:val="20"/>
              </w:rPr>
              <w:t>Position</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6" w:hRule="atLeast"/>
        </w:trPr>
        <w:tc>
          <w:tcPr>
            <w:tcW w:w="5563" w:type="dxa"/>
            <w:tcBorders>
              <w:left w:val="single" w:sz="4" w:space="0" w:color="000000"/>
            </w:tcBorders>
          </w:tcPr>
          <w:p>
            <w:pPr>
              <w:pStyle w:val="TableParagraph"/>
              <w:spacing w:line="223" w:lineRule="exact" w:before="23"/>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6"/>
              <w:ind w:right="113"/>
              <w:jc w:val="right"/>
              <w:rPr>
                <w:b/>
                <w:sz w:val="20"/>
              </w:rPr>
            </w:pPr>
            <w:r>
              <w:rPr>
                <w:b/>
                <w:spacing w:val="-2"/>
                <w:sz w:val="20"/>
              </w:rPr>
              <w:t>3,698</w:t>
            </w:r>
          </w:p>
        </w:tc>
        <w:tc>
          <w:tcPr>
            <w:tcW w:w="1260" w:type="dxa"/>
          </w:tcPr>
          <w:p>
            <w:pPr>
              <w:pStyle w:val="TableParagraph"/>
              <w:spacing w:before="6"/>
              <w:ind w:right="166"/>
              <w:jc w:val="right"/>
              <w:rPr>
                <w:b/>
                <w:sz w:val="20"/>
              </w:rPr>
            </w:pPr>
            <w:r>
              <w:rPr>
                <w:b/>
                <w:spacing w:val="-2"/>
                <w:sz w:val="20"/>
              </w:rPr>
              <w:t>3,728</w:t>
            </w:r>
          </w:p>
        </w:tc>
        <w:tc>
          <w:tcPr>
            <w:tcW w:w="1405" w:type="dxa"/>
          </w:tcPr>
          <w:p>
            <w:pPr>
              <w:pStyle w:val="TableParagraph"/>
              <w:spacing w:before="6"/>
              <w:ind w:right="152"/>
              <w:jc w:val="right"/>
              <w:rPr>
                <w:b/>
                <w:sz w:val="20"/>
              </w:rPr>
            </w:pPr>
            <w:r>
              <w:rPr>
                <w:b/>
                <w:spacing w:val="-2"/>
                <w:sz w:val="20"/>
              </w:rPr>
              <w:t>3,794</w:t>
            </w:r>
          </w:p>
        </w:tc>
        <w:tc>
          <w:tcPr>
            <w:tcW w:w="1315" w:type="dxa"/>
            <w:tcBorders>
              <w:right w:val="single" w:sz="4" w:space="0" w:color="000000"/>
            </w:tcBorders>
          </w:tcPr>
          <w:p>
            <w:pPr>
              <w:pStyle w:val="TableParagraph"/>
              <w:spacing w:before="6"/>
              <w:ind w:right="97"/>
              <w:jc w:val="right"/>
              <w:rPr>
                <w:b/>
                <w:sz w:val="20"/>
              </w:rPr>
            </w:pPr>
            <w:r>
              <w:rPr>
                <w:b/>
                <w:spacing w:val="-2"/>
                <w:sz w:val="20"/>
              </w:rPr>
              <w:t>3,867</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2,595</w:t>
            </w:r>
          </w:p>
        </w:tc>
        <w:tc>
          <w:tcPr>
            <w:tcW w:w="1260" w:type="dxa"/>
          </w:tcPr>
          <w:p>
            <w:pPr>
              <w:pStyle w:val="TableParagraph"/>
              <w:spacing w:before="6"/>
              <w:ind w:right="166"/>
              <w:jc w:val="right"/>
              <w:rPr>
                <w:sz w:val="20"/>
              </w:rPr>
            </w:pPr>
            <w:r>
              <w:rPr>
                <w:spacing w:val="-2"/>
                <w:sz w:val="20"/>
              </w:rPr>
              <w:t>2,616</w:t>
            </w:r>
          </w:p>
        </w:tc>
        <w:tc>
          <w:tcPr>
            <w:tcW w:w="1405" w:type="dxa"/>
          </w:tcPr>
          <w:p>
            <w:pPr>
              <w:pStyle w:val="TableParagraph"/>
              <w:spacing w:before="6"/>
              <w:ind w:right="152"/>
              <w:jc w:val="right"/>
              <w:rPr>
                <w:sz w:val="20"/>
              </w:rPr>
            </w:pPr>
            <w:r>
              <w:rPr>
                <w:spacing w:val="-2"/>
                <w:sz w:val="20"/>
              </w:rPr>
              <w:t>2,663</w:t>
            </w:r>
          </w:p>
        </w:tc>
        <w:tc>
          <w:tcPr>
            <w:tcW w:w="1315" w:type="dxa"/>
            <w:tcBorders>
              <w:right w:val="single" w:sz="4" w:space="0" w:color="000000"/>
            </w:tcBorders>
          </w:tcPr>
          <w:p>
            <w:pPr>
              <w:pStyle w:val="TableParagraph"/>
              <w:spacing w:before="6"/>
              <w:ind w:right="97"/>
              <w:jc w:val="right"/>
              <w:rPr>
                <w:sz w:val="20"/>
              </w:rPr>
            </w:pPr>
            <w:r>
              <w:rPr>
                <w:spacing w:val="-2"/>
                <w:sz w:val="20"/>
              </w:rPr>
              <w:t>2,714</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5"/>
                <w:sz w:val="20"/>
              </w:rPr>
              <w:t>Men</w:t>
            </w:r>
          </w:p>
        </w:tc>
        <w:tc>
          <w:tcPr>
            <w:tcW w:w="1218" w:type="dxa"/>
          </w:tcPr>
          <w:p>
            <w:pPr>
              <w:pStyle w:val="TableParagraph"/>
              <w:spacing w:before="6"/>
              <w:ind w:right="114"/>
              <w:jc w:val="right"/>
              <w:rPr>
                <w:sz w:val="20"/>
              </w:rPr>
            </w:pPr>
            <w:r>
              <w:rPr>
                <w:spacing w:val="-5"/>
                <w:sz w:val="20"/>
              </w:rPr>
              <w:t>875</w:t>
            </w:r>
          </w:p>
        </w:tc>
        <w:tc>
          <w:tcPr>
            <w:tcW w:w="1260" w:type="dxa"/>
          </w:tcPr>
          <w:p>
            <w:pPr>
              <w:pStyle w:val="TableParagraph"/>
              <w:spacing w:before="6"/>
              <w:ind w:right="167"/>
              <w:jc w:val="right"/>
              <w:rPr>
                <w:sz w:val="20"/>
              </w:rPr>
            </w:pPr>
            <w:r>
              <w:rPr>
                <w:spacing w:val="-5"/>
                <w:sz w:val="20"/>
              </w:rPr>
              <w:t>882</w:t>
            </w:r>
          </w:p>
        </w:tc>
        <w:tc>
          <w:tcPr>
            <w:tcW w:w="1405" w:type="dxa"/>
          </w:tcPr>
          <w:p>
            <w:pPr>
              <w:pStyle w:val="TableParagraph"/>
              <w:spacing w:before="6"/>
              <w:ind w:right="153"/>
              <w:jc w:val="right"/>
              <w:rPr>
                <w:sz w:val="20"/>
              </w:rPr>
            </w:pPr>
            <w:r>
              <w:rPr>
                <w:spacing w:val="-5"/>
                <w:sz w:val="20"/>
              </w:rPr>
              <w:t>898</w:t>
            </w:r>
          </w:p>
        </w:tc>
        <w:tc>
          <w:tcPr>
            <w:tcW w:w="1315" w:type="dxa"/>
            <w:tcBorders>
              <w:right w:val="single" w:sz="4" w:space="0" w:color="000000"/>
            </w:tcBorders>
          </w:tcPr>
          <w:p>
            <w:pPr>
              <w:pStyle w:val="TableParagraph"/>
              <w:spacing w:before="6"/>
              <w:ind w:right="98"/>
              <w:jc w:val="right"/>
              <w:rPr>
                <w:sz w:val="20"/>
              </w:rPr>
            </w:pPr>
            <w:r>
              <w:rPr>
                <w:spacing w:val="-5"/>
                <w:sz w:val="20"/>
              </w:rPr>
              <w:t>915</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56" w:hRule="atLeast"/>
        </w:trPr>
        <w:tc>
          <w:tcPr>
            <w:tcW w:w="5563" w:type="dxa"/>
            <w:tcBorders>
              <w:left w:val="single" w:sz="4" w:space="0" w:color="000000"/>
            </w:tcBorders>
          </w:tcPr>
          <w:p>
            <w:pPr>
              <w:pStyle w:val="TableParagraph"/>
              <w:spacing w:line="211" w:lineRule="exact" w:before="25"/>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before="6"/>
              <w:ind w:right="114"/>
              <w:jc w:val="right"/>
              <w:rPr>
                <w:sz w:val="20"/>
              </w:rPr>
            </w:pPr>
            <w:r>
              <w:rPr>
                <w:spacing w:val="-5"/>
                <w:sz w:val="20"/>
              </w:rPr>
              <w:t>228</w:t>
            </w:r>
          </w:p>
        </w:tc>
        <w:tc>
          <w:tcPr>
            <w:tcW w:w="1260" w:type="dxa"/>
            <w:tcBorders>
              <w:bottom w:val="single" w:sz="4" w:space="0" w:color="000000"/>
            </w:tcBorders>
          </w:tcPr>
          <w:p>
            <w:pPr>
              <w:pStyle w:val="TableParagraph"/>
              <w:spacing w:before="6"/>
              <w:ind w:right="167"/>
              <w:jc w:val="right"/>
              <w:rPr>
                <w:sz w:val="20"/>
              </w:rPr>
            </w:pPr>
            <w:r>
              <w:rPr>
                <w:spacing w:val="-5"/>
                <w:sz w:val="20"/>
              </w:rPr>
              <w:t>229</w:t>
            </w:r>
          </w:p>
        </w:tc>
        <w:tc>
          <w:tcPr>
            <w:tcW w:w="1405" w:type="dxa"/>
            <w:tcBorders>
              <w:bottom w:val="single" w:sz="4" w:space="0" w:color="000000"/>
            </w:tcBorders>
          </w:tcPr>
          <w:p>
            <w:pPr>
              <w:pStyle w:val="TableParagraph"/>
              <w:spacing w:before="6"/>
              <w:ind w:right="153"/>
              <w:jc w:val="right"/>
              <w:rPr>
                <w:sz w:val="20"/>
              </w:rPr>
            </w:pPr>
            <w:r>
              <w:rPr>
                <w:spacing w:val="-5"/>
                <w:sz w:val="20"/>
              </w:rPr>
              <w:t>233</w:t>
            </w:r>
          </w:p>
        </w:tc>
        <w:tc>
          <w:tcPr>
            <w:tcW w:w="1315" w:type="dxa"/>
            <w:tcBorders>
              <w:bottom w:val="single" w:sz="4" w:space="0" w:color="000000"/>
              <w:right w:val="single" w:sz="4" w:space="0" w:color="000000"/>
            </w:tcBorders>
          </w:tcPr>
          <w:p>
            <w:pPr>
              <w:pStyle w:val="TableParagraph"/>
              <w:spacing w:before="6"/>
              <w:ind w:right="98"/>
              <w:jc w:val="right"/>
              <w:rPr>
                <w:sz w:val="20"/>
              </w:rPr>
            </w:pPr>
            <w:r>
              <w:rPr>
                <w:spacing w:val="-5"/>
                <w:sz w:val="20"/>
              </w:rPr>
              <w:t>238</w:t>
            </w:r>
          </w:p>
        </w:tc>
      </w:tr>
      <w:tr>
        <w:trPr>
          <w:trHeight w:val="268" w:hRule="atLeast"/>
        </w:trPr>
        <w:tc>
          <w:tcPr>
            <w:tcW w:w="5563" w:type="dxa"/>
            <w:tcBorders>
              <w:left w:val="single" w:sz="4" w:space="0" w:color="000000"/>
            </w:tcBorders>
          </w:tcPr>
          <w:p>
            <w:pPr>
              <w:pStyle w:val="TableParagraph"/>
              <w:spacing w:line="211" w:lineRule="exact" w:before="38"/>
              <w:ind w:left="107"/>
              <w:rPr>
                <w:b/>
                <w:sz w:val="20"/>
              </w:rPr>
            </w:pPr>
            <w:r>
              <w:rPr>
                <w:b/>
                <w:sz w:val="20"/>
              </w:rPr>
              <w:t>Total</w:t>
            </w:r>
            <w:r>
              <w:rPr>
                <w:b/>
                <w:spacing w:val="-7"/>
                <w:sz w:val="20"/>
              </w:rPr>
              <w:t> </w:t>
            </w:r>
            <w:r>
              <w:rPr>
                <w:b/>
                <w:sz w:val="20"/>
              </w:rPr>
              <w:t>Strategy</w:t>
            </w:r>
            <w:r>
              <w:rPr>
                <w:b/>
                <w:spacing w:val="-7"/>
                <w:sz w:val="20"/>
              </w:rPr>
              <w:t> </w:t>
            </w:r>
            <w:r>
              <w:rPr>
                <w:b/>
                <w:sz w:val="20"/>
              </w:rPr>
              <w:t>and</w:t>
            </w:r>
            <w:r>
              <w:rPr>
                <w:b/>
                <w:spacing w:val="-7"/>
                <w:sz w:val="20"/>
              </w:rPr>
              <w:t> </w:t>
            </w:r>
            <w:r>
              <w:rPr>
                <w:b/>
                <w:spacing w:val="-2"/>
                <w:sz w:val="20"/>
              </w:rPr>
              <w:t>Development</w:t>
            </w:r>
          </w:p>
        </w:tc>
        <w:tc>
          <w:tcPr>
            <w:tcW w:w="1218" w:type="dxa"/>
            <w:tcBorders>
              <w:top w:val="single" w:sz="4" w:space="0" w:color="000000"/>
              <w:bottom w:val="single" w:sz="4" w:space="0" w:color="000000"/>
            </w:tcBorders>
          </w:tcPr>
          <w:p>
            <w:pPr>
              <w:pStyle w:val="TableParagraph"/>
              <w:spacing w:before="18"/>
              <w:ind w:right="114"/>
              <w:jc w:val="right"/>
              <w:rPr>
                <w:b/>
                <w:sz w:val="20"/>
              </w:rPr>
            </w:pPr>
            <w:r>
              <w:rPr>
                <w:b/>
                <w:spacing w:val="-2"/>
                <w:sz w:val="20"/>
              </w:rPr>
              <w:t>14,378</w:t>
            </w:r>
          </w:p>
        </w:tc>
        <w:tc>
          <w:tcPr>
            <w:tcW w:w="1260" w:type="dxa"/>
            <w:tcBorders>
              <w:top w:val="single" w:sz="4" w:space="0" w:color="000000"/>
              <w:bottom w:val="single" w:sz="4" w:space="0" w:color="000000"/>
            </w:tcBorders>
          </w:tcPr>
          <w:p>
            <w:pPr>
              <w:pStyle w:val="TableParagraph"/>
              <w:spacing w:before="18"/>
              <w:ind w:right="168"/>
              <w:jc w:val="right"/>
              <w:rPr>
                <w:b/>
                <w:sz w:val="20"/>
              </w:rPr>
            </w:pPr>
            <w:r>
              <w:rPr>
                <w:b/>
                <w:spacing w:val="-2"/>
                <w:sz w:val="20"/>
              </w:rPr>
              <w:t>14,493</w:t>
            </w:r>
          </w:p>
        </w:tc>
        <w:tc>
          <w:tcPr>
            <w:tcW w:w="1405" w:type="dxa"/>
            <w:tcBorders>
              <w:top w:val="single" w:sz="4" w:space="0" w:color="000000"/>
              <w:bottom w:val="single" w:sz="4" w:space="0" w:color="000000"/>
            </w:tcBorders>
          </w:tcPr>
          <w:p>
            <w:pPr>
              <w:pStyle w:val="TableParagraph"/>
              <w:spacing w:before="18"/>
              <w:ind w:right="153"/>
              <w:jc w:val="right"/>
              <w:rPr>
                <w:b/>
                <w:sz w:val="20"/>
              </w:rPr>
            </w:pPr>
            <w:r>
              <w:rPr>
                <w:b/>
                <w:spacing w:val="-2"/>
                <w:sz w:val="20"/>
              </w:rPr>
              <w:t>14,751</w:t>
            </w:r>
          </w:p>
        </w:tc>
        <w:tc>
          <w:tcPr>
            <w:tcW w:w="1315" w:type="dxa"/>
            <w:tcBorders>
              <w:top w:val="single" w:sz="4" w:space="0" w:color="000000"/>
              <w:bottom w:val="single" w:sz="4" w:space="0" w:color="000000"/>
              <w:right w:val="single" w:sz="4" w:space="0" w:color="000000"/>
            </w:tcBorders>
          </w:tcPr>
          <w:p>
            <w:pPr>
              <w:pStyle w:val="TableParagraph"/>
              <w:spacing w:before="18"/>
              <w:ind w:right="99"/>
              <w:jc w:val="right"/>
              <w:rPr>
                <w:b/>
                <w:sz w:val="20"/>
              </w:rPr>
            </w:pPr>
            <w:r>
              <w:rPr>
                <w:b/>
                <w:spacing w:val="-2"/>
                <w:sz w:val="20"/>
              </w:rPr>
              <w:t>15,037</w:t>
            </w:r>
          </w:p>
        </w:tc>
      </w:tr>
      <w:tr>
        <w:trPr>
          <w:trHeight w:val="281" w:hRule="atLeast"/>
        </w:trPr>
        <w:tc>
          <w:tcPr>
            <w:tcW w:w="5563" w:type="dxa"/>
            <w:tcBorders>
              <w:left w:val="single" w:sz="4" w:space="0" w:color="000000"/>
            </w:tcBorders>
          </w:tcPr>
          <w:p>
            <w:pPr>
              <w:pStyle w:val="TableParagraph"/>
              <w:spacing w:line="223" w:lineRule="exact" w:before="38"/>
              <w:ind w:left="107"/>
              <w:rPr>
                <w:b/>
                <w:sz w:val="20"/>
              </w:rPr>
            </w:pPr>
            <w:r>
              <w:rPr>
                <w:b/>
                <w:sz w:val="20"/>
              </w:rPr>
              <w:t>People</w:t>
            </w:r>
            <w:r>
              <w:rPr>
                <w:b/>
                <w:spacing w:val="-6"/>
                <w:sz w:val="20"/>
              </w:rPr>
              <w:t> </w:t>
            </w:r>
            <w:r>
              <w:rPr>
                <w:b/>
                <w:sz w:val="20"/>
              </w:rPr>
              <w:t>and</w:t>
            </w:r>
            <w:r>
              <w:rPr>
                <w:b/>
                <w:spacing w:val="-6"/>
                <w:sz w:val="20"/>
              </w:rPr>
              <w:t> </w:t>
            </w:r>
            <w:r>
              <w:rPr>
                <w:b/>
                <w:spacing w:val="-2"/>
                <w:sz w:val="20"/>
              </w:rPr>
              <w:t>Places</w:t>
            </w:r>
          </w:p>
        </w:tc>
        <w:tc>
          <w:tcPr>
            <w:tcW w:w="1218" w:type="dxa"/>
            <w:tcBorders>
              <w:top w:val="single" w:sz="4" w:space="0" w:color="000000"/>
            </w:tcBorders>
          </w:tcPr>
          <w:p>
            <w:pPr>
              <w:pStyle w:val="TableParagraph"/>
              <w:rPr>
                <w:rFonts w:ascii="Times New Roman"/>
                <w:sz w:val="18"/>
              </w:rPr>
            </w:pPr>
          </w:p>
        </w:tc>
        <w:tc>
          <w:tcPr>
            <w:tcW w:w="1260" w:type="dxa"/>
            <w:tcBorders>
              <w:top w:val="single" w:sz="4" w:space="0" w:color="000000"/>
            </w:tcBorders>
          </w:tcPr>
          <w:p>
            <w:pPr>
              <w:pStyle w:val="TableParagraph"/>
              <w:rPr>
                <w:rFonts w:ascii="Times New Roman"/>
                <w:sz w:val="18"/>
              </w:rPr>
            </w:pPr>
          </w:p>
        </w:tc>
        <w:tc>
          <w:tcPr>
            <w:tcW w:w="1405" w:type="dxa"/>
            <w:tcBorders>
              <w:top w:val="single" w:sz="4" w:space="0" w:color="000000"/>
            </w:tcBorders>
          </w:tcPr>
          <w:p>
            <w:pPr>
              <w:pStyle w:val="TableParagraph"/>
              <w:rPr>
                <w:rFonts w:ascii="Times New Roman"/>
                <w:sz w:val="18"/>
              </w:rPr>
            </w:pPr>
          </w:p>
        </w:tc>
        <w:tc>
          <w:tcPr>
            <w:tcW w:w="1315" w:type="dxa"/>
            <w:tcBorders>
              <w:top w:val="single" w:sz="4" w:space="0" w:color="000000"/>
              <w:right w:val="single" w:sz="4" w:space="0" w:color="000000"/>
            </w:tcBorders>
          </w:tcPr>
          <w:p>
            <w:pPr>
              <w:pStyle w:val="TableParagraph"/>
              <w:rPr>
                <w:rFonts w:ascii="Times New Roman"/>
                <w:sz w:val="18"/>
              </w:rPr>
            </w:pPr>
          </w:p>
        </w:tc>
      </w:tr>
      <w:tr>
        <w:trPr>
          <w:trHeight w:val="266" w:hRule="atLeast"/>
        </w:trPr>
        <w:tc>
          <w:tcPr>
            <w:tcW w:w="5563" w:type="dxa"/>
            <w:tcBorders>
              <w:left w:val="single" w:sz="4" w:space="0" w:color="000000"/>
            </w:tcBorders>
          </w:tcPr>
          <w:p>
            <w:pPr>
              <w:pStyle w:val="TableParagraph"/>
              <w:spacing w:line="223" w:lineRule="exact" w:before="23"/>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6"/>
              <w:ind w:right="113"/>
              <w:jc w:val="right"/>
              <w:rPr>
                <w:b/>
                <w:sz w:val="20"/>
              </w:rPr>
            </w:pPr>
            <w:r>
              <w:rPr>
                <w:b/>
                <w:spacing w:val="-2"/>
                <w:sz w:val="20"/>
              </w:rPr>
              <w:t>8,898</w:t>
            </w:r>
          </w:p>
        </w:tc>
        <w:tc>
          <w:tcPr>
            <w:tcW w:w="1260" w:type="dxa"/>
          </w:tcPr>
          <w:p>
            <w:pPr>
              <w:pStyle w:val="TableParagraph"/>
              <w:spacing w:before="6"/>
              <w:ind w:right="166"/>
              <w:jc w:val="right"/>
              <w:rPr>
                <w:b/>
                <w:sz w:val="20"/>
              </w:rPr>
            </w:pPr>
            <w:r>
              <w:rPr>
                <w:b/>
                <w:spacing w:val="-2"/>
                <w:sz w:val="20"/>
              </w:rPr>
              <w:t>8,969</w:t>
            </w:r>
          </w:p>
        </w:tc>
        <w:tc>
          <w:tcPr>
            <w:tcW w:w="1405" w:type="dxa"/>
          </w:tcPr>
          <w:p>
            <w:pPr>
              <w:pStyle w:val="TableParagraph"/>
              <w:spacing w:before="6"/>
              <w:ind w:right="152"/>
              <w:jc w:val="right"/>
              <w:rPr>
                <w:b/>
                <w:sz w:val="20"/>
              </w:rPr>
            </w:pPr>
            <w:r>
              <w:rPr>
                <w:b/>
                <w:spacing w:val="-2"/>
                <w:sz w:val="20"/>
              </w:rPr>
              <w:t>9,129</w:t>
            </w:r>
          </w:p>
        </w:tc>
        <w:tc>
          <w:tcPr>
            <w:tcW w:w="1315" w:type="dxa"/>
            <w:tcBorders>
              <w:right w:val="single" w:sz="4" w:space="0" w:color="000000"/>
            </w:tcBorders>
          </w:tcPr>
          <w:p>
            <w:pPr>
              <w:pStyle w:val="TableParagraph"/>
              <w:spacing w:before="6"/>
              <w:ind w:right="97"/>
              <w:jc w:val="right"/>
              <w:rPr>
                <w:b/>
                <w:sz w:val="20"/>
              </w:rPr>
            </w:pPr>
            <w:r>
              <w:rPr>
                <w:b/>
                <w:spacing w:val="-2"/>
                <w:sz w:val="20"/>
              </w:rPr>
              <w:t>9,305</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6,326</w:t>
            </w:r>
          </w:p>
        </w:tc>
        <w:tc>
          <w:tcPr>
            <w:tcW w:w="1260" w:type="dxa"/>
          </w:tcPr>
          <w:p>
            <w:pPr>
              <w:pStyle w:val="TableParagraph"/>
              <w:spacing w:before="6"/>
              <w:ind w:right="166"/>
              <w:jc w:val="right"/>
              <w:rPr>
                <w:sz w:val="20"/>
              </w:rPr>
            </w:pPr>
            <w:r>
              <w:rPr>
                <w:spacing w:val="-2"/>
                <w:sz w:val="20"/>
              </w:rPr>
              <w:t>6,376</w:t>
            </w:r>
          </w:p>
        </w:tc>
        <w:tc>
          <w:tcPr>
            <w:tcW w:w="1405" w:type="dxa"/>
          </w:tcPr>
          <w:p>
            <w:pPr>
              <w:pStyle w:val="TableParagraph"/>
              <w:spacing w:before="6"/>
              <w:ind w:right="152"/>
              <w:jc w:val="right"/>
              <w:rPr>
                <w:sz w:val="20"/>
              </w:rPr>
            </w:pPr>
            <w:r>
              <w:rPr>
                <w:spacing w:val="-2"/>
                <w:sz w:val="20"/>
              </w:rPr>
              <w:t>6,490</w:t>
            </w:r>
          </w:p>
        </w:tc>
        <w:tc>
          <w:tcPr>
            <w:tcW w:w="1315" w:type="dxa"/>
            <w:tcBorders>
              <w:right w:val="single" w:sz="4" w:space="0" w:color="000000"/>
            </w:tcBorders>
          </w:tcPr>
          <w:p>
            <w:pPr>
              <w:pStyle w:val="TableParagraph"/>
              <w:spacing w:before="6"/>
              <w:ind w:right="97"/>
              <w:jc w:val="right"/>
              <w:rPr>
                <w:sz w:val="20"/>
              </w:rPr>
            </w:pPr>
            <w:r>
              <w:rPr>
                <w:spacing w:val="-2"/>
                <w:sz w:val="20"/>
              </w:rPr>
              <w:t>6,615</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5"/>
                <w:sz w:val="20"/>
              </w:rPr>
              <w:t>Men</w:t>
            </w:r>
          </w:p>
        </w:tc>
        <w:tc>
          <w:tcPr>
            <w:tcW w:w="1218" w:type="dxa"/>
          </w:tcPr>
          <w:p>
            <w:pPr>
              <w:pStyle w:val="TableParagraph"/>
              <w:spacing w:before="6"/>
              <w:ind w:right="113"/>
              <w:jc w:val="right"/>
              <w:rPr>
                <w:sz w:val="20"/>
              </w:rPr>
            </w:pPr>
            <w:r>
              <w:rPr>
                <w:spacing w:val="-2"/>
                <w:sz w:val="20"/>
              </w:rPr>
              <w:t>1,951</w:t>
            </w:r>
          </w:p>
        </w:tc>
        <w:tc>
          <w:tcPr>
            <w:tcW w:w="1260" w:type="dxa"/>
          </w:tcPr>
          <w:p>
            <w:pPr>
              <w:pStyle w:val="TableParagraph"/>
              <w:spacing w:before="6"/>
              <w:ind w:right="166"/>
              <w:jc w:val="right"/>
              <w:rPr>
                <w:sz w:val="20"/>
              </w:rPr>
            </w:pPr>
            <w:r>
              <w:rPr>
                <w:spacing w:val="-2"/>
                <w:sz w:val="20"/>
              </w:rPr>
              <w:t>1,967</w:t>
            </w:r>
          </w:p>
        </w:tc>
        <w:tc>
          <w:tcPr>
            <w:tcW w:w="1405" w:type="dxa"/>
          </w:tcPr>
          <w:p>
            <w:pPr>
              <w:pStyle w:val="TableParagraph"/>
              <w:spacing w:before="6"/>
              <w:ind w:right="152"/>
              <w:jc w:val="right"/>
              <w:rPr>
                <w:sz w:val="20"/>
              </w:rPr>
            </w:pPr>
            <w:r>
              <w:rPr>
                <w:spacing w:val="-2"/>
                <w:sz w:val="20"/>
              </w:rPr>
              <w:t>2,002</w:t>
            </w:r>
          </w:p>
        </w:tc>
        <w:tc>
          <w:tcPr>
            <w:tcW w:w="1315" w:type="dxa"/>
            <w:tcBorders>
              <w:right w:val="single" w:sz="4" w:space="0" w:color="000000"/>
            </w:tcBorders>
          </w:tcPr>
          <w:p>
            <w:pPr>
              <w:pStyle w:val="TableParagraph"/>
              <w:spacing w:before="6"/>
              <w:ind w:right="97"/>
              <w:jc w:val="right"/>
              <w:rPr>
                <w:sz w:val="20"/>
              </w:rPr>
            </w:pPr>
            <w:r>
              <w:rPr>
                <w:spacing w:val="-2"/>
                <w:sz w:val="20"/>
              </w:rPr>
              <w:t>2,041</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4"/>
              <w:jc w:val="right"/>
              <w:rPr>
                <w:sz w:val="20"/>
              </w:rPr>
            </w:pPr>
            <w:r>
              <w:rPr>
                <w:spacing w:val="-5"/>
                <w:sz w:val="20"/>
              </w:rPr>
              <w:t>102</w:t>
            </w:r>
          </w:p>
        </w:tc>
        <w:tc>
          <w:tcPr>
            <w:tcW w:w="1260" w:type="dxa"/>
          </w:tcPr>
          <w:p>
            <w:pPr>
              <w:pStyle w:val="TableParagraph"/>
              <w:spacing w:before="6"/>
              <w:ind w:right="167"/>
              <w:jc w:val="right"/>
              <w:rPr>
                <w:sz w:val="20"/>
              </w:rPr>
            </w:pPr>
            <w:r>
              <w:rPr>
                <w:spacing w:val="-5"/>
                <w:sz w:val="20"/>
              </w:rPr>
              <w:t>103</w:t>
            </w:r>
          </w:p>
        </w:tc>
        <w:tc>
          <w:tcPr>
            <w:tcW w:w="1405" w:type="dxa"/>
          </w:tcPr>
          <w:p>
            <w:pPr>
              <w:pStyle w:val="TableParagraph"/>
              <w:spacing w:before="6"/>
              <w:ind w:right="153"/>
              <w:jc w:val="right"/>
              <w:rPr>
                <w:sz w:val="20"/>
              </w:rPr>
            </w:pPr>
            <w:r>
              <w:rPr>
                <w:spacing w:val="-5"/>
                <w:sz w:val="20"/>
              </w:rPr>
              <w:t>104</w:t>
            </w:r>
          </w:p>
        </w:tc>
        <w:tc>
          <w:tcPr>
            <w:tcW w:w="1315" w:type="dxa"/>
            <w:tcBorders>
              <w:right w:val="single" w:sz="4" w:space="0" w:color="000000"/>
            </w:tcBorders>
          </w:tcPr>
          <w:p>
            <w:pPr>
              <w:pStyle w:val="TableParagraph"/>
              <w:spacing w:before="6"/>
              <w:ind w:right="98"/>
              <w:jc w:val="right"/>
              <w:rPr>
                <w:sz w:val="20"/>
              </w:rPr>
            </w:pPr>
            <w:r>
              <w:rPr>
                <w:spacing w:val="-5"/>
                <w:sz w:val="20"/>
              </w:rPr>
              <w:t>106</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Vacant</w:t>
            </w:r>
            <w:r>
              <w:rPr>
                <w:spacing w:val="-7"/>
                <w:sz w:val="20"/>
              </w:rPr>
              <w:t> </w:t>
            </w:r>
            <w:r>
              <w:rPr>
                <w:spacing w:val="-2"/>
                <w:sz w:val="20"/>
              </w:rPr>
              <w:t>Position</w:t>
            </w:r>
          </w:p>
        </w:tc>
        <w:tc>
          <w:tcPr>
            <w:tcW w:w="1218" w:type="dxa"/>
          </w:tcPr>
          <w:p>
            <w:pPr>
              <w:pStyle w:val="TableParagraph"/>
              <w:spacing w:before="6"/>
              <w:ind w:right="114"/>
              <w:jc w:val="right"/>
              <w:rPr>
                <w:sz w:val="20"/>
              </w:rPr>
            </w:pPr>
            <w:r>
              <w:rPr>
                <w:spacing w:val="-5"/>
                <w:sz w:val="20"/>
              </w:rPr>
              <w:t>519</w:t>
            </w:r>
          </w:p>
        </w:tc>
        <w:tc>
          <w:tcPr>
            <w:tcW w:w="1260" w:type="dxa"/>
          </w:tcPr>
          <w:p>
            <w:pPr>
              <w:pStyle w:val="TableParagraph"/>
              <w:spacing w:before="6"/>
              <w:ind w:right="167"/>
              <w:jc w:val="right"/>
              <w:rPr>
                <w:sz w:val="20"/>
              </w:rPr>
            </w:pPr>
            <w:r>
              <w:rPr>
                <w:spacing w:val="-5"/>
                <w:sz w:val="20"/>
              </w:rPr>
              <w:t>523</w:t>
            </w:r>
          </w:p>
        </w:tc>
        <w:tc>
          <w:tcPr>
            <w:tcW w:w="1405" w:type="dxa"/>
          </w:tcPr>
          <w:p>
            <w:pPr>
              <w:pStyle w:val="TableParagraph"/>
              <w:spacing w:before="6"/>
              <w:ind w:right="153"/>
              <w:jc w:val="right"/>
              <w:rPr>
                <w:sz w:val="20"/>
              </w:rPr>
            </w:pPr>
            <w:r>
              <w:rPr>
                <w:spacing w:val="-5"/>
                <w:sz w:val="20"/>
              </w:rPr>
              <w:t>533</w:t>
            </w:r>
          </w:p>
        </w:tc>
        <w:tc>
          <w:tcPr>
            <w:tcW w:w="1315" w:type="dxa"/>
            <w:tcBorders>
              <w:right w:val="single" w:sz="4" w:space="0" w:color="000000"/>
            </w:tcBorders>
          </w:tcPr>
          <w:p>
            <w:pPr>
              <w:pStyle w:val="TableParagraph"/>
              <w:spacing w:before="6"/>
              <w:ind w:right="98"/>
              <w:jc w:val="right"/>
              <w:rPr>
                <w:sz w:val="20"/>
              </w:rPr>
            </w:pPr>
            <w:r>
              <w:rPr>
                <w:spacing w:val="-5"/>
                <w:sz w:val="20"/>
              </w:rPr>
              <w:t>543</w:t>
            </w:r>
          </w:p>
        </w:tc>
      </w:tr>
      <w:tr>
        <w:trPr>
          <w:trHeight w:val="268" w:hRule="atLeast"/>
        </w:trPr>
        <w:tc>
          <w:tcPr>
            <w:tcW w:w="5563"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6"/>
              <w:ind w:right="113"/>
              <w:jc w:val="right"/>
              <w:rPr>
                <w:b/>
                <w:sz w:val="20"/>
              </w:rPr>
            </w:pPr>
            <w:r>
              <w:rPr>
                <w:b/>
                <w:spacing w:val="-2"/>
                <w:sz w:val="20"/>
              </w:rPr>
              <w:t>7,081</w:t>
            </w:r>
          </w:p>
        </w:tc>
        <w:tc>
          <w:tcPr>
            <w:tcW w:w="1260" w:type="dxa"/>
          </w:tcPr>
          <w:p>
            <w:pPr>
              <w:pStyle w:val="TableParagraph"/>
              <w:spacing w:before="6"/>
              <w:ind w:right="166"/>
              <w:jc w:val="right"/>
              <w:rPr>
                <w:b/>
                <w:sz w:val="20"/>
              </w:rPr>
            </w:pPr>
            <w:r>
              <w:rPr>
                <w:b/>
                <w:spacing w:val="-2"/>
                <w:sz w:val="20"/>
              </w:rPr>
              <w:t>7,137</w:t>
            </w:r>
          </w:p>
        </w:tc>
        <w:tc>
          <w:tcPr>
            <w:tcW w:w="1405" w:type="dxa"/>
          </w:tcPr>
          <w:p>
            <w:pPr>
              <w:pStyle w:val="TableParagraph"/>
              <w:spacing w:before="6"/>
              <w:ind w:right="152"/>
              <w:jc w:val="right"/>
              <w:rPr>
                <w:b/>
                <w:sz w:val="20"/>
              </w:rPr>
            </w:pPr>
            <w:r>
              <w:rPr>
                <w:b/>
                <w:spacing w:val="-2"/>
                <w:sz w:val="20"/>
              </w:rPr>
              <w:t>7,264</w:t>
            </w:r>
          </w:p>
        </w:tc>
        <w:tc>
          <w:tcPr>
            <w:tcW w:w="1315" w:type="dxa"/>
            <w:tcBorders>
              <w:right w:val="single" w:sz="4" w:space="0" w:color="000000"/>
            </w:tcBorders>
          </w:tcPr>
          <w:p>
            <w:pPr>
              <w:pStyle w:val="TableParagraph"/>
              <w:spacing w:before="6"/>
              <w:ind w:right="97"/>
              <w:jc w:val="right"/>
              <w:rPr>
                <w:b/>
                <w:sz w:val="20"/>
              </w:rPr>
            </w:pPr>
            <w:r>
              <w:rPr>
                <w:b/>
                <w:spacing w:val="-2"/>
                <w:sz w:val="20"/>
              </w:rPr>
              <w:t>7,405</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5,762</w:t>
            </w:r>
          </w:p>
        </w:tc>
        <w:tc>
          <w:tcPr>
            <w:tcW w:w="1260" w:type="dxa"/>
          </w:tcPr>
          <w:p>
            <w:pPr>
              <w:pStyle w:val="TableParagraph"/>
              <w:spacing w:before="6"/>
              <w:ind w:right="166"/>
              <w:jc w:val="right"/>
              <w:rPr>
                <w:sz w:val="20"/>
              </w:rPr>
            </w:pPr>
            <w:r>
              <w:rPr>
                <w:spacing w:val="-2"/>
                <w:sz w:val="20"/>
              </w:rPr>
              <w:t>5,808</w:t>
            </w:r>
          </w:p>
        </w:tc>
        <w:tc>
          <w:tcPr>
            <w:tcW w:w="1405" w:type="dxa"/>
          </w:tcPr>
          <w:p>
            <w:pPr>
              <w:pStyle w:val="TableParagraph"/>
              <w:spacing w:before="6"/>
              <w:ind w:right="152"/>
              <w:jc w:val="right"/>
              <w:rPr>
                <w:sz w:val="20"/>
              </w:rPr>
            </w:pPr>
            <w:r>
              <w:rPr>
                <w:spacing w:val="-2"/>
                <w:sz w:val="20"/>
              </w:rPr>
              <w:t>5,911</w:t>
            </w:r>
          </w:p>
        </w:tc>
        <w:tc>
          <w:tcPr>
            <w:tcW w:w="1315" w:type="dxa"/>
            <w:tcBorders>
              <w:right w:val="single" w:sz="4" w:space="0" w:color="000000"/>
            </w:tcBorders>
          </w:tcPr>
          <w:p>
            <w:pPr>
              <w:pStyle w:val="TableParagraph"/>
              <w:spacing w:before="6"/>
              <w:ind w:right="97"/>
              <w:jc w:val="right"/>
              <w:rPr>
                <w:sz w:val="20"/>
              </w:rPr>
            </w:pPr>
            <w:r>
              <w:rPr>
                <w:spacing w:val="-2"/>
                <w:sz w:val="20"/>
              </w:rPr>
              <w:t>6,026</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5"/>
                <w:sz w:val="20"/>
              </w:rPr>
              <w:t>Men</w:t>
            </w:r>
          </w:p>
        </w:tc>
        <w:tc>
          <w:tcPr>
            <w:tcW w:w="1218" w:type="dxa"/>
          </w:tcPr>
          <w:p>
            <w:pPr>
              <w:pStyle w:val="TableParagraph"/>
              <w:spacing w:before="6"/>
              <w:ind w:right="114"/>
              <w:jc w:val="right"/>
              <w:rPr>
                <w:sz w:val="20"/>
              </w:rPr>
            </w:pPr>
            <w:r>
              <w:rPr>
                <w:spacing w:val="-5"/>
                <w:sz w:val="20"/>
              </w:rPr>
              <w:t>663</w:t>
            </w:r>
          </w:p>
        </w:tc>
        <w:tc>
          <w:tcPr>
            <w:tcW w:w="1260" w:type="dxa"/>
          </w:tcPr>
          <w:p>
            <w:pPr>
              <w:pStyle w:val="TableParagraph"/>
              <w:spacing w:before="6"/>
              <w:ind w:right="167"/>
              <w:jc w:val="right"/>
              <w:rPr>
                <w:sz w:val="20"/>
              </w:rPr>
            </w:pPr>
            <w:r>
              <w:rPr>
                <w:spacing w:val="-5"/>
                <w:sz w:val="20"/>
              </w:rPr>
              <w:t>668</w:t>
            </w:r>
          </w:p>
        </w:tc>
        <w:tc>
          <w:tcPr>
            <w:tcW w:w="1405" w:type="dxa"/>
          </w:tcPr>
          <w:p>
            <w:pPr>
              <w:pStyle w:val="TableParagraph"/>
              <w:spacing w:before="6"/>
              <w:ind w:right="153"/>
              <w:jc w:val="right"/>
              <w:rPr>
                <w:sz w:val="20"/>
              </w:rPr>
            </w:pPr>
            <w:r>
              <w:rPr>
                <w:spacing w:val="-5"/>
                <w:sz w:val="20"/>
              </w:rPr>
              <w:t>680</w:t>
            </w:r>
          </w:p>
        </w:tc>
        <w:tc>
          <w:tcPr>
            <w:tcW w:w="1315" w:type="dxa"/>
            <w:tcBorders>
              <w:right w:val="single" w:sz="4" w:space="0" w:color="000000"/>
            </w:tcBorders>
          </w:tcPr>
          <w:p>
            <w:pPr>
              <w:pStyle w:val="TableParagraph"/>
              <w:spacing w:before="6"/>
              <w:ind w:right="98"/>
              <w:jc w:val="right"/>
              <w:rPr>
                <w:sz w:val="20"/>
              </w:rPr>
            </w:pPr>
            <w:r>
              <w:rPr>
                <w:spacing w:val="-5"/>
                <w:sz w:val="20"/>
              </w:rPr>
              <w:t>694</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53" w:hRule="atLeast"/>
        </w:trPr>
        <w:tc>
          <w:tcPr>
            <w:tcW w:w="5563" w:type="dxa"/>
            <w:tcBorders>
              <w:left w:val="single" w:sz="4" w:space="0" w:color="000000"/>
            </w:tcBorders>
          </w:tcPr>
          <w:p>
            <w:pPr>
              <w:pStyle w:val="TableParagraph"/>
              <w:spacing w:line="211" w:lineRule="exact" w:before="23"/>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line="227" w:lineRule="exact" w:before="6"/>
              <w:ind w:right="114"/>
              <w:jc w:val="right"/>
              <w:rPr>
                <w:sz w:val="20"/>
              </w:rPr>
            </w:pPr>
            <w:r>
              <w:rPr>
                <w:spacing w:val="-5"/>
                <w:sz w:val="20"/>
              </w:rPr>
              <w:t>655</w:t>
            </w:r>
          </w:p>
        </w:tc>
        <w:tc>
          <w:tcPr>
            <w:tcW w:w="1260" w:type="dxa"/>
            <w:tcBorders>
              <w:bottom w:val="single" w:sz="4" w:space="0" w:color="000000"/>
            </w:tcBorders>
          </w:tcPr>
          <w:p>
            <w:pPr>
              <w:pStyle w:val="TableParagraph"/>
              <w:spacing w:line="227" w:lineRule="exact" w:before="6"/>
              <w:ind w:right="167"/>
              <w:jc w:val="right"/>
              <w:rPr>
                <w:sz w:val="20"/>
              </w:rPr>
            </w:pPr>
            <w:r>
              <w:rPr>
                <w:spacing w:val="-5"/>
                <w:sz w:val="20"/>
              </w:rPr>
              <w:t>661</w:t>
            </w:r>
          </w:p>
        </w:tc>
        <w:tc>
          <w:tcPr>
            <w:tcW w:w="1405" w:type="dxa"/>
            <w:tcBorders>
              <w:bottom w:val="single" w:sz="4" w:space="0" w:color="000000"/>
            </w:tcBorders>
          </w:tcPr>
          <w:p>
            <w:pPr>
              <w:pStyle w:val="TableParagraph"/>
              <w:spacing w:line="227" w:lineRule="exact" w:before="6"/>
              <w:ind w:right="153"/>
              <w:jc w:val="right"/>
              <w:rPr>
                <w:sz w:val="20"/>
              </w:rPr>
            </w:pPr>
            <w:r>
              <w:rPr>
                <w:spacing w:val="-5"/>
                <w:sz w:val="20"/>
              </w:rPr>
              <w:t>672</w:t>
            </w:r>
          </w:p>
        </w:tc>
        <w:tc>
          <w:tcPr>
            <w:tcW w:w="1315" w:type="dxa"/>
            <w:tcBorders>
              <w:bottom w:val="single" w:sz="4" w:space="0" w:color="000000"/>
              <w:right w:val="single" w:sz="4" w:space="0" w:color="000000"/>
            </w:tcBorders>
          </w:tcPr>
          <w:p>
            <w:pPr>
              <w:pStyle w:val="TableParagraph"/>
              <w:spacing w:line="227" w:lineRule="exact" w:before="6"/>
              <w:ind w:right="98"/>
              <w:jc w:val="right"/>
              <w:rPr>
                <w:sz w:val="20"/>
              </w:rPr>
            </w:pPr>
            <w:r>
              <w:rPr>
                <w:spacing w:val="-5"/>
                <w:sz w:val="20"/>
              </w:rPr>
              <w:t>685</w:t>
            </w:r>
          </w:p>
        </w:tc>
      </w:tr>
      <w:tr>
        <w:trPr>
          <w:trHeight w:val="268" w:hRule="atLeast"/>
        </w:trPr>
        <w:tc>
          <w:tcPr>
            <w:tcW w:w="5563" w:type="dxa"/>
            <w:tcBorders>
              <w:left w:val="single" w:sz="4" w:space="0" w:color="000000"/>
            </w:tcBorders>
          </w:tcPr>
          <w:p>
            <w:pPr>
              <w:pStyle w:val="TableParagraph"/>
              <w:spacing w:line="211" w:lineRule="exact" w:before="38"/>
              <w:ind w:left="107"/>
              <w:rPr>
                <w:b/>
                <w:sz w:val="20"/>
              </w:rPr>
            </w:pPr>
            <w:r>
              <w:rPr>
                <w:b/>
                <w:sz w:val="20"/>
              </w:rPr>
              <w:t>Total</w:t>
            </w:r>
            <w:r>
              <w:rPr>
                <w:b/>
                <w:spacing w:val="-8"/>
                <w:sz w:val="20"/>
              </w:rPr>
              <w:t> </w:t>
            </w:r>
            <w:r>
              <w:rPr>
                <w:b/>
                <w:sz w:val="20"/>
              </w:rPr>
              <w:t>People</w:t>
            </w:r>
            <w:r>
              <w:rPr>
                <w:b/>
                <w:spacing w:val="-4"/>
                <w:sz w:val="20"/>
              </w:rPr>
              <w:t> </w:t>
            </w:r>
            <w:r>
              <w:rPr>
                <w:b/>
                <w:sz w:val="20"/>
              </w:rPr>
              <w:t>and</w:t>
            </w:r>
            <w:r>
              <w:rPr>
                <w:b/>
                <w:spacing w:val="-4"/>
                <w:sz w:val="20"/>
              </w:rPr>
              <w:t> </w:t>
            </w:r>
            <w:r>
              <w:rPr>
                <w:b/>
                <w:spacing w:val="-2"/>
                <w:sz w:val="20"/>
              </w:rPr>
              <w:t>Places</w:t>
            </w:r>
          </w:p>
        </w:tc>
        <w:tc>
          <w:tcPr>
            <w:tcW w:w="1218" w:type="dxa"/>
            <w:tcBorders>
              <w:top w:val="single" w:sz="4" w:space="0" w:color="000000"/>
              <w:bottom w:val="single" w:sz="4" w:space="0" w:color="000000"/>
            </w:tcBorders>
          </w:tcPr>
          <w:p>
            <w:pPr>
              <w:pStyle w:val="TableParagraph"/>
              <w:spacing w:before="18"/>
              <w:ind w:right="114"/>
              <w:jc w:val="right"/>
              <w:rPr>
                <w:b/>
                <w:sz w:val="20"/>
              </w:rPr>
            </w:pPr>
            <w:r>
              <w:rPr>
                <w:b/>
                <w:spacing w:val="-2"/>
                <w:sz w:val="20"/>
              </w:rPr>
              <w:t>15,979</w:t>
            </w:r>
          </w:p>
        </w:tc>
        <w:tc>
          <w:tcPr>
            <w:tcW w:w="1260" w:type="dxa"/>
            <w:tcBorders>
              <w:top w:val="single" w:sz="4" w:space="0" w:color="000000"/>
              <w:bottom w:val="single" w:sz="4" w:space="0" w:color="000000"/>
            </w:tcBorders>
          </w:tcPr>
          <w:p>
            <w:pPr>
              <w:pStyle w:val="TableParagraph"/>
              <w:spacing w:before="18"/>
              <w:ind w:right="168"/>
              <w:jc w:val="right"/>
              <w:rPr>
                <w:b/>
                <w:sz w:val="20"/>
              </w:rPr>
            </w:pPr>
            <w:r>
              <w:rPr>
                <w:b/>
                <w:spacing w:val="-2"/>
                <w:sz w:val="20"/>
              </w:rPr>
              <w:t>16,106</w:t>
            </w:r>
          </w:p>
        </w:tc>
        <w:tc>
          <w:tcPr>
            <w:tcW w:w="1405" w:type="dxa"/>
            <w:tcBorders>
              <w:top w:val="single" w:sz="4" w:space="0" w:color="000000"/>
              <w:bottom w:val="single" w:sz="4" w:space="0" w:color="000000"/>
            </w:tcBorders>
          </w:tcPr>
          <w:p>
            <w:pPr>
              <w:pStyle w:val="TableParagraph"/>
              <w:spacing w:before="18"/>
              <w:ind w:right="153"/>
              <w:jc w:val="right"/>
              <w:rPr>
                <w:b/>
                <w:sz w:val="20"/>
              </w:rPr>
            </w:pPr>
            <w:r>
              <w:rPr>
                <w:b/>
                <w:spacing w:val="-2"/>
                <w:sz w:val="20"/>
              </w:rPr>
              <w:t>16,393</w:t>
            </w:r>
          </w:p>
        </w:tc>
        <w:tc>
          <w:tcPr>
            <w:tcW w:w="1315" w:type="dxa"/>
            <w:tcBorders>
              <w:top w:val="single" w:sz="4" w:space="0" w:color="000000"/>
              <w:bottom w:val="single" w:sz="4" w:space="0" w:color="000000"/>
              <w:right w:val="single" w:sz="4" w:space="0" w:color="000000"/>
            </w:tcBorders>
          </w:tcPr>
          <w:p>
            <w:pPr>
              <w:pStyle w:val="TableParagraph"/>
              <w:spacing w:before="18"/>
              <w:ind w:right="99"/>
              <w:jc w:val="right"/>
              <w:rPr>
                <w:b/>
                <w:sz w:val="20"/>
              </w:rPr>
            </w:pPr>
            <w:r>
              <w:rPr>
                <w:b/>
                <w:spacing w:val="-2"/>
                <w:sz w:val="20"/>
              </w:rPr>
              <w:t>16,710</w:t>
            </w:r>
          </w:p>
        </w:tc>
      </w:tr>
      <w:tr>
        <w:trPr>
          <w:trHeight w:val="281" w:hRule="atLeast"/>
        </w:trPr>
        <w:tc>
          <w:tcPr>
            <w:tcW w:w="5563" w:type="dxa"/>
            <w:tcBorders>
              <w:left w:val="single" w:sz="4" w:space="0" w:color="000000"/>
            </w:tcBorders>
          </w:tcPr>
          <w:p>
            <w:pPr>
              <w:pStyle w:val="TableParagraph"/>
              <w:spacing w:line="223" w:lineRule="exact" w:before="38"/>
              <w:ind w:left="107"/>
              <w:rPr>
                <w:b/>
                <w:sz w:val="20"/>
              </w:rPr>
            </w:pPr>
            <w:r>
              <w:rPr>
                <w:b/>
                <w:sz w:val="20"/>
              </w:rPr>
              <w:t>Assets</w:t>
            </w:r>
            <w:r>
              <w:rPr>
                <w:b/>
                <w:spacing w:val="-7"/>
                <w:sz w:val="20"/>
              </w:rPr>
              <w:t> </w:t>
            </w:r>
            <w:r>
              <w:rPr>
                <w:b/>
                <w:sz w:val="20"/>
              </w:rPr>
              <w:t>&amp;</w:t>
            </w:r>
            <w:r>
              <w:rPr>
                <w:b/>
                <w:spacing w:val="-5"/>
                <w:sz w:val="20"/>
              </w:rPr>
              <w:t> </w:t>
            </w:r>
            <w:r>
              <w:rPr>
                <w:b/>
                <w:spacing w:val="-2"/>
                <w:sz w:val="20"/>
              </w:rPr>
              <w:t>Leisure</w:t>
            </w:r>
          </w:p>
        </w:tc>
        <w:tc>
          <w:tcPr>
            <w:tcW w:w="1218" w:type="dxa"/>
            <w:tcBorders>
              <w:top w:val="single" w:sz="4" w:space="0" w:color="000000"/>
            </w:tcBorders>
          </w:tcPr>
          <w:p>
            <w:pPr>
              <w:pStyle w:val="TableParagraph"/>
              <w:rPr>
                <w:rFonts w:ascii="Times New Roman"/>
                <w:sz w:val="18"/>
              </w:rPr>
            </w:pPr>
          </w:p>
        </w:tc>
        <w:tc>
          <w:tcPr>
            <w:tcW w:w="1260" w:type="dxa"/>
            <w:tcBorders>
              <w:top w:val="single" w:sz="4" w:space="0" w:color="000000"/>
            </w:tcBorders>
          </w:tcPr>
          <w:p>
            <w:pPr>
              <w:pStyle w:val="TableParagraph"/>
              <w:rPr>
                <w:rFonts w:ascii="Times New Roman"/>
                <w:sz w:val="18"/>
              </w:rPr>
            </w:pPr>
          </w:p>
        </w:tc>
        <w:tc>
          <w:tcPr>
            <w:tcW w:w="1405" w:type="dxa"/>
            <w:tcBorders>
              <w:top w:val="single" w:sz="4" w:space="0" w:color="000000"/>
            </w:tcBorders>
          </w:tcPr>
          <w:p>
            <w:pPr>
              <w:pStyle w:val="TableParagraph"/>
              <w:rPr>
                <w:rFonts w:ascii="Times New Roman"/>
                <w:sz w:val="18"/>
              </w:rPr>
            </w:pPr>
          </w:p>
        </w:tc>
        <w:tc>
          <w:tcPr>
            <w:tcW w:w="1315" w:type="dxa"/>
            <w:tcBorders>
              <w:top w:val="single" w:sz="4" w:space="0" w:color="000000"/>
              <w:right w:val="single" w:sz="4" w:space="0" w:color="000000"/>
            </w:tcBorders>
          </w:tcPr>
          <w:p>
            <w:pPr>
              <w:pStyle w:val="TableParagraph"/>
              <w:rPr>
                <w:rFonts w:ascii="Times New Roman"/>
                <w:sz w:val="18"/>
              </w:rPr>
            </w:pPr>
          </w:p>
        </w:tc>
      </w:tr>
      <w:tr>
        <w:trPr>
          <w:trHeight w:val="268" w:hRule="atLeast"/>
        </w:trPr>
        <w:tc>
          <w:tcPr>
            <w:tcW w:w="5563"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6"/>
              <w:ind w:right="114"/>
              <w:jc w:val="right"/>
              <w:rPr>
                <w:b/>
                <w:sz w:val="20"/>
              </w:rPr>
            </w:pPr>
            <w:r>
              <w:rPr>
                <w:b/>
                <w:spacing w:val="-2"/>
                <w:sz w:val="20"/>
              </w:rPr>
              <w:t>16,194</w:t>
            </w:r>
          </w:p>
        </w:tc>
        <w:tc>
          <w:tcPr>
            <w:tcW w:w="1260" w:type="dxa"/>
          </w:tcPr>
          <w:p>
            <w:pPr>
              <w:pStyle w:val="TableParagraph"/>
              <w:spacing w:before="6"/>
              <w:ind w:right="168"/>
              <w:jc w:val="right"/>
              <w:rPr>
                <w:b/>
                <w:sz w:val="20"/>
              </w:rPr>
            </w:pPr>
            <w:r>
              <w:rPr>
                <w:b/>
                <w:spacing w:val="-2"/>
                <w:sz w:val="20"/>
              </w:rPr>
              <w:t>16,323</w:t>
            </w:r>
          </w:p>
        </w:tc>
        <w:tc>
          <w:tcPr>
            <w:tcW w:w="1405" w:type="dxa"/>
          </w:tcPr>
          <w:p>
            <w:pPr>
              <w:pStyle w:val="TableParagraph"/>
              <w:spacing w:before="6"/>
              <w:ind w:right="153"/>
              <w:jc w:val="right"/>
              <w:rPr>
                <w:b/>
                <w:sz w:val="20"/>
              </w:rPr>
            </w:pPr>
            <w:r>
              <w:rPr>
                <w:b/>
                <w:spacing w:val="-2"/>
                <w:sz w:val="20"/>
              </w:rPr>
              <w:t>16,614</w:t>
            </w:r>
          </w:p>
        </w:tc>
        <w:tc>
          <w:tcPr>
            <w:tcW w:w="1315" w:type="dxa"/>
            <w:tcBorders>
              <w:right w:val="single" w:sz="4" w:space="0" w:color="000000"/>
            </w:tcBorders>
          </w:tcPr>
          <w:p>
            <w:pPr>
              <w:pStyle w:val="TableParagraph"/>
              <w:spacing w:before="6"/>
              <w:ind w:right="99"/>
              <w:jc w:val="right"/>
              <w:rPr>
                <w:b/>
                <w:sz w:val="20"/>
              </w:rPr>
            </w:pPr>
            <w:r>
              <w:rPr>
                <w:b/>
                <w:spacing w:val="-2"/>
                <w:sz w:val="20"/>
              </w:rPr>
              <w:t>16,936</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2,465</w:t>
            </w:r>
          </w:p>
        </w:tc>
        <w:tc>
          <w:tcPr>
            <w:tcW w:w="1260" w:type="dxa"/>
          </w:tcPr>
          <w:p>
            <w:pPr>
              <w:pStyle w:val="TableParagraph"/>
              <w:spacing w:before="6"/>
              <w:ind w:right="166"/>
              <w:jc w:val="right"/>
              <w:rPr>
                <w:sz w:val="20"/>
              </w:rPr>
            </w:pPr>
            <w:r>
              <w:rPr>
                <w:spacing w:val="-2"/>
                <w:sz w:val="20"/>
              </w:rPr>
              <w:t>2,485</w:t>
            </w:r>
          </w:p>
        </w:tc>
        <w:tc>
          <w:tcPr>
            <w:tcW w:w="1405" w:type="dxa"/>
          </w:tcPr>
          <w:p>
            <w:pPr>
              <w:pStyle w:val="TableParagraph"/>
              <w:spacing w:before="6"/>
              <w:ind w:right="152"/>
              <w:jc w:val="right"/>
              <w:rPr>
                <w:sz w:val="20"/>
              </w:rPr>
            </w:pPr>
            <w:r>
              <w:rPr>
                <w:spacing w:val="-2"/>
                <w:sz w:val="20"/>
              </w:rPr>
              <w:t>2,529</w:t>
            </w:r>
          </w:p>
        </w:tc>
        <w:tc>
          <w:tcPr>
            <w:tcW w:w="1315" w:type="dxa"/>
            <w:tcBorders>
              <w:right w:val="single" w:sz="4" w:space="0" w:color="000000"/>
            </w:tcBorders>
          </w:tcPr>
          <w:p>
            <w:pPr>
              <w:pStyle w:val="TableParagraph"/>
              <w:spacing w:before="6"/>
              <w:ind w:right="97"/>
              <w:jc w:val="right"/>
              <w:rPr>
                <w:sz w:val="20"/>
              </w:rPr>
            </w:pPr>
            <w:r>
              <w:rPr>
                <w:spacing w:val="-2"/>
                <w:sz w:val="20"/>
              </w:rPr>
              <w:t>2,578</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5"/>
                <w:sz w:val="20"/>
              </w:rPr>
              <w:t>Men</w:t>
            </w:r>
          </w:p>
        </w:tc>
        <w:tc>
          <w:tcPr>
            <w:tcW w:w="1218" w:type="dxa"/>
          </w:tcPr>
          <w:p>
            <w:pPr>
              <w:pStyle w:val="TableParagraph"/>
              <w:spacing w:before="6"/>
              <w:ind w:right="114"/>
              <w:jc w:val="right"/>
              <w:rPr>
                <w:sz w:val="20"/>
              </w:rPr>
            </w:pPr>
            <w:r>
              <w:rPr>
                <w:spacing w:val="-2"/>
                <w:sz w:val="20"/>
              </w:rPr>
              <w:t>12,797</w:t>
            </w:r>
          </w:p>
        </w:tc>
        <w:tc>
          <w:tcPr>
            <w:tcW w:w="1260" w:type="dxa"/>
          </w:tcPr>
          <w:p>
            <w:pPr>
              <w:pStyle w:val="TableParagraph"/>
              <w:spacing w:before="6"/>
              <w:ind w:right="168"/>
              <w:jc w:val="right"/>
              <w:rPr>
                <w:sz w:val="20"/>
              </w:rPr>
            </w:pPr>
            <w:r>
              <w:rPr>
                <w:spacing w:val="-2"/>
                <w:sz w:val="20"/>
              </w:rPr>
              <w:t>12,899</w:t>
            </w:r>
          </w:p>
        </w:tc>
        <w:tc>
          <w:tcPr>
            <w:tcW w:w="1405" w:type="dxa"/>
          </w:tcPr>
          <w:p>
            <w:pPr>
              <w:pStyle w:val="TableParagraph"/>
              <w:spacing w:before="6"/>
              <w:ind w:right="153"/>
              <w:jc w:val="right"/>
              <w:rPr>
                <w:sz w:val="20"/>
              </w:rPr>
            </w:pPr>
            <w:r>
              <w:rPr>
                <w:spacing w:val="-2"/>
                <w:sz w:val="20"/>
              </w:rPr>
              <w:t>13,128</w:t>
            </w:r>
          </w:p>
        </w:tc>
        <w:tc>
          <w:tcPr>
            <w:tcW w:w="1315" w:type="dxa"/>
            <w:tcBorders>
              <w:right w:val="single" w:sz="4" w:space="0" w:color="000000"/>
            </w:tcBorders>
          </w:tcPr>
          <w:p>
            <w:pPr>
              <w:pStyle w:val="TableParagraph"/>
              <w:spacing w:before="6"/>
              <w:ind w:right="99"/>
              <w:jc w:val="right"/>
              <w:rPr>
                <w:sz w:val="20"/>
              </w:rPr>
            </w:pPr>
            <w:r>
              <w:rPr>
                <w:spacing w:val="-2"/>
                <w:sz w:val="20"/>
              </w:rPr>
              <w:t>13,382</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z w:val="20"/>
              </w:rPr>
              <w:t>Vacant</w:t>
            </w:r>
            <w:r>
              <w:rPr>
                <w:spacing w:val="-7"/>
                <w:sz w:val="20"/>
              </w:rPr>
              <w:t> </w:t>
            </w:r>
            <w:r>
              <w:rPr>
                <w:spacing w:val="-2"/>
                <w:sz w:val="20"/>
              </w:rPr>
              <w:t>Position</w:t>
            </w:r>
          </w:p>
        </w:tc>
        <w:tc>
          <w:tcPr>
            <w:tcW w:w="1218" w:type="dxa"/>
          </w:tcPr>
          <w:p>
            <w:pPr>
              <w:pStyle w:val="TableParagraph"/>
              <w:spacing w:before="6"/>
              <w:ind w:right="114"/>
              <w:jc w:val="right"/>
              <w:rPr>
                <w:sz w:val="20"/>
              </w:rPr>
            </w:pPr>
            <w:r>
              <w:rPr>
                <w:spacing w:val="-5"/>
                <w:sz w:val="20"/>
              </w:rPr>
              <w:t>932</w:t>
            </w:r>
          </w:p>
        </w:tc>
        <w:tc>
          <w:tcPr>
            <w:tcW w:w="1260" w:type="dxa"/>
          </w:tcPr>
          <w:p>
            <w:pPr>
              <w:pStyle w:val="TableParagraph"/>
              <w:spacing w:before="6"/>
              <w:ind w:right="167"/>
              <w:jc w:val="right"/>
              <w:rPr>
                <w:sz w:val="20"/>
              </w:rPr>
            </w:pPr>
            <w:r>
              <w:rPr>
                <w:spacing w:val="-5"/>
                <w:sz w:val="20"/>
              </w:rPr>
              <w:t>940</w:t>
            </w:r>
          </w:p>
        </w:tc>
        <w:tc>
          <w:tcPr>
            <w:tcW w:w="1405" w:type="dxa"/>
          </w:tcPr>
          <w:p>
            <w:pPr>
              <w:pStyle w:val="TableParagraph"/>
              <w:spacing w:before="6"/>
              <w:ind w:right="153"/>
              <w:jc w:val="right"/>
              <w:rPr>
                <w:sz w:val="20"/>
              </w:rPr>
            </w:pPr>
            <w:r>
              <w:rPr>
                <w:spacing w:val="-5"/>
                <w:sz w:val="20"/>
              </w:rPr>
              <w:t>957</w:t>
            </w:r>
          </w:p>
        </w:tc>
        <w:tc>
          <w:tcPr>
            <w:tcW w:w="1315" w:type="dxa"/>
            <w:tcBorders>
              <w:right w:val="single" w:sz="4" w:space="0" w:color="000000"/>
            </w:tcBorders>
          </w:tcPr>
          <w:p>
            <w:pPr>
              <w:pStyle w:val="TableParagraph"/>
              <w:spacing w:before="6"/>
              <w:ind w:right="98"/>
              <w:jc w:val="right"/>
              <w:rPr>
                <w:sz w:val="20"/>
              </w:rPr>
            </w:pPr>
            <w:r>
              <w:rPr>
                <w:spacing w:val="-5"/>
                <w:sz w:val="20"/>
              </w:rPr>
              <w:t>975</w:t>
            </w:r>
          </w:p>
        </w:tc>
      </w:tr>
      <w:tr>
        <w:trPr>
          <w:trHeight w:val="268" w:hRule="atLeast"/>
        </w:trPr>
        <w:tc>
          <w:tcPr>
            <w:tcW w:w="5563"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6"/>
              <w:ind w:right="113"/>
              <w:jc w:val="right"/>
              <w:rPr>
                <w:b/>
                <w:sz w:val="20"/>
              </w:rPr>
            </w:pPr>
            <w:r>
              <w:rPr>
                <w:b/>
                <w:spacing w:val="-2"/>
                <w:sz w:val="20"/>
              </w:rPr>
              <w:t>2,576</w:t>
            </w:r>
          </w:p>
        </w:tc>
        <w:tc>
          <w:tcPr>
            <w:tcW w:w="1260" w:type="dxa"/>
          </w:tcPr>
          <w:p>
            <w:pPr>
              <w:pStyle w:val="TableParagraph"/>
              <w:spacing w:before="6"/>
              <w:ind w:right="166"/>
              <w:jc w:val="right"/>
              <w:rPr>
                <w:b/>
                <w:sz w:val="20"/>
              </w:rPr>
            </w:pPr>
            <w:r>
              <w:rPr>
                <w:b/>
                <w:spacing w:val="-2"/>
                <w:sz w:val="20"/>
              </w:rPr>
              <w:t>2,597</w:t>
            </w:r>
          </w:p>
        </w:tc>
        <w:tc>
          <w:tcPr>
            <w:tcW w:w="1405" w:type="dxa"/>
          </w:tcPr>
          <w:p>
            <w:pPr>
              <w:pStyle w:val="TableParagraph"/>
              <w:spacing w:before="6"/>
              <w:ind w:right="152"/>
              <w:jc w:val="right"/>
              <w:rPr>
                <w:b/>
                <w:sz w:val="20"/>
              </w:rPr>
            </w:pPr>
            <w:r>
              <w:rPr>
                <w:b/>
                <w:spacing w:val="-2"/>
                <w:sz w:val="20"/>
              </w:rPr>
              <w:t>2,643</w:t>
            </w:r>
          </w:p>
        </w:tc>
        <w:tc>
          <w:tcPr>
            <w:tcW w:w="1315" w:type="dxa"/>
            <w:tcBorders>
              <w:right w:val="single" w:sz="4" w:space="0" w:color="000000"/>
            </w:tcBorders>
          </w:tcPr>
          <w:p>
            <w:pPr>
              <w:pStyle w:val="TableParagraph"/>
              <w:spacing w:before="6"/>
              <w:ind w:right="97"/>
              <w:jc w:val="right"/>
              <w:rPr>
                <w:b/>
                <w:sz w:val="20"/>
              </w:rPr>
            </w:pPr>
            <w:r>
              <w:rPr>
                <w:b/>
                <w:spacing w:val="-2"/>
                <w:sz w:val="20"/>
              </w:rPr>
              <w:t>2,694</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3"/>
              <w:jc w:val="right"/>
              <w:rPr>
                <w:sz w:val="20"/>
              </w:rPr>
            </w:pPr>
            <w:r>
              <w:rPr>
                <w:spacing w:val="-2"/>
                <w:sz w:val="20"/>
              </w:rPr>
              <w:t>2,149</w:t>
            </w:r>
          </w:p>
        </w:tc>
        <w:tc>
          <w:tcPr>
            <w:tcW w:w="1260" w:type="dxa"/>
          </w:tcPr>
          <w:p>
            <w:pPr>
              <w:pStyle w:val="TableParagraph"/>
              <w:spacing w:before="6"/>
              <w:ind w:right="166"/>
              <w:jc w:val="right"/>
              <w:rPr>
                <w:sz w:val="20"/>
              </w:rPr>
            </w:pPr>
            <w:r>
              <w:rPr>
                <w:spacing w:val="-2"/>
                <w:sz w:val="20"/>
              </w:rPr>
              <w:t>2,166</w:t>
            </w:r>
          </w:p>
        </w:tc>
        <w:tc>
          <w:tcPr>
            <w:tcW w:w="1405" w:type="dxa"/>
          </w:tcPr>
          <w:p>
            <w:pPr>
              <w:pStyle w:val="TableParagraph"/>
              <w:spacing w:before="6"/>
              <w:ind w:right="152"/>
              <w:jc w:val="right"/>
              <w:rPr>
                <w:sz w:val="20"/>
              </w:rPr>
            </w:pPr>
            <w:r>
              <w:rPr>
                <w:spacing w:val="-2"/>
                <w:sz w:val="20"/>
              </w:rPr>
              <w:t>2,205</w:t>
            </w:r>
          </w:p>
        </w:tc>
        <w:tc>
          <w:tcPr>
            <w:tcW w:w="1315" w:type="dxa"/>
            <w:tcBorders>
              <w:right w:val="single" w:sz="4" w:space="0" w:color="000000"/>
            </w:tcBorders>
          </w:tcPr>
          <w:p>
            <w:pPr>
              <w:pStyle w:val="TableParagraph"/>
              <w:spacing w:before="6"/>
              <w:ind w:right="97"/>
              <w:jc w:val="right"/>
              <w:rPr>
                <w:sz w:val="20"/>
              </w:rPr>
            </w:pPr>
            <w:r>
              <w:rPr>
                <w:spacing w:val="-2"/>
                <w:sz w:val="20"/>
              </w:rPr>
              <w:t>2,248</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pacing w:val="-5"/>
                <w:sz w:val="20"/>
              </w:rPr>
              <w:t>Men</w:t>
            </w:r>
          </w:p>
        </w:tc>
        <w:tc>
          <w:tcPr>
            <w:tcW w:w="1218" w:type="dxa"/>
          </w:tcPr>
          <w:p>
            <w:pPr>
              <w:pStyle w:val="TableParagraph"/>
              <w:spacing w:before="6"/>
              <w:ind w:right="114"/>
              <w:jc w:val="right"/>
              <w:rPr>
                <w:sz w:val="20"/>
              </w:rPr>
            </w:pPr>
            <w:r>
              <w:rPr>
                <w:spacing w:val="-5"/>
                <w:sz w:val="20"/>
              </w:rPr>
              <w:t>147</w:t>
            </w:r>
          </w:p>
        </w:tc>
        <w:tc>
          <w:tcPr>
            <w:tcW w:w="1260" w:type="dxa"/>
          </w:tcPr>
          <w:p>
            <w:pPr>
              <w:pStyle w:val="TableParagraph"/>
              <w:spacing w:before="6"/>
              <w:ind w:right="167"/>
              <w:jc w:val="right"/>
              <w:rPr>
                <w:sz w:val="20"/>
              </w:rPr>
            </w:pPr>
            <w:r>
              <w:rPr>
                <w:spacing w:val="-5"/>
                <w:sz w:val="20"/>
              </w:rPr>
              <w:t>149</w:t>
            </w:r>
          </w:p>
        </w:tc>
        <w:tc>
          <w:tcPr>
            <w:tcW w:w="1405" w:type="dxa"/>
          </w:tcPr>
          <w:p>
            <w:pPr>
              <w:pStyle w:val="TableParagraph"/>
              <w:spacing w:before="6"/>
              <w:ind w:right="153"/>
              <w:jc w:val="right"/>
              <w:rPr>
                <w:sz w:val="20"/>
              </w:rPr>
            </w:pPr>
            <w:r>
              <w:rPr>
                <w:spacing w:val="-5"/>
                <w:sz w:val="20"/>
              </w:rPr>
              <w:t>151</w:t>
            </w:r>
          </w:p>
        </w:tc>
        <w:tc>
          <w:tcPr>
            <w:tcW w:w="1315" w:type="dxa"/>
            <w:tcBorders>
              <w:right w:val="single" w:sz="4" w:space="0" w:color="000000"/>
            </w:tcBorders>
          </w:tcPr>
          <w:p>
            <w:pPr>
              <w:pStyle w:val="TableParagraph"/>
              <w:spacing w:before="6"/>
              <w:ind w:right="98"/>
              <w:jc w:val="right"/>
              <w:rPr>
                <w:sz w:val="20"/>
              </w:rPr>
            </w:pPr>
            <w:r>
              <w:rPr>
                <w:spacing w:val="-5"/>
                <w:sz w:val="20"/>
              </w:rPr>
              <w:t>154</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56" w:hRule="atLeast"/>
        </w:trPr>
        <w:tc>
          <w:tcPr>
            <w:tcW w:w="5563" w:type="dxa"/>
            <w:tcBorders>
              <w:left w:val="single" w:sz="4" w:space="0" w:color="000000"/>
            </w:tcBorders>
          </w:tcPr>
          <w:p>
            <w:pPr>
              <w:pStyle w:val="TableParagraph"/>
              <w:spacing w:line="211" w:lineRule="exact" w:before="25"/>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before="6"/>
              <w:ind w:right="114"/>
              <w:jc w:val="right"/>
              <w:rPr>
                <w:sz w:val="20"/>
              </w:rPr>
            </w:pPr>
            <w:r>
              <w:rPr>
                <w:spacing w:val="-5"/>
                <w:sz w:val="20"/>
              </w:rPr>
              <w:t>280</w:t>
            </w:r>
          </w:p>
        </w:tc>
        <w:tc>
          <w:tcPr>
            <w:tcW w:w="1260" w:type="dxa"/>
            <w:tcBorders>
              <w:bottom w:val="single" w:sz="4" w:space="0" w:color="000000"/>
            </w:tcBorders>
          </w:tcPr>
          <w:p>
            <w:pPr>
              <w:pStyle w:val="TableParagraph"/>
              <w:spacing w:before="6"/>
              <w:ind w:right="167"/>
              <w:jc w:val="right"/>
              <w:rPr>
                <w:sz w:val="20"/>
              </w:rPr>
            </w:pPr>
            <w:r>
              <w:rPr>
                <w:spacing w:val="-5"/>
                <w:sz w:val="20"/>
              </w:rPr>
              <w:t>282</w:t>
            </w:r>
          </w:p>
        </w:tc>
        <w:tc>
          <w:tcPr>
            <w:tcW w:w="1405" w:type="dxa"/>
            <w:tcBorders>
              <w:bottom w:val="single" w:sz="4" w:space="0" w:color="000000"/>
            </w:tcBorders>
          </w:tcPr>
          <w:p>
            <w:pPr>
              <w:pStyle w:val="TableParagraph"/>
              <w:spacing w:before="6"/>
              <w:ind w:right="153"/>
              <w:jc w:val="right"/>
              <w:rPr>
                <w:sz w:val="20"/>
              </w:rPr>
            </w:pPr>
            <w:r>
              <w:rPr>
                <w:spacing w:val="-5"/>
                <w:sz w:val="20"/>
              </w:rPr>
              <w:t>287</w:t>
            </w:r>
          </w:p>
        </w:tc>
        <w:tc>
          <w:tcPr>
            <w:tcW w:w="1315" w:type="dxa"/>
            <w:tcBorders>
              <w:bottom w:val="single" w:sz="4" w:space="0" w:color="000000"/>
              <w:right w:val="single" w:sz="4" w:space="0" w:color="000000"/>
            </w:tcBorders>
          </w:tcPr>
          <w:p>
            <w:pPr>
              <w:pStyle w:val="TableParagraph"/>
              <w:spacing w:before="6"/>
              <w:ind w:right="98"/>
              <w:jc w:val="right"/>
              <w:rPr>
                <w:sz w:val="20"/>
              </w:rPr>
            </w:pPr>
            <w:r>
              <w:rPr>
                <w:spacing w:val="-5"/>
                <w:sz w:val="20"/>
              </w:rPr>
              <w:t>293</w:t>
            </w:r>
          </w:p>
        </w:tc>
      </w:tr>
      <w:tr>
        <w:trPr>
          <w:trHeight w:val="268" w:hRule="atLeast"/>
        </w:trPr>
        <w:tc>
          <w:tcPr>
            <w:tcW w:w="5563" w:type="dxa"/>
            <w:tcBorders>
              <w:left w:val="single" w:sz="4" w:space="0" w:color="000000"/>
            </w:tcBorders>
          </w:tcPr>
          <w:p>
            <w:pPr>
              <w:pStyle w:val="TableParagraph"/>
              <w:spacing w:line="211" w:lineRule="exact" w:before="38"/>
              <w:ind w:left="107"/>
              <w:rPr>
                <w:b/>
                <w:sz w:val="20"/>
              </w:rPr>
            </w:pPr>
            <w:r>
              <w:rPr>
                <w:b/>
                <w:sz w:val="20"/>
              </w:rPr>
              <w:t>Total</w:t>
            </w:r>
            <w:r>
              <w:rPr>
                <w:b/>
                <w:spacing w:val="-5"/>
                <w:sz w:val="20"/>
              </w:rPr>
              <w:t> </w:t>
            </w:r>
            <w:r>
              <w:rPr>
                <w:b/>
                <w:sz w:val="20"/>
              </w:rPr>
              <w:t>Assets</w:t>
            </w:r>
            <w:r>
              <w:rPr>
                <w:b/>
                <w:spacing w:val="-6"/>
                <w:sz w:val="20"/>
              </w:rPr>
              <w:t> </w:t>
            </w:r>
            <w:r>
              <w:rPr>
                <w:b/>
                <w:sz w:val="20"/>
              </w:rPr>
              <w:t>&amp;</w:t>
            </w:r>
            <w:r>
              <w:rPr>
                <w:b/>
                <w:spacing w:val="-5"/>
                <w:sz w:val="20"/>
              </w:rPr>
              <w:t> </w:t>
            </w:r>
            <w:r>
              <w:rPr>
                <w:b/>
                <w:spacing w:val="-2"/>
                <w:sz w:val="20"/>
              </w:rPr>
              <w:t>Leisure</w:t>
            </w:r>
          </w:p>
        </w:tc>
        <w:tc>
          <w:tcPr>
            <w:tcW w:w="1218" w:type="dxa"/>
            <w:tcBorders>
              <w:top w:val="single" w:sz="4" w:space="0" w:color="000000"/>
              <w:bottom w:val="single" w:sz="4" w:space="0" w:color="000000"/>
            </w:tcBorders>
          </w:tcPr>
          <w:p>
            <w:pPr>
              <w:pStyle w:val="TableParagraph"/>
              <w:spacing w:before="18"/>
              <w:ind w:right="114"/>
              <w:jc w:val="right"/>
              <w:rPr>
                <w:b/>
                <w:sz w:val="20"/>
              </w:rPr>
            </w:pPr>
            <w:r>
              <w:rPr>
                <w:b/>
                <w:spacing w:val="-2"/>
                <w:sz w:val="20"/>
              </w:rPr>
              <w:t>18,771</w:t>
            </w:r>
          </w:p>
        </w:tc>
        <w:tc>
          <w:tcPr>
            <w:tcW w:w="1260" w:type="dxa"/>
            <w:tcBorders>
              <w:top w:val="single" w:sz="4" w:space="0" w:color="000000"/>
              <w:bottom w:val="single" w:sz="4" w:space="0" w:color="000000"/>
            </w:tcBorders>
          </w:tcPr>
          <w:p>
            <w:pPr>
              <w:pStyle w:val="TableParagraph"/>
              <w:spacing w:before="18"/>
              <w:ind w:right="168"/>
              <w:jc w:val="right"/>
              <w:rPr>
                <w:b/>
                <w:sz w:val="20"/>
              </w:rPr>
            </w:pPr>
            <w:r>
              <w:rPr>
                <w:b/>
                <w:spacing w:val="-2"/>
                <w:sz w:val="20"/>
              </w:rPr>
              <w:t>18,920</w:t>
            </w:r>
          </w:p>
        </w:tc>
        <w:tc>
          <w:tcPr>
            <w:tcW w:w="1405" w:type="dxa"/>
            <w:tcBorders>
              <w:top w:val="single" w:sz="4" w:space="0" w:color="000000"/>
              <w:bottom w:val="single" w:sz="4" w:space="0" w:color="000000"/>
            </w:tcBorders>
          </w:tcPr>
          <w:p>
            <w:pPr>
              <w:pStyle w:val="TableParagraph"/>
              <w:spacing w:before="18"/>
              <w:ind w:right="153"/>
              <w:jc w:val="right"/>
              <w:rPr>
                <w:b/>
                <w:sz w:val="20"/>
              </w:rPr>
            </w:pPr>
            <w:r>
              <w:rPr>
                <w:b/>
                <w:spacing w:val="-2"/>
                <w:sz w:val="20"/>
              </w:rPr>
              <w:t>19,258</w:t>
            </w:r>
          </w:p>
        </w:tc>
        <w:tc>
          <w:tcPr>
            <w:tcW w:w="1315" w:type="dxa"/>
            <w:tcBorders>
              <w:top w:val="single" w:sz="4" w:space="0" w:color="000000"/>
              <w:bottom w:val="single" w:sz="4" w:space="0" w:color="000000"/>
              <w:right w:val="single" w:sz="4" w:space="0" w:color="000000"/>
            </w:tcBorders>
          </w:tcPr>
          <w:p>
            <w:pPr>
              <w:pStyle w:val="TableParagraph"/>
              <w:spacing w:before="18"/>
              <w:ind w:right="99"/>
              <w:jc w:val="right"/>
              <w:rPr>
                <w:b/>
                <w:sz w:val="20"/>
              </w:rPr>
            </w:pPr>
            <w:r>
              <w:rPr>
                <w:b/>
                <w:spacing w:val="-2"/>
                <w:sz w:val="20"/>
              </w:rPr>
              <w:t>19,630</w:t>
            </w:r>
          </w:p>
        </w:tc>
      </w:tr>
      <w:tr>
        <w:trPr>
          <w:trHeight w:val="278" w:hRule="atLeast"/>
        </w:trPr>
        <w:tc>
          <w:tcPr>
            <w:tcW w:w="5563" w:type="dxa"/>
            <w:tcBorders>
              <w:left w:val="single" w:sz="4" w:space="0" w:color="000000"/>
            </w:tcBorders>
          </w:tcPr>
          <w:p>
            <w:pPr>
              <w:pStyle w:val="TableParagraph"/>
              <w:spacing w:line="223" w:lineRule="exact" w:before="35"/>
              <w:ind w:left="107"/>
              <w:rPr>
                <w:b/>
                <w:sz w:val="20"/>
              </w:rPr>
            </w:pPr>
            <w:r>
              <w:rPr>
                <w:b/>
                <w:sz w:val="20"/>
              </w:rPr>
              <w:t>Chief</w:t>
            </w:r>
            <w:r>
              <w:rPr>
                <w:b/>
                <w:spacing w:val="-9"/>
                <w:sz w:val="20"/>
              </w:rPr>
              <w:t> </w:t>
            </w:r>
            <w:r>
              <w:rPr>
                <w:b/>
                <w:sz w:val="20"/>
              </w:rPr>
              <w:t>Executive's</w:t>
            </w:r>
            <w:r>
              <w:rPr>
                <w:b/>
                <w:spacing w:val="-9"/>
                <w:sz w:val="20"/>
              </w:rPr>
              <w:t> </w:t>
            </w:r>
            <w:r>
              <w:rPr>
                <w:b/>
                <w:spacing w:val="-2"/>
                <w:sz w:val="20"/>
              </w:rPr>
              <w:t>office</w:t>
            </w:r>
          </w:p>
        </w:tc>
        <w:tc>
          <w:tcPr>
            <w:tcW w:w="1218" w:type="dxa"/>
            <w:tcBorders>
              <w:top w:val="single" w:sz="4" w:space="0" w:color="000000"/>
            </w:tcBorders>
          </w:tcPr>
          <w:p>
            <w:pPr>
              <w:pStyle w:val="TableParagraph"/>
              <w:rPr>
                <w:rFonts w:ascii="Times New Roman"/>
                <w:sz w:val="18"/>
              </w:rPr>
            </w:pPr>
          </w:p>
        </w:tc>
        <w:tc>
          <w:tcPr>
            <w:tcW w:w="1260" w:type="dxa"/>
            <w:tcBorders>
              <w:top w:val="single" w:sz="4" w:space="0" w:color="000000"/>
            </w:tcBorders>
          </w:tcPr>
          <w:p>
            <w:pPr>
              <w:pStyle w:val="TableParagraph"/>
              <w:rPr>
                <w:rFonts w:ascii="Times New Roman"/>
                <w:sz w:val="18"/>
              </w:rPr>
            </w:pPr>
          </w:p>
        </w:tc>
        <w:tc>
          <w:tcPr>
            <w:tcW w:w="1405" w:type="dxa"/>
            <w:tcBorders>
              <w:top w:val="single" w:sz="4" w:space="0" w:color="000000"/>
            </w:tcBorders>
          </w:tcPr>
          <w:p>
            <w:pPr>
              <w:pStyle w:val="TableParagraph"/>
              <w:rPr>
                <w:rFonts w:ascii="Times New Roman"/>
                <w:sz w:val="18"/>
              </w:rPr>
            </w:pPr>
          </w:p>
        </w:tc>
        <w:tc>
          <w:tcPr>
            <w:tcW w:w="1315" w:type="dxa"/>
            <w:tcBorders>
              <w:top w:val="single" w:sz="4" w:space="0" w:color="000000"/>
              <w:right w:val="single" w:sz="4" w:space="0" w:color="000000"/>
            </w:tcBorders>
          </w:tcPr>
          <w:p>
            <w:pPr>
              <w:pStyle w:val="TableParagraph"/>
              <w:rPr>
                <w:rFonts w:ascii="Times New Roman"/>
                <w:sz w:val="18"/>
              </w:rPr>
            </w:pPr>
          </w:p>
        </w:tc>
      </w:tr>
      <w:tr>
        <w:trPr>
          <w:trHeight w:val="268" w:hRule="atLeast"/>
        </w:trPr>
        <w:tc>
          <w:tcPr>
            <w:tcW w:w="5563"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6"/>
              <w:ind w:right="113"/>
              <w:jc w:val="right"/>
              <w:rPr>
                <w:b/>
                <w:sz w:val="20"/>
              </w:rPr>
            </w:pPr>
            <w:r>
              <w:rPr>
                <w:b/>
                <w:spacing w:val="-2"/>
                <w:sz w:val="20"/>
              </w:rPr>
              <w:t>1,073</w:t>
            </w:r>
          </w:p>
        </w:tc>
        <w:tc>
          <w:tcPr>
            <w:tcW w:w="1260" w:type="dxa"/>
          </w:tcPr>
          <w:p>
            <w:pPr>
              <w:pStyle w:val="TableParagraph"/>
              <w:spacing w:before="6"/>
              <w:ind w:right="166"/>
              <w:jc w:val="right"/>
              <w:rPr>
                <w:b/>
                <w:sz w:val="20"/>
              </w:rPr>
            </w:pPr>
            <w:r>
              <w:rPr>
                <w:b/>
                <w:spacing w:val="-2"/>
                <w:sz w:val="20"/>
              </w:rPr>
              <w:t>1,081</w:t>
            </w:r>
          </w:p>
        </w:tc>
        <w:tc>
          <w:tcPr>
            <w:tcW w:w="1405" w:type="dxa"/>
          </w:tcPr>
          <w:p>
            <w:pPr>
              <w:pStyle w:val="TableParagraph"/>
              <w:spacing w:before="6"/>
              <w:ind w:right="152"/>
              <w:jc w:val="right"/>
              <w:rPr>
                <w:b/>
                <w:sz w:val="20"/>
              </w:rPr>
            </w:pPr>
            <w:r>
              <w:rPr>
                <w:b/>
                <w:spacing w:val="-2"/>
                <w:sz w:val="20"/>
              </w:rPr>
              <w:t>1,100</w:t>
            </w:r>
          </w:p>
        </w:tc>
        <w:tc>
          <w:tcPr>
            <w:tcW w:w="1315" w:type="dxa"/>
            <w:tcBorders>
              <w:right w:val="single" w:sz="4" w:space="0" w:color="000000"/>
            </w:tcBorders>
          </w:tcPr>
          <w:p>
            <w:pPr>
              <w:pStyle w:val="TableParagraph"/>
              <w:spacing w:before="6"/>
              <w:ind w:right="97"/>
              <w:jc w:val="right"/>
              <w:rPr>
                <w:b/>
                <w:sz w:val="20"/>
              </w:rPr>
            </w:pPr>
            <w:r>
              <w:rPr>
                <w:b/>
                <w:spacing w:val="-2"/>
                <w:sz w:val="20"/>
              </w:rPr>
              <w:t>1,122</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4"/>
              <w:jc w:val="right"/>
              <w:rPr>
                <w:sz w:val="20"/>
              </w:rPr>
            </w:pPr>
            <w:r>
              <w:rPr>
                <w:spacing w:val="-5"/>
                <w:sz w:val="20"/>
              </w:rPr>
              <w:t>579</w:t>
            </w:r>
          </w:p>
        </w:tc>
        <w:tc>
          <w:tcPr>
            <w:tcW w:w="1260" w:type="dxa"/>
          </w:tcPr>
          <w:p>
            <w:pPr>
              <w:pStyle w:val="TableParagraph"/>
              <w:spacing w:before="6"/>
              <w:ind w:right="167"/>
              <w:jc w:val="right"/>
              <w:rPr>
                <w:sz w:val="20"/>
              </w:rPr>
            </w:pPr>
            <w:r>
              <w:rPr>
                <w:spacing w:val="-5"/>
                <w:sz w:val="20"/>
              </w:rPr>
              <w:t>583</w:t>
            </w:r>
          </w:p>
        </w:tc>
        <w:tc>
          <w:tcPr>
            <w:tcW w:w="1405" w:type="dxa"/>
          </w:tcPr>
          <w:p>
            <w:pPr>
              <w:pStyle w:val="TableParagraph"/>
              <w:spacing w:before="6"/>
              <w:ind w:right="153"/>
              <w:jc w:val="right"/>
              <w:rPr>
                <w:sz w:val="20"/>
              </w:rPr>
            </w:pPr>
            <w:r>
              <w:rPr>
                <w:spacing w:val="-5"/>
                <w:sz w:val="20"/>
              </w:rPr>
              <w:t>594</w:t>
            </w:r>
          </w:p>
        </w:tc>
        <w:tc>
          <w:tcPr>
            <w:tcW w:w="1315" w:type="dxa"/>
            <w:tcBorders>
              <w:right w:val="single" w:sz="4" w:space="0" w:color="000000"/>
            </w:tcBorders>
          </w:tcPr>
          <w:p>
            <w:pPr>
              <w:pStyle w:val="TableParagraph"/>
              <w:spacing w:before="6"/>
              <w:ind w:right="98"/>
              <w:jc w:val="right"/>
              <w:rPr>
                <w:sz w:val="20"/>
              </w:rPr>
            </w:pPr>
            <w:r>
              <w:rPr>
                <w:spacing w:val="-5"/>
                <w:sz w:val="20"/>
              </w:rPr>
              <w:t>605</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pacing w:val="-5"/>
                <w:sz w:val="20"/>
              </w:rPr>
              <w:t>Men</w:t>
            </w:r>
          </w:p>
        </w:tc>
        <w:tc>
          <w:tcPr>
            <w:tcW w:w="1218" w:type="dxa"/>
          </w:tcPr>
          <w:p>
            <w:pPr>
              <w:pStyle w:val="TableParagraph"/>
              <w:spacing w:before="6"/>
              <w:ind w:right="114"/>
              <w:jc w:val="right"/>
              <w:rPr>
                <w:sz w:val="20"/>
              </w:rPr>
            </w:pPr>
            <w:r>
              <w:rPr>
                <w:spacing w:val="-5"/>
                <w:sz w:val="20"/>
              </w:rPr>
              <w:t>494</w:t>
            </w:r>
          </w:p>
        </w:tc>
        <w:tc>
          <w:tcPr>
            <w:tcW w:w="1260" w:type="dxa"/>
          </w:tcPr>
          <w:p>
            <w:pPr>
              <w:pStyle w:val="TableParagraph"/>
              <w:spacing w:before="6"/>
              <w:ind w:right="167"/>
              <w:jc w:val="right"/>
              <w:rPr>
                <w:sz w:val="20"/>
              </w:rPr>
            </w:pPr>
            <w:r>
              <w:rPr>
                <w:spacing w:val="-5"/>
                <w:sz w:val="20"/>
              </w:rPr>
              <w:t>498</w:t>
            </w:r>
          </w:p>
        </w:tc>
        <w:tc>
          <w:tcPr>
            <w:tcW w:w="1405" w:type="dxa"/>
          </w:tcPr>
          <w:p>
            <w:pPr>
              <w:pStyle w:val="TableParagraph"/>
              <w:spacing w:before="6"/>
              <w:ind w:right="153"/>
              <w:jc w:val="right"/>
              <w:rPr>
                <w:sz w:val="20"/>
              </w:rPr>
            </w:pPr>
            <w:r>
              <w:rPr>
                <w:spacing w:val="-5"/>
                <w:sz w:val="20"/>
              </w:rPr>
              <w:t>507</w:t>
            </w:r>
          </w:p>
        </w:tc>
        <w:tc>
          <w:tcPr>
            <w:tcW w:w="1315" w:type="dxa"/>
            <w:tcBorders>
              <w:right w:val="single" w:sz="4" w:space="0" w:color="000000"/>
            </w:tcBorders>
          </w:tcPr>
          <w:p>
            <w:pPr>
              <w:pStyle w:val="TableParagraph"/>
              <w:spacing w:before="6"/>
              <w:ind w:right="98"/>
              <w:jc w:val="right"/>
              <w:rPr>
                <w:sz w:val="20"/>
              </w:rPr>
            </w:pPr>
            <w:r>
              <w:rPr>
                <w:spacing w:val="-5"/>
                <w:sz w:val="20"/>
              </w:rPr>
              <w:t>516</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z w:val="20"/>
              </w:rPr>
              <w:t>Vacant</w:t>
            </w:r>
            <w:r>
              <w:rPr>
                <w:spacing w:val="-7"/>
                <w:sz w:val="20"/>
              </w:rPr>
              <w:t> </w:t>
            </w:r>
            <w:r>
              <w:rPr>
                <w:spacing w:val="-2"/>
                <w:sz w:val="20"/>
              </w:rPr>
              <w:t>Position</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6" w:hRule="atLeast"/>
        </w:trPr>
        <w:tc>
          <w:tcPr>
            <w:tcW w:w="5563" w:type="dxa"/>
            <w:tcBorders>
              <w:left w:val="single" w:sz="4" w:space="0" w:color="000000"/>
            </w:tcBorders>
          </w:tcPr>
          <w:p>
            <w:pPr>
              <w:pStyle w:val="TableParagraph"/>
              <w:spacing w:line="223" w:lineRule="exact" w:before="23"/>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6"/>
              <w:ind w:right="114"/>
              <w:jc w:val="right"/>
              <w:rPr>
                <w:b/>
                <w:sz w:val="20"/>
              </w:rPr>
            </w:pPr>
            <w:r>
              <w:rPr>
                <w:b/>
                <w:spacing w:val="-5"/>
                <w:sz w:val="20"/>
              </w:rPr>
              <w:t>20</w:t>
            </w:r>
          </w:p>
        </w:tc>
        <w:tc>
          <w:tcPr>
            <w:tcW w:w="1260" w:type="dxa"/>
          </w:tcPr>
          <w:p>
            <w:pPr>
              <w:pStyle w:val="TableParagraph"/>
              <w:spacing w:before="6"/>
              <w:ind w:right="167"/>
              <w:jc w:val="right"/>
              <w:rPr>
                <w:b/>
                <w:sz w:val="20"/>
              </w:rPr>
            </w:pPr>
            <w:r>
              <w:rPr>
                <w:b/>
                <w:spacing w:val="-5"/>
                <w:sz w:val="20"/>
              </w:rPr>
              <w:t>20</w:t>
            </w:r>
          </w:p>
        </w:tc>
        <w:tc>
          <w:tcPr>
            <w:tcW w:w="1405" w:type="dxa"/>
          </w:tcPr>
          <w:p>
            <w:pPr>
              <w:pStyle w:val="TableParagraph"/>
              <w:spacing w:before="6"/>
              <w:ind w:right="154"/>
              <w:jc w:val="right"/>
              <w:rPr>
                <w:b/>
                <w:sz w:val="20"/>
              </w:rPr>
            </w:pPr>
            <w:r>
              <w:rPr>
                <w:b/>
                <w:spacing w:val="-5"/>
                <w:sz w:val="20"/>
              </w:rPr>
              <w:t>21</w:t>
            </w:r>
          </w:p>
        </w:tc>
        <w:tc>
          <w:tcPr>
            <w:tcW w:w="1315" w:type="dxa"/>
            <w:tcBorders>
              <w:right w:val="single" w:sz="4" w:space="0" w:color="000000"/>
            </w:tcBorders>
          </w:tcPr>
          <w:p>
            <w:pPr>
              <w:pStyle w:val="TableParagraph"/>
              <w:spacing w:before="6"/>
              <w:ind w:right="98"/>
              <w:jc w:val="right"/>
              <w:rPr>
                <w:b/>
                <w:sz w:val="20"/>
              </w:rPr>
            </w:pPr>
            <w:r>
              <w:rPr>
                <w:b/>
                <w:spacing w:val="-5"/>
                <w:sz w:val="20"/>
              </w:rPr>
              <w:t>21</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2"/>
                <w:sz w:val="20"/>
              </w:rPr>
              <w:t>Women</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8" w:hRule="atLeast"/>
        </w:trPr>
        <w:tc>
          <w:tcPr>
            <w:tcW w:w="5563" w:type="dxa"/>
            <w:tcBorders>
              <w:left w:val="single" w:sz="4" w:space="0" w:color="000000"/>
            </w:tcBorders>
          </w:tcPr>
          <w:p>
            <w:pPr>
              <w:pStyle w:val="TableParagraph"/>
              <w:spacing w:line="223" w:lineRule="exact" w:before="25"/>
              <w:ind w:left="107"/>
              <w:rPr>
                <w:sz w:val="20"/>
              </w:rPr>
            </w:pPr>
            <w:r>
              <w:rPr>
                <w:spacing w:val="-5"/>
                <w:sz w:val="20"/>
              </w:rPr>
              <w:t>Men</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66" w:hRule="atLeast"/>
        </w:trPr>
        <w:tc>
          <w:tcPr>
            <w:tcW w:w="5563" w:type="dxa"/>
            <w:tcBorders>
              <w:left w:val="single" w:sz="4" w:space="0" w:color="000000"/>
            </w:tcBorders>
          </w:tcPr>
          <w:p>
            <w:pPr>
              <w:pStyle w:val="TableParagraph"/>
              <w:spacing w:line="223" w:lineRule="exact" w:before="23"/>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6"/>
              <w:ind w:right="111"/>
              <w:jc w:val="right"/>
              <w:rPr>
                <w:sz w:val="20"/>
              </w:rPr>
            </w:pPr>
            <w:r>
              <w:rPr>
                <w:w w:val="99"/>
                <w:sz w:val="20"/>
              </w:rPr>
              <w:t>0</w:t>
            </w:r>
          </w:p>
        </w:tc>
        <w:tc>
          <w:tcPr>
            <w:tcW w:w="1260" w:type="dxa"/>
          </w:tcPr>
          <w:p>
            <w:pPr>
              <w:pStyle w:val="TableParagraph"/>
              <w:spacing w:before="6"/>
              <w:ind w:right="164"/>
              <w:jc w:val="right"/>
              <w:rPr>
                <w:sz w:val="20"/>
              </w:rPr>
            </w:pPr>
            <w:r>
              <w:rPr>
                <w:w w:val="99"/>
                <w:sz w:val="20"/>
              </w:rPr>
              <w:t>0</w:t>
            </w:r>
          </w:p>
        </w:tc>
        <w:tc>
          <w:tcPr>
            <w:tcW w:w="1405" w:type="dxa"/>
          </w:tcPr>
          <w:p>
            <w:pPr>
              <w:pStyle w:val="TableParagraph"/>
              <w:spacing w:before="6"/>
              <w:ind w:right="150"/>
              <w:jc w:val="right"/>
              <w:rPr>
                <w:sz w:val="20"/>
              </w:rPr>
            </w:pPr>
            <w:r>
              <w:rPr>
                <w:w w:val="99"/>
                <w:sz w:val="20"/>
              </w:rPr>
              <w:t>0</w:t>
            </w:r>
          </w:p>
        </w:tc>
        <w:tc>
          <w:tcPr>
            <w:tcW w:w="1315" w:type="dxa"/>
            <w:tcBorders>
              <w:right w:val="single" w:sz="4" w:space="0" w:color="000000"/>
            </w:tcBorders>
          </w:tcPr>
          <w:p>
            <w:pPr>
              <w:pStyle w:val="TableParagraph"/>
              <w:spacing w:before="6"/>
              <w:ind w:right="95"/>
              <w:jc w:val="right"/>
              <w:rPr>
                <w:sz w:val="20"/>
              </w:rPr>
            </w:pPr>
            <w:r>
              <w:rPr>
                <w:w w:val="99"/>
                <w:sz w:val="20"/>
              </w:rPr>
              <w:t>0</w:t>
            </w:r>
          </w:p>
        </w:tc>
      </w:tr>
      <w:tr>
        <w:trPr>
          <w:trHeight w:val="256" w:hRule="atLeast"/>
        </w:trPr>
        <w:tc>
          <w:tcPr>
            <w:tcW w:w="5563" w:type="dxa"/>
            <w:tcBorders>
              <w:left w:val="single" w:sz="4" w:space="0" w:color="000000"/>
            </w:tcBorders>
          </w:tcPr>
          <w:p>
            <w:pPr>
              <w:pStyle w:val="TableParagraph"/>
              <w:spacing w:line="211" w:lineRule="exact" w:before="25"/>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before="6"/>
              <w:ind w:right="111"/>
              <w:jc w:val="right"/>
              <w:rPr>
                <w:sz w:val="20"/>
              </w:rPr>
            </w:pPr>
            <w:r>
              <w:rPr>
                <w:w w:val="99"/>
                <w:sz w:val="20"/>
              </w:rPr>
              <w:t>0</w:t>
            </w:r>
          </w:p>
        </w:tc>
        <w:tc>
          <w:tcPr>
            <w:tcW w:w="1260" w:type="dxa"/>
            <w:tcBorders>
              <w:bottom w:val="single" w:sz="4" w:space="0" w:color="000000"/>
            </w:tcBorders>
          </w:tcPr>
          <w:p>
            <w:pPr>
              <w:pStyle w:val="TableParagraph"/>
              <w:spacing w:before="6"/>
              <w:ind w:right="164"/>
              <w:jc w:val="right"/>
              <w:rPr>
                <w:sz w:val="20"/>
              </w:rPr>
            </w:pPr>
            <w:r>
              <w:rPr>
                <w:w w:val="99"/>
                <w:sz w:val="20"/>
              </w:rPr>
              <w:t>0</w:t>
            </w:r>
          </w:p>
        </w:tc>
        <w:tc>
          <w:tcPr>
            <w:tcW w:w="1405" w:type="dxa"/>
            <w:tcBorders>
              <w:bottom w:val="single" w:sz="4" w:space="0" w:color="000000"/>
            </w:tcBorders>
          </w:tcPr>
          <w:p>
            <w:pPr>
              <w:pStyle w:val="TableParagraph"/>
              <w:spacing w:before="6"/>
              <w:ind w:right="150"/>
              <w:jc w:val="right"/>
              <w:rPr>
                <w:sz w:val="20"/>
              </w:rPr>
            </w:pPr>
            <w:r>
              <w:rPr>
                <w:w w:val="99"/>
                <w:sz w:val="20"/>
              </w:rPr>
              <w:t>0</w:t>
            </w:r>
          </w:p>
        </w:tc>
        <w:tc>
          <w:tcPr>
            <w:tcW w:w="1315" w:type="dxa"/>
            <w:tcBorders>
              <w:bottom w:val="single" w:sz="4" w:space="0" w:color="000000"/>
              <w:right w:val="single" w:sz="4" w:space="0" w:color="000000"/>
            </w:tcBorders>
          </w:tcPr>
          <w:p>
            <w:pPr>
              <w:pStyle w:val="TableParagraph"/>
              <w:spacing w:before="6"/>
              <w:ind w:right="95"/>
              <w:jc w:val="right"/>
              <w:rPr>
                <w:sz w:val="20"/>
              </w:rPr>
            </w:pPr>
            <w:r>
              <w:rPr>
                <w:w w:val="99"/>
                <w:sz w:val="20"/>
              </w:rPr>
              <w:t>0</w:t>
            </w:r>
          </w:p>
        </w:tc>
      </w:tr>
      <w:tr>
        <w:trPr>
          <w:trHeight w:val="268" w:hRule="atLeast"/>
        </w:trPr>
        <w:tc>
          <w:tcPr>
            <w:tcW w:w="5563" w:type="dxa"/>
            <w:tcBorders>
              <w:left w:val="single" w:sz="4" w:space="0" w:color="000000"/>
              <w:bottom w:val="single" w:sz="4" w:space="0" w:color="000000"/>
            </w:tcBorders>
          </w:tcPr>
          <w:p>
            <w:pPr>
              <w:pStyle w:val="TableParagraph"/>
              <w:spacing w:line="211" w:lineRule="exact" w:before="38"/>
              <w:ind w:left="107"/>
              <w:rPr>
                <w:b/>
                <w:sz w:val="20"/>
              </w:rPr>
            </w:pPr>
            <w:r>
              <w:rPr>
                <w:b/>
                <w:sz w:val="20"/>
              </w:rPr>
              <w:t>Total</w:t>
            </w:r>
            <w:r>
              <w:rPr>
                <w:b/>
                <w:spacing w:val="-8"/>
                <w:sz w:val="20"/>
              </w:rPr>
              <w:t> </w:t>
            </w:r>
            <w:r>
              <w:rPr>
                <w:b/>
                <w:sz w:val="20"/>
              </w:rPr>
              <w:t>Chief</w:t>
            </w:r>
            <w:r>
              <w:rPr>
                <w:b/>
                <w:spacing w:val="-8"/>
                <w:sz w:val="20"/>
              </w:rPr>
              <w:t> </w:t>
            </w:r>
            <w:r>
              <w:rPr>
                <w:b/>
                <w:sz w:val="20"/>
              </w:rPr>
              <w:t>Executive's</w:t>
            </w:r>
            <w:r>
              <w:rPr>
                <w:b/>
                <w:spacing w:val="-7"/>
                <w:sz w:val="20"/>
              </w:rPr>
              <w:t> </w:t>
            </w:r>
            <w:r>
              <w:rPr>
                <w:b/>
                <w:spacing w:val="-2"/>
                <w:sz w:val="20"/>
              </w:rPr>
              <w:t>office</w:t>
            </w:r>
          </w:p>
        </w:tc>
        <w:tc>
          <w:tcPr>
            <w:tcW w:w="1218" w:type="dxa"/>
            <w:tcBorders>
              <w:top w:val="single" w:sz="4" w:space="0" w:color="000000"/>
              <w:bottom w:val="single" w:sz="4" w:space="0" w:color="000000"/>
            </w:tcBorders>
          </w:tcPr>
          <w:p>
            <w:pPr>
              <w:pStyle w:val="TableParagraph"/>
              <w:spacing w:before="18"/>
              <w:ind w:right="113"/>
              <w:jc w:val="right"/>
              <w:rPr>
                <w:b/>
                <w:sz w:val="20"/>
              </w:rPr>
            </w:pPr>
            <w:r>
              <w:rPr>
                <w:b/>
                <w:spacing w:val="-2"/>
                <w:sz w:val="20"/>
              </w:rPr>
              <w:t>1,093</w:t>
            </w:r>
          </w:p>
        </w:tc>
        <w:tc>
          <w:tcPr>
            <w:tcW w:w="1260" w:type="dxa"/>
            <w:tcBorders>
              <w:top w:val="single" w:sz="4" w:space="0" w:color="000000"/>
              <w:bottom w:val="single" w:sz="4" w:space="0" w:color="000000"/>
            </w:tcBorders>
          </w:tcPr>
          <w:p>
            <w:pPr>
              <w:pStyle w:val="TableParagraph"/>
              <w:spacing w:before="18"/>
              <w:ind w:right="166"/>
              <w:jc w:val="right"/>
              <w:rPr>
                <w:b/>
                <w:sz w:val="20"/>
              </w:rPr>
            </w:pPr>
            <w:r>
              <w:rPr>
                <w:b/>
                <w:spacing w:val="-2"/>
                <w:sz w:val="20"/>
              </w:rPr>
              <w:t>1,102</w:t>
            </w:r>
          </w:p>
        </w:tc>
        <w:tc>
          <w:tcPr>
            <w:tcW w:w="1405" w:type="dxa"/>
            <w:tcBorders>
              <w:top w:val="single" w:sz="4" w:space="0" w:color="000000"/>
              <w:bottom w:val="single" w:sz="4" w:space="0" w:color="000000"/>
            </w:tcBorders>
          </w:tcPr>
          <w:p>
            <w:pPr>
              <w:pStyle w:val="TableParagraph"/>
              <w:spacing w:before="18"/>
              <w:ind w:right="152"/>
              <w:jc w:val="right"/>
              <w:rPr>
                <w:b/>
                <w:sz w:val="20"/>
              </w:rPr>
            </w:pPr>
            <w:r>
              <w:rPr>
                <w:b/>
                <w:spacing w:val="-2"/>
                <w:sz w:val="20"/>
              </w:rPr>
              <w:t>1,121</w:t>
            </w:r>
          </w:p>
        </w:tc>
        <w:tc>
          <w:tcPr>
            <w:tcW w:w="1315" w:type="dxa"/>
            <w:tcBorders>
              <w:top w:val="single" w:sz="4" w:space="0" w:color="000000"/>
              <w:bottom w:val="single" w:sz="4" w:space="0" w:color="000000"/>
              <w:right w:val="single" w:sz="4" w:space="0" w:color="000000"/>
            </w:tcBorders>
          </w:tcPr>
          <w:p>
            <w:pPr>
              <w:pStyle w:val="TableParagraph"/>
              <w:spacing w:before="18"/>
              <w:ind w:right="97"/>
              <w:jc w:val="right"/>
              <w:rPr>
                <w:b/>
                <w:sz w:val="20"/>
              </w:rPr>
            </w:pPr>
            <w:r>
              <w:rPr>
                <w:b/>
                <w:spacing w:val="-2"/>
                <w:sz w:val="20"/>
              </w:rPr>
              <w:t>1,143</w:t>
            </w:r>
          </w:p>
        </w:tc>
      </w:tr>
    </w:tbl>
    <w:p>
      <w:pPr>
        <w:spacing w:after="0"/>
        <w:jc w:val="right"/>
        <w:rPr>
          <w:sz w:val="20"/>
        </w:rPr>
        <w:sectPr>
          <w:pgSz w:w="11910" w:h="16840"/>
          <w:pgMar w:header="0" w:footer="426" w:top="340" w:bottom="620" w:left="460" w:right="160"/>
        </w:sectPr>
      </w:pPr>
    </w:p>
    <w:p>
      <w:pPr>
        <w:pStyle w:val="BodyText"/>
        <w:spacing w:before="5"/>
        <w:rPr>
          <w:sz w:val="2"/>
        </w:rPr>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86"/>
        <w:gridCol w:w="1207"/>
        <w:gridCol w:w="1256"/>
        <w:gridCol w:w="1400"/>
        <w:gridCol w:w="1303"/>
      </w:tblGrid>
      <w:tr>
        <w:trPr>
          <w:trHeight w:val="539" w:hRule="atLeast"/>
        </w:trPr>
        <w:tc>
          <w:tcPr>
            <w:tcW w:w="5486" w:type="dxa"/>
            <w:tcBorders>
              <w:top w:val="single" w:sz="4" w:space="0" w:color="000000"/>
              <w:left w:val="single" w:sz="4" w:space="0" w:color="000000"/>
            </w:tcBorders>
            <w:shd w:val="clear" w:color="auto" w:fill="629CD1"/>
          </w:tcPr>
          <w:p>
            <w:pPr>
              <w:pStyle w:val="TableParagraph"/>
              <w:spacing w:before="38"/>
              <w:ind w:left="1773"/>
              <w:rPr>
                <w:b/>
                <w:sz w:val="20"/>
              </w:rPr>
            </w:pPr>
            <w:r>
              <w:rPr>
                <w:b/>
                <w:color w:val="FFFFFF"/>
                <w:spacing w:val="-2"/>
                <w:sz w:val="20"/>
              </w:rPr>
              <w:t>Directorate</w:t>
            </w:r>
          </w:p>
        </w:tc>
        <w:tc>
          <w:tcPr>
            <w:tcW w:w="1207" w:type="dxa"/>
            <w:tcBorders>
              <w:top w:val="single" w:sz="4" w:space="0" w:color="000000"/>
            </w:tcBorders>
            <w:shd w:val="clear" w:color="auto" w:fill="629CD1"/>
          </w:tcPr>
          <w:p>
            <w:pPr>
              <w:pStyle w:val="TableParagraph"/>
              <w:spacing w:before="38"/>
              <w:ind w:left="119" w:right="120"/>
              <w:jc w:val="center"/>
              <w:rPr>
                <w:b/>
                <w:sz w:val="20"/>
              </w:rPr>
            </w:pPr>
            <w:r>
              <w:rPr>
                <w:b/>
                <w:color w:val="FFFFFF"/>
                <w:spacing w:val="-2"/>
                <w:sz w:val="20"/>
              </w:rPr>
              <w:t>2023/2024</w:t>
            </w:r>
          </w:p>
          <w:p>
            <w:pPr>
              <w:pStyle w:val="TableParagraph"/>
              <w:spacing w:line="211" w:lineRule="exact" w:before="41"/>
              <w:ind w:left="119" w:right="120"/>
              <w:jc w:val="center"/>
              <w:rPr>
                <w:b/>
                <w:sz w:val="20"/>
              </w:rPr>
            </w:pPr>
            <w:r>
              <w:rPr>
                <w:b/>
                <w:color w:val="FFFFFF"/>
                <w:spacing w:val="-2"/>
                <w:sz w:val="20"/>
              </w:rPr>
              <w:t>$'000</w:t>
            </w:r>
          </w:p>
        </w:tc>
        <w:tc>
          <w:tcPr>
            <w:tcW w:w="1256" w:type="dxa"/>
            <w:tcBorders>
              <w:top w:val="single" w:sz="4" w:space="0" w:color="000000"/>
            </w:tcBorders>
            <w:shd w:val="clear" w:color="auto" w:fill="629CD1"/>
          </w:tcPr>
          <w:p>
            <w:pPr>
              <w:pStyle w:val="TableParagraph"/>
              <w:spacing w:before="38"/>
              <w:ind w:left="27" w:right="91"/>
              <w:jc w:val="center"/>
              <w:rPr>
                <w:b/>
                <w:sz w:val="20"/>
              </w:rPr>
            </w:pPr>
            <w:r>
              <w:rPr>
                <w:b/>
                <w:color w:val="FFFFFF"/>
                <w:spacing w:val="-2"/>
                <w:sz w:val="20"/>
              </w:rPr>
              <w:t>2024/2025</w:t>
            </w:r>
          </w:p>
          <w:p>
            <w:pPr>
              <w:pStyle w:val="TableParagraph"/>
              <w:spacing w:line="211" w:lineRule="exact" w:before="41"/>
              <w:ind w:left="24" w:right="91"/>
              <w:jc w:val="center"/>
              <w:rPr>
                <w:b/>
                <w:sz w:val="20"/>
              </w:rPr>
            </w:pPr>
            <w:r>
              <w:rPr>
                <w:b/>
                <w:color w:val="FFFFFF"/>
                <w:spacing w:val="-2"/>
                <w:sz w:val="20"/>
              </w:rPr>
              <w:t>$'000</w:t>
            </w:r>
          </w:p>
        </w:tc>
        <w:tc>
          <w:tcPr>
            <w:tcW w:w="1400" w:type="dxa"/>
            <w:tcBorders>
              <w:top w:val="single" w:sz="4" w:space="0" w:color="000000"/>
            </w:tcBorders>
            <w:shd w:val="clear" w:color="auto" w:fill="629CD1"/>
          </w:tcPr>
          <w:p>
            <w:pPr>
              <w:pStyle w:val="TableParagraph"/>
              <w:spacing w:before="38"/>
              <w:ind w:left="166" w:right="266"/>
              <w:jc w:val="center"/>
              <w:rPr>
                <w:b/>
                <w:sz w:val="20"/>
              </w:rPr>
            </w:pPr>
            <w:r>
              <w:rPr>
                <w:b/>
                <w:color w:val="FFFFFF"/>
                <w:spacing w:val="-2"/>
                <w:sz w:val="20"/>
              </w:rPr>
              <w:t>2025/2026</w:t>
            </w:r>
          </w:p>
          <w:p>
            <w:pPr>
              <w:pStyle w:val="TableParagraph"/>
              <w:spacing w:line="211" w:lineRule="exact" w:before="41"/>
              <w:ind w:left="166" w:right="263"/>
              <w:jc w:val="center"/>
              <w:rPr>
                <w:b/>
                <w:sz w:val="20"/>
              </w:rPr>
            </w:pPr>
            <w:r>
              <w:rPr>
                <w:b/>
                <w:color w:val="FFFFFF"/>
                <w:spacing w:val="-2"/>
                <w:sz w:val="20"/>
              </w:rPr>
              <w:t>$'000</w:t>
            </w:r>
          </w:p>
        </w:tc>
        <w:tc>
          <w:tcPr>
            <w:tcW w:w="1303" w:type="dxa"/>
            <w:tcBorders>
              <w:top w:val="single" w:sz="4" w:space="0" w:color="000000"/>
              <w:right w:val="single" w:sz="4" w:space="0" w:color="000000"/>
            </w:tcBorders>
            <w:shd w:val="clear" w:color="auto" w:fill="629CD1"/>
          </w:tcPr>
          <w:p>
            <w:pPr>
              <w:pStyle w:val="TableParagraph"/>
              <w:spacing w:before="38"/>
              <w:ind w:left="146" w:right="184"/>
              <w:jc w:val="center"/>
              <w:rPr>
                <w:b/>
                <w:sz w:val="20"/>
              </w:rPr>
            </w:pPr>
            <w:r>
              <w:rPr>
                <w:b/>
                <w:color w:val="FFFFFF"/>
                <w:spacing w:val="-2"/>
                <w:sz w:val="20"/>
              </w:rPr>
              <w:t>2026/2027</w:t>
            </w:r>
          </w:p>
          <w:p>
            <w:pPr>
              <w:pStyle w:val="TableParagraph"/>
              <w:spacing w:line="211" w:lineRule="exact" w:before="41"/>
              <w:ind w:left="146" w:right="182"/>
              <w:jc w:val="center"/>
              <w:rPr>
                <w:b/>
                <w:sz w:val="20"/>
              </w:rPr>
            </w:pPr>
            <w:r>
              <w:rPr>
                <w:b/>
                <w:color w:val="FFFFFF"/>
                <w:spacing w:val="-2"/>
                <w:sz w:val="20"/>
              </w:rPr>
              <w:t>$'000</w:t>
            </w:r>
          </w:p>
        </w:tc>
      </w:tr>
      <w:tr>
        <w:trPr>
          <w:trHeight w:val="552" w:hRule="atLeast"/>
        </w:trPr>
        <w:tc>
          <w:tcPr>
            <w:tcW w:w="5486" w:type="dxa"/>
            <w:tcBorders>
              <w:left w:val="single" w:sz="4" w:space="0" w:color="000000"/>
            </w:tcBorders>
          </w:tcPr>
          <w:p>
            <w:pPr>
              <w:pStyle w:val="TableParagraph"/>
              <w:spacing w:before="10"/>
              <w:rPr>
                <w:sz w:val="26"/>
              </w:rPr>
            </w:pPr>
          </w:p>
          <w:p>
            <w:pPr>
              <w:pStyle w:val="TableParagraph"/>
              <w:spacing w:line="223" w:lineRule="exact"/>
              <w:ind w:left="107"/>
              <w:rPr>
                <w:b/>
                <w:sz w:val="20"/>
              </w:rPr>
            </w:pPr>
            <w:r>
              <w:rPr>
                <w:b/>
                <w:sz w:val="20"/>
              </w:rPr>
              <w:t>Chief</w:t>
            </w:r>
            <w:r>
              <w:rPr>
                <w:b/>
                <w:spacing w:val="-7"/>
                <w:sz w:val="20"/>
              </w:rPr>
              <w:t> </w:t>
            </w:r>
            <w:r>
              <w:rPr>
                <w:b/>
                <w:sz w:val="20"/>
              </w:rPr>
              <w:t>Financial</w:t>
            </w:r>
            <w:r>
              <w:rPr>
                <w:b/>
                <w:spacing w:val="-7"/>
                <w:sz w:val="20"/>
              </w:rPr>
              <w:t> </w:t>
            </w:r>
            <w:r>
              <w:rPr>
                <w:b/>
                <w:spacing w:val="-2"/>
                <w:sz w:val="20"/>
              </w:rPr>
              <w:t>Office</w:t>
            </w:r>
          </w:p>
        </w:tc>
        <w:tc>
          <w:tcPr>
            <w:tcW w:w="1207" w:type="dxa"/>
          </w:tcPr>
          <w:p>
            <w:pPr>
              <w:pStyle w:val="TableParagraph"/>
              <w:rPr>
                <w:rFonts w:ascii="Times New Roman"/>
                <w:sz w:val="18"/>
              </w:rPr>
            </w:pPr>
          </w:p>
        </w:tc>
        <w:tc>
          <w:tcPr>
            <w:tcW w:w="1256" w:type="dxa"/>
          </w:tcPr>
          <w:p>
            <w:pPr>
              <w:pStyle w:val="TableParagraph"/>
              <w:rPr>
                <w:rFonts w:ascii="Times New Roman"/>
                <w:sz w:val="18"/>
              </w:rPr>
            </w:pPr>
          </w:p>
        </w:tc>
        <w:tc>
          <w:tcPr>
            <w:tcW w:w="1400" w:type="dxa"/>
          </w:tcPr>
          <w:p>
            <w:pPr>
              <w:pStyle w:val="TableParagraph"/>
              <w:rPr>
                <w:rFonts w:ascii="Times New Roman"/>
                <w:sz w:val="18"/>
              </w:rPr>
            </w:pPr>
          </w:p>
        </w:tc>
        <w:tc>
          <w:tcPr>
            <w:tcW w:w="1303" w:type="dxa"/>
            <w:tcBorders>
              <w:right w:val="single" w:sz="4" w:space="0" w:color="000000"/>
            </w:tcBorders>
          </w:tcPr>
          <w:p>
            <w:pPr>
              <w:pStyle w:val="TableParagraph"/>
              <w:rPr>
                <w:rFonts w:ascii="Times New Roman"/>
                <w:sz w:val="18"/>
              </w:rPr>
            </w:pPr>
          </w:p>
        </w:tc>
      </w:tr>
      <w:tr>
        <w:trPr>
          <w:trHeight w:val="268" w:hRule="atLeast"/>
        </w:trPr>
        <w:tc>
          <w:tcPr>
            <w:tcW w:w="5486" w:type="dxa"/>
            <w:tcBorders>
              <w:left w:val="single" w:sz="4" w:space="0" w:color="000000"/>
            </w:tcBorders>
          </w:tcPr>
          <w:p>
            <w:pPr>
              <w:pStyle w:val="TableParagraph"/>
              <w:spacing w:line="223" w:lineRule="exact" w:before="2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07" w:type="dxa"/>
          </w:tcPr>
          <w:p>
            <w:pPr>
              <w:pStyle w:val="TableParagraph"/>
              <w:spacing w:before="6"/>
              <w:ind w:right="111"/>
              <w:jc w:val="right"/>
              <w:rPr>
                <w:b/>
                <w:sz w:val="20"/>
              </w:rPr>
            </w:pPr>
            <w:r>
              <w:rPr>
                <w:b/>
                <w:spacing w:val="-2"/>
                <w:sz w:val="20"/>
              </w:rPr>
              <w:t>8,351</w:t>
            </w:r>
          </w:p>
        </w:tc>
        <w:tc>
          <w:tcPr>
            <w:tcW w:w="1256" w:type="dxa"/>
          </w:tcPr>
          <w:p>
            <w:pPr>
              <w:pStyle w:val="TableParagraph"/>
              <w:spacing w:before="6"/>
              <w:ind w:right="165"/>
              <w:jc w:val="right"/>
              <w:rPr>
                <w:b/>
                <w:sz w:val="20"/>
              </w:rPr>
            </w:pPr>
            <w:r>
              <w:rPr>
                <w:b/>
                <w:spacing w:val="-2"/>
                <w:sz w:val="20"/>
              </w:rPr>
              <w:t>8,418</w:t>
            </w:r>
          </w:p>
        </w:tc>
        <w:tc>
          <w:tcPr>
            <w:tcW w:w="1400" w:type="dxa"/>
          </w:tcPr>
          <w:p>
            <w:pPr>
              <w:pStyle w:val="TableParagraph"/>
              <w:spacing w:before="6"/>
              <w:ind w:right="146"/>
              <w:jc w:val="right"/>
              <w:rPr>
                <w:b/>
                <w:sz w:val="20"/>
              </w:rPr>
            </w:pPr>
            <w:r>
              <w:rPr>
                <w:b/>
                <w:spacing w:val="-2"/>
                <w:sz w:val="20"/>
              </w:rPr>
              <w:t>8,568</w:t>
            </w:r>
          </w:p>
        </w:tc>
        <w:tc>
          <w:tcPr>
            <w:tcW w:w="1303" w:type="dxa"/>
            <w:tcBorders>
              <w:right w:val="single" w:sz="4" w:space="0" w:color="000000"/>
            </w:tcBorders>
          </w:tcPr>
          <w:p>
            <w:pPr>
              <w:pStyle w:val="TableParagraph"/>
              <w:spacing w:before="6"/>
              <w:ind w:right="98"/>
              <w:jc w:val="right"/>
              <w:rPr>
                <w:b/>
                <w:sz w:val="20"/>
              </w:rPr>
            </w:pPr>
            <w:r>
              <w:rPr>
                <w:b/>
                <w:spacing w:val="-2"/>
                <w:sz w:val="20"/>
              </w:rPr>
              <w:t>8,733</w:t>
            </w:r>
          </w:p>
        </w:tc>
      </w:tr>
      <w:tr>
        <w:trPr>
          <w:trHeight w:val="271" w:hRule="atLeast"/>
        </w:trPr>
        <w:tc>
          <w:tcPr>
            <w:tcW w:w="5486" w:type="dxa"/>
            <w:tcBorders>
              <w:left w:val="single" w:sz="4" w:space="0" w:color="000000"/>
            </w:tcBorders>
          </w:tcPr>
          <w:p>
            <w:pPr>
              <w:pStyle w:val="TableParagraph"/>
              <w:spacing w:line="223" w:lineRule="exact" w:before="28"/>
              <w:ind w:left="107"/>
              <w:rPr>
                <w:sz w:val="20"/>
              </w:rPr>
            </w:pPr>
            <w:r>
              <w:rPr>
                <w:spacing w:val="-2"/>
                <w:sz w:val="20"/>
              </w:rPr>
              <w:t>Women</w:t>
            </w:r>
          </w:p>
        </w:tc>
        <w:tc>
          <w:tcPr>
            <w:tcW w:w="1207" w:type="dxa"/>
          </w:tcPr>
          <w:p>
            <w:pPr>
              <w:pStyle w:val="TableParagraph"/>
              <w:spacing w:before="6"/>
              <w:ind w:right="111"/>
              <w:jc w:val="right"/>
              <w:rPr>
                <w:sz w:val="20"/>
              </w:rPr>
            </w:pPr>
            <w:r>
              <w:rPr>
                <w:spacing w:val="-2"/>
                <w:sz w:val="20"/>
              </w:rPr>
              <w:t>4,332</w:t>
            </w:r>
          </w:p>
        </w:tc>
        <w:tc>
          <w:tcPr>
            <w:tcW w:w="1256" w:type="dxa"/>
          </w:tcPr>
          <w:p>
            <w:pPr>
              <w:pStyle w:val="TableParagraph"/>
              <w:spacing w:before="6"/>
              <w:ind w:right="165"/>
              <w:jc w:val="right"/>
              <w:rPr>
                <w:sz w:val="20"/>
              </w:rPr>
            </w:pPr>
            <w:r>
              <w:rPr>
                <w:spacing w:val="-2"/>
                <w:sz w:val="20"/>
              </w:rPr>
              <w:t>4,366</w:t>
            </w:r>
          </w:p>
        </w:tc>
        <w:tc>
          <w:tcPr>
            <w:tcW w:w="1400" w:type="dxa"/>
          </w:tcPr>
          <w:p>
            <w:pPr>
              <w:pStyle w:val="TableParagraph"/>
              <w:spacing w:before="6"/>
              <w:ind w:right="146"/>
              <w:jc w:val="right"/>
              <w:rPr>
                <w:sz w:val="20"/>
              </w:rPr>
            </w:pPr>
            <w:r>
              <w:rPr>
                <w:spacing w:val="-2"/>
                <w:sz w:val="20"/>
              </w:rPr>
              <w:t>4,444</w:t>
            </w:r>
          </w:p>
        </w:tc>
        <w:tc>
          <w:tcPr>
            <w:tcW w:w="1303" w:type="dxa"/>
            <w:tcBorders>
              <w:right w:val="single" w:sz="4" w:space="0" w:color="000000"/>
            </w:tcBorders>
          </w:tcPr>
          <w:p>
            <w:pPr>
              <w:pStyle w:val="TableParagraph"/>
              <w:spacing w:before="6"/>
              <w:ind w:right="98"/>
              <w:jc w:val="right"/>
              <w:rPr>
                <w:sz w:val="20"/>
              </w:rPr>
            </w:pPr>
            <w:r>
              <w:rPr>
                <w:spacing w:val="-2"/>
                <w:sz w:val="20"/>
              </w:rPr>
              <w:t>4,530</w:t>
            </w:r>
          </w:p>
        </w:tc>
      </w:tr>
      <w:tr>
        <w:trPr>
          <w:trHeight w:val="268" w:hRule="atLeast"/>
        </w:trPr>
        <w:tc>
          <w:tcPr>
            <w:tcW w:w="5486" w:type="dxa"/>
            <w:tcBorders>
              <w:left w:val="single" w:sz="4" w:space="0" w:color="000000"/>
            </w:tcBorders>
          </w:tcPr>
          <w:p>
            <w:pPr>
              <w:pStyle w:val="TableParagraph"/>
              <w:spacing w:line="223" w:lineRule="exact" w:before="25"/>
              <w:ind w:left="107"/>
              <w:rPr>
                <w:sz w:val="20"/>
              </w:rPr>
            </w:pPr>
            <w:r>
              <w:rPr>
                <w:spacing w:val="-5"/>
                <w:sz w:val="20"/>
              </w:rPr>
              <w:t>Men</w:t>
            </w:r>
          </w:p>
        </w:tc>
        <w:tc>
          <w:tcPr>
            <w:tcW w:w="1207" w:type="dxa"/>
          </w:tcPr>
          <w:p>
            <w:pPr>
              <w:pStyle w:val="TableParagraph"/>
              <w:spacing w:before="6"/>
              <w:ind w:right="111"/>
              <w:jc w:val="right"/>
              <w:rPr>
                <w:sz w:val="20"/>
              </w:rPr>
            </w:pPr>
            <w:r>
              <w:rPr>
                <w:spacing w:val="-2"/>
                <w:sz w:val="20"/>
              </w:rPr>
              <w:t>3,418</w:t>
            </w:r>
          </w:p>
        </w:tc>
        <w:tc>
          <w:tcPr>
            <w:tcW w:w="1256" w:type="dxa"/>
          </w:tcPr>
          <w:p>
            <w:pPr>
              <w:pStyle w:val="TableParagraph"/>
              <w:spacing w:before="6"/>
              <w:ind w:right="165"/>
              <w:jc w:val="right"/>
              <w:rPr>
                <w:sz w:val="20"/>
              </w:rPr>
            </w:pPr>
            <w:r>
              <w:rPr>
                <w:spacing w:val="-2"/>
                <w:sz w:val="20"/>
              </w:rPr>
              <w:t>3,445</w:t>
            </w:r>
          </w:p>
        </w:tc>
        <w:tc>
          <w:tcPr>
            <w:tcW w:w="1400" w:type="dxa"/>
          </w:tcPr>
          <w:p>
            <w:pPr>
              <w:pStyle w:val="TableParagraph"/>
              <w:spacing w:before="6"/>
              <w:ind w:right="146"/>
              <w:jc w:val="right"/>
              <w:rPr>
                <w:sz w:val="20"/>
              </w:rPr>
            </w:pPr>
            <w:r>
              <w:rPr>
                <w:spacing w:val="-2"/>
                <w:sz w:val="20"/>
              </w:rPr>
              <w:t>3,506</w:t>
            </w:r>
          </w:p>
        </w:tc>
        <w:tc>
          <w:tcPr>
            <w:tcW w:w="1303" w:type="dxa"/>
            <w:tcBorders>
              <w:right w:val="single" w:sz="4" w:space="0" w:color="000000"/>
            </w:tcBorders>
          </w:tcPr>
          <w:p>
            <w:pPr>
              <w:pStyle w:val="TableParagraph"/>
              <w:spacing w:before="6"/>
              <w:ind w:right="98"/>
              <w:jc w:val="right"/>
              <w:rPr>
                <w:sz w:val="20"/>
              </w:rPr>
            </w:pPr>
            <w:r>
              <w:rPr>
                <w:spacing w:val="-2"/>
                <w:sz w:val="20"/>
              </w:rPr>
              <w:t>3,574</w:t>
            </w:r>
          </w:p>
        </w:tc>
      </w:tr>
      <w:tr>
        <w:trPr>
          <w:trHeight w:val="271" w:hRule="atLeast"/>
        </w:trPr>
        <w:tc>
          <w:tcPr>
            <w:tcW w:w="5486" w:type="dxa"/>
            <w:tcBorders>
              <w:left w:val="single" w:sz="4" w:space="0" w:color="000000"/>
            </w:tcBorders>
          </w:tcPr>
          <w:p>
            <w:pPr>
              <w:pStyle w:val="TableParagraph"/>
              <w:spacing w:line="223" w:lineRule="exact" w:before="28"/>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7" w:type="dxa"/>
          </w:tcPr>
          <w:p>
            <w:pPr>
              <w:pStyle w:val="TableParagraph"/>
              <w:spacing w:before="6"/>
              <w:ind w:right="109"/>
              <w:jc w:val="right"/>
              <w:rPr>
                <w:sz w:val="20"/>
              </w:rPr>
            </w:pPr>
            <w:r>
              <w:rPr>
                <w:w w:val="99"/>
                <w:sz w:val="20"/>
              </w:rPr>
              <w:t>0</w:t>
            </w:r>
          </w:p>
        </w:tc>
        <w:tc>
          <w:tcPr>
            <w:tcW w:w="1256" w:type="dxa"/>
          </w:tcPr>
          <w:p>
            <w:pPr>
              <w:pStyle w:val="TableParagraph"/>
              <w:spacing w:before="6"/>
              <w:ind w:right="163"/>
              <w:jc w:val="right"/>
              <w:rPr>
                <w:sz w:val="20"/>
              </w:rPr>
            </w:pPr>
            <w:r>
              <w:rPr>
                <w:w w:val="99"/>
                <w:sz w:val="20"/>
              </w:rPr>
              <w:t>0</w:t>
            </w:r>
          </w:p>
        </w:tc>
        <w:tc>
          <w:tcPr>
            <w:tcW w:w="1400" w:type="dxa"/>
          </w:tcPr>
          <w:p>
            <w:pPr>
              <w:pStyle w:val="TableParagraph"/>
              <w:spacing w:before="6"/>
              <w:ind w:right="145"/>
              <w:jc w:val="right"/>
              <w:rPr>
                <w:sz w:val="20"/>
              </w:rPr>
            </w:pPr>
            <w:r>
              <w:rPr>
                <w:w w:val="99"/>
                <w:sz w:val="20"/>
              </w:rPr>
              <w:t>0</w:t>
            </w:r>
          </w:p>
        </w:tc>
        <w:tc>
          <w:tcPr>
            <w:tcW w:w="1303" w:type="dxa"/>
            <w:tcBorders>
              <w:right w:val="single" w:sz="4" w:space="0" w:color="000000"/>
            </w:tcBorders>
          </w:tcPr>
          <w:p>
            <w:pPr>
              <w:pStyle w:val="TableParagraph"/>
              <w:spacing w:before="6"/>
              <w:ind w:right="96"/>
              <w:jc w:val="right"/>
              <w:rPr>
                <w:sz w:val="20"/>
              </w:rPr>
            </w:pPr>
            <w:r>
              <w:rPr>
                <w:w w:val="99"/>
                <w:sz w:val="20"/>
              </w:rPr>
              <w:t>0</w:t>
            </w:r>
          </w:p>
        </w:tc>
      </w:tr>
      <w:tr>
        <w:trPr>
          <w:trHeight w:val="268" w:hRule="atLeast"/>
        </w:trPr>
        <w:tc>
          <w:tcPr>
            <w:tcW w:w="5486" w:type="dxa"/>
            <w:tcBorders>
              <w:left w:val="single" w:sz="4" w:space="0" w:color="000000"/>
            </w:tcBorders>
          </w:tcPr>
          <w:p>
            <w:pPr>
              <w:pStyle w:val="TableParagraph"/>
              <w:spacing w:line="223" w:lineRule="exact" w:before="25"/>
              <w:ind w:left="107"/>
              <w:rPr>
                <w:sz w:val="20"/>
              </w:rPr>
            </w:pPr>
            <w:r>
              <w:rPr>
                <w:sz w:val="20"/>
              </w:rPr>
              <w:t>Vacant</w:t>
            </w:r>
            <w:r>
              <w:rPr>
                <w:spacing w:val="-7"/>
                <w:sz w:val="20"/>
              </w:rPr>
              <w:t> </w:t>
            </w:r>
            <w:r>
              <w:rPr>
                <w:spacing w:val="-2"/>
                <w:sz w:val="20"/>
              </w:rPr>
              <w:t>Position</w:t>
            </w:r>
          </w:p>
        </w:tc>
        <w:tc>
          <w:tcPr>
            <w:tcW w:w="1207" w:type="dxa"/>
          </w:tcPr>
          <w:p>
            <w:pPr>
              <w:pStyle w:val="TableParagraph"/>
              <w:spacing w:before="6"/>
              <w:ind w:right="112"/>
              <w:jc w:val="right"/>
              <w:rPr>
                <w:sz w:val="20"/>
              </w:rPr>
            </w:pPr>
            <w:r>
              <w:rPr>
                <w:spacing w:val="-5"/>
                <w:sz w:val="20"/>
              </w:rPr>
              <w:t>602</w:t>
            </w:r>
          </w:p>
        </w:tc>
        <w:tc>
          <w:tcPr>
            <w:tcW w:w="1256" w:type="dxa"/>
          </w:tcPr>
          <w:p>
            <w:pPr>
              <w:pStyle w:val="TableParagraph"/>
              <w:spacing w:before="6"/>
              <w:ind w:right="166"/>
              <w:jc w:val="right"/>
              <w:rPr>
                <w:sz w:val="20"/>
              </w:rPr>
            </w:pPr>
            <w:r>
              <w:rPr>
                <w:spacing w:val="-5"/>
                <w:sz w:val="20"/>
              </w:rPr>
              <w:t>607</w:t>
            </w:r>
          </w:p>
        </w:tc>
        <w:tc>
          <w:tcPr>
            <w:tcW w:w="1400" w:type="dxa"/>
          </w:tcPr>
          <w:p>
            <w:pPr>
              <w:pStyle w:val="TableParagraph"/>
              <w:spacing w:before="6"/>
              <w:ind w:right="147"/>
              <w:jc w:val="right"/>
              <w:rPr>
                <w:sz w:val="20"/>
              </w:rPr>
            </w:pPr>
            <w:r>
              <w:rPr>
                <w:spacing w:val="-5"/>
                <w:sz w:val="20"/>
              </w:rPr>
              <w:t>617</w:t>
            </w:r>
          </w:p>
        </w:tc>
        <w:tc>
          <w:tcPr>
            <w:tcW w:w="1303" w:type="dxa"/>
            <w:tcBorders>
              <w:right w:val="single" w:sz="4" w:space="0" w:color="000000"/>
            </w:tcBorders>
          </w:tcPr>
          <w:p>
            <w:pPr>
              <w:pStyle w:val="TableParagraph"/>
              <w:spacing w:before="6"/>
              <w:ind w:right="99"/>
              <w:jc w:val="right"/>
              <w:rPr>
                <w:sz w:val="20"/>
              </w:rPr>
            </w:pPr>
            <w:r>
              <w:rPr>
                <w:spacing w:val="-5"/>
                <w:sz w:val="20"/>
              </w:rPr>
              <w:t>629</w:t>
            </w:r>
          </w:p>
        </w:tc>
      </w:tr>
      <w:tr>
        <w:trPr>
          <w:trHeight w:val="271" w:hRule="atLeast"/>
        </w:trPr>
        <w:tc>
          <w:tcPr>
            <w:tcW w:w="5486" w:type="dxa"/>
            <w:tcBorders>
              <w:left w:val="single" w:sz="4" w:space="0" w:color="000000"/>
            </w:tcBorders>
          </w:tcPr>
          <w:p>
            <w:pPr>
              <w:pStyle w:val="TableParagraph"/>
              <w:spacing w:line="223" w:lineRule="exact" w:before="28"/>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07" w:type="dxa"/>
          </w:tcPr>
          <w:p>
            <w:pPr>
              <w:pStyle w:val="TableParagraph"/>
              <w:spacing w:before="6"/>
              <w:ind w:right="111"/>
              <w:jc w:val="right"/>
              <w:rPr>
                <w:b/>
                <w:sz w:val="20"/>
              </w:rPr>
            </w:pPr>
            <w:r>
              <w:rPr>
                <w:b/>
                <w:spacing w:val="-2"/>
                <w:sz w:val="20"/>
              </w:rPr>
              <w:t>1,121</w:t>
            </w:r>
          </w:p>
        </w:tc>
        <w:tc>
          <w:tcPr>
            <w:tcW w:w="1256" w:type="dxa"/>
          </w:tcPr>
          <w:p>
            <w:pPr>
              <w:pStyle w:val="TableParagraph"/>
              <w:spacing w:before="6"/>
              <w:ind w:right="165"/>
              <w:jc w:val="right"/>
              <w:rPr>
                <w:b/>
                <w:sz w:val="20"/>
              </w:rPr>
            </w:pPr>
            <w:r>
              <w:rPr>
                <w:b/>
                <w:spacing w:val="-2"/>
                <w:sz w:val="20"/>
              </w:rPr>
              <w:t>1,130</w:t>
            </w:r>
          </w:p>
        </w:tc>
        <w:tc>
          <w:tcPr>
            <w:tcW w:w="1400" w:type="dxa"/>
          </w:tcPr>
          <w:p>
            <w:pPr>
              <w:pStyle w:val="TableParagraph"/>
              <w:spacing w:before="6"/>
              <w:ind w:right="146"/>
              <w:jc w:val="right"/>
              <w:rPr>
                <w:b/>
                <w:sz w:val="20"/>
              </w:rPr>
            </w:pPr>
            <w:r>
              <w:rPr>
                <w:b/>
                <w:spacing w:val="-2"/>
                <w:sz w:val="20"/>
              </w:rPr>
              <w:t>1,150</w:t>
            </w:r>
          </w:p>
        </w:tc>
        <w:tc>
          <w:tcPr>
            <w:tcW w:w="1303" w:type="dxa"/>
            <w:tcBorders>
              <w:right w:val="single" w:sz="4" w:space="0" w:color="000000"/>
            </w:tcBorders>
          </w:tcPr>
          <w:p>
            <w:pPr>
              <w:pStyle w:val="TableParagraph"/>
              <w:spacing w:before="6"/>
              <w:ind w:right="98"/>
              <w:jc w:val="right"/>
              <w:rPr>
                <w:b/>
                <w:sz w:val="20"/>
              </w:rPr>
            </w:pPr>
            <w:r>
              <w:rPr>
                <w:b/>
                <w:spacing w:val="-2"/>
                <w:sz w:val="20"/>
              </w:rPr>
              <w:t>1,172</w:t>
            </w:r>
          </w:p>
        </w:tc>
      </w:tr>
      <w:tr>
        <w:trPr>
          <w:trHeight w:val="268" w:hRule="atLeast"/>
        </w:trPr>
        <w:tc>
          <w:tcPr>
            <w:tcW w:w="5486" w:type="dxa"/>
            <w:tcBorders>
              <w:left w:val="single" w:sz="4" w:space="0" w:color="000000"/>
            </w:tcBorders>
          </w:tcPr>
          <w:p>
            <w:pPr>
              <w:pStyle w:val="TableParagraph"/>
              <w:spacing w:line="223" w:lineRule="exact" w:before="25"/>
              <w:ind w:left="107"/>
              <w:rPr>
                <w:sz w:val="20"/>
              </w:rPr>
            </w:pPr>
            <w:r>
              <w:rPr>
                <w:spacing w:val="-2"/>
                <w:sz w:val="20"/>
              </w:rPr>
              <w:t>Women</w:t>
            </w:r>
          </w:p>
        </w:tc>
        <w:tc>
          <w:tcPr>
            <w:tcW w:w="1207" w:type="dxa"/>
          </w:tcPr>
          <w:p>
            <w:pPr>
              <w:pStyle w:val="TableParagraph"/>
              <w:spacing w:before="6"/>
              <w:ind w:right="111"/>
              <w:jc w:val="right"/>
              <w:rPr>
                <w:sz w:val="20"/>
              </w:rPr>
            </w:pPr>
            <w:r>
              <w:rPr>
                <w:spacing w:val="-2"/>
                <w:sz w:val="20"/>
              </w:rPr>
              <w:t>1,044</w:t>
            </w:r>
          </w:p>
        </w:tc>
        <w:tc>
          <w:tcPr>
            <w:tcW w:w="1256" w:type="dxa"/>
          </w:tcPr>
          <w:p>
            <w:pPr>
              <w:pStyle w:val="TableParagraph"/>
              <w:spacing w:before="6"/>
              <w:ind w:right="165"/>
              <w:jc w:val="right"/>
              <w:rPr>
                <w:sz w:val="20"/>
              </w:rPr>
            </w:pPr>
            <w:r>
              <w:rPr>
                <w:spacing w:val="-2"/>
                <w:sz w:val="20"/>
              </w:rPr>
              <w:t>1,053</w:t>
            </w:r>
          </w:p>
        </w:tc>
        <w:tc>
          <w:tcPr>
            <w:tcW w:w="1400" w:type="dxa"/>
          </w:tcPr>
          <w:p>
            <w:pPr>
              <w:pStyle w:val="TableParagraph"/>
              <w:spacing w:before="6"/>
              <w:ind w:right="146"/>
              <w:jc w:val="right"/>
              <w:rPr>
                <w:sz w:val="20"/>
              </w:rPr>
            </w:pPr>
            <w:r>
              <w:rPr>
                <w:spacing w:val="-2"/>
                <w:sz w:val="20"/>
              </w:rPr>
              <w:t>1,072</w:t>
            </w:r>
          </w:p>
        </w:tc>
        <w:tc>
          <w:tcPr>
            <w:tcW w:w="1303" w:type="dxa"/>
            <w:tcBorders>
              <w:right w:val="single" w:sz="4" w:space="0" w:color="000000"/>
            </w:tcBorders>
          </w:tcPr>
          <w:p>
            <w:pPr>
              <w:pStyle w:val="TableParagraph"/>
              <w:spacing w:before="6"/>
              <w:ind w:right="98"/>
              <w:jc w:val="right"/>
              <w:rPr>
                <w:sz w:val="20"/>
              </w:rPr>
            </w:pPr>
            <w:r>
              <w:rPr>
                <w:spacing w:val="-2"/>
                <w:sz w:val="20"/>
              </w:rPr>
              <w:t>1,092</w:t>
            </w:r>
          </w:p>
        </w:tc>
      </w:tr>
      <w:tr>
        <w:trPr>
          <w:trHeight w:val="271" w:hRule="atLeast"/>
        </w:trPr>
        <w:tc>
          <w:tcPr>
            <w:tcW w:w="5486" w:type="dxa"/>
            <w:tcBorders>
              <w:left w:val="single" w:sz="4" w:space="0" w:color="000000"/>
            </w:tcBorders>
          </w:tcPr>
          <w:p>
            <w:pPr>
              <w:pStyle w:val="TableParagraph"/>
              <w:spacing w:line="223" w:lineRule="exact" w:before="28"/>
              <w:ind w:left="107"/>
              <w:rPr>
                <w:sz w:val="20"/>
              </w:rPr>
            </w:pPr>
            <w:r>
              <w:rPr>
                <w:spacing w:val="-5"/>
                <w:sz w:val="20"/>
              </w:rPr>
              <w:t>Men</w:t>
            </w:r>
          </w:p>
        </w:tc>
        <w:tc>
          <w:tcPr>
            <w:tcW w:w="1207" w:type="dxa"/>
          </w:tcPr>
          <w:p>
            <w:pPr>
              <w:pStyle w:val="TableParagraph"/>
              <w:spacing w:before="6"/>
              <w:ind w:right="113"/>
              <w:jc w:val="right"/>
              <w:rPr>
                <w:sz w:val="20"/>
              </w:rPr>
            </w:pPr>
            <w:r>
              <w:rPr>
                <w:spacing w:val="-5"/>
                <w:sz w:val="20"/>
              </w:rPr>
              <w:t>77</w:t>
            </w:r>
          </w:p>
        </w:tc>
        <w:tc>
          <w:tcPr>
            <w:tcW w:w="1256" w:type="dxa"/>
          </w:tcPr>
          <w:p>
            <w:pPr>
              <w:pStyle w:val="TableParagraph"/>
              <w:spacing w:before="6"/>
              <w:ind w:right="166"/>
              <w:jc w:val="right"/>
              <w:rPr>
                <w:sz w:val="20"/>
              </w:rPr>
            </w:pPr>
            <w:r>
              <w:rPr>
                <w:spacing w:val="-5"/>
                <w:sz w:val="20"/>
              </w:rPr>
              <w:t>77</w:t>
            </w:r>
          </w:p>
        </w:tc>
        <w:tc>
          <w:tcPr>
            <w:tcW w:w="1400" w:type="dxa"/>
          </w:tcPr>
          <w:p>
            <w:pPr>
              <w:pStyle w:val="TableParagraph"/>
              <w:spacing w:before="6"/>
              <w:ind w:right="148"/>
              <w:jc w:val="right"/>
              <w:rPr>
                <w:sz w:val="20"/>
              </w:rPr>
            </w:pPr>
            <w:r>
              <w:rPr>
                <w:spacing w:val="-5"/>
                <w:sz w:val="20"/>
              </w:rPr>
              <w:t>79</w:t>
            </w:r>
          </w:p>
        </w:tc>
        <w:tc>
          <w:tcPr>
            <w:tcW w:w="1303" w:type="dxa"/>
            <w:tcBorders>
              <w:right w:val="single" w:sz="4" w:space="0" w:color="000000"/>
            </w:tcBorders>
          </w:tcPr>
          <w:p>
            <w:pPr>
              <w:pStyle w:val="TableParagraph"/>
              <w:spacing w:before="6"/>
              <w:ind w:right="99"/>
              <w:jc w:val="right"/>
              <w:rPr>
                <w:sz w:val="20"/>
              </w:rPr>
            </w:pPr>
            <w:r>
              <w:rPr>
                <w:spacing w:val="-5"/>
                <w:sz w:val="20"/>
              </w:rPr>
              <w:t>80</w:t>
            </w:r>
          </w:p>
        </w:tc>
      </w:tr>
      <w:tr>
        <w:trPr>
          <w:trHeight w:val="268" w:hRule="atLeast"/>
        </w:trPr>
        <w:tc>
          <w:tcPr>
            <w:tcW w:w="5486" w:type="dxa"/>
            <w:tcBorders>
              <w:left w:val="single" w:sz="4" w:space="0" w:color="000000"/>
            </w:tcBorders>
          </w:tcPr>
          <w:p>
            <w:pPr>
              <w:pStyle w:val="TableParagraph"/>
              <w:spacing w:line="223" w:lineRule="exact" w:before="2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7" w:type="dxa"/>
          </w:tcPr>
          <w:p>
            <w:pPr>
              <w:pStyle w:val="TableParagraph"/>
              <w:spacing w:before="6"/>
              <w:ind w:right="109"/>
              <w:jc w:val="right"/>
              <w:rPr>
                <w:sz w:val="20"/>
              </w:rPr>
            </w:pPr>
            <w:r>
              <w:rPr>
                <w:w w:val="99"/>
                <w:sz w:val="20"/>
              </w:rPr>
              <w:t>0</w:t>
            </w:r>
          </w:p>
        </w:tc>
        <w:tc>
          <w:tcPr>
            <w:tcW w:w="1256" w:type="dxa"/>
          </w:tcPr>
          <w:p>
            <w:pPr>
              <w:pStyle w:val="TableParagraph"/>
              <w:spacing w:before="6"/>
              <w:ind w:right="163"/>
              <w:jc w:val="right"/>
              <w:rPr>
                <w:sz w:val="20"/>
              </w:rPr>
            </w:pPr>
            <w:r>
              <w:rPr>
                <w:w w:val="99"/>
                <w:sz w:val="20"/>
              </w:rPr>
              <w:t>0</w:t>
            </w:r>
          </w:p>
        </w:tc>
        <w:tc>
          <w:tcPr>
            <w:tcW w:w="1400" w:type="dxa"/>
          </w:tcPr>
          <w:p>
            <w:pPr>
              <w:pStyle w:val="TableParagraph"/>
              <w:spacing w:before="6"/>
              <w:ind w:right="145"/>
              <w:jc w:val="right"/>
              <w:rPr>
                <w:sz w:val="20"/>
              </w:rPr>
            </w:pPr>
            <w:r>
              <w:rPr>
                <w:w w:val="99"/>
                <w:sz w:val="20"/>
              </w:rPr>
              <w:t>0</w:t>
            </w:r>
          </w:p>
        </w:tc>
        <w:tc>
          <w:tcPr>
            <w:tcW w:w="1303" w:type="dxa"/>
            <w:tcBorders>
              <w:right w:val="single" w:sz="4" w:space="0" w:color="000000"/>
            </w:tcBorders>
          </w:tcPr>
          <w:p>
            <w:pPr>
              <w:pStyle w:val="TableParagraph"/>
              <w:spacing w:before="6"/>
              <w:ind w:right="96"/>
              <w:jc w:val="right"/>
              <w:rPr>
                <w:sz w:val="20"/>
              </w:rPr>
            </w:pPr>
            <w:r>
              <w:rPr>
                <w:w w:val="99"/>
                <w:sz w:val="20"/>
              </w:rPr>
              <w:t>0</w:t>
            </w:r>
          </w:p>
        </w:tc>
      </w:tr>
      <w:tr>
        <w:trPr>
          <w:trHeight w:val="258" w:hRule="atLeast"/>
        </w:trPr>
        <w:tc>
          <w:tcPr>
            <w:tcW w:w="5486" w:type="dxa"/>
            <w:tcBorders>
              <w:left w:val="single" w:sz="4" w:space="0" w:color="000000"/>
            </w:tcBorders>
          </w:tcPr>
          <w:p>
            <w:pPr>
              <w:pStyle w:val="TableParagraph"/>
              <w:spacing w:line="211" w:lineRule="exact" w:before="28"/>
              <w:ind w:left="107"/>
              <w:rPr>
                <w:sz w:val="20"/>
              </w:rPr>
            </w:pPr>
            <w:r>
              <w:rPr>
                <w:sz w:val="20"/>
              </w:rPr>
              <w:t>Vacant</w:t>
            </w:r>
            <w:r>
              <w:rPr>
                <w:spacing w:val="-7"/>
                <w:sz w:val="20"/>
              </w:rPr>
              <w:t> </w:t>
            </w:r>
            <w:r>
              <w:rPr>
                <w:spacing w:val="-2"/>
                <w:sz w:val="20"/>
              </w:rPr>
              <w:t>Position</w:t>
            </w:r>
          </w:p>
        </w:tc>
        <w:tc>
          <w:tcPr>
            <w:tcW w:w="1207" w:type="dxa"/>
            <w:tcBorders>
              <w:bottom w:val="single" w:sz="4" w:space="0" w:color="000000"/>
            </w:tcBorders>
          </w:tcPr>
          <w:p>
            <w:pPr>
              <w:pStyle w:val="TableParagraph"/>
              <w:spacing w:before="6"/>
              <w:ind w:right="109"/>
              <w:jc w:val="right"/>
              <w:rPr>
                <w:sz w:val="20"/>
              </w:rPr>
            </w:pPr>
            <w:r>
              <w:rPr>
                <w:w w:val="99"/>
                <w:sz w:val="20"/>
              </w:rPr>
              <w:t>0</w:t>
            </w:r>
          </w:p>
        </w:tc>
        <w:tc>
          <w:tcPr>
            <w:tcW w:w="1256" w:type="dxa"/>
            <w:tcBorders>
              <w:bottom w:val="single" w:sz="4" w:space="0" w:color="000000"/>
            </w:tcBorders>
          </w:tcPr>
          <w:p>
            <w:pPr>
              <w:pStyle w:val="TableParagraph"/>
              <w:spacing w:before="6"/>
              <w:ind w:right="163"/>
              <w:jc w:val="right"/>
              <w:rPr>
                <w:sz w:val="20"/>
              </w:rPr>
            </w:pPr>
            <w:r>
              <w:rPr>
                <w:w w:val="99"/>
                <w:sz w:val="20"/>
              </w:rPr>
              <w:t>0</w:t>
            </w:r>
          </w:p>
        </w:tc>
        <w:tc>
          <w:tcPr>
            <w:tcW w:w="1400" w:type="dxa"/>
            <w:tcBorders>
              <w:bottom w:val="single" w:sz="4" w:space="0" w:color="000000"/>
            </w:tcBorders>
          </w:tcPr>
          <w:p>
            <w:pPr>
              <w:pStyle w:val="TableParagraph"/>
              <w:spacing w:before="6"/>
              <w:ind w:right="145"/>
              <w:jc w:val="right"/>
              <w:rPr>
                <w:sz w:val="20"/>
              </w:rPr>
            </w:pPr>
            <w:r>
              <w:rPr>
                <w:w w:val="99"/>
                <w:sz w:val="20"/>
              </w:rPr>
              <w:t>0</w:t>
            </w:r>
          </w:p>
        </w:tc>
        <w:tc>
          <w:tcPr>
            <w:tcW w:w="1303" w:type="dxa"/>
            <w:tcBorders>
              <w:bottom w:val="single" w:sz="4" w:space="0" w:color="000000"/>
              <w:right w:val="single" w:sz="4" w:space="0" w:color="000000"/>
            </w:tcBorders>
          </w:tcPr>
          <w:p>
            <w:pPr>
              <w:pStyle w:val="TableParagraph"/>
              <w:spacing w:before="6"/>
              <w:ind w:right="96"/>
              <w:jc w:val="right"/>
              <w:rPr>
                <w:sz w:val="20"/>
              </w:rPr>
            </w:pPr>
            <w:r>
              <w:rPr>
                <w:w w:val="99"/>
                <w:sz w:val="20"/>
              </w:rPr>
              <w:t>0</w:t>
            </w:r>
          </w:p>
        </w:tc>
      </w:tr>
      <w:tr>
        <w:trPr>
          <w:trHeight w:val="268" w:hRule="atLeast"/>
        </w:trPr>
        <w:tc>
          <w:tcPr>
            <w:tcW w:w="5486" w:type="dxa"/>
            <w:tcBorders>
              <w:left w:val="single" w:sz="4" w:space="0" w:color="000000"/>
            </w:tcBorders>
          </w:tcPr>
          <w:p>
            <w:pPr>
              <w:pStyle w:val="TableParagraph"/>
              <w:spacing w:line="211" w:lineRule="exact" w:before="38"/>
              <w:ind w:left="107"/>
              <w:rPr>
                <w:b/>
                <w:sz w:val="20"/>
              </w:rPr>
            </w:pPr>
            <w:r>
              <w:rPr>
                <w:b/>
                <w:sz w:val="20"/>
              </w:rPr>
              <w:t>Total</w:t>
            </w:r>
            <w:r>
              <w:rPr>
                <w:b/>
                <w:spacing w:val="-8"/>
                <w:sz w:val="20"/>
              </w:rPr>
              <w:t> </w:t>
            </w:r>
            <w:r>
              <w:rPr>
                <w:b/>
                <w:sz w:val="20"/>
              </w:rPr>
              <w:t>Chief</w:t>
            </w:r>
            <w:r>
              <w:rPr>
                <w:b/>
                <w:spacing w:val="-7"/>
                <w:sz w:val="20"/>
              </w:rPr>
              <w:t> </w:t>
            </w:r>
            <w:r>
              <w:rPr>
                <w:b/>
                <w:sz w:val="20"/>
              </w:rPr>
              <w:t>Financial</w:t>
            </w:r>
            <w:r>
              <w:rPr>
                <w:b/>
                <w:spacing w:val="-8"/>
                <w:sz w:val="20"/>
              </w:rPr>
              <w:t> </w:t>
            </w:r>
            <w:r>
              <w:rPr>
                <w:b/>
                <w:spacing w:val="-2"/>
                <w:sz w:val="20"/>
              </w:rPr>
              <w:t>Office</w:t>
            </w:r>
          </w:p>
        </w:tc>
        <w:tc>
          <w:tcPr>
            <w:tcW w:w="1207" w:type="dxa"/>
            <w:tcBorders>
              <w:top w:val="single" w:sz="4" w:space="0" w:color="000000"/>
              <w:bottom w:val="single" w:sz="4" w:space="0" w:color="000000"/>
            </w:tcBorders>
          </w:tcPr>
          <w:p>
            <w:pPr>
              <w:pStyle w:val="TableParagraph"/>
              <w:spacing w:before="18"/>
              <w:ind w:right="111"/>
              <w:jc w:val="right"/>
              <w:rPr>
                <w:b/>
                <w:sz w:val="20"/>
              </w:rPr>
            </w:pPr>
            <w:r>
              <w:rPr>
                <w:b/>
                <w:spacing w:val="-2"/>
                <w:sz w:val="20"/>
              </w:rPr>
              <w:t>9,472</w:t>
            </w:r>
          </w:p>
        </w:tc>
        <w:tc>
          <w:tcPr>
            <w:tcW w:w="1256" w:type="dxa"/>
            <w:tcBorders>
              <w:top w:val="single" w:sz="4" w:space="0" w:color="000000"/>
              <w:bottom w:val="single" w:sz="4" w:space="0" w:color="000000"/>
            </w:tcBorders>
          </w:tcPr>
          <w:p>
            <w:pPr>
              <w:pStyle w:val="TableParagraph"/>
              <w:spacing w:before="18"/>
              <w:ind w:right="165"/>
              <w:jc w:val="right"/>
              <w:rPr>
                <w:b/>
                <w:sz w:val="20"/>
              </w:rPr>
            </w:pPr>
            <w:r>
              <w:rPr>
                <w:b/>
                <w:spacing w:val="-2"/>
                <w:sz w:val="20"/>
              </w:rPr>
              <w:t>9,548</w:t>
            </w:r>
          </w:p>
        </w:tc>
        <w:tc>
          <w:tcPr>
            <w:tcW w:w="1400" w:type="dxa"/>
            <w:tcBorders>
              <w:top w:val="single" w:sz="4" w:space="0" w:color="000000"/>
              <w:bottom w:val="single" w:sz="4" w:space="0" w:color="000000"/>
            </w:tcBorders>
          </w:tcPr>
          <w:p>
            <w:pPr>
              <w:pStyle w:val="TableParagraph"/>
              <w:spacing w:before="18"/>
              <w:ind w:right="146"/>
              <w:jc w:val="right"/>
              <w:rPr>
                <w:b/>
                <w:sz w:val="20"/>
              </w:rPr>
            </w:pPr>
            <w:r>
              <w:rPr>
                <w:b/>
                <w:spacing w:val="-2"/>
                <w:sz w:val="20"/>
              </w:rPr>
              <w:t>9,718</w:t>
            </w:r>
          </w:p>
        </w:tc>
        <w:tc>
          <w:tcPr>
            <w:tcW w:w="1303" w:type="dxa"/>
            <w:tcBorders>
              <w:top w:val="single" w:sz="4" w:space="0" w:color="000000"/>
              <w:bottom w:val="single" w:sz="4" w:space="0" w:color="000000"/>
              <w:right w:val="single" w:sz="4" w:space="0" w:color="000000"/>
            </w:tcBorders>
          </w:tcPr>
          <w:p>
            <w:pPr>
              <w:pStyle w:val="TableParagraph"/>
              <w:spacing w:before="18"/>
              <w:ind w:right="98"/>
              <w:jc w:val="right"/>
              <w:rPr>
                <w:b/>
                <w:sz w:val="20"/>
              </w:rPr>
            </w:pPr>
            <w:r>
              <w:rPr>
                <w:b/>
                <w:spacing w:val="-2"/>
                <w:sz w:val="20"/>
              </w:rPr>
              <w:t>9,906</w:t>
            </w:r>
          </w:p>
        </w:tc>
      </w:tr>
      <w:tr>
        <w:trPr>
          <w:trHeight w:val="283" w:hRule="atLeast"/>
        </w:trPr>
        <w:tc>
          <w:tcPr>
            <w:tcW w:w="5486" w:type="dxa"/>
            <w:tcBorders>
              <w:left w:val="single" w:sz="4" w:space="0" w:color="000000"/>
            </w:tcBorders>
          </w:tcPr>
          <w:p>
            <w:pPr>
              <w:pStyle w:val="TableParagraph"/>
              <w:spacing w:line="223" w:lineRule="exact" w:before="40"/>
              <w:ind w:left="107"/>
              <w:rPr>
                <w:sz w:val="20"/>
              </w:rPr>
            </w:pPr>
            <w:r>
              <w:rPr>
                <w:sz w:val="20"/>
              </w:rPr>
              <w:t>Casuals,</w:t>
            </w:r>
            <w:r>
              <w:rPr>
                <w:spacing w:val="-5"/>
                <w:sz w:val="20"/>
              </w:rPr>
              <w:t> </w:t>
            </w:r>
            <w:r>
              <w:rPr>
                <w:sz w:val="20"/>
              </w:rPr>
              <w:t>temporary</w:t>
            </w:r>
            <w:r>
              <w:rPr>
                <w:spacing w:val="-7"/>
                <w:sz w:val="20"/>
              </w:rPr>
              <w:t> </w:t>
            </w:r>
            <w:r>
              <w:rPr>
                <w:sz w:val="20"/>
              </w:rPr>
              <w:t>and</w:t>
            </w:r>
            <w:r>
              <w:rPr>
                <w:spacing w:val="-7"/>
                <w:sz w:val="20"/>
              </w:rPr>
              <w:t> </w:t>
            </w:r>
            <w:r>
              <w:rPr>
                <w:sz w:val="20"/>
              </w:rPr>
              <w:t>other</w:t>
            </w:r>
            <w:r>
              <w:rPr>
                <w:spacing w:val="-7"/>
                <w:sz w:val="20"/>
              </w:rPr>
              <w:t> </w:t>
            </w:r>
            <w:r>
              <w:rPr>
                <w:spacing w:val="-2"/>
                <w:sz w:val="20"/>
              </w:rPr>
              <w:t>expenditure</w:t>
            </w:r>
          </w:p>
        </w:tc>
        <w:tc>
          <w:tcPr>
            <w:tcW w:w="1207" w:type="dxa"/>
            <w:tcBorders>
              <w:top w:val="single" w:sz="4" w:space="0" w:color="000000"/>
            </w:tcBorders>
          </w:tcPr>
          <w:p>
            <w:pPr>
              <w:pStyle w:val="TableParagraph"/>
              <w:spacing w:before="21"/>
              <w:ind w:right="112"/>
              <w:jc w:val="right"/>
              <w:rPr>
                <w:b/>
                <w:sz w:val="20"/>
              </w:rPr>
            </w:pPr>
            <w:r>
              <w:rPr>
                <w:b/>
                <w:spacing w:val="-2"/>
                <w:sz w:val="20"/>
              </w:rPr>
              <w:t>11,239</w:t>
            </w:r>
          </w:p>
        </w:tc>
        <w:tc>
          <w:tcPr>
            <w:tcW w:w="1256" w:type="dxa"/>
            <w:tcBorders>
              <w:top w:val="single" w:sz="4" w:space="0" w:color="000000"/>
            </w:tcBorders>
          </w:tcPr>
          <w:p>
            <w:pPr>
              <w:pStyle w:val="TableParagraph"/>
              <w:spacing w:before="21"/>
              <w:ind w:right="166"/>
              <w:jc w:val="right"/>
              <w:rPr>
                <w:sz w:val="20"/>
              </w:rPr>
            </w:pPr>
            <w:r>
              <w:rPr>
                <w:spacing w:val="-2"/>
                <w:sz w:val="20"/>
              </w:rPr>
              <w:t>11,329</w:t>
            </w:r>
          </w:p>
        </w:tc>
        <w:tc>
          <w:tcPr>
            <w:tcW w:w="1400" w:type="dxa"/>
            <w:tcBorders>
              <w:top w:val="single" w:sz="4" w:space="0" w:color="000000"/>
            </w:tcBorders>
          </w:tcPr>
          <w:p>
            <w:pPr>
              <w:pStyle w:val="TableParagraph"/>
              <w:spacing w:before="21"/>
              <w:ind w:right="147"/>
              <w:jc w:val="right"/>
              <w:rPr>
                <w:sz w:val="20"/>
              </w:rPr>
            </w:pPr>
            <w:r>
              <w:rPr>
                <w:spacing w:val="-2"/>
                <w:sz w:val="20"/>
              </w:rPr>
              <w:t>11,530</w:t>
            </w:r>
          </w:p>
        </w:tc>
        <w:tc>
          <w:tcPr>
            <w:tcW w:w="1303" w:type="dxa"/>
            <w:tcBorders>
              <w:top w:val="single" w:sz="4" w:space="0" w:color="000000"/>
              <w:right w:val="single" w:sz="4" w:space="0" w:color="000000"/>
            </w:tcBorders>
          </w:tcPr>
          <w:p>
            <w:pPr>
              <w:pStyle w:val="TableParagraph"/>
              <w:spacing w:before="21"/>
              <w:ind w:right="99"/>
              <w:jc w:val="right"/>
              <w:rPr>
                <w:sz w:val="20"/>
              </w:rPr>
            </w:pPr>
            <w:r>
              <w:rPr>
                <w:spacing w:val="-2"/>
                <w:sz w:val="20"/>
              </w:rPr>
              <w:t>11,753</w:t>
            </w:r>
          </w:p>
        </w:tc>
      </w:tr>
      <w:tr>
        <w:trPr>
          <w:trHeight w:val="258" w:hRule="atLeast"/>
        </w:trPr>
        <w:tc>
          <w:tcPr>
            <w:tcW w:w="5486" w:type="dxa"/>
            <w:tcBorders>
              <w:left w:val="single" w:sz="4" w:space="0" w:color="000000"/>
            </w:tcBorders>
          </w:tcPr>
          <w:p>
            <w:pPr>
              <w:pStyle w:val="TableParagraph"/>
              <w:spacing w:line="211" w:lineRule="exact" w:before="28"/>
              <w:ind w:left="107"/>
              <w:rPr>
                <w:sz w:val="20"/>
              </w:rPr>
            </w:pPr>
            <w:r>
              <w:rPr>
                <w:sz w:val="20"/>
              </w:rPr>
              <w:t>Capitalised</w:t>
            </w:r>
            <w:r>
              <w:rPr>
                <w:spacing w:val="-9"/>
                <w:sz w:val="20"/>
              </w:rPr>
              <w:t> </w:t>
            </w:r>
            <w:r>
              <w:rPr>
                <w:sz w:val="20"/>
              </w:rPr>
              <w:t>labour</w:t>
            </w:r>
            <w:r>
              <w:rPr>
                <w:spacing w:val="-7"/>
                <w:sz w:val="20"/>
              </w:rPr>
              <w:t> </w:t>
            </w:r>
            <w:r>
              <w:rPr>
                <w:spacing w:val="-2"/>
                <w:sz w:val="20"/>
              </w:rPr>
              <w:t>costs</w:t>
            </w:r>
          </w:p>
        </w:tc>
        <w:tc>
          <w:tcPr>
            <w:tcW w:w="1207" w:type="dxa"/>
            <w:tcBorders>
              <w:bottom w:val="single" w:sz="4" w:space="0" w:color="000000"/>
            </w:tcBorders>
          </w:tcPr>
          <w:p>
            <w:pPr>
              <w:pStyle w:val="TableParagraph"/>
              <w:spacing w:before="6"/>
              <w:ind w:right="111"/>
              <w:jc w:val="right"/>
              <w:rPr>
                <w:b/>
                <w:sz w:val="20"/>
              </w:rPr>
            </w:pPr>
            <w:r>
              <w:rPr>
                <w:b/>
                <w:spacing w:val="-2"/>
                <w:sz w:val="20"/>
              </w:rPr>
              <w:t>1,929</w:t>
            </w:r>
          </w:p>
        </w:tc>
        <w:tc>
          <w:tcPr>
            <w:tcW w:w="1256" w:type="dxa"/>
            <w:tcBorders>
              <w:bottom w:val="single" w:sz="4" w:space="0" w:color="000000"/>
            </w:tcBorders>
          </w:tcPr>
          <w:p>
            <w:pPr>
              <w:pStyle w:val="TableParagraph"/>
              <w:spacing w:before="6"/>
              <w:ind w:right="165"/>
              <w:jc w:val="right"/>
              <w:rPr>
                <w:sz w:val="20"/>
              </w:rPr>
            </w:pPr>
            <w:r>
              <w:rPr>
                <w:spacing w:val="-2"/>
                <w:sz w:val="20"/>
              </w:rPr>
              <w:t>1,943</w:t>
            </w:r>
          </w:p>
        </w:tc>
        <w:tc>
          <w:tcPr>
            <w:tcW w:w="1400" w:type="dxa"/>
            <w:tcBorders>
              <w:bottom w:val="single" w:sz="4" w:space="0" w:color="000000"/>
            </w:tcBorders>
          </w:tcPr>
          <w:p>
            <w:pPr>
              <w:pStyle w:val="TableParagraph"/>
              <w:spacing w:before="6"/>
              <w:ind w:right="146"/>
              <w:jc w:val="right"/>
              <w:rPr>
                <w:sz w:val="20"/>
              </w:rPr>
            </w:pPr>
            <w:r>
              <w:rPr>
                <w:spacing w:val="-2"/>
                <w:sz w:val="20"/>
              </w:rPr>
              <w:t>1,978</w:t>
            </w:r>
          </w:p>
        </w:tc>
        <w:tc>
          <w:tcPr>
            <w:tcW w:w="1303" w:type="dxa"/>
            <w:tcBorders>
              <w:bottom w:val="single" w:sz="4" w:space="0" w:color="000000"/>
              <w:right w:val="single" w:sz="4" w:space="0" w:color="000000"/>
            </w:tcBorders>
          </w:tcPr>
          <w:p>
            <w:pPr>
              <w:pStyle w:val="TableParagraph"/>
              <w:spacing w:before="6"/>
              <w:ind w:right="98"/>
              <w:jc w:val="right"/>
              <w:rPr>
                <w:sz w:val="20"/>
              </w:rPr>
            </w:pPr>
            <w:r>
              <w:rPr>
                <w:spacing w:val="-2"/>
                <w:sz w:val="20"/>
              </w:rPr>
              <w:t>2,016</w:t>
            </w:r>
          </w:p>
        </w:tc>
      </w:tr>
      <w:tr>
        <w:trPr>
          <w:trHeight w:val="268" w:hRule="atLeast"/>
        </w:trPr>
        <w:tc>
          <w:tcPr>
            <w:tcW w:w="5486" w:type="dxa"/>
            <w:tcBorders>
              <w:left w:val="single" w:sz="4" w:space="0" w:color="000000"/>
              <w:bottom w:val="single" w:sz="4" w:space="0" w:color="000000"/>
            </w:tcBorders>
          </w:tcPr>
          <w:p>
            <w:pPr>
              <w:pStyle w:val="TableParagraph"/>
              <w:spacing w:line="211" w:lineRule="exact" w:before="38"/>
              <w:ind w:left="107"/>
              <w:rPr>
                <w:b/>
                <w:sz w:val="20"/>
              </w:rPr>
            </w:pPr>
            <w:r>
              <w:rPr>
                <w:b/>
                <w:sz w:val="20"/>
              </w:rPr>
              <w:t>Total</w:t>
            </w:r>
            <w:r>
              <w:rPr>
                <w:b/>
                <w:spacing w:val="-7"/>
                <w:sz w:val="20"/>
              </w:rPr>
              <w:t> </w:t>
            </w:r>
            <w:r>
              <w:rPr>
                <w:b/>
                <w:sz w:val="20"/>
              </w:rPr>
              <w:t>Staff</w:t>
            </w:r>
            <w:r>
              <w:rPr>
                <w:b/>
                <w:spacing w:val="-7"/>
                <w:sz w:val="20"/>
              </w:rPr>
              <w:t> </w:t>
            </w:r>
            <w:r>
              <w:rPr>
                <w:b/>
                <w:spacing w:val="-2"/>
                <w:sz w:val="20"/>
              </w:rPr>
              <w:t>Expenditure</w:t>
            </w:r>
          </w:p>
        </w:tc>
        <w:tc>
          <w:tcPr>
            <w:tcW w:w="1207" w:type="dxa"/>
            <w:tcBorders>
              <w:top w:val="single" w:sz="4" w:space="0" w:color="000000"/>
              <w:bottom w:val="single" w:sz="4" w:space="0" w:color="000000"/>
            </w:tcBorders>
          </w:tcPr>
          <w:p>
            <w:pPr>
              <w:pStyle w:val="TableParagraph"/>
              <w:spacing w:line="211" w:lineRule="exact" w:before="38"/>
              <w:ind w:right="113"/>
              <w:jc w:val="right"/>
              <w:rPr>
                <w:b/>
                <w:sz w:val="20"/>
              </w:rPr>
            </w:pPr>
            <w:r>
              <w:rPr>
                <w:b/>
                <w:spacing w:val="-2"/>
                <w:sz w:val="20"/>
              </w:rPr>
              <w:t>72,860</w:t>
            </w:r>
          </w:p>
        </w:tc>
        <w:tc>
          <w:tcPr>
            <w:tcW w:w="1256" w:type="dxa"/>
            <w:tcBorders>
              <w:top w:val="single" w:sz="4" w:space="0" w:color="000000"/>
              <w:bottom w:val="single" w:sz="4" w:space="0" w:color="000000"/>
            </w:tcBorders>
          </w:tcPr>
          <w:p>
            <w:pPr>
              <w:pStyle w:val="TableParagraph"/>
              <w:spacing w:line="211" w:lineRule="exact" w:before="38"/>
              <w:ind w:right="166"/>
              <w:jc w:val="right"/>
              <w:rPr>
                <w:b/>
                <w:sz w:val="20"/>
              </w:rPr>
            </w:pPr>
            <w:r>
              <w:rPr>
                <w:b/>
                <w:spacing w:val="-2"/>
                <w:sz w:val="20"/>
              </w:rPr>
              <w:t>73,440</w:t>
            </w:r>
          </w:p>
        </w:tc>
        <w:tc>
          <w:tcPr>
            <w:tcW w:w="1400" w:type="dxa"/>
            <w:tcBorders>
              <w:top w:val="single" w:sz="4" w:space="0" w:color="000000"/>
              <w:bottom w:val="single" w:sz="4" w:space="0" w:color="000000"/>
            </w:tcBorders>
          </w:tcPr>
          <w:p>
            <w:pPr>
              <w:pStyle w:val="TableParagraph"/>
              <w:spacing w:line="211" w:lineRule="exact" w:before="38"/>
              <w:ind w:right="147"/>
              <w:jc w:val="right"/>
              <w:rPr>
                <w:b/>
                <w:sz w:val="20"/>
              </w:rPr>
            </w:pPr>
            <w:r>
              <w:rPr>
                <w:b/>
                <w:spacing w:val="-2"/>
                <w:sz w:val="20"/>
              </w:rPr>
              <w:t>74,748</w:t>
            </w:r>
          </w:p>
        </w:tc>
        <w:tc>
          <w:tcPr>
            <w:tcW w:w="1303" w:type="dxa"/>
            <w:tcBorders>
              <w:top w:val="single" w:sz="4" w:space="0" w:color="000000"/>
              <w:bottom w:val="single" w:sz="4" w:space="0" w:color="000000"/>
              <w:right w:val="single" w:sz="4" w:space="0" w:color="000000"/>
            </w:tcBorders>
          </w:tcPr>
          <w:p>
            <w:pPr>
              <w:pStyle w:val="TableParagraph"/>
              <w:spacing w:line="211" w:lineRule="exact" w:before="38"/>
              <w:ind w:right="99"/>
              <w:jc w:val="right"/>
              <w:rPr>
                <w:b/>
                <w:sz w:val="20"/>
              </w:rPr>
            </w:pPr>
            <w:r>
              <w:rPr>
                <w:b/>
                <w:spacing w:val="-2"/>
                <w:sz w:val="20"/>
              </w:rPr>
              <w:t>76,195</w:t>
            </w:r>
          </w:p>
        </w:tc>
      </w:tr>
    </w:tbl>
    <w:p>
      <w:pPr>
        <w:pStyle w:val="BodyText"/>
        <w:rPr>
          <w:sz w:val="20"/>
        </w:rPr>
      </w:pPr>
    </w:p>
    <w:p>
      <w:pPr>
        <w:pStyle w:val="BodyText"/>
        <w:rPr>
          <w:sz w:val="20"/>
        </w:rPr>
      </w:pPr>
    </w:p>
    <w:p>
      <w:pPr>
        <w:pStyle w:val="BodyText"/>
        <w:rPr>
          <w:sz w:val="20"/>
        </w:rPr>
      </w:pPr>
    </w:p>
    <w:p>
      <w:pPr>
        <w:pStyle w:val="BodyText"/>
        <w:spacing w:before="9"/>
        <w:rPr>
          <w:sz w:val="28"/>
        </w:rPr>
      </w:pPr>
    </w:p>
    <w:tbl>
      <w:tblPr>
        <w:tblW w:w="0" w:type="auto"/>
        <w:jc w:val="left"/>
        <w:tblInd w:w="4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88"/>
        <w:gridCol w:w="1218"/>
        <w:gridCol w:w="1338"/>
        <w:gridCol w:w="1580"/>
        <w:gridCol w:w="1441"/>
      </w:tblGrid>
      <w:tr>
        <w:trPr>
          <w:trHeight w:val="558" w:hRule="atLeast"/>
        </w:trPr>
        <w:tc>
          <w:tcPr>
            <w:tcW w:w="5088" w:type="dxa"/>
            <w:tcBorders>
              <w:top w:val="single" w:sz="4" w:space="0" w:color="000000"/>
              <w:left w:val="single" w:sz="4" w:space="0" w:color="000000"/>
            </w:tcBorders>
            <w:shd w:val="clear" w:color="auto" w:fill="629CD1"/>
          </w:tcPr>
          <w:p>
            <w:pPr>
              <w:pStyle w:val="TableParagraph"/>
              <w:spacing w:before="50"/>
              <w:ind w:left="1687"/>
              <w:rPr>
                <w:b/>
                <w:sz w:val="20"/>
              </w:rPr>
            </w:pPr>
            <w:r>
              <w:rPr>
                <w:b/>
                <w:color w:val="FFFFFF"/>
                <w:spacing w:val="-2"/>
                <w:sz w:val="20"/>
              </w:rPr>
              <w:t>Directorate</w:t>
            </w:r>
          </w:p>
        </w:tc>
        <w:tc>
          <w:tcPr>
            <w:tcW w:w="1218" w:type="dxa"/>
            <w:tcBorders>
              <w:top w:val="single" w:sz="4" w:space="0" w:color="000000"/>
            </w:tcBorders>
            <w:shd w:val="clear" w:color="auto" w:fill="629CD1"/>
          </w:tcPr>
          <w:p>
            <w:pPr>
              <w:pStyle w:val="TableParagraph"/>
              <w:spacing w:before="50"/>
              <w:ind w:left="108" w:right="126"/>
              <w:jc w:val="center"/>
              <w:rPr>
                <w:b/>
                <w:sz w:val="20"/>
              </w:rPr>
            </w:pPr>
            <w:r>
              <w:rPr>
                <w:b/>
                <w:color w:val="FFFFFF"/>
                <w:spacing w:val="-2"/>
                <w:sz w:val="20"/>
              </w:rPr>
              <w:t>2023/2024</w:t>
            </w:r>
          </w:p>
          <w:p>
            <w:pPr>
              <w:pStyle w:val="TableParagraph"/>
              <w:spacing w:line="211" w:lineRule="exact" w:before="48"/>
              <w:ind w:left="114" w:right="126"/>
              <w:jc w:val="center"/>
              <w:rPr>
                <w:b/>
                <w:sz w:val="20"/>
              </w:rPr>
            </w:pPr>
            <w:r>
              <w:rPr>
                <w:b/>
                <w:color w:val="FFFFFF"/>
                <w:spacing w:val="-5"/>
                <w:sz w:val="20"/>
              </w:rPr>
              <w:t>FTE</w:t>
            </w:r>
          </w:p>
        </w:tc>
        <w:tc>
          <w:tcPr>
            <w:tcW w:w="1338" w:type="dxa"/>
            <w:tcBorders>
              <w:top w:val="single" w:sz="4" w:space="0" w:color="000000"/>
            </w:tcBorders>
            <w:shd w:val="clear" w:color="auto" w:fill="629CD1"/>
          </w:tcPr>
          <w:p>
            <w:pPr>
              <w:pStyle w:val="TableParagraph"/>
              <w:spacing w:before="50"/>
              <w:ind w:left="124" w:right="245"/>
              <w:jc w:val="center"/>
              <w:rPr>
                <w:b/>
                <w:sz w:val="20"/>
              </w:rPr>
            </w:pPr>
            <w:r>
              <w:rPr>
                <w:b/>
                <w:color w:val="FFFFFF"/>
                <w:spacing w:val="-2"/>
                <w:sz w:val="20"/>
              </w:rPr>
              <w:t>2024/2025</w:t>
            </w:r>
          </w:p>
          <w:p>
            <w:pPr>
              <w:pStyle w:val="TableParagraph"/>
              <w:spacing w:line="211" w:lineRule="exact" w:before="48"/>
              <w:ind w:left="124" w:right="244"/>
              <w:jc w:val="center"/>
              <w:rPr>
                <w:b/>
                <w:sz w:val="20"/>
              </w:rPr>
            </w:pPr>
            <w:r>
              <w:rPr>
                <w:b/>
                <w:color w:val="FFFFFF"/>
                <w:spacing w:val="-5"/>
                <w:sz w:val="20"/>
              </w:rPr>
              <w:t>FTE</w:t>
            </w:r>
          </w:p>
        </w:tc>
        <w:tc>
          <w:tcPr>
            <w:tcW w:w="1580" w:type="dxa"/>
            <w:tcBorders>
              <w:top w:val="single" w:sz="4" w:space="0" w:color="000000"/>
            </w:tcBorders>
            <w:shd w:val="clear" w:color="auto" w:fill="629CD1"/>
          </w:tcPr>
          <w:p>
            <w:pPr>
              <w:pStyle w:val="TableParagraph"/>
              <w:spacing w:before="50"/>
              <w:ind w:left="209" w:right="402"/>
              <w:jc w:val="center"/>
              <w:rPr>
                <w:b/>
                <w:sz w:val="20"/>
              </w:rPr>
            </w:pPr>
            <w:r>
              <w:rPr>
                <w:b/>
                <w:color w:val="FFFFFF"/>
                <w:spacing w:val="-2"/>
                <w:sz w:val="20"/>
              </w:rPr>
              <w:t>2025/2026</w:t>
            </w:r>
          </w:p>
          <w:p>
            <w:pPr>
              <w:pStyle w:val="TableParagraph"/>
              <w:spacing w:line="211" w:lineRule="exact" w:before="48"/>
              <w:ind w:left="209" w:right="396"/>
              <w:jc w:val="center"/>
              <w:rPr>
                <w:b/>
                <w:sz w:val="20"/>
              </w:rPr>
            </w:pPr>
            <w:r>
              <w:rPr>
                <w:b/>
                <w:color w:val="FFFFFF"/>
                <w:spacing w:val="-5"/>
                <w:sz w:val="20"/>
              </w:rPr>
              <w:t>FTE</w:t>
            </w:r>
          </w:p>
        </w:tc>
        <w:tc>
          <w:tcPr>
            <w:tcW w:w="1441" w:type="dxa"/>
            <w:tcBorders>
              <w:top w:val="single" w:sz="4" w:space="0" w:color="000000"/>
              <w:right w:val="single" w:sz="4" w:space="0" w:color="000000"/>
            </w:tcBorders>
            <w:shd w:val="clear" w:color="auto" w:fill="629CD1"/>
          </w:tcPr>
          <w:p>
            <w:pPr>
              <w:pStyle w:val="TableParagraph"/>
              <w:spacing w:before="50"/>
              <w:ind w:left="192" w:right="276"/>
              <w:jc w:val="center"/>
              <w:rPr>
                <w:b/>
                <w:sz w:val="20"/>
              </w:rPr>
            </w:pPr>
            <w:r>
              <w:rPr>
                <w:b/>
                <w:color w:val="FFFFFF"/>
                <w:spacing w:val="-2"/>
                <w:sz w:val="20"/>
              </w:rPr>
              <w:t>2026/2027</w:t>
            </w:r>
          </w:p>
          <w:p>
            <w:pPr>
              <w:pStyle w:val="TableParagraph"/>
              <w:spacing w:line="211" w:lineRule="exact" w:before="48"/>
              <w:ind w:left="192" w:right="270"/>
              <w:jc w:val="center"/>
              <w:rPr>
                <w:b/>
                <w:sz w:val="20"/>
              </w:rPr>
            </w:pPr>
            <w:r>
              <w:rPr>
                <w:b/>
                <w:color w:val="FFFFFF"/>
                <w:spacing w:val="-5"/>
                <w:sz w:val="20"/>
              </w:rPr>
              <w:t>FTE</w:t>
            </w:r>
          </w:p>
        </w:tc>
      </w:tr>
      <w:tr>
        <w:trPr>
          <w:trHeight w:val="295" w:hRule="atLeast"/>
        </w:trPr>
        <w:tc>
          <w:tcPr>
            <w:tcW w:w="5088" w:type="dxa"/>
            <w:tcBorders>
              <w:left w:val="single" w:sz="4" w:space="0" w:color="000000"/>
            </w:tcBorders>
          </w:tcPr>
          <w:p>
            <w:pPr>
              <w:pStyle w:val="TableParagraph"/>
              <w:spacing w:line="226" w:lineRule="exact" w:before="50"/>
              <w:ind w:left="107"/>
              <w:rPr>
                <w:b/>
                <w:sz w:val="20"/>
              </w:rPr>
            </w:pPr>
            <w:r>
              <w:rPr>
                <w:b/>
                <w:sz w:val="20"/>
              </w:rPr>
              <w:t>Strategy</w:t>
            </w:r>
            <w:r>
              <w:rPr>
                <w:b/>
                <w:spacing w:val="-8"/>
                <w:sz w:val="20"/>
              </w:rPr>
              <w:t> </w:t>
            </w:r>
            <w:r>
              <w:rPr>
                <w:b/>
                <w:sz w:val="20"/>
              </w:rPr>
              <w:t>and</w:t>
            </w:r>
            <w:r>
              <w:rPr>
                <w:b/>
                <w:spacing w:val="-8"/>
                <w:sz w:val="20"/>
              </w:rPr>
              <w:t> </w:t>
            </w:r>
            <w:r>
              <w:rPr>
                <w:b/>
                <w:spacing w:val="-2"/>
                <w:sz w:val="20"/>
              </w:rPr>
              <w:t>Development</w:t>
            </w:r>
          </w:p>
        </w:tc>
        <w:tc>
          <w:tcPr>
            <w:tcW w:w="1218" w:type="dxa"/>
          </w:tcPr>
          <w:p>
            <w:pPr>
              <w:pStyle w:val="TableParagraph"/>
              <w:rPr>
                <w:rFonts w:ascii="Times New Roman"/>
                <w:sz w:val="18"/>
              </w:rPr>
            </w:pPr>
          </w:p>
        </w:tc>
        <w:tc>
          <w:tcPr>
            <w:tcW w:w="1338" w:type="dxa"/>
          </w:tcPr>
          <w:p>
            <w:pPr>
              <w:pStyle w:val="TableParagraph"/>
              <w:rPr>
                <w:rFonts w:ascii="Times New Roman"/>
                <w:sz w:val="18"/>
              </w:rPr>
            </w:pPr>
          </w:p>
        </w:tc>
        <w:tc>
          <w:tcPr>
            <w:tcW w:w="1580" w:type="dxa"/>
          </w:tcPr>
          <w:p>
            <w:pPr>
              <w:pStyle w:val="TableParagraph"/>
              <w:rPr>
                <w:rFonts w:ascii="Times New Roman"/>
                <w:sz w:val="18"/>
              </w:rPr>
            </w:pPr>
          </w:p>
        </w:tc>
        <w:tc>
          <w:tcPr>
            <w:tcW w:w="1441" w:type="dxa"/>
            <w:tcBorders>
              <w:right w:val="single" w:sz="4" w:space="0" w:color="000000"/>
            </w:tcBorders>
          </w:tcPr>
          <w:p>
            <w:pPr>
              <w:pStyle w:val="TableParagraph"/>
              <w:rPr>
                <w:rFonts w:ascii="Times New Roman"/>
                <w:sz w:val="18"/>
              </w:rPr>
            </w:pPr>
          </w:p>
        </w:tc>
      </w:tr>
      <w:tr>
        <w:trPr>
          <w:trHeight w:val="280" w:hRule="atLeast"/>
        </w:trPr>
        <w:tc>
          <w:tcPr>
            <w:tcW w:w="5088" w:type="dxa"/>
            <w:tcBorders>
              <w:left w:val="single" w:sz="4" w:space="0" w:color="000000"/>
            </w:tcBorders>
          </w:tcPr>
          <w:p>
            <w:pPr>
              <w:pStyle w:val="TableParagraph"/>
              <w:spacing w:line="226" w:lineRule="exact" w:before="3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8"/>
              <w:ind w:right="123"/>
              <w:jc w:val="right"/>
              <w:rPr>
                <w:b/>
                <w:sz w:val="20"/>
              </w:rPr>
            </w:pPr>
            <w:r>
              <w:rPr>
                <w:b/>
                <w:spacing w:val="-4"/>
                <w:sz w:val="20"/>
              </w:rPr>
              <w:t>78.6</w:t>
            </w:r>
          </w:p>
        </w:tc>
        <w:tc>
          <w:tcPr>
            <w:tcW w:w="1338" w:type="dxa"/>
          </w:tcPr>
          <w:p>
            <w:pPr>
              <w:pStyle w:val="TableParagraph"/>
              <w:spacing w:before="8"/>
              <w:ind w:right="208"/>
              <w:jc w:val="right"/>
              <w:rPr>
                <w:b/>
                <w:sz w:val="20"/>
              </w:rPr>
            </w:pPr>
            <w:r>
              <w:rPr>
                <w:b/>
                <w:spacing w:val="-4"/>
                <w:sz w:val="20"/>
              </w:rPr>
              <w:t>78.6</w:t>
            </w:r>
          </w:p>
        </w:tc>
        <w:tc>
          <w:tcPr>
            <w:tcW w:w="1580" w:type="dxa"/>
          </w:tcPr>
          <w:p>
            <w:pPr>
              <w:pStyle w:val="TableParagraph"/>
              <w:spacing w:before="8"/>
              <w:ind w:right="192"/>
              <w:jc w:val="right"/>
              <w:rPr>
                <w:b/>
                <w:sz w:val="20"/>
              </w:rPr>
            </w:pPr>
            <w:r>
              <w:rPr>
                <w:b/>
                <w:spacing w:val="-4"/>
                <w:sz w:val="20"/>
              </w:rPr>
              <w:t>78.6</w:t>
            </w:r>
          </w:p>
        </w:tc>
        <w:tc>
          <w:tcPr>
            <w:tcW w:w="1441" w:type="dxa"/>
            <w:tcBorders>
              <w:right w:val="single" w:sz="4" w:space="0" w:color="000000"/>
            </w:tcBorders>
          </w:tcPr>
          <w:p>
            <w:pPr>
              <w:pStyle w:val="TableParagraph"/>
              <w:spacing w:before="8"/>
              <w:ind w:right="94"/>
              <w:jc w:val="right"/>
              <w:rPr>
                <w:b/>
                <w:sz w:val="20"/>
              </w:rPr>
            </w:pPr>
            <w:r>
              <w:rPr>
                <w:b/>
                <w:spacing w:val="-4"/>
                <w:sz w:val="20"/>
              </w:rPr>
              <w:t>78.6</w:t>
            </w:r>
          </w:p>
        </w:tc>
      </w:tr>
      <w:tr>
        <w:trPr>
          <w:trHeight w:val="279" w:hRule="atLeast"/>
        </w:trPr>
        <w:tc>
          <w:tcPr>
            <w:tcW w:w="5088" w:type="dxa"/>
            <w:tcBorders>
              <w:left w:val="single" w:sz="4" w:space="0" w:color="000000"/>
            </w:tcBorders>
          </w:tcPr>
          <w:p>
            <w:pPr>
              <w:pStyle w:val="TableParagraph"/>
              <w:spacing w:line="227" w:lineRule="exact" w:before="32"/>
              <w:ind w:left="107"/>
              <w:rPr>
                <w:sz w:val="20"/>
              </w:rPr>
            </w:pPr>
            <w:r>
              <w:rPr>
                <w:spacing w:val="-2"/>
                <w:sz w:val="20"/>
              </w:rPr>
              <w:t>Women</w:t>
            </w:r>
          </w:p>
        </w:tc>
        <w:tc>
          <w:tcPr>
            <w:tcW w:w="1218" w:type="dxa"/>
          </w:tcPr>
          <w:p>
            <w:pPr>
              <w:pStyle w:val="TableParagraph"/>
              <w:spacing w:before="8"/>
              <w:ind w:right="123"/>
              <w:jc w:val="right"/>
              <w:rPr>
                <w:sz w:val="20"/>
              </w:rPr>
            </w:pPr>
            <w:r>
              <w:rPr>
                <w:spacing w:val="-4"/>
                <w:sz w:val="20"/>
              </w:rPr>
              <w:t>32.4</w:t>
            </w:r>
          </w:p>
        </w:tc>
        <w:tc>
          <w:tcPr>
            <w:tcW w:w="1338" w:type="dxa"/>
          </w:tcPr>
          <w:p>
            <w:pPr>
              <w:pStyle w:val="TableParagraph"/>
              <w:spacing w:before="8"/>
              <w:ind w:right="208"/>
              <w:jc w:val="right"/>
              <w:rPr>
                <w:sz w:val="20"/>
              </w:rPr>
            </w:pPr>
            <w:r>
              <w:rPr>
                <w:spacing w:val="-4"/>
                <w:sz w:val="20"/>
              </w:rPr>
              <w:t>32.4</w:t>
            </w:r>
          </w:p>
        </w:tc>
        <w:tc>
          <w:tcPr>
            <w:tcW w:w="1580" w:type="dxa"/>
          </w:tcPr>
          <w:p>
            <w:pPr>
              <w:pStyle w:val="TableParagraph"/>
              <w:spacing w:before="8"/>
              <w:ind w:right="192"/>
              <w:jc w:val="right"/>
              <w:rPr>
                <w:sz w:val="20"/>
              </w:rPr>
            </w:pPr>
            <w:r>
              <w:rPr>
                <w:spacing w:val="-4"/>
                <w:sz w:val="20"/>
              </w:rPr>
              <w:t>32.4</w:t>
            </w:r>
          </w:p>
        </w:tc>
        <w:tc>
          <w:tcPr>
            <w:tcW w:w="1441" w:type="dxa"/>
            <w:tcBorders>
              <w:right w:val="single" w:sz="4" w:space="0" w:color="000000"/>
            </w:tcBorders>
          </w:tcPr>
          <w:p>
            <w:pPr>
              <w:pStyle w:val="TableParagraph"/>
              <w:spacing w:before="8"/>
              <w:ind w:right="94"/>
              <w:jc w:val="right"/>
              <w:rPr>
                <w:sz w:val="20"/>
              </w:rPr>
            </w:pPr>
            <w:r>
              <w:rPr>
                <w:spacing w:val="-4"/>
                <w:sz w:val="20"/>
              </w:rPr>
              <w:t>32.4</w:t>
            </w:r>
          </w:p>
        </w:tc>
      </w:tr>
      <w:tr>
        <w:trPr>
          <w:trHeight w:val="279" w:hRule="atLeast"/>
        </w:trPr>
        <w:tc>
          <w:tcPr>
            <w:tcW w:w="5088" w:type="dxa"/>
            <w:tcBorders>
              <w:left w:val="single" w:sz="4" w:space="0" w:color="000000"/>
            </w:tcBorders>
          </w:tcPr>
          <w:p>
            <w:pPr>
              <w:pStyle w:val="TableParagraph"/>
              <w:spacing w:line="226" w:lineRule="exact" w:before="34"/>
              <w:ind w:left="107"/>
              <w:rPr>
                <w:sz w:val="20"/>
              </w:rPr>
            </w:pPr>
            <w:r>
              <w:rPr>
                <w:spacing w:val="-5"/>
                <w:sz w:val="20"/>
              </w:rPr>
              <w:t>Men</w:t>
            </w:r>
          </w:p>
        </w:tc>
        <w:tc>
          <w:tcPr>
            <w:tcW w:w="1218" w:type="dxa"/>
          </w:tcPr>
          <w:p>
            <w:pPr>
              <w:pStyle w:val="TableParagraph"/>
              <w:spacing w:before="10"/>
              <w:ind w:right="123"/>
              <w:jc w:val="right"/>
              <w:rPr>
                <w:sz w:val="20"/>
              </w:rPr>
            </w:pPr>
            <w:r>
              <w:rPr>
                <w:spacing w:val="-4"/>
                <w:sz w:val="20"/>
              </w:rPr>
              <w:t>46.2</w:t>
            </w:r>
          </w:p>
        </w:tc>
        <w:tc>
          <w:tcPr>
            <w:tcW w:w="1338" w:type="dxa"/>
          </w:tcPr>
          <w:p>
            <w:pPr>
              <w:pStyle w:val="TableParagraph"/>
              <w:spacing w:before="10"/>
              <w:ind w:right="208"/>
              <w:jc w:val="right"/>
              <w:rPr>
                <w:sz w:val="20"/>
              </w:rPr>
            </w:pPr>
            <w:r>
              <w:rPr>
                <w:spacing w:val="-4"/>
                <w:sz w:val="20"/>
              </w:rPr>
              <w:t>46.2</w:t>
            </w:r>
          </w:p>
        </w:tc>
        <w:tc>
          <w:tcPr>
            <w:tcW w:w="1580" w:type="dxa"/>
          </w:tcPr>
          <w:p>
            <w:pPr>
              <w:pStyle w:val="TableParagraph"/>
              <w:spacing w:before="10"/>
              <w:ind w:right="192"/>
              <w:jc w:val="right"/>
              <w:rPr>
                <w:sz w:val="20"/>
              </w:rPr>
            </w:pPr>
            <w:r>
              <w:rPr>
                <w:spacing w:val="-4"/>
                <w:sz w:val="20"/>
              </w:rPr>
              <w:t>46.2</w:t>
            </w:r>
          </w:p>
        </w:tc>
        <w:tc>
          <w:tcPr>
            <w:tcW w:w="1441" w:type="dxa"/>
            <w:tcBorders>
              <w:right w:val="single" w:sz="4" w:space="0" w:color="000000"/>
            </w:tcBorders>
          </w:tcPr>
          <w:p>
            <w:pPr>
              <w:pStyle w:val="TableParagraph"/>
              <w:spacing w:before="10"/>
              <w:ind w:right="94"/>
              <w:jc w:val="right"/>
              <w:rPr>
                <w:sz w:val="20"/>
              </w:rPr>
            </w:pPr>
            <w:r>
              <w:rPr>
                <w:spacing w:val="-4"/>
                <w:sz w:val="20"/>
              </w:rPr>
              <w:t>46.2</w:t>
            </w:r>
          </w:p>
        </w:tc>
      </w:tr>
      <w:tr>
        <w:trPr>
          <w:trHeight w:val="280" w:hRule="atLeast"/>
        </w:trPr>
        <w:tc>
          <w:tcPr>
            <w:tcW w:w="5088" w:type="dxa"/>
            <w:tcBorders>
              <w:left w:val="single" w:sz="4" w:space="0" w:color="000000"/>
            </w:tcBorders>
          </w:tcPr>
          <w:p>
            <w:pPr>
              <w:pStyle w:val="TableParagraph"/>
              <w:spacing w:line="226" w:lineRule="exact" w:before="3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8"/>
              <w:ind w:right="125"/>
              <w:jc w:val="right"/>
              <w:rPr>
                <w:sz w:val="20"/>
              </w:rPr>
            </w:pPr>
            <w:r>
              <w:rPr>
                <w:w w:val="99"/>
                <w:sz w:val="20"/>
              </w:rPr>
              <w:t>-</w:t>
            </w:r>
          </w:p>
        </w:tc>
        <w:tc>
          <w:tcPr>
            <w:tcW w:w="1338" w:type="dxa"/>
          </w:tcPr>
          <w:p>
            <w:pPr>
              <w:pStyle w:val="TableParagraph"/>
              <w:spacing w:before="8"/>
              <w:ind w:right="209"/>
              <w:jc w:val="right"/>
              <w:rPr>
                <w:sz w:val="20"/>
              </w:rPr>
            </w:pPr>
            <w:r>
              <w:rPr>
                <w:w w:val="99"/>
                <w:sz w:val="20"/>
              </w:rPr>
              <w:t>-</w:t>
            </w:r>
          </w:p>
        </w:tc>
        <w:tc>
          <w:tcPr>
            <w:tcW w:w="1580" w:type="dxa"/>
          </w:tcPr>
          <w:p>
            <w:pPr>
              <w:pStyle w:val="TableParagraph"/>
              <w:spacing w:before="8"/>
              <w:ind w:right="194"/>
              <w:jc w:val="right"/>
              <w:rPr>
                <w:sz w:val="20"/>
              </w:rPr>
            </w:pPr>
            <w:r>
              <w:rPr>
                <w:w w:val="99"/>
                <w:sz w:val="20"/>
              </w:rPr>
              <w:t>-</w:t>
            </w:r>
          </w:p>
        </w:tc>
        <w:tc>
          <w:tcPr>
            <w:tcW w:w="1441" w:type="dxa"/>
            <w:tcBorders>
              <w:right w:val="single" w:sz="4" w:space="0" w:color="000000"/>
            </w:tcBorders>
          </w:tcPr>
          <w:p>
            <w:pPr>
              <w:pStyle w:val="TableParagraph"/>
              <w:spacing w:before="8"/>
              <w:ind w:right="96"/>
              <w:jc w:val="right"/>
              <w:rPr>
                <w:sz w:val="20"/>
              </w:rPr>
            </w:pPr>
            <w:r>
              <w:rPr>
                <w:w w:val="99"/>
                <w:sz w:val="20"/>
              </w:rPr>
              <w:t>-</w:t>
            </w:r>
          </w:p>
        </w:tc>
      </w:tr>
      <w:tr>
        <w:trPr>
          <w:trHeight w:val="279" w:hRule="atLeast"/>
        </w:trPr>
        <w:tc>
          <w:tcPr>
            <w:tcW w:w="5088" w:type="dxa"/>
            <w:tcBorders>
              <w:left w:val="single" w:sz="4" w:space="0" w:color="000000"/>
            </w:tcBorders>
          </w:tcPr>
          <w:p>
            <w:pPr>
              <w:pStyle w:val="TableParagraph"/>
              <w:spacing w:line="227" w:lineRule="exact" w:before="32"/>
              <w:ind w:left="107"/>
              <w:rPr>
                <w:sz w:val="20"/>
              </w:rPr>
            </w:pPr>
            <w:r>
              <w:rPr>
                <w:sz w:val="20"/>
              </w:rPr>
              <w:t>Vacant</w:t>
            </w:r>
            <w:r>
              <w:rPr>
                <w:spacing w:val="-7"/>
                <w:sz w:val="20"/>
              </w:rPr>
              <w:t> </w:t>
            </w:r>
            <w:r>
              <w:rPr>
                <w:spacing w:val="-2"/>
                <w:sz w:val="20"/>
              </w:rPr>
              <w:t>Position</w:t>
            </w:r>
          </w:p>
        </w:tc>
        <w:tc>
          <w:tcPr>
            <w:tcW w:w="1218" w:type="dxa"/>
          </w:tcPr>
          <w:p>
            <w:pPr>
              <w:pStyle w:val="TableParagraph"/>
              <w:spacing w:before="8"/>
              <w:ind w:right="125"/>
              <w:jc w:val="right"/>
              <w:rPr>
                <w:sz w:val="20"/>
              </w:rPr>
            </w:pPr>
            <w:r>
              <w:rPr>
                <w:w w:val="99"/>
                <w:sz w:val="20"/>
              </w:rPr>
              <w:t>-</w:t>
            </w:r>
          </w:p>
        </w:tc>
        <w:tc>
          <w:tcPr>
            <w:tcW w:w="1338" w:type="dxa"/>
          </w:tcPr>
          <w:p>
            <w:pPr>
              <w:pStyle w:val="TableParagraph"/>
              <w:spacing w:before="8"/>
              <w:ind w:right="209"/>
              <w:jc w:val="right"/>
              <w:rPr>
                <w:sz w:val="20"/>
              </w:rPr>
            </w:pPr>
            <w:r>
              <w:rPr>
                <w:w w:val="99"/>
                <w:sz w:val="20"/>
              </w:rPr>
              <w:t>-</w:t>
            </w:r>
          </w:p>
        </w:tc>
        <w:tc>
          <w:tcPr>
            <w:tcW w:w="1580" w:type="dxa"/>
          </w:tcPr>
          <w:p>
            <w:pPr>
              <w:pStyle w:val="TableParagraph"/>
              <w:spacing w:before="8"/>
              <w:ind w:right="194"/>
              <w:jc w:val="right"/>
              <w:rPr>
                <w:sz w:val="20"/>
              </w:rPr>
            </w:pPr>
            <w:r>
              <w:rPr>
                <w:w w:val="99"/>
                <w:sz w:val="20"/>
              </w:rPr>
              <w:t>-</w:t>
            </w:r>
          </w:p>
        </w:tc>
        <w:tc>
          <w:tcPr>
            <w:tcW w:w="1441" w:type="dxa"/>
            <w:tcBorders>
              <w:right w:val="single" w:sz="4" w:space="0" w:color="000000"/>
            </w:tcBorders>
          </w:tcPr>
          <w:p>
            <w:pPr>
              <w:pStyle w:val="TableParagraph"/>
              <w:spacing w:before="8"/>
              <w:ind w:right="96"/>
              <w:jc w:val="right"/>
              <w:rPr>
                <w:sz w:val="20"/>
              </w:rPr>
            </w:pPr>
            <w:r>
              <w:rPr>
                <w:w w:val="99"/>
                <w:sz w:val="20"/>
              </w:rPr>
              <w:t>-</w:t>
            </w:r>
          </w:p>
        </w:tc>
      </w:tr>
      <w:tr>
        <w:trPr>
          <w:trHeight w:val="279" w:hRule="atLeast"/>
        </w:trPr>
        <w:tc>
          <w:tcPr>
            <w:tcW w:w="5088" w:type="dxa"/>
            <w:tcBorders>
              <w:left w:val="single" w:sz="4" w:space="0" w:color="000000"/>
            </w:tcBorders>
          </w:tcPr>
          <w:p>
            <w:pPr>
              <w:pStyle w:val="TableParagraph"/>
              <w:spacing w:line="226" w:lineRule="exact" w:before="34"/>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10"/>
              <w:ind w:right="123"/>
              <w:jc w:val="right"/>
              <w:rPr>
                <w:b/>
                <w:sz w:val="20"/>
              </w:rPr>
            </w:pPr>
            <w:r>
              <w:rPr>
                <w:b/>
                <w:spacing w:val="-4"/>
                <w:sz w:val="20"/>
              </w:rPr>
              <w:t>33.7</w:t>
            </w:r>
          </w:p>
        </w:tc>
        <w:tc>
          <w:tcPr>
            <w:tcW w:w="1338" w:type="dxa"/>
          </w:tcPr>
          <w:p>
            <w:pPr>
              <w:pStyle w:val="TableParagraph"/>
              <w:spacing w:before="10"/>
              <w:ind w:right="208"/>
              <w:jc w:val="right"/>
              <w:rPr>
                <w:b/>
                <w:sz w:val="20"/>
              </w:rPr>
            </w:pPr>
            <w:r>
              <w:rPr>
                <w:b/>
                <w:spacing w:val="-4"/>
                <w:sz w:val="20"/>
              </w:rPr>
              <w:t>33.7</w:t>
            </w:r>
          </w:p>
        </w:tc>
        <w:tc>
          <w:tcPr>
            <w:tcW w:w="1580" w:type="dxa"/>
          </w:tcPr>
          <w:p>
            <w:pPr>
              <w:pStyle w:val="TableParagraph"/>
              <w:spacing w:before="10"/>
              <w:ind w:right="192"/>
              <w:jc w:val="right"/>
              <w:rPr>
                <w:b/>
                <w:sz w:val="20"/>
              </w:rPr>
            </w:pPr>
            <w:r>
              <w:rPr>
                <w:b/>
                <w:spacing w:val="-4"/>
                <w:sz w:val="20"/>
              </w:rPr>
              <w:t>33.7</w:t>
            </w:r>
          </w:p>
        </w:tc>
        <w:tc>
          <w:tcPr>
            <w:tcW w:w="1441" w:type="dxa"/>
            <w:tcBorders>
              <w:right w:val="single" w:sz="4" w:space="0" w:color="000000"/>
            </w:tcBorders>
          </w:tcPr>
          <w:p>
            <w:pPr>
              <w:pStyle w:val="TableParagraph"/>
              <w:spacing w:before="10"/>
              <w:ind w:right="94"/>
              <w:jc w:val="right"/>
              <w:rPr>
                <w:b/>
                <w:sz w:val="20"/>
              </w:rPr>
            </w:pPr>
            <w:r>
              <w:rPr>
                <w:b/>
                <w:spacing w:val="-4"/>
                <w:sz w:val="20"/>
              </w:rPr>
              <w:t>33.7</w:t>
            </w:r>
          </w:p>
        </w:tc>
      </w:tr>
      <w:tr>
        <w:trPr>
          <w:trHeight w:val="280" w:hRule="atLeast"/>
        </w:trPr>
        <w:tc>
          <w:tcPr>
            <w:tcW w:w="5088" w:type="dxa"/>
            <w:tcBorders>
              <w:left w:val="single" w:sz="4" w:space="0" w:color="000000"/>
            </w:tcBorders>
          </w:tcPr>
          <w:p>
            <w:pPr>
              <w:pStyle w:val="TableParagraph"/>
              <w:spacing w:line="226" w:lineRule="exact" w:before="35"/>
              <w:ind w:left="107"/>
              <w:rPr>
                <w:sz w:val="20"/>
              </w:rPr>
            </w:pPr>
            <w:r>
              <w:rPr>
                <w:spacing w:val="-2"/>
                <w:sz w:val="20"/>
              </w:rPr>
              <w:t>Women</w:t>
            </w:r>
          </w:p>
        </w:tc>
        <w:tc>
          <w:tcPr>
            <w:tcW w:w="1218" w:type="dxa"/>
          </w:tcPr>
          <w:p>
            <w:pPr>
              <w:pStyle w:val="TableParagraph"/>
              <w:spacing w:before="8"/>
              <w:ind w:right="123"/>
              <w:jc w:val="right"/>
              <w:rPr>
                <w:sz w:val="20"/>
              </w:rPr>
            </w:pPr>
            <w:r>
              <w:rPr>
                <w:spacing w:val="-4"/>
                <w:sz w:val="20"/>
              </w:rPr>
              <w:t>22.0</w:t>
            </w:r>
          </w:p>
        </w:tc>
        <w:tc>
          <w:tcPr>
            <w:tcW w:w="1338" w:type="dxa"/>
          </w:tcPr>
          <w:p>
            <w:pPr>
              <w:pStyle w:val="TableParagraph"/>
              <w:spacing w:before="8"/>
              <w:ind w:right="208"/>
              <w:jc w:val="right"/>
              <w:rPr>
                <w:sz w:val="20"/>
              </w:rPr>
            </w:pPr>
            <w:r>
              <w:rPr>
                <w:spacing w:val="-4"/>
                <w:sz w:val="20"/>
              </w:rPr>
              <w:t>22.0</w:t>
            </w:r>
          </w:p>
        </w:tc>
        <w:tc>
          <w:tcPr>
            <w:tcW w:w="1580" w:type="dxa"/>
          </w:tcPr>
          <w:p>
            <w:pPr>
              <w:pStyle w:val="TableParagraph"/>
              <w:spacing w:before="8"/>
              <w:ind w:right="192"/>
              <w:jc w:val="right"/>
              <w:rPr>
                <w:sz w:val="20"/>
              </w:rPr>
            </w:pPr>
            <w:r>
              <w:rPr>
                <w:spacing w:val="-4"/>
                <w:sz w:val="20"/>
              </w:rPr>
              <w:t>22.0</w:t>
            </w:r>
          </w:p>
        </w:tc>
        <w:tc>
          <w:tcPr>
            <w:tcW w:w="1441" w:type="dxa"/>
            <w:tcBorders>
              <w:right w:val="single" w:sz="4" w:space="0" w:color="000000"/>
            </w:tcBorders>
          </w:tcPr>
          <w:p>
            <w:pPr>
              <w:pStyle w:val="TableParagraph"/>
              <w:spacing w:before="8"/>
              <w:ind w:right="94"/>
              <w:jc w:val="right"/>
              <w:rPr>
                <w:sz w:val="20"/>
              </w:rPr>
            </w:pPr>
            <w:r>
              <w:rPr>
                <w:spacing w:val="-4"/>
                <w:sz w:val="20"/>
              </w:rPr>
              <w:t>22.0</w:t>
            </w:r>
          </w:p>
        </w:tc>
      </w:tr>
      <w:tr>
        <w:trPr>
          <w:trHeight w:val="279" w:hRule="atLeast"/>
        </w:trPr>
        <w:tc>
          <w:tcPr>
            <w:tcW w:w="5088" w:type="dxa"/>
            <w:tcBorders>
              <w:left w:val="single" w:sz="4" w:space="0" w:color="000000"/>
            </w:tcBorders>
          </w:tcPr>
          <w:p>
            <w:pPr>
              <w:pStyle w:val="TableParagraph"/>
              <w:spacing w:line="227" w:lineRule="exact" w:before="32"/>
              <w:ind w:left="107"/>
              <w:rPr>
                <w:sz w:val="20"/>
              </w:rPr>
            </w:pPr>
            <w:r>
              <w:rPr>
                <w:spacing w:val="-5"/>
                <w:sz w:val="20"/>
              </w:rPr>
              <w:t>Men</w:t>
            </w:r>
          </w:p>
        </w:tc>
        <w:tc>
          <w:tcPr>
            <w:tcW w:w="1218" w:type="dxa"/>
          </w:tcPr>
          <w:p>
            <w:pPr>
              <w:pStyle w:val="TableParagraph"/>
              <w:spacing w:before="8"/>
              <w:ind w:right="123"/>
              <w:jc w:val="right"/>
              <w:rPr>
                <w:sz w:val="20"/>
              </w:rPr>
            </w:pPr>
            <w:r>
              <w:rPr>
                <w:spacing w:val="-4"/>
                <w:sz w:val="20"/>
              </w:rPr>
              <w:t>10.6</w:t>
            </w:r>
          </w:p>
        </w:tc>
        <w:tc>
          <w:tcPr>
            <w:tcW w:w="1338" w:type="dxa"/>
          </w:tcPr>
          <w:p>
            <w:pPr>
              <w:pStyle w:val="TableParagraph"/>
              <w:spacing w:before="8"/>
              <w:ind w:right="208"/>
              <w:jc w:val="right"/>
              <w:rPr>
                <w:sz w:val="20"/>
              </w:rPr>
            </w:pPr>
            <w:r>
              <w:rPr>
                <w:spacing w:val="-4"/>
                <w:sz w:val="20"/>
              </w:rPr>
              <w:t>10.6</w:t>
            </w:r>
          </w:p>
        </w:tc>
        <w:tc>
          <w:tcPr>
            <w:tcW w:w="1580" w:type="dxa"/>
          </w:tcPr>
          <w:p>
            <w:pPr>
              <w:pStyle w:val="TableParagraph"/>
              <w:spacing w:before="8"/>
              <w:ind w:right="192"/>
              <w:jc w:val="right"/>
              <w:rPr>
                <w:sz w:val="20"/>
              </w:rPr>
            </w:pPr>
            <w:r>
              <w:rPr>
                <w:spacing w:val="-4"/>
                <w:sz w:val="20"/>
              </w:rPr>
              <w:t>10.6</w:t>
            </w:r>
          </w:p>
        </w:tc>
        <w:tc>
          <w:tcPr>
            <w:tcW w:w="1441" w:type="dxa"/>
            <w:tcBorders>
              <w:right w:val="single" w:sz="4" w:space="0" w:color="000000"/>
            </w:tcBorders>
          </w:tcPr>
          <w:p>
            <w:pPr>
              <w:pStyle w:val="TableParagraph"/>
              <w:spacing w:before="8"/>
              <w:ind w:right="94"/>
              <w:jc w:val="right"/>
              <w:rPr>
                <w:sz w:val="20"/>
              </w:rPr>
            </w:pPr>
            <w:r>
              <w:rPr>
                <w:spacing w:val="-4"/>
                <w:sz w:val="20"/>
              </w:rPr>
              <w:t>10.6</w:t>
            </w:r>
          </w:p>
        </w:tc>
      </w:tr>
      <w:tr>
        <w:trPr>
          <w:trHeight w:val="279" w:hRule="atLeast"/>
        </w:trPr>
        <w:tc>
          <w:tcPr>
            <w:tcW w:w="5088" w:type="dxa"/>
            <w:tcBorders>
              <w:left w:val="single" w:sz="4" w:space="0" w:color="000000"/>
            </w:tcBorders>
          </w:tcPr>
          <w:p>
            <w:pPr>
              <w:pStyle w:val="TableParagraph"/>
              <w:spacing w:line="226" w:lineRule="exact" w:before="34"/>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10"/>
              <w:ind w:right="125"/>
              <w:jc w:val="right"/>
              <w:rPr>
                <w:sz w:val="20"/>
              </w:rPr>
            </w:pPr>
            <w:r>
              <w:rPr>
                <w:w w:val="99"/>
                <w:sz w:val="20"/>
              </w:rPr>
              <w:t>-</w:t>
            </w:r>
          </w:p>
        </w:tc>
        <w:tc>
          <w:tcPr>
            <w:tcW w:w="1338" w:type="dxa"/>
          </w:tcPr>
          <w:p>
            <w:pPr>
              <w:pStyle w:val="TableParagraph"/>
              <w:spacing w:before="10"/>
              <w:ind w:right="209"/>
              <w:jc w:val="right"/>
              <w:rPr>
                <w:sz w:val="20"/>
              </w:rPr>
            </w:pPr>
            <w:r>
              <w:rPr>
                <w:w w:val="99"/>
                <w:sz w:val="20"/>
              </w:rPr>
              <w:t>-</w:t>
            </w:r>
          </w:p>
        </w:tc>
        <w:tc>
          <w:tcPr>
            <w:tcW w:w="1580" w:type="dxa"/>
          </w:tcPr>
          <w:p>
            <w:pPr>
              <w:pStyle w:val="TableParagraph"/>
              <w:spacing w:before="10"/>
              <w:ind w:right="194"/>
              <w:jc w:val="right"/>
              <w:rPr>
                <w:sz w:val="20"/>
              </w:rPr>
            </w:pPr>
            <w:r>
              <w:rPr>
                <w:w w:val="99"/>
                <w:sz w:val="20"/>
              </w:rPr>
              <w:t>-</w:t>
            </w:r>
          </w:p>
        </w:tc>
        <w:tc>
          <w:tcPr>
            <w:tcW w:w="1441" w:type="dxa"/>
            <w:tcBorders>
              <w:right w:val="single" w:sz="4" w:space="0" w:color="000000"/>
            </w:tcBorders>
          </w:tcPr>
          <w:p>
            <w:pPr>
              <w:pStyle w:val="TableParagraph"/>
              <w:spacing w:before="10"/>
              <w:ind w:right="96"/>
              <w:jc w:val="right"/>
              <w:rPr>
                <w:sz w:val="20"/>
              </w:rPr>
            </w:pPr>
            <w:r>
              <w:rPr>
                <w:w w:val="99"/>
                <w:sz w:val="20"/>
              </w:rPr>
              <w:t>-</w:t>
            </w:r>
          </w:p>
        </w:tc>
      </w:tr>
      <w:tr>
        <w:trPr>
          <w:trHeight w:val="265" w:hRule="atLeast"/>
        </w:trPr>
        <w:tc>
          <w:tcPr>
            <w:tcW w:w="5088" w:type="dxa"/>
            <w:tcBorders>
              <w:left w:val="single" w:sz="4" w:space="0" w:color="000000"/>
            </w:tcBorders>
          </w:tcPr>
          <w:p>
            <w:pPr>
              <w:pStyle w:val="TableParagraph"/>
              <w:spacing w:line="211" w:lineRule="exact" w:before="35"/>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before="8"/>
              <w:ind w:right="123"/>
              <w:jc w:val="right"/>
              <w:rPr>
                <w:sz w:val="20"/>
              </w:rPr>
            </w:pPr>
            <w:r>
              <w:rPr>
                <w:spacing w:val="-5"/>
                <w:sz w:val="20"/>
              </w:rPr>
              <w:t>1.1</w:t>
            </w:r>
          </w:p>
        </w:tc>
        <w:tc>
          <w:tcPr>
            <w:tcW w:w="1338" w:type="dxa"/>
            <w:tcBorders>
              <w:bottom w:val="single" w:sz="4" w:space="0" w:color="000000"/>
            </w:tcBorders>
          </w:tcPr>
          <w:p>
            <w:pPr>
              <w:pStyle w:val="TableParagraph"/>
              <w:spacing w:before="8"/>
              <w:ind w:right="209"/>
              <w:jc w:val="right"/>
              <w:rPr>
                <w:sz w:val="20"/>
              </w:rPr>
            </w:pPr>
            <w:r>
              <w:rPr>
                <w:spacing w:val="-5"/>
                <w:sz w:val="20"/>
              </w:rPr>
              <w:t>1.1</w:t>
            </w:r>
          </w:p>
        </w:tc>
        <w:tc>
          <w:tcPr>
            <w:tcW w:w="1580" w:type="dxa"/>
            <w:tcBorders>
              <w:bottom w:val="single" w:sz="4" w:space="0" w:color="000000"/>
            </w:tcBorders>
          </w:tcPr>
          <w:p>
            <w:pPr>
              <w:pStyle w:val="TableParagraph"/>
              <w:spacing w:before="8"/>
              <w:ind w:right="192"/>
              <w:jc w:val="right"/>
              <w:rPr>
                <w:sz w:val="20"/>
              </w:rPr>
            </w:pPr>
            <w:r>
              <w:rPr>
                <w:spacing w:val="-5"/>
                <w:sz w:val="20"/>
              </w:rPr>
              <w:t>1.1</w:t>
            </w:r>
          </w:p>
        </w:tc>
        <w:tc>
          <w:tcPr>
            <w:tcW w:w="1441" w:type="dxa"/>
            <w:tcBorders>
              <w:bottom w:val="single" w:sz="4" w:space="0" w:color="000000"/>
              <w:right w:val="single" w:sz="4" w:space="0" w:color="000000"/>
            </w:tcBorders>
          </w:tcPr>
          <w:p>
            <w:pPr>
              <w:pStyle w:val="TableParagraph"/>
              <w:spacing w:before="8"/>
              <w:ind w:right="97"/>
              <w:jc w:val="right"/>
              <w:rPr>
                <w:sz w:val="20"/>
              </w:rPr>
            </w:pPr>
            <w:r>
              <w:rPr>
                <w:spacing w:val="-5"/>
                <w:sz w:val="20"/>
              </w:rPr>
              <w:t>1.1</w:t>
            </w:r>
          </w:p>
        </w:tc>
      </w:tr>
      <w:tr>
        <w:trPr>
          <w:trHeight w:val="280" w:hRule="atLeast"/>
        </w:trPr>
        <w:tc>
          <w:tcPr>
            <w:tcW w:w="5088" w:type="dxa"/>
            <w:tcBorders>
              <w:left w:val="single" w:sz="4" w:space="0" w:color="000000"/>
            </w:tcBorders>
          </w:tcPr>
          <w:p>
            <w:pPr>
              <w:pStyle w:val="TableParagraph"/>
              <w:spacing w:line="211" w:lineRule="exact" w:before="50"/>
              <w:ind w:left="107"/>
              <w:rPr>
                <w:b/>
                <w:sz w:val="20"/>
              </w:rPr>
            </w:pPr>
            <w:r>
              <w:rPr>
                <w:b/>
                <w:sz w:val="20"/>
              </w:rPr>
              <w:t>Total</w:t>
            </w:r>
            <w:r>
              <w:rPr>
                <w:b/>
                <w:spacing w:val="-7"/>
                <w:sz w:val="20"/>
              </w:rPr>
              <w:t> </w:t>
            </w:r>
            <w:r>
              <w:rPr>
                <w:b/>
                <w:sz w:val="20"/>
              </w:rPr>
              <w:t>Strategy</w:t>
            </w:r>
            <w:r>
              <w:rPr>
                <w:b/>
                <w:spacing w:val="-7"/>
                <w:sz w:val="20"/>
              </w:rPr>
              <w:t> </w:t>
            </w:r>
            <w:r>
              <w:rPr>
                <w:b/>
                <w:sz w:val="20"/>
              </w:rPr>
              <w:t>and</w:t>
            </w:r>
            <w:r>
              <w:rPr>
                <w:b/>
                <w:spacing w:val="-7"/>
                <w:sz w:val="20"/>
              </w:rPr>
              <w:t> </w:t>
            </w:r>
            <w:r>
              <w:rPr>
                <w:b/>
                <w:spacing w:val="-2"/>
                <w:sz w:val="20"/>
              </w:rPr>
              <w:t>Development</w:t>
            </w:r>
          </w:p>
        </w:tc>
        <w:tc>
          <w:tcPr>
            <w:tcW w:w="1218" w:type="dxa"/>
            <w:tcBorders>
              <w:top w:val="single" w:sz="4" w:space="0" w:color="000000"/>
              <w:bottom w:val="single" w:sz="4" w:space="0" w:color="000000"/>
            </w:tcBorders>
          </w:tcPr>
          <w:p>
            <w:pPr>
              <w:pStyle w:val="TableParagraph"/>
              <w:spacing w:before="23"/>
              <w:ind w:right="124"/>
              <w:jc w:val="right"/>
              <w:rPr>
                <w:b/>
                <w:sz w:val="20"/>
              </w:rPr>
            </w:pPr>
            <w:r>
              <w:rPr>
                <w:b/>
                <w:spacing w:val="-2"/>
                <w:sz w:val="20"/>
              </w:rPr>
              <w:t>112.3</w:t>
            </w:r>
          </w:p>
        </w:tc>
        <w:tc>
          <w:tcPr>
            <w:tcW w:w="1338" w:type="dxa"/>
            <w:tcBorders>
              <w:top w:val="single" w:sz="4" w:space="0" w:color="000000"/>
              <w:bottom w:val="single" w:sz="4" w:space="0" w:color="000000"/>
            </w:tcBorders>
          </w:tcPr>
          <w:p>
            <w:pPr>
              <w:pStyle w:val="TableParagraph"/>
              <w:spacing w:before="23"/>
              <w:ind w:right="208"/>
              <w:jc w:val="right"/>
              <w:rPr>
                <w:b/>
                <w:sz w:val="20"/>
              </w:rPr>
            </w:pPr>
            <w:r>
              <w:rPr>
                <w:b/>
                <w:spacing w:val="-4"/>
                <w:sz w:val="20"/>
              </w:rPr>
              <w:t>112.3</w:t>
            </w:r>
          </w:p>
        </w:tc>
        <w:tc>
          <w:tcPr>
            <w:tcW w:w="1580" w:type="dxa"/>
            <w:tcBorders>
              <w:top w:val="single" w:sz="4" w:space="0" w:color="000000"/>
              <w:bottom w:val="single" w:sz="4" w:space="0" w:color="000000"/>
            </w:tcBorders>
          </w:tcPr>
          <w:p>
            <w:pPr>
              <w:pStyle w:val="TableParagraph"/>
              <w:spacing w:before="23"/>
              <w:ind w:right="193"/>
              <w:jc w:val="right"/>
              <w:rPr>
                <w:b/>
                <w:sz w:val="20"/>
              </w:rPr>
            </w:pPr>
            <w:r>
              <w:rPr>
                <w:b/>
                <w:spacing w:val="-2"/>
                <w:sz w:val="20"/>
              </w:rPr>
              <w:t>112.3</w:t>
            </w:r>
          </w:p>
        </w:tc>
        <w:tc>
          <w:tcPr>
            <w:tcW w:w="1441" w:type="dxa"/>
            <w:tcBorders>
              <w:top w:val="single" w:sz="4" w:space="0" w:color="000000"/>
              <w:bottom w:val="single" w:sz="4" w:space="0" w:color="000000"/>
              <w:right w:val="single" w:sz="4" w:space="0" w:color="000000"/>
            </w:tcBorders>
          </w:tcPr>
          <w:p>
            <w:pPr>
              <w:pStyle w:val="TableParagraph"/>
              <w:spacing w:before="23"/>
              <w:ind w:right="95"/>
              <w:jc w:val="right"/>
              <w:rPr>
                <w:b/>
                <w:sz w:val="20"/>
              </w:rPr>
            </w:pPr>
            <w:r>
              <w:rPr>
                <w:b/>
                <w:spacing w:val="-2"/>
                <w:sz w:val="20"/>
              </w:rPr>
              <w:t>112.3</w:t>
            </w:r>
          </w:p>
        </w:tc>
      </w:tr>
      <w:tr>
        <w:trPr>
          <w:trHeight w:val="294" w:hRule="atLeast"/>
        </w:trPr>
        <w:tc>
          <w:tcPr>
            <w:tcW w:w="5088" w:type="dxa"/>
            <w:tcBorders>
              <w:left w:val="single" w:sz="4" w:space="0" w:color="000000"/>
            </w:tcBorders>
          </w:tcPr>
          <w:p>
            <w:pPr>
              <w:pStyle w:val="TableParagraph"/>
              <w:spacing w:line="227" w:lineRule="exact" w:before="47"/>
              <w:ind w:left="107"/>
              <w:rPr>
                <w:b/>
                <w:sz w:val="20"/>
              </w:rPr>
            </w:pPr>
            <w:r>
              <w:rPr>
                <w:b/>
                <w:sz w:val="20"/>
              </w:rPr>
              <w:t>People</w:t>
            </w:r>
            <w:r>
              <w:rPr>
                <w:b/>
                <w:spacing w:val="-6"/>
                <w:sz w:val="20"/>
              </w:rPr>
              <w:t> </w:t>
            </w:r>
            <w:r>
              <w:rPr>
                <w:b/>
                <w:sz w:val="20"/>
              </w:rPr>
              <w:t>and</w:t>
            </w:r>
            <w:r>
              <w:rPr>
                <w:b/>
                <w:spacing w:val="-6"/>
                <w:sz w:val="20"/>
              </w:rPr>
              <w:t> </w:t>
            </w:r>
            <w:r>
              <w:rPr>
                <w:b/>
                <w:spacing w:val="-2"/>
                <w:sz w:val="20"/>
              </w:rPr>
              <w:t>Places</w:t>
            </w:r>
          </w:p>
        </w:tc>
        <w:tc>
          <w:tcPr>
            <w:tcW w:w="1218" w:type="dxa"/>
            <w:tcBorders>
              <w:top w:val="single" w:sz="4" w:space="0" w:color="000000"/>
            </w:tcBorders>
          </w:tcPr>
          <w:p>
            <w:pPr>
              <w:pStyle w:val="TableParagraph"/>
              <w:rPr>
                <w:rFonts w:ascii="Times New Roman"/>
                <w:sz w:val="18"/>
              </w:rPr>
            </w:pPr>
          </w:p>
        </w:tc>
        <w:tc>
          <w:tcPr>
            <w:tcW w:w="1338" w:type="dxa"/>
            <w:tcBorders>
              <w:top w:val="single" w:sz="4" w:space="0" w:color="000000"/>
            </w:tcBorders>
          </w:tcPr>
          <w:p>
            <w:pPr>
              <w:pStyle w:val="TableParagraph"/>
              <w:rPr>
                <w:rFonts w:ascii="Times New Roman"/>
                <w:sz w:val="18"/>
              </w:rPr>
            </w:pPr>
          </w:p>
        </w:tc>
        <w:tc>
          <w:tcPr>
            <w:tcW w:w="1580" w:type="dxa"/>
            <w:tcBorders>
              <w:top w:val="single" w:sz="4" w:space="0" w:color="000000"/>
            </w:tcBorders>
          </w:tcPr>
          <w:p>
            <w:pPr>
              <w:pStyle w:val="TableParagraph"/>
              <w:rPr>
                <w:rFonts w:ascii="Times New Roman"/>
                <w:sz w:val="18"/>
              </w:rPr>
            </w:pPr>
          </w:p>
        </w:tc>
        <w:tc>
          <w:tcPr>
            <w:tcW w:w="1441" w:type="dxa"/>
            <w:tcBorders>
              <w:top w:val="single" w:sz="4" w:space="0" w:color="000000"/>
              <w:right w:val="single" w:sz="4" w:space="0" w:color="000000"/>
            </w:tcBorders>
          </w:tcPr>
          <w:p>
            <w:pPr>
              <w:pStyle w:val="TableParagraph"/>
              <w:rPr>
                <w:rFonts w:ascii="Times New Roman"/>
                <w:sz w:val="18"/>
              </w:rPr>
            </w:pPr>
          </w:p>
        </w:tc>
      </w:tr>
      <w:tr>
        <w:trPr>
          <w:trHeight w:val="279" w:hRule="atLeast"/>
        </w:trPr>
        <w:tc>
          <w:tcPr>
            <w:tcW w:w="5088" w:type="dxa"/>
            <w:tcBorders>
              <w:left w:val="single" w:sz="4" w:space="0" w:color="000000"/>
            </w:tcBorders>
          </w:tcPr>
          <w:p>
            <w:pPr>
              <w:pStyle w:val="TableParagraph"/>
              <w:spacing w:line="226" w:lineRule="exact" w:before="34"/>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18" w:type="dxa"/>
          </w:tcPr>
          <w:p>
            <w:pPr>
              <w:pStyle w:val="TableParagraph"/>
              <w:spacing w:before="10"/>
              <w:ind w:right="123"/>
              <w:jc w:val="right"/>
              <w:rPr>
                <w:b/>
                <w:sz w:val="20"/>
              </w:rPr>
            </w:pPr>
            <w:r>
              <w:rPr>
                <w:b/>
                <w:spacing w:val="-4"/>
                <w:sz w:val="20"/>
              </w:rPr>
              <w:t>66.1</w:t>
            </w:r>
          </w:p>
        </w:tc>
        <w:tc>
          <w:tcPr>
            <w:tcW w:w="1338" w:type="dxa"/>
          </w:tcPr>
          <w:p>
            <w:pPr>
              <w:pStyle w:val="TableParagraph"/>
              <w:spacing w:before="10"/>
              <w:ind w:right="208"/>
              <w:jc w:val="right"/>
              <w:rPr>
                <w:b/>
                <w:sz w:val="20"/>
              </w:rPr>
            </w:pPr>
            <w:r>
              <w:rPr>
                <w:b/>
                <w:spacing w:val="-4"/>
                <w:sz w:val="20"/>
              </w:rPr>
              <w:t>66.1</w:t>
            </w:r>
          </w:p>
        </w:tc>
        <w:tc>
          <w:tcPr>
            <w:tcW w:w="1580" w:type="dxa"/>
          </w:tcPr>
          <w:p>
            <w:pPr>
              <w:pStyle w:val="TableParagraph"/>
              <w:spacing w:before="10"/>
              <w:ind w:right="192"/>
              <w:jc w:val="right"/>
              <w:rPr>
                <w:b/>
                <w:sz w:val="20"/>
              </w:rPr>
            </w:pPr>
            <w:r>
              <w:rPr>
                <w:b/>
                <w:spacing w:val="-4"/>
                <w:sz w:val="20"/>
              </w:rPr>
              <w:t>66.1</w:t>
            </w:r>
          </w:p>
        </w:tc>
        <w:tc>
          <w:tcPr>
            <w:tcW w:w="1441" w:type="dxa"/>
            <w:tcBorders>
              <w:right w:val="single" w:sz="4" w:space="0" w:color="000000"/>
            </w:tcBorders>
          </w:tcPr>
          <w:p>
            <w:pPr>
              <w:pStyle w:val="TableParagraph"/>
              <w:spacing w:before="10"/>
              <w:ind w:right="94"/>
              <w:jc w:val="right"/>
              <w:rPr>
                <w:b/>
                <w:sz w:val="20"/>
              </w:rPr>
            </w:pPr>
            <w:r>
              <w:rPr>
                <w:b/>
                <w:spacing w:val="-4"/>
                <w:sz w:val="20"/>
              </w:rPr>
              <w:t>66.1</w:t>
            </w:r>
          </w:p>
        </w:tc>
      </w:tr>
      <w:tr>
        <w:trPr>
          <w:trHeight w:val="280" w:hRule="atLeast"/>
        </w:trPr>
        <w:tc>
          <w:tcPr>
            <w:tcW w:w="5088" w:type="dxa"/>
            <w:tcBorders>
              <w:left w:val="single" w:sz="4" w:space="0" w:color="000000"/>
            </w:tcBorders>
          </w:tcPr>
          <w:p>
            <w:pPr>
              <w:pStyle w:val="TableParagraph"/>
              <w:spacing w:line="226" w:lineRule="exact" w:before="35"/>
              <w:ind w:left="107"/>
              <w:rPr>
                <w:sz w:val="20"/>
              </w:rPr>
            </w:pPr>
            <w:r>
              <w:rPr>
                <w:spacing w:val="-2"/>
                <w:sz w:val="20"/>
              </w:rPr>
              <w:t>Women</w:t>
            </w:r>
          </w:p>
        </w:tc>
        <w:tc>
          <w:tcPr>
            <w:tcW w:w="1218" w:type="dxa"/>
          </w:tcPr>
          <w:p>
            <w:pPr>
              <w:pStyle w:val="TableParagraph"/>
              <w:spacing w:before="8"/>
              <w:ind w:right="123"/>
              <w:jc w:val="right"/>
              <w:rPr>
                <w:sz w:val="20"/>
              </w:rPr>
            </w:pPr>
            <w:r>
              <w:rPr>
                <w:spacing w:val="-4"/>
                <w:sz w:val="20"/>
              </w:rPr>
              <w:t>49.8</w:t>
            </w:r>
          </w:p>
        </w:tc>
        <w:tc>
          <w:tcPr>
            <w:tcW w:w="1338" w:type="dxa"/>
          </w:tcPr>
          <w:p>
            <w:pPr>
              <w:pStyle w:val="TableParagraph"/>
              <w:spacing w:before="8"/>
              <w:ind w:right="208"/>
              <w:jc w:val="right"/>
              <w:rPr>
                <w:sz w:val="20"/>
              </w:rPr>
            </w:pPr>
            <w:r>
              <w:rPr>
                <w:spacing w:val="-4"/>
                <w:sz w:val="20"/>
              </w:rPr>
              <w:t>49.8</w:t>
            </w:r>
          </w:p>
        </w:tc>
        <w:tc>
          <w:tcPr>
            <w:tcW w:w="1580" w:type="dxa"/>
          </w:tcPr>
          <w:p>
            <w:pPr>
              <w:pStyle w:val="TableParagraph"/>
              <w:spacing w:before="8"/>
              <w:ind w:right="192"/>
              <w:jc w:val="right"/>
              <w:rPr>
                <w:sz w:val="20"/>
              </w:rPr>
            </w:pPr>
            <w:r>
              <w:rPr>
                <w:spacing w:val="-4"/>
                <w:sz w:val="20"/>
              </w:rPr>
              <w:t>49.8</w:t>
            </w:r>
          </w:p>
        </w:tc>
        <w:tc>
          <w:tcPr>
            <w:tcW w:w="1441" w:type="dxa"/>
            <w:tcBorders>
              <w:right w:val="single" w:sz="4" w:space="0" w:color="000000"/>
            </w:tcBorders>
          </w:tcPr>
          <w:p>
            <w:pPr>
              <w:pStyle w:val="TableParagraph"/>
              <w:spacing w:before="8"/>
              <w:ind w:right="94"/>
              <w:jc w:val="right"/>
              <w:rPr>
                <w:sz w:val="20"/>
              </w:rPr>
            </w:pPr>
            <w:r>
              <w:rPr>
                <w:spacing w:val="-4"/>
                <w:sz w:val="20"/>
              </w:rPr>
              <w:t>49.8</w:t>
            </w:r>
          </w:p>
        </w:tc>
      </w:tr>
      <w:tr>
        <w:trPr>
          <w:trHeight w:val="279" w:hRule="atLeast"/>
        </w:trPr>
        <w:tc>
          <w:tcPr>
            <w:tcW w:w="5088" w:type="dxa"/>
            <w:tcBorders>
              <w:left w:val="single" w:sz="4" w:space="0" w:color="000000"/>
            </w:tcBorders>
          </w:tcPr>
          <w:p>
            <w:pPr>
              <w:pStyle w:val="TableParagraph"/>
              <w:spacing w:line="227" w:lineRule="exact" w:before="32"/>
              <w:ind w:left="107"/>
              <w:rPr>
                <w:sz w:val="20"/>
              </w:rPr>
            </w:pPr>
            <w:r>
              <w:rPr>
                <w:spacing w:val="-5"/>
                <w:sz w:val="20"/>
              </w:rPr>
              <w:t>Men</w:t>
            </w:r>
          </w:p>
        </w:tc>
        <w:tc>
          <w:tcPr>
            <w:tcW w:w="1218" w:type="dxa"/>
          </w:tcPr>
          <w:p>
            <w:pPr>
              <w:pStyle w:val="TableParagraph"/>
              <w:spacing w:before="8"/>
              <w:ind w:right="123"/>
              <w:jc w:val="right"/>
              <w:rPr>
                <w:sz w:val="20"/>
              </w:rPr>
            </w:pPr>
            <w:r>
              <w:rPr>
                <w:spacing w:val="-4"/>
                <w:sz w:val="20"/>
              </w:rPr>
              <w:t>14.2</w:t>
            </w:r>
          </w:p>
        </w:tc>
        <w:tc>
          <w:tcPr>
            <w:tcW w:w="1338" w:type="dxa"/>
          </w:tcPr>
          <w:p>
            <w:pPr>
              <w:pStyle w:val="TableParagraph"/>
              <w:spacing w:before="8"/>
              <w:ind w:right="208"/>
              <w:jc w:val="right"/>
              <w:rPr>
                <w:sz w:val="20"/>
              </w:rPr>
            </w:pPr>
            <w:r>
              <w:rPr>
                <w:spacing w:val="-4"/>
                <w:sz w:val="20"/>
              </w:rPr>
              <w:t>14.2</w:t>
            </w:r>
          </w:p>
        </w:tc>
        <w:tc>
          <w:tcPr>
            <w:tcW w:w="1580" w:type="dxa"/>
          </w:tcPr>
          <w:p>
            <w:pPr>
              <w:pStyle w:val="TableParagraph"/>
              <w:spacing w:before="8"/>
              <w:ind w:right="192"/>
              <w:jc w:val="right"/>
              <w:rPr>
                <w:sz w:val="20"/>
              </w:rPr>
            </w:pPr>
            <w:r>
              <w:rPr>
                <w:spacing w:val="-4"/>
                <w:sz w:val="20"/>
              </w:rPr>
              <w:t>14.2</w:t>
            </w:r>
          </w:p>
        </w:tc>
        <w:tc>
          <w:tcPr>
            <w:tcW w:w="1441" w:type="dxa"/>
            <w:tcBorders>
              <w:right w:val="single" w:sz="4" w:space="0" w:color="000000"/>
            </w:tcBorders>
          </w:tcPr>
          <w:p>
            <w:pPr>
              <w:pStyle w:val="TableParagraph"/>
              <w:spacing w:before="8"/>
              <w:ind w:right="94"/>
              <w:jc w:val="right"/>
              <w:rPr>
                <w:sz w:val="20"/>
              </w:rPr>
            </w:pPr>
            <w:r>
              <w:rPr>
                <w:spacing w:val="-4"/>
                <w:sz w:val="20"/>
              </w:rPr>
              <w:t>14.2</w:t>
            </w:r>
          </w:p>
        </w:tc>
      </w:tr>
      <w:tr>
        <w:trPr>
          <w:trHeight w:val="279" w:hRule="atLeast"/>
        </w:trPr>
        <w:tc>
          <w:tcPr>
            <w:tcW w:w="5088" w:type="dxa"/>
            <w:tcBorders>
              <w:left w:val="single" w:sz="4" w:space="0" w:color="000000"/>
            </w:tcBorders>
          </w:tcPr>
          <w:p>
            <w:pPr>
              <w:pStyle w:val="TableParagraph"/>
              <w:spacing w:line="226" w:lineRule="exact" w:before="34"/>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10"/>
              <w:ind w:right="123"/>
              <w:jc w:val="right"/>
              <w:rPr>
                <w:sz w:val="20"/>
              </w:rPr>
            </w:pPr>
            <w:r>
              <w:rPr>
                <w:spacing w:val="-5"/>
                <w:sz w:val="20"/>
              </w:rPr>
              <w:t>1.0</w:t>
            </w:r>
          </w:p>
        </w:tc>
        <w:tc>
          <w:tcPr>
            <w:tcW w:w="1338" w:type="dxa"/>
          </w:tcPr>
          <w:p>
            <w:pPr>
              <w:pStyle w:val="TableParagraph"/>
              <w:spacing w:before="10"/>
              <w:ind w:right="209"/>
              <w:jc w:val="right"/>
              <w:rPr>
                <w:sz w:val="20"/>
              </w:rPr>
            </w:pPr>
            <w:r>
              <w:rPr>
                <w:spacing w:val="-5"/>
                <w:sz w:val="20"/>
              </w:rPr>
              <w:t>1.0</w:t>
            </w:r>
          </w:p>
        </w:tc>
        <w:tc>
          <w:tcPr>
            <w:tcW w:w="1580" w:type="dxa"/>
          </w:tcPr>
          <w:p>
            <w:pPr>
              <w:pStyle w:val="TableParagraph"/>
              <w:spacing w:before="10"/>
              <w:ind w:right="192"/>
              <w:jc w:val="right"/>
              <w:rPr>
                <w:sz w:val="20"/>
              </w:rPr>
            </w:pPr>
            <w:r>
              <w:rPr>
                <w:spacing w:val="-5"/>
                <w:sz w:val="20"/>
              </w:rPr>
              <w:t>1.0</w:t>
            </w:r>
          </w:p>
        </w:tc>
        <w:tc>
          <w:tcPr>
            <w:tcW w:w="1441" w:type="dxa"/>
            <w:tcBorders>
              <w:right w:val="single" w:sz="4" w:space="0" w:color="000000"/>
            </w:tcBorders>
          </w:tcPr>
          <w:p>
            <w:pPr>
              <w:pStyle w:val="TableParagraph"/>
              <w:spacing w:before="10"/>
              <w:ind w:right="97"/>
              <w:jc w:val="right"/>
              <w:rPr>
                <w:sz w:val="20"/>
              </w:rPr>
            </w:pPr>
            <w:r>
              <w:rPr>
                <w:spacing w:val="-5"/>
                <w:sz w:val="20"/>
              </w:rPr>
              <w:t>1.0</w:t>
            </w:r>
          </w:p>
        </w:tc>
      </w:tr>
      <w:tr>
        <w:trPr>
          <w:trHeight w:val="280" w:hRule="atLeast"/>
        </w:trPr>
        <w:tc>
          <w:tcPr>
            <w:tcW w:w="5088" w:type="dxa"/>
            <w:tcBorders>
              <w:left w:val="single" w:sz="4" w:space="0" w:color="000000"/>
            </w:tcBorders>
          </w:tcPr>
          <w:p>
            <w:pPr>
              <w:pStyle w:val="TableParagraph"/>
              <w:spacing w:line="226" w:lineRule="exact" w:before="35"/>
              <w:ind w:left="107"/>
              <w:rPr>
                <w:sz w:val="20"/>
              </w:rPr>
            </w:pPr>
            <w:r>
              <w:rPr>
                <w:sz w:val="20"/>
              </w:rPr>
              <w:t>Vacant</w:t>
            </w:r>
            <w:r>
              <w:rPr>
                <w:spacing w:val="-7"/>
                <w:sz w:val="20"/>
              </w:rPr>
              <w:t> </w:t>
            </w:r>
            <w:r>
              <w:rPr>
                <w:spacing w:val="-2"/>
                <w:sz w:val="20"/>
              </w:rPr>
              <w:t>Position</w:t>
            </w:r>
          </w:p>
        </w:tc>
        <w:tc>
          <w:tcPr>
            <w:tcW w:w="1218" w:type="dxa"/>
          </w:tcPr>
          <w:p>
            <w:pPr>
              <w:pStyle w:val="TableParagraph"/>
              <w:spacing w:before="8"/>
              <w:ind w:right="123"/>
              <w:jc w:val="right"/>
              <w:rPr>
                <w:sz w:val="20"/>
              </w:rPr>
            </w:pPr>
            <w:r>
              <w:rPr>
                <w:spacing w:val="-5"/>
                <w:sz w:val="20"/>
              </w:rPr>
              <w:t>1.0</w:t>
            </w:r>
          </w:p>
        </w:tc>
        <w:tc>
          <w:tcPr>
            <w:tcW w:w="1338" w:type="dxa"/>
          </w:tcPr>
          <w:p>
            <w:pPr>
              <w:pStyle w:val="TableParagraph"/>
              <w:spacing w:before="8"/>
              <w:ind w:right="209"/>
              <w:jc w:val="right"/>
              <w:rPr>
                <w:sz w:val="20"/>
              </w:rPr>
            </w:pPr>
            <w:r>
              <w:rPr>
                <w:spacing w:val="-5"/>
                <w:sz w:val="20"/>
              </w:rPr>
              <w:t>1.0</w:t>
            </w:r>
          </w:p>
        </w:tc>
        <w:tc>
          <w:tcPr>
            <w:tcW w:w="1580" w:type="dxa"/>
          </w:tcPr>
          <w:p>
            <w:pPr>
              <w:pStyle w:val="TableParagraph"/>
              <w:spacing w:before="8"/>
              <w:ind w:right="192"/>
              <w:jc w:val="right"/>
              <w:rPr>
                <w:sz w:val="20"/>
              </w:rPr>
            </w:pPr>
            <w:r>
              <w:rPr>
                <w:spacing w:val="-5"/>
                <w:sz w:val="20"/>
              </w:rPr>
              <w:t>1.0</w:t>
            </w:r>
          </w:p>
        </w:tc>
        <w:tc>
          <w:tcPr>
            <w:tcW w:w="1441" w:type="dxa"/>
            <w:tcBorders>
              <w:right w:val="single" w:sz="4" w:space="0" w:color="000000"/>
            </w:tcBorders>
          </w:tcPr>
          <w:p>
            <w:pPr>
              <w:pStyle w:val="TableParagraph"/>
              <w:spacing w:before="8"/>
              <w:ind w:right="97"/>
              <w:jc w:val="right"/>
              <w:rPr>
                <w:sz w:val="20"/>
              </w:rPr>
            </w:pPr>
            <w:r>
              <w:rPr>
                <w:spacing w:val="-5"/>
                <w:sz w:val="20"/>
              </w:rPr>
              <w:t>1.0</w:t>
            </w:r>
          </w:p>
        </w:tc>
      </w:tr>
      <w:tr>
        <w:trPr>
          <w:trHeight w:val="279" w:hRule="atLeast"/>
        </w:trPr>
        <w:tc>
          <w:tcPr>
            <w:tcW w:w="5088" w:type="dxa"/>
            <w:tcBorders>
              <w:left w:val="single" w:sz="4" w:space="0" w:color="000000"/>
            </w:tcBorders>
          </w:tcPr>
          <w:p>
            <w:pPr>
              <w:pStyle w:val="TableParagraph"/>
              <w:spacing w:line="227" w:lineRule="exact" w:before="32"/>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18" w:type="dxa"/>
          </w:tcPr>
          <w:p>
            <w:pPr>
              <w:pStyle w:val="TableParagraph"/>
              <w:spacing w:before="8"/>
              <w:ind w:right="123"/>
              <w:jc w:val="right"/>
              <w:rPr>
                <w:b/>
                <w:sz w:val="20"/>
              </w:rPr>
            </w:pPr>
            <w:r>
              <w:rPr>
                <w:b/>
                <w:spacing w:val="-4"/>
                <w:sz w:val="20"/>
              </w:rPr>
              <w:t>62.6</w:t>
            </w:r>
          </w:p>
        </w:tc>
        <w:tc>
          <w:tcPr>
            <w:tcW w:w="1338" w:type="dxa"/>
          </w:tcPr>
          <w:p>
            <w:pPr>
              <w:pStyle w:val="TableParagraph"/>
              <w:spacing w:before="8"/>
              <w:ind w:right="208"/>
              <w:jc w:val="right"/>
              <w:rPr>
                <w:b/>
                <w:sz w:val="20"/>
              </w:rPr>
            </w:pPr>
            <w:r>
              <w:rPr>
                <w:b/>
                <w:spacing w:val="-4"/>
                <w:sz w:val="20"/>
              </w:rPr>
              <w:t>62.6</w:t>
            </w:r>
          </w:p>
        </w:tc>
        <w:tc>
          <w:tcPr>
            <w:tcW w:w="1580" w:type="dxa"/>
          </w:tcPr>
          <w:p>
            <w:pPr>
              <w:pStyle w:val="TableParagraph"/>
              <w:spacing w:before="8"/>
              <w:ind w:right="192"/>
              <w:jc w:val="right"/>
              <w:rPr>
                <w:b/>
                <w:sz w:val="20"/>
              </w:rPr>
            </w:pPr>
            <w:r>
              <w:rPr>
                <w:b/>
                <w:spacing w:val="-4"/>
                <w:sz w:val="20"/>
              </w:rPr>
              <w:t>62.6</w:t>
            </w:r>
          </w:p>
        </w:tc>
        <w:tc>
          <w:tcPr>
            <w:tcW w:w="1441" w:type="dxa"/>
            <w:tcBorders>
              <w:right w:val="single" w:sz="4" w:space="0" w:color="000000"/>
            </w:tcBorders>
          </w:tcPr>
          <w:p>
            <w:pPr>
              <w:pStyle w:val="TableParagraph"/>
              <w:spacing w:before="8"/>
              <w:ind w:right="94"/>
              <w:jc w:val="right"/>
              <w:rPr>
                <w:b/>
                <w:sz w:val="20"/>
              </w:rPr>
            </w:pPr>
            <w:r>
              <w:rPr>
                <w:b/>
                <w:spacing w:val="-4"/>
                <w:sz w:val="20"/>
              </w:rPr>
              <w:t>62.6</w:t>
            </w:r>
          </w:p>
        </w:tc>
      </w:tr>
      <w:tr>
        <w:trPr>
          <w:trHeight w:val="279" w:hRule="atLeast"/>
        </w:trPr>
        <w:tc>
          <w:tcPr>
            <w:tcW w:w="5088" w:type="dxa"/>
            <w:tcBorders>
              <w:left w:val="single" w:sz="4" w:space="0" w:color="000000"/>
            </w:tcBorders>
          </w:tcPr>
          <w:p>
            <w:pPr>
              <w:pStyle w:val="TableParagraph"/>
              <w:spacing w:line="226" w:lineRule="exact" w:before="34"/>
              <w:ind w:left="107"/>
              <w:rPr>
                <w:sz w:val="20"/>
              </w:rPr>
            </w:pPr>
            <w:r>
              <w:rPr>
                <w:spacing w:val="-2"/>
                <w:sz w:val="20"/>
              </w:rPr>
              <w:t>Women</w:t>
            </w:r>
          </w:p>
        </w:tc>
        <w:tc>
          <w:tcPr>
            <w:tcW w:w="1218" w:type="dxa"/>
          </w:tcPr>
          <w:p>
            <w:pPr>
              <w:pStyle w:val="TableParagraph"/>
              <w:spacing w:before="10"/>
              <w:ind w:right="123"/>
              <w:jc w:val="right"/>
              <w:rPr>
                <w:sz w:val="20"/>
              </w:rPr>
            </w:pPr>
            <w:r>
              <w:rPr>
                <w:spacing w:val="-4"/>
                <w:sz w:val="20"/>
              </w:rPr>
              <w:t>53.3</w:t>
            </w:r>
          </w:p>
        </w:tc>
        <w:tc>
          <w:tcPr>
            <w:tcW w:w="1338" w:type="dxa"/>
          </w:tcPr>
          <w:p>
            <w:pPr>
              <w:pStyle w:val="TableParagraph"/>
              <w:spacing w:before="10"/>
              <w:ind w:right="208"/>
              <w:jc w:val="right"/>
              <w:rPr>
                <w:sz w:val="20"/>
              </w:rPr>
            </w:pPr>
            <w:r>
              <w:rPr>
                <w:spacing w:val="-4"/>
                <w:sz w:val="20"/>
              </w:rPr>
              <w:t>53.3</w:t>
            </w:r>
          </w:p>
        </w:tc>
        <w:tc>
          <w:tcPr>
            <w:tcW w:w="1580" w:type="dxa"/>
          </w:tcPr>
          <w:p>
            <w:pPr>
              <w:pStyle w:val="TableParagraph"/>
              <w:spacing w:before="10"/>
              <w:ind w:right="192"/>
              <w:jc w:val="right"/>
              <w:rPr>
                <w:sz w:val="20"/>
              </w:rPr>
            </w:pPr>
            <w:r>
              <w:rPr>
                <w:spacing w:val="-4"/>
                <w:sz w:val="20"/>
              </w:rPr>
              <w:t>53.3</w:t>
            </w:r>
          </w:p>
        </w:tc>
        <w:tc>
          <w:tcPr>
            <w:tcW w:w="1441" w:type="dxa"/>
            <w:tcBorders>
              <w:right w:val="single" w:sz="4" w:space="0" w:color="000000"/>
            </w:tcBorders>
          </w:tcPr>
          <w:p>
            <w:pPr>
              <w:pStyle w:val="TableParagraph"/>
              <w:spacing w:before="10"/>
              <w:ind w:right="94"/>
              <w:jc w:val="right"/>
              <w:rPr>
                <w:sz w:val="20"/>
              </w:rPr>
            </w:pPr>
            <w:r>
              <w:rPr>
                <w:spacing w:val="-4"/>
                <w:sz w:val="20"/>
              </w:rPr>
              <w:t>53.3</w:t>
            </w:r>
          </w:p>
        </w:tc>
      </w:tr>
      <w:tr>
        <w:trPr>
          <w:trHeight w:val="280" w:hRule="atLeast"/>
        </w:trPr>
        <w:tc>
          <w:tcPr>
            <w:tcW w:w="5088" w:type="dxa"/>
            <w:tcBorders>
              <w:left w:val="single" w:sz="4" w:space="0" w:color="000000"/>
            </w:tcBorders>
          </w:tcPr>
          <w:p>
            <w:pPr>
              <w:pStyle w:val="TableParagraph"/>
              <w:spacing w:line="226" w:lineRule="exact" w:before="35"/>
              <w:ind w:left="107"/>
              <w:rPr>
                <w:sz w:val="20"/>
              </w:rPr>
            </w:pPr>
            <w:r>
              <w:rPr>
                <w:spacing w:val="-5"/>
                <w:sz w:val="20"/>
              </w:rPr>
              <w:t>Men</w:t>
            </w:r>
          </w:p>
        </w:tc>
        <w:tc>
          <w:tcPr>
            <w:tcW w:w="1218" w:type="dxa"/>
          </w:tcPr>
          <w:p>
            <w:pPr>
              <w:pStyle w:val="TableParagraph"/>
              <w:spacing w:before="8"/>
              <w:ind w:right="123"/>
              <w:jc w:val="right"/>
              <w:rPr>
                <w:sz w:val="20"/>
              </w:rPr>
            </w:pPr>
            <w:r>
              <w:rPr>
                <w:spacing w:val="-5"/>
                <w:sz w:val="20"/>
              </w:rPr>
              <w:t>6.7</w:t>
            </w:r>
          </w:p>
        </w:tc>
        <w:tc>
          <w:tcPr>
            <w:tcW w:w="1338" w:type="dxa"/>
          </w:tcPr>
          <w:p>
            <w:pPr>
              <w:pStyle w:val="TableParagraph"/>
              <w:spacing w:before="8"/>
              <w:ind w:right="209"/>
              <w:jc w:val="right"/>
              <w:rPr>
                <w:sz w:val="20"/>
              </w:rPr>
            </w:pPr>
            <w:r>
              <w:rPr>
                <w:spacing w:val="-5"/>
                <w:sz w:val="20"/>
              </w:rPr>
              <w:t>6.7</w:t>
            </w:r>
          </w:p>
        </w:tc>
        <w:tc>
          <w:tcPr>
            <w:tcW w:w="1580" w:type="dxa"/>
          </w:tcPr>
          <w:p>
            <w:pPr>
              <w:pStyle w:val="TableParagraph"/>
              <w:spacing w:before="8"/>
              <w:ind w:right="192"/>
              <w:jc w:val="right"/>
              <w:rPr>
                <w:sz w:val="20"/>
              </w:rPr>
            </w:pPr>
            <w:r>
              <w:rPr>
                <w:spacing w:val="-5"/>
                <w:sz w:val="20"/>
              </w:rPr>
              <w:t>6.7</w:t>
            </w:r>
          </w:p>
        </w:tc>
        <w:tc>
          <w:tcPr>
            <w:tcW w:w="1441" w:type="dxa"/>
            <w:tcBorders>
              <w:right w:val="single" w:sz="4" w:space="0" w:color="000000"/>
            </w:tcBorders>
          </w:tcPr>
          <w:p>
            <w:pPr>
              <w:pStyle w:val="TableParagraph"/>
              <w:spacing w:before="8"/>
              <w:ind w:right="97"/>
              <w:jc w:val="right"/>
              <w:rPr>
                <w:sz w:val="20"/>
              </w:rPr>
            </w:pPr>
            <w:r>
              <w:rPr>
                <w:spacing w:val="-5"/>
                <w:sz w:val="20"/>
              </w:rPr>
              <w:t>6.7</w:t>
            </w:r>
          </w:p>
        </w:tc>
      </w:tr>
      <w:tr>
        <w:trPr>
          <w:trHeight w:val="279" w:hRule="atLeast"/>
        </w:trPr>
        <w:tc>
          <w:tcPr>
            <w:tcW w:w="5088" w:type="dxa"/>
            <w:tcBorders>
              <w:left w:val="single" w:sz="4" w:space="0" w:color="000000"/>
            </w:tcBorders>
          </w:tcPr>
          <w:p>
            <w:pPr>
              <w:pStyle w:val="TableParagraph"/>
              <w:spacing w:line="227" w:lineRule="exact" w:before="32"/>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18" w:type="dxa"/>
          </w:tcPr>
          <w:p>
            <w:pPr>
              <w:pStyle w:val="TableParagraph"/>
              <w:spacing w:before="8"/>
              <w:ind w:right="125"/>
              <w:jc w:val="right"/>
              <w:rPr>
                <w:sz w:val="20"/>
              </w:rPr>
            </w:pPr>
            <w:r>
              <w:rPr>
                <w:w w:val="99"/>
                <w:sz w:val="20"/>
              </w:rPr>
              <w:t>-</w:t>
            </w:r>
          </w:p>
        </w:tc>
        <w:tc>
          <w:tcPr>
            <w:tcW w:w="1338" w:type="dxa"/>
          </w:tcPr>
          <w:p>
            <w:pPr>
              <w:pStyle w:val="TableParagraph"/>
              <w:spacing w:before="8"/>
              <w:ind w:right="209"/>
              <w:jc w:val="right"/>
              <w:rPr>
                <w:sz w:val="20"/>
              </w:rPr>
            </w:pPr>
            <w:r>
              <w:rPr>
                <w:w w:val="99"/>
                <w:sz w:val="20"/>
              </w:rPr>
              <w:t>-</w:t>
            </w:r>
          </w:p>
        </w:tc>
        <w:tc>
          <w:tcPr>
            <w:tcW w:w="1580" w:type="dxa"/>
          </w:tcPr>
          <w:p>
            <w:pPr>
              <w:pStyle w:val="TableParagraph"/>
              <w:spacing w:before="8"/>
              <w:ind w:right="194"/>
              <w:jc w:val="right"/>
              <w:rPr>
                <w:sz w:val="20"/>
              </w:rPr>
            </w:pPr>
            <w:r>
              <w:rPr>
                <w:w w:val="99"/>
                <w:sz w:val="20"/>
              </w:rPr>
              <w:t>-</w:t>
            </w:r>
          </w:p>
        </w:tc>
        <w:tc>
          <w:tcPr>
            <w:tcW w:w="1441" w:type="dxa"/>
            <w:tcBorders>
              <w:right w:val="single" w:sz="4" w:space="0" w:color="000000"/>
            </w:tcBorders>
          </w:tcPr>
          <w:p>
            <w:pPr>
              <w:pStyle w:val="TableParagraph"/>
              <w:spacing w:before="8"/>
              <w:ind w:right="96"/>
              <w:jc w:val="right"/>
              <w:rPr>
                <w:sz w:val="20"/>
              </w:rPr>
            </w:pPr>
            <w:r>
              <w:rPr>
                <w:w w:val="99"/>
                <w:sz w:val="20"/>
              </w:rPr>
              <w:t>-</w:t>
            </w:r>
          </w:p>
        </w:tc>
      </w:tr>
      <w:tr>
        <w:trPr>
          <w:trHeight w:val="264" w:hRule="atLeast"/>
        </w:trPr>
        <w:tc>
          <w:tcPr>
            <w:tcW w:w="5088" w:type="dxa"/>
            <w:tcBorders>
              <w:left w:val="single" w:sz="4" w:space="0" w:color="000000"/>
            </w:tcBorders>
          </w:tcPr>
          <w:p>
            <w:pPr>
              <w:pStyle w:val="TableParagraph"/>
              <w:spacing w:line="211" w:lineRule="exact" w:before="34"/>
              <w:ind w:left="107"/>
              <w:rPr>
                <w:sz w:val="20"/>
              </w:rPr>
            </w:pPr>
            <w:r>
              <w:rPr>
                <w:sz w:val="20"/>
              </w:rPr>
              <w:t>Vacant</w:t>
            </w:r>
            <w:r>
              <w:rPr>
                <w:spacing w:val="-7"/>
                <w:sz w:val="20"/>
              </w:rPr>
              <w:t> </w:t>
            </w:r>
            <w:r>
              <w:rPr>
                <w:spacing w:val="-2"/>
                <w:sz w:val="20"/>
              </w:rPr>
              <w:t>Position</w:t>
            </w:r>
          </w:p>
        </w:tc>
        <w:tc>
          <w:tcPr>
            <w:tcW w:w="1218" w:type="dxa"/>
            <w:tcBorders>
              <w:bottom w:val="single" w:sz="4" w:space="0" w:color="000000"/>
            </w:tcBorders>
          </w:tcPr>
          <w:p>
            <w:pPr>
              <w:pStyle w:val="TableParagraph"/>
              <w:spacing w:before="10"/>
              <w:ind w:right="123"/>
              <w:jc w:val="right"/>
              <w:rPr>
                <w:sz w:val="20"/>
              </w:rPr>
            </w:pPr>
            <w:r>
              <w:rPr>
                <w:spacing w:val="-5"/>
                <w:sz w:val="20"/>
              </w:rPr>
              <w:t>2.7</w:t>
            </w:r>
          </w:p>
        </w:tc>
        <w:tc>
          <w:tcPr>
            <w:tcW w:w="1338" w:type="dxa"/>
            <w:tcBorders>
              <w:bottom w:val="single" w:sz="4" w:space="0" w:color="000000"/>
            </w:tcBorders>
          </w:tcPr>
          <w:p>
            <w:pPr>
              <w:pStyle w:val="TableParagraph"/>
              <w:spacing w:before="10"/>
              <w:ind w:right="209"/>
              <w:jc w:val="right"/>
              <w:rPr>
                <w:sz w:val="20"/>
              </w:rPr>
            </w:pPr>
            <w:r>
              <w:rPr>
                <w:spacing w:val="-5"/>
                <w:sz w:val="20"/>
              </w:rPr>
              <w:t>2.7</w:t>
            </w:r>
          </w:p>
        </w:tc>
        <w:tc>
          <w:tcPr>
            <w:tcW w:w="1580" w:type="dxa"/>
            <w:tcBorders>
              <w:bottom w:val="single" w:sz="4" w:space="0" w:color="000000"/>
            </w:tcBorders>
          </w:tcPr>
          <w:p>
            <w:pPr>
              <w:pStyle w:val="TableParagraph"/>
              <w:spacing w:before="10"/>
              <w:ind w:right="192"/>
              <w:jc w:val="right"/>
              <w:rPr>
                <w:sz w:val="20"/>
              </w:rPr>
            </w:pPr>
            <w:r>
              <w:rPr>
                <w:spacing w:val="-5"/>
                <w:sz w:val="20"/>
              </w:rPr>
              <w:t>2.7</w:t>
            </w:r>
          </w:p>
        </w:tc>
        <w:tc>
          <w:tcPr>
            <w:tcW w:w="1441" w:type="dxa"/>
            <w:tcBorders>
              <w:bottom w:val="single" w:sz="4" w:space="0" w:color="000000"/>
              <w:right w:val="single" w:sz="4" w:space="0" w:color="000000"/>
            </w:tcBorders>
          </w:tcPr>
          <w:p>
            <w:pPr>
              <w:pStyle w:val="TableParagraph"/>
              <w:spacing w:before="10"/>
              <w:ind w:right="97"/>
              <w:jc w:val="right"/>
              <w:rPr>
                <w:sz w:val="20"/>
              </w:rPr>
            </w:pPr>
            <w:r>
              <w:rPr>
                <w:spacing w:val="-5"/>
                <w:sz w:val="20"/>
              </w:rPr>
              <w:t>2.7</w:t>
            </w:r>
          </w:p>
        </w:tc>
      </w:tr>
      <w:tr>
        <w:trPr>
          <w:trHeight w:val="280" w:hRule="atLeast"/>
        </w:trPr>
        <w:tc>
          <w:tcPr>
            <w:tcW w:w="5088" w:type="dxa"/>
            <w:tcBorders>
              <w:left w:val="single" w:sz="4" w:space="0" w:color="000000"/>
              <w:bottom w:val="single" w:sz="4" w:space="0" w:color="000000"/>
            </w:tcBorders>
          </w:tcPr>
          <w:p>
            <w:pPr>
              <w:pStyle w:val="TableParagraph"/>
              <w:spacing w:line="211" w:lineRule="exact" w:before="50"/>
              <w:ind w:left="107"/>
              <w:rPr>
                <w:b/>
                <w:sz w:val="20"/>
              </w:rPr>
            </w:pPr>
            <w:r>
              <w:rPr>
                <w:b/>
                <w:sz w:val="20"/>
              </w:rPr>
              <w:t>Total</w:t>
            </w:r>
            <w:r>
              <w:rPr>
                <w:b/>
                <w:spacing w:val="-8"/>
                <w:sz w:val="20"/>
              </w:rPr>
              <w:t> </w:t>
            </w:r>
            <w:r>
              <w:rPr>
                <w:b/>
                <w:sz w:val="20"/>
              </w:rPr>
              <w:t>People</w:t>
            </w:r>
            <w:r>
              <w:rPr>
                <w:b/>
                <w:spacing w:val="-4"/>
                <w:sz w:val="20"/>
              </w:rPr>
              <w:t> </w:t>
            </w:r>
            <w:r>
              <w:rPr>
                <w:b/>
                <w:sz w:val="20"/>
              </w:rPr>
              <w:t>and</w:t>
            </w:r>
            <w:r>
              <w:rPr>
                <w:b/>
                <w:spacing w:val="-4"/>
                <w:sz w:val="20"/>
              </w:rPr>
              <w:t> </w:t>
            </w:r>
            <w:r>
              <w:rPr>
                <w:b/>
                <w:spacing w:val="-2"/>
                <w:sz w:val="20"/>
              </w:rPr>
              <w:t>Places</w:t>
            </w:r>
          </w:p>
        </w:tc>
        <w:tc>
          <w:tcPr>
            <w:tcW w:w="1218" w:type="dxa"/>
            <w:tcBorders>
              <w:top w:val="single" w:sz="4" w:space="0" w:color="000000"/>
              <w:bottom w:val="single" w:sz="4" w:space="0" w:color="000000"/>
            </w:tcBorders>
          </w:tcPr>
          <w:p>
            <w:pPr>
              <w:pStyle w:val="TableParagraph"/>
              <w:spacing w:before="26"/>
              <w:ind w:right="124"/>
              <w:jc w:val="right"/>
              <w:rPr>
                <w:b/>
                <w:sz w:val="20"/>
              </w:rPr>
            </w:pPr>
            <w:r>
              <w:rPr>
                <w:b/>
                <w:spacing w:val="-2"/>
                <w:sz w:val="20"/>
              </w:rPr>
              <w:t>128.7</w:t>
            </w:r>
          </w:p>
        </w:tc>
        <w:tc>
          <w:tcPr>
            <w:tcW w:w="1338" w:type="dxa"/>
            <w:tcBorders>
              <w:top w:val="single" w:sz="4" w:space="0" w:color="000000"/>
              <w:bottom w:val="single" w:sz="4" w:space="0" w:color="000000"/>
            </w:tcBorders>
          </w:tcPr>
          <w:p>
            <w:pPr>
              <w:pStyle w:val="TableParagraph"/>
              <w:spacing w:before="26"/>
              <w:ind w:right="208"/>
              <w:jc w:val="right"/>
              <w:rPr>
                <w:b/>
                <w:sz w:val="20"/>
              </w:rPr>
            </w:pPr>
            <w:r>
              <w:rPr>
                <w:b/>
                <w:spacing w:val="-4"/>
                <w:sz w:val="20"/>
              </w:rPr>
              <w:t>128.7</w:t>
            </w:r>
          </w:p>
        </w:tc>
        <w:tc>
          <w:tcPr>
            <w:tcW w:w="1580" w:type="dxa"/>
            <w:tcBorders>
              <w:top w:val="single" w:sz="4" w:space="0" w:color="000000"/>
              <w:bottom w:val="single" w:sz="4" w:space="0" w:color="000000"/>
            </w:tcBorders>
          </w:tcPr>
          <w:p>
            <w:pPr>
              <w:pStyle w:val="TableParagraph"/>
              <w:spacing w:before="26"/>
              <w:ind w:right="193"/>
              <w:jc w:val="right"/>
              <w:rPr>
                <w:b/>
                <w:sz w:val="20"/>
              </w:rPr>
            </w:pPr>
            <w:r>
              <w:rPr>
                <w:b/>
                <w:spacing w:val="-2"/>
                <w:sz w:val="20"/>
              </w:rPr>
              <w:t>128.7</w:t>
            </w:r>
          </w:p>
        </w:tc>
        <w:tc>
          <w:tcPr>
            <w:tcW w:w="1441" w:type="dxa"/>
            <w:tcBorders>
              <w:top w:val="single" w:sz="4" w:space="0" w:color="000000"/>
              <w:bottom w:val="single" w:sz="4" w:space="0" w:color="000000"/>
              <w:right w:val="single" w:sz="4" w:space="0" w:color="000000"/>
            </w:tcBorders>
          </w:tcPr>
          <w:p>
            <w:pPr>
              <w:pStyle w:val="TableParagraph"/>
              <w:spacing w:before="26"/>
              <w:ind w:right="95"/>
              <w:jc w:val="right"/>
              <w:rPr>
                <w:b/>
                <w:sz w:val="20"/>
              </w:rPr>
            </w:pPr>
            <w:r>
              <w:rPr>
                <w:b/>
                <w:spacing w:val="-2"/>
                <w:sz w:val="20"/>
              </w:rPr>
              <w:t>128.7</w:t>
            </w:r>
          </w:p>
        </w:tc>
      </w:tr>
    </w:tbl>
    <w:p>
      <w:pPr>
        <w:spacing w:after="0"/>
        <w:jc w:val="right"/>
        <w:rPr>
          <w:sz w:val="20"/>
        </w:rPr>
        <w:sectPr>
          <w:pgSz w:w="11910" w:h="16840"/>
          <w:pgMar w:header="0" w:footer="426" w:top="380" w:bottom="620" w:left="460" w:right="160"/>
        </w:sectPr>
      </w:pPr>
    </w:p>
    <w:p>
      <w:pPr>
        <w:pStyle w:val="BodyText"/>
        <w:spacing w:before="5"/>
        <w:rPr>
          <w:sz w:val="2"/>
        </w:rPr>
      </w:pPr>
    </w:p>
    <w:tbl>
      <w:tblPr>
        <w:tblW w:w="0" w:type="auto"/>
        <w:jc w:val="left"/>
        <w:tblInd w:w="4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26"/>
        <w:gridCol w:w="1203"/>
        <w:gridCol w:w="1324"/>
        <w:gridCol w:w="1564"/>
        <w:gridCol w:w="1431"/>
      </w:tblGrid>
      <w:tr>
        <w:trPr>
          <w:trHeight w:val="559" w:hRule="atLeast"/>
        </w:trPr>
        <w:tc>
          <w:tcPr>
            <w:tcW w:w="5026" w:type="dxa"/>
            <w:tcBorders>
              <w:top w:val="single" w:sz="4" w:space="0" w:color="000000"/>
              <w:left w:val="single" w:sz="4" w:space="0" w:color="000000"/>
            </w:tcBorders>
            <w:shd w:val="clear" w:color="auto" w:fill="629CD1"/>
          </w:tcPr>
          <w:p>
            <w:pPr>
              <w:pStyle w:val="TableParagraph"/>
              <w:spacing w:before="47"/>
              <w:ind w:left="1660"/>
              <w:rPr>
                <w:b/>
                <w:sz w:val="20"/>
              </w:rPr>
            </w:pPr>
            <w:r>
              <w:rPr>
                <w:b/>
                <w:color w:val="FFFFFF"/>
                <w:spacing w:val="-2"/>
                <w:sz w:val="20"/>
              </w:rPr>
              <w:t>Directorate</w:t>
            </w:r>
          </w:p>
        </w:tc>
        <w:tc>
          <w:tcPr>
            <w:tcW w:w="1203" w:type="dxa"/>
            <w:tcBorders>
              <w:top w:val="single" w:sz="4" w:space="0" w:color="000000"/>
            </w:tcBorders>
            <w:shd w:val="clear" w:color="auto" w:fill="629CD1"/>
          </w:tcPr>
          <w:p>
            <w:pPr>
              <w:pStyle w:val="TableParagraph"/>
              <w:spacing w:before="47"/>
              <w:ind w:left="111" w:right="124"/>
              <w:jc w:val="center"/>
              <w:rPr>
                <w:b/>
                <w:sz w:val="20"/>
              </w:rPr>
            </w:pPr>
            <w:r>
              <w:rPr>
                <w:b/>
                <w:color w:val="FFFFFF"/>
                <w:spacing w:val="-2"/>
                <w:sz w:val="20"/>
              </w:rPr>
              <w:t>2023/2024</w:t>
            </w:r>
          </w:p>
          <w:p>
            <w:pPr>
              <w:pStyle w:val="TableParagraph"/>
              <w:spacing w:line="211" w:lineRule="exact" w:before="51"/>
              <w:ind w:left="111" w:right="118"/>
              <w:jc w:val="center"/>
              <w:rPr>
                <w:b/>
                <w:sz w:val="20"/>
              </w:rPr>
            </w:pPr>
            <w:r>
              <w:rPr>
                <w:b/>
                <w:color w:val="FFFFFF"/>
                <w:spacing w:val="-5"/>
                <w:sz w:val="20"/>
              </w:rPr>
              <w:t>FTE</w:t>
            </w:r>
          </w:p>
        </w:tc>
        <w:tc>
          <w:tcPr>
            <w:tcW w:w="1324" w:type="dxa"/>
            <w:tcBorders>
              <w:top w:val="single" w:sz="4" w:space="0" w:color="000000"/>
            </w:tcBorders>
            <w:shd w:val="clear" w:color="auto" w:fill="629CD1"/>
          </w:tcPr>
          <w:p>
            <w:pPr>
              <w:pStyle w:val="TableParagraph"/>
              <w:spacing w:before="47"/>
              <w:ind w:left="120" w:right="236"/>
              <w:jc w:val="center"/>
              <w:rPr>
                <w:b/>
                <w:sz w:val="20"/>
              </w:rPr>
            </w:pPr>
            <w:r>
              <w:rPr>
                <w:b/>
                <w:color w:val="FFFFFF"/>
                <w:spacing w:val="-2"/>
                <w:sz w:val="20"/>
              </w:rPr>
              <w:t>2024/2025</w:t>
            </w:r>
          </w:p>
          <w:p>
            <w:pPr>
              <w:pStyle w:val="TableParagraph"/>
              <w:spacing w:line="211" w:lineRule="exact" w:before="51"/>
              <w:ind w:left="120" w:right="235"/>
              <w:jc w:val="center"/>
              <w:rPr>
                <w:b/>
                <w:sz w:val="20"/>
              </w:rPr>
            </w:pPr>
            <w:r>
              <w:rPr>
                <w:b/>
                <w:color w:val="FFFFFF"/>
                <w:spacing w:val="-5"/>
                <w:sz w:val="20"/>
              </w:rPr>
              <w:t>FTE</w:t>
            </w:r>
          </w:p>
        </w:tc>
        <w:tc>
          <w:tcPr>
            <w:tcW w:w="1564" w:type="dxa"/>
            <w:tcBorders>
              <w:top w:val="single" w:sz="4" w:space="0" w:color="000000"/>
            </w:tcBorders>
            <w:shd w:val="clear" w:color="auto" w:fill="629CD1"/>
          </w:tcPr>
          <w:p>
            <w:pPr>
              <w:pStyle w:val="TableParagraph"/>
              <w:spacing w:before="47"/>
              <w:ind w:left="204" w:right="391"/>
              <w:jc w:val="center"/>
              <w:rPr>
                <w:b/>
                <w:sz w:val="20"/>
              </w:rPr>
            </w:pPr>
            <w:r>
              <w:rPr>
                <w:b/>
                <w:color w:val="FFFFFF"/>
                <w:spacing w:val="-2"/>
                <w:sz w:val="20"/>
              </w:rPr>
              <w:t>2025/2026</w:t>
            </w:r>
          </w:p>
          <w:p>
            <w:pPr>
              <w:pStyle w:val="TableParagraph"/>
              <w:spacing w:line="211" w:lineRule="exact" w:before="51"/>
              <w:ind w:left="204" w:right="389"/>
              <w:jc w:val="center"/>
              <w:rPr>
                <w:b/>
                <w:sz w:val="20"/>
              </w:rPr>
            </w:pPr>
            <w:r>
              <w:rPr>
                <w:b/>
                <w:color w:val="FFFFFF"/>
                <w:spacing w:val="-5"/>
                <w:sz w:val="20"/>
              </w:rPr>
              <w:t>FTE</w:t>
            </w:r>
          </w:p>
        </w:tc>
        <w:tc>
          <w:tcPr>
            <w:tcW w:w="1431" w:type="dxa"/>
            <w:tcBorders>
              <w:top w:val="single" w:sz="4" w:space="0" w:color="000000"/>
              <w:right w:val="single" w:sz="4" w:space="0" w:color="000000"/>
            </w:tcBorders>
            <w:shd w:val="clear" w:color="auto" w:fill="629CD1"/>
          </w:tcPr>
          <w:p>
            <w:pPr>
              <w:pStyle w:val="TableParagraph"/>
              <w:spacing w:before="47"/>
              <w:ind w:left="186" w:right="272"/>
              <w:jc w:val="center"/>
              <w:rPr>
                <w:b/>
                <w:sz w:val="20"/>
              </w:rPr>
            </w:pPr>
            <w:r>
              <w:rPr>
                <w:b/>
                <w:color w:val="FFFFFF"/>
                <w:spacing w:val="-2"/>
                <w:sz w:val="20"/>
              </w:rPr>
              <w:t>2026/2027</w:t>
            </w:r>
          </w:p>
          <w:p>
            <w:pPr>
              <w:pStyle w:val="TableParagraph"/>
              <w:spacing w:line="211" w:lineRule="exact" w:before="51"/>
              <w:ind w:left="186" w:right="270"/>
              <w:jc w:val="center"/>
              <w:rPr>
                <w:b/>
                <w:sz w:val="20"/>
              </w:rPr>
            </w:pPr>
            <w:r>
              <w:rPr>
                <w:b/>
                <w:color w:val="FFFFFF"/>
                <w:spacing w:val="-5"/>
                <w:sz w:val="20"/>
              </w:rPr>
              <w:t>FTE</w:t>
            </w:r>
          </w:p>
        </w:tc>
      </w:tr>
      <w:tr>
        <w:trPr>
          <w:trHeight w:val="295" w:hRule="atLeast"/>
        </w:trPr>
        <w:tc>
          <w:tcPr>
            <w:tcW w:w="5026" w:type="dxa"/>
            <w:tcBorders>
              <w:left w:val="single" w:sz="4" w:space="0" w:color="000000"/>
            </w:tcBorders>
          </w:tcPr>
          <w:p>
            <w:pPr>
              <w:pStyle w:val="TableParagraph"/>
              <w:spacing w:line="226" w:lineRule="exact" w:before="50"/>
              <w:ind w:left="107"/>
              <w:rPr>
                <w:b/>
                <w:sz w:val="20"/>
              </w:rPr>
            </w:pPr>
            <w:r>
              <w:rPr>
                <w:b/>
                <w:sz w:val="20"/>
              </w:rPr>
              <w:t>Assets</w:t>
            </w:r>
            <w:r>
              <w:rPr>
                <w:b/>
                <w:spacing w:val="-7"/>
                <w:sz w:val="20"/>
              </w:rPr>
              <w:t> </w:t>
            </w:r>
            <w:r>
              <w:rPr>
                <w:b/>
                <w:sz w:val="20"/>
              </w:rPr>
              <w:t>&amp;</w:t>
            </w:r>
            <w:r>
              <w:rPr>
                <w:b/>
                <w:spacing w:val="-5"/>
                <w:sz w:val="20"/>
              </w:rPr>
              <w:t> </w:t>
            </w:r>
            <w:r>
              <w:rPr>
                <w:b/>
                <w:spacing w:val="-2"/>
                <w:sz w:val="20"/>
              </w:rPr>
              <w:t>Leisure</w:t>
            </w:r>
          </w:p>
        </w:tc>
        <w:tc>
          <w:tcPr>
            <w:tcW w:w="1203" w:type="dxa"/>
          </w:tcPr>
          <w:p>
            <w:pPr>
              <w:pStyle w:val="TableParagraph"/>
              <w:rPr>
                <w:rFonts w:ascii="Times New Roman"/>
                <w:sz w:val="18"/>
              </w:rPr>
            </w:pPr>
          </w:p>
        </w:tc>
        <w:tc>
          <w:tcPr>
            <w:tcW w:w="1324" w:type="dxa"/>
          </w:tcPr>
          <w:p>
            <w:pPr>
              <w:pStyle w:val="TableParagraph"/>
              <w:rPr>
                <w:rFonts w:ascii="Times New Roman"/>
                <w:sz w:val="18"/>
              </w:rPr>
            </w:pPr>
          </w:p>
        </w:tc>
        <w:tc>
          <w:tcPr>
            <w:tcW w:w="1564" w:type="dxa"/>
          </w:tcPr>
          <w:p>
            <w:pPr>
              <w:pStyle w:val="TableParagraph"/>
              <w:rPr>
                <w:rFonts w:ascii="Times New Roman"/>
                <w:sz w:val="18"/>
              </w:rPr>
            </w:pPr>
          </w:p>
        </w:tc>
        <w:tc>
          <w:tcPr>
            <w:tcW w:w="1431" w:type="dxa"/>
            <w:tcBorders>
              <w:right w:val="single" w:sz="4" w:space="0" w:color="000000"/>
            </w:tcBorders>
          </w:tcPr>
          <w:p>
            <w:pPr>
              <w:pStyle w:val="TableParagraph"/>
              <w:rPr>
                <w:rFonts w:ascii="Times New Roman"/>
                <w:sz w:val="18"/>
              </w:rPr>
            </w:pPr>
          </w:p>
        </w:tc>
      </w:tr>
      <w:tr>
        <w:trPr>
          <w:trHeight w:val="279" w:hRule="atLeast"/>
        </w:trPr>
        <w:tc>
          <w:tcPr>
            <w:tcW w:w="5026" w:type="dxa"/>
            <w:tcBorders>
              <w:left w:val="single" w:sz="4" w:space="0" w:color="000000"/>
            </w:tcBorders>
          </w:tcPr>
          <w:p>
            <w:pPr>
              <w:pStyle w:val="TableParagraph"/>
              <w:spacing w:line="227" w:lineRule="exact" w:before="32"/>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03" w:type="dxa"/>
          </w:tcPr>
          <w:p>
            <w:pPr>
              <w:pStyle w:val="TableParagraph"/>
              <w:spacing w:before="8"/>
              <w:ind w:right="121"/>
              <w:jc w:val="right"/>
              <w:rPr>
                <w:b/>
                <w:sz w:val="20"/>
              </w:rPr>
            </w:pPr>
            <w:r>
              <w:rPr>
                <w:b/>
                <w:spacing w:val="-2"/>
                <w:sz w:val="20"/>
              </w:rPr>
              <w:t>145.3</w:t>
            </w:r>
          </w:p>
        </w:tc>
        <w:tc>
          <w:tcPr>
            <w:tcW w:w="1324" w:type="dxa"/>
          </w:tcPr>
          <w:p>
            <w:pPr>
              <w:pStyle w:val="TableParagraph"/>
              <w:spacing w:before="8"/>
              <w:ind w:right="206"/>
              <w:jc w:val="right"/>
              <w:rPr>
                <w:b/>
                <w:sz w:val="20"/>
              </w:rPr>
            </w:pPr>
            <w:r>
              <w:rPr>
                <w:b/>
                <w:spacing w:val="-4"/>
                <w:sz w:val="20"/>
              </w:rPr>
              <w:t>145.3</w:t>
            </w:r>
          </w:p>
        </w:tc>
        <w:tc>
          <w:tcPr>
            <w:tcW w:w="1564" w:type="dxa"/>
          </w:tcPr>
          <w:p>
            <w:pPr>
              <w:pStyle w:val="TableParagraph"/>
              <w:spacing w:before="8"/>
              <w:ind w:right="191"/>
              <w:jc w:val="right"/>
              <w:rPr>
                <w:b/>
                <w:sz w:val="20"/>
              </w:rPr>
            </w:pPr>
            <w:r>
              <w:rPr>
                <w:b/>
                <w:spacing w:val="-2"/>
                <w:sz w:val="20"/>
              </w:rPr>
              <w:t>145.3</w:t>
            </w:r>
          </w:p>
        </w:tc>
        <w:tc>
          <w:tcPr>
            <w:tcW w:w="1431" w:type="dxa"/>
            <w:tcBorders>
              <w:right w:val="single" w:sz="4" w:space="0" w:color="000000"/>
            </w:tcBorders>
          </w:tcPr>
          <w:p>
            <w:pPr>
              <w:pStyle w:val="TableParagraph"/>
              <w:spacing w:before="8"/>
              <w:ind w:right="98"/>
              <w:jc w:val="right"/>
              <w:rPr>
                <w:b/>
                <w:sz w:val="20"/>
              </w:rPr>
            </w:pPr>
            <w:r>
              <w:rPr>
                <w:b/>
                <w:spacing w:val="-2"/>
                <w:sz w:val="20"/>
              </w:rPr>
              <w:t>145.3</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pacing w:val="-2"/>
                <w:sz w:val="20"/>
              </w:rPr>
              <w:t>Women</w:t>
            </w:r>
          </w:p>
        </w:tc>
        <w:tc>
          <w:tcPr>
            <w:tcW w:w="1203" w:type="dxa"/>
          </w:tcPr>
          <w:p>
            <w:pPr>
              <w:pStyle w:val="TableParagraph"/>
              <w:spacing w:before="10"/>
              <w:ind w:right="121"/>
              <w:jc w:val="right"/>
              <w:rPr>
                <w:sz w:val="20"/>
              </w:rPr>
            </w:pPr>
            <w:r>
              <w:rPr>
                <w:spacing w:val="-4"/>
                <w:sz w:val="20"/>
              </w:rPr>
              <w:t>22.7</w:t>
            </w:r>
          </w:p>
        </w:tc>
        <w:tc>
          <w:tcPr>
            <w:tcW w:w="1324" w:type="dxa"/>
          </w:tcPr>
          <w:p>
            <w:pPr>
              <w:pStyle w:val="TableParagraph"/>
              <w:spacing w:before="10"/>
              <w:ind w:right="206"/>
              <w:jc w:val="right"/>
              <w:rPr>
                <w:sz w:val="20"/>
              </w:rPr>
            </w:pPr>
            <w:r>
              <w:rPr>
                <w:spacing w:val="-4"/>
                <w:sz w:val="20"/>
              </w:rPr>
              <w:t>22.7</w:t>
            </w:r>
          </w:p>
        </w:tc>
        <w:tc>
          <w:tcPr>
            <w:tcW w:w="1564" w:type="dxa"/>
          </w:tcPr>
          <w:p>
            <w:pPr>
              <w:pStyle w:val="TableParagraph"/>
              <w:spacing w:before="10"/>
              <w:ind w:right="191"/>
              <w:jc w:val="right"/>
              <w:rPr>
                <w:sz w:val="20"/>
              </w:rPr>
            </w:pPr>
            <w:r>
              <w:rPr>
                <w:spacing w:val="-4"/>
                <w:sz w:val="20"/>
              </w:rPr>
              <w:t>22.7</w:t>
            </w:r>
          </w:p>
        </w:tc>
        <w:tc>
          <w:tcPr>
            <w:tcW w:w="1431" w:type="dxa"/>
            <w:tcBorders>
              <w:right w:val="single" w:sz="4" w:space="0" w:color="000000"/>
            </w:tcBorders>
          </w:tcPr>
          <w:p>
            <w:pPr>
              <w:pStyle w:val="TableParagraph"/>
              <w:spacing w:before="10"/>
              <w:ind w:right="97"/>
              <w:jc w:val="right"/>
              <w:rPr>
                <w:sz w:val="20"/>
              </w:rPr>
            </w:pPr>
            <w:r>
              <w:rPr>
                <w:spacing w:val="-4"/>
                <w:sz w:val="20"/>
              </w:rPr>
              <w:t>22.7</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pacing w:val="-5"/>
                <w:sz w:val="20"/>
              </w:rPr>
              <w:t>Men</w:t>
            </w:r>
          </w:p>
        </w:tc>
        <w:tc>
          <w:tcPr>
            <w:tcW w:w="1203" w:type="dxa"/>
          </w:tcPr>
          <w:p>
            <w:pPr>
              <w:pStyle w:val="TableParagraph"/>
              <w:spacing w:before="8"/>
              <w:ind w:right="121"/>
              <w:jc w:val="right"/>
              <w:rPr>
                <w:sz w:val="20"/>
              </w:rPr>
            </w:pPr>
            <w:r>
              <w:rPr>
                <w:spacing w:val="-2"/>
                <w:sz w:val="20"/>
              </w:rPr>
              <w:t>118.8</w:t>
            </w:r>
          </w:p>
        </w:tc>
        <w:tc>
          <w:tcPr>
            <w:tcW w:w="1324" w:type="dxa"/>
          </w:tcPr>
          <w:p>
            <w:pPr>
              <w:pStyle w:val="TableParagraph"/>
              <w:spacing w:before="8"/>
              <w:ind w:right="206"/>
              <w:jc w:val="right"/>
              <w:rPr>
                <w:sz w:val="20"/>
              </w:rPr>
            </w:pPr>
            <w:r>
              <w:rPr>
                <w:spacing w:val="-4"/>
                <w:sz w:val="20"/>
              </w:rPr>
              <w:t>118.8</w:t>
            </w:r>
          </w:p>
        </w:tc>
        <w:tc>
          <w:tcPr>
            <w:tcW w:w="1564" w:type="dxa"/>
          </w:tcPr>
          <w:p>
            <w:pPr>
              <w:pStyle w:val="TableParagraph"/>
              <w:spacing w:before="8"/>
              <w:ind w:right="191"/>
              <w:jc w:val="right"/>
              <w:rPr>
                <w:sz w:val="20"/>
              </w:rPr>
            </w:pPr>
            <w:r>
              <w:rPr>
                <w:spacing w:val="-2"/>
                <w:sz w:val="20"/>
              </w:rPr>
              <w:t>118.8</w:t>
            </w:r>
          </w:p>
        </w:tc>
        <w:tc>
          <w:tcPr>
            <w:tcW w:w="1431" w:type="dxa"/>
            <w:tcBorders>
              <w:right w:val="single" w:sz="4" w:space="0" w:color="000000"/>
            </w:tcBorders>
          </w:tcPr>
          <w:p>
            <w:pPr>
              <w:pStyle w:val="TableParagraph"/>
              <w:spacing w:before="8"/>
              <w:ind w:right="98"/>
              <w:jc w:val="right"/>
              <w:rPr>
                <w:sz w:val="20"/>
              </w:rPr>
            </w:pPr>
            <w:r>
              <w:rPr>
                <w:spacing w:val="-2"/>
                <w:sz w:val="20"/>
              </w:rPr>
              <w:t>118.8</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z w:val="20"/>
              </w:rPr>
              <w:t>Vacant</w:t>
            </w:r>
            <w:r>
              <w:rPr>
                <w:spacing w:val="-7"/>
                <w:sz w:val="20"/>
              </w:rPr>
              <w:t> </w:t>
            </w:r>
            <w:r>
              <w:rPr>
                <w:spacing w:val="-2"/>
                <w:sz w:val="20"/>
              </w:rPr>
              <w:t>Position</w:t>
            </w:r>
          </w:p>
        </w:tc>
        <w:tc>
          <w:tcPr>
            <w:tcW w:w="1203" w:type="dxa"/>
          </w:tcPr>
          <w:p>
            <w:pPr>
              <w:pStyle w:val="TableParagraph"/>
              <w:spacing w:before="10"/>
              <w:ind w:right="121"/>
              <w:jc w:val="right"/>
              <w:rPr>
                <w:sz w:val="20"/>
              </w:rPr>
            </w:pPr>
            <w:r>
              <w:rPr>
                <w:spacing w:val="-5"/>
                <w:sz w:val="20"/>
              </w:rPr>
              <w:t>3.8</w:t>
            </w:r>
          </w:p>
        </w:tc>
        <w:tc>
          <w:tcPr>
            <w:tcW w:w="1324" w:type="dxa"/>
          </w:tcPr>
          <w:p>
            <w:pPr>
              <w:pStyle w:val="TableParagraph"/>
              <w:spacing w:before="10"/>
              <w:ind w:right="207"/>
              <w:jc w:val="right"/>
              <w:rPr>
                <w:sz w:val="20"/>
              </w:rPr>
            </w:pPr>
            <w:r>
              <w:rPr>
                <w:spacing w:val="-5"/>
                <w:sz w:val="20"/>
              </w:rPr>
              <w:t>3.8</w:t>
            </w:r>
          </w:p>
        </w:tc>
        <w:tc>
          <w:tcPr>
            <w:tcW w:w="1564" w:type="dxa"/>
          </w:tcPr>
          <w:p>
            <w:pPr>
              <w:pStyle w:val="TableParagraph"/>
              <w:spacing w:before="10"/>
              <w:ind w:right="191"/>
              <w:jc w:val="right"/>
              <w:rPr>
                <w:sz w:val="20"/>
              </w:rPr>
            </w:pPr>
            <w:r>
              <w:rPr>
                <w:spacing w:val="-5"/>
                <w:sz w:val="20"/>
              </w:rPr>
              <w:t>3.8</w:t>
            </w:r>
          </w:p>
        </w:tc>
        <w:tc>
          <w:tcPr>
            <w:tcW w:w="1431" w:type="dxa"/>
            <w:tcBorders>
              <w:right w:val="single" w:sz="4" w:space="0" w:color="000000"/>
            </w:tcBorders>
          </w:tcPr>
          <w:p>
            <w:pPr>
              <w:pStyle w:val="TableParagraph"/>
              <w:spacing w:before="10"/>
              <w:ind w:right="100"/>
              <w:jc w:val="right"/>
              <w:rPr>
                <w:sz w:val="20"/>
              </w:rPr>
            </w:pPr>
            <w:r>
              <w:rPr>
                <w:spacing w:val="-5"/>
                <w:sz w:val="20"/>
              </w:rPr>
              <w:t>3.8</w:t>
            </w:r>
          </w:p>
        </w:tc>
      </w:tr>
      <w:tr>
        <w:trPr>
          <w:trHeight w:val="280" w:hRule="atLeast"/>
        </w:trPr>
        <w:tc>
          <w:tcPr>
            <w:tcW w:w="5026" w:type="dxa"/>
            <w:tcBorders>
              <w:left w:val="single" w:sz="4" w:space="0" w:color="000000"/>
            </w:tcBorders>
          </w:tcPr>
          <w:p>
            <w:pPr>
              <w:pStyle w:val="TableParagraph"/>
              <w:spacing w:line="226" w:lineRule="exact" w:before="35"/>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03" w:type="dxa"/>
          </w:tcPr>
          <w:p>
            <w:pPr>
              <w:pStyle w:val="TableParagraph"/>
              <w:spacing w:before="8"/>
              <w:ind w:right="121"/>
              <w:jc w:val="right"/>
              <w:rPr>
                <w:b/>
                <w:sz w:val="20"/>
              </w:rPr>
            </w:pPr>
            <w:r>
              <w:rPr>
                <w:b/>
                <w:spacing w:val="-4"/>
                <w:sz w:val="20"/>
              </w:rPr>
              <w:t>31.1</w:t>
            </w:r>
          </w:p>
        </w:tc>
        <w:tc>
          <w:tcPr>
            <w:tcW w:w="1324" w:type="dxa"/>
          </w:tcPr>
          <w:p>
            <w:pPr>
              <w:pStyle w:val="TableParagraph"/>
              <w:spacing w:before="8"/>
              <w:ind w:right="206"/>
              <w:jc w:val="right"/>
              <w:rPr>
                <w:b/>
                <w:sz w:val="20"/>
              </w:rPr>
            </w:pPr>
            <w:r>
              <w:rPr>
                <w:b/>
                <w:spacing w:val="-4"/>
                <w:sz w:val="20"/>
              </w:rPr>
              <w:t>31.1</w:t>
            </w:r>
          </w:p>
        </w:tc>
        <w:tc>
          <w:tcPr>
            <w:tcW w:w="1564" w:type="dxa"/>
          </w:tcPr>
          <w:p>
            <w:pPr>
              <w:pStyle w:val="TableParagraph"/>
              <w:spacing w:before="8"/>
              <w:ind w:right="191"/>
              <w:jc w:val="right"/>
              <w:rPr>
                <w:b/>
                <w:sz w:val="20"/>
              </w:rPr>
            </w:pPr>
            <w:r>
              <w:rPr>
                <w:b/>
                <w:spacing w:val="-4"/>
                <w:sz w:val="20"/>
              </w:rPr>
              <w:t>31.1</w:t>
            </w:r>
          </w:p>
        </w:tc>
        <w:tc>
          <w:tcPr>
            <w:tcW w:w="1431" w:type="dxa"/>
            <w:tcBorders>
              <w:right w:val="single" w:sz="4" w:space="0" w:color="000000"/>
            </w:tcBorders>
          </w:tcPr>
          <w:p>
            <w:pPr>
              <w:pStyle w:val="TableParagraph"/>
              <w:spacing w:before="8"/>
              <w:ind w:right="97"/>
              <w:jc w:val="right"/>
              <w:rPr>
                <w:b/>
                <w:sz w:val="20"/>
              </w:rPr>
            </w:pPr>
            <w:r>
              <w:rPr>
                <w:b/>
                <w:spacing w:val="-4"/>
                <w:sz w:val="20"/>
              </w:rPr>
              <w:t>31.1</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pacing w:val="-2"/>
                <w:sz w:val="20"/>
              </w:rPr>
              <w:t>Women</w:t>
            </w:r>
          </w:p>
        </w:tc>
        <w:tc>
          <w:tcPr>
            <w:tcW w:w="1203" w:type="dxa"/>
          </w:tcPr>
          <w:p>
            <w:pPr>
              <w:pStyle w:val="TableParagraph"/>
              <w:spacing w:before="8"/>
              <w:ind w:right="121"/>
              <w:jc w:val="right"/>
              <w:rPr>
                <w:sz w:val="20"/>
              </w:rPr>
            </w:pPr>
            <w:r>
              <w:rPr>
                <w:spacing w:val="-4"/>
                <w:sz w:val="20"/>
              </w:rPr>
              <w:t>25.9</w:t>
            </w:r>
          </w:p>
        </w:tc>
        <w:tc>
          <w:tcPr>
            <w:tcW w:w="1324" w:type="dxa"/>
          </w:tcPr>
          <w:p>
            <w:pPr>
              <w:pStyle w:val="TableParagraph"/>
              <w:spacing w:before="8"/>
              <w:ind w:right="206"/>
              <w:jc w:val="right"/>
              <w:rPr>
                <w:sz w:val="20"/>
              </w:rPr>
            </w:pPr>
            <w:r>
              <w:rPr>
                <w:spacing w:val="-4"/>
                <w:sz w:val="20"/>
              </w:rPr>
              <w:t>25.9</w:t>
            </w:r>
          </w:p>
        </w:tc>
        <w:tc>
          <w:tcPr>
            <w:tcW w:w="1564" w:type="dxa"/>
          </w:tcPr>
          <w:p>
            <w:pPr>
              <w:pStyle w:val="TableParagraph"/>
              <w:spacing w:before="8"/>
              <w:ind w:right="191"/>
              <w:jc w:val="right"/>
              <w:rPr>
                <w:sz w:val="20"/>
              </w:rPr>
            </w:pPr>
            <w:r>
              <w:rPr>
                <w:spacing w:val="-4"/>
                <w:sz w:val="20"/>
              </w:rPr>
              <w:t>25.9</w:t>
            </w:r>
          </w:p>
        </w:tc>
        <w:tc>
          <w:tcPr>
            <w:tcW w:w="1431" w:type="dxa"/>
            <w:tcBorders>
              <w:right w:val="single" w:sz="4" w:space="0" w:color="000000"/>
            </w:tcBorders>
          </w:tcPr>
          <w:p>
            <w:pPr>
              <w:pStyle w:val="TableParagraph"/>
              <w:spacing w:before="8"/>
              <w:ind w:right="97"/>
              <w:jc w:val="right"/>
              <w:rPr>
                <w:sz w:val="20"/>
              </w:rPr>
            </w:pPr>
            <w:r>
              <w:rPr>
                <w:spacing w:val="-4"/>
                <w:sz w:val="20"/>
              </w:rPr>
              <w:t>25.9</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pacing w:val="-5"/>
                <w:sz w:val="20"/>
              </w:rPr>
              <w:t>Men</w:t>
            </w:r>
          </w:p>
        </w:tc>
        <w:tc>
          <w:tcPr>
            <w:tcW w:w="1203" w:type="dxa"/>
          </w:tcPr>
          <w:p>
            <w:pPr>
              <w:pStyle w:val="TableParagraph"/>
              <w:spacing w:before="10"/>
              <w:ind w:right="121"/>
              <w:jc w:val="right"/>
              <w:rPr>
                <w:sz w:val="20"/>
              </w:rPr>
            </w:pPr>
            <w:r>
              <w:rPr>
                <w:spacing w:val="-5"/>
                <w:sz w:val="20"/>
              </w:rPr>
              <w:t>1.7</w:t>
            </w:r>
          </w:p>
        </w:tc>
        <w:tc>
          <w:tcPr>
            <w:tcW w:w="1324" w:type="dxa"/>
          </w:tcPr>
          <w:p>
            <w:pPr>
              <w:pStyle w:val="TableParagraph"/>
              <w:spacing w:before="10"/>
              <w:ind w:right="207"/>
              <w:jc w:val="right"/>
              <w:rPr>
                <w:sz w:val="20"/>
              </w:rPr>
            </w:pPr>
            <w:r>
              <w:rPr>
                <w:spacing w:val="-5"/>
                <w:sz w:val="20"/>
              </w:rPr>
              <w:t>1.7</w:t>
            </w:r>
          </w:p>
        </w:tc>
        <w:tc>
          <w:tcPr>
            <w:tcW w:w="1564" w:type="dxa"/>
          </w:tcPr>
          <w:p>
            <w:pPr>
              <w:pStyle w:val="TableParagraph"/>
              <w:spacing w:before="10"/>
              <w:ind w:right="191"/>
              <w:jc w:val="right"/>
              <w:rPr>
                <w:sz w:val="20"/>
              </w:rPr>
            </w:pPr>
            <w:r>
              <w:rPr>
                <w:spacing w:val="-5"/>
                <w:sz w:val="20"/>
              </w:rPr>
              <w:t>1.7</w:t>
            </w:r>
          </w:p>
        </w:tc>
        <w:tc>
          <w:tcPr>
            <w:tcW w:w="1431" w:type="dxa"/>
            <w:tcBorders>
              <w:right w:val="single" w:sz="4" w:space="0" w:color="000000"/>
            </w:tcBorders>
          </w:tcPr>
          <w:p>
            <w:pPr>
              <w:pStyle w:val="TableParagraph"/>
              <w:spacing w:before="10"/>
              <w:ind w:right="100"/>
              <w:jc w:val="right"/>
              <w:rPr>
                <w:sz w:val="20"/>
              </w:rPr>
            </w:pPr>
            <w:r>
              <w:rPr>
                <w:spacing w:val="-5"/>
                <w:sz w:val="20"/>
              </w:rPr>
              <w:t>1.7</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63" w:hRule="atLeast"/>
        </w:trPr>
        <w:tc>
          <w:tcPr>
            <w:tcW w:w="5026" w:type="dxa"/>
            <w:tcBorders>
              <w:left w:val="single" w:sz="4" w:space="0" w:color="000000"/>
            </w:tcBorders>
          </w:tcPr>
          <w:p>
            <w:pPr>
              <w:pStyle w:val="TableParagraph"/>
              <w:spacing w:line="211" w:lineRule="exact" w:before="32"/>
              <w:ind w:left="107"/>
              <w:rPr>
                <w:sz w:val="20"/>
              </w:rPr>
            </w:pPr>
            <w:r>
              <w:rPr>
                <w:sz w:val="20"/>
              </w:rPr>
              <w:t>Vacant</w:t>
            </w:r>
            <w:r>
              <w:rPr>
                <w:spacing w:val="-7"/>
                <w:sz w:val="20"/>
              </w:rPr>
              <w:t> </w:t>
            </w:r>
            <w:r>
              <w:rPr>
                <w:spacing w:val="-2"/>
                <w:sz w:val="20"/>
              </w:rPr>
              <w:t>Position</w:t>
            </w:r>
          </w:p>
        </w:tc>
        <w:tc>
          <w:tcPr>
            <w:tcW w:w="1203" w:type="dxa"/>
            <w:tcBorders>
              <w:bottom w:val="single" w:sz="4" w:space="0" w:color="000000"/>
            </w:tcBorders>
          </w:tcPr>
          <w:p>
            <w:pPr>
              <w:pStyle w:val="TableParagraph"/>
              <w:spacing w:before="8"/>
              <w:ind w:right="121"/>
              <w:jc w:val="right"/>
              <w:rPr>
                <w:sz w:val="20"/>
              </w:rPr>
            </w:pPr>
            <w:r>
              <w:rPr>
                <w:spacing w:val="-5"/>
                <w:sz w:val="20"/>
              </w:rPr>
              <w:t>3.5</w:t>
            </w:r>
          </w:p>
        </w:tc>
        <w:tc>
          <w:tcPr>
            <w:tcW w:w="1324" w:type="dxa"/>
            <w:tcBorders>
              <w:bottom w:val="single" w:sz="4" w:space="0" w:color="000000"/>
            </w:tcBorders>
          </w:tcPr>
          <w:p>
            <w:pPr>
              <w:pStyle w:val="TableParagraph"/>
              <w:spacing w:before="8"/>
              <w:ind w:right="207"/>
              <w:jc w:val="right"/>
              <w:rPr>
                <w:sz w:val="20"/>
              </w:rPr>
            </w:pPr>
            <w:r>
              <w:rPr>
                <w:spacing w:val="-5"/>
                <w:sz w:val="20"/>
              </w:rPr>
              <w:t>3.5</w:t>
            </w:r>
          </w:p>
        </w:tc>
        <w:tc>
          <w:tcPr>
            <w:tcW w:w="1564" w:type="dxa"/>
            <w:tcBorders>
              <w:bottom w:val="single" w:sz="4" w:space="0" w:color="000000"/>
            </w:tcBorders>
          </w:tcPr>
          <w:p>
            <w:pPr>
              <w:pStyle w:val="TableParagraph"/>
              <w:spacing w:before="8"/>
              <w:ind w:right="191"/>
              <w:jc w:val="right"/>
              <w:rPr>
                <w:sz w:val="20"/>
              </w:rPr>
            </w:pPr>
            <w:r>
              <w:rPr>
                <w:spacing w:val="-5"/>
                <w:sz w:val="20"/>
              </w:rPr>
              <w:t>3.5</w:t>
            </w:r>
          </w:p>
        </w:tc>
        <w:tc>
          <w:tcPr>
            <w:tcW w:w="1431" w:type="dxa"/>
            <w:tcBorders>
              <w:bottom w:val="single" w:sz="4" w:space="0" w:color="000000"/>
              <w:right w:val="single" w:sz="4" w:space="0" w:color="000000"/>
            </w:tcBorders>
          </w:tcPr>
          <w:p>
            <w:pPr>
              <w:pStyle w:val="TableParagraph"/>
              <w:spacing w:before="8"/>
              <w:ind w:right="100"/>
              <w:jc w:val="right"/>
              <w:rPr>
                <w:sz w:val="20"/>
              </w:rPr>
            </w:pPr>
            <w:r>
              <w:rPr>
                <w:spacing w:val="-5"/>
                <w:sz w:val="20"/>
              </w:rPr>
              <w:t>3.5</w:t>
            </w:r>
          </w:p>
        </w:tc>
      </w:tr>
      <w:tr>
        <w:trPr>
          <w:trHeight w:val="280" w:hRule="atLeast"/>
        </w:trPr>
        <w:tc>
          <w:tcPr>
            <w:tcW w:w="5026" w:type="dxa"/>
            <w:tcBorders>
              <w:left w:val="single" w:sz="4" w:space="0" w:color="000000"/>
            </w:tcBorders>
          </w:tcPr>
          <w:p>
            <w:pPr>
              <w:pStyle w:val="TableParagraph"/>
              <w:spacing w:line="211" w:lineRule="exact" w:before="50"/>
              <w:ind w:left="107"/>
              <w:rPr>
                <w:b/>
                <w:sz w:val="20"/>
              </w:rPr>
            </w:pPr>
            <w:r>
              <w:rPr>
                <w:b/>
                <w:sz w:val="20"/>
              </w:rPr>
              <w:t>Total</w:t>
            </w:r>
            <w:r>
              <w:rPr>
                <w:b/>
                <w:spacing w:val="-5"/>
                <w:sz w:val="20"/>
              </w:rPr>
              <w:t> </w:t>
            </w:r>
            <w:r>
              <w:rPr>
                <w:b/>
                <w:sz w:val="20"/>
              </w:rPr>
              <w:t>Assets</w:t>
            </w:r>
            <w:r>
              <w:rPr>
                <w:b/>
                <w:spacing w:val="-6"/>
                <w:sz w:val="20"/>
              </w:rPr>
              <w:t> </w:t>
            </w:r>
            <w:r>
              <w:rPr>
                <w:b/>
                <w:sz w:val="20"/>
              </w:rPr>
              <w:t>&amp;</w:t>
            </w:r>
            <w:r>
              <w:rPr>
                <w:b/>
                <w:spacing w:val="-5"/>
                <w:sz w:val="20"/>
              </w:rPr>
              <w:t> </w:t>
            </w:r>
            <w:r>
              <w:rPr>
                <w:b/>
                <w:spacing w:val="-2"/>
                <w:sz w:val="20"/>
              </w:rPr>
              <w:t>Leisure</w:t>
            </w:r>
          </w:p>
        </w:tc>
        <w:tc>
          <w:tcPr>
            <w:tcW w:w="1203" w:type="dxa"/>
            <w:tcBorders>
              <w:top w:val="single" w:sz="4" w:space="0" w:color="000000"/>
              <w:bottom w:val="single" w:sz="4" w:space="0" w:color="000000"/>
            </w:tcBorders>
          </w:tcPr>
          <w:p>
            <w:pPr>
              <w:pStyle w:val="TableParagraph"/>
              <w:spacing w:before="26"/>
              <w:ind w:right="121"/>
              <w:jc w:val="right"/>
              <w:rPr>
                <w:b/>
                <w:sz w:val="20"/>
              </w:rPr>
            </w:pPr>
            <w:r>
              <w:rPr>
                <w:b/>
                <w:spacing w:val="-2"/>
                <w:sz w:val="20"/>
              </w:rPr>
              <w:t>176.5</w:t>
            </w:r>
          </w:p>
        </w:tc>
        <w:tc>
          <w:tcPr>
            <w:tcW w:w="1324" w:type="dxa"/>
            <w:tcBorders>
              <w:top w:val="single" w:sz="4" w:space="0" w:color="000000"/>
              <w:bottom w:val="single" w:sz="4" w:space="0" w:color="000000"/>
            </w:tcBorders>
          </w:tcPr>
          <w:p>
            <w:pPr>
              <w:pStyle w:val="TableParagraph"/>
              <w:spacing w:before="26"/>
              <w:ind w:right="206"/>
              <w:jc w:val="right"/>
              <w:rPr>
                <w:b/>
                <w:sz w:val="20"/>
              </w:rPr>
            </w:pPr>
            <w:r>
              <w:rPr>
                <w:b/>
                <w:spacing w:val="-4"/>
                <w:sz w:val="20"/>
              </w:rPr>
              <w:t>176.5</w:t>
            </w:r>
          </w:p>
        </w:tc>
        <w:tc>
          <w:tcPr>
            <w:tcW w:w="1564" w:type="dxa"/>
            <w:tcBorders>
              <w:top w:val="single" w:sz="4" w:space="0" w:color="000000"/>
              <w:bottom w:val="single" w:sz="4" w:space="0" w:color="000000"/>
            </w:tcBorders>
          </w:tcPr>
          <w:p>
            <w:pPr>
              <w:pStyle w:val="TableParagraph"/>
              <w:spacing w:before="26"/>
              <w:ind w:right="191"/>
              <w:jc w:val="right"/>
              <w:rPr>
                <w:b/>
                <w:sz w:val="20"/>
              </w:rPr>
            </w:pPr>
            <w:r>
              <w:rPr>
                <w:b/>
                <w:spacing w:val="-2"/>
                <w:sz w:val="20"/>
              </w:rPr>
              <w:t>176.5</w:t>
            </w:r>
          </w:p>
        </w:tc>
        <w:tc>
          <w:tcPr>
            <w:tcW w:w="1431" w:type="dxa"/>
            <w:tcBorders>
              <w:top w:val="single" w:sz="4" w:space="0" w:color="000000"/>
              <w:bottom w:val="single" w:sz="4" w:space="0" w:color="000000"/>
              <w:right w:val="single" w:sz="4" w:space="0" w:color="000000"/>
            </w:tcBorders>
          </w:tcPr>
          <w:p>
            <w:pPr>
              <w:pStyle w:val="TableParagraph"/>
              <w:spacing w:before="26"/>
              <w:ind w:right="98"/>
              <w:jc w:val="right"/>
              <w:rPr>
                <w:b/>
                <w:sz w:val="20"/>
              </w:rPr>
            </w:pPr>
            <w:r>
              <w:rPr>
                <w:b/>
                <w:spacing w:val="-2"/>
                <w:sz w:val="20"/>
              </w:rPr>
              <w:t>176.5</w:t>
            </w:r>
          </w:p>
        </w:tc>
      </w:tr>
      <w:tr>
        <w:trPr>
          <w:trHeight w:val="295" w:hRule="atLeast"/>
        </w:trPr>
        <w:tc>
          <w:tcPr>
            <w:tcW w:w="5026" w:type="dxa"/>
            <w:tcBorders>
              <w:left w:val="single" w:sz="4" w:space="0" w:color="000000"/>
            </w:tcBorders>
          </w:tcPr>
          <w:p>
            <w:pPr>
              <w:pStyle w:val="TableParagraph"/>
              <w:spacing w:line="226" w:lineRule="exact" w:before="50"/>
              <w:ind w:left="107"/>
              <w:rPr>
                <w:b/>
                <w:sz w:val="20"/>
              </w:rPr>
            </w:pPr>
            <w:r>
              <w:rPr>
                <w:b/>
                <w:sz w:val="20"/>
              </w:rPr>
              <w:t>Chief</w:t>
            </w:r>
            <w:r>
              <w:rPr>
                <w:b/>
                <w:spacing w:val="-9"/>
                <w:sz w:val="20"/>
              </w:rPr>
              <w:t> </w:t>
            </w:r>
            <w:r>
              <w:rPr>
                <w:b/>
                <w:sz w:val="20"/>
              </w:rPr>
              <w:t>Executive's</w:t>
            </w:r>
            <w:r>
              <w:rPr>
                <w:b/>
                <w:spacing w:val="-9"/>
                <w:sz w:val="20"/>
              </w:rPr>
              <w:t> </w:t>
            </w:r>
            <w:r>
              <w:rPr>
                <w:b/>
                <w:spacing w:val="-2"/>
                <w:sz w:val="20"/>
              </w:rPr>
              <w:t>office</w:t>
            </w:r>
          </w:p>
        </w:tc>
        <w:tc>
          <w:tcPr>
            <w:tcW w:w="1203" w:type="dxa"/>
            <w:tcBorders>
              <w:top w:val="single" w:sz="4" w:space="0" w:color="000000"/>
            </w:tcBorders>
          </w:tcPr>
          <w:p>
            <w:pPr>
              <w:pStyle w:val="TableParagraph"/>
              <w:rPr>
                <w:rFonts w:ascii="Times New Roman"/>
                <w:sz w:val="18"/>
              </w:rPr>
            </w:pPr>
          </w:p>
        </w:tc>
        <w:tc>
          <w:tcPr>
            <w:tcW w:w="1324" w:type="dxa"/>
            <w:tcBorders>
              <w:top w:val="single" w:sz="4" w:space="0" w:color="000000"/>
            </w:tcBorders>
          </w:tcPr>
          <w:p>
            <w:pPr>
              <w:pStyle w:val="TableParagraph"/>
              <w:rPr>
                <w:rFonts w:ascii="Times New Roman"/>
                <w:sz w:val="18"/>
              </w:rPr>
            </w:pPr>
          </w:p>
        </w:tc>
        <w:tc>
          <w:tcPr>
            <w:tcW w:w="1564" w:type="dxa"/>
            <w:tcBorders>
              <w:top w:val="single" w:sz="4" w:space="0" w:color="000000"/>
            </w:tcBorders>
          </w:tcPr>
          <w:p>
            <w:pPr>
              <w:pStyle w:val="TableParagraph"/>
              <w:rPr>
                <w:rFonts w:ascii="Times New Roman"/>
                <w:sz w:val="18"/>
              </w:rPr>
            </w:pPr>
          </w:p>
        </w:tc>
        <w:tc>
          <w:tcPr>
            <w:tcW w:w="1431" w:type="dxa"/>
            <w:tcBorders>
              <w:top w:val="single" w:sz="4" w:space="0" w:color="000000"/>
              <w:right w:val="single" w:sz="4" w:space="0" w:color="000000"/>
            </w:tcBorders>
          </w:tcPr>
          <w:p>
            <w:pPr>
              <w:pStyle w:val="TableParagraph"/>
              <w:rPr>
                <w:rFonts w:ascii="Times New Roman"/>
                <w:sz w:val="18"/>
              </w:rPr>
            </w:pPr>
          </w:p>
        </w:tc>
      </w:tr>
      <w:tr>
        <w:trPr>
          <w:trHeight w:val="280" w:hRule="atLeast"/>
        </w:trPr>
        <w:tc>
          <w:tcPr>
            <w:tcW w:w="5026" w:type="dxa"/>
            <w:tcBorders>
              <w:left w:val="single" w:sz="4" w:space="0" w:color="000000"/>
            </w:tcBorders>
          </w:tcPr>
          <w:p>
            <w:pPr>
              <w:pStyle w:val="TableParagraph"/>
              <w:spacing w:line="226" w:lineRule="exact" w:before="35"/>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03" w:type="dxa"/>
          </w:tcPr>
          <w:p>
            <w:pPr>
              <w:pStyle w:val="TableParagraph"/>
              <w:spacing w:before="8"/>
              <w:ind w:right="121"/>
              <w:jc w:val="right"/>
              <w:rPr>
                <w:b/>
                <w:sz w:val="20"/>
              </w:rPr>
            </w:pPr>
            <w:r>
              <w:rPr>
                <w:b/>
                <w:spacing w:val="-5"/>
                <w:sz w:val="20"/>
              </w:rPr>
              <w:t>5.0</w:t>
            </w:r>
          </w:p>
        </w:tc>
        <w:tc>
          <w:tcPr>
            <w:tcW w:w="1324" w:type="dxa"/>
          </w:tcPr>
          <w:p>
            <w:pPr>
              <w:pStyle w:val="TableParagraph"/>
              <w:spacing w:before="8"/>
              <w:ind w:right="207"/>
              <w:jc w:val="right"/>
              <w:rPr>
                <w:b/>
                <w:sz w:val="20"/>
              </w:rPr>
            </w:pPr>
            <w:r>
              <w:rPr>
                <w:b/>
                <w:spacing w:val="-5"/>
                <w:sz w:val="20"/>
              </w:rPr>
              <w:t>5.0</w:t>
            </w:r>
          </w:p>
        </w:tc>
        <w:tc>
          <w:tcPr>
            <w:tcW w:w="1564" w:type="dxa"/>
          </w:tcPr>
          <w:p>
            <w:pPr>
              <w:pStyle w:val="TableParagraph"/>
              <w:spacing w:before="8"/>
              <w:ind w:right="191"/>
              <w:jc w:val="right"/>
              <w:rPr>
                <w:b/>
                <w:sz w:val="20"/>
              </w:rPr>
            </w:pPr>
            <w:r>
              <w:rPr>
                <w:b/>
                <w:spacing w:val="-5"/>
                <w:sz w:val="20"/>
              </w:rPr>
              <w:t>5.0</w:t>
            </w:r>
          </w:p>
        </w:tc>
        <w:tc>
          <w:tcPr>
            <w:tcW w:w="1431" w:type="dxa"/>
            <w:tcBorders>
              <w:right w:val="single" w:sz="4" w:space="0" w:color="000000"/>
            </w:tcBorders>
          </w:tcPr>
          <w:p>
            <w:pPr>
              <w:pStyle w:val="TableParagraph"/>
              <w:spacing w:before="8"/>
              <w:ind w:right="100"/>
              <w:jc w:val="right"/>
              <w:rPr>
                <w:b/>
                <w:sz w:val="20"/>
              </w:rPr>
            </w:pPr>
            <w:r>
              <w:rPr>
                <w:b/>
                <w:spacing w:val="-5"/>
                <w:sz w:val="20"/>
              </w:rPr>
              <w:t>5.0</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pacing w:val="-2"/>
                <w:sz w:val="20"/>
              </w:rPr>
              <w:t>Women</w:t>
            </w:r>
          </w:p>
        </w:tc>
        <w:tc>
          <w:tcPr>
            <w:tcW w:w="1203" w:type="dxa"/>
          </w:tcPr>
          <w:p>
            <w:pPr>
              <w:pStyle w:val="TableParagraph"/>
              <w:spacing w:before="8"/>
              <w:ind w:right="121"/>
              <w:jc w:val="right"/>
              <w:rPr>
                <w:sz w:val="20"/>
              </w:rPr>
            </w:pPr>
            <w:r>
              <w:rPr>
                <w:spacing w:val="-5"/>
                <w:sz w:val="20"/>
              </w:rPr>
              <w:t>4.0</w:t>
            </w:r>
          </w:p>
        </w:tc>
        <w:tc>
          <w:tcPr>
            <w:tcW w:w="1324" w:type="dxa"/>
          </w:tcPr>
          <w:p>
            <w:pPr>
              <w:pStyle w:val="TableParagraph"/>
              <w:spacing w:before="8"/>
              <w:ind w:right="207"/>
              <w:jc w:val="right"/>
              <w:rPr>
                <w:sz w:val="20"/>
              </w:rPr>
            </w:pPr>
            <w:r>
              <w:rPr>
                <w:spacing w:val="-5"/>
                <w:sz w:val="20"/>
              </w:rPr>
              <w:t>4.0</w:t>
            </w:r>
          </w:p>
        </w:tc>
        <w:tc>
          <w:tcPr>
            <w:tcW w:w="1564" w:type="dxa"/>
          </w:tcPr>
          <w:p>
            <w:pPr>
              <w:pStyle w:val="TableParagraph"/>
              <w:spacing w:before="8"/>
              <w:ind w:right="191"/>
              <w:jc w:val="right"/>
              <w:rPr>
                <w:sz w:val="20"/>
              </w:rPr>
            </w:pPr>
            <w:r>
              <w:rPr>
                <w:spacing w:val="-5"/>
                <w:sz w:val="20"/>
              </w:rPr>
              <w:t>4.0</w:t>
            </w:r>
          </w:p>
        </w:tc>
        <w:tc>
          <w:tcPr>
            <w:tcW w:w="1431" w:type="dxa"/>
            <w:tcBorders>
              <w:right w:val="single" w:sz="4" w:space="0" w:color="000000"/>
            </w:tcBorders>
          </w:tcPr>
          <w:p>
            <w:pPr>
              <w:pStyle w:val="TableParagraph"/>
              <w:spacing w:before="8"/>
              <w:ind w:right="100"/>
              <w:jc w:val="right"/>
              <w:rPr>
                <w:sz w:val="20"/>
              </w:rPr>
            </w:pPr>
            <w:r>
              <w:rPr>
                <w:spacing w:val="-5"/>
                <w:sz w:val="20"/>
              </w:rPr>
              <w:t>4.0</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pacing w:val="-5"/>
                <w:sz w:val="20"/>
              </w:rPr>
              <w:t>Men</w:t>
            </w:r>
          </w:p>
        </w:tc>
        <w:tc>
          <w:tcPr>
            <w:tcW w:w="1203" w:type="dxa"/>
          </w:tcPr>
          <w:p>
            <w:pPr>
              <w:pStyle w:val="TableParagraph"/>
              <w:spacing w:before="10"/>
              <w:ind w:right="121"/>
              <w:jc w:val="right"/>
              <w:rPr>
                <w:sz w:val="20"/>
              </w:rPr>
            </w:pPr>
            <w:r>
              <w:rPr>
                <w:spacing w:val="-5"/>
                <w:sz w:val="20"/>
              </w:rPr>
              <w:t>1.0</w:t>
            </w:r>
          </w:p>
        </w:tc>
        <w:tc>
          <w:tcPr>
            <w:tcW w:w="1324" w:type="dxa"/>
          </w:tcPr>
          <w:p>
            <w:pPr>
              <w:pStyle w:val="TableParagraph"/>
              <w:spacing w:before="10"/>
              <w:ind w:right="207"/>
              <w:jc w:val="right"/>
              <w:rPr>
                <w:sz w:val="20"/>
              </w:rPr>
            </w:pPr>
            <w:r>
              <w:rPr>
                <w:spacing w:val="-5"/>
                <w:sz w:val="20"/>
              </w:rPr>
              <w:t>1.0</w:t>
            </w:r>
          </w:p>
        </w:tc>
        <w:tc>
          <w:tcPr>
            <w:tcW w:w="1564" w:type="dxa"/>
          </w:tcPr>
          <w:p>
            <w:pPr>
              <w:pStyle w:val="TableParagraph"/>
              <w:spacing w:before="10"/>
              <w:ind w:right="191"/>
              <w:jc w:val="right"/>
              <w:rPr>
                <w:sz w:val="20"/>
              </w:rPr>
            </w:pPr>
            <w:r>
              <w:rPr>
                <w:spacing w:val="-5"/>
                <w:sz w:val="20"/>
              </w:rPr>
              <w:t>1.0</w:t>
            </w:r>
          </w:p>
        </w:tc>
        <w:tc>
          <w:tcPr>
            <w:tcW w:w="1431" w:type="dxa"/>
            <w:tcBorders>
              <w:right w:val="single" w:sz="4" w:space="0" w:color="000000"/>
            </w:tcBorders>
          </w:tcPr>
          <w:p>
            <w:pPr>
              <w:pStyle w:val="TableParagraph"/>
              <w:spacing w:before="10"/>
              <w:ind w:right="100"/>
              <w:jc w:val="right"/>
              <w:rPr>
                <w:sz w:val="20"/>
              </w:rPr>
            </w:pPr>
            <w:r>
              <w:rPr>
                <w:spacing w:val="-5"/>
                <w:sz w:val="20"/>
              </w:rPr>
              <w:t>1.0</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z w:val="20"/>
              </w:rPr>
              <w:t>Vacant</w:t>
            </w:r>
            <w:r>
              <w:rPr>
                <w:spacing w:val="-7"/>
                <w:sz w:val="20"/>
              </w:rPr>
              <w:t> </w:t>
            </w:r>
            <w:r>
              <w:rPr>
                <w:spacing w:val="-2"/>
                <w:sz w:val="20"/>
              </w:rPr>
              <w:t>Position</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79" w:hRule="atLeast"/>
        </w:trPr>
        <w:tc>
          <w:tcPr>
            <w:tcW w:w="5026" w:type="dxa"/>
            <w:tcBorders>
              <w:left w:val="single" w:sz="4" w:space="0" w:color="000000"/>
            </w:tcBorders>
          </w:tcPr>
          <w:p>
            <w:pPr>
              <w:pStyle w:val="TableParagraph"/>
              <w:spacing w:line="226" w:lineRule="exact" w:before="34"/>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03" w:type="dxa"/>
          </w:tcPr>
          <w:p>
            <w:pPr>
              <w:pStyle w:val="TableParagraph"/>
              <w:spacing w:before="10"/>
              <w:ind w:right="121"/>
              <w:jc w:val="right"/>
              <w:rPr>
                <w:b/>
                <w:sz w:val="20"/>
              </w:rPr>
            </w:pPr>
            <w:r>
              <w:rPr>
                <w:b/>
                <w:spacing w:val="-5"/>
                <w:sz w:val="20"/>
              </w:rPr>
              <w:t>0.2</w:t>
            </w:r>
          </w:p>
        </w:tc>
        <w:tc>
          <w:tcPr>
            <w:tcW w:w="1324" w:type="dxa"/>
          </w:tcPr>
          <w:p>
            <w:pPr>
              <w:pStyle w:val="TableParagraph"/>
              <w:spacing w:before="10"/>
              <w:ind w:right="207"/>
              <w:jc w:val="right"/>
              <w:rPr>
                <w:b/>
                <w:sz w:val="20"/>
              </w:rPr>
            </w:pPr>
            <w:r>
              <w:rPr>
                <w:b/>
                <w:spacing w:val="-5"/>
                <w:sz w:val="20"/>
              </w:rPr>
              <w:t>0.2</w:t>
            </w:r>
          </w:p>
        </w:tc>
        <w:tc>
          <w:tcPr>
            <w:tcW w:w="1564" w:type="dxa"/>
          </w:tcPr>
          <w:p>
            <w:pPr>
              <w:pStyle w:val="TableParagraph"/>
              <w:spacing w:before="10"/>
              <w:ind w:right="191"/>
              <w:jc w:val="right"/>
              <w:rPr>
                <w:b/>
                <w:sz w:val="20"/>
              </w:rPr>
            </w:pPr>
            <w:r>
              <w:rPr>
                <w:b/>
                <w:spacing w:val="-5"/>
                <w:sz w:val="20"/>
              </w:rPr>
              <w:t>0.2</w:t>
            </w:r>
          </w:p>
        </w:tc>
        <w:tc>
          <w:tcPr>
            <w:tcW w:w="1431" w:type="dxa"/>
            <w:tcBorders>
              <w:right w:val="single" w:sz="4" w:space="0" w:color="000000"/>
            </w:tcBorders>
          </w:tcPr>
          <w:p>
            <w:pPr>
              <w:pStyle w:val="TableParagraph"/>
              <w:spacing w:before="10"/>
              <w:ind w:right="100"/>
              <w:jc w:val="right"/>
              <w:rPr>
                <w:b/>
                <w:sz w:val="20"/>
              </w:rPr>
            </w:pPr>
            <w:r>
              <w:rPr>
                <w:b/>
                <w:spacing w:val="-5"/>
                <w:sz w:val="20"/>
              </w:rPr>
              <w:t>0.2</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pacing w:val="-2"/>
                <w:sz w:val="20"/>
              </w:rPr>
              <w:t>Women</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pacing w:val="-5"/>
                <w:sz w:val="20"/>
              </w:rPr>
              <w:t>Men</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10"/>
              <w:ind w:right="122"/>
              <w:jc w:val="right"/>
              <w:rPr>
                <w:sz w:val="20"/>
              </w:rPr>
            </w:pPr>
            <w:r>
              <w:rPr>
                <w:w w:val="99"/>
                <w:sz w:val="20"/>
              </w:rPr>
              <w:t>-</w:t>
            </w:r>
          </w:p>
        </w:tc>
        <w:tc>
          <w:tcPr>
            <w:tcW w:w="1324" w:type="dxa"/>
          </w:tcPr>
          <w:p>
            <w:pPr>
              <w:pStyle w:val="TableParagraph"/>
              <w:spacing w:before="10"/>
              <w:ind w:right="207"/>
              <w:jc w:val="right"/>
              <w:rPr>
                <w:sz w:val="20"/>
              </w:rPr>
            </w:pPr>
            <w:r>
              <w:rPr>
                <w:w w:val="99"/>
                <w:sz w:val="20"/>
              </w:rPr>
              <w:t>-</w:t>
            </w:r>
          </w:p>
        </w:tc>
        <w:tc>
          <w:tcPr>
            <w:tcW w:w="1564" w:type="dxa"/>
          </w:tcPr>
          <w:p>
            <w:pPr>
              <w:pStyle w:val="TableParagraph"/>
              <w:spacing w:before="10"/>
              <w:ind w:right="192"/>
              <w:jc w:val="right"/>
              <w:rPr>
                <w:sz w:val="20"/>
              </w:rPr>
            </w:pPr>
            <w:r>
              <w:rPr>
                <w:w w:val="99"/>
                <w:sz w:val="20"/>
              </w:rPr>
              <w:t>-</w:t>
            </w:r>
          </w:p>
        </w:tc>
        <w:tc>
          <w:tcPr>
            <w:tcW w:w="1431" w:type="dxa"/>
            <w:tcBorders>
              <w:right w:val="single" w:sz="4" w:space="0" w:color="000000"/>
            </w:tcBorders>
          </w:tcPr>
          <w:p>
            <w:pPr>
              <w:pStyle w:val="TableParagraph"/>
              <w:spacing w:before="10"/>
              <w:ind w:right="99"/>
              <w:jc w:val="right"/>
              <w:rPr>
                <w:sz w:val="20"/>
              </w:rPr>
            </w:pPr>
            <w:r>
              <w:rPr>
                <w:w w:val="99"/>
                <w:sz w:val="20"/>
              </w:rPr>
              <w:t>-</w:t>
            </w:r>
          </w:p>
        </w:tc>
      </w:tr>
      <w:tr>
        <w:trPr>
          <w:trHeight w:val="265" w:hRule="atLeast"/>
        </w:trPr>
        <w:tc>
          <w:tcPr>
            <w:tcW w:w="5026" w:type="dxa"/>
            <w:tcBorders>
              <w:left w:val="single" w:sz="4" w:space="0" w:color="000000"/>
            </w:tcBorders>
          </w:tcPr>
          <w:p>
            <w:pPr>
              <w:pStyle w:val="TableParagraph"/>
              <w:spacing w:line="211" w:lineRule="exact" w:before="35"/>
              <w:ind w:left="107"/>
              <w:rPr>
                <w:sz w:val="20"/>
              </w:rPr>
            </w:pPr>
            <w:r>
              <w:rPr>
                <w:sz w:val="20"/>
              </w:rPr>
              <w:t>Vacant</w:t>
            </w:r>
            <w:r>
              <w:rPr>
                <w:spacing w:val="-7"/>
                <w:sz w:val="20"/>
              </w:rPr>
              <w:t> </w:t>
            </w:r>
            <w:r>
              <w:rPr>
                <w:spacing w:val="-2"/>
                <w:sz w:val="20"/>
              </w:rPr>
              <w:t>Position</w:t>
            </w:r>
          </w:p>
        </w:tc>
        <w:tc>
          <w:tcPr>
            <w:tcW w:w="1203" w:type="dxa"/>
            <w:tcBorders>
              <w:bottom w:val="single" w:sz="4" w:space="0" w:color="000000"/>
            </w:tcBorders>
          </w:tcPr>
          <w:p>
            <w:pPr>
              <w:pStyle w:val="TableParagraph"/>
              <w:spacing w:before="8"/>
              <w:ind w:right="122"/>
              <w:jc w:val="right"/>
              <w:rPr>
                <w:sz w:val="20"/>
              </w:rPr>
            </w:pPr>
            <w:r>
              <w:rPr>
                <w:w w:val="99"/>
                <w:sz w:val="20"/>
              </w:rPr>
              <w:t>-</w:t>
            </w:r>
          </w:p>
        </w:tc>
        <w:tc>
          <w:tcPr>
            <w:tcW w:w="1324" w:type="dxa"/>
            <w:tcBorders>
              <w:bottom w:val="single" w:sz="4" w:space="0" w:color="000000"/>
            </w:tcBorders>
          </w:tcPr>
          <w:p>
            <w:pPr>
              <w:pStyle w:val="TableParagraph"/>
              <w:spacing w:before="8"/>
              <w:ind w:right="207"/>
              <w:jc w:val="right"/>
              <w:rPr>
                <w:sz w:val="20"/>
              </w:rPr>
            </w:pPr>
            <w:r>
              <w:rPr>
                <w:w w:val="99"/>
                <w:sz w:val="20"/>
              </w:rPr>
              <w:t>-</w:t>
            </w:r>
          </w:p>
        </w:tc>
        <w:tc>
          <w:tcPr>
            <w:tcW w:w="1564" w:type="dxa"/>
            <w:tcBorders>
              <w:bottom w:val="single" w:sz="4" w:space="0" w:color="000000"/>
            </w:tcBorders>
          </w:tcPr>
          <w:p>
            <w:pPr>
              <w:pStyle w:val="TableParagraph"/>
              <w:spacing w:before="8"/>
              <w:ind w:right="192"/>
              <w:jc w:val="right"/>
              <w:rPr>
                <w:sz w:val="20"/>
              </w:rPr>
            </w:pPr>
            <w:r>
              <w:rPr>
                <w:w w:val="99"/>
                <w:sz w:val="20"/>
              </w:rPr>
              <w:t>-</w:t>
            </w:r>
          </w:p>
        </w:tc>
        <w:tc>
          <w:tcPr>
            <w:tcW w:w="1431" w:type="dxa"/>
            <w:tcBorders>
              <w:bottom w:val="single" w:sz="4" w:space="0" w:color="000000"/>
              <w:right w:val="single" w:sz="4" w:space="0" w:color="000000"/>
            </w:tcBorders>
          </w:tcPr>
          <w:p>
            <w:pPr>
              <w:pStyle w:val="TableParagraph"/>
              <w:spacing w:before="8"/>
              <w:ind w:right="99"/>
              <w:jc w:val="right"/>
              <w:rPr>
                <w:sz w:val="20"/>
              </w:rPr>
            </w:pPr>
            <w:r>
              <w:rPr>
                <w:w w:val="99"/>
                <w:sz w:val="20"/>
              </w:rPr>
              <w:t>-</w:t>
            </w:r>
          </w:p>
        </w:tc>
      </w:tr>
      <w:tr>
        <w:trPr>
          <w:trHeight w:val="280" w:hRule="atLeast"/>
        </w:trPr>
        <w:tc>
          <w:tcPr>
            <w:tcW w:w="5026" w:type="dxa"/>
            <w:tcBorders>
              <w:left w:val="single" w:sz="4" w:space="0" w:color="000000"/>
            </w:tcBorders>
          </w:tcPr>
          <w:p>
            <w:pPr>
              <w:pStyle w:val="TableParagraph"/>
              <w:spacing w:line="211" w:lineRule="exact" w:before="50"/>
              <w:ind w:left="107"/>
              <w:rPr>
                <w:b/>
                <w:sz w:val="20"/>
              </w:rPr>
            </w:pPr>
            <w:r>
              <w:rPr>
                <w:b/>
                <w:sz w:val="20"/>
              </w:rPr>
              <w:t>Total</w:t>
            </w:r>
            <w:r>
              <w:rPr>
                <w:b/>
                <w:spacing w:val="-8"/>
                <w:sz w:val="20"/>
              </w:rPr>
              <w:t> </w:t>
            </w:r>
            <w:r>
              <w:rPr>
                <w:b/>
                <w:sz w:val="20"/>
              </w:rPr>
              <w:t>Chief</w:t>
            </w:r>
            <w:r>
              <w:rPr>
                <w:b/>
                <w:spacing w:val="-8"/>
                <w:sz w:val="20"/>
              </w:rPr>
              <w:t> </w:t>
            </w:r>
            <w:r>
              <w:rPr>
                <w:b/>
                <w:sz w:val="20"/>
              </w:rPr>
              <w:t>Executive's</w:t>
            </w:r>
            <w:r>
              <w:rPr>
                <w:b/>
                <w:spacing w:val="-7"/>
                <w:sz w:val="20"/>
              </w:rPr>
              <w:t> </w:t>
            </w:r>
            <w:r>
              <w:rPr>
                <w:b/>
                <w:spacing w:val="-2"/>
                <w:sz w:val="20"/>
              </w:rPr>
              <w:t>office</w:t>
            </w:r>
          </w:p>
        </w:tc>
        <w:tc>
          <w:tcPr>
            <w:tcW w:w="1203" w:type="dxa"/>
            <w:tcBorders>
              <w:top w:val="single" w:sz="4" w:space="0" w:color="000000"/>
              <w:bottom w:val="single" w:sz="4" w:space="0" w:color="000000"/>
            </w:tcBorders>
          </w:tcPr>
          <w:p>
            <w:pPr>
              <w:pStyle w:val="TableParagraph"/>
              <w:spacing w:before="23"/>
              <w:ind w:right="121"/>
              <w:jc w:val="right"/>
              <w:rPr>
                <w:b/>
                <w:sz w:val="20"/>
              </w:rPr>
            </w:pPr>
            <w:r>
              <w:rPr>
                <w:b/>
                <w:spacing w:val="-5"/>
                <w:sz w:val="20"/>
              </w:rPr>
              <w:t>5.2</w:t>
            </w:r>
          </w:p>
        </w:tc>
        <w:tc>
          <w:tcPr>
            <w:tcW w:w="1324" w:type="dxa"/>
            <w:tcBorders>
              <w:top w:val="single" w:sz="4" w:space="0" w:color="000000"/>
              <w:bottom w:val="single" w:sz="4" w:space="0" w:color="000000"/>
            </w:tcBorders>
          </w:tcPr>
          <w:p>
            <w:pPr>
              <w:pStyle w:val="TableParagraph"/>
              <w:spacing w:before="23"/>
              <w:ind w:right="207"/>
              <w:jc w:val="right"/>
              <w:rPr>
                <w:b/>
                <w:sz w:val="20"/>
              </w:rPr>
            </w:pPr>
            <w:r>
              <w:rPr>
                <w:b/>
                <w:spacing w:val="-5"/>
                <w:sz w:val="20"/>
              </w:rPr>
              <w:t>5.2</w:t>
            </w:r>
          </w:p>
        </w:tc>
        <w:tc>
          <w:tcPr>
            <w:tcW w:w="1564" w:type="dxa"/>
            <w:tcBorders>
              <w:top w:val="single" w:sz="4" w:space="0" w:color="000000"/>
              <w:bottom w:val="single" w:sz="4" w:space="0" w:color="000000"/>
            </w:tcBorders>
          </w:tcPr>
          <w:p>
            <w:pPr>
              <w:pStyle w:val="TableParagraph"/>
              <w:spacing w:before="23"/>
              <w:ind w:right="191"/>
              <w:jc w:val="right"/>
              <w:rPr>
                <w:b/>
                <w:sz w:val="20"/>
              </w:rPr>
            </w:pPr>
            <w:r>
              <w:rPr>
                <w:b/>
                <w:spacing w:val="-5"/>
                <w:sz w:val="20"/>
              </w:rPr>
              <w:t>5.2</w:t>
            </w:r>
          </w:p>
        </w:tc>
        <w:tc>
          <w:tcPr>
            <w:tcW w:w="1431" w:type="dxa"/>
            <w:tcBorders>
              <w:top w:val="single" w:sz="4" w:space="0" w:color="000000"/>
              <w:bottom w:val="single" w:sz="4" w:space="0" w:color="000000"/>
              <w:right w:val="single" w:sz="4" w:space="0" w:color="000000"/>
            </w:tcBorders>
          </w:tcPr>
          <w:p>
            <w:pPr>
              <w:pStyle w:val="TableParagraph"/>
              <w:spacing w:before="23"/>
              <w:ind w:right="100"/>
              <w:jc w:val="right"/>
              <w:rPr>
                <w:b/>
                <w:sz w:val="20"/>
              </w:rPr>
            </w:pPr>
            <w:r>
              <w:rPr>
                <w:b/>
                <w:spacing w:val="-5"/>
                <w:sz w:val="20"/>
              </w:rPr>
              <w:t>5.2</w:t>
            </w:r>
          </w:p>
        </w:tc>
      </w:tr>
      <w:tr>
        <w:trPr>
          <w:trHeight w:val="294" w:hRule="atLeast"/>
        </w:trPr>
        <w:tc>
          <w:tcPr>
            <w:tcW w:w="5026" w:type="dxa"/>
            <w:tcBorders>
              <w:left w:val="single" w:sz="4" w:space="0" w:color="000000"/>
            </w:tcBorders>
          </w:tcPr>
          <w:p>
            <w:pPr>
              <w:pStyle w:val="TableParagraph"/>
              <w:spacing w:line="227" w:lineRule="exact" w:before="47"/>
              <w:ind w:left="107"/>
              <w:rPr>
                <w:b/>
                <w:sz w:val="20"/>
              </w:rPr>
            </w:pPr>
            <w:r>
              <w:rPr>
                <w:b/>
                <w:sz w:val="20"/>
              </w:rPr>
              <w:t>Chief</w:t>
            </w:r>
            <w:r>
              <w:rPr>
                <w:b/>
                <w:spacing w:val="-7"/>
                <w:sz w:val="20"/>
              </w:rPr>
              <w:t> </w:t>
            </w:r>
            <w:r>
              <w:rPr>
                <w:b/>
                <w:sz w:val="20"/>
              </w:rPr>
              <w:t>Financial</w:t>
            </w:r>
            <w:r>
              <w:rPr>
                <w:b/>
                <w:spacing w:val="-7"/>
                <w:sz w:val="20"/>
              </w:rPr>
              <w:t> </w:t>
            </w:r>
            <w:r>
              <w:rPr>
                <w:b/>
                <w:spacing w:val="-2"/>
                <w:sz w:val="20"/>
              </w:rPr>
              <w:t>Office</w:t>
            </w:r>
          </w:p>
        </w:tc>
        <w:tc>
          <w:tcPr>
            <w:tcW w:w="1203" w:type="dxa"/>
            <w:tcBorders>
              <w:top w:val="single" w:sz="4" w:space="0" w:color="000000"/>
            </w:tcBorders>
          </w:tcPr>
          <w:p>
            <w:pPr>
              <w:pStyle w:val="TableParagraph"/>
              <w:rPr>
                <w:rFonts w:ascii="Times New Roman"/>
                <w:sz w:val="18"/>
              </w:rPr>
            </w:pPr>
          </w:p>
        </w:tc>
        <w:tc>
          <w:tcPr>
            <w:tcW w:w="1324" w:type="dxa"/>
            <w:tcBorders>
              <w:top w:val="single" w:sz="4" w:space="0" w:color="000000"/>
            </w:tcBorders>
          </w:tcPr>
          <w:p>
            <w:pPr>
              <w:pStyle w:val="TableParagraph"/>
              <w:rPr>
                <w:rFonts w:ascii="Times New Roman"/>
                <w:sz w:val="18"/>
              </w:rPr>
            </w:pPr>
          </w:p>
        </w:tc>
        <w:tc>
          <w:tcPr>
            <w:tcW w:w="1564" w:type="dxa"/>
            <w:tcBorders>
              <w:top w:val="single" w:sz="4" w:space="0" w:color="000000"/>
            </w:tcBorders>
          </w:tcPr>
          <w:p>
            <w:pPr>
              <w:pStyle w:val="TableParagraph"/>
              <w:rPr>
                <w:rFonts w:ascii="Times New Roman"/>
                <w:sz w:val="18"/>
              </w:rPr>
            </w:pPr>
          </w:p>
        </w:tc>
        <w:tc>
          <w:tcPr>
            <w:tcW w:w="1431" w:type="dxa"/>
            <w:tcBorders>
              <w:top w:val="single" w:sz="4" w:space="0" w:color="000000"/>
              <w:right w:val="single" w:sz="4" w:space="0" w:color="000000"/>
            </w:tcBorders>
          </w:tcPr>
          <w:p>
            <w:pPr>
              <w:pStyle w:val="TableParagraph"/>
              <w:rPr>
                <w:rFonts w:ascii="Times New Roman"/>
                <w:sz w:val="18"/>
              </w:rPr>
            </w:pPr>
          </w:p>
        </w:tc>
      </w:tr>
      <w:tr>
        <w:trPr>
          <w:trHeight w:val="279" w:hRule="atLeast"/>
        </w:trPr>
        <w:tc>
          <w:tcPr>
            <w:tcW w:w="5026" w:type="dxa"/>
            <w:tcBorders>
              <w:left w:val="single" w:sz="4" w:space="0" w:color="000000"/>
            </w:tcBorders>
          </w:tcPr>
          <w:p>
            <w:pPr>
              <w:pStyle w:val="TableParagraph"/>
              <w:spacing w:line="226" w:lineRule="exact" w:before="34"/>
              <w:ind w:left="107"/>
              <w:rPr>
                <w:b/>
                <w:sz w:val="20"/>
              </w:rPr>
            </w:pPr>
            <w:r>
              <w:rPr>
                <w:b/>
                <w:sz w:val="20"/>
              </w:rPr>
              <w:t>Permanent</w:t>
            </w:r>
            <w:r>
              <w:rPr>
                <w:b/>
                <w:spacing w:val="-9"/>
                <w:sz w:val="20"/>
              </w:rPr>
              <w:t> </w:t>
            </w:r>
            <w:r>
              <w:rPr>
                <w:b/>
                <w:sz w:val="20"/>
              </w:rPr>
              <w:t>full</w:t>
            </w:r>
            <w:r>
              <w:rPr>
                <w:b/>
                <w:spacing w:val="-8"/>
                <w:sz w:val="20"/>
              </w:rPr>
              <w:t> </w:t>
            </w:r>
            <w:r>
              <w:rPr>
                <w:b/>
                <w:spacing w:val="-4"/>
                <w:sz w:val="20"/>
              </w:rPr>
              <w:t>time</w:t>
            </w:r>
          </w:p>
        </w:tc>
        <w:tc>
          <w:tcPr>
            <w:tcW w:w="1203" w:type="dxa"/>
          </w:tcPr>
          <w:p>
            <w:pPr>
              <w:pStyle w:val="TableParagraph"/>
              <w:spacing w:before="10"/>
              <w:ind w:right="121"/>
              <w:jc w:val="right"/>
              <w:rPr>
                <w:b/>
                <w:sz w:val="20"/>
              </w:rPr>
            </w:pPr>
            <w:r>
              <w:rPr>
                <w:b/>
                <w:spacing w:val="-4"/>
                <w:sz w:val="20"/>
              </w:rPr>
              <w:t>64.0</w:t>
            </w:r>
          </w:p>
        </w:tc>
        <w:tc>
          <w:tcPr>
            <w:tcW w:w="1324" w:type="dxa"/>
          </w:tcPr>
          <w:p>
            <w:pPr>
              <w:pStyle w:val="TableParagraph"/>
              <w:spacing w:before="10"/>
              <w:ind w:right="206"/>
              <w:jc w:val="right"/>
              <w:rPr>
                <w:b/>
                <w:sz w:val="20"/>
              </w:rPr>
            </w:pPr>
            <w:r>
              <w:rPr>
                <w:b/>
                <w:spacing w:val="-4"/>
                <w:sz w:val="20"/>
              </w:rPr>
              <w:t>64.0</w:t>
            </w:r>
          </w:p>
        </w:tc>
        <w:tc>
          <w:tcPr>
            <w:tcW w:w="1564" w:type="dxa"/>
          </w:tcPr>
          <w:p>
            <w:pPr>
              <w:pStyle w:val="TableParagraph"/>
              <w:spacing w:before="10"/>
              <w:ind w:right="191"/>
              <w:jc w:val="right"/>
              <w:rPr>
                <w:b/>
                <w:sz w:val="20"/>
              </w:rPr>
            </w:pPr>
            <w:r>
              <w:rPr>
                <w:b/>
                <w:spacing w:val="-4"/>
                <w:sz w:val="20"/>
              </w:rPr>
              <w:t>64.0</w:t>
            </w:r>
          </w:p>
        </w:tc>
        <w:tc>
          <w:tcPr>
            <w:tcW w:w="1431" w:type="dxa"/>
            <w:tcBorders>
              <w:right w:val="single" w:sz="4" w:space="0" w:color="000000"/>
            </w:tcBorders>
          </w:tcPr>
          <w:p>
            <w:pPr>
              <w:pStyle w:val="TableParagraph"/>
              <w:spacing w:before="10"/>
              <w:ind w:right="97"/>
              <w:jc w:val="right"/>
              <w:rPr>
                <w:b/>
                <w:sz w:val="20"/>
              </w:rPr>
            </w:pPr>
            <w:r>
              <w:rPr>
                <w:b/>
                <w:spacing w:val="-4"/>
                <w:sz w:val="20"/>
              </w:rPr>
              <w:t>64.0</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pacing w:val="-2"/>
                <w:sz w:val="20"/>
              </w:rPr>
              <w:t>Women</w:t>
            </w:r>
          </w:p>
        </w:tc>
        <w:tc>
          <w:tcPr>
            <w:tcW w:w="1203" w:type="dxa"/>
          </w:tcPr>
          <w:p>
            <w:pPr>
              <w:pStyle w:val="TableParagraph"/>
              <w:spacing w:before="8"/>
              <w:ind w:right="121"/>
              <w:jc w:val="right"/>
              <w:rPr>
                <w:sz w:val="20"/>
              </w:rPr>
            </w:pPr>
            <w:r>
              <w:rPr>
                <w:spacing w:val="-4"/>
                <w:sz w:val="20"/>
              </w:rPr>
              <w:t>36.1</w:t>
            </w:r>
          </w:p>
        </w:tc>
        <w:tc>
          <w:tcPr>
            <w:tcW w:w="1324" w:type="dxa"/>
          </w:tcPr>
          <w:p>
            <w:pPr>
              <w:pStyle w:val="TableParagraph"/>
              <w:spacing w:before="8"/>
              <w:ind w:right="206"/>
              <w:jc w:val="right"/>
              <w:rPr>
                <w:sz w:val="20"/>
              </w:rPr>
            </w:pPr>
            <w:r>
              <w:rPr>
                <w:spacing w:val="-4"/>
                <w:sz w:val="20"/>
              </w:rPr>
              <w:t>36.1</w:t>
            </w:r>
          </w:p>
        </w:tc>
        <w:tc>
          <w:tcPr>
            <w:tcW w:w="1564" w:type="dxa"/>
          </w:tcPr>
          <w:p>
            <w:pPr>
              <w:pStyle w:val="TableParagraph"/>
              <w:spacing w:before="8"/>
              <w:ind w:right="191"/>
              <w:jc w:val="right"/>
              <w:rPr>
                <w:sz w:val="20"/>
              </w:rPr>
            </w:pPr>
            <w:r>
              <w:rPr>
                <w:spacing w:val="-4"/>
                <w:sz w:val="20"/>
              </w:rPr>
              <w:t>36.1</w:t>
            </w:r>
          </w:p>
        </w:tc>
        <w:tc>
          <w:tcPr>
            <w:tcW w:w="1431" w:type="dxa"/>
            <w:tcBorders>
              <w:right w:val="single" w:sz="4" w:space="0" w:color="000000"/>
            </w:tcBorders>
          </w:tcPr>
          <w:p>
            <w:pPr>
              <w:pStyle w:val="TableParagraph"/>
              <w:spacing w:before="8"/>
              <w:ind w:right="97"/>
              <w:jc w:val="right"/>
              <w:rPr>
                <w:sz w:val="20"/>
              </w:rPr>
            </w:pPr>
            <w:r>
              <w:rPr>
                <w:spacing w:val="-4"/>
                <w:sz w:val="20"/>
              </w:rPr>
              <w:t>36.1</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pacing w:val="-5"/>
                <w:sz w:val="20"/>
              </w:rPr>
              <w:t>Men</w:t>
            </w:r>
          </w:p>
        </w:tc>
        <w:tc>
          <w:tcPr>
            <w:tcW w:w="1203" w:type="dxa"/>
          </w:tcPr>
          <w:p>
            <w:pPr>
              <w:pStyle w:val="TableParagraph"/>
              <w:spacing w:before="8"/>
              <w:ind w:right="121"/>
              <w:jc w:val="right"/>
              <w:rPr>
                <w:sz w:val="20"/>
              </w:rPr>
            </w:pPr>
            <w:r>
              <w:rPr>
                <w:spacing w:val="-4"/>
                <w:sz w:val="20"/>
              </w:rPr>
              <w:t>24.8</w:t>
            </w:r>
          </w:p>
        </w:tc>
        <w:tc>
          <w:tcPr>
            <w:tcW w:w="1324" w:type="dxa"/>
          </w:tcPr>
          <w:p>
            <w:pPr>
              <w:pStyle w:val="TableParagraph"/>
              <w:spacing w:before="8"/>
              <w:ind w:right="206"/>
              <w:jc w:val="right"/>
              <w:rPr>
                <w:sz w:val="20"/>
              </w:rPr>
            </w:pPr>
            <w:r>
              <w:rPr>
                <w:spacing w:val="-4"/>
                <w:sz w:val="20"/>
              </w:rPr>
              <w:t>24.8</w:t>
            </w:r>
          </w:p>
        </w:tc>
        <w:tc>
          <w:tcPr>
            <w:tcW w:w="1564" w:type="dxa"/>
          </w:tcPr>
          <w:p>
            <w:pPr>
              <w:pStyle w:val="TableParagraph"/>
              <w:spacing w:before="8"/>
              <w:ind w:right="191"/>
              <w:jc w:val="right"/>
              <w:rPr>
                <w:sz w:val="20"/>
              </w:rPr>
            </w:pPr>
            <w:r>
              <w:rPr>
                <w:spacing w:val="-4"/>
                <w:sz w:val="20"/>
              </w:rPr>
              <w:t>24.8</w:t>
            </w:r>
          </w:p>
        </w:tc>
        <w:tc>
          <w:tcPr>
            <w:tcW w:w="1431" w:type="dxa"/>
            <w:tcBorders>
              <w:right w:val="single" w:sz="4" w:space="0" w:color="000000"/>
            </w:tcBorders>
          </w:tcPr>
          <w:p>
            <w:pPr>
              <w:pStyle w:val="TableParagraph"/>
              <w:spacing w:before="8"/>
              <w:ind w:right="97"/>
              <w:jc w:val="right"/>
              <w:rPr>
                <w:sz w:val="20"/>
              </w:rPr>
            </w:pPr>
            <w:r>
              <w:rPr>
                <w:spacing w:val="-4"/>
                <w:sz w:val="20"/>
              </w:rPr>
              <w:t>24.8</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10"/>
              <w:ind w:right="122"/>
              <w:jc w:val="right"/>
              <w:rPr>
                <w:sz w:val="20"/>
              </w:rPr>
            </w:pPr>
            <w:r>
              <w:rPr>
                <w:w w:val="99"/>
                <w:sz w:val="20"/>
              </w:rPr>
              <w:t>-</w:t>
            </w:r>
          </w:p>
        </w:tc>
        <w:tc>
          <w:tcPr>
            <w:tcW w:w="1324" w:type="dxa"/>
          </w:tcPr>
          <w:p>
            <w:pPr>
              <w:pStyle w:val="TableParagraph"/>
              <w:spacing w:before="10"/>
              <w:ind w:right="207"/>
              <w:jc w:val="right"/>
              <w:rPr>
                <w:sz w:val="20"/>
              </w:rPr>
            </w:pPr>
            <w:r>
              <w:rPr>
                <w:w w:val="99"/>
                <w:sz w:val="20"/>
              </w:rPr>
              <w:t>-</w:t>
            </w:r>
          </w:p>
        </w:tc>
        <w:tc>
          <w:tcPr>
            <w:tcW w:w="1564" w:type="dxa"/>
          </w:tcPr>
          <w:p>
            <w:pPr>
              <w:pStyle w:val="TableParagraph"/>
              <w:spacing w:before="10"/>
              <w:ind w:right="192"/>
              <w:jc w:val="right"/>
              <w:rPr>
                <w:sz w:val="20"/>
              </w:rPr>
            </w:pPr>
            <w:r>
              <w:rPr>
                <w:w w:val="99"/>
                <w:sz w:val="20"/>
              </w:rPr>
              <w:t>-</w:t>
            </w:r>
          </w:p>
        </w:tc>
        <w:tc>
          <w:tcPr>
            <w:tcW w:w="1431" w:type="dxa"/>
            <w:tcBorders>
              <w:right w:val="single" w:sz="4" w:space="0" w:color="000000"/>
            </w:tcBorders>
          </w:tcPr>
          <w:p>
            <w:pPr>
              <w:pStyle w:val="TableParagraph"/>
              <w:spacing w:before="10"/>
              <w:ind w:right="99"/>
              <w:jc w:val="right"/>
              <w:rPr>
                <w:sz w:val="20"/>
              </w:rPr>
            </w:pPr>
            <w:r>
              <w:rPr>
                <w:w w:val="99"/>
                <w:sz w:val="20"/>
              </w:rPr>
              <w:t>-</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z w:val="20"/>
              </w:rPr>
              <w:t>Vacant</w:t>
            </w:r>
            <w:r>
              <w:rPr>
                <w:spacing w:val="-7"/>
                <w:sz w:val="20"/>
              </w:rPr>
              <w:t> </w:t>
            </w:r>
            <w:r>
              <w:rPr>
                <w:spacing w:val="-2"/>
                <w:sz w:val="20"/>
              </w:rPr>
              <w:t>Position</w:t>
            </w:r>
          </w:p>
        </w:tc>
        <w:tc>
          <w:tcPr>
            <w:tcW w:w="1203" w:type="dxa"/>
          </w:tcPr>
          <w:p>
            <w:pPr>
              <w:pStyle w:val="TableParagraph"/>
              <w:spacing w:before="8"/>
              <w:ind w:right="121"/>
              <w:jc w:val="right"/>
              <w:rPr>
                <w:sz w:val="20"/>
              </w:rPr>
            </w:pPr>
            <w:r>
              <w:rPr>
                <w:spacing w:val="-5"/>
                <w:sz w:val="20"/>
              </w:rPr>
              <w:t>3.1</w:t>
            </w:r>
          </w:p>
        </w:tc>
        <w:tc>
          <w:tcPr>
            <w:tcW w:w="1324" w:type="dxa"/>
          </w:tcPr>
          <w:p>
            <w:pPr>
              <w:pStyle w:val="TableParagraph"/>
              <w:spacing w:before="8"/>
              <w:ind w:right="207"/>
              <w:jc w:val="right"/>
              <w:rPr>
                <w:sz w:val="20"/>
              </w:rPr>
            </w:pPr>
            <w:r>
              <w:rPr>
                <w:spacing w:val="-5"/>
                <w:sz w:val="20"/>
              </w:rPr>
              <w:t>3.1</w:t>
            </w:r>
          </w:p>
        </w:tc>
        <w:tc>
          <w:tcPr>
            <w:tcW w:w="1564" w:type="dxa"/>
          </w:tcPr>
          <w:p>
            <w:pPr>
              <w:pStyle w:val="TableParagraph"/>
              <w:spacing w:before="8"/>
              <w:ind w:right="191"/>
              <w:jc w:val="right"/>
              <w:rPr>
                <w:sz w:val="20"/>
              </w:rPr>
            </w:pPr>
            <w:r>
              <w:rPr>
                <w:spacing w:val="-5"/>
                <w:sz w:val="20"/>
              </w:rPr>
              <w:t>3.1</w:t>
            </w:r>
          </w:p>
        </w:tc>
        <w:tc>
          <w:tcPr>
            <w:tcW w:w="1431" w:type="dxa"/>
            <w:tcBorders>
              <w:right w:val="single" w:sz="4" w:space="0" w:color="000000"/>
            </w:tcBorders>
          </w:tcPr>
          <w:p>
            <w:pPr>
              <w:pStyle w:val="TableParagraph"/>
              <w:spacing w:before="8"/>
              <w:ind w:right="100"/>
              <w:jc w:val="right"/>
              <w:rPr>
                <w:sz w:val="20"/>
              </w:rPr>
            </w:pPr>
            <w:r>
              <w:rPr>
                <w:spacing w:val="-5"/>
                <w:sz w:val="20"/>
              </w:rPr>
              <w:t>3.1</w:t>
            </w:r>
          </w:p>
        </w:tc>
      </w:tr>
      <w:tr>
        <w:trPr>
          <w:trHeight w:val="279" w:hRule="atLeast"/>
        </w:trPr>
        <w:tc>
          <w:tcPr>
            <w:tcW w:w="5026" w:type="dxa"/>
            <w:tcBorders>
              <w:left w:val="single" w:sz="4" w:space="0" w:color="000000"/>
            </w:tcBorders>
          </w:tcPr>
          <w:p>
            <w:pPr>
              <w:pStyle w:val="TableParagraph"/>
              <w:spacing w:line="227" w:lineRule="exact" w:before="32"/>
              <w:ind w:left="107"/>
              <w:rPr>
                <w:b/>
                <w:sz w:val="20"/>
              </w:rPr>
            </w:pPr>
            <w:r>
              <w:rPr>
                <w:b/>
                <w:sz w:val="20"/>
              </w:rPr>
              <w:t>Permanent</w:t>
            </w:r>
            <w:r>
              <w:rPr>
                <w:b/>
                <w:spacing w:val="-9"/>
                <w:sz w:val="20"/>
              </w:rPr>
              <w:t> </w:t>
            </w:r>
            <w:r>
              <w:rPr>
                <w:b/>
                <w:sz w:val="20"/>
              </w:rPr>
              <w:t>part</w:t>
            </w:r>
            <w:r>
              <w:rPr>
                <w:b/>
                <w:spacing w:val="-7"/>
                <w:sz w:val="20"/>
              </w:rPr>
              <w:t> </w:t>
            </w:r>
            <w:r>
              <w:rPr>
                <w:b/>
                <w:spacing w:val="-4"/>
                <w:sz w:val="20"/>
              </w:rPr>
              <w:t>time</w:t>
            </w:r>
          </w:p>
        </w:tc>
        <w:tc>
          <w:tcPr>
            <w:tcW w:w="1203" w:type="dxa"/>
          </w:tcPr>
          <w:p>
            <w:pPr>
              <w:pStyle w:val="TableParagraph"/>
              <w:spacing w:before="8"/>
              <w:ind w:right="121"/>
              <w:jc w:val="right"/>
              <w:rPr>
                <w:b/>
                <w:sz w:val="20"/>
              </w:rPr>
            </w:pPr>
            <w:r>
              <w:rPr>
                <w:b/>
                <w:spacing w:val="-5"/>
                <w:sz w:val="20"/>
              </w:rPr>
              <w:t>9.8</w:t>
            </w:r>
          </w:p>
        </w:tc>
        <w:tc>
          <w:tcPr>
            <w:tcW w:w="1324" w:type="dxa"/>
          </w:tcPr>
          <w:p>
            <w:pPr>
              <w:pStyle w:val="TableParagraph"/>
              <w:spacing w:before="8"/>
              <w:ind w:right="207"/>
              <w:jc w:val="right"/>
              <w:rPr>
                <w:b/>
                <w:sz w:val="20"/>
              </w:rPr>
            </w:pPr>
            <w:r>
              <w:rPr>
                <w:b/>
                <w:spacing w:val="-5"/>
                <w:sz w:val="20"/>
              </w:rPr>
              <w:t>9.8</w:t>
            </w:r>
          </w:p>
        </w:tc>
        <w:tc>
          <w:tcPr>
            <w:tcW w:w="1564" w:type="dxa"/>
          </w:tcPr>
          <w:p>
            <w:pPr>
              <w:pStyle w:val="TableParagraph"/>
              <w:spacing w:before="8"/>
              <w:ind w:right="191"/>
              <w:jc w:val="right"/>
              <w:rPr>
                <w:b/>
                <w:sz w:val="20"/>
              </w:rPr>
            </w:pPr>
            <w:r>
              <w:rPr>
                <w:b/>
                <w:spacing w:val="-5"/>
                <w:sz w:val="20"/>
              </w:rPr>
              <w:t>9.8</w:t>
            </w:r>
          </w:p>
        </w:tc>
        <w:tc>
          <w:tcPr>
            <w:tcW w:w="1431" w:type="dxa"/>
            <w:tcBorders>
              <w:right w:val="single" w:sz="4" w:space="0" w:color="000000"/>
            </w:tcBorders>
          </w:tcPr>
          <w:p>
            <w:pPr>
              <w:pStyle w:val="TableParagraph"/>
              <w:spacing w:before="8"/>
              <w:ind w:right="100"/>
              <w:jc w:val="right"/>
              <w:rPr>
                <w:b/>
                <w:sz w:val="20"/>
              </w:rPr>
            </w:pPr>
            <w:r>
              <w:rPr>
                <w:b/>
                <w:spacing w:val="-5"/>
                <w:sz w:val="20"/>
              </w:rPr>
              <w:t>9.8</w:t>
            </w:r>
          </w:p>
        </w:tc>
      </w:tr>
      <w:tr>
        <w:trPr>
          <w:trHeight w:val="279" w:hRule="atLeast"/>
        </w:trPr>
        <w:tc>
          <w:tcPr>
            <w:tcW w:w="5026" w:type="dxa"/>
            <w:tcBorders>
              <w:left w:val="single" w:sz="4" w:space="0" w:color="000000"/>
            </w:tcBorders>
          </w:tcPr>
          <w:p>
            <w:pPr>
              <w:pStyle w:val="TableParagraph"/>
              <w:spacing w:line="226" w:lineRule="exact" w:before="34"/>
              <w:ind w:left="107"/>
              <w:rPr>
                <w:sz w:val="20"/>
              </w:rPr>
            </w:pPr>
            <w:r>
              <w:rPr>
                <w:spacing w:val="-2"/>
                <w:sz w:val="20"/>
              </w:rPr>
              <w:t>Women</w:t>
            </w:r>
          </w:p>
        </w:tc>
        <w:tc>
          <w:tcPr>
            <w:tcW w:w="1203" w:type="dxa"/>
          </w:tcPr>
          <w:p>
            <w:pPr>
              <w:pStyle w:val="TableParagraph"/>
              <w:spacing w:before="10"/>
              <w:ind w:right="121"/>
              <w:jc w:val="right"/>
              <w:rPr>
                <w:sz w:val="20"/>
              </w:rPr>
            </w:pPr>
            <w:r>
              <w:rPr>
                <w:spacing w:val="-5"/>
                <w:sz w:val="20"/>
              </w:rPr>
              <w:t>9.1</w:t>
            </w:r>
          </w:p>
        </w:tc>
        <w:tc>
          <w:tcPr>
            <w:tcW w:w="1324" w:type="dxa"/>
          </w:tcPr>
          <w:p>
            <w:pPr>
              <w:pStyle w:val="TableParagraph"/>
              <w:spacing w:before="10"/>
              <w:ind w:right="207"/>
              <w:jc w:val="right"/>
              <w:rPr>
                <w:sz w:val="20"/>
              </w:rPr>
            </w:pPr>
            <w:r>
              <w:rPr>
                <w:spacing w:val="-5"/>
                <w:sz w:val="20"/>
              </w:rPr>
              <w:t>9.1</w:t>
            </w:r>
          </w:p>
        </w:tc>
        <w:tc>
          <w:tcPr>
            <w:tcW w:w="1564" w:type="dxa"/>
          </w:tcPr>
          <w:p>
            <w:pPr>
              <w:pStyle w:val="TableParagraph"/>
              <w:spacing w:before="10"/>
              <w:ind w:right="191"/>
              <w:jc w:val="right"/>
              <w:rPr>
                <w:sz w:val="20"/>
              </w:rPr>
            </w:pPr>
            <w:r>
              <w:rPr>
                <w:spacing w:val="-5"/>
                <w:sz w:val="20"/>
              </w:rPr>
              <w:t>9.1</w:t>
            </w:r>
          </w:p>
        </w:tc>
        <w:tc>
          <w:tcPr>
            <w:tcW w:w="1431" w:type="dxa"/>
            <w:tcBorders>
              <w:right w:val="single" w:sz="4" w:space="0" w:color="000000"/>
            </w:tcBorders>
          </w:tcPr>
          <w:p>
            <w:pPr>
              <w:pStyle w:val="TableParagraph"/>
              <w:spacing w:before="10"/>
              <w:ind w:right="100"/>
              <w:jc w:val="right"/>
              <w:rPr>
                <w:sz w:val="20"/>
              </w:rPr>
            </w:pPr>
            <w:r>
              <w:rPr>
                <w:spacing w:val="-5"/>
                <w:sz w:val="20"/>
              </w:rPr>
              <w:t>9.1</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pacing w:val="-5"/>
                <w:sz w:val="20"/>
              </w:rPr>
              <w:t>Men</w:t>
            </w:r>
          </w:p>
        </w:tc>
        <w:tc>
          <w:tcPr>
            <w:tcW w:w="1203" w:type="dxa"/>
          </w:tcPr>
          <w:p>
            <w:pPr>
              <w:pStyle w:val="TableParagraph"/>
              <w:spacing w:before="8"/>
              <w:ind w:right="121"/>
              <w:jc w:val="right"/>
              <w:rPr>
                <w:sz w:val="20"/>
              </w:rPr>
            </w:pPr>
            <w:r>
              <w:rPr>
                <w:spacing w:val="-5"/>
                <w:sz w:val="20"/>
              </w:rPr>
              <w:t>0.7</w:t>
            </w:r>
          </w:p>
        </w:tc>
        <w:tc>
          <w:tcPr>
            <w:tcW w:w="1324" w:type="dxa"/>
          </w:tcPr>
          <w:p>
            <w:pPr>
              <w:pStyle w:val="TableParagraph"/>
              <w:spacing w:before="8"/>
              <w:ind w:right="207"/>
              <w:jc w:val="right"/>
              <w:rPr>
                <w:sz w:val="20"/>
              </w:rPr>
            </w:pPr>
            <w:r>
              <w:rPr>
                <w:spacing w:val="-5"/>
                <w:sz w:val="20"/>
              </w:rPr>
              <w:t>0.7</w:t>
            </w:r>
          </w:p>
        </w:tc>
        <w:tc>
          <w:tcPr>
            <w:tcW w:w="1564" w:type="dxa"/>
          </w:tcPr>
          <w:p>
            <w:pPr>
              <w:pStyle w:val="TableParagraph"/>
              <w:spacing w:before="8"/>
              <w:ind w:right="191"/>
              <w:jc w:val="right"/>
              <w:rPr>
                <w:sz w:val="20"/>
              </w:rPr>
            </w:pPr>
            <w:r>
              <w:rPr>
                <w:spacing w:val="-5"/>
                <w:sz w:val="20"/>
              </w:rPr>
              <w:t>0.7</w:t>
            </w:r>
          </w:p>
        </w:tc>
        <w:tc>
          <w:tcPr>
            <w:tcW w:w="1431" w:type="dxa"/>
            <w:tcBorders>
              <w:right w:val="single" w:sz="4" w:space="0" w:color="000000"/>
            </w:tcBorders>
          </w:tcPr>
          <w:p>
            <w:pPr>
              <w:pStyle w:val="TableParagraph"/>
              <w:spacing w:before="8"/>
              <w:ind w:right="100"/>
              <w:jc w:val="right"/>
              <w:rPr>
                <w:sz w:val="20"/>
              </w:rPr>
            </w:pPr>
            <w:r>
              <w:rPr>
                <w:spacing w:val="-5"/>
                <w:sz w:val="20"/>
              </w:rPr>
              <w:t>0.7</w:t>
            </w:r>
          </w:p>
        </w:tc>
      </w:tr>
      <w:tr>
        <w:trPr>
          <w:trHeight w:val="279" w:hRule="atLeast"/>
        </w:trPr>
        <w:tc>
          <w:tcPr>
            <w:tcW w:w="5026" w:type="dxa"/>
            <w:tcBorders>
              <w:left w:val="single" w:sz="4" w:space="0" w:color="000000"/>
            </w:tcBorders>
          </w:tcPr>
          <w:p>
            <w:pPr>
              <w:pStyle w:val="TableParagraph"/>
              <w:spacing w:line="227" w:lineRule="exact" w:before="32"/>
              <w:ind w:left="107"/>
              <w:rPr>
                <w:sz w:val="20"/>
              </w:rPr>
            </w:pPr>
            <w:r>
              <w:rPr>
                <w:sz w:val="20"/>
              </w:rPr>
              <w:t>Persons</w:t>
            </w:r>
            <w:r>
              <w:rPr>
                <w:spacing w:val="-8"/>
                <w:sz w:val="20"/>
              </w:rPr>
              <w:t> </w:t>
            </w:r>
            <w:r>
              <w:rPr>
                <w:sz w:val="20"/>
              </w:rPr>
              <w:t>of</w:t>
            </w:r>
            <w:r>
              <w:rPr>
                <w:spacing w:val="-7"/>
                <w:sz w:val="20"/>
              </w:rPr>
              <w:t> </w:t>
            </w:r>
            <w:r>
              <w:rPr>
                <w:sz w:val="20"/>
              </w:rPr>
              <w:t>self-described</w:t>
            </w:r>
            <w:r>
              <w:rPr>
                <w:spacing w:val="-6"/>
                <w:sz w:val="20"/>
              </w:rPr>
              <w:t> </w:t>
            </w:r>
            <w:r>
              <w:rPr>
                <w:spacing w:val="-2"/>
                <w:sz w:val="20"/>
              </w:rPr>
              <w:t>gender</w:t>
            </w:r>
          </w:p>
        </w:tc>
        <w:tc>
          <w:tcPr>
            <w:tcW w:w="1203" w:type="dxa"/>
          </w:tcPr>
          <w:p>
            <w:pPr>
              <w:pStyle w:val="TableParagraph"/>
              <w:spacing w:before="8"/>
              <w:ind w:right="122"/>
              <w:jc w:val="right"/>
              <w:rPr>
                <w:sz w:val="20"/>
              </w:rPr>
            </w:pPr>
            <w:r>
              <w:rPr>
                <w:w w:val="99"/>
                <w:sz w:val="20"/>
              </w:rPr>
              <w:t>-</w:t>
            </w:r>
          </w:p>
        </w:tc>
        <w:tc>
          <w:tcPr>
            <w:tcW w:w="1324" w:type="dxa"/>
          </w:tcPr>
          <w:p>
            <w:pPr>
              <w:pStyle w:val="TableParagraph"/>
              <w:spacing w:before="8"/>
              <w:ind w:right="207"/>
              <w:jc w:val="right"/>
              <w:rPr>
                <w:sz w:val="20"/>
              </w:rPr>
            </w:pPr>
            <w:r>
              <w:rPr>
                <w:w w:val="99"/>
                <w:sz w:val="20"/>
              </w:rPr>
              <w:t>-</w:t>
            </w:r>
          </w:p>
        </w:tc>
        <w:tc>
          <w:tcPr>
            <w:tcW w:w="1564" w:type="dxa"/>
          </w:tcPr>
          <w:p>
            <w:pPr>
              <w:pStyle w:val="TableParagraph"/>
              <w:spacing w:before="8"/>
              <w:ind w:right="192"/>
              <w:jc w:val="right"/>
              <w:rPr>
                <w:sz w:val="20"/>
              </w:rPr>
            </w:pPr>
            <w:r>
              <w:rPr>
                <w:w w:val="99"/>
                <w:sz w:val="20"/>
              </w:rPr>
              <w:t>-</w:t>
            </w:r>
          </w:p>
        </w:tc>
        <w:tc>
          <w:tcPr>
            <w:tcW w:w="1431" w:type="dxa"/>
            <w:tcBorders>
              <w:right w:val="single" w:sz="4" w:space="0" w:color="000000"/>
            </w:tcBorders>
          </w:tcPr>
          <w:p>
            <w:pPr>
              <w:pStyle w:val="TableParagraph"/>
              <w:spacing w:before="8"/>
              <w:ind w:right="99"/>
              <w:jc w:val="right"/>
              <w:rPr>
                <w:sz w:val="20"/>
              </w:rPr>
            </w:pPr>
            <w:r>
              <w:rPr>
                <w:w w:val="99"/>
                <w:sz w:val="20"/>
              </w:rPr>
              <w:t>-</w:t>
            </w:r>
          </w:p>
        </w:tc>
      </w:tr>
      <w:tr>
        <w:trPr>
          <w:trHeight w:val="264" w:hRule="atLeast"/>
        </w:trPr>
        <w:tc>
          <w:tcPr>
            <w:tcW w:w="5026" w:type="dxa"/>
            <w:tcBorders>
              <w:left w:val="single" w:sz="4" w:space="0" w:color="000000"/>
            </w:tcBorders>
          </w:tcPr>
          <w:p>
            <w:pPr>
              <w:pStyle w:val="TableParagraph"/>
              <w:spacing w:line="211" w:lineRule="exact" w:before="34"/>
              <w:ind w:left="107"/>
              <w:rPr>
                <w:sz w:val="20"/>
              </w:rPr>
            </w:pPr>
            <w:r>
              <w:rPr>
                <w:sz w:val="20"/>
              </w:rPr>
              <w:t>Vacant</w:t>
            </w:r>
            <w:r>
              <w:rPr>
                <w:spacing w:val="-7"/>
                <w:sz w:val="20"/>
              </w:rPr>
              <w:t> </w:t>
            </w:r>
            <w:r>
              <w:rPr>
                <w:spacing w:val="-2"/>
                <w:sz w:val="20"/>
              </w:rPr>
              <w:t>Position</w:t>
            </w:r>
          </w:p>
        </w:tc>
        <w:tc>
          <w:tcPr>
            <w:tcW w:w="1203" w:type="dxa"/>
            <w:tcBorders>
              <w:bottom w:val="single" w:sz="4" w:space="0" w:color="000000"/>
            </w:tcBorders>
          </w:tcPr>
          <w:p>
            <w:pPr>
              <w:pStyle w:val="TableParagraph"/>
              <w:spacing w:before="10"/>
              <w:ind w:right="122"/>
              <w:jc w:val="right"/>
              <w:rPr>
                <w:sz w:val="20"/>
              </w:rPr>
            </w:pPr>
            <w:r>
              <w:rPr>
                <w:w w:val="99"/>
                <w:sz w:val="20"/>
              </w:rPr>
              <w:t>-</w:t>
            </w:r>
          </w:p>
        </w:tc>
        <w:tc>
          <w:tcPr>
            <w:tcW w:w="1324" w:type="dxa"/>
            <w:tcBorders>
              <w:bottom w:val="single" w:sz="4" w:space="0" w:color="000000"/>
            </w:tcBorders>
          </w:tcPr>
          <w:p>
            <w:pPr>
              <w:pStyle w:val="TableParagraph"/>
              <w:spacing w:before="10"/>
              <w:ind w:right="207"/>
              <w:jc w:val="right"/>
              <w:rPr>
                <w:sz w:val="20"/>
              </w:rPr>
            </w:pPr>
            <w:r>
              <w:rPr>
                <w:w w:val="99"/>
                <w:sz w:val="20"/>
              </w:rPr>
              <w:t>-</w:t>
            </w:r>
          </w:p>
        </w:tc>
        <w:tc>
          <w:tcPr>
            <w:tcW w:w="1564" w:type="dxa"/>
            <w:tcBorders>
              <w:bottom w:val="single" w:sz="4" w:space="0" w:color="000000"/>
            </w:tcBorders>
          </w:tcPr>
          <w:p>
            <w:pPr>
              <w:pStyle w:val="TableParagraph"/>
              <w:spacing w:before="10"/>
              <w:ind w:right="192"/>
              <w:jc w:val="right"/>
              <w:rPr>
                <w:sz w:val="20"/>
              </w:rPr>
            </w:pPr>
            <w:r>
              <w:rPr>
                <w:w w:val="99"/>
                <w:sz w:val="20"/>
              </w:rPr>
              <w:t>-</w:t>
            </w:r>
          </w:p>
        </w:tc>
        <w:tc>
          <w:tcPr>
            <w:tcW w:w="1431" w:type="dxa"/>
            <w:tcBorders>
              <w:bottom w:val="single" w:sz="4" w:space="0" w:color="000000"/>
              <w:right w:val="single" w:sz="4" w:space="0" w:color="000000"/>
            </w:tcBorders>
          </w:tcPr>
          <w:p>
            <w:pPr>
              <w:pStyle w:val="TableParagraph"/>
              <w:spacing w:before="10"/>
              <w:ind w:right="99"/>
              <w:jc w:val="right"/>
              <w:rPr>
                <w:sz w:val="20"/>
              </w:rPr>
            </w:pPr>
            <w:r>
              <w:rPr>
                <w:w w:val="99"/>
                <w:sz w:val="20"/>
              </w:rPr>
              <w:t>-</w:t>
            </w:r>
          </w:p>
        </w:tc>
      </w:tr>
      <w:tr>
        <w:trPr>
          <w:trHeight w:val="295" w:hRule="atLeast"/>
        </w:trPr>
        <w:tc>
          <w:tcPr>
            <w:tcW w:w="5026" w:type="dxa"/>
            <w:tcBorders>
              <w:left w:val="single" w:sz="4" w:space="0" w:color="000000"/>
            </w:tcBorders>
          </w:tcPr>
          <w:p>
            <w:pPr>
              <w:pStyle w:val="TableParagraph"/>
              <w:spacing w:line="226" w:lineRule="exact" w:before="50"/>
              <w:ind w:left="107"/>
              <w:rPr>
                <w:b/>
                <w:sz w:val="20"/>
              </w:rPr>
            </w:pPr>
            <w:r>
              <w:rPr>
                <w:b/>
                <w:sz w:val="20"/>
              </w:rPr>
              <w:t>Total</w:t>
            </w:r>
            <w:r>
              <w:rPr>
                <w:b/>
                <w:spacing w:val="-7"/>
                <w:sz w:val="20"/>
              </w:rPr>
              <w:t> </w:t>
            </w:r>
            <w:r>
              <w:rPr>
                <w:b/>
                <w:sz w:val="20"/>
              </w:rPr>
              <w:t>Chief</w:t>
            </w:r>
            <w:r>
              <w:rPr>
                <w:b/>
                <w:spacing w:val="-7"/>
                <w:sz w:val="20"/>
              </w:rPr>
              <w:t> </w:t>
            </w:r>
            <w:r>
              <w:rPr>
                <w:b/>
                <w:sz w:val="20"/>
              </w:rPr>
              <w:t>Financial</w:t>
            </w:r>
            <w:r>
              <w:rPr>
                <w:b/>
                <w:spacing w:val="-7"/>
                <w:sz w:val="20"/>
              </w:rPr>
              <w:t> </w:t>
            </w:r>
            <w:r>
              <w:rPr>
                <w:b/>
                <w:spacing w:val="-2"/>
                <w:sz w:val="20"/>
              </w:rPr>
              <w:t>Office</w:t>
            </w:r>
          </w:p>
        </w:tc>
        <w:tc>
          <w:tcPr>
            <w:tcW w:w="1203" w:type="dxa"/>
            <w:tcBorders>
              <w:top w:val="single" w:sz="4" w:space="0" w:color="000000"/>
            </w:tcBorders>
          </w:tcPr>
          <w:p>
            <w:pPr>
              <w:pStyle w:val="TableParagraph"/>
              <w:spacing w:before="23"/>
              <w:ind w:right="121"/>
              <w:jc w:val="right"/>
              <w:rPr>
                <w:b/>
                <w:sz w:val="20"/>
              </w:rPr>
            </w:pPr>
            <w:r>
              <w:rPr>
                <w:b/>
                <w:spacing w:val="-4"/>
                <w:sz w:val="20"/>
              </w:rPr>
              <w:t>73.8</w:t>
            </w:r>
          </w:p>
        </w:tc>
        <w:tc>
          <w:tcPr>
            <w:tcW w:w="1324" w:type="dxa"/>
            <w:tcBorders>
              <w:top w:val="single" w:sz="4" w:space="0" w:color="000000"/>
            </w:tcBorders>
          </w:tcPr>
          <w:p>
            <w:pPr>
              <w:pStyle w:val="TableParagraph"/>
              <w:spacing w:before="23"/>
              <w:ind w:right="206"/>
              <w:jc w:val="right"/>
              <w:rPr>
                <w:b/>
                <w:sz w:val="20"/>
              </w:rPr>
            </w:pPr>
            <w:r>
              <w:rPr>
                <w:b/>
                <w:spacing w:val="-4"/>
                <w:sz w:val="20"/>
              </w:rPr>
              <w:t>73.8</w:t>
            </w:r>
          </w:p>
        </w:tc>
        <w:tc>
          <w:tcPr>
            <w:tcW w:w="1564" w:type="dxa"/>
            <w:tcBorders>
              <w:top w:val="single" w:sz="4" w:space="0" w:color="000000"/>
            </w:tcBorders>
          </w:tcPr>
          <w:p>
            <w:pPr>
              <w:pStyle w:val="TableParagraph"/>
              <w:spacing w:before="23"/>
              <w:ind w:right="191"/>
              <w:jc w:val="right"/>
              <w:rPr>
                <w:b/>
                <w:sz w:val="20"/>
              </w:rPr>
            </w:pPr>
            <w:r>
              <w:rPr>
                <w:b/>
                <w:spacing w:val="-4"/>
                <w:sz w:val="20"/>
              </w:rPr>
              <w:t>73.8</w:t>
            </w:r>
          </w:p>
        </w:tc>
        <w:tc>
          <w:tcPr>
            <w:tcW w:w="1431" w:type="dxa"/>
            <w:tcBorders>
              <w:top w:val="single" w:sz="4" w:space="0" w:color="000000"/>
              <w:right w:val="single" w:sz="4" w:space="0" w:color="000000"/>
            </w:tcBorders>
          </w:tcPr>
          <w:p>
            <w:pPr>
              <w:pStyle w:val="TableParagraph"/>
              <w:spacing w:before="23"/>
              <w:ind w:right="97"/>
              <w:jc w:val="right"/>
              <w:rPr>
                <w:b/>
                <w:sz w:val="20"/>
              </w:rPr>
            </w:pPr>
            <w:r>
              <w:rPr>
                <w:b/>
                <w:spacing w:val="-4"/>
                <w:sz w:val="20"/>
              </w:rPr>
              <w:t>73.8</w:t>
            </w:r>
          </w:p>
        </w:tc>
      </w:tr>
      <w:tr>
        <w:trPr>
          <w:trHeight w:val="280" w:hRule="atLeast"/>
        </w:trPr>
        <w:tc>
          <w:tcPr>
            <w:tcW w:w="5026" w:type="dxa"/>
            <w:tcBorders>
              <w:left w:val="single" w:sz="4" w:space="0" w:color="000000"/>
            </w:tcBorders>
          </w:tcPr>
          <w:p>
            <w:pPr>
              <w:pStyle w:val="TableParagraph"/>
              <w:spacing w:line="226" w:lineRule="exact" w:before="35"/>
              <w:ind w:left="107"/>
              <w:rPr>
                <w:sz w:val="20"/>
              </w:rPr>
            </w:pPr>
            <w:r>
              <w:rPr>
                <w:sz w:val="20"/>
              </w:rPr>
              <w:t>Total</w:t>
            </w:r>
            <w:r>
              <w:rPr>
                <w:spacing w:val="-6"/>
                <w:sz w:val="20"/>
              </w:rPr>
              <w:t> </w:t>
            </w:r>
            <w:r>
              <w:rPr>
                <w:spacing w:val="-2"/>
                <w:sz w:val="20"/>
              </w:rPr>
              <w:t>Casuals</w:t>
            </w:r>
          </w:p>
        </w:tc>
        <w:tc>
          <w:tcPr>
            <w:tcW w:w="1203" w:type="dxa"/>
          </w:tcPr>
          <w:p>
            <w:pPr>
              <w:pStyle w:val="TableParagraph"/>
              <w:spacing w:before="8"/>
              <w:ind w:right="121"/>
              <w:jc w:val="right"/>
              <w:rPr>
                <w:sz w:val="20"/>
              </w:rPr>
            </w:pPr>
            <w:r>
              <w:rPr>
                <w:spacing w:val="-4"/>
                <w:sz w:val="20"/>
              </w:rPr>
              <w:t>73.9</w:t>
            </w:r>
          </w:p>
        </w:tc>
        <w:tc>
          <w:tcPr>
            <w:tcW w:w="1324" w:type="dxa"/>
          </w:tcPr>
          <w:p>
            <w:pPr>
              <w:pStyle w:val="TableParagraph"/>
              <w:spacing w:before="8"/>
              <w:ind w:right="206"/>
              <w:jc w:val="right"/>
              <w:rPr>
                <w:sz w:val="20"/>
              </w:rPr>
            </w:pPr>
            <w:r>
              <w:rPr>
                <w:spacing w:val="-4"/>
                <w:sz w:val="20"/>
              </w:rPr>
              <w:t>73.9</w:t>
            </w:r>
          </w:p>
        </w:tc>
        <w:tc>
          <w:tcPr>
            <w:tcW w:w="1564" w:type="dxa"/>
          </w:tcPr>
          <w:p>
            <w:pPr>
              <w:pStyle w:val="TableParagraph"/>
              <w:spacing w:before="8"/>
              <w:ind w:right="191"/>
              <w:jc w:val="right"/>
              <w:rPr>
                <w:sz w:val="20"/>
              </w:rPr>
            </w:pPr>
            <w:r>
              <w:rPr>
                <w:spacing w:val="-4"/>
                <w:sz w:val="20"/>
              </w:rPr>
              <w:t>73.9</w:t>
            </w:r>
          </w:p>
        </w:tc>
        <w:tc>
          <w:tcPr>
            <w:tcW w:w="1431" w:type="dxa"/>
            <w:tcBorders>
              <w:right w:val="single" w:sz="4" w:space="0" w:color="000000"/>
            </w:tcBorders>
          </w:tcPr>
          <w:p>
            <w:pPr>
              <w:pStyle w:val="TableParagraph"/>
              <w:spacing w:before="8"/>
              <w:ind w:right="97"/>
              <w:jc w:val="right"/>
              <w:rPr>
                <w:sz w:val="20"/>
              </w:rPr>
            </w:pPr>
            <w:r>
              <w:rPr>
                <w:spacing w:val="-4"/>
                <w:sz w:val="20"/>
              </w:rPr>
              <w:t>73.9</w:t>
            </w:r>
          </w:p>
        </w:tc>
      </w:tr>
      <w:tr>
        <w:trPr>
          <w:trHeight w:val="263" w:hRule="atLeast"/>
        </w:trPr>
        <w:tc>
          <w:tcPr>
            <w:tcW w:w="5026" w:type="dxa"/>
            <w:tcBorders>
              <w:left w:val="single" w:sz="4" w:space="0" w:color="000000"/>
            </w:tcBorders>
          </w:tcPr>
          <w:p>
            <w:pPr>
              <w:pStyle w:val="TableParagraph"/>
              <w:spacing w:line="211" w:lineRule="exact" w:before="32"/>
              <w:ind w:left="107"/>
              <w:rPr>
                <w:sz w:val="20"/>
              </w:rPr>
            </w:pPr>
            <w:r>
              <w:rPr>
                <w:sz w:val="20"/>
              </w:rPr>
              <w:t>Capitalised</w:t>
            </w:r>
            <w:r>
              <w:rPr>
                <w:spacing w:val="-11"/>
                <w:sz w:val="20"/>
              </w:rPr>
              <w:t> </w:t>
            </w:r>
            <w:r>
              <w:rPr>
                <w:spacing w:val="-2"/>
                <w:sz w:val="20"/>
              </w:rPr>
              <w:t>labour</w:t>
            </w:r>
          </w:p>
        </w:tc>
        <w:tc>
          <w:tcPr>
            <w:tcW w:w="1203" w:type="dxa"/>
            <w:tcBorders>
              <w:bottom w:val="single" w:sz="4" w:space="0" w:color="000000"/>
            </w:tcBorders>
          </w:tcPr>
          <w:p>
            <w:pPr>
              <w:pStyle w:val="TableParagraph"/>
              <w:spacing w:before="8"/>
              <w:ind w:right="121"/>
              <w:jc w:val="right"/>
              <w:rPr>
                <w:sz w:val="20"/>
              </w:rPr>
            </w:pPr>
            <w:r>
              <w:rPr>
                <w:spacing w:val="-4"/>
                <w:sz w:val="20"/>
              </w:rPr>
              <w:t>16.0</w:t>
            </w:r>
          </w:p>
        </w:tc>
        <w:tc>
          <w:tcPr>
            <w:tcW w:w="1324" w:type="dxa"/>
            <w:tcBorders>
              <w:bottom w:val="single" w:sz="4" w:space="0" w:color="000000"/>
            </w:tcBorders>
          </w:tcPr>
          <w:p>
            <w:pPr>
              <w:pStyle w:val="TableParagraph"/>
              <w:spacing w:before="8"/>
              <w:ind w:right="206"/>
              <w:jc w:val="right"/>
              <w:rPr>
                <w:sz w:val="20"/>
              </w:rPr>
            </w:pPr>
            <w:r>
              <w:rPr>
                <w:spacing w:val="-4"/>
                <w:sz w:val="20"/>
              </w:rPr>
              <w:t>16.0</w:t>
            </w:r>
          </w:p>
        </w:tc>
        <w:tc>
          <w:tcPr>
            <w:tcW w:w="1564" w:type="dxa"/>
            <w:tcBorders>
              <w:bottom w:val="single" w:sz="4" w:space="0" w:color="000000"/>
            </w:tcBorders>
          </w:tcPr>
          <w:p>
            <w:pPr>
              <w:pStyle w:val="TableParagraph"/>
              <w:spacing w:before="8"/>
              <w:ind w:right="191"/>
              <w:jc w:val="right"/>
              <w:rPr>
                <w:sz w:val="20"/>
              </w:rPr>
            </w:pPr>
            <w:r>
              <w:rPr>
                <w:spacing w:val="-4"/>
                <w:sz w:val="20"/>
              </w:rPr>
              <w:t>16.0</w:t>
            </w:r>
          </w:p>
        </w:tc>
        <w:tc>
          <w:tcPr>
            <w:tcW w:w="1431" w:type="dxa"/>
            <w:tcBorders>
              <w:bottom w:val="single" w:sz="4" w:space="0" w:color="000000"/>
              <w:right w:val="single" w:sz="4" w:space="0" w:color="000000"/>
            </w:tcBorders>
          </w:tcPr>
          <w:p>
            <w:pPr>
              <w:pStyle w:val="TableParagraph"/>
              <w:spacing w:before="8"/>
              <w:ind w:right="97"/>
              <w:jc w:val="right"/>
              <w:rPr>
                <w:sz w:val="20"/>
              </w:rPr>
            </w:pPr>
            <w:r>
              <w:rPr>
                <w:spacing w:val="-4"/>
                <w:sz w:val="20"/>
              </w:rPr>
              <w:t>16.0</w:t>
            </w:r>
          </w:p>
        </w:tc>
      </w:tr>
      <w:tr>
        <w:trPr>
          <w:trHeight w:val="280" w:hRule="atLeast"/>
        </w:trPr>
        <w:tc>
          <w:tcPr>
            <w:tcW w:w="5026" w:type="dxa"/>
            <w:tcBorders>
              <w:left w:val="single" w:sz="4" w:space="0" w:color="000000"/>
              <w:bottom w:val="single" w:sz="4" w:space="0" w:color="000000"/>
            </w:tcBorders>
          </w:tcPr>
          <w:p>
            <w:pPr>
              <w:pStyle w:val="TableParagraph"/>
              <w:spacing w:line="211" w:lineRule="exact" w:before="50"/>
              <w:ind w:left="107"/>
              <w:rPr>
                <w:b/>
                <w:sz w:val="20"/>
              </w:rPr>
            </w:pPr>
            <w:r>
              <w:rPr>
                <w:b/>
                <w:sz w:val="20"/>
              </w:rPr>
              <w:t>Total</w:t>
            </w:r>
            <w:r>
              <w:rPr>
                <w:b/>
                <w:spacing w:val="-7"/>
                <w:sz w:val="20"/>
              </w:rPr>
              <w:t> </w:t>
            </w:r>
            <w:r>
              <w:rPr>
                <w:b/>
                <w:sz w:val="20"/>
              </w:rPr>
              <w:t>Staff</w:t>
            </w:r>
            <w:r>
              <w:rPr>
                <w:b/>
                <w:spacing w:val="-7"/>
                <w:sz w:val="20"/>
              </w:rPr>
              <w:t> </w:t>
            </w:r>
            <w:r>
              <w:rPr>
                <w:b/>
                <w:spacing w:val="-5"/>
                <w:sz w:val="20"/>
              </w:rPr>
              <w:t>FTE</w:t>
            </w:r>
          </w:p>
        </w:tc>
        <w:tc>
          <w:tcPr>
            <w:tcW w:w="1203" w:type="dxa"/>
            <w:tcBorders>
              <w:top w:val="single" w:sz="4" w:space="0" w:color="000000"/>
              <w:bottom w:val="single" w:sz="4" w:space="0" w:color="000000"/>
            </w:tcBorders>
          </w:tcPr>
          <w:p>
            <w:pPr>
              <w:pStyle w:val="TableParagraph"/>
              <w:spacing w:line="211" w:lineRule="exact" w:before="50"/>
              <w:ind w:right="120"/>
              <w:jc w:val="right"/>
              <w:rPr>
                <w:b/>
                <w:sz w:val="20"/>
              </w:rPr>
            </w:pPr>
            <w:r>
              <w:rPr>
                <w:b/>
                <w:spacing w:val="-4"/>
                <w:sz w:val="20"/>
              </w:rPr>
              <w:t>586.3</w:t>
            </w:r>
          </w:p>
        </w:tc>
        <w:tc>
          <w:tcPr>
            <w:tcW w:w="1324" w:type="dxa"/>
            <w:tcBorders>
              <w:top w:val="single" w:sz="4" w:space="0" w:color="000000"/>
              <w:bottom w:val="single" w:sz="4" w:space="0" w:color="000000"/>
            </w:tcBorders>
          </w:tcPr>
          <w:p>
            <w:pPr>
              <w:pStyle w:val="TableParagraph"/>
              <w:spacing w:line="211" w:lineRule="exact" w:before="50"/>
              <w:ind w:right="206"/>
              <w:jc w:val="right"/>
              <w:rPr>
                <w:b/>
                <w:sz w:val="20"/>
              </w:rPr>
            </w:pPr>
            <w:r>
              <w:rPr>
                <w:b/>
                <w:spacing w:val="-4"/>
                <w:sz w:val="20"/>
              </w:rPr>
              <w:t>586.3</w:t>
            </w:r>
          </w:p>
        </w:tc>
        <w:tc>
          <w:tcPr>
            <w:tcW w:w="1564" w:type="dxa"/>
            <w:tcBorders>
              <w:top w:val="single" w:sz="4" w:space="0" w:color="000000"/>
              <w:bottom w:val="single" w:sz="4" w:space="0" w:color="000000"/>
            </w:tcBorders>
          </w:tcPr>
          <w:p>
            <w:pPr>
              <w:pStyle w:val="TableParagraph"/>
              <w:spacing w:line="211" w:lineRule="exact" w:before="50"/>
              <w:ind w:right="191"/>
              <w:jc w:val="right"/>
              <w:rPr>
                <w:b/>
                <w:sz w:val="20"/>
              </w:rPr>
            </w:pPr>
            <w:r>
              <w:rPr>
                <w:b/>
                <w:spacing w:val="-2"/>
                <w:sz w:val="20"/>
              </w:rPr>
              <w:t>586.3</w:t>
            </w:r>
          </w:p>
        </w:tc>
        <w:tc>
          <w:tcPr>
            <w:tcW w:w="1431" w:type="dxa"/>
            <w:tcBorders>
              <w:top w:val="single" w:sz="4" w:space="0" w:color="000000"/>
              <w:bottom w:val="single" w:sz="4" w:space="0" w:color="000000"/>
              <w:right w:val="single" w:sz="4" w:space="0" w:color="000000"/>
            </w:tcBorders>
          </w:tcPr>
          <w:p>
            <w:pPr>
              <w:pStyle w:val="TableParagraph"/>
              <w:spacing w:line="211" w:lineRule="exact" w:before="50"/>
              <w:ind w:right="98"/>
              <w:jc w:val="right"/>
              <w:rPr>
                <w:b/>
                <w:sz w:val="20"/>
              </w:rPr>
            </w:pPr>
            <w:r>
              <w:rPr>
                <w:b/>
                <w:spacing w:val="-2"/>
                <w:sz w:val="20"/>
              </w:rPr>
              <w:t>586.3</w:t>
            </w:r>
          </w:p>
        </w:tc>
      </w:tr>
    </w:tbl>
    <w:p>
      <w:pPr>
        <w:spacing w:after="0" w:line="211" w:lineRule="exact"/>
        <w:jc w:val="right"/>
        <w:rPr>
          <w:sz w:val="20"/>
        </w:rPr>
        <w:sectPr>
          <w:pgSz w:w="11910" w:h="16840"/>
          <w:pgMar w:header="0" w:footer="426" w:top="380" w:bottom="620" w:left="460" w:right="160"/>
        </w:sectPr>
      </w:pPr>
    </w:p>
    <w:p>
      <w:pPr>
        <w:pStyle w:val="Heading1"/>
        <w:numPr>
          <w:ilvl w:val="0"/>
          <w:numId w:val="11"/>
        </w:numPr>
        <w:tabs>
          <w:tab w:pos="902" w:val="left" w:leader="none"/>
          <w:tab w:pos="903" w:val="left" w:leader="none"/>
        </w:tabs>
        <w:spacing w:line="240" w:lineRule="auto" w:before="63" w:after="0"/>
        <w:ind w:left="902" w:right="0" w:hanging="643"/>
        <w:jc w:val="left"/>
      </w:pPr>
      <w:bookmarkStart w:name="_TOC_250002" w:id="11"/>
      <w:r>
        <w:rPr>
          <w:color w:val="4966AC"/>
        </w:rPr>
        <w:t>Notes</w:t>
      </w:r>
      <w:r>
        <w:rPr>
          <w:color w:val="4966AC"/>
          <w:spacing w:val="-5"/>
        </w:rPr>
        <w:t> </w:t>
      </w:r>
      <w:r>
        <w:rPr>
          <w:color w:val="4966AC"/>
        </w:rPr>
        <w:t>to</w:t>
      </w:r>
      <w:r>
        <w:rPr>
          <w:color w:val="4966AC"/>
          <w:spacing w:val="-8"/>
        </w:rPr>
        <w:t> </w:t>
      </w:r>
      <w:r>
        <w:rPr>
          <w:color w:val="4966AC"/>
        </w:rPr>
        <w:t>the</w:t>
      </w:r>
      <w:r>
        <w:rPr>
          <w:color w:val="4966AC"/>
          <w:spacing w:val="-7"/>
        </w:rPr>
        <w:t> </w:t>
      </w:r>
      <w:r>
        <w:rPr>
          <w:color w:val="4966AC"/>
        </w:rPr>
        <w:t>financial</w:t>
      </w:r>
      <w:r>
        <w:rPr>
          <w:color w:val="4966AC"/>
          <w:spacing w:val="-9"/>
        </w:rPr>
        <w:t> </w:t>
      </w:r>
      <w:bookmarkEnd w:id="11"/>
      <w:r>
        <w:rPr>
          <w:color w:val="4966AC"/>
          <w:spacing w:val="-2"/>
        </w:rPr>
        <w:t>statements.</w:t>
      </w:r>
    </w:p>
    <w:p>
      <w:pPr>
        <w:pStyle w:val="BodyText"/>
        <w:spacing w:before="9"/>
        <w:rPr>
          <w:b/>
          <w:sz w:val="29"/>
        </w:rPr>
      </w:pPr>
    </w:p>
    <w:p>
      <w:pPr>
        <w:pStyle w:val="BodyText"/>
        <w:ind w:left="260"/>
      </w:pPr>
      <w:r>
        <w:rPr/>
        <w:t>This</w:t>
      </w:r>
      <w:r>
        <w:rPr>
          <w:spacing w:val="-7"/>
        </w:rPr>
        <w:t> </w:t>
      </w:r>
      <w:r>
        <w:rPr/>
        <w:t>section</w:t>
      </w:r>
      <w:r>
        <w:rPr>
          <w:spacing w:val="-2"/>
        </w:rPr>
        <w:t> </w:t>
      </w:r>
      <w:r>
        <w:rPr/>
        <w:t>presents</w:t>
      </w:r>
      <w:r>
        <w:rPr>
          <w:spacing w:val="-3"/>
        </w:rPr>
        <w:t> </w:t>
      </w:r>
      <w:r>
        <w:rPr/>
        <w:t>detailed</w:t>
      </w:r>
      <w:r>
        <w:rPr>
          <w:spacing w:val="-6"/>
        </w:rPr>
        <w:t> </w:t>
      </w:r>
      <w:r>
        <w:rPr/>
        <w:t>information</w:t>
      </w:r>
      <w:r>
        <w:rPr>
          <w:spacing w:val="-3"/>
        </w:rPr>
        <w:t> </w:t>
      </w:r>
      <w:r>
        <w:rPr/>
        <w:t>on</w:t>
      </w:r>
      <w:r>
        <w:rPr>
          <w:spacing w:val="-6"/>
        </w:rPr>
        <w:t> </w:t>
      </w:r>
      <w:r>
        <w:rPr/>
        <w:t>material</w:t>
      </w:r>
      <w:r>
        <w:rPr>
          <w:spacing w:val="-5"/>
        </w:rPr>
        <w:t> </w:t>
      </w:r>
      <w:r>
        <w:rPr/>
        <w:t>components</w:t>
      </w:r>
      <w:r>
        <w:rPr>
          <w:spacing w:val="-4"/>
        </w:rPr>
        <w:t> </w:t>
      </w:r>
      <w:r>
        <w:rPr/>
        <w:t>of</w:t>
      </w:r>
      <w:r>
        <w:rPr>
          <w:spacing w:val="-6"/>
        </w:rPr>
        <w:t> </w:t>
      </w:r>
      <w:r>
        <w:rPr/>
        <w:t>the</w:t>
      </w:r>
      <w:r>
        <w:rPr>
          <w:spacing w:val="-6"/>
        </w:rPr>
        <w:t> </w:t>
      </w:r>
      <w:r>
        <w:rPr/>
        <w:t>financial</w:t>
      </w:r>
      <w:r>
        <w:rPr>
          <w:spacing w:val="-4"/>
        </w:rPr>
        <w:t> </w:t>
      </w:r>
      <w:r>
        <w:rPr>
          <w:spacing w:val="-2"/>
        </w:rPr>
        <w:t>statements</w:t>
      </w:r>
      <w:r>
        <w:rPr>
          <w:color w:val="FF0000"/>
          <w:spacing w:val="-2"/>
        </w:rPr>
        <w:t>.</w:t>
      </w:r>
    </w:p>
    <w:p>
      <w:pPr>
        <w:pStyle w:val="BodyText"/>
        <w:rPr>
          <w:sz w:val="24"/>
        </w:rPr>
      </w:pPr>
    </w:p>
    <w:p>
      <w:pPr>
        <w:pStyle w:val="BodyText"/>
        <w:spacing w:before="1"/>
      </w:pPr>
    </w:p>
    <w:p>
      <w:pPr>
        <w:pStyle w:val="Heading2"/>
        <w:numPr>
          <w:ilvl w:val="1"/>
          <w:numId w:val="11"/>
        </w:numPr>
        <w:tabs>
          <w:tab w:pos="729" w:val="left" w:leader="none"/>
        </w:tabs>
        <w:spacing w:line="240" w:lineRule="auto" w:before="1" w:after="0"/>
        <w:ind w:left="728" w:right="0" w:hanging="469"/>
        <w:jc w:val="left"/>
      </w:pPr>
      <w:r>
        <w:rPr>
          <w:color w:val="4966AC"/>
        </w:rPr>
        <w:t>Comprehensive</w:t>
      </w:r>
      <w:r>
        <w:rPr>
          <w:color w:val="4966AC"/>
          <w:spacing w:val="-7"/>
        </w:rPr>
        <w:t> </w:t>
      </w:r>
      <w:r>
        <w:rPr>
          <w:color w:val="4966AC"/>
        </w:rPr>
        <w:t>Income</w:t>
      </w:r>
      <w:r>
        <w:rPr>
          <w:color w:val="4966AC"/>
          <w:spacing w:val="-7"/>
        </w:rPr>
        <w:t> </w:t>
      </w:r>
      <w:r>
        <w:rPr>
          <w:color w:val="4966AC"/>
          <w:spacing w:val="-2"/>
        </w:rPr>
        <w:t>Statement</w:t>
      </w:r>
    </w:p>
    <w:p>
      <w:pPr>
        <w:pStyle w:val="BodyText"/>
        <w:spacing w:before="5"/>
        <w:rPr>
          <w:b/>
          <w:sz w:val="42"/>
        </w:rPr>
      </w:pPr>
    </w:p>
    <w:p>
      <w:pPr>
        <w:pStyle w:val="Heading4"/>
        <w:numPr>
          <w:ilvl w:val="2"/>
          <w:numId w:val="11"/>
        </w:numPr>
        <w:tabs>
          <w:tab w:pos="862" w:val="left" w:leader="none"/>
        </w:tabs>
        <w:spacing w:line="240" w:lineRule="auto" w:before="0" w:after="0"/>
        <w:ind w:left="861" w:right="0" w:hanging="602"/>
        <w:jc w:val="left"/>
        <w:rPr>
          <w:color w:val="4966AC"/>
        </w:rPr>
      </w:pPr>
      <w:r>
        <w:rPr>
          <w:color w:val="4966AC"/>
        </w:rPr>
        <w:t>Rates</w:t>
      </w:r>
      <w:r>
        <w:rPr>
          <w:color w:val="4966AC"/>
          <w:spacing w:val="-1"/>
        </w:rPr>
        <w:t> </w:t>
      </w:r>
      <w:r>
        <w:rPr>
          <w:color w:val="4966AC"/>
        </w:rPr>
        <w:t>and </w:t>
      </w:r>
      <w:r>
        <w:rPr>
          <w:color w:val="4966AC"/>
          <w:spacing w:val="-2"/>
        </w:rPr>
        <w:t>charges</w:t>
      </w:r>
    </w:p>
    <w:p>
      <w:pPr>
        <w:pStyle w:val="BodyText"/>
        <w:spacing w:before="11"/>
        <w:rPr>
          <w:b/>
          <w:sz w:val="23"/>
        </w:rPr>
      </w:pPr>
    </w:p>
    <w:p>
      <w:pPr>
        <w:pStyle w:val="BodyText"/>
        <w:ind w:left="260"/>
      </w:pPr>
      <w:r>
        <w:rPr/>
        <w:t>Rates</w:t>
      </w:r>
      <w:r>
        <w:rPr>
          <w:spacing w:val="-1"/>
        </w:rPr>
        <w:t> </w:t>
      </w:r>
      <w:r>
        <w:rPr/>
        <w:t>and</w:t>
      </w:r>
      <w:r>
        <w:rPr>
          <w:spacing w:val="-4"/>
        </w:rPr>
        <w:t> </w:t>
      </w:r>
      <w:r>
        <w:rPr/>
        <w:t>charges</w:t>
      </w:r>
      <w:r>
        <w:rPr>
          <w:spacing w:val="-3"/>
        </w:rPr>
        <w:t> </w:t>
      </w:r>
      <w:r>
        <w:rPr/>
        <w:t>are</w:t>
      </w:r>
      <w:r>
        <w:rPr>
          <w:spacing w:val="-5"/>
        </w:rPr>
        <w:t> </w:t>
      </w:r>
      <w:r>
        <w:rPr/>
        <w:t>required</w:t>
      </w:r>
      <w:r>
        <w:rPr>
          <w:spacing w:val="-2"/>
        </w:rPr>
        <w:t> </w:t>
      </w:r>
      <w:r>
        <w:rPr/>
        <w:t>by</w:t>
      </w:r>
      <w:r>
        <w:rPr>
          <w:spacing w:val="-4"/>
        </w:rPr>
        <w:t> </w:t>
      </w:r>
      <w:r>
        <w:rPr/>
        <w:t>the</w:t>
      </w:r>
      <w:r>
        <w:rPr>
          <w:spacing w:val="-4"/>
        </w:rPr>
        <w:t> </w:t>
      </w:r>
      <w:r>
        <w:rPr/>
        <w:t>Act</w:t>
      </w:r>
      <w:r>
        <w:rPr>
          <w:spacing w:val="-4"/>
        </w:rPr>
        <w:t> </w:t>
      </w:r>
      <w:r>
        <w:rPr/>
        <w:t>and</w:t>
      </w:r>
      <w:r>
        <w:rPr>
          <w:spacing w:val="-4"/>
        </w:rPr>
        <w:t> </w:t>
      </w:r>
      <w:r>
        <w:rPr/>
        <w:t>the</w:t>
      </w:r>
      <w:r>
        <w:rPr>
          <w:spacing w:val="-2"/>
        </w:rPr>
        <w:t> </w:t>
      </w:r>
      <w:r>
        <w:rPr/>
        <w:t>Regulations</w:t>
      </w:r>
      <w:r>
        <w:rPr>
          <w:spacing w:val="-2"/>
        </w:rPr>
        <w:t> </w:t>
      </w:r>
      <w:r>
        <w:rPr/>
        <w:t>to</w:t>
      </w:r>
      <w:r>
        <w:rPr>
          <w:spacing w:val="-7"/>
        </w:rPr>
        <w:t> </w:t>
      </w:r>
      <w:r>
        <w:rPr/>
        <w:t>be</w:t>
      </w:r>
      <w:r>
        <w:rPr>
          <w:spacing w:val="-4"/>
        </w:rPr>
        <w:t> </w:t>
      </w:r>
      <w:r>
        <w:rPr/>
        <w:t>disclosed</w:t>
      </w:r>
      <w:r>
        <w:rPr>
          <w:spacing w:val="-2"/>
        </w:rPr>
        <w:t> </w:t>
      </w:r>
      <w:r>
        <w:rPr/>
        <w:t>in</w:t>
      </w:r>
      <w:r>
        <w:rPr>
          <w:spacing w:val="-2"/>
        </w:rPr>
        <w:t> </w:t>
      </w:r>
      <w:r>
        <w:rPr/>
        <w:t>Council’s</w:t>
      </w:r>
      <w:r>
        <w:rPr>
          <w:spacing w:val="-2"/>
        </w:rPr>
        <w:t> budget.</w:t>
      </w:r>
    </w:p>
    <w:p>
      <w:pPr>
        <w:pStyle w:val="BodyText"/>
        <w:spacing w:before="4"/>
        <w:rPr>
          <w:sz w:val="25"/>
        </w:rPr>
      </w:pPr>
    </w:p>
    <w:p>
      <w:pPr>
        <w:pStyle w:val="BodyText"/>
        <w:spacing w:before="1"/>
        <w:ind w:left="260" w:right="554"/>
        <w:jc w:val="both"/>
      </w:pPr>
      <w:r>
        <w:rPr/>
        <w:t>As per the Local Government Act 2020, Council is required to have a Revenue and Rating Plan which is a four-year plan for how Council will generate income to deliver the Council Plan, program and services and capital works commitments over a four-year period.</w:t>
      </w:r>
    </w:p>
    <w:p>
      <w:pPr>
        <w:pStyle w:val="BodyText"/>
        <w:spacing w:before="4"/>
        <w:rPr>
          <w:sz w:val="25"/>
        </w:rPr>
      </w:pPr>
    </w:p>
    <w:p>
      <w:pPr>
        <w:pStyle w:val="BodyText"/>
        <w:ind w:left="260" w:right="554"/>
        <w:jc w:val="both"/>
      </w:pPr>
      <w:r>
        <w:rPr/>
        <w:t>In</w:t>
      </w:r>
      <w:r>
        <w:rPr>
          <w:spacing w:val="-4"/>
        </w:rPr>
        <w:t> </w:t>
      </w:r>
      <w:r>
        <w:rPr/>
        <w:t>developing</w:t>
      </w:r>
      <w:r>
        <w:rPr>
          <w:spacing w:val="-4"/>
        </w:rPr>
        <w:t> </w:t>
      </w:r>
      <w:r>
        <w:rPr/>
        <w:t>the</w:t>
      </w:r>
      <w:r>
        <w:rPr>
          <w:spacing w:val="-4"/>
        </w:rPr>
        <w:t> </w:t>
      </w:r>
      <w:r>
        <w:rPr/>
        <w:t>Budget,</w:t>
      </w:r>
      <w:r>
        <w:rPr>
          <w:spacing w:val="-2"/>
        </w:rPr>
        <w:t> </w:t>
      </w:r>
      <w:r>
        <w:rPr/>
        <w:t>rates</w:t>
      </w:r>
      <w:r>
        <w:rPr>
          <w:spacing w:val="-4"/>
        </w:rPr>
        <w:t> </w:t>
      </w:r>
      <w:r>
        <w:rPr/>
        <w:t>and</w:t>
      </w:r>
      <w:r>
        <w:rPr>
          <w:spacing w:val="-5"/>
        </w:rPr>
        <w:t> </w:t>
      </w:r>
      <w:r>
        <w:rPr/>
        <w:t>charges</w:t>
      </w:r>
      <w:r>
        <w:rPr>
          <w:spacing w:val="-2"/>
        </w:rPr>
        <w:t> </w:t>
      </w:r>
      <w:r>
        <w:rPr/>
        <w:t>were</w:t>
      </w:r>
      <w:r>
        <w:rPr>
          <w:spacing w:val="-8"/>
        </w:rPr>
        <w:t> </w:t>
      </w:r>
      <w:r>
        <w:rPr/>
        <w:t>identified</w:t>
      </w:r>
      <w:r>
        <w:rPr>
          <w:spacing w:val="-4"/>
        </w:rPr>
        <w:t> </w:t>
      </w:r>
      <w:r>
        <w:rPr/>
        <w:t>as</w:t>
      </w:r>
      <w:r>
        <w:rPr>
          <w:spacing w:val="-4"/>
        </w:rPr>
        <w:t> </w:t>
      </w:r>
      <w:r>
        <w:rPr/>
        <w:t>an</w:t>
      </w:r>
      <w:r>
        <w:rPr>
          <w:spacing w:val="-4"/>
        </w:rPr>
        <w:t> </w:t>
      </w:r>
      <w:r>
        <w:rPr/>
        <w:t>important</w:t>
      </w:r>
      <w:r>
        <w:rPr>
          <w:spacing w:val="-4"/>
        </w:rPr>
        <w:t> </w:t>
      </w:r>
      <w:r>
        <w:rPr/>
        <w:t>source</w:t>
      </w:r>
      <w:r>
        <w:rPr>
          <w:spacing w:val="-4"/>
        </w:rPr>
        <w:t> </w:t>
      </w:r>
      <w:r>
        <w:rPr/>
        <w:t>of</w:t>
      </w:r>
      <w:r>
        <w:rPr>
          <w:spacing w:val="-6"/>
        </w:rPr>
        <w:t> </w:t>
      </w:r>
      <w:r>
        <w:rPr/>
        <w:t>revenue.</w:t>
      </w:r>
      <w:r>
        <w:rPr>
          <w:spacing w:val="-1"/>
        </w:rPr>
        <w:t> </w:t>
      </w:r>
      <w:r>
        <w:rPr/>
        <w:t>Planning</w:t>
      </w:r>
      <w:r>
        <w:rPr>
          <w:spacing w:val="-4"/>
        </w:rPr>
        <w:t> </w:t>
      </w:r>
      <w:r>
        <w:rPr/>
        <w:t>for future</w:t>
      </w:r>
      <w:r>
        <w:rPr>
          <w:spacing w:val="-5"/>
        </w:rPr>
        <w:t> </w:t>
      </w:r>
      <w:r>
        <w:rPr/>
        <w:t>rate</w:t>
      </w:r>
      <w:r>
        <w:rPr>
          <w:spacing w:val="-5"/>
        </w:rPr>
        <w:t> </w:t>
      </w:r>
      <w:r>
        <w:rPr/>
        <w:t>increases</w:t>
      </w:r>
      <w:r>
        <w:rPr>
          <w:spacing w:val="-4"/>
        </w:rPr>
        <w:t> </w:t>
      </w:r>
      <w:r>
        <w:rPr/>
        <w:t>has</w:t>
      </w:r>
      <w:r>
        <w:rPr>
          <w:spacing w:val="-6"/>
        </w:rPr>
        <w:t> </w:t>
      </w:r>
      <w:r>
        <w:rPr/>
        <w:t>therefore</w:t>
      </w:r>
      <w:r>
        <w:rPr>
          <w:spacing w:val="-6"/>
        </w:rPr>
        <w:t> </w:t>
      </w:r>
      <w:r>
        <w:rPr/>
        <w:t>been</w:t>
      </w:r>
      <w:r>
        <w:rPr>
          <w:spacing w:val="-4"/>
        </w:rPr>
        <w:t> </w:t>
      </w:r>
      <w:r>
        <w:rPr/>
        <w:t>an</w:t>
      </w:r>
      <w:r>
        <w:rPr>
          <w:spacing w:val="-4"/>
        </w:rPr>
        <w:t> </w:t>
      </w:r>
      <w:r>
        <w:rPr/>
        <w:t>important</w:t>
      </w:r>
      <w:r>
        <w:rPr>
          <w:spacing w:val="-1"/>
        </w:rPr>
        <w:t> </w:t>
      </w:r>
      <w:r>
        <w:rPr/>
        <w:t>component</w:t>
      </w:r>
      <w:r>
        <w:rPr>
          <w:spacing w:val="-4"/>
        </w:rPr>
        <w:t> </w:t>
      </w:r>
      <w:r>
        <w:rPr/>
        <w:t>of</w:t>
      </w:r>
      <w:r>
        <w:rPr>
          <w:spacing w:val="-4"/>
        </w:rPr>
        <w:t> </w:t>
      </w:r>
      <w:r>
        <w:rPr/>
        <w:t>the</w:t>
      </w:r>
      <w:r>
        <w:rPr>
          <w:spacing w:val="-6"/>
        </w:rPr>
        <w:t> </w:t>
      </w:r>
      <w:r>
        <w:rPr/>
        <w:t>financial</w:t>
      </w:r>
      <w:r>
        <w:rPr>
          <w:spacing w:val="-4"/>
        </w:rPr>
        <w:t> </w:t>
      </w:r>
      <w:r>
        <w:rPr/>
        <w:t>planning</w:t>
      </w:r>
      <w:r>
        <w:rPr>
          <w:spacing w:val="-4"/>
        </w:rPr>
        <w:t> </w:t>
      </w:r>
      <w:r>
        <w:rPr/>
        <w:t>process.</w:t>
      </w:r>
      <w:r>
        <w:rPr>
          <w:spacing w:val="-4"/>
        </w:rPr>
        <w:t> </w:t>
      </w:r>
      <w:r>
        <w:rPr/>
        <w:t>The</w:t>
      </w:r>
      <w:r>
        <w:rPr>
          <w:spacing w:val="-4"/>
        </w:rPr>
        <w:t> </w:t>
      </w:r>
      <w:r>
        <w:rPr/>
        <w:t>Fair Go</w:t>
      </w:r>
      <w:r>
        <w:rPr>
          <w:spacing w:val="-6"/>
        </w:rPr>
        <w:t> </w:t>
      </w:r>
      <w:r>
        <w:rPr/>
        <w:t>Rates</w:t>
      </w:r>
      <w:r>
        <w:rPr>
          <w:spacing w:val="-6"/>
        </w:rPr>
        <w:t> </w:t>
      </w:r>
      <w:r>
        <w:rPr/>
        <w:t>System</w:t>
      </w:r>
      <w:r>
        <w:rPr>
          <w:spacing w:val="-8"/>
        </w:rPr>
        <w:t> </w:t>
      </w:r>
      <w:r>
        <w:rPr/>
        <w:t>(FGRS)</w:t>
      </w:r>
      <w:r>
        <w:rPr>
          <w:spacing w:val="-5"/>
        </w:rPr>
        <w:t> </w:t>
      </w:r>
      <w:r>
        <w:rPr/>
        <w:t>sets</w:t>
      </w:r>
      <w:r>
        <w:rPr>
          <w:spacing w:val="-4"/>
        </w:rPr>
        <w:t> </w:t>
      </w:r>
      <w:r>
        <w:rPr/>
        <w:t>out</w:t>
      </w:r>
      <w:r>
        <w:rPr>
          <w:spacing w:val="-6"/>
        </w:rPr>
        <w:t> </w:t>
      </w:r>
      <w:r>
        <w:rPr/>
        <w:t>the</w:t>
      </w:r>
      <w:r>
        <w:rPr>
          <w:spacing w:val="-8"/>
        </w:rPr>
        <w:t> </w:t>
      </w:r>
      <w:r>
        <w:rPr/>
        <w:t>maximum</w:t>
      </w:r>
      <w:r>
        <w:rPr>
          <w:spacing w:val="-6"/>
        </w:rPr>
        <w:t> </w:t>
      </w:r>
      <w:r>
        <w:rPr/>
        <w:t>amount</w:t>
      </w:r>
      <w:r>
        <w:rPr>
          <w:spacing w:val="-4"/>
        </w:rPr>
        <w:t> </w:t>
      </w:r>
      <w:r>
        <w:rPr/>
        <w:t>councils</w:t>
      </w:r>
      <w:r>
        <w:rPr>
          <w:spacing w:val="-11"/>
        </w:rPr>
        <w:t> </w:t>
      </w:r>
      <w:r>
        <w:rPr/>
        <w:t>may</w:t>
      </w:r>
      <w:r>
        <w:rPr>
          <w:spacing w:val="-6"/>
        </w:rPr>
        <w:t> </w:t>
      </w:r>
      <w:r>
        <w:rPr/>
        <w:t>increase</w:t>
      </w:r>
      <w:r>
        <w:rPr>
          <w:spacing w:val="-6"/>
        </w:rPr>
        <w:t> </w:t>
      </w:r>
      <w:r>
        <w:rPr/>
        <w:t>rates</w:t>
      </w:r>
      <w:r>
        <w:rPr>
          <w:spacing w:val="-6"/>
        </w:rPr>
        <w:t> </w:t>
      </w:r>
      <w:r>
        <w:rPr/>
        <w:t>in</w:t>
      </w:r>
      <w:r>
        <w:rPr>
          <w:spacing w:val="-8"/>
        </w:rPr>
        <w:t> </w:t>
      </w:r>
      <w:r>
        <w:rPr/>
        <w:t>a</w:t>
      </w:r>
      <w:r>
        <w:rPr>
          <w:spacing w:val="-8"/>
        </w:rPr>
        <w:t> </w:t>
      </w:r>
      <w:r>
        <w:rPr/>
        <w:t>year.</w:t>
      </w:r>
      <w:r>
        <w:rPr>
          <w:spacing w:val="-6"/>
        </w:rPr>
        <w:t> </w:t>
      </w:r>
      <w:r>
        <w:rPr/>
        <w:t>For</w:t>
      </w:r>
      <w:r>
        <w:rPr>
          <w:spacing w:val="-9"/>
        </w:rPr>
        <w:t> </w:t>
      </w:r>
      <w:r>
        <w:rPr/>
        <w:t>2024/25 the FGRS cap has been set at 2.75%. The cap applies to both general rates and municipal charges and is calculated on the basis of council’s average rates and charges.</w:t>
      </w:r>
    </w:p>
    <w:p>
      <w:pPr>
        <w:pStyle w:val="BodyText"/>
        <w:spacing w:before="5"/>
        <w:rPr>
          <w:sz w:val="25"/>
        </w:rPr>
      </w:pPr>
    </w:p>
    <w:p>
      <w:pPr>
        <w:pStyle w:val="BodyText"/>
        <w:spacing w:before="1"/>
        <w:ind w:left="260" w:right="556"/>
        <w:jc w:val="both"/>
      </w:pPr>
      <w:r>
        <w:rPr/>
        <w:t>The</w:t>
      </w:r>
      <w:r>
        <w:rPr>
          <w:spacing w:val="-8"/>
        </w:rPr>
        <w:t> </w:t>
      </w:r>
      <w:r>
        <w:rPr/>
        <w:t>level</w:t>
      </w:r>
      <w:r>
        <w:rPr>
          <w:spacing w:val="-8"/>
        </w:rPr>
        <w:t> </w:t>
      </w:r>
      <w:r>
        <w:rPr/>
        <w:t>of</w:t>
      </w:r>
      <w:r>
        <w:rPr>
          <w:spacing w:val="-11"/>
        </w:rPr>
        <w:t> </w:t>
      </w:r>
      <w:r>
        <w:rPr/>
        <w:t>required</w:t>
      </w:r>
      <w:r>
        <w:rPr>
          <w:spacing w:val="-11"/>
        </w:rPr>
        <w:t> </w:t>
      </w:r>
      <w:r>
        <w:rPr/>
        <w:t>rates</w:t>
      </w:r>
      <w:r>
        <w:rPr>
          <w:spacing w:val="-8"/>
        </w:rPr>
        <w:t> </w:t>
      </w:r>
      <w:r>
        <w:rPr/>
        <w:t>and</w:t>
      </w:r>
      <w:r>
        <w:rPr>
          <w:spacing w:val="-10"/>
        </w:rPr>
        <w:t> </w:t>
      </w:r>
      <w:r>
        <w:rPr/>
        <w:t>charges</w:t>
      </w:r>
      <w:r>
        <w:rPr>
          <w:spacing w:val="-11"/>
        </w:rPr>
        <w:t> </w:t>
      </w:r>
      <w:r>
        <w:rPr/>
        <w:t>has</w:t>
      </w:r>
      <w:r>
        <w:rPr>
          <w:spacing w:val="-11"/>
        </w:rPr>
        <w:t> </w:t>
      </w:r>
      <w:r>
        <w:rPr/>
        <w:t>been</w:t>
      </w:r>
      <w:r>
        <w:rPr>
          <w:spacing w:val="-14"/>
        </w:rPr>
        <w:t> </w:t>
      </w:r>
      <w:r>
        <w:rPr/>
        <w:t>considered</w:t>
      </w:r>
      <w:r>
        <w:rPr>
          <w:spacing w:val="-8"/>
        </w:rPr>
        <w:t> </w:t>
      </w:r>
      <w:r>
        <w:rPr/>
        <w:t>in</w:t>
      </w:r>
      <w:r>
        <w:rPr>
          <w:spacing w:val="-12"/>
        </w:rPr>
        <w:t> </w:t>
      </w:r>
      <w:r>
        <w:rPr/>
        <w:t>this</w:t>
      </w:r>
      <w:r>
        <w:rPr>
          <w:spacing w:val="-11"/>
        </w:rPr>
        <w:t> </w:t>
      </w:r>
      <w:r>
        <w:rPr/>
        <w:t>context,</w:t>
      </w:r>
      <w:r>
        <w:rPr>
          <w:spacing w:val="-8"/>
        </w:rPr>
        <w:t> </w:t>
      </w:r>
      <w:r>
        <w:rPr/>
        <w:t>with</w:t>
      </w:r>
      <w:r>
        <w:rPr>
          <w:spacing w:val="-12"/>
        </w:rPr>
        <w:t> </w:t>
      </w:r>
      <w:r>
        <w:rPr/>
        <w:t>reference</w:t>
      </w:r>
      <w:r>
        <w:rPr>
          <w:spacing w:val="-10"/>
        </w:rPr>
        <w:t> </w:t>
      </w:r>
      <w:r>
        <w:rPr/>
        <w:t>to</w:t>
      </w:r>
      <w:r>
        <w:rPr>
          <w:spacing w:val="-10"/>
        </w:rPr>
        <w:t> </w:t>
      </w:r>
      <w:r>
        <w:rPr/>
        <w:t>Council's</w:t>
      </w:r>
      <w:r>
        <w:rPr>
          <w:spacing w:val="-8"/>
        </w:rPr>
        <w:t> </w:t>
      </w:r>
      <w:r>
        <w:rPr/>
        <w:t>other sources</w:t>
      </w:r>
      <w:r>
        <w:rPr>
          <w:spacing w:val="-2"/>
        </w:rPr>
        <w:t> </w:t>
      </w:r>
      <w:r>
        <w:rPr/>
        <w:t>of</w:t>
      </w:r>
      <w:r>
        <w:rPr>
          <w:spacing w:val="-4"/>
        </w:rPr>
        <w:t> </w:t>
      </w:r>
      <w:r>
        <w:rPr/>
        <w:t>income</w:t>
      </w:r>
      <w:r>
        <w:rPr>
          <w:spacing w:val="-3"/>
        </w:rPr>
        <w:t> </w:t>
      </w:r>
      <w:r>
        <w:rPr/>
        <w:t>and</w:t>
      </w:r>
      <w:r>
        <w:rPr>
          <w:spacing w:val="-4"/>
        </w:rPr>
        <w:t> </w:t>
      </w:r>
      <w:r>
        <w:rPr/>
        <w:t>the</w:t>
      </w:r>
      <w:r>
        <w:rPr>
          <w:spacing w:val="-2"/>
        </w:rPr>
        <w:t> </w:t>
      </w:r>
      <w:r>
        <w:rPr/>
        <w:t>planned</w:t>
      </w:r>
      <w:r>
        <w:rPr>
          <w:spacing w:val="-1"/>
        </w:rPr>
        <w:t> </w:t>
      </w:r>
      <w:r>
        <w:rPr/>
        <w:t>expenditure</w:t>
      </w:r>
      <w:r>
        <w:rPr>
          <w:spacing w:val="-4"/>
        </w:rPr>
        <w:t> </w:t>
      </w:r>
      <w:r>
        <w:rPr/>
        <w:t>on</w:t>
      </w:r>
      <w:r>
        <w:rPr>
          <w:spacing w:val="-2"/>
        </w:rPr>
        <w:t> </w:t>
      </w:r>
      <w:r>
        <w:rPr/>
        <w:t>services</w:t>
      </w:r>
      <w:r>
        <w:rPr>
          <w:spacing w:val="-4"/>
        </w:rPr>
        <w:t> </w:t>
      </w:r>
      <w:r>
        <w:rPr/>
        <w:t>and</w:t>
      </w:r>
      <w:r>
        <w:rPr>
          <w:spacing w:val="-2"/>
        </w:rPr>
        <w:t> </w:t>
      </w:r>
      <w:r>
        <w:rPr/>
        <w:t>works</w:t>
      </w:r>
      <w:r>
        <w:rPr>
          <w:spacing w:val="-4"/>
        </w:rPr>
        <w:t> </w:t>
      </w:r>
      <w:r>
        <w:rPr/>
        <w:t>to</w:t>
      </w:r>
      <w:r>
        <w:rPr>
          <w:spacing w:val="-6"/>
        </w:rPr>
        <w:t> </w:t>
      </w:r>
      <w:r>
        <w:rPr/>
        <w:t>be</w:t>
      </w:r>
      <w:r>
        <w:rPr>
          <w:spacing w:val="-2"/>
        </w:rPr>
        <w:t> </w:t>
      </w:r>
      <w:r>
        <w:rPr/>
        <w:t>undertaken</w:t>
      </w:r>
      <w:r>
        <w:rPr>
          <w:spacing w:val="-4"/>
        </w:rPr>
        <w:t> </w:t>
      </w:r>
      <w:r>
        <w:rPr/>
        <w:t>for</w:t>
      </w:r>
      <w:r>
        <w:rPr>
          <w:spacing w:val="-2"/>
        </w:rPr>
        <w:t> </w:t>
      </w:r>
      <w:r>
        <w:rPr/>
        <w:t>the</w:t>
      </w:r>
      <w:r>
        <w:rPr>
          <w:spacing w:val="-2"/>
        </w:rPr>
        <w:t> community.</w:t>
      </w:r>
    </w:p>
    <w:p>
      <w:pPr>
        <w:pStyle w:val="BodyText"/>
        <w:spacing w:before="5"/>
        <w:rPr>
          <w:sz w:val="25"/>
        </w:rPr>
      </w:pPr>
    </w:p>
    <w:p>
      <w:pPr>
        <w:pStyle w:val="BodyText"/>
        <w:ind w:left="260" w:right="555"/>
        <w:jc w:val="both"/>
      </w:pPr>
      <w:r>
        <w:rPr/>
        <w:t>To achieve these objectives while maintaining service levels and a strong capital expenditure program, the average general rate and the municipal charge will increase by 2.75% in line with the rate cap.</w:t>
      </w:r>
    </w:p>
    <w:p>
      <w:pPr>
        <w:spacing w:after="0"/>
        <w:jc w:val="both"/>
        <w:sectPr>
          <w:pgSz w:w="11910" w:h="16840"/>
          <w:pgMar w:header="0" w:footer="426" w:top="840" w:bottom="740" w:left="460" w:right="160"/>
        </w:sectPr>
      </w:pPr>
    </w:p>
    <w:p>
      <w:pPr>
        <w:pStyle w:val="BodyText"/>
        <w:spacing w:before="81"/>
        <w:ind w:left="980" w:right="554" w:hanging="721"/>
        <w:jc w:val="both"/>
      </w:pPr>
      <w:r>
        <w:rPr/>
        <w:pict>
          <v:shape style="position:absolute;margin-left:252.839005pt;margin-top:596.879944pt;width:306.150pt;height:15.5pt;mso-position-horizontal-relative:page;mso-position-vertical-relative:page;z-index:-38060032" id="docshape50" coordorigin="5057,11938" coordsize="6123,310" path="m11179,11938l5057,11938,5057,11947,5057,12247,6509,12247,8282,12247,9734,12247,11179,12247,11179,11947,11179,11938xe" filled="true" fillcolor="#d8d8d8" stroked="false">
            <v:path arrowok="t"/>
            <v:fill type="solid"/>
            <w10:wrap type="none"/>
          </v:shape>
        </w:pict>
      </w:r>
      <w:r>
        <w:rPr/>
        <w:t>4.1.1(a)The reconciliation of the total rates and charges to the Comprehensive Income Statement is as </w:t>
      </w:r>
      <w:r>
        <w:rPr>
          <w:spacing w:val="-2"/>
        </w:rPr>
        <w:t>follows:</w:t>
      </w:r>
    </w:p>
    <w:p>
      <w:pPr>
        <w:pStyle w:val="BodyText"/>
      </w:pPr>
    </w:p>
    <w:tbl>
      <w:tblPr>
        <w:tblW w:w="0" w:type="auto"/>
        <w:jc w:val="left"/>
        <w:tblInd w:w="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99"/>
        <w:gridCol w:w="1886"/>
        <w:gridCol w:w="1888"/>
        <w:gridCol w:w="1894"/>
        <w:gridCol w:w="1023"/>
      </w:tblGrid>
      <w:tr>
        <w:trPr>
          <w:trHeight w:val="892" w:hRule="atLeast"/>
        </w:trPr>
        <w:tc>
          <w:tcPr>
            <w:tcW w:w="5685" w:type="dxa"/>
            <w:gridSpan w:val="2"/>
            <w:tcBorders>
              <w:top w:val="single" w:sz="4" w:space="0" w:color="000000"/>
              <w:left w:val="single" w:sz="4" w:space="0" w:color="000000"/>
            </w:tcBorders>
            <w:shd w:val="clear" w:color="auto" w:fill="629CD1"/>
          </w:tcPr>
          <w:p>
            <w:pPr>
              <w:pStyle w:val="TableParagraph"/>
              <w:spacing w:before="49"/>
              <w:ind w:left="4062" w:right="257"/>
              <w:jc w:val="center"/>
              <w:rPr>
                <w:b/>
                <w:sz w:val="18"/>
              </w:rPr>
            </w:pPr>
            <w:r>
              <w:rPr>
                <w:b/>
                <w:color w:val="FFFFFF"/>
                <w:sz w:val="18"/>
              </w:rPr>
              <w:t>Forecast</w:t>
            </w:r>
            <w:r>
              <w:rPr>
                <w:b/>
                <w:color w:val="FFFFFF"/>
                <w:spacing w:val="-13"/>
                <w:sz w:val="18"/>
              </w:rPr>
              <w:t> </w:t>
            </w:r>
            <w:r>
              <w:rPr>
                <w:b/>
                <w:color w:val="FFFFFF"/>
                <w:sz w:val="18"/>
              </w:rPr>
              <w:t>Actual </w:t>
            </w:r>
            <w:r>
              <w:rPr>
                <w:b/>
                <w:color w:val="FFFFFF"/>
                <w:spacing w:val="-2"/>
                <w:sz w:val="18"/>
              </w:rPr>
              <w:t>2023/2024</w:t>
            </w:r>
          </w:p>
          <w:p>
            <w:pPr>
              <w:pStyle w:val="TableParagraph"/>
              <w:spacing w:before="136"/>
              <w:ind w:left="4062" w:right="256"/>
              <w:jc w:val="center"/>
              <w:rPr>
                <w:b/>
                <w:sz w:val="18"/>
              </w:rPr>
            </w:pPr>
            <w:r>
              <w:rPr>
                <w:b/>
                <w:color w:val="FFFFFF"/>
                <w:spacing w:val="-2"/>
                <w:sz w:val="18"/>
              </w:rPr>
              <w:t>$’000</w:t>
            </w:r>
          </w:p>
        </w:tc>
        <w:tc>
          <w:tcPr>
            <w:tcW w:w="1888" w:type="dxa"/>
            <w:tcBorders>
              <w:top w:val="single" w:sz="4" w:space="0" w:color="000000"/>
            </w:tcBorders>
            <w:shd w:val="clear" w:color="auto" w:fill="629CD1"/>
          </w:tcPr>
          <w:p>
            <w:pPr>
              <w:pStyle w:val="TableParagraph"/>
              <w:spacing w:before="49"/>
              <w:ind w:left="523" w:right="507" w:hanging="3"/>
              <w:jc w:val="center"/>
              <w:rPr>
                <w:b/>
                <w:sz w:val="18"/>
              </w:rPr>
            </w:pPr>
            <w:r>
              <w:rPr>
                <w:b/>
                <w:color w:val="FFFFFF"/>
                <w:spacing w:val="-2"/>
                <w:sz w:val="18"/>
              </w:rPr>
              <w:t>Budget 2024/2025</w:t>
            </w:r>
          </w:p>
          <w:p>
            <w:pPr>
              <w:pStyle w:val="TableParagraph"/>
              <w:spacing w:before="136"/>
              <w:ind w:left="708" w:right="698"/>
              <w:jc w:val="center"/>
              <w:rPr>
                <w:b/>
                <w:sz w:val="18"/>
              </w:rPr>
            </w:pPr>
            <w:r>
              <w:rPr>
                <w:b/>
                <w:color w:val="FFFFFF"/>
                <w:spacing w:val="-2"/>
                <w:sz w:val="18"/>
              </w:rPr>
              <w:t>$’000</w:t>
            </w:r>
          </w:p>
        </w:tc>
        <w:tc>
          <w:tcPr>
            <w:tcW w:w="1894" w:type="dxa"/>
            <w:tcBorders>
              <w:top w:val="single" w:sz="4" w:space="0" w:color="000000"/>
            </w:tcBorders>
            <w:shd w:val="clear" w:color="auto" w:fill="629CD1"/>
          </w:tcPr>
          <w:p>
            <w:pPr>
              <w:pStyle w:val="TableParagraph"/>
              <w:spacing w:before="155"/>
              <w:ind w:left="1134"/>
              <w:rPr>
                <w:b/>
                <w:sz w:val="18"/>
              </w:rPr>
            </w:pPr>
            <w:r>
              <w:rPr>
                <w:b/>
                <w:color w:val="FFFFFF"/>
                <w:spacing w:val="-2"/>
                <w:sz w:val="18"/>
              </w:rPr>
              <w:t>Change</w:t>
            </w:r>
          </w:p>
          <w:p>
            <w:pPr>
              <w:pStyle w:val="TableParagraph"/>
              <w:spacing w:before="7"/>
              <w:rPr>
                <w:sz w:val="20"/>
              </w:rPr>
            </w:pPr>
          </w:p>
          <w:p>
            <w:pPr>
              <w:pStyle w:val="TableParagraph"/>
              <w:ind w:left="598"/>
              <w:rPr>
                <w:b/>
                <w:sz w:val="18"/>
              </w:rPr>
            </w:pPr>
            <w:r>
              <w:rPr>
                <w:b/>
                <w:color w:val="FFFFFF"/>
                <w:spacing w:val="-2"/>
                <w:sz w:val="18"/>
              </w:rPr>
              <w:t>$’000</w:t>
            </w:r>
          </w:p>
        </w:tc>
        <w:tc>
          <w:tcPr>
            <w:tcW w:w="1023" w:type="dxa"/>
            <w:tcBorders>
              <w:top w:val="single" w:sz="4" w:space="0" w:color="000000"/>
              <w:right w:val="single" w:sz="4" w:space="0" w:color="000000"/>
            </w:tcBorders>
            <w:shd w:val="clear" w:color="auto" w:fill="629CD1"/>
          </w:tcPr>
          <w:p>
            <w:pPr>
              <w:pStyle w:val="TableParagraph"/>
              <w:rPr>
                <w:sz w:val="20"/>
              </w:rPr>
            </w:pPr>
          </w:p>
          <w:p>
            <w:pPr>
              <w:pStyle w:val="TableParagraph"/>
              <w:rPr>
                <w:sz w:val="20"/>
              </w:rPr>
            </w:pPr>
          </w:p>
          <w:p>
            <w:pPr>
              <w:pStyle w:val="TableParagraph"/>
              <w:spacing w:before="139"/>
              <w:ind w:left="305"/>
              <w:rPr>
                <w:b/>
                <w:sz w:val="18"/>
              </w:rPr>
            </w:pPr>
            <w:r>
              <w:rPr>
                <w:b/>
                <w:color w:val="FFFFFF"/>
                <w:sz w:val="18"/>
              </w:rPr>
              <w:t>%</w:t>
            </w:r>
          </w:p>
        </w:tc>
      </w:tr>
      <w:tr>
        <w:trPr>
          <w:trHeight w:val="305" w:hRule="atLeast"/>
        </w:trPr>
        <w:tc>
          <w:tcPr>
            <w:tcW w:w="3799" w:type="dxa"/>
            <w:tcBorders>
              <w:left w:val="single" w:sz="4" w:space="0" w:color="000000"/>
            </w:tcBorders>
          </w:tcPr>
          <w:p>
            <w:pPr>
              <w:pStyle w:val="TableParagraph"/>
              <w:spacing w:before="35"/>
              <w:ind w:left="107"/>
              <w:rPr>
                <w:sz w:val="20"/>
              </w:rPr>
            </w:pPr>
            <w:r>
              <w:rPr>
                <w:sz w:val="20"/>
              </w:rPr>
              <w:t>General</w:t>
            </w:r>
            <w:r>
              <w:rPr>
                <w:spacing w:val="-8"/>
                <w:sz w:val="20"/>
              </w:rPr>
              <w:t> </w:t>
            </w:r>
            <w:r>
              <w:rPr>
                <w:spacing w:val="-2"/>
                <w:sz w:val="20"/>
              </w:rPr>
              <w:t>rates*</w:t>
            </w:r>
          </w:p>
        </w:tc>
        <w:tc>
          <w:tcPr>
            <w:tcW w:w="1886" w:type="dxa"/>
          </w:tcPr>
          <w:p>
            <w:pPr>
              <w:pStyle w:val="TableParagraph"/>
              <w:spacing w:before="35"/>
              <w:ind w:right="99"/>
              <w:jc w:val="right"/>
              <w:rPr>
                <w:sz w:val="20"/>
              </w:rPr>
            </w:pPr>
            <w:r>
              <w:rPr>
                <w:spacing w:val="-2"/>
                <w:sz w:val="20"/>
              </w:rPr>
              <w:t>86,799</w:t>
            </w:r>
          </w:p>
        </w:tc>
        <w:tc>
          <w:tcPr>
            <w:tcW w:w="1888" w:type="dxa"/>
            <w:shd w:val="clear" w:color="auto" w:fill="DDEBF6"/>
          </w:tcPr>
          <w:p>
            <w:pPr>
              <w:pStyle w:val="TableParagraph"/>
              <w:spacing w:before="35"/>
              <w:ind w:right="99"/>
              <w:jc w:val="right"/>
              <w:rPr>
                <w:b/>
                <w:sz w:val="20"/>
              </w:rPr>
            </w:pPr>
            <w:r>
              <w:rPr>
                <w:b/>
                <w:spacing w:val="-2"/>
                <w:sz w:val="20"/>
              </w:rPr>
              <w:t>90,190</w:t>
            </w:r>
          </w:p>
        </w:tc>
        <w:tc>
          <w:tcPr>
            <w:tcW w:w="1894" w:type="dxa"/>
          </w:tcPr>
          <w:p>
            <w:pPr>
              <w:pStyle w:val="TableParagraph"/>
              <w:spacing w:before="35"/>
              <w:ind w:right="356"/>
              <w:jc w:val="right"/>
              <w:rPr>
                <w:sz w:val="20"/>
              </w:rPr>
            </w:pPr>
            <w:r>
              <w:rPr>
                <w:spacing w:val="-2"/>
                <w:sz w:val="20"/>
              </w:rPr>
              <w:t>3,391</w:t>
            </w:r>
          </w:p>
        </w:tc>
        <w:tc>
          <w:tcPr>
            <w:tcW w:w="1023" w:type="dxa"/>
            <w:tcBorders>
              <w:right w:val="single" w:sz="4" w:space="0" w:color="000000"/>
            </w:tcBorders>
          </w:tcPr>
          <w:p>
            <w:pPr>
              <w:pStyle w:val="TableParagraph"/>
              <w:spacing w:before="35"/>
              <w:ind w:right="93"/>
              <w:jc w:val="right"/>
              <w:rPr>
                <w:b/>
                <w:sz w:val="20"/>
              </w:rPr>
            </w:pPr>
            <w:r>
              <w:rPr>
                <w:b/>
                <w:spacing w:val="-2"/>
                <w:sz w:val="20"/>
              </w:rPr>
              <w:t>3.91%</w:t>
            </w:r>
          </w:p>
        </w:tc>
      </w:tr>
      <w:tr>
        <w:trPr>
          <w:trHeight w:val="302" w:hRule="atLeast"/>
        </w:trPr>
        <w:tc>
          <w:tcPr>
            <w:tcW w:w="3799" w:type="dxa"/>
            <w:tcBorders>
              <w:left w:val="single" w:sz="4" w:space="0" w:color="000000"/>
            </w:tcBorders>
          </w:tcPr>
          <w:p>
            <w:pPr>
              <w:pStyle w:val="TableParagraph"/>
              <w:spacing w:before="32"/>
              <w:ind w:left="107"/>
              <w:rPr>
                <w:sz w:val="20"/>
              </w:rPr>
            </w:pPr>
            <w:r>
              <w:rPr>
                <w:sz w:val="20"/>
              </w:rPr>
              <w:t>Service</w:t>
            </w:r>
            <w:r>
              <w:rPr>
                <w:spacing w:val="-6"/>
                <w:sz w:val="20"/>
              </w:rPr>
              <w:t> </w:t>
            </w:r>
            <w:r>
              <w:rPr>
                <w:sz w:val="20"/>
              </w:rPr>
              <w:t>rates</w:t>
            </w:r>
            <w:r>
              <w:rPr>
                <w:spacing w:val="-4"/>
                <w:sz w:val="20"/>
              </w:rPr>
              <w:t> </w:t>
            </w:r>
            <w:r>
              <w:rPr>
                <w:sz w:val="20"/>
              </w:rPr>
              <w:t>and</w:t>
            </w:r>
            <w:r>
              <w:rPr>
                <w:spacing w:val="-6"/>
                <w:sz w:val="20"/>
              </w:rPr>
              <w:t> </w:t>
            </w:r>
            <w:r>
              <w:rPr>
                <w:spacing w:val="-2"/>
                <w:sz w:val="20"/>
              </w:rPr>
              <w:t>charges</w:t>
            </w:r>
          </w:p>
        </w:tc>
        <w:tc>
          <w:tcPr>
            <w:tcW w:w="1886" w:type="dxa"/>
          </w:tcPr>
          <w:p>
            <w:pPr>
              <w:pStyle w:val="TableParagraph"/>
              <w:spacing w:before="32"/>
              <w:ind w:right="99"/>
              <w:jc w:val="right"/>
              <w:rPr>
                <w:sz w:val="20"/>
              </w:rPr>
            </w:pPr>
            <w:r>
              <w:rPr>
                <w:spacing w:val="-2"/>
                <w:sz w:val="20"/>
              </w:rPr>
              <w:t>19,947</w:t>
            </w:r>
          </w:p>
        </w:tc>
        <w:tc>
          <w:tcPr>
            <w:tcW w:w="1888" w:type="dxa"/>
            <w:shd w:val="clear" w:color="auto" w:fill="DDEBF6"/>
          </w:tcPr>
          <w:p>
            <w:pPr>
              <w:pStyle w:val="TableParagraph"/>
              <w:spacing w:before="32"/>
              <w:ind w:right="99"/>
              <w:jc w:val="right"/>
              <w:rPr>
                <w:b/>
                <w:sz w:val="20"/>
              </w:rPr>
            </w:pPr>
            <w:r>
              <w:rPr>
                <w:b/>
                <w:spacing w:val="-2"/>
                <w:sz w:val="20"/>
              </w:rPr>
              <w:t>20,496</w:t>
            </w:r>
          </w:p>
        </w:tc>
        <w:tc>
          <w:tcPr>
            <w:tcW w:w="1894" w:type="dxa"/>
          </w:tcPr>
          <w:p>
            <w:pPr>
              <w:pStyle w:val="TableParagraph"/>
              <w:spacing w:before="32"/>
              <w:ind w:right="357"/>
              <w:jc w:val="right"/>
              <w:rPr>
                <w:sz w:val="20"/>
              </w:rPr>
            </w:pPr>
            <w:r>
              <w:rPr>
                <w:spacing w:val="-5"/>
                <w:sz w:val="20"/>
              </w:rPr>
              <w:t>549</w:t>
            </w:r>
          </w:p>
        </w:tc>
        <w:tc>
          <w:tcPr>
            <w:tcW w:w="1023" w:type="dxa"/>
            <w:tcBorders>
              <w:right w:val="single" w:sz="4" w:space="0" w:color="000000"/>
            </w:tcBorders>
          </w:tcPr>
          <w:p>
            <w:pPr>
              <w:pStyle w:val="TableParagraph"/>
              <w:spacing w:before="32"/>
              <w:ind w:right="93"/>
              <w:jc w:val="right"/>
              <w:rPr>
                <w:b/>
                <w:sz w:val="20"/>
              </w:rPr>
            </w:pPr>
            <w:r>
              <w:rPr>
                <w:b/>
                <w:spacing w:val="-2"/>
                <w:sz w:val="20"/>
              </w:rPr>
              <w:t>2.75%</w:t>
            </w:r>
          </w:p>
        </w:tc>
      </w:tr>
      <w:tr>
        <w:trPr>
          <w:trHeight w:val="298" w:hRule="atLeast"/>
        </w:trPr>
        <w:tc>
          <w:tcPr>
            <w:tcW w:w="3799" w:type="dxa"/>
            <w:tcBorders>
              <w:left w:val="single" w:sz="4" w:space="0" w:color="000000"/>
            </w:tcBorders>
          </w:tcPr>
          <w:p>
            <w:pPr>
              <w:pStyle w:val="TableParagraph"/>
              <w:spacing w:before="32"/>
              <w:ind w:left="107"/>
              <w:rPr>
                <w:sz w:val="20"/>
              </w:rPr>
            </w:pPr>
            <w:r>
              <w:rPr>
                <w:sz w:val="20"/>
              </w:rPr>
              <w:t>Special</w:t>
            </w:r>
            <w:r>
              <w:rPr>
                <w:spacing w:val="-7"/>
                <w:sz w:val="20"/>
              </w:rPr>
              <w:t> </w:t>
            </w:r>
            <w:r>
              <w:rPr>
                <w:sz w:val="20"/>
              </w:rPr>
              <w:t>rates</w:t>
            </w:r>
            <w:r>
              <w:rPr>
                <w:spacing w:val="-6"/>
                <w:sz w:val="20"/>
              </w:rPr>
              <w:t> </w:t>
            </w:r>
            <w:r>
              <w:rPr>
                <w:sz w:val="20"/>
              </w:rPr>
              <w:t>and</w:t>
            </w:r>
            <w:r>
              <w:rPr>
                <w:spacing w:val="-7"/>
                <w:sz w:val="20"/>
              </w:rPr>
              <w:t> </w:t>
            </w:r>
            <w:r>
              <w:rPr>
                <w:spacing w:val="-2"/>
                <w:sz w:val="20"/>
              </w:rPr>
              <w:t>charges</w:t>
            </w:r>
          </w:p>
        </w:tc>
        <w:tc>
          <w:tcPr>
            <w:tcW w:w="1886" w:type="dxa"/>
          </w:tcPr>
          <w:p>
            <w:pPr>
              <w:pStyle w:val="TableParagraph"/>
              <w:spacing w:before="32"/>
              <w:ind w:right="102"/>
              <w:jc w:val="right"/>
              <w:rPr>
                <w:sz w:val="20"/>
              </w:rPr>
            </w:pPr>
            <w:r>
              <w:rPr>
                <w:spacing w:val="-5"/>
                <w:sz w:val="20"/>
              </w:rPr>
              <w:t>182</w:t>
            </w:r>
          </w:p>
        </w:tc>
        <w:tc>
          <w:tcPr>
            <w:tcW w:w="1888" w:type="dxa"/>
            <w:shd w:val="clear" w:color="auto" w:fill="DDEBF6"/>
          </w:tcPr>
          <w:p>
            <w:pPr>
              <w:pStyle w:val="TableParagraph"/>
              <w:spacing w:before="32"/>
              <w:ind w:right="102"/>
              <w:jc w:val="right"/>
              <w:rPr>
                <w:b/>
                <w:sz w:val="20"/>
              </w:rPr>
            </w:pPr>
            <w:r>
              <w:rPr>
                <w:b/>
                <w:spacing w:val="-5"/>
                <w:sz w:val="20"/>
              </w:rPr>
              <w:t>142</w:t>
            </w:r>
          </w:p>
        </w:tc>
        <w:tc>
          <w:tcPr>
            <w:tcW w:w="1894" w:type="dxa"/>
          </w:tcPr>
          <w:p>
            <w:pPr>
              <w:pStyle w:val="TableParagraph"/>
              <w:spacing w:before="32"/>
              <w:ind w:right="355"/>
              <w:jc w:val="right"/>
              <w:rPr>
                <w:sz w:val="20"/>
              </w:rPr>
            </w:pPr>
            <w:r>
              <w:rPr>
                <w:spacing w:val="-4"/>
                <w:sz w:val="20"/>
              </w:rPr>
              <w:t>(40)</w:t>
            </w:r>
          </w:p>
        </w:tc>
        <w:tc>
          <w:tcPr>
            <w:tcW w:w="1023" w:type="dxa"/>
            <w:tcBorders>
              <w:right w:val="single" w:sz="4" w:space="0" w:color="000000"/>
            </w:tcBorders>
          </w:tcPr>
          <w:p>
            <w:pPr>
              <w:pStyle w:val="TableParagraph"/>
              <w:spacing w:before="32"/>
              <w:ind w:right="96"/>
              <w:jc w:val="right"/>
              <w:rPr>
                <w:b/>
                <w:sz w:val="20"/>
              </w:rPr>
            </w:pPr>
            <w:r>
              <w:rPr>
                <w:b/>
                <w:spacing w:val="-2"/>
                <w:sz w:val="20"/>
              </w:rPr>
              <w:t>(22.02%)</w:t>
            </w:r>
          </w:p>
        </w:tc>
      </w:tr>
      <w:tr>
        <w:trPr>
          <w:trHeight w:val="527" w:hRule="atLeast"/>
        </w:trPr>
        <w:tc>
          <w:tcPr>
            <w:tcW w:w="3799" w:type="dxa"/>
            <w:tcBorders>
              <w:left w:val="single" w:sz="4" w:space="0" w:color="000000"/>
            </w:tcBorders>
          </w:tcPr>
          <w:p>
            <w:pPr>
              <w:pStyle w:val="TableParagraph"/>
              <w:spacing w:before="29"/>
              <w:ind w:left="107" w:right="49"/>
              <w:rPr>
                <w:sz w:val="20"/>
              </w:rPr>
            </w:pPr>
            <w:r>
              <w:rPr>
                <w:sz w:val="20"/>
              </w:rPr>
              <w:t>Supplementary</w:t>
            </w:r>
            <w:r>
              <w:rPr>
                <w:spacing w:val="-12"/>
                <w:sz w:val="20"/>
              </w:rPr>
              <w:t> </w:t>
            </w:r>
            <w:r>
              <w:rPr>
                <w:sz w:val="20"/>
              </w:rPr>
              <w:t>rates</w:t>
            </w:r>
            <w:r>
              <w:rPr>
                <w:spacing w:val="-10"/>
                <w:sz w:val="20"/>
              </w:rPr>
              <w:t> </w:t>
            </w:r>
            <w:r>
              <w:rPr>
                <w:sz w:val="20"/>
              </w:rPr>
              <w:t>and</w:t>
            </w:r>
            <w:r>
              <w:rPr>
                <w:spacing w:val="-12"/>
                <w:sz w:val="20"/>
              </w:rPr>
              <w:t> </w:t>
            </w:r>
            <w:r>
              <w:rPr>
                <w:sz w:val="20"/>
              </w:rPr>
              <w:t>rate </w:t>
            </w:r>
            <w:r>
              <w:rPr>
                <w:spacing w:val="-2"/>
                <w:sz w:val="20"/>
              </w:rPr>
              <w:t>adjustments</w:t>
            </w:r>
          </w:p>
        </w:tc>
        <w:tc>
          <w:tcPr>
            <w:tcW w:w="1886" w:type="dxa"/>
          </w:tcPr>
          <w:p>
            <w:pPr>
              <w:pStyle w:val="TableParagraph"/>
              <w:spacing w:before="144"/>
              <w:ind w:right="102"/>
              <w:jc w:val="right"/>
              <w:rPr>
                <w:sz w:val="20"/>
              </w:rPr>
            </w:pPr>
            <w:r>
              <w:rPr>
                <w:spacing w:val="-5"/>
                <w:sz w:val="20"/>
              </w:rPr>
              <w:t>891</w:t>
            </w:r>
          </w:p>
        </w:tc>
        <w:tc>
          <w:tcPr>
            <w:tcW w:w="1888" w:type="dxa"/>
            <w:shd w:val="clear" w:color="auto" w:fill="DDEBF6"/>
          </w:tcPr>
          <w:p>
            <w:pPr>
              <w:pStyle w:val="TableParagraph"/>
              <w:spacing w:before="144"/>
              <w:ind w:right="102"/>
              <w:jc w:val="right"/>
              <w:rPr>
                <w:b/>
                <w:sz w:val="20"/>
              </w:rPr>
            </w:pPr>
            <w:r>
              <w:rPr>
                <w:b/>
                <w:spacing w:val="-5"/>
                <w:sz w:val="20"/>
              </w:rPr>
              <w:t>593</w:t>
            </w:r>
          </w:p>
        </w:tc>
        <w:tc>
          <w:tcPr>
            <w:tcW w:w="1894" w:type="dxa"/>
          </w:tcPr>
          <w:p>
            <w:pPr>
              <w:pStyle w:val="TableParagraph"/>
              <w:spacing w:before="144"/>
              <w:ind w:right="358"/>
              <w:jc w:val="right"/>
              <w:rPr>
                <w:sz w:val="20"/>
              </w:rPr>
            </w:pPr>
            <w:r>
              <w:rPr>
                <w:spacing w:val="-2"/>
                <w:sz w:val="20"/>
              </w:rPr>
              <w:t>(298)</w:t>
            </w:r>
          </w:p>
        </w:tc>
        <w:tc>
          <w:tcPr>
            <w:tcW w:w="1023" w:type="dxa"/>
            <w:tcBorders>
              <w:right w:val="single" w:sz="4" w:space="0" w:color="000000"/>
            </w:tcBorders>
          </w:tcPr>
          <w:p>
            <w:pPr>
              <w:pStyle w:val="TableParagraph"/>
              <w:spacing w:before="144"/>
              <w:ind w:right="96"/>
              <w:jc w:val="right"/>
              <w:rPr>
                <w:b/>
                <w:sz w:val="20"/>
              </w:rPr>
            </w:pPr>
            <w:r>
              <w:rPr>
                <w:b/>
                <w:spacing w:val="-2"/>
                <w:sz w:val="20"/>
              </w:rPr>
              <w:t>(33.42%)</w:t>
            </w:r>
          </w:p>
        </w:tc>
      </w:tr>
      <w:tr>
        <w:trPr>
          <w:trHeight w:val="305" w:hRule="atLeast"/>
        </w:trPr>
        <w:tc>
          <w:tcPr>
            <w:tcW w:w="3799" w:type="dxa"/>
            <w:tcBorders>
              <w:left w:val="single" w:sz="4" w:space="0" w:color="000000"/>
            </w:tcBorders>
          </w:tcPr>
          <w:p>
            <w:pPr>
              <w:pStyle w:val="TableParagraph"/>
              <w:spacing w:before="31"/>
              <w:ind w:left="107"/>
              <w:rPr>
                <w:sz w:val="20"/>
              </w:rPr>
            </w:pPr>
            <w:r>
              <w:rPr>
                <w:sz w:val="20"/>
              </w:rPr>
              <w:t>Interest</w:t>
            </w:r>
            <w:r>
              <w:rPr>
                <w:spacing w:val="-7"/>
                <w:sz w:val="20"/>
              </w:rPr>
              <w:t> </w:t>
            </w:r>
            <w:r>
              <w:rPr>
                <w:sz w:val="20"/>
              </w:rPr>
              <w:t>on</w:t>
            </w:r>
            <w:r>
              <w:rPr>
                <w:spacing w:val="-6"/>
                <w:sz w:val="20"/>
              </w:rPr>
              <w:t> </w:t>
            </w:r>
            <w:r>
              <w:rPr>
                <w:sz w:val="20"/>
              </w:rPr>
              <w:t>rates</w:t>
            </w:r>
            <w:r>
              <w:rPr>
                <w:spacing w:val="-3"/>
                <w:sz w:val="20"/>
              </w:rPr>
              <w:t> </w:t>
            </w:r>
            <w:r>
              <w:rPr>
                <w:sz w:val="20"/>
              </w:rPr>
              <w:t>and</w:t>
            </w:r>
            <w:r>
              <w:rPr>
                <w:spacing w:val="-5"/>
                <w:sz w:val="20"/>
              </w:rPr>
              <w:t> </w:t>
            </w:r>
            <w:r>
              <w:rPr>
                <w:spacing w:val="-2"/>
                <w:sz w:val="20"/>
              </w:rPr>
              <w:t>charges</w:t>
            </w:r>
          </w:p>
        </w:tc>
        <w:tc>
          <w:tcPr>
            <w:tcW w:w="1886" w:type="dxa"/>
            <w:tcBorders>
              <w:bottom w:val="single" w:sz="8" w:space="0" w:color="000000"/>
            </w:tcBorders>
          </w:tcPr>
          <w:p>
            <w:pPr>
              <w:pStyle w:val="TableParagraph"/>
              <w:spacing w:before="31"/>
              <w:ind w:right="102"/>
              <w:jc w:val="right"/>
              <w:rPr>
                <w:sz w:val="20"/>
              </w:rPr>
            </w:pPr>
            <w:r>
              <w:rPr>
                <w:spacing w:val="-5"/>
                <w:sz w:val="20"/>
              </w:rPr>
              <w:t>220</w:t>
            </w:r>
          </w:p>
        </w:tc>
        <w:tc>
          <w:tcPr>
            <w:tcW w:w="1888" w:type="dxa"/>
            <w:tcBorders>
              <w:bottom w:val="single" w:sz="8" w:space="0" w:color="000000"/>
            </w:tcBorders>
            <w:shd w:val="clear" w:color="auto" w:fill="DDEBF6"/>
          </w:tcPr>
          <w:p>
            <w:pPr>
              <w:pStyle w:val="TableParagraph"/>
              <w:spacing w:before="31"/>
              <w:ind w:right="102"/>
              <w:jc w:val="right"/>
              <w:rPr>
                <w:b/>
                <w:sz w:val="20"/>
              </w:rPr>
            </w:pPr>
            <w:r>
              <w:rPr>
                <w:b/>
                <w:spacing w:val="-5"/>
                <w:sz w:val="20"/>
              </w:rPr>
              <w:t>246</w:t>
            </w:r>
          </w:p>
        </w:tc>
        <w:tc>
          <w:tcPr>
            <w:tcW w:w="1894" w:type="dxa"/>
            <w:tcBorders>
              <w:bottom w:val="single" w:sz="8" w:space="0" w:color="000000"/>
            </w:tcBorders>
          </w:tcPr>
          <w:p>
            <w:pPr>
              <w:pStyle w:val="TableParagraph"/>
              <w:spacing w:before="31"/>
              <w:ind w:right="357"/>
              <w:jc w:val="right"/>
              <w:rPr>
                <w:sz w:val="20"/>
              </w:rPr>
            </w:pPr>
            <w:r>
              <w:rPr>
                <w:spacing w:val="-5"/>
                <w:sz w:val="20"/>
              </w:rPr>
              <w:t>26</w:t>
            </w:r>
          </w:p>
        </w:tc>
        <w:tc>
          <w:tcPr>
            <w:tcW w:w="1023" w:type="dxa"/>
            <w:tcBorders>
              <w:bottom w:val="single" w:sz="8" w:space="0" w:color="000000"/>
              <w:right w:val="single" w:sz="4" w:space="0" w:color="000000"/>
            </w:tcBorders>
          </w:tcPr>
          <w:p>
            <w:pPr>
              <w:pStyle w:val="TableParagraph"/>
              <w:spacing w:before="31"/>
              <w:ind w:right="95"/>
              <w:jc w:val="right"/>
              <w:rPr>
                <w:b/>
                <w:sz w:val="20"/>
              </w:rPr>
            </w:pPr>
            <w:r>
              <w:rPr>
                <w:b/>
                <w:spacing w:val="-2"/>
                <w:sz w:val="20"/>
              </w:rPr>
              <w:t>11.82%</w:t>
            </w:r>
          </w:p>
        </w:tc>
      </w:tr>
      <w:tr>
        <w:trPr>
          <w:trHeight w:val="318" w:hRule="atLeast"/>
        </w:trPr>
        <w:tc>
          <w:tcPr>
            <w:tcW w:w="3799" w:type="dxa"/>
            <w:tcBorders>
              <w:left w:val="single" w:sz="4" w:space="0" w:color="000000"/>
              <w:bottom w:val="single" w:sz="4" w:space="0" w:color="000000"/>
            </w:tcBorders>
          </w:tcPr>
          <w:p>
            <w:pPr>
              <w:pStyle w:val="TableParagraph"/>
              <w:spacing w:before="45"/>
              <w:ind w:left="107"/>
              <w:rPr>
                <w:b/>
                <w:sz w:val="20"/>
              </w:rPr>
            </w:pPr>
            <w:r>
              <w:rPr>
                <w:b/>
                <w:sz w:val="20"/>
              </w:rPr>
              <w:t>Total</w:t>
            </w:r>
            <w:r>
              <w:rPr>
                <w:b/>
                <w:spacing w:val="-7"/>
                <w:sz w:val="20"/>
              </w:rPr>
              <w:t> </w:t>
            </w:r>
            <w:r>
              <w:rPr>
                <w:b/>
                <w:sz w:val="20"/>
              </w:rPr>
              <w:t>rates</w:t>
            </w:r>
            <w:r>
              <w:rPr>
                <w:b/>
                <w:spacing w:val="-4"/>
                <w:sz w:val="20"/>
              </w:rPr>
              <w:t> </w:t>
            </w:r>
            <w:r>
              <w:rPr>
                <w:b/>
                <w:sz w:val="20"/>
              </w:rPr>
              <w:t>and</w:t>
            </w:r>
            <w:r>
              <w:rPr>
                <w:b/>
                <w:spacing w:val="-7"/>
                <w:sz w:val="20"/>
              </w:rPr>
              <w:t> </w:t>
            </w:r>
            <w:r>
              <w:rPr>
                <w:b/>
                <w:spacing w:val="-2"/>
                <w:sz w:val="20"/>
              </w:rPr>
              <w:t>charges</w:t>
            </w:r>
          </w:p>
        </w:tc>
        <w:tc>
          <w:tcPr>
            <w:tcW w:w="1886" w:type="dxa"/>
            <w:tcBorders>
              <w:top w:val="single" w:sz="8" w:space="0" w:color="000000"/>
              <w:bottom w:val="single" w:sz="4" w:space="0" w:color="000000"/>
            </w:tcBorders>
          </w:tcPr>
          <w:p>
            <w:pPr>
              <w:pStyle w:val="TableParagraph"/>
              <w:spacing w:before="45"/>
              <w:ind w:right="102"/>
              <w:jc w:val="right"/>
              <w:rPr>
                <w:b/>
                <w:sz w:val="20"/>
              </w:rPr>
            </w:pPr>
            <w:r>
              <w:rPr>
                <w:b/>
                <w:spacing w:val="-2"/>
                <w:sz w:val="20"/>
              </w:rPr>
              <w:t>108,039</w:t>
            </w:r>
          </w:p>
        </w:tc>
        <w:tc>
          <w:tcPr>
            <w:tcW w:w="1888" w:type="dxa"/>
            <w:tcBorders>
              <w:top w:val="single" w:sz="8" w:space="0" w:color="000000"/>
              <w:bottom w:val="single" w:sz="4" w:space="0" w:color="000000"/>
            </w:tcBorders>
            <w:shd w:val="clear" w:color="auto" w:fill="DDEBF6"/>
          </w:tcPr>
          <w:p>
            <w:pPr>
              <w:pStyle w:val="TableParagraph"/>
              <w:spacing w:before="45"/>
              <w:ind w:right="102"/>
              <w:jc w:val="right"/>
              <w:rPr>
                <w:b/>
                <w:sz w:val="20"/>
              </w:rPr>
            </w:pPr>
            <w:r>
              <w:rPr>
                <w:b/>
                <w:spacing w:val="-2"/>
                <w:sz w:val="20"/>
              </w:rPr>
              <w:t>111,667</w:t>
            </w:r>
          </w:p>
        </w:tc>
        <w:tc>
          <w:tcPr>
            <w:tcW w:w="1894" w:type="dxa"/>
            <w:tcBorders>
              <w:top w:val="single" w:sz="8" w:space="0" w:color="000000"/>
              <w:bottom w:val="single" w:sz="4" w:space="0" w:color="000000"/>
            </w:tcBorders>
          </w:tcPr>
          <w:p>
            <w:pPr>
              <w:pStyle w:val="TableParagraph"/>
              <w:spacing w:before="45"/>
              <w:ind w:right="356"/>
              <w:jc w:val="right"/>
              <w:rPr>
                <w:b/>
                <w:sz w:val="20"/>
              </w:rPr>
            </w:pPr>
            <w:r>
              <w:rPr>
                <w:b/>
                <w:spacing w:val="-2"/>
                <w:sz w:val="20"/>
              </w:rPr>
              <w:t>3,628</w:t>
            </w:r>
          </w:p>
        </w:tc>
        <w:tc>
          <w:tcPr>
            <w:tcW w:w="1023" w:type="dxa"/>
            <w:tcBorders>
              <w:top w:val="single" w:sz="8" w:space="0" w:color="000000"/>
              <w:bottom w:val="single" w:sz="4" w:space="0" w:color="000000"/>
              <w:right w:val="single" w:sz="4" w:space="0" w:color="000000"/>
            </w:tcBorders>
          </w:tcPr>
          <w:p>
            <w:pPr>
              <w:pStyle w:val="TableParagraph"/>
              <w:spacing w:before="45"/>
              <w:ind w:right="93"/>
              <w:jc w:val="right"/>
              <w:rPr>
                <w:b/>
                <w:sz w:val="20"/>
              </w:rPr>
            </w:pPr>
            <w:r>
              <w:rPr>
                <w:b/>
                <w:spacing w:val="-2"/>
                <w:sz w:val="20"/>
              </w:rPr>
              <w:t>3.36%</w:t>
            </w:r>
          </w:p>
        </w:tc>
      </w:tr>
    </w:tbl>
    <w:p>
      <w:pPr>
        <w:spacing w:before="3"/>
        <w:ind w:left="260" w:right="0" w:firstLine="0"/>
        <w:jc w:val="left"/>
        <w:rPr>
          <w:sz w:val="20"/>
        </w:rPr>
      </w:pPr>
      <w:r>
        <w:rPr>
          <w:sz w:val="20"/>
        </w:rPr>
        <w:t>*These</w:t>
      </w:r>
      <w:r>
        <w:rPr>
          <w:spacing w:val="-4"/>
          <w:sz w:val="20"/>
        </w:rPr>
        <w:t> </w:t>
      </w:r>
      <w:r>
        <w:rPr>
          <w:sz w:val="20"/>
        </w:rPr>
        <w:t>items</w:t>
      </w:r>
      <w:r>
        <w:rPr>
          <w:spacing w:val="-5"/>
          <w:sz w:val="20"/>
        </w:rPr>
        <w:t> </w:t>
      </w:r>
      <w:r>
        <w:rPr>
          <w:sz w:val="20"/>
        </w:rPr>
        <w:t>are</w:t>
      </w:r>
      <w:r>
        <w:rPr>
          <w:spacing w:val="-6"/>
          <w:sz w:val="20"/>
        </w:rPr>
        <w:t> </w:t>
      </w:r>
      <w:r>
        <w:rPr>
          <w:sz w:val="20"/>
        </w:rPr>
        <w:t>subject</w:t>
      </w:r>
      <w:r>
        <w:rPr>
          <w:spacing w:val="-5"/>
          <w:sz w:val="20"/>
        </w:rPr>
        <w:t> </w:t>
      </w:r>
      <w:r>
        <w:rPr>
          <w:sz w:val="20"/>
        </w:rPr>
        <w:t>to</w:t>
      </w:r>
      <w:r>
        <w:rPr>
          <w:spacing w:val="-5"/>
          <w:sz w:val="20"/>
        </w:rPr>
        <w:t> </w:t>
      </w:r>
      <w:r>
        <w:rPr>
          <w:sz w:val="20"/>
        </w:rPr>
        <w:t>the</w:t>
      </w:r>
      <w:r>
        <w:rPr>
          <w:spacing w:val="-5"/>
          <w:sz w:val="20"/>
        </w:rPr>
        <w:t> </w:t>
      </w:r>
      <w:r>
        <w:rPr>
          <w:sz w:val="20"/>
        </w:rPr>
        <w:t>rate</w:t>
      </w:r>
      <w:r>
        <w:rPr>
          <w:spacing w:val="-5"/>
          <w:sz w:val="20"/>
        </w:rPr>
        <w:t> </w:t>
      </w:r>
      <w:r>
        <w:rPr>
          <w:sz w:val="20"/>
        </w:rPr>
        <w:t>cap</w:t>
      </w:r>
      <w:r>
        <w:rPr>
          <w:spacing w:val="-4"/>
          <w:sz w:val="20"/>
        </w:rPr>
        <w:t> </w:t>
      </w:r>
      <w:r>
        <w:rPr>
          <w:sz w:val="20"/>
        </w:rPr>
        <w:t>established</w:t>
      </w:r>
      <w:r>
        <w:rPr>
          <w:spacing w:val="-2"/>
          <w:sz w:val="20"/>
        </w:rPr>
        <w:t> </w:t>
      </w:r>
      <w:r>
        <w:rPr>
          <w:sz w:val="20"/>
        </w:rPr>
        <w:t>under</w:t>
      </w:r>
      <w:r>
        <w:rPr>
          <w:spacing w:val="-3"/>
          <w:sz w:val="20"/>
        </w:rPr>
        <w:t> </w:t>
      </w:r>
      <w:r>
        <w:rPr>
          <w:sz w:val="20"/>
        </w:rPr>
        <w:t>the</w:t>
      </w:r>
      <w:r>
        <w:rPr>
          <w:spacing w:val="-6"/>
          <w:sz w:val="20"/>
        </w:rPr>
        <w:t> </w:t>
      </w:r>
      <w:r>
        <w:rPr>
          <w:spacing w:val="-4"/>
          <w:sz w:val="20"/>
        </w:rPr>
        <w:t>FGRS</w:t>
      </w:r>
    </w:p>
    <w:p>
      <w:pPr>
        <w:pStyle w:val="BodyText"/>
        <w:spacing w:before="2"/>
      </w:pPr>
    </w:p>
    <w:p>
      <w:pPr>
        <w:pStyle w:val="BodyText"/>
        <w:ind w:left="826" w:right="449" w:hanging="567"/>
      </w:pPr>
      <w:r>
        <w:rPr/>
        <w:pict>
          <v:shape style="position:absolute;margin-left:292.679016pt;margin-top:83.397888pt;width:266.2pt;height:15pt;mso-position-horizontal-relative:page;mso-position-vertical-relative:paragraph;z-index:-38061056" id="docshape51" coordorigin="5854,1668" coordsize="5324,300" path="m11177,1668l9406,1668,7630,1668,5854,1668,5854,1968,7630,1968,9406,1968,11177,1968,11177,1668xe" filled="true" fillcolor="#d8d8d8" stroked="false">
            <v:path arrowok="t"/>
            <v:fill type="solid"/>
            <w10:wrap type="none"/>
          </v:shape>
        </w:pict>
      </w:r>
      <w:r>
        <w:rPr/>
        <w:t>4.1.1(b)</w:t>
      </w:r>
      <w:r>
        <w:rPr>
          <w:spacing w:val="-7"/>
        </w:rPr>
        <w:t> </w:t>
      </w:r>
      <w:r>
        <w:rPr/>
        <w:t>The</w:t>
      </w:r>
      <w:r>
        <w:rPr>
          <w:spacing w:val="-11"/>
        </w:rPr>
        <w:t> </w:t>
      </w:r>
      <w:r>
        <w:rPr/>
        <w:t>rate</w:t>
      </w:r>
      <w:r>
        <w:rPr>
          <w:spacing w:val="-10"/>
        </w:rPr>
        <w:t> </w:t>
      </w:r>
      <w:r>
        <w:rPr/>
        <w:t>in</w:t>
      </w:r>
      <w:r>
        <w:rPr>
          <w:spacing w:val="-11"/>
        </w:rPr>
        <w:t> </w:t>
      </w:r>
      <w:r>
        <w:rPr/>
        <w:t>the</w:t>
      </w:r>
      <w:r>
        <w:rPr>
          <w:spacing w:val="-8"/>
        </w:rPr>
        <w:t> </w:t>
      </w:r>
      <w:r>
        <w:rPr/>
        <w:t>dollar</w:t>
      </w:r>
      <w:r>
        <w:rPr>
          <w:spacing w:val="-7"/>
        </w:rPr>
        <w:t> </w:t>
      </w:r>
      <w:r>
        <w:rPr/>
        <w:t>to</w:t>
      </w:r>
      <w:r>
        <w:rPr>
          <w:spacing w:val="-8"/>
        </w:rPr>
        <w:t> </w:t>
      </w:r>
      <w:r>
        <w:rPr/>
        <w:t>be</w:t>
      </w:r>
      <w:r>
        <w:rPr>
          <w:spacing w:val="-8"/>
        </w:rPr>
        <w:t> </w:t>
      </w:r>
      <w:r>
        <w:rPr/>
        <w:t>levied</w:t>
      </w:r>
      <w:r>
        <w:rPr>
          <w:spacing w:val="-10"/>
        </w:rPr>
        <w:t> </w:t>
      </w:r>
      <w:r>
        <w:rPr/>
        <w:t>as</w:t>
      </w:r>
      <w:r>
        <w:rPr>
          <w:spacing w:val="-11"/>
        </w:rPr>
        <w:t> </w:t>
      </w:r>
      <w:r>
        <w:rPr/>
        <w:t>general</w:t>
      </w:r>
      <w:r>
        <w:rPr>
          <w:spacing w:val="-11"/>
        </w:rPr>
        <w:t> </w:t>
      </w:r>
      <w:r>
        <w:rPr/>
        <w:t>rates</w:t>
      </w:r>
      <w:r>
        <w:rPr>
          <w:spacing w:val="-8"/>
        </w:rPr>
        <w:t> </w:t>
      </w:r>
      <w:r>
        <w:rPr/>
        <w:t>under</w:t>
      </w:r>
      <w:r>
        <w:rPr>
          <w:spacing w:val="-7"/>
        </w:rPr>
        <w:t> </w:t>
      </w:r>
      <w:r>
        <w:rPr/>
        <w:t>section</w:t>
      </w:r>
      <w:r>
        <w:rPr>
          <w:spacing w:val="-8"/>
        </w:rPr>
        <w:t> </w:t>
      </w:r>
      <w:r>
        <w:rPr/>
        <w:t>158</w:t>
      </w:r>
      <w:r>
        <w:rPr>
          <w:spacing w:val="-8"/>
        </w:rPr>
        <w:t> </w:t>
      </w:r>
      <w:r>
        <w:rPr/>
        <w:t>of</w:t>
      </w:r>
      <w:r>
        <w:rPr>
          <w:spacing w:val="-11"/>
        </w:rPr>
        <w:t> </w:t>
      </w:r>
      <w:r>
        <w:rPr/>
        <w:t>the</w:t>
      </w:r>
      <w:r>
        <w:rPr>
          <w:spacing w:val="-10"/>
        </w:rPr>
        <w:t> </w:t>
      </w:r>
      <w:r>
        <w:rPr/>
        <w:t>Act</w:t>
      </w:r>
      <w:r>
        <w:rPr>
          <w:spacing w:val="-11"/>
        </w:rPr>
        <w:t> </w:t>
      </w:r>
      <w:r>
        <w:rPr/>
        <w:t>for</w:t>
      </w:r>
      <w:r>
        <w:rPr>
          <w:spacing w:val="-7"/>
        </w:rPr>
        <w:t> </w:t>
      </w:r>
      <w:r>
        <w:rPr/>
        <w:t>each</w:t>
      </w:r>
      <w:r>
        <w:rPr>
          <w:spacing w:val="-8"/>
        </w:rPr>
        <w:t> </w:t>
      </w:r>
      <w:r>
        <w:rPr/>
        <w:t>type</w:t>
      </w:r>
      <w:r>
        <w:rPr>
          <w:spacing w:val="-10"/>
        </w:rPr>
        <w:t> </w:t>
      </w:r>
      <w:r>
        <w:rPr/>
        <w:t>or</w:t>
      </w:r>
      <w:r>
        <w:rPr>
          <w:spacing w:val="-7"/>
        </w:rPr>
        <w:t> </w:t>
      </w:r>
      <w:r>
        <w:rPr/>
        <w:t>class of land compared with the previous financial year</w:t>
      </w:r>
    </w:p>
    <w:p>
      <w:pPr>
        <w:pStyle w:val="BodyText"/>
        <w:spacing w:before="11"/>
        <w:rPr>
          <w:sz w:val="21"/>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0"/>
        <w:gridCol w:w="2556"/>
        <w:gridCol w:w="1859"/>
        <w:gridCol w:w="1552"/>
      </w:tblGrid>
      <w:tr>
        <w:trPr>
          <w:trHeight w:val="599" w:hRule="atLeast"/>
        </w:trPr>
        <w:tc>
          <w:tcPr>
            <w:tcW w:w="4490" w:type="dxa"/>
            <w:tcBorders>
              <w:top w:val="single" w:sz="4" w:space="0" w:color="000000"/>
              <w:left w:val="single" w:sz="4" w:space="0" w:color="000000"/>
            </w:tcBorders>
            <w:shd w:val="clear" w:color="auto" w:fill="5B9AD4"/>
          </w:tcPr>
          <w:p>
            <w:pPr>
              <w:pStyle w:val="TableParagraph"/>
              <w:rPr>
                <w:sz w:val="17"/>
              </w:rPr>
            </w:pPr>
          </w:p>
          <w:p>
            <w:pPr>
              <w:pStyle w:val="TableParagraph"/>
              <w:ind w:left="1667"/>
              <w:rPr>
                <w:b/>
                <w:sz w:val="18"/>
              </w:rPr>
            </w:pPr>
            <w:r>
              <w:rPr>
                <w:b/>
                <w:color w:val="FFFFFF"/>
                <w:sz w:val="18"/>
              </w:rPr>
              <w:t>Type</w:t>
            </w:r>
            <w:r>
              <w:rPr>
                <w:b/>
                <w:color w:val="FFFFFF"/>
                <w:spacing w:val="-2"/>
                <w:sz w:val="18"/>
              </w:rPr>
              <w:t> </w:t>
            </w:r>
            <w:r>
              <w:rPr>
                <w:b/>
                <w:color w:val="FFFFFF"/>
                <w:sz w:val="18"/>
              </w:rPr>
              <w:t>or</w:t>
            </w:r>
            <w:r>
              <w:rPr>
                <w:b/>
                <w:color w:val="FFFFFF"/>
                <w:spacing w:val="-3"/>
                <w:sz w:val="18"/>
              </w:rPr>
              <w:t> </w:t>
            </w:r>
            <w:r>
              <w:rPr>
                <w:b/>
                <w:color w:val="FFFFFF"/>
                <w:sz w:val="18"/>
              </w:rPr>
              <w:t>class</w:t>
            </w:r>
            <w:r>
              <w:rPr>
                <w:b/>
                <w:color w:val="FFFFFF"/>
                <w:spacing w:val="1"/>
                <w:sz w:val="18"/>
              </w:rPr>
              <w:t> </w:t>
            </w:r>
            <w:r>
              <w:rPr>
                <w:b/>
                <w:color w:val="FFFFFF"/>
                <w:sz w:val="18"/>
              </w:rPr>
              <w:t>of</w:t>
            </w:r>
            <w:r>
              <w:rPr>
                <w:b/>
                <w:color w:val="FFFFFF"/>
                <w:spacing w:val="1"/>
                <w:sz w:val="18"/>
              </w:rPr>
              <w:t> </w:t>
            </w:r>
            <w:r>
              <w:rPr>
                <w:b/>
                <w:color w:val="FFFFFF"/>
                <w:spacing w:val="-4"/>
                <w:sz w:val="18"/>
              </w:rPr>
              <w:t>land</w:t>
            </w:r>
          </w:p>
        </w:tc>
        <w:tc>
          <w:tcPr>
            <w:tcW w:w="2556" w:type="dxa"/>
            <w:tcBorders>
              <w:top w:val="single" w:sz="4" w:space="0" w:color="000000"/>
            </w:tcBorders>
            <w:shd w:val="clear" w:color="auto" w:fill="5B9AD4"/>
          </w:tcPr>
          <w:p>
            <w:pPr>
              <w:pStyle w:val="TableParagraph"/>
              <w:spacing w:before="44"/>
              <w:ind w:left="1104"/>
              <w:rPr>
                <w:b/>
                <w:sz w:val="18"/>
              </w:rPr>
            </w:pPr>
            <w:r>
              <w:rPr>
                <w:b/>
                <w:color w:val="FFFFFF"/>
                <w:spacing w:val="-2"/>
                <w:sz w:val="18"/>
              </w:rPr>
              <w:t>2023/2024</w:t>
            </w:r>
          </w:p>
          <w:p>
            <w:pPr>
              <w:pStyle w:val="TableParagraph"/>
              <w:spacing w:before="93"/>
              <w:ind w:left="1034"/>
              <w:rPr>
                <w:b/>
                <w:sz w:val="18"/>
              </w:rPr>
            </w:pPr>
            <w:r>
              <w:rPr>
                <w:b/>
                <w:color w:val="FFFFFF"/>
                <w:spacing w:val="-2"/>
                <w:sz w:val="18"/>
              </w:rPr>
              <w:t>cents/$CIV*</w:t>
            </w:r>
          </w:p>
        </w:tc>
        <w:tc>
          <w:tcPr>
            <w:tcW w:w="1859" w:type="dxa"/>
            <w:tcBorders>
              <w:top w:val="single" w:sz="4" w:space="0" w:color="000000"/>
            </w:tcBorders>
            <w:shd w:val="clear" w:color="auto" w:fill="5B9AD4"/>
          </w:tcPr>
          <w:p>
            <w:pPr>
              <w:pStyle w:val="TableParagraph"/>
              <w:spacing w:before="44"/>
              <w:ind w:left="324"/>
              <w:rPr>
                <w:b/>
                <w:sz w:val="18"/>
              </w:rPr>
            </w:pPr>
            <w:r>
              <w:rPr>
                <w:b/>
                <w:color w:val="FFFFFF"/>
                <w:spacing w:val="-2"/>
                <w:sz w:val="18"/>
              </w:rPr>
              <w:t>2024/2025</w:t>
            </w:r>
          </w:p>
          <w:p>
            <w:pPr>
              <w:pStyle w:val="TableParagraph"/>
              <w:spacing w:before="93"/>
              <w:ind w:left="254"/>
              <w:rPr>
                <w:b/>
                <w:sz w:val="18"/>
              </w:rPr>
            </w:pPr>
            <w:r>
              <w:rPr>
                <w:b/>
                <w:color w:val="FFFFFF"/>
                <w:spacing w:val="-2"/>
                <w:sz w:val="18"/>
              </w:rPr>
              <w:t>cents/$CIV*</w:t>
            </w:r>
          </w:p>
        </w:tc>
        <w:tc>
          <w:tcPr>
            <w:tcW w:w="1552" w:type="dxa"/>
            <w:tcBorders>
              <w:top w:val="single" w:sz="4" w:space="0" w:color="000000"/>
              <w:right w:val="single" w:sz="4" w:space="0" w:color="000000"/>
            </w:tcBorders>
            <w:shd w:val="clear" w:color="auto" w:fill="5B9AD4"/>
          </w:tcPr>
          <w:p>
            <w:pPr>
              <w:pStyle w:val="TableParagraph"/>
              <w:rPr>
                <w:sz w:val="17"/>
              </w:rPr>
            </w:pPr>
          </w:p>
          <w:p>
            <w:pPr>
              <w:pStyle w:val="TableParagraph"/>
              <w:ind w:left="332"/>
              <w:rPr>
                <w:b/>
                <w:sz w:val="18"/>
              </w:rPr>
            </w:pPr>
            <w:r>
              <w:rPr>
                <w:b/>
                <w:color w:val="FFFFFF"/>
                <w:spacing w:val="-2"/>
                <w:sz w:val="18"/>
              </w:rPr>
              <w:t>Change</w:t>
            </w:r>
          </w:p>
        </w:tc>
      </w:tr>
      <w:tr>
        <w:trPr>
          <w:trHeight w:val="304" w:hRule="atLeast"/>
        </w:trPr>
        <w:tc>
          <w:tcPr>
            <w:tcW w:w="4490" w:type="dxa"/>
            <w:tcBorders>
              <w:left w:val="single" w:sz="4" w:space="0" w:color="000000"/>
            </w:tcBorders>
          </w:tcPr>
          <w:p>
            <w:pPr>
              <w:pStyle w:val="TableParagraph"/>
              <w:spacing w:before="35"/>
              <w:ind w:left="107"/>
              <w:rPr>
                <w:sz w:val="20"/>
              </w:rPr>
            </w:pPr>
            <w:r>
              <w:rPr>
                <w:sz w:val="20"/>
              </w:rPr>
              <w:t>General</w:t>
            </w:r>
            <w:r>
              <w:rPr>
                <w:spacing w:val="-8"/>
                <w:sz w:val="20"/>
              </w:rPr>
              <w:t> </w:t>
            </w:r>
            <w:r>
              <w:rPr>
                <w:spacing w:val="-4"/>
                <w:sz w:val="20"/>
              </w:rPr>
              <w:t>Land</w:t>
            </w:r>
          </w:p>
        </w:tc>
        <w:tc>
          <w:tcPr>
            <w:tcW w:w="2556" w:type="dxa"/>
          </w:tcPr>
          <w:p>
            <w:pPr>
              <w:pStyle w:val="TableParagraph"/>
              <w:spacing w:before="35"/>
              <w:ind w:right="243"/>
              <w:jc w:val="right"/>
              <w:rPr>
                <w:sz w:val="20"/>
              </w:rPr>
            </w:pPr>
            <w:r>
              <w:rPr>
                <w:spacing w:val="-2"/>
                <w:sz w:val="20"/>
              </w:rPr>
              <w:t>0.191439</w:t>
            </w:r>
          </w:p>
        </w:tc>
        <w:tc>
          <w:tcPr>
            <w:tcW w:w="1859" w:type="dxa"/>
          </w:tcPr>
          <w:p>
            <w:pPr>
              <w:pStyle w:val="TableParagraph"/>
              <w:spacing w:before="35"/>
              <w:ind w:right="326"/>
              <w:jc w:val="right"/>
              <w:rPr>
                <w:b/>
                <w:sz w:val="20"/>
              </w:rPr>
            </w:pPr>
            <w:r>
              <w:rPr>
                <w:b/>
                <w:spacing w:val="-2"/>
                <w:sz w:val="20"/>
              </w:rPr>
              <w:t>0.191336</w:t>
            </w:r>
          </w:p>
        </w:tc>
        <w:tc>
          <w:tcPr>
            <w:tcW w:w="1552" w:type="dxa"/>
            <w:tcBorders>
              <w:right w:val="single" w:sz="4" w:space="0" w:color="000000"/>
            </w:tcBorders>
          </w:tcPr>
          <w:p>
            <w:pPr>
              <w:pStyle w:val="TableParagraph"/>
              <w:spacing w:before="35"/>
              <w:ind w:right="97"/>
              <w:jc w:val="right"/>
              <w:rPr>
                <w:sz w:val="20"/>
              </w:rPr>
            </w:pPr>
            <w:r>
              <w:rPr>
                <w:spacing w:val="-2"/>
                <w:sz w:val="20"/>
              </w:rPr>
              <w:t>(0.1%)</w:t>
            </w:r>
          </w:p>
        </w:tc>
      </w:tr>
      <w:tr>
        <w:trPr>
          <w:trHeight w:val="300" w:hRule="atLeast"/>
        </w:trPr>
        <w:tc>
          <w:tcPr>
            <w:tcW w:w="4490" w:type="dxa"/>
            <w:tcBorders>
              <w:left w:val="single" w:sz="4" w:space="0" w:color="000000"/>
            </w:tcBorders>
          </w:tcPr>
          <w:p>
            <w:pPr>
              <w:pStyle w:val="TableParagraph"/>
              <w:spacing w:before="31"/>
              <w:ind w:left="107"/>
              <w:rPr>
                <w:sz w:val="20"/>
              </w:rPr>
            </w:pPr>
            <w:r>
              <w:rPr>
                <w:sz w:val="20"/>
              </w:rPr>
              <w:t>Differential</w:t>
            </w:r>
            <w:r>
              <w:rPr>
                <w:spacing w:val="-9"/>
                <w:sz w:val="20"/>
              </w:rPr>
              <w:t> </w:t>
            </w:r>
            <w:r>
              <w:rPr>
                <w:spacing w:val="-2"/>
                <w:sz w:val="20"/>
              </w:rPr>
              <w:t>Rate:</w:t>
            </w:r>
          </w:p>
        </w:tc>
        <w:tc>
          <w:tcPr>
            <w:tcW w:w="2556" w:type="dxa"/>
          </w:tcPr>
          <w:p>
            <w:pPr>
              <w:pStyle w:val="TableParagraph"/>
              <w:rPr>
                <w:rFonts w:ascii="Times New Roman"/>
                <w:sz w:val="20"/>
              </w:rPr>
            </w:pPr>
          </w:p>
        </w:tc>
        <w:tc>
          <w:tcPr>
            <w:tcW w:w="1859" w:type="dxa"/>
          </w:tcPr>
          <w:p>
            <w:pPr>
              <w:pStyle w:val="TableParagraph"/>
              <w:rPr>
                <w:rFonts w:ascii="Times New Roman"/>
                <w:sz w:val="20"/>
              </w:rPr>
            </w:pPr>
          </w:p>
        </w:tc>
        <w:tc>
          <w:tcPr>
            <w:tcW w:w="1552" w:type="dxa"/>
            <w:tcBorders>
              <w:right w:val="single" w:sz="4" w:space="0" w:color="000000"/>
            </w:tcBorders>
          </w:tcPr>
          <w:p>
            <w:pPr>
              <w:pStyle w:val="TableParagraph"/>
              <w:rPr>
                <w:rFonts w:ascii="Times New Roman"/>
                <w:sz w:val="20"/>
              </w:rPr>
            </w:pPr>
          </w:p>
        </w:tc>
      </w:tr>
      <w:tr>
        <w:trPr>
          <w:trHeight w:val="300" w:hRule="atLeast"/>
        </w:trPr>
        <w:tc>
          <w:tcPr>
            <w:tcW w:w="4490" w:type="dxa"/>
            <w:tcBorders>
              <w:left w:val="single" w:sz="4" w:space="0" w:color="000000"/>
            </w:tcBorders>
          </w:tcPr>
          <w:p>
            <w:pPr>
              <w:pStyle w:val="TableParagraph"/>
              <w:spacing w:before="31"/>
              <w:ind w:left="327"/>
              <w:rPr>
                <w:sz w:val="20"/>
              </w:rPr>
            </w:pPr>
            <w:r>
              <w:rPr>
                <w:sz w:val="20"/>
              </w:rPr>
              <w:t>Vacant</w:t>
            </w:r>
            <w:r>
              <w:rPr>
                <w:spacing w:val="-5"/>
                <w:sz w:val="20"/>
              </w:rPr>
              <w:t> </w:t>
            </w:r>
            <w:r>
              <w:rPr>
                <w:spacing w:val="-4"/>
                <w:sz w:val="20"/>
              </w:rPr>
              <w:t>Land</w:t>
            </w:r>
          </w:p>
        </w:tc>
        <w:tc>
          <w:tcPr>
            <w:tcW w:w="2556" w:type="dxa"/>
          </w:tcPr>
          <w:p>
            <w:pPr>
              <w:pStyle w:val="TableParagraph"/>
              <w:spacing w:before="31"/>
              <w:ind w:right="243"/>
              <w:jc w:val="right"/>
              <w:rPr>
                <w:sz w:val="20"/>
              </w:rPr>
            </w:pPr>
            <w:r>
              <w:rPr>
                <w:spacing w:val="-2"/>
                <w:sz w:val="20"/>
              </w:rPr>
              <w:t>0.287159</w:t>
            </w:r>
          </w:p>
        </w:tc>
        <w:tc>
          <w:tcPr>
            <w:tcW w:w="1859" w:type="dxa"/>
          </w:tcPr>
          <w:p>
            <w:pPr>
              <w:pStyle w:val="TableParagraph"/>
              <w:spacing w:before="31"/>
              <w:ind w:right="326"/>
              <w:jc w:val="right"/>
              <w:rPr>
                <w:b/>
                <w:sz w:val="20"/>
              </w:rPr>
            </w:pPr>
            <w:r>
              <w:rPr>
                <w:b/>
                <w:spacing w:val="-2"/>
                <w:sz w:val="20"/>
              </w:rPr>
              <w:t>0.287004</w:t>
            </w:r>
          </w:p>
        </w:tc>
        <w:tc>
          <w:tcPr>
            <w:tcW w:w="1552" w:type="dxa"/>
            <w:tcBorders>
              <w:right w:val="single" w:sz="4" w:space="0" w:color="000000"/>
            </w:tcBorders>
          </w:tcPr>
          <w:p>
            <w:pPr>
              <w:pStyle w:val="TableParagraph"/>
              <w:spacing w:before="31"/>
              <w:ind w:right="97"/>
              <w:jc w:val="right"/>
              <w:rPr>
                <w:sz w:val="20"/>
              </w:rPr>
            </w:pPr>
            <w:r>
              <w:rPr>
                <w:spacing w:val="-2"/>
                <w:sz w:val="20"/>
              </w:rPr>
              <w:t>(0.1%)</w:t>
            </w:r>
          </w:p>
        </w:tc>
      </w:tr>
      <w:tr>
        <w:trPr>
          <w:trHeight w:val="300" w:hRule="atLeast"/>
        </w:trPr>
        <w:tc>
          <w:tcPr>
            <w:tcW w:w="4490" w:type="dxa"/>
            <w:tcBorders>
              <w:left w:val="single" w:sz="4" w:space="0" w:color="000000"/>
            </w:tcBorders>
          </w:tcPr>
          <w:p>
            <w:pPr>
              <w:pStyle w:val="TableParagraph"/>
              <w:spacing w:before="31"/>
              <w:ind w:left="327"/>
              <w:rPr>
                <w:sz w:val="20"/>
              </w:rPr>
            </w:pPr>
            <w:r>
              <w:rPr>
                <w:sz w:val="20"/>
              </w:rPr>
              <w:t>Commercial</w:t>
            </w:r>
            <w:r>
              <w:rPr>
                <w:spacing w:val="-9"/>
                <w:sz w:val="20"/>
              </w:rPr>
              <w:t> </w:t>
            </w:r>
            <w:r>
              <w:rPr>
                <w:spacing w:val="-4"/>
                <w:sz w:val="20"/>
              </w:rPr>
              <w:t>Land</w:t>
            </w:r>
          </w:p>
        </w:tc>
        <w:tc>
          <w:tcPr>
            <w:tcW w:w="2556" w:type="dxa"/>
          </w:tcPr>
          <w:p>
            <w:pPr>
              <w:pStyle w:val="TableParagraph"/>
              <w:spacing w:before="31"/>
              <w:ind w:right="243"/>
              <w:jc w:val="right"/>
              <w:rPr>
                <w:sz w:val="20"/>
              </w:rPr>
            </w:pPr>
            <w:r>
              <w:rPr>
                <w:spacing w:val="-2"/>
                <w:sz w:val="20"/>
              </w:rPr>
              <w:t>0.229727</w:t>
            </w:r>
          </w:p>
        </w:tc>
        <w:tc>
          <w:tcPr>
            <w:tcW w:w="1859" w:type="dxa"/>
          </w:tcPr>
          <w:p>
            <w:pPr>
              <w:pStyle w:val="TableParagraph"/>
              <w:spacing w:before="31"/>
              <w:ind w:right="326"/>
              <w:jc w:val="right"/>
              <w:rPr>
                <w:b/>
                <w:sz w:val="20"/>
              </w:rPr>
            </w:pPr>
            <w:r>
              <w:rPr>
                <w:b/>
                <w:spacing w:val="-2"/>
                <w:sz w:val="20"/>
              </w:rPr>
              <w:t>0.229603</w:t>
            </w:r>
          </w:p>
        </w:tc>
        <w:tc>
          <w:tcPr>
            <w:tcW w:w="1552" w:type="dxa"/>
            <w:tcBorders>
              <w:right w:val="single" w:sz="4" w:space="0" w:color="000000"/>
            </w:tcBorders>
          </w:tcPr>
          <w:p>
            <w:pPr>
              <w:pStyle w:val="TableParagraph"/>
              <w:spacing w:before="31"/>
              <w:ind w:right="97"/>
              <w:jc w:val="right"/>
              <w:rPr>
                <w:sz w:val="20"/>
              </w:rPr>
            </w:pPr>
            <w:r>
              <w:rPr>
                <w:spacing w:val="-2"/>
                <w:sz w:val="20"/>
              </w:rPr>
              <w:t>(0.1%)</w:t>
            </w:r>
          </w:p>
        </w:tc>
      </w:tr>
      <w:tr>
        <w:trPr>
          <w:trHeight w:val="303" w:hRule="atLeast"/>
        </w:trPr>
        <w:tc>
          <w:tcPr>
            <w:tcW w:w="4490" w:type="dxa"/>
            <w:tcBorders>
              <w:left w:val="single" w:sz="4" w:space="0" w:color="000000"/>
            </w:tcBorders>
          </w:tcPr>
          <w:p>
            <w:pPr>
              <w:pStyle w:val="TableParagraph"/>
              <w:spacing w:before="31"/>
              <w:ind w:left="327"/>
              <w:rPr>
                <w:sz w:val="20"/>
              </w:rPr>
            </w:pPr>
            <w:r>
              <w:rPr>
                <w:sz w:val="20"/>
              </w:rPr>
              <w:t>Industrial</w:t>
            </w:r>
            <w:r>
              <w:rPr>
                <w:spacing w:val="-9"/>
                <w:sz w:val="20"/>
              </w:rPr>
              <w:t> </w:t>
            </w:r>
            <w:r>
              <w:rPr>
                <w:spacing w:val="-4"/>
                <w:sz w:val="20"/>
              </w:rPr>
              <w:t>Land</w:t>
            </w:r>
          </w:p>
        </w:tc>
        <w:tc>
          <w:tcPr>
            <w:tcW w:w="2556" w:type="dxa"/>
          </w:tcPr>
          <w:p>
            <w:pPr>
              <w:pStyle w:val="TableParagraph"/>
              <w:spacing w:before="31"/>
              <w:ind w:right="244"/>
              <w:jc w:val="right"/>
              <w:rPr>
                <w:sz w:val="20"/>
              </w:rPr>
            </w:pPr>
            <w:r>
              <w:rPr>
                <w:spacing w:val="-2"/>
                <w:sz w:val="20"/>
              </w:rPr>
              <w:t>0.229727</w:t>
            </w:r>
          </w:p>
        </w:tc>
        <w:tc>
          <w:tcPr>
            <w:tcW w:w="1859" w:type="dxa"/>
          </w:tcPr>
          <w:p>
            <w:pPr>
              <w:pStyle w:val="TableParagraph"/>
              <w:spacing w:before="31"/>
              <w:ind w:right="326"/>
              <w:jc w:val="right"/>
              <w:rPr>
                <w:b/>
                <w:sz w:val="20"/>
              </w:rPr>
            </w:pPr>
            <w:r>
              <w:rPr>
                <w:b/>
                <w:spacing w:val="-2"/>
                <w:sz w:val="20"/>
              </w:rPr>
              <w:t>0.229603</w:t>
            </w:r>
          </w:p>
        </w:tc>
        <w:tc>
          <w:tcPr>
            <w:tcW w:w="1552" w:type="dxa"/>
            <w:tcBorders>
              <w:right w:val="single" w:sz="4" w:space="0" w:color="000000"/>
            </w:tcBorders>
          </w:tcPr>
          <w:p>
            <w:pPr>
              <w:pStyle w:val="TableParagraph"/>
              <w:spacing w:before="31"/>
              <w:ind w:right="97"/>
              <w:jc w:val="right"/>
              <w:rPr>
                <w:sz w:val="20"/>
              </w:rPr>
            </w:pPr>
            <w:r>
              <w:rPr>
                <w:spacing w:val="-2"/>
                <w:sz w:val="20"/>
              </w:rPr>
              <w:t>(0.1%)</w:t>
            </w:r>
          </w:p>
        </w:tc>
      </w:tr>
      <w:tr>
        <w:trPr>
          <w:trHeight w:val="308" w:hRule="atLeast"/>
        </w:trPr>
        <w:tc>
          <w:tcPr>
            <w:tcW w:w="4490" w:type="dxa"/>
            <w:tcBorders>
              <w:left w:val="single" w:sz="4" w:space="0" w:color="000000"/>
              <w:bottom w:val="single" w:sz="4" w:space="0" w:color="000000"/>
            </w:tcBorders>
          </w:tcPr>
          <w:p>
            <w:pPr>
              <w:pStyle w:val="TableParagraph"/>
              <w:spacing w:before="35"/>
              <w:ind w:left="327"/>
              <w:rPr>
                <w:sz w:val="20"/>
              </w:rPr>
            </w:pPr>
            <w:r>
              <w:rPr>
                <w:sz w:val="20"/>
              </w:rPr>
              <w:t>Derelict</w:t>
            </w:r>
            <w:r>
              <w:rPr>
                <w:spacing w:val="-6"/>
                <w:sz w:val="20"/>
              </w:rPr>
              <w:t> </w:t>
            </w:r>
            <w:r>
              <w:rPr>
                <w:spacing w:val="-4"/>
                <w:sz w:val="20"/>
              </w:rPr>
              <w:t>Land</w:t>
            </w:r>
          </w:p>
        </w:tc>
        <w:tc>
          <w:tcPr>
            <w:tcW w:w="2556" w:type="dxa"/>
            <w:tcBorders>
              <w:bottom w:val="single" w:sz="4" w:space="0" w:color="000000"/>
            </w:tcBorders>
          </w:tcPr>
          <w:p>
            <w:pPr>
              <w:pStyle w:val="TableParagraph"/>
              <w:spacing w:before="35"/>
              <w:ind w:right="244"/>
              <w:jc w:val="right"/>
              <w:rPr>
                <w:sz w:val="20"/>
              </w:rPr>
            </w:pPr>
            <w:r>
              <w:rPr>
                <w:spacing w:val="-2"/>
                <w:sz w:val="20"/>
              </w:rPr>
              <w:t>0.574317</w:t>
            </w:r>
          </w:p>
        </w:tc>
        <w:tc>
          <w:tcPr>
            <w:tcW w:w="1859" w:type="dxa"/>
            <w:tcBorders>
              <w:bottom w:val="single" w:sz="4" w:space="0" w:color="000000"/>
            </w:tcBorders>
          </w:tcPr>
          <w:p>
            <w:pPr>
              <w:pStyle w:val="TableParagraph"/>
              <w:spacing w:before="35"/>
              <w:ind w:right="326"/>
              <w:jc w:val="right"/>
              <w:rPr>
                <w:b/>
                <w:sz w:val="20"/>
              </w:rPr>
            </w:pPr>
            <w:r>
              <w:rPr>
                <w:b/>
                <w:spacing w:val="-2"/>
                <w:sz w:val="20"/>
              </w:rPr>
              <w:t>0.574008</w:t>
            </w:r>
          </w:p>
        </w:tc>
        <w:tc>
          <w:tcPr>
            <w:tcW w:w="1552" w:type="dxa"/>
            <w:tcBorders>
              <w:bottom w:val="single" w:sz="4" w:space="0" w:color="000000"/>
              <w:right w:val="single" w:sz="4" w:space="0" w:color="000000"/>
            </w:tcBorders>
          </w:tcPr>
          <w:p>
            <w:pPr>
              <w:pStyle w:val="TableParagraph"/>
              <w:spacing w:before="35"/>
              <w:ind w:right="97"/>
              <w:jc w:val="right"/>
              <w:rPr>
                <w:sz w:val="20"/>
              </w:rPr>
            </w:pPr>
            <w:r>
              <w:rPr>
                <w:spacing w:val="-2"/>
                <w:sz w:val="20"/>
              </w:rPr>
              <w:t>(0.1%)</w:t>
            </w:r>
          </w:p>
        </w:tc>
      </w:tr>
    </w:tbl>
    <w:p>
      <w:pPr>
        <w:spacing w:before="0"/>
        <w:ind w:left="260" w:right="0" w:firstLine="0"/>
        <w:jc w:val="left"/>
        <w:rPr>
          <w:i/>
          <w:sz w:val="16"/>
        </w:rPr>
      </w:pPr>
      <w:r>
        <w:rPr>
          <w:i/>
          <w:sz w:val="16"/>
        </w:rPr>
        <w:t>*</w:t>
      </w:r>
      <w:r>
        <w:rPr>
          <w:i/>
          <w:spacing w:val="-2"/>
          <w:sz w:val="16"/>
        </w:rPr>
        <w:t> </w:t>
      </w:r>
      <w:r>
        <w:rPr>
          <w:i/>
          <w:sz w:val="16"/>
        </w:rPr>
        <w:t>Capital</w:t>
      </w:r>
      <w:r>
        <w:rPr>
          <w:i/>
          <w:spacing w:val="-3"/>
          <w:sz w:val="16"/>
        </w:rPr>
        <w:t> </w:t>
      </w:r>
      <w:r>
        <w:rPr>
          <w:i/>
          <w:sz w:val="16"/>
        </w:rPr>
        <w:t>Improved</w:t>
      </w:r>
      <w:r>
        <w:rPr>
          <w:i/>
          <w:spacing w:val="-4"/>
          <w:sz w:val="16"/>
        </w:rPr>
        <w:t> Value</w:t>
      </w:r>
    </w:p>
    <w:p>
      <w:pPr>
        <w:pStyle w:val="BodyText"/>
        <w:spacing w:before="1"/>
        <w:rPr>
          <w:i/>
          <w:sz w:val="16"/>
        </w:rPr>
      </w:pPr>
    </w:p>
    <w:p>
      <w:pPr>
        <w:pStyle w:val="BodyText"/>
        <w:ind w:left="980" w:right="556" w:hanging="721"/>
        <w:jc w:val="both"/>
      </w:pPr>
      <w:r>
        <w:rPr/>
        <w:pict>
          <v:group style="position:absolute;margin-left:252.839996pt;margin-top:96.117905pt;width:306.150pt;height:60pt;mso-position-horizontal-relative:page;mso-position-vertical-relative:paragraph;z-index:-38060544" id="docshapegroup52" coordorigin="5057,1922" coordsize="6123,1200">
            <v:shape style="position:absolute;left:5056;top:1922;width:6123;height:300" id="docshape53" coordorigin="5057,1922" coordsize="6123,300" path="m11179,1922l9734,1922,8282,1922,6509,1922,5057,1922,5057,2222,6509,2222,8282,2222,9734,2222,11179,2222,11179,1922xe" filled="true" fillcolor="#d8d8d8" stroked="false">
              <v:path arrowok="t"/>
              <v:fill type="solid"/>
            </v:shape>
            <v:shape style="position:absolute;left:6508;top:2222;width:1774;height:900" id="docshape54" coordorigin="6509,2222" coordsize="1774,900" path="m8282,2222l6509,2222,6509,2522,6509,2822,6509,3122,8282,3122,8282,2822,8282,2522,8282,2222xe" filled="true" fillcolor="#ddebf6" stroked="false">
              <v:path arrowok="t"/>
              <v:fill type="solid"/>
            </v:shape>
            <w10:wrap type="none"/>
          </v:group>
        </w:pict>
      </w:r>
      <w:r>
        <w:rPr/>
        <w:t>4.1.1(c)The estimated total amount to be raised by general rates in relation to each type or class of land, and the estimated total amount to be raised by general rates, compared with the previous financial </w:t>
      </w:r>
      <w:r>
        <w:rPr>
          <w:spacing w:val="-4"/>
        </w:rPr>
        <w:t>year</w:t>
      </w:r>
    </w:p>
    <w:p>
      <w:pPr>
        <w:pStyle w:val="BodyText"/>
        <w:spacing w:before="10"/>
        <w:rPr>
          <w:sz w:val="21"/>
        </w:rPr>
      </w:pPr>
    </w:p>
    <w:tbl>
      <w:tblPr>
        <w:tblW w:w="0" w:type="auto"/>
        <w:jc w:val="left"/>
        <w:tblInd w:w="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34"/>
        <w:gridCol w:w="1452"/>
        <w:gridCol w:w="1774"/>
        <w:gridCol w:w="1883"/>
        <w:gridCol w:w="1020"/>
      </w:tblGrid>
      <w:tr>
        <w:trPr>
          <w:trHeight w:val="602" w:hRule="atLeast"/>
        </w:trPr>
        <w:tc>
          <w:tcPr>
            <w:tcW w:w="4334" w:type="dxa"/>
            <w:tcBorders>
              <w:top w:val="single" w:sz="4" w:space="0" w:color="000000"/>
              <w:left w:val="single" w:sz="4" w:space="0" w:color="000000"/>
            </w:tcBorders>
            <w:shd w:val="clear" w:color="auto" w:fill="5B9AD4"/>
          </w:tcPr>
          <w:p>
            <w:pPr>
              <w:pStyle w:val="TableParagraph"/>
              <w:spacing w:before="47"/>
              <w:ind w:left="1269"/>
              <w:rPr>
                <w:b/>
                <w:sz w:val="18"/>
              </w:rPr>
            </w:pPr>
            <w:r>
              <w:rPr>
                <w:b/>
                <w:color w:val="FFFFFF"/>
                <w:sz w:val="18"/>
              </w:rPr>
              <w:t>Type</w:t>
            </w:r>
            <w:r>
              <w:rPr>
                <w:b/>
                <w:color w:val="FFFFFF"/>
                <w:spacing w:val="-2"/>
                <w:sz w:val="18"/>
              </w:rPr>
              <w:t> </w:t>
            </w:r>
            <w:r>
              <w:rPr>
                <w:b/>
                <w:color w:val="FFFFFF"/>
                <w:sz w:val="18"/>
              </w:rPr>
              <w:t>or</w:t>
            </w:r>
            <w:r>
              <w:rPr>
                <w:b/>
                <w:color w:val="FFFFFF"/>
                <w:spacing w:val="-3"/>
                <w:sz w:val="18"/>
              </w:rPr>
              <w:t> </w:t>
            </w:r>
            <w:r>
              <w:rPr>
                <w:b/>
                <w:color w:val="FFFFFF"/>
                <w:sz w:val="18"/>
              </w:rPr>
              <w:t>class</w:t>
            </w:r>
            <w:r>
              <w:rPr>
                <w:b/>
                <w:color w:val="FFFFFF"/>
                <w:spacing w:val="1"/>
                <w:sz w:val="18"/>
              </w:rPr>
              <w:t> </w:t>
            </w:r>
            <w:r>
              <w:rPr>
                <w:b/>
                <w:color w:val="FFFFFF"/>
                <w:sz w:val="18"/>
              </w:rPr>
              <w:t>of</w:t>
            </w:r>
            <w:r>
              <w:rPr>
                <w:b/>
                <w:color w:val="FFFFFF"/>
                <w:spacing w:val="1"/>
                <w:sz w:val="18"/>
              </w:rPr>
              <w:t> </w:t>
            </w:r>
            <w:r>
              <w:rPr>
                <w:b/>
                <w:color w:val="FFFFFF"/>
                <w:spacing w:val="-4"/>
                <w:sz w:val="18"/>
              </w:rPr>
              <w:t>land</w:t>
            </w:r>
          </w:p>
        </w:tc>
        <w:tc>
          <w:tcPr>
            <w:tcW w:w="1452" w:type="dxa"/>
            <w:tcBorders>
              <w:top w:val="single" w:sz="4" w:space="0" w:color="000000"/>
            </w:tcBorders>
            <w:shd w:val="clear" w:color="auto" w:fill="5B9AD4"/>
          </w:tcPr>
          <w:p>
            <w:pPr>
              <w:pStyle w:val="TableParagraph"/>
              <w:spacing w:before="47"/>
              <w:ind w:left="295" w:right="283"/>
              <w:jc w:val="center"/>
              <w:rPr>
                <w:b/>
                <w:sz w:val="18"/>
              </w:rPr>
            </w:pPr>
            <w:r>
              <w:rPr>
                <w:b/>
                <w:color w:val="FFFFFF"/>
                <w:spacing w:val="-2"/>
                <w:sz w:val="18"/>
              </w:rPr>
              <w:t>2023/2024</w:t>
            </w:r>
          </w:p>
          <w:p>
            <w:pPr>
              <w:pStyle w:val="TableParagraph"/>
              <w:spacing w:before="93"/>
              <w:ind w:left="292" w:right="283"/>
              <w:jc w:val="center"/>
              <w:rPr>
                <w:b/>
                <w:sz w:val="18"/>
              </w:rPr>
            </w:pPr>
            <w:r>
              <w:rPr>
                <w:b/>
                <w:color w:val="FFFFFF"/>
                <w:spacing w:val="-2"/>
                <w:sz w:val="18"/>
              </w:rPr>
              <w:t>$’000</w:t>
            </w:r>
          </w:p>
        </w:tc>
        <w:tc>
          <w:tcPr>
            <w:tcW w:w="1774" w:type="dxa"/>
            <w:tcBorders>
              <w:top w:val="single" w:sz="4" w:space="0" w:color="000000"/>
            </w:tcBorders>
            <w:shd w:val="clear" w:color="auto" w:fill="5B9AD4"/>
          </w:tcPr>
          <w:p>
            <w:pPr>
              <w:pStyle w:val="TableParagraph"/>
              <w:spacing w:before="47"/>
              <w:ind w:left="456" w:right="444"/>
              <w:jc w:val="center"/>
              <w:rPr>
                <w:b/>
                <w:sz w:val="18"/>
              </w:rPr>
            </w:pPr>
            <w:r>
              <w:rPr>
                <w:b/>
                <w:color w:val="FFFFFF"/>
                <w:spacing w:val="-2"/>
                <w:sz w:val="18"/>
              </w:rPr>
              <w:t>2024/2025</w:t>
            </w:r>
          </w:p>
          <w:p>
            <w:pPr>
              <w:pStyle w:val="TableParagraph"/>
              <w:spacing w:before="93"/>
              <w:ind w:left="453" w:right="444"/>
              <w:jc w:val="center"/>
              <w:rPr>
                <w:b/>
                <w:sz w:val="18"/>
              </w:rPr>
            </w:pPr>
            <w:r>
              <w:rPr>
                <w:b/>
                <w:color w:val="FFFFFF"/>
                <w:spacing w:val="-2"/>
                <w:sz w:val="18"/>
              </w:rPr>
              <w:t>$’000</w:t>
            </w:r>
          </w:p>
        </w:tc>
        <w:tc>
          <w:tcPr>
            <w:tcW w:w="1883" w:type="dxa"/>
            <w:tcBorders>
              <w:top w:val="single" w:sz="4" w:space="0" w:color="000000"/>
            </w:tcBorders>
            <w:shd w:val="clear" w:color="auto" w:fill="5B9AD4"/>
          </w:tcPr>
          <w:p>
            <w:pPr>
              <w:pStyle w:val="TableParagraph"/>
              <w:spacing w:before="47"/>
              <w:ind w:left="1125"/>
              <w:rPr>
                <w:b/>
                <w:sz w:val="18"/>
              </w:rPr>
            </w:pPr>
            <w:r>
              <w:rPr>
                <w:b/>
                <w:color w:val="FFFFFF"/>
                <w:spacing w:val="-2"/>
                <w:sz w:val="18"/>
              </w:rPr>
              <w:t>Change</w:t>
            </w:r>
          </w:p>
          <w:p>
            <w:pPr>
              <w:pStyle w:val="TableParagraph"/>
              <w:spacing w:before="93"/>
              <w:ind w:left="504"/>
              <w:rPr>
                <w:b/>
                <w:sz w:val="18"/>
              </w:rPr>
            </w:pPr>
            <w:r>
              <w:rPr>
                <w:b/>
                <w:color w:val="FFFFFF"/>
                <w:spacing w:val="-2"/>
                <w:sz w:val="18"/>
              </w:rPr>
              <w:t>$’000</w:t>
            </w:r>
          </w:p>
        </w:tc>
        <w:tc>
          <w:tcPr>
            <w:tcW w:w="1020" w:type="dxa"/>
            <w:tcBorders>
              <w:top w:val="single" w:sz="4" w:space="0" w:color="000000"/>
              <w:right w:val="single" w:sz="4" w:space="0" w:color="000000"/>
            </w:tcBorders>
            <w:shd w:val="clear" w:color="auto" w:fill="5B9AD4"/>
          </w:tcPr>
          <w:p>
            <w:pPr>
              <w:pStyle w:val="TableParagraph"/>
              <w:rPr>
                <w:sz w:val="20"/>
              </w:rPr>
            </w:pPr>
          </w:p>
          <w:p>
            <w:pPr>
              <w:pStyle w:val="TableParagraph"/>
              <w:spacing w:before="117"/>
              <w:ind w:left="212"/>
              <w:rPr>
                <w:b/>
                <w:sz w:val="18"/>
              </w:rPr>
            </w:pPr>
            <w:r>
              <w:rPr>
                <w:b/>
                <w:color w:val="FFFFFF"/>
                <w:sz w:val="18"/>
              </w:rPr>
              <w:t>%</w:t>
            </w:r>
          </w:p>
        </w:tc>
      </w:tr>
      <w:tr>
        <w:trPr>
          <w:trHeight w:val="300" w:hRule="atLeast"/>
        </w:trPr>
        <w:tc>
          <w:tcPr>
            <w:tcW w:w="4334" w:type="dxa"/>
            <w:tcBorders>
              <w:left w:val="single" w:sz="4" w:space="0" w:color="000000"/>
            </w:tcBorders>
          </w:tcPr>
          <w:p>
            <w:pPr>
              <w:pStyle w:val="TableParagraph"/>
              <w:spacing w:before="33"/>
              <w:ind w:left="107"/>
              <w:rPr>
                <w:sz w:val="20"/>
              </w:rPr>
            </w:pPr>
            <w:r>
              <w:rPr>
                <w:sz w:val="20"/>
              </w:rPr>
              <w:t>General</w:t>
            </w:r>
            <w:r>
              <w:rPr>
                <w:spacing w:val="-8"/>
                <w:sz w:val="20"/>
              </w:rPr>
              <w:t> </w:t>
            </w:r>
            <w:r>
              <w:rPr>
                <w:spacing w:val="-4"/>
                <w:sz w:val="20"/>
              </w:rPr>
              <w:t>Land</w:t>
            </w:r>
          </w:p>
        </w:tc>
        <w:tc>
          <w:tcPr>
            <w:tcW w:w="1452" w:type="dxa"/>
          </w:tcPr>
          <w:p>
            <w:pPr>
              <w:pStyle w:val="TableParagraph"/>
              <w:spacing w:before="33"/>
              <w:ind w:right="103"/>
              <w:jc w:val="right"/>
              <w:rPr>
                <w:sz w:val="20"/>
              </w:rPr>
            </w:pPr>
            <w:r>
              <w:rPr>
                <w:spacing w:val="-2"/>
                <w:sz w:val="20"/>
              </w:rPr>
              <w:t>73,004</w:t>
            </w:r>
          </w:p>
        </w:tc>
        <w:tc>
          <w:tcPr>
            <w:tcW w:w="1774" w:type="dxa"/>
            <w:shd w:val="clear" w:color="auto" w:fill="DDEBF6"/>
          </w:tcPr>
          <w:p>
            <w:pPr>
              <w:pStyle w:val="TableParagraph"/>
              <w:spacing w:before="33"/>
              <w:ind w:right="100"/>
              <w:jc w:val="right"/>
              <w:rPr>
                <w:b/>
                <w:sz w:val="20"/>
              </w:rPr>
            </w:pPr>
            <w:r>
              <w:rPr>
                <w:b/>
                <w:spacing w:val="-2"/>
                <w:sz w:val="20"/>
              </w:rPr>
              <w:t>75,012</w:t>
            </w:r>
          </w:p>
        </w:tc>
        <w:tc>
          <w:tcPr>
            <w:tcW w:w="1883" w:type="dxa"/>
          </w:tcPr>
          <w:p>
            <w:pPr>
              <w:pStyle w:val="TableParagraph"/>
              <w:spacing w:before="33"/>
              <w:ind w:right="533"/>
              <w:jc w:val="right"/>
              <w:rPr>
                <w:sz w:val="20"/>
              </w:rPr>
            </w:pPr>
            <w:r>
              <w:rPr>
                <w:spacing w:val="-2"/>
                <w:sz w:val="20"/>
              </w:rPr>
              <w:t>2,009</w:t>
            </w:r>
          </w:p>
        </w:tc>
        <w:tc>
          <w:tcPr>
            <w:tcW w:w="1020" w:type="dxa"/>
            <w:tcBorders>
              <w:right w:val="single" w:sz="4" w:space="0" w:color="000000"/>
            </w:tcBorders>
          </w:tcPr>
          <w:p>
            <w:pPr>
              <w:pStyle w:val="TableParagraph"/>
              <w:spacing w:before="33"/>
              <w:ind w:right="100"/>
              <w:jc w:val="right"/>
              <w:rPr>
                <w:sz w:val="20"/>
              </w:rPr>
            </w:pPr>
            <w:r>
              <w:rPr>
                <w:spacing w:val="-2"/>
                <w:sz w:val="20"/>
              </w:rPr>
              <w:t>2.75%</w:t>
            </w:r>
          </w:p>
        </w:tc>
      </w:tr>
      <w:tr>
        <w:trPr>
          <w:trHeight w:val="301" w:hRule="atLeast"/>
        </w:trPr>
        <w:tc>
          <w:tcPr>
            <w:tcW w:w="4334" w:type="dxa"/>
            <w:tcBorders>
              <w:left w:val="single" w:sz="4" w:space="0" w:color="000000"/>
            </w:tcBorders>
          </w:tcPr>
          <w:p>
            <w:pPr>
              <w:pStyle w:val="TableParagraph"/>
              <w:spacing w:before="33"/>
              <w:ind w:left="107"/>
              <w:rPr>
                <w:sz w:val="20"/>
              </w:rPr>
            </w:pPr>
            <w:r>
              <w:rPr>
                <w:sz w:val="20"/>
              </w:rPr>
              <w:t>Differential</w:t>
            </w:r>
            <w:r>
              <w:rPr>
                <w:spacing w:val="-9"/>
                <w:sz w:val="20"/>
              </w:rPr>
              <w:t> </w:t>
            </w:r>
            <w:r>
              <w:rPr>
                <w:spacing w:val="-2"/>
                <w:sz w:val="20"/>
              </w:rPr>
              <w:t>Rate:</w:t>
            </w:r>
          </w:p>
        </w:tc>
        <w:tc>
          <w:tcPr>
            <w:tcW w:w="1452" w:type="dxa"/>
          </w:tcPr>
          <w:p>
            <w:pPr>
              <w:pStyle w:val="TableParagraph"/>
              <w:rPr>
                <w:rFonts w:ascii="Times New Roman"/>
                <w:sz w:val="20"/>
              </w:rPr>
            </w:pPr>
          </w:p>
        </w:tc>
        <w:tc>
          <w:tcPr>
            <w:tcW w:w="1774" w:type="dxa"/>
          </w:tcPr>
          <w:p>
            <w:pPr>
              <w:pStyle w:val="TableParagraph"/>
              <w:rPr>
                <w:rFonts w:ascii="Times New Roman"/>
                <w:sz w:val="20"/>
              </w:rPr>
            </w:pPr>
          </w:p>
        </w:tc>
        <w:tc>
          <w:tcPr>
            <w:tcW w:w="1883" w:type="dxa"/>
          </w:tcPr>
          <w:p>
            <w:pPr>
              <w:pStyle w:val="TableParagraph"/>
              <w:rPr>
                <w:rFonts w:ascii="Times New Roman"/>
                <w:sz w:val="20"/>
              </w:rPr>
            </w:pPr>
          </w:p>
        </w:tc>
        <w:tc>
          <w:tcPr>
            <w:tcW w:w="1020" w:type="dxa"/>
            <w:tcBorders>
              <w:right w:val="single" w:sz="4" w:space="0" w:color="000000"/>
            </w:tcBorders>
          </w:tcPr>
          <w:p>
            <w:pPr>
              <w:pStyle w:val="TableParagraph"/>
              <w:rPr>
                <w:rFonts w:ascii="Times New Roman"/>
                <w:sz w:val="20"/>
              </w:rPr>
            </w:pPr>
          </w:p>
        </w:tc>
      </w:tr>
      <w:tr>
        <w:trPr>
          <w:trHeight w:val="300" w:hRule="atLeast"/>
        </w:trPr>
        <w:tc>
          <w:tcPr>
            <w:tcW w:w="4334" w:type="dxa"/>
            <w:tcBorders>
              <w:left w:val="single" w:sz="4" w:space="0" w:color="000000"/>
            </w:tcBorders>
          </w:tcPr>
          <w:p>
            <w:pPr>
              <w:pStyle w:val="TableParagraph"/>
              <w:spacing w:before="31"/>
              <w:ind w:left="327"/>
              <w:rPr>
                <w:sz w:val="20"/>
              </w:rPr>
            </w:pPr>
            <w:r>
              <w:rPr>
                <w:sz w:val="20"/>
              </w:rPr>
              <w:t>Vacant</w:t>
            </w:r>
            <w:r>
              <w:rPr>
                <w:spacing w:val="-5"/>
                <w:sz w:val="20"/>
              </w:rPr>
              <w:t> </w:t>
            </w:r>
            <w:r>
              <w:rPr>
                <w:spacing w:val="-4"/>
                <w:sz w:val="20"/>
              </w:rPr>
              <w:t>Land</w:t>
            </w:r>
          </w:p>
        </w:tc>
        <w:tc>
          <w:tcPr>
            <w:tcW w:w="1452" w:type="dxa"/>
          </w:tcPr>
          <w:p>
            <w:pPr>
              <w:pStyle w:val="TableParagraph"/>
              <w:spacing w:before="31"/>
              <w:ind w:right="102"/>
              <w:jc w:val="right"/>
              <w:rPr>
                <w:sz w:val="20"/>
              </w:rPr>
            </w:pPr>
            <w:r>
              <w:rPr>
                <w:spacing w:val="-5"/>
                <w:sz w:val="20"/>
              </w:rPr>
              <w:t>590</w:t>
            </w:r>
          </w:p>
        </w:tc>
        <w:tc>
          <w:tcPr>
            <w:tcW w:w="1774" w:type="dxa"/>
          </w:tcPr>
          <w:p>
            <w:pPr>
              <w:pStyle w:val="TableParagraph"/>
              <w:spacing w:before="31"/>
              <w:ind w:right="103"/>
              <w:jc w:val="right"/>
              <w:rPr>
                <w:b/>
                <w:sz w:val="20"/>
              </w:rPr>
            </w:pPr>
            <w:r>
              <w:rPr>
                <w:b/>
                <w:spacing w:val="-2"/>
                <w:sz w:val="20"/>
              </w:rPr>
              <w:t>1,475</w:t>
            </w:r>
          </w:p>
        </w:tc>
        <w:tc>
          <w:tcPr>
            <w:tcW w:w="1883" w:type="dxa"/>
          </w:tcPr>
          <w:p>
            <w:pPr>
              <w:pStyle w:val="TableParagraph"/>
              <w:spacing w:before="31"/>
              <w:ind w:right="534"/>
              <w:jc w:val="right"/>
              <w:rPr>
                <w:sz w:val="20"/>
              </w:rPr>
            </w:pPr>
            <w:r>
              <w:rPr>
                <w:spacing w:val="-5"/>
                <w:sz w:val="20"/>
              </w:rPr>
              <w:t>885</w:t>
            </w:r>
          </w:p>
        </w:tc>
        <w:tc>
          <w:tcPr>
            <w:tcW w:w="1020" w:type="dxa"/>
            <w:tcBorders>
              <w:right w:val="single" w:sz="4" w:space="0" w:color="000000"/>
            </w:tcBorders>
          </w:tcPr>
          <w:p>
            <w:pPr>
              <w:pStyle w:val="TableParagraph"/>
              <w:spacing w:before="31"/>
              <w:ind w:right="100"/>
              <w:jc w:val="right"/>
              <w:rPr>
                <w:sz w:val="20"/>
              </w:rPr>
            </w:pPr>
            <w:r>
              <w:rPr>
                <w:spacing w:val="-2"/>
                <w:sz w:val="20"/>
              </w:rPr>
              <w:t>150.03%</w:t>
            </w:r>
          </w:p>
        </w:tc>
      </w:tr>
      <w:tr>
        <w:trPr>
          <w:trHeight w:val="300" w:hRule="atLeast"/>
        </w:trPr>
        <w:tc>
          <w:tcPr>
            <w:tcW w:w="4334" w:type="dxa"/>
            <w:tcBorders>
              <w:left w:val="single" w:sz="4" w:space="0" w:color="000000"/>
            </w:tcBorders>
          </w:tcPr>
          <w:p>
            <w:pPr>
              <w:pStyle w:val="TableParagraph"/>
              <w:spacing w:before="31"/>
              <w:ind w:left="327"/>
              <w:rPr>
                <w:sz w:val="20"/>
              </w:rPr>
            </w:pPr>
            <w:r>
              <w:rPr>
                <w:sz w:val="20"/>
              </w:rPr>
              <w:t>Commercial</w:t>
            </w:r>
            <w:r>
              <w:rPr>
                <w:spacing w:val="-9"/>
                <w:sz w:val="20"/>
              </w:rPr>
              <w:t> </w:t>
            </w:r>
            <w:r>
              <w:rPr>
                <w:spacing w:val="-4"/>
                <w:sz w:val="20"/>
              </w:rPr>
              <w:t>Land</w:t>
            </w:r>
          </w:p>
        </w:tc>
        <w:tc>
          <w:tcPr>
            <w:tcW w:w="1452" w:type="dxa"/>
          </w:tcPr>
          <w:p>
            <w:pPr>
              <w:pStyle w:val="TableParagraph"/>
              <w:spacing w:before="31"/>
              <w:ind w:right="102"/>
              <w:jc w:val="right"/>
              <w:rPr>
                <w:sz w:val="20"/>
              </w:rPr>
            </w:pPr>
            <w:r>
              <w:rPr>
                <w:spacing w:val="-2"/>
                <w:sz w:val="20"/>
              </w:rPr>
              <w:t>7,560</w:t>
            </w:r>
          </w:p>
        </w:tc>
        <w:tc>
          <w:tcPr>
            <w:tcW w:w="1774" w:type="dxa"/>
          </w:tcPr>
          <w:p>
            <w:pPr>
              <w:pStyle w:val="TableParagraph"/>
              <w:spacing w:before="31"/>
              <w:ind w:right="103"/>
              <w:jc w:val="right"/>
              <w:rPr>
                <w:b/>
                <w:sz w:val="20"/>
              </w:rPr>
            </w:pPr>
            <w:r>
              <w:rPr>
                <w:b/>
                <w:spacing w:val="-2"/>
                <w:sz w:val="20"/>
              </w:rPr>
              <w:t>7,589</w:t>
            </w:r>
          </w:p>
        </w:tc>
        <w:tc>
          <w:tcPr>
            <w:tcW w:w="1883" w:type="dxa"/>
          </w:tcPr>
          <w:p>
            <w:pPr>
              <w:pStyle w:val="TableParagraph"/>
              <w:spacing w:before="31"/>
              <w:ind w:right="535"/>
              <w:jc w:val="right"/>
              <w:rPr>
                <w:sz w:val="20"/>
              </w:rPr>
            </w:pPr>
            <w:r>
              <w:rPr>
                <w:spacing w:val="-5"/>
                <w:sz w:val="20"/>
              </w:rPr>
              <w:t>28</w:t>
            </w:r>
          </w:p>
        </w:tc>
        <w:tc>
          <w:tcPr>
            <w:tcW w:w="1020" w:type="dxa"/>
            <w:tcBorders>
              <w:right w:val="single" w:sz="4" w:space="0" w:color="000000"/>
            </w:tcBorders>
          </w:tcPr>
          <w:p>
            <w:pPr>
              <w:pStyle w:val="TableParagraph"/>
              <w:spacing w:before="31"/>
              <w:ind w:right="100"/>
              <w:jc w:val="right"/>
              <w:rPr>
                <w:sz w:val="20"/>
              </w:rPr>
            </w:pPr>
            <w:r>
              <w:rPr>
                <w:spacing w:val="-2"/>
                <w:sz w:val="20"/>
              </w:rPr>
              <w:t>0.37%</w:t>
            </w:r>
          </w:p>
        </w:tc>
      </w:tr>
      <w:tr>
        <w:trPr>
          <w:trHeight w:val="300" w:hRule="atLeast"/>
        </w:trPr>
        <w:tc>
          <w:tcPr>
            <w:tcW w:w="4334" w:type="dxa"/>
            <w:tcBorders>
              <w:left w:val="single" w:sz="4" w:space="0" w:color="000000"/>
            </w:tcBorders>
          </w:tcPr>
          <w:p>
            <w:pPr>
              <w:pStyle w:val="TableParagraph"/>
              <w:spacing w:before="31"/>
              <w:ind w:left="327"/>
              <w:rPr>
                <w:sz w:val="20"/>
              </w:rPr>
            </w:pPr>
            <w:r>
              <w:rPr>
                <w:sz w:val="20"/>
              </w:rPr>
              <w:t>Industrial</w:t>
            </w:r>
            <w:r>
              <w:rPr>
                <w:spacing w:val="-9"/>
                <w:sz w:val="20"/>
              </w:rPr>
              <w:t> </w:t>
            </w:r>
            <w:r>
              <w:rPr>
                <w:spacing w:val="-4"/>
                <w:sz w:val="20"/>
              </w:rPr>
              <w:t>Land</w:t>
            </w:r>
          </w:p>
        </w:tc>
        <w:tc>
          <w:tcPr>
            <w:tcW w:w="1452" w:type="dxa"/>
          </w:tcPr>
          <w:p>
            <w:pPr>
              <w:pStyle w:val="TableParagraph"/>
              <w:spacing w:before="31"/>
              <w:ind w:right="101"/>
              <w:jc w:val="right"/>
              <w:rPr>
                <w:sz w:val="20"/>
              </w:rPr>
            </w:pPr>
            <w:r>
              <w:rPr>
                <w:spacing w:val="-2"/>
                <w:sz w:val="20"/>
              </w:rPr>
              <w:t>5,616</w:t>
            </w:r>
          </w:p>
        </w:tc>
        <w:tc>
          <w:tcPr>
            <w:tcW w:w="1774" w:type="dxa"/>
          </w:tcPr>
          <w:p>
            <w:pPr>
              <w:pStyle w:val="TableParagraph"/>
              <w:spacing w:before="31"/>
              <w:ind w:right="103"/>
              <w:jc w:val="right"/>
              <w:rPr>
                <w:b/>
                <w:sz w:val="20"/>
              </w:rPr>
            </w:pPr>
            <w:r>
              <w:rPr>
                <w:b/>
                <w:spacing w:val="-2"/>
                <w:sz w:val="20"/>
              </w:rPr>
              <w:t>6,096</w:t>
            </w:r>
          </w:p>
        </w:tc>
        <w:tc>
          <w:tcPr>
            <w:tcW w:w="1883" w:type="dxa"/>
          </w:tcPr>
          <w:p>
            <w:pPr>
              <w:pStyle w:val="TableParagraph"/>
              <w:spacing w:before="31"/>
              <w:ind w:right="534"/>
              <w:jc w:val="right"/>
              <w:rPr>
                <w:sz w:val="20"/>
              </w:rPr>
            </w:pPr>
            <w:r>
              <w:rPr>
                <w:spacing w:val="-5"/>
                <w:sz w:val="20"/>
              </w:rPr>
              <w:t>480</w:t>
            </w:r>
          </w:p>
        </w:tc>
        <w:tc>
          <w:tcPr>
            <w:tcW w:w="1020" w:type="dxa"/>
            <w:tcBorders>
              <w:right w:val="single" w:sz="4" w:space="0" w:color="000000"/>
            </w:tcBorders>
          </w:tcPr>
          <w:p>
            <w:pPr>
              <w:pStyle w:val="TableParagraph"/>
              <w:spacing w:before="31"/>
              <w:ind w:right="100"/>
              <w:jc w:val="right"/>
              <w:rPr>
                <w:sz w:val="20"/>
              </w:rPr>
            </w:pPr>
            <w:r>
              <w:rPr>
                <w:spacing w:val="-2"/>
                <w:sz w:val="20"/>
              </w:rPr>
              <w:t>8.54%</w:t>
            </w:r>
          </w:p>
        </w:tc>
      </w:tr>
      <w:tr>
        <w:trPr>
          <w:trHeight w:val="298" w:hRule="atLeast"/>
        </w:trPr>
        <w:tc>
          <w:tcPr>
            <w:tcW w:w="4334" w:type="dxa"/>
            <w:tcBorders>
              <w:left w:val="single" w:sz="4" w:space="0" w:color="000000"/>
              <w:bottom w:val="single" w:sz="4" w:space="0" w:color="000000"/>
            </w:tcBorders>
          </w:tcPr>
          <w:p>
            <w:pPr>
              <w:pStyle w:val="TableParagraph"/>
              <w:spacing w:before="31"/>
              <w:ind w:left="327"/>
              <w:rPr>
                <w:sz w:val="20"/>
              </w:rPr>
            </w:pPr>
            <w:r>
              <w:rPr>
                <w:sz w:val="20"/>
              </w:rPr>
              <w:t>Derelict</w:t>
            </w:r>
            <w:r>
              <w:rPr>
                <w:spacing w:val="-6"/>
                <w:sz w:val="20"/>
              </w:rPr>
              <w:t> </w:t>
            </w:r>
            <w:r>
              <w:rPr>
                <w:spacing w:val="-4"/>
                <w:sz w:val="20"/>
              </w:rPr>
              <w:t>Land</w:t>
            </w:r>
          </w:p>
        </w:tc>
        <w:tc>
          <w:tcPr>
            <w:tcW w:w="1452" w:type="dxa"/>
          </w:tcPr>
          <w:p>
            <w:pPr>
              <w:pStyle w:val="TableParagraph"/>
              <w:spacing w:before="31"/>
              <w:ind w:right="102"/>
              <w:jc w:val="right"/>
              <w:rPr>
                <w:sz w:val="20"/>
              </w:rPr>
            </w:pPr>
            <w:r>
              <w:rPr>
                <w:spacing w:val="-5"/>
                <w:sz w:val="20"/>
              </w:rPr>
              <w:t>10</w:t>
            </w:r>
          </w:p>
        </w:tc>
        <w:tc>
          <w:tcPr>
            <w:tcW w:w="1774" w:type="dxa"/>
          </w:tcPr>
          <w:p>
            <w:pPr>
              <w:pStyle w:val="TableParagraph"/>
              <w:spacing w:before="31"/>
              <w:ind w:right="101"/>
              <w:jc w:val="right"/>
              <w:rPr>
                <w:b/>
                <w:sz w:val="20"/>
              </w:rPr>
            </w:pPr>
            <w:r>
              <w:rPr>
                <w:b/>
                <w:w w:val="99"/>
                <w:sz w:val="20"/>
              </w:rPr>
              <w:t>-</w:t>
            </w:r>
          </w:p>
        </w:tc>
        <w:tc>
          <w:tcPr>
            <w:tcW w:w="1883" w:type="dxa"/>
          </w:tcPr>
          <w:p>
            <w:pPr>
              <w:pStyle w:val="TableParagraph"/>
              <w:spacing w:before="31"/>
              <w:ind w:right="532"/>
              <w:jc w:val="right"/>
              <w:rPr>
                <w:sz w:val="20"/>
              </w:rPr>
            </w:pPr>
            <w:r>
              <w:rPr>
                <w:spacing w:val="-4"/>
                <w:sz w:val="20"/>
              </w:rPr>
              <w:t>(10)</w:t>
            </w:r>
          </w:p>
        </w:tc>
        <w:tc>
          <w:tcPr>
            <w:tcW w:w="1020" w:type="dxa"/>
            <w:tcBorders>
              <w:right w:val="single" w:sz="4" w:space="0" w:color="000000"/>
            </w:tcBorders>
          </w:tcPr>
          <w:p>
            <w:pPr>
              <w:pStyle w:val="TableParagraph"/>
              <w:spacing w:before="31"/>
              <w:ind w:right="101"/>
              <w:jc w:val="right"/>
              <w:rPr>
                <w:sz w:val="20"/>
              </w:rPr>
            </w:pPr>
            <w:r>
              <w:rPr>
                <w:spacing w:val="-2"/>
                <w:sz w:val="20"/>
              </w:rPr>
              <w:t>(100.0%)</w:t>
            </w:r>
          </w:p>
        </w:tc>
      </w:tr>
      <w:tr>
        <w:trPr>
          <w:trHeight w:val="299" w:hRule="atLeast"/>
        </w:trPr>
        <w:tc>
          <w:tcPr>
            <w:tcW w:w="4334" w:type="dxa"/>
            <w:tcBorders>
              <w:top w:val="single" w:sz="4" w:space="0" w:color="000000"/>
              <w:left w:val="single" w:sz="4" w:space="0" w:color="000000"/>
            </w:tcBorders>
          </w:tcPr>
          <w:p>
            <w:pPr>
              <w:pStyle w:val="TableParagraph"/>
              <w:spacing w:before="33"/>
              <w:ind w:left="107"/>
              <w:rPr>
                <w:sz w:val="20"/>
              </w:rPr>
            </w:pPr>
            <w:r>
              <w:rPr>
                <w:sz w:val="20"/>
              </w:rPr>
              <w:t>Amounts</w:t>
            </w:r>
            <w:r>
              <w:rPr>
                <w:spacing w:val="-3"/>
                <w:sz w:val="20"/>
              </w:rPr>
              <w:t> </w:t>
            </w:r>
            <w:r>
              <w:rPr>
                <w:sz w:val="20"/>
              </w:rPr>
              <w:t>in</w:t>
            </w:r>
            <w:r>
              <w:rPr>
                <w:spacing w:val="-6"/>
                <w:sz w:val="20"/>
              </w:rPr>
              <w:t> </w:t>
            </w:r>
            <w:r>
              <w:rPr>
                <w:sz w:val="20"/>
              </w:rPr>
              <w:t>Lieu</w:t>
            </w:r>
            <w:r>
              <w:rPr>
                <w:spacing w:val="-5"/>
                <w:sz w:val="20"/>
              </w:rPr>
              <w:t> </w:t>
            </w:r>
            <w:r>
              <w:rPr>
                <w:sz w:val="20"/>
              </w:rPr>
              <w:t>of</w:t>
            </w:r>
            <w:r>
              <w:rPr>
                <w:spacing w:val="-2"/>
                <w:sz w:val="20"/>
              </w:rPr>
              <w:t> Rates:</w:t>
            </w:r>
          </w:p>
        </w:tc>
        <w:tc>
          <w:tcPr>
            <w:tcW w:w="1452" w:type="dxa"/>
          </w:tcPr>
          <w:p>
            <w:pPr>
              <w:pStyle w:val="TableParagraph"/>
              <w:rPr>
                <w:rFonts w:ascii="Times New Roman"/>
                <w:sz w:val="20"/>
              </w:rPr>
            </w:pPr>
          </w:p>
        </w:tc>
        <w:tc>
          <w:tcPr>
            <w:tcW w:w="1774" w:type="dxa"/>
          </w:tcPr>
          <w:p>
            <w:pPr>
              <w:pStyle w:val="TableParagraph"/>
              <w:rPr>
                <w:rFonts w:ascii="Times New Roman"/>
                <w:sz w:val="20"/>
              </w:rPr>
            </w:pPr>
          </w:p>
        </w:tc>
        <w:tc>
          <w:tcPr>
            <w:tcW w:w="1883" w:type="dxa"/>
          </w:tcPr>
          <w:p>
            <w:pPr>
              <w:pStyle w:val="TableParagraph"/>
              <w:rPr>
                <w:rFonts w:ascii="Times New Roman"/>
                <w:sz w:val="20"/>
              </w:rPr>
            </w:pPr>
          </w:p>
        </w:tc>
        <w:tc>
          <w:tcPr>
            <w:tcW w:w="1020" w:type="dxa"/>
            <w:tcBorders>
              <w:right w:val="single" w:sz="4" w:space="0" w:color="000000"/>
            </w:tcBorders>
          </w:tcPr>
          <w:p>
            <w:pPr>
              <w:pStyle w:val="TableParagraph"/>
              <w:rPr>
                <w:rFonts w:ascii="Times New Roman"/>
                <w:sz w:val="20"/>
              </w:rPr>
            </w:pPr>
          </w:p>
        </w:tc>
      </w:tr>
      <w:tr>
        <w:trPr>
          <w:trHeight w:val="314" w:hRule="atLeast"/>
        </w:trPr>
        <w:tc>
          <w:tcPr>
            <w:tcW w:w="4334" w:type="dxa"/>
            <w:tcBorders>
              <w:left w:val="single" w:sz="4" w:space="0" w:color="000000"/>
            </w:tcBorders>
          </w:tcPr>
          <w:p>
            <w:pPr>
              <w:pStyle w:val="TableParagraph"/>
              <w:spacing w:before="40"/>
              <w:ind w:left="107"/>
              <w:rPr>
                <w:sz w:val="20"/>
              </w:rPr>
            </w:pPr>
            <w:r>
              <w:rPr>
                <w:sz w:val="20"/>
              </w:rPr>
              <w:t>Cultural</w:t>
            </w:r>
            <w:r>
              <w:rPr>
                <w:spacing w:val="-7"/>
                <w:sz w:val="20"/>
              </w:rPr>
              <w:t> </w:t>
            </w:r>
            <w:r>
              <w:rPr>
                <w:sz w:val="20"/>
              </w:rPr>
              <w:t>and</w:t>
            </w:r>
            <w:r>
              <w:rPr>
                <w:spacing w:val="-8"/>
                <w:sz w:val="20"/>
              </w:rPr>
              <w:t> </w:t>
            </w:r>
            <w:r>
              <w:rPr>
                <w:sz w:val="20"/>
              </w:rPr>
              <w:t>Recreational</w:t>
            </w:r>
            <w:r>
              <w:rPr>
                <w:spacing w:val="-7"/>
                <w:sz w:val="20"/>
              </w:rPr>
              <w:t> </w:t>
            </w:r>
            <w:r>
              <w:rPr>
                <w:sz w:val="20"/>
              </w:rPr>
              <w:t>Lands</w:t>
            </w:r>
            <w:r>
              <w:rPr>
                <w:spacing w:val="-7"/>
                <w:sz w:val="20"/>
              </w:rPr>
              <w:t> </w:t>
            </w:r>
            <w:r>
              <w:rPr>
                <w:spacing w:val="-5"/>
                <w:sz w:val="20"/>
              </w:rPr>
              <w:t>Act</w:t>
            </w:r>
          </w:p>
        </w:tc>
        <w:tc>
          <w:tcPr>
            <w:tcW w:w="1452" w:type="dxa"/>
            <w:tcBorders>
              <w:bottom w:val="single" w:sz="8" w:space="0" w:color="000000"/>
            </w:tcBorders>
          </w:tcPr>
          <w:p>
            <w:pPr>
              <w:pStyle w:val="TableParagraph"/>
              <w:spacing w:before="40"/>
              <w:ind w:right="103"/>
              <w:jc w:val="right"/>
              <w:rPr>
                <w:sz w:val="20"/>
              </w:rPr>
            </w:pPr>
            <w:r>
              <w:rPr>
                <w:spacing w:val="-5"/>
                <w:sz w:val="20"/>
              </w:rPr>
              <w:t>19</w:t>
            </w:r>
          </w:p>
        </w:tc>
        <w:tc>
          <w:tcPr>
            <w:tcW w:w="1774" w:type="dxa"/>
            <w:tcBorders>
              <w:bottom w:val="single" w:sz="8" w:space="0" w:color="000000"/>
            </w:tcBorders>
            <w:shd w:val="clear" w:color="auto" w:fill="DDEBF6"/>
          </w:tcPr>
          <w:p>
            <w:pPr>
              <w:pStyle w:val="TableParagraph"/>
              <w:spacing w:before="40"/>
              <w:ind w:right="101"/>
              <w:jc w:val="right"/>
              <w:rPr>
                <w:b/>
                <w:sz w:val="20"/>
              </w:rPr>
            </w:pPr>
            <w:r>
              <w:rPr>
                <w:b/>
                <w:spacing w:val="-5"/>
                <w:sz w:val="20"/>
              </w:rPr>
              <w:t>19</w:t>
            </w:r>
          </w:p>
        </w:tc>
        <w:tc>
          <w:tcPr>
            <w:tcW w:w="1883" w:type="dxa"/>
            <w:tcBorders>
              <w:bottom w:val="single" w:sz="8" w:space="0" w:color="000000"/>
            </w:tcBorders>
          </w:tcPr>
          <w:p>
            <w:pPr>
              <w:pStyle w:val="TableParagraph"/>
              <w:spacing w:before="40"/>
              <w:ind w:right="531"/>
              <w:jc w:val="right"/>
              <w:rPr>
                <w:sz w:val="20"/>
              </w:rPr>
            </w:pPr>
            <w:r>
              <w:rPr>
                <w:w w:val="99"/>
                <w:sz w:val="20"/>
              </w:rPr>
              <w:t>0</w:t>
            </w:r>
          </w:p>
        </w:tc>
        <w:tc>
          <w:tcPr>
            <w:tcW w:w="1020" w:type="dxa"/>
            <w:tcBorders>
              <w:bottom w:val="single" w:sz="8" w:space="0" w:color="000000"/>
              <w:right w:val="single" w:sz="4" w:space="0" w:color="000000"/>
            </w:tcBorders>
          </w:tcPr>
          <w:p>
            <w:pPr>
              <w:pStyle w:val="TableParagraph"/>
              <w:spacing w:before="40"/>
              <w:ind w:right="100"/>
              <w:jc w:val="right"/>
              <w:rPr>
                <w:sz w:val="20"/>
              </w:rPr>
            </w:pPr>
            <w:r>
              <w:rPr>
                <w:spacing w:val="-2"/>
                <w:sz w:val="20"/>
              </w:rPr>
              <w:t>0.94%</w:t>
            </w:r>
          </w:p>
        </w:tc>
      </w:tr>
      <w:tr>
        <w:trPr>
          <w:trHeight w:val="316" w:hRule="atLeast"/>
        </w:trPr>
        <w:tc>
          <w:tcPr>
            <w:tcW w:w="4334" w:type="dxa"/>
            <w:tcBorders>
              <w:left w:val="single" w:sz="4" w:space="0" w:color="000000"/>
              <w:bottom w:val="single" w:sz="4" w:space="0" w:color="000000"/>
            </w:tcBorders>
          </w:tcPr>
          <w:p>
            <w:pPr>
              <w:pStyle w:val="TableParagraph"/>
              <w:spacing w:before="42"/>
              <w:ind w:left="107"/>
              <w:rPr>
                <w:b/>
                <w:sz w:val="20"/>
              </w:rPr>
            </w:pPr>
            <w:r>
              <w:rPr>
                <w:b/>
                <w:sz w:val="20"/>
              </w:rPr>
              <w:t>Total</w:t>
            </w:r>
            <w:r>
              <w:rPr>
                <w:b/>
                <w:spacing w:val="-6"/>
                <w:sz w:val="20"/>
              </w:rPr>
              <w:t> </w:t>
            </w:r>
            <w:r>
              <w:rPr>
                <w:b/>
                <w:sz w:val="20"/>
              </w:rPr>
              <w:t>amount</w:t>
            </w:r>
            <w:r>
              <w:rPr>
                <w:b/>
                <w:spacing w:val="-6"/>
                <w:sz w:val="20"/>
              </w:rPr>
              <w:t> </w:t>
            </w:r>
            <w:r>
              <w:rPr>
                <w:b/>
                <w:sz w:val="20"/>
              </w:rPr>
              <w:t>to</w:t>
            </w:r>
            <w:r>
              <w:rPr>
                <w:b/>
                <w:spacing w:val="-5"/>
                <w:sz w:val="20"/>
              </w:rPr>
              <w:t> </w:t>
            </w:r>
            <w:r>
              <w:rPr>
                <w:b/>
                <w:sz w:val="20"/>
              </w:rPr>
              <w:t>be</w:t>
            </w:r>
            <w:r>
              <w:rPr>
                <w:b/>
                <w:spacing w:val="-7"/>
                <w:sz w:val="20"/>
              </w:rPr>
              <w:t> </w:t>
            </w:r>
            <w:r>
              <w:rPr>
                <w:b/>
                <w:sz w:val="20"/>
              </w:rPr>
              <w:t>raised</w:t>
            </w:r>
            <w:r>
              <w:rPr>
                <w:b/>
                <w:spacing w:val="-2"/>
                <w:sz w:val="20"/>
              </w:rPr>
              <w:t> </w:t>
            </w:r>
            <w:r>
              <w:rPr>
                <w:b/>
                <w:sz w:val="20"/>
              </w:rPr>
              <w:t>by</w:t>
            </w:r>
            <w:r>
              <w:rPr>
                <w:b/>
                <w:spacing w:val="-5"/>
                <w:sz w:val="20"/>
              </w:rPr>
              <w:t> </w:t>
            </w:r>
            <w:r>
              <w:rPr>
                <w:b/>
                <w:sz w:val="20"/>
              </w:rPr>
              <w:t>general</w:t>
            </w:r>
            <w:r>
              <w:rPr>
                <w:b/>
                <w:spacing w:val="-3"/>
                <w:sz w:val="20"/>
              </w:rPr>
              <w:t> </w:t>
            </w:r>
            <w:r>
              <w:rPr>
                <w:b/>
                <w:spacing w:val="-4"/>
                <w:sz w:val="20"/>
              </w:rPr>
              <w:t>rates</w:t>
            </w:r>
          </w:p>
        </w:tc>
        <w:tc>
          <w:tcPr>
            <w:tcW w:w="1452" w:type="dxa"/>
            <w:tcBorders>
              <w:top w:val="single" w:sz="8" w:space="0" w:color="000000"/>
              <w:bottom w:val="single" w:sz="4" w:space="0" w:color="000000"/>
            </w:tcBorders>
          </w:tcPr>
          <w:p>
            <w:pPr>
              <w:pStyle w:val="TableParagraph"/>
              <w:spacing w:before="42"/>
              <w:ind w:right="102"/>
              <w:jc w:val="right"/>
              <w:rPr>
                <w:b/>
                <w:sz w:val="20"/>
              </w:rPr>
            </w:pPr>
            <w:r>
              <w:rPr>
                <w:b/>
                <w:spacing w:val="-2"/>
                <w:sz w:val="20"/>
              </w:rPr>
              <w:t>86,799</w:t>
            </w:r>
          </w:p>
        </w:tc>
        <w:tc>
          <w:tcPr>
            <w:tcW w:w="1774" w:type="dxa"/>
            <w:tcBorders>
              <w:top w:val="single" w:sz="8" w:space="0" w:color="000000"/>
              <w:bottom w:val="single" w:sz="4" w:space="0" w:color="000000"/>
            </w:tcBorders>
          </w:tcPr>
          <w:p>
            <w:pPr>
              <w:pStyle w:val="TableParagraph"/>
              <w:spacing w:before="42"/>
              <w:ind w:right="100"/>
              <w:jc w:val="right"/>
              <w:rPr>
                <w:b/>
                <w:sz w:val="20"/>
              </w:rPr>
            </w:pPr>
            <w:r>
              <w:rPr>
                <w:b/>
                <w:spacing w:val="-2"/>
                <w:sz w:val="20"/>
              </w:rPr>
              <w:t>90,190</w:t>
            </w:r>
          </w:p>
        </w:tc>
        <w:tc>
          <w:tcPr>
            <w:tcW w:w="1883" w:type="dxa"/>
            <w:tcBorders>
              <w:top w:val="single" w:sz="8" w:space="0" w:color="000000"/>
              <w:bottom w:val="single" w:sz="4" w:space="0" w:color="000000"/>
            </w:tcBorders>
          </w:tcPr>
          <w:p>
            <w:pPr>
              <w:pStyle w:val="TableParagraph"/>
              <w:spacing w:before="42"/>
              <w:ind w:right="533"/>
              <w:jc w:val="right"/>
              <w:rPr>
                <w:b/>
                <w:sz w:val="20"/>
              </w:rPr>
            </w:pPr>
            <w:r>
              <w:rPr>
                <w:b/>
                <w:spacing w:val="-2"/>
                <w:sz w:val="20"/>
              </w:rPr>
              <w:t>3,391</w:t>
            </w:r>
          </w:p>
        </w:tc>
        <w:tc>
          <w:tcPr>
            <w:tcW w:w="1020" w:type="dxa"/>
            <w:tcBorders>
              <w:top w:val="single" w:sz="8" w:space="0" w:color="000000"/>
              <w:bottom w:val="single" w:sz="4" w:space="0" w:color="000000"/>
              <w:right w:val="single" w:sz="4" w:space="0" w:color="000000"/>
            </w:tcBorders>
          </w:tcPr>
          <w:p>
            <w:pPr>
              <w:pStyle w:val="TableParagraph"/>
              <w:spacing w:before="42"/>
              <w:ind w:right="97"/>
              <w:jc w:val="right"/>
              <w:rPr>
                <w:b/>
                <w:sz w:val="20"/>
              </w:rPr>
            </w:pPr>
            <w:r>
              <w:rPr>
                <w:b/>
                <w:spacing w:val="-2"/>
                <w:sz w:val="20"/>
              </w:rPr>
              <w:t>3.91%</w:t>
            </w:r>
          </w:p>
        </w:tc>
      </w:tr>
    </w:tbl>
    <w:p>
      <w:pPr>
        <w:spacing w:after="0"/>
        <w:jc w:val="right"/>
        <w:rPr>
          <w:sz w:val="20"/>
        </w:rPr>
        <w:sectPr>
          <w:pgSz w:w="11910" w:h="16840"/>
          <w:pgMar w:header="0" w:footer="426" w:top="620" w:bottom="740" w:left="460" w:right="160"/>
        </w:sectPr>
      </w:pPr>
    </w:p>
    <w:p>
      <w:pPr>
        <w:pStyle w:val="BodyText"/>
        <w:spacing w:before="81"/>
        <w:ind w:left="980" w:hanging="721"/>
      </w:pPr>
      <w:r>
        <w:rPr/>
        <w:pict>
          <v:shape style="position:absolute;margin-left:259.080017pt;margin-top:83.127876pt;width:308.3pt;height:14.3pt;mso-position-horizontal-relative:page;mso-position-vertical-relative:paragraph;z-index:-38059520" id="docshape55" coordorigin="5182,1663" coordsize="6166,286" path="m11347,1663l9811,1663,8268,1663,6725,1663,5182,1663,5182,1948,6725,1948,8268,1948,9811,1948,11347,1948,11347,1663xe" filled="true" fillcolor="#d8d8d8" stroked="false">
            <v:path arrowok="t"/>
            <v:fill type="solid"/>
            <w10:wrap type="none"/>
          </v:shape>
        </w:pict>
      </w:r>
      <w:r>
        <w:rPr/>
        <w:t>4.1.1(d)The</w:t>
      </w:r>
      <w:r>
        <w:rPr>
          <w:spacing w:val="39"/>
        </w:rPr>
        <w:t> </w:t>
      </w:r>
      <w:r>
        <w:rPr/>
        <w:t>number</w:t>
      </w:r>
      <w:r>
        <w:rPr>
          <w:spacing w:val="40"/>
        </w:rPr>
        <w:t> </w:t>
      </w:r>
      <w:r>
        <w:rPr/>
        <w:t>of</w:t>
      </w:r>
      <w:r>
        <w:rPr>
          <w:spacing w:val="38"/>
        </w:rPr>
        <w:t> </w:t>
      </w:r>
      <w:r>
        <w:rPr/>
        <w:t>assessments</w:t>
      </w:r>
      <w:r>
        <w:rPr>
          <w:spacing w:val="40"/>
        </w:rPr>
        <w:t> </w:t>
      </w:r>
      <w:r>
        <w:rPr/>
        <w:t>in</w:t>
      </w:r>
      <w:r>
        <w:rPr>
          <w:spacing w:val="40"/>
        </w:rPr>
        <w:t> </w:t>
      </w:r>
      <w:r>
        <w:rPr/>
        <w:t>relation</w:t>
      </w:r>
      <w:r>
        <w:rPr>
          <w:spacing w:val="40"/>
        </w:rPr>
        <w:t> </w:t>
      </w:r>
      <w:r>
        <w:rPr/>
        <w:t>to</w:t>
      </w:r>
      <w:r>
        <w:rPr>
          <w:spacing w:val="39"/>
        </w:rPr>
        <w:t> </w:t>
      </w:r>
      <w:r>
        <w:rPr/>
        <w:t>each</w:t>
      </w:r>
      <w:r>
        <w:rPr>
          <w:spacing w:val="40"/>
        </w:rPr>
        <w:t> </w:t>
      </w:r>
      <w:r>
        <w:rPr/>
        <w:t>type</w:t>
      </w:r>
      <w:r>
        <w:rPr>
          <w:spacing w:val="39"/>
        </w:rPr>
        <w:t> </w:t>
      </w:r>
      <w:r>
        <w:rPr/>
        <w:t>or</w:t>
      </w:r>
      <w:r>
        <w:rPr>
          <w:spacing w:val="40"/>
        </w:rPr>
        <w:t> </w:t>
      </w:r>
      <w:r>
        <w:rPr/>
        <w:t>class</w:t>
      </w:r>
      <w:r>
        <w:rPr>
          <w:spacing w:val="38"/>
        </w:rPr>
        <w:t> </w:t>
      </w:r>
      <w:r>
        <w:rPr/>
        <w:t>of</w:t>
      </w:r>
      <w:r>
        <w:rPr>
          <w:spacing w:val="40"/>
        </w:rPr>
        <w:t> </w:t>
      </w:r>
      <w:r>
        <w:rPr/>
        <w:t>land,</w:t>
      </w:r>
      <w:r>
        <w:rPr>
          <w:spacing w:val="40"/>
        </w:rPr>
        <w:t> </w:t>
      </w:r>
      <w:r>
        <w:rPr/>
        <w:t>and</w:t>
      </w:r>
      <w:r>
        <w:rPr>
          <w:spacing w:val="40"/>
        </w:rPr>
        <w:t> </w:t>
      </w:r>
      <w:r>
        <w:rPr/>
        <w:t>the</w:t>
      </w:r>
      <w:r>
        <w:rPr>
          <w:spacing w:val="40"/>
        </w:rPr>
        <w:t> </w:t>
      </w:r>
      <w:r>
        <w:rPr/>
        <w:t>total</w:t>
      </w:r>
      <w:r>
        <w:rPr>
          <w:spacing w:val="40"/>
        </w:rPr>
        <w:t> </w:t>
      </w:r>
      <w:r>
        <w:rPr/>
        <w:t>number</w:t>
      </w:r>
      <w:r>
        <w:rPr>
          <w:spacing w:val="40"/>
        </w:rPr>
        <w:t> </w:t>
      </w:r>
      <w:r>
        <w:rPr/>
        <w:t>of assessments compared with the previous financial year</w:t>
      </w:r>
    </w:p>
    <w:p>
      <w:pPr>
        <w:pStyle w:val="BodyText"/>
        <w:rPr>
          <w:sz w:val="18"/>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55"/>
        <w:gridCol w:w="1945"/>
        <w:gridCol w:w="1543"/>
        <w:gridCol w:w="1963"/>
        <w:gridCol w:w="1121"/>
      </w:tblGrid>
      <w:tr>
        <w:trPr>
          <w:trHeight w:val="573" w:hRule="atLeast"/>
        </w:trPr>
        <w:tc>
          <w:tcPr>
            <w:tcW w:w="4055" w:type="dxa"/>
            <w:tcBorders>
              <w:top w:val="single" w:sz="4" w:space="0" w:color="000000"/>
              <w:left w:val="single" w:sz="4" w:space="0" w:color="000000"/>
            </w:tcBorders>
            <w:shd w:val="clear" w:color="auto" w:fill="5B9AD4"/>
          </w:tcPr>
          <w:p>
            <w:pPr>
              <w:pStyle w:val="TableParagraph"/>
              <w:spacing w:before="8"/>
              <w:rPr>
                <w:sz w:val="15"/>
              </w:rPr>
            </w:pPr>
          </w:p>
          <w:p>
            <w:pPr>
              <w:pStyle w:val="TableParagraph"/>
              <w:spacing w:before="1"/>
              <w:ind w:left="107"/>
              <w:rPr>
                <w:b/>
                <w:sz w:val="18"/>
              </w:rPr>
            </w:pPr>
            <w:r>
              <w:rPr>
                <w:b/>
                <w:color w:val="FFFFFF"/>
                <w:sz w:val="18"/>
              </w:rPr>
              <w:t>Type</w:t>
            </w:r>
            <w:r>
              <w:rPr>
                <w:b/>
                <w:color w:val="FFFFFF"/>
                <w:spacing w:val="-2"/>
                <w:sz w:val="18"/>
              </w:rPr>
              <w:t> </w:t>
            </w:r>
            <w:r>
              <w:rPr>
                <w:b/>
                <w:color w:val="FFFFFF"/>
                <w:sz w:val="18"/>
              </w:rPr>
              <w:t>or</w:t>
            </w:r>
            <w:r>
              <w:rPr>
                <w:b/>
                <w:color w:val="FFFFFF"/>
                <w:spacing w:val="-3"/>
                <w:sz w:val="18"/>
              </w:rPr>
              <w:t> </w:t>
            </w:r>
            <w:r>
              <w:rPr>
                <w:b/>
                <w:color w:val="FFFFFF"/>
                <w:sz w:val="18"/>
              </w:rPr>
              <w:t>class</w:t>
            </w:r>
            <w:r>
              <w:rPr>
                <w:b/>
                <w:color w:val="FFFFFF"/>
                <w:spacing w:val="1"/>
                <w:sz w:val="18"/>
              </w:rPr>
              <w:t> </w:t>
            </w:r>
            <w:r>
              <w:rPr>
                <w:b/>
                <w:color w:val="FFFFFF"/>
                <w:sz w:val="18"/>
              </w:rPr>
              <w:t>of</w:t>
            </w:r>
            <w:r>
              <w:rPr>
                <w:b/>
                <w:color w:val="FFFFFF"/>
                <w:spacing w:val="1"/>
                <w:sz w:val="18"/>
              </w:rPr>
              <w:t> </w:t>
            </w:r>
            <w:r>
              <w:rPr>
                <w:b/>
                <w:color w:val="FFFFFF"/>
                <w:spacing w:val="-4"/>
                <w:sz w:val="18"/>
              </w:rPr>
              <w:t>land</w:t>
            </w:r>
          </w:p>
        </w:tc>
        <w:tc>
          <w:tcPr>
            <w:tcW w:w="1945" w:type="dxa"/>
            <w:tcBorders>
              <w:top w:val="single" w:sz="4" w:space="0" w:color="000000"/>
            </w:tcBorders>
            <w:shd w:val="clear" w:color="auto" w:fill="5B9AD4"/>
          </w:tcPr>
          <w:p>
            <w:pPr>
              <w:pStyle w:val="TableParagraph"/>
              <w:spacing w:before="39"/>
              <w:ind w:left="752"/>
              <w:rPr>
                <w:b/>
                <w:sz w:val="18"/>
              </w:rPr>
            </w:pPr>
            <w:r>
              <w:rPr>
                <w:b/>
                <w:color w:val="FFFFFF"/>
                <w:spacing w:val="-2"/>
                <w:sz w:val="18"/>
              </w:rPr>
              <w:t>2023/2024</w:t>
            </w:r>
          </w:p>
          <w:p>
            <w:pPr>
              <w:pStyle w:val="TableParagraph"/>
              <w:spacing w:before="79"/>
              <w:ind w:left="838"/>
              <w:rPr>
                <w:b/>
                <w:sz w:val="18"/>
              </w:rPr>
            </w:pPr>
            <w:r>
              <w:rPr>
                <w:b/>
                <w:color w:val="FFFFFF"/>
                <w:spacing w:val="-2"/>
                <w:sz w:val="18"/>
              </w:rPr>
              <w:t>Number</w:t>
            </w:r>
          </w:p>
        </w:tc>
        <w:tc>
          <w:tcPr>
            <w:tcW w:w="1543" w:type="dxa"/>
            <w:tcBorders>
              <w:top w:val="single" w:sz="4" w:space="0" w:color="000000"/>
            </w:tcBorders>
            <w:shd w:val="clear" w:color="auto" w:fill="5B9AD4"/>
          </w:tcPr>
          <w:p>
            <w:pPr>
              <w:pStyle w:val="TableParagraph"/>
              <w:spacing w:before="39"/>
              <w:ind w:left="350"/>
              <w:rPr>
                <w:b/>
                <w:sz w:val="18"/>
              </w:rPr>
            </w:pPr>
            <w:r>
              <w:rPr>
                <w:b/>
                <w:color w:val="FFFFFF"/>
                <w:spacing w:val="-2"/>
                <w:sz w:val="18"/>
              </w:rPr>
              <w:t>2024/2025</w:t>
            </w:r>
          </w:p>
          <w:p>
            <w:pPr>
              <w:pStyle w:val="TableParagraph"/>
              <w:spacing w:before="79"/>
              <w:ind w:left="436"/>
              <w:rPr>
                <w:b/>
                <w:sz w:val="18"/>
              </w:rPr>
            </w:pPr>
            <w:r>
              <w:rPr>
                <w:b/>
                <w:color w:val="FFFFFF"/>
                <w:spacing w:val="-2"/>
                <w:sz w:val="18"/>
              </w:rPr>
              <w:t>Number</w:t>
            </w:r>
          </w:p>
        </w:tc>
        <w:tc>
          <w:tcPr>
            <w:tcW w:w="1963" w:type="dxa"/>
            <w:tcBorders>
              <w:top w:val="single" w:sz="4" w:space="0" w:color="000000"/>
            </w:tcBorders>
            <w:shd w:val="clear" w:color="auto" w:fill="5B9AD4"/>
          </w:tcPr>
          <w:p>
            <w:pPr>
              <w:pStyle w:val="TableParagraph"/>
              <w:spacing w:before="39"/>
              <w:ind w:left="1217"/>
              <w:rPr>
                <w:b/>
                <w:sz w:val="18"/>
              </w:rPr>
            </w:pPr>
            <w:r>
              <w:rPr>
                <w:b/>
                <w:color w:val="FFFFFF"/>
                <w:spacing w:val="-2"/>
                <w:sz w:val="18"/>
              </w:rPr>
              <w:t>Change</w:t>
            </w:r>
          </w:p>
          <w:p>
            <w:pPr>
              <w:pStyle w:val="TableParagraph"/>
              <w:spacing w:before="79"/>
              <w:ind w:left="437"/>
              <w:rPr>
                <w:b/>
                <w:sz w:val="18"/>
              </w:rPr>
            </w:pPr>
            <w:r>
              <w:rPr>
                <w:b/>
                <w:color w:val="FFFFFF"/>
                <w:spacing w:val="-2"/>
                <w:sz w:val="18"/>
              </w:rPr>
              <w:t>Number</w:t>
            </w:r>
          </w:p>
        </w:tc>
        <w:tc>
          <w:tcPr>
            <w:tcW w:w="1121" w:type="dxa"/>
            <w:tcBorders>
              <w:top w:val="single" w:sz="4" w:space="0" w:color="000000"/>
              <w:right w:val="single" w:sz="4" w:space="0" w:color="000000"/>
            </w:tcBorders>
            <w:shd w:val="clear" w:color="auto" w:fill="5B9AD4"/>
          </w:tcPr>
          <w:p>
            <w:pPr>
              <w:pStyle w:val="TableParagraph"/>
              <w:spacing w:before="3"/>
              <w:rPr>
                <w:sz w:val="28"/>
              </w:rPr>
            </w:pPr>
          </w:p>
          <w:p>
            <w:pPr>
              <w:pStyle w:val="TableParagraph"/>
              <w:ind w:left="269"/>
              <w:rPr>
                <w:b/>
                <w:sz w:val="18"/>
              </w:rPr>
            </w:pPr>
            <w:r>
              <w:rPr>
                <w:b/>
                <w:color w:val="FFFFFF"/>
                <w:sz w:val="18"/>
              </w:rPr>
              <w:t>%</w:t>
            </w:r>
          </w:p>
        </w:tc>
      </w:tr>
      <w:tr>
        <w:trPr>
          <w:trHeight w:val="571" w:hRule="atLeast"/>
        </w:trPr>
        <w:tc>
          <w:tcPr>
            <w:tcW w:w="4055" w:type="dxa"/>
            <w:tcBorders>
              <w:left w:val="single" w:sz="4" w:space="0" w:color="000000"/>
            </w:tcBorders>
          </w:tcPr>
          <w:p>
            <w:pPr>
              <w:pStyle w:val="TableParagraph"/>
              <w:spacing w:before="26"/>
              <w:ind w:left="107"/>
              <w:rPr>
                <w:sz w:val="20"/>
              </w:rPr>
            </w:pPr>
            <w:r>
              <w:rPr>
                <w:sz w:val="20"/>
              </w:rPr>
              <w:t>General</w:t>
            </w:r>
            <w:r>
              <w:rPr>
                <w:spacing w:val="-8"/>
                <w:sz w:val="20"/>
              </w:rPr>
              <w:t> </w:t>
            </w:r>
            <w:r>
              <w:rPr>
                <w:spacing w:val="-4"/>
                <w:sz w:val="20"/>
              </w:rPr>
              <w:t>Land</w:t>
            </w:r>
          </w:p>
          <w:p>
            <w:pPr>
              <w:pStyle w:val="TableParagraph"/>
              <w:spacing w:before="55"/>
              <w:ind w:left="107"/>
              <w:rPr>
                <w:sz w:val="20"/>
              </w:rPr>
            </w:pPr>
            <w:r>
              <w:rPr>
                <w:sz w:val="20"/>
              </w:rPr>
              <w:t>Differential</w:t>
            </w:r>
            <w:r>
              <w:rPr>
                <w:spacing w:val="-9"/>
                <w:sz w:val="20"/>
              </w:rPr>
              <w:t> </w:t>
            </w:r>
            <w:r>
              <w:rPr>
                <w:spacing w:val="-2"/>
                <w:sz w:val="20"/>
              </w:rPr>
              <w:t>Rate:</w:t>
            </w:r>
          </w:p>
        </w:tc>
        <w:tc>
          <w:tcPr>
            <w:tcW w:w="1945" w:type="dxa"/>
          </w:tcPr>
          <w:p>
            <w:pPr>
              <w:pStyle w:val="TableParagraph"/>
              <w:spacing w:before="26"/>
              <w:ind w:right="103"/>
              <w:jc w:val="right"/>
              <w:rPr>
                <w:sz w:val="20"/>
              </w:rPr>
            </w:pPr>
            <w:r>
              <w:rPr>
                <w:spacing w:val="-2"/>
                <w:sz w:val="20"/>
              </w:rPr>
              <w:t>47,654</w:t>
            </w:r>
          </w:p>
        </w:tc>
        <w:tc>
          <w:tcPr>
            <w:tcW w:w="1543" w:type="dxa"/>
          </w:tcPr>
          <w:p>
            <w:pPr>
              <w:pStyle w:val="TableParagraph"/>
              <w:tabs>
                <w:tab w:pos="823" w:val="left" w:leader="none"/>
              </w:tabs>
              <w:spacing w:before="26"/>
              <w:ind w:right="-15"/>
              <w:jc w:val="right"/>
              <w:rPr>
                <w:b/>
                <w:sz w:val="20"/>
              </w:rPr>
            </w:pPr>
            <w:r>
              <w:rPr>
                <w:rFonts w:ascii="Times New Roman"/>
                <w:color w:val="000000"/>
                <w:sz w:val="20"/>
                <w:shd w:fill="DDEBF6" w:color="auto" w:val="clear"/>
              </w:rPr>
              <w:tab/>
            </w:r>
            <w:r>
              <w:rPr>
                <w:b/>
                <w:color w:val="000000"/>
                <w:spacing w:val="-2"/>
                <w:sz w:val="20"/>
                <w:shd w:fill="DDEBF6" w:color="auto" w:val="clear"/>
              </w:rPr>
              <w:t>47,697</w:t>
            </w:r>
            <w:r>
              <w:rPr>
                <w:b/>
                <w:color w:val="000000"/>
                <w:spacing w:val="80"/>
                <w:sz w:val="20"/>
                <w:shd w:fill="DDEBF6" w:color="auto" w:val="clear"/>
              </w:rPr>
              <w:t> </w:t>
            </w:r>
          </w:p>
        </w:tc>
        <w:tc>
          <w:tcPr>
            <w:tcW w:w="1963" w:type="dxa"/>
          </w:tcPr>
          <w:p>
            <w:pPr>
              <w:pStyle w:val="TableParagraph"/>
              <w:spacing w:before="26"/>
              <w:ind w:right="523"/>
              <w:jc w:val="right"/>
              <w:rPr>
                <w:sz w:val="20"/>
              </w:rPr>
            </w:pPr>
            <w:r>
              <w:rPr>
                <w:spacing w:val="-5"/>
                <w:sz w:val="20"/>
              </w:rPr>
              <w:t>43</w:t>
            </w:r>
          </w:p>
        </w:tc>
        <w:tc>
          <w:tcPr>
            <w:tcW w:w="1121" w:type="dxa"/>
            <w:tcBorders>
              <w:right w:val="single" w:sz="4" w:space="0" w:color="000000"/>
            </w:tcBorders>
          </w:tcPr>
          <w:p>
            <w:pPr>
              <w:pStyle w:val="TableParagraph"/>
              <w:spacing w:before="26"/>
              <w:ind w:right="98"/>
              <w:jc w:val="right"/>
              <w:rPr>
                <w:sz w:val="20"/>
              </w:rPr>
            </w:pPr>
            <w:r>
              <w:rPr>
                <w:spacing w:val="-2"/>
                <w:sz w:val="20"/>
              </w:rPr>
              <w:t>0.09%</w:t>
            </w:r>
          </w:p>
        </w:tc>
      </w:tr>
      <w:tr>
        <w:trPr>
          <w:trHeight w:val="288" w:hRule="atLeast"/>
        </w:trPr>
        <w:tc>
          <w:tcPr>
            <w:tcW w:w="4055" w:type="dxa"/>
            <w:tcBorders>
              <w:left w:val="single" w:sz="4" w:space="0" w:color="000000"/>
            </w:tcBorders>
          </w:tcPr>
          <w:p>
            <w:pPr>
              <w:pStyle w:val="TableParagraph"/>
              <w:spacing w:before="26"/>
              <w:ind w:left="327"/>
              <w:rPr>
                <w:sz w:val="20"/>
              </w:rPr>
            </w:pPr>
            <w:r>
              <w:rPr>
                <w:sz w:val="20"/>
              </w:rPr>
              <w:t>Vacant</w:t>
            </w:r>
            <w:r>
              <w:rPr>
                <w:spacing w:val="-5"/>
                <w:sz w:val="20"/>
              </w:rPr>
              <w:t> </w:t>
            </w:r>
            <w:r>
              <w:rPr>
                <w:spacing w:val="-4"/>
                <w:sz w:val="20"/>
              </w:rPr>
              <w:t>Land</w:t>
            </w:r>
          </w:p>
        </w:tc>
        <w:tc>
          <w:tcPr>
            <w:tcW w:w="1945" w:type="dxa"/>
          </w:tcPr>
          <w:p>
            <w:pPr>
              <w:pStyle w:val="TableParagraph"/>
              <w:spacing w:before="26"/>
              <w:ind w:right="103"/>
              <w:jc w:val="right"/>
              <w:rPr>
                <w:sz w:val="20"/>
              </w:rPr>
            </w:pPr>
            <w:r>
              <w:rPr>
                <w:spacing w:val="-5"/>
                <w:sz w:val="20"/>
              </w:rPr>
              <w:t>197</w:t>
            </w:r>
          </w:p>
        </w:tc>
        <w:tc>
          <w:tcPr>
            <w:tcW w:w="1543" w:type="dxa"/>
            <w:shd w:val="clear" w:color="auto" w:fill="DDEBF6"/>
          </w:tcPr>
          <w:p>
            <w:pPr>
              <w:pStyle w:val="TableParagraph"/>
              <w:spacing w:before="26"/>
              <w:ind w:right="103"/>
              <w:jc w:val="right"/>
              <w:rPr>
                <w:b/>
                <w:sz w:val="20"/>
              </w:rPr>
            </w:pPr>
            <w:r>
              <w:rPr>
                <w:b/>
                <w:spacing w:val="-5"/>
                <w:sz w:val="20"/>
              </w:rPr>
              <w:t>591</w:t>
            </w:r>
          </w:p>
        </w:tc>
        <w:tc>
          <w:tcPr>
            <w:tcW w:w="1963" w:type="dxa"/>
          </w:tcPr>
          <w:p>
            <w:pPr>
              <w:pStyle w:val="TableParagraph"/>
              <w:spacing w:before="26"/>
              <w:ind w:right="523"/>
              <w:jc w:val="right"/>
              <w:rPr>
                <w:sz w:val="20"/>
              </w:rPr>
            </w:pPr>
            <w:r>
              <w:rPr>
                <w:spacing w:val="-5"/>
                <w:sz w:val="20"/>
              </w:rPr>
              <w:t>394</w:t>
            </w:r>
          </w:p>
        </w:tc>
        <w:tc>
          <w:tcPr>
            <w:tcW w:w="1121" w:type="dxa"/>
            <w:tcBorders>
              <w:right w:val="single" w:sz="4" w:space="0" w:color="000000"/>
            </w:tcBorders>
          </w:tcPr>
          <w:p>
            <w:pPr>
              <w:pStyle w:val="TableParagraph"/>
              <w:spacing w:before="26"/>
              <w:ind w:right="99"/>
              <w:jc w:val="right"/>
              <w:rPr>
                <w:sz w:val="20"/>
              </w:rPr>
            </w:pPr>
            <w:r>
              <w:rPr>
                <w:spacing w:val="-2"/>
                <w:sz w:val="20"/>
              </w:rPr>
              <w:t>200.00%</w:t>
            </w:r>
          </w:p>
        </w:tc>
      </w:tr>
      <w:tr>
        <w:trPr>
          <w:trHeight w:val="286" w:hRule="atLeast"/>
        </w:trPr>
        <w:tc>
          <w:tcPr>
            <w:tcW w:w="4055" w:type="dxa"/>
            <w:tcBorders>
              <w:left w:val="single" w:sz="4" w:space="0" w:color="000000"/>
            </w:tcBorders>
          </w:tcPr>
          <w:p>
            <w:pPr>
              <w:pStyle w:val="TableParagraph"/>
              <w:spacing w:before="25"/>
              <w:ind w:left="327"/>
              <w:rPr>
                <w:sz w:val="20"/>
              </w:rPr>
            </w:pPr>
            <w:r>
              <w:rPr>
                <w:sz w:val="20"/>
              </w:rPr>
              <w:t>Commercial</w:t>
            </w:r>
            <w:r>
              <w:rPr>
                <w:spacing w:val="-9"/>
                <w:sz w:val="20"/>
              </w:rPr>
              <w:t> </w:t>
            </w:r>
            <w:r>
              <w:rPr>
                <w:spacing w:val="-4"/>
                <w:sz w:val="20"/>
              </w:rPr>
              <w:t>Land</w:t>
            </w:r>
          </w:p>
        </w:tc>
        <w:tc>
          <w:tcPr>
            <w:tcW w:w="1945" w:type="dxa"/>
          </w:tcPr>
          <w:p>
            <w:pPr>
              <w:pStyle w:val="TableParagraph"/>
              <w:spacing w:before="25"/>
              <w:ind w:right="102"/>
              <w:jc w:val="right"/>
              <w:rPr>
                <w:sz w:val="20"/>
              </w:rPr>
            </w:pPr>
            <w:r>
              <w:rPr>
                <w:spacing w:val="-2"/>
                <w:sz w:val="20"/>
              </w:rPr>
              <w:t>2,219</w:t>
            </w:r>
          </w:p>
        </w:tc>
        <w:tc>
          <w:tcPr>
            <w:tcW w:w="1543" w:type="dxa"/>
            <w:shd w:val="clear" w:color="auto" w:fill="DDEBF6"/>
          </w:tcPr>
          <w:p>
            <w:pPr>
              <w:pStyle w:val="TableParagraph"/>
              <w:spacing w:before="25"/>
              <w:ind w:right="102"/>
              <w:jc w:val="right"/>
              <w:rPr>
                <w:b/>
                <w:sz w:val="20"/>
              </w:rPr>
            </w:pPr>
            <w:r>
              <w:rPr>
                <w:b/>
                <w:spacing w:val="-2"/>
                <w:sz w:val="20"/>
              </w:rPr>
              <w:t>2,182</w:t>
            </w:r>
          </w:p>
        </w:tc>
        <w:tc>
          <w:tcPr>
            <w:tcW w:w="1963" w:type="dxa"/>
          </w:tcPr>
          <w:p>
            <w:pPr>
              <w:pStyle w:val="TableParagraph"/>
              <w:spacing w:before="25"/>
              <w:ind w:right="521"/>
              <w:jc w:val="right"/>
              <w:rPr>
                <w:sz w:val="20"/>
              </w:rPr>
            </w:pPr>
            <w:r>
              <w:rPr>
                <w:spacing w:val="-4"/>
                <w:sz w:val="20"/>
              </w:rPr>
              <w:t>(37)</w:t>
            </w:r>
          </w:p>
        </w:tc>
        <w:tc>
          <w:tcPr>
            <w:tcW w:w="1121" w:type="dxa"/>
            <w:tcBorders>
              <w:right w:val="single" w:sz="4" w:space="0" w:color="000000"/>
            </w:tcBorders>
          </w:tcPr>
          <w:p>
            <w:pPr>
              <w:pStyle w:val="TableParagraph"/>
              <w:spacing w:before="25"/>
              <w:ind w:right="100"/>
              <w:jc w:val="right"/>
              <w:rPr>
                <w:sz w:val="20"/>
              </w:rPr>
            </w:pPr>
            <w:r>
              <w:rPr>
                <w:spacing w:val="-2"/>
                <w:sz w:val="20"/>
              </w:rPr>
              <w:t>(1.67%)</w:t>
            </w:r>
          </w:p>
        </w:tc>
      </w:tr>
      <w:tr>
        <w:trPr>
          <w:trHeight w:val="285" w:hRule="atLeast"/>
        </w:trPr>
        <w:tc>
          <w:tcPr>
            <w:tcW w:w="4055" w:type="dxa"/>
            <w:tcBorders>
              <w:left w:val="single" w:sz="4" w:space="0" w:color="000000"/>
            </w:tcBorders>
          </w:tcPr>
          <w:p>
            <w:pPr>
              <w:pStyle w:val="TableParagraph"/>
              <w:spacing w:before="24"/>
              <w:ind w:left="327"/>
              <w:rPr>
                <w:sz w:val="20"/>
              </w:rPr>
            </w:pPr>
            <w:r>
              <w:rPr>
                <w:sz w:val="20"/>
              </w:rPr>
              <w:t>Industrial</w:t>
            </w:r>
            <w:r>
              <w:rPr>
                <w:spacing w:val="-9"/>
                <w:sz w:val="20"/>
              </w:rPr>
              <w:t> </w:t>
            </w:r>
            <w:r>
              <w:rPr>
                <w:spacing w:val="-4"/>
                <w:sz w:val="20"/>
              </w:rPr>
              <w:t>Land</w:t>
            </w:r>
          </w:p>
        </w:tc>
        <w:tc>
          <w:tcPr>
            <w:tcW w:w="1945" w:type="dxa"/>
          </w:tcPr>
          <w:p>
            <w:pPr>
              <w:pStyle w:val="TableParagraph"/>
              <w:spacing w:before="24"/>
              <w:ind w:right="102"/>
              <w:jc w:val="right"/>
              <w:rPr>
                <w:sz w:val="20"/>
              </w:rPr>
            </w:pPr>
            <w:r>
              <w:rPr>
                <w:spacing w:val="-2"/>
                <w:sz w:val="20"/>
              </w:rPr>
              <w:t>2,162</w:t>
            </w:r>
          </w:p>
        </w:tc>
        <w:tc>
          <w:tcPr>
            <w:tcW w:w="1543" w:type="dxa"/>
            <w:shd w:val="clear" w:color="auto" w:fill="DDEBF6"/>
          </w:tcPr>
          <w:p>
            <w:pPr>
              <w:pStyle w:val="TableParagraph"/>
              <w:spacing w:before="24"/>
              <w:ind w:right="102"/>
              <w:jc w:val="right"/>
              <w:rPr>
                <w:b/>
                <w:sz w:val="20"/>
              </w:rPr>
            </w:pPr>
            <w:r>
              <w:rPr>
                <w:b/>
                <w:spacing w:val="-2"/>
                <w:sz w:val="20"/>
              </w:rPr>
              <w:t>2,205</w:t>
            </w:r>
          </w:p>
        </w:tc>
        <w:tc>
          <w:tcPr>
            <w:tcW w:w="1963" w:type="dxa"/>
          </w:tcPr>
          <w:p>
            <w:pPr>
              <w:pStyle w:val="TableParagraph"/>
              <w:spacing w:before="24"/>
              <w:ind w:right="523"/>
              <w:jc w:val="right"/>
              <w:rPr>
                <w:sz w:val="20"/>
              </w:rPr>
            </w:pPr>
            <w:r>
              <w:rPr>
                <w:spacing w:val="-5"/>
                <w:sz w:val="20"/>
              </w:rPr>
              <w:t>43</w:t>
            </w:r>
          </w:p>
        </w:tc>
        <w:tc>
          <w:tcPr>
            <w:tcW w:w="1121" w:type="dxa"/>
            <w:tcBorders>
              <w:right w:val="single" w:sz="4" w:space="0" w:color="000000"/>
            </w:tcBorders>
          </w:tcPr>
          <w:p>
            <w:pPr>
              <w:pStyle w:val="TableParagraph"/>
              <w:spacing w:before="24"/>
              <w:ind w:right="98"/>
              <w:jc w:val="right"/>
              <w:rPr>
                <w:sz w:val="20"/>
              </w:rPr>
            </w:pPr>
            <w:r>
              <w:rPr>
                <w:spacing w:val="-2"/>
                <w:sz w:val="20"/>
              </w:rPr>
              <w:t>1.99%</w:t>
            </w:r>
          </w:p>
        </w:tc>
      </w:tr>
      <w:tr>
        <w:trPr>
          <w:trHeight w:val="289" w:hRule="atLeast"/>
        </w:trPr>
        <w:tc>
          <w:tcPr>
            <w:tcW w:w="4055" w:type="dxa"/>
            <w:tcBorders>
              <w:left w:val="single" w:sz="4" w:space="0" w:color="000000"/>
            </w:tcBorders>
          </w:tcPr>
          <w:p>
            <w:pPr>
              <w:pStyle w:val="TableParagraph"/>
              <w:spacing w:before="24"/>
              <w:ind w:left="327"/>
              <w:rPr>
                <w:sz w:val="20"/>
              </w:rPr>
            </w:pPr>
            <w:r>
              <w:rPr>
                <w:sz w:val="20"/>
              </w:rPr>
              <w:t>Derelict</w:t>
            </w:r>
            <w:r>
              <w:rPr>
                <w:spacing w:val="-6"/>
                <w:sz w:val="20"/>
              </w:rPr>
              <w:t> </w:t>
            </w:r>
            <w:r>
              <w:rPr>
                <w:spacing w:val="-4"/>
                <w:sz w:val="20"/>
              </w:rPr>
              <w:t>Land</w:t>
            </w:r>
          </w:p>
        </w:tc>
        <w:tc>
          <w:tcPr>
            <w:tcW w:w="1945" w:type="dxa"/>
          </w:tcPr>
          <w:p>
            <w:pPr>
              <w:pStyle w:val="TableParagraph"/>
              <w:spacing w:before="24"/>
              <w:ind w:right="101"/>
              <w:jc w:val="right"/>
              <w:rPr>
                <w:sz w:val="20"/>
              </w:rPr>
            </w:pPr>
            <w:r>
              <w:rPr>
                <w:w w:val="99"/>
                <w:sz w:val="20"/>
              </w:rPr>
              <w:t>1</w:t>
            </w:r>
          </w:p>
        </w:tc>
        <w:tc>
          <w:tcPr>
            <w:tcW w:w="1543" w:type="dxa"/>
            <w:shd w:val="clear" w:color="auto" w:fill="DDEBF6"/>
          </w:tcPr>
          <w:p>
            <w:pPr>
              <w:pStyle w:val="TableParagraph"/>
              <w:spacing w:before="24"/>
              <w:ind w:right="100"/>
              <w:jc w:val="right"/>
              <w:rPr>
                <w:b/>
                <w:sz w:val="20"/>
              </w:rPr>
            </w:pPr>
            <w:r>
              <w:rPr>
                <w:b/>
                <w:w w:val="99"/>
                <w:sz w:val="20"/>
              </w:rPr>
              <w:t>0</w:t>
            </w:r>
          </w:p>
        </w:tc>
        <w:tc>
          <w:tcPr>
            <w:tcW w:w="1963" w:type="dxa"/>
          </w:tcPr>
          <w:p>
            <w:pPr>
              <w:pStyle w:val="TableParagraph"/>
              <w:spacing w:before="24"/>
              <w:ind w:right="521"/>
              <w:jc w:val="right"/>
              <w:rPr>
                <w:sz w:val="20"/>
              </w:rPr>
            </w:pPr>
            <w:r>
              <w:rPr>
                <w:spacing w:val="-5"/>
                <w:sz w:val="20"/>
              </w:rPr>
              <w:t>(1)</w:t>
            </w:r>
          </w:p>
        </w:tc>
        <w:tc>
          <w:tcPr>
            <w:tcW w:w="1121" w:type="dxa"/>
            <w:tcBorders>
              <w:right w:val="single" w:sz="4" w:space="0" w:color="000000"/>
            </w:tcBorders>
          </w:tcPr>
          <w:p>
            <w:pPr>
              <w:pStyle w:val="TableParagraph"/>
              <w:spacing w:before="24"/>
              <w:ind w:right="98"/>
              <w:jc w:val="right"/>
              <w:rPr>
                <w:sz w:val="20"/>
              </w:rPr>
            </w:pPr>
            <w:r>
              <w:rPr>
                <w:spacing w:val="-2"/>
                <w:sz w:val="20"/>
              </w:rPr>
              <w:t>(100.00%)</w:t>
            </w:r>
          </w:p>
        </w:tc>
      </w:tr>
      <w:tr>
        <w:trPr>
          <w:trHeight w:val="294" w:hRule="atLeast"/>
        </w:trPr>
        <w:tc>
          <w:tcPr>
            <w:tcW w:w="4055" w:type="dxa"/>
            <w:tcBorders>
              <w:left w:val="single" w:sz="4" w:space="0" w:color="000000"/>
              <w:bottom w:val="single" w:sz="4" w:space="0" w:color="000000"/>
            </w:tcBorders>
          </w:tcPr>
          <w:p>
            <w:pPr>
              <w:pStyle w:val="TableParagraph"/>
              <w:spacing w:before="28"/>
              <w:ind w:left="107"/>
              <w:rPr>
                <w:sz w:val="20"/>
              </w:rPr>
            </w:pPr>
            <w:r>
              <w:rPr>
                <w:sz w:val="20"/>
              </w:rPr>
              <w:t>Cultural</w:t>
            </w:r>
            <w:r>
              <w:rPr>
                <w:spacing w:val="-7"/>
                <w:sz w:val="20"/>
              </w:rPr>
              <w:t> </w:t>
            </w:r>
            <w:r>
              <w:rPr>
                <w:sz w:val="20"/>
              </w:rPr>
              <w:t>and</w:t>
            </w:r>
            <w:r>
              <w:rPr>
                <w:spacing w:val="-8"/>
                <w:sz w:val="20"/>
              </w:rPr>
              <w:t> </w:t>
            </w:r>
            <w:r>
              <w:rPr>
                <w:sz w:val="20"/>
              </w:rPr>
              <w:t>Recreational</w:t>
            </w:r>
            <w:r>
              <w:rPr>
                <w:spacing w:val="-7"/>
                <w:sz w:val="20"/>
              </w:rPr>
              <w:t> </w:t>
            </w:r>
            <w:r>
              <w:rPr>
                <w:sz w:val="20"/>
              </w:rPr>
              <w:t>Lands</w:t>
            </w:r>
            <w:r>
              <w:rPr>
                <w:spacing w:val="-7"/>
                <w:sz w:val="20"/>
              </w:rPr>
              <w:t> </w:t>
            </w:r>
            <w:r>
              <w:rPr>
                <w:spacing w:val="-5"/>
                <w:sz w:val="20"/>
              </w:rPr>
              <w:t>Act</w:t>
            </w:r>
          </w:p>
        </w:tc>
        <w:tc>
          <w:tcPr>
            <w:tcW w:w="1945" w:type="dxa"/>
            <w:tcBorders>
              <w:bottom w:val="single" w:sz="4" w:space="0" w:color="000000"/>
            </w:tcBorders>
          </w:tcPr>
          <w:p>
            <w:pPr>
              <w:pStyle w:val="TableParagraph"/>
              <w:spacing w:before="28"/>
              <w:ind w:right="100"/>
              <w:jc w:val="right"/>
              <w:rPr>
                <w:sz w:val="20"/>
              </w:rPr>
            </w:pPr>
            <w:r>
              <w:rPr>
                <w:w w:val="99"/>
                <w:sz w:val="20"/>
              </w:rPr>
              <w:t>3</w:t>
            </w:r>
          </w:p>
        </w:tc>
        <w:tc>
          <w:tcPr>
            <w:tcW w:w="1543" w:type="dxa"/>
            <w:tcBorders>
              <w:bottom w:val="single" w:sz="4" w:space="0" w:color="000000"/>
            </w:tcBorders>
            <w:shd w:val="clear" w:color="auto" w:fill="DDEBF6"/>
          </w:tcPr>
          <w:p>
            <w:pPr>
              <w:pStyle w:val="TableParagraph"/>
              <w:spacing w:before="28"/>
              <w:ind w:right="100"/>
              <w:jc w:val="right"/>
              <w:rPr>
                <w:b/>
                <w:sz w:val="20"/>
              </w:rPr>
            </w:pPr>
            <w:r>
              <w:rPr>
                <w:b/>
                <w:w w:val="99"/>
                <w:sz w:val="20"/>
              </w:rPr>
              <w:t>3</w:t>
            </w:r>
          </w:p>
        </w:tc>
        <w:tc>
          <w:tcPr>
            <w:tcW w:w="1963" w:type="dxa"/>
            <w:tcBorders>
              <w:bottom w:val="single" w:sz="4" w:space="0" w:color="000000"/>
            </w:tcBorders>
          </w:tcPr>
          <w:p>
            <w:pPr>
              <w:pStyle w:val="TableParagraph"/>
              <w:spacing w:before="28"/>
              <w:ind w:right="520"/>
              <w:jc w:val="right"/>
              <w:rPr>
                <w:sz w:val="20"/>
              </w:rPr>
            </w:pPr>
            <w:r>
              <w:rPr>
                <w:w w:val="99"/>
                <w:sz w:val="20"/>
              </w:rPr>
              <w:t>0</w:t>
            </w:r>
          </w:p>
        </w:tc>
        <w:tc>
          <w:tcPr>
            <w:tcW w:w="1121" w:type="dxa"/>
            <w:tcBorders>
              <w:bottom w:val="single" w:sz="4" w:space="0" w:color="000000"/>
              <w:right w:val="single" w:sz="4" w:space="0" w:color="000000"/>
            </w:tcBorders>
          </w:tcPr>
          <w:p>
            <w:pPr>
              <w:pStyle w:val="TableParagraph"/>
              <w:spacing w:before="28"/>
              <w:ind w:right="98"/>
              <w:jc w:val="right"/>
              <w:rPr>
                <w:sz w:val="20"/>
              </w:rPr>
            </w:pPr>
            <w:r>
              <w:rPr>
                <w:spacing w:val="-2"/>
                <w:sz w:val="20"/>
              </w:rPr>
              <w:t>0.00%</w:t>
            </w:r>
          </w:p>
        </w:tc>
      </w:tr>
      <w:tr>
        <w:trPr>
          <w:trHeight w:val="302" w:hRule="atLeast"/>
        </w:trPr>
        <w:tc>
          <w:tcPr>
            <w:tcW w:w="4055" w:type="dxa"/>
            <w:tcBorders>
              <w:top w:val="single" w:sz="4" w:space="0" w:color="000000"/>
              <w:left w:val="single" w:sz="4" w:space="0" w:color="000000"/>
              <w:bottom w:val="single" w:sz="4" w:space="0" w:color="000000"/>
            </w:tcBorders>
          </w:tcPr>
          <w:p>
            <w:pPr>
              <w:pStyle w:val="TableParagraph"/>
              <w:spacing w:before="35"/>
              <w:ind w:left="107"/>
              <w:rPr>
                <w:b/>
                <w:sz w:val="20"/>
              </w:rPr>
            </w:pPr>
            <w:r>
              <w:rPr>
                <w:b/>
                <w:sz w:val="20"/>
              </w:rPr>
              <w:t>Total</w:t>
            </w:r>
            <w:r>
              <w:rPr>
                <w:b/>
                <w:spacing w:val="-6"/>
                <w:sz w:val="20"/>
              </w:rPr>
              <w:t> </w:t>
            </w:r>
            <w:r>
              <w:rPr>
                <w:b/>
                <w:sz w:val="20"/>
              </w:rPr>
              <w:t>number</w:t>
            </w:r>
            <w:r>
              <w:rPr>
                <w:b/>
                <w:spacing w:val="-5"/>
                <w:sz w:val="20"/>
              </w:rPr>
              <w:t> </w:t>
            </w:r>
            <w:r>
              <w:rPr>
                <w:b/>
                <w:sz w:val="20"/>
              </w:rPr>
              <w:t>of</w:t>
            </w:r>
            <w:r>
              <w:rPr>
                <w:b/>
                <w:spacing w:val="-5"/>
                <w:sz w:val="20"/>
              </w:rPr>
              <w:t> </w:t>
            </w:r>
            <w:r>
              <w:rPr>
                <w:b/>
                <w:spacing w:val="-2"/>
                <w:sz w:val="20"/>
              </w:rPr>
              <w:t>assessments</w:t>
            </w:r>
          </w:p>
        </w:tc>
        <w:tc>
          <w:tcPr>
            <w:tcW w:w="1945" w:type="dxa"/>
            <w:tcBorders>
              <w:top w:val="single" w:sz="4" w:space="0" w:color="000000"/>
              <w:bottom w:val="single" w:sz="4" w:space="0" w:color="000000"/>
            </w:tcBorders>
          </w:tcPr>
          <w:p>
            <w:pPr>
              <w:pStyle w:val="TableParagraph"/>
              <w:spacing w:before="35"/>
              <w:ind w:right="103"/>
              <w:jc w:val="right"/>
              <w:rPr>
                <w:b/>
                <w:sz w:val="20"/>
              </w:rPr>
            </w:pPr>
            <w:r>
              <w:rPr>
                <w:b/>
                <w:spacing w:val="-2"/>
                <w:sz w:val="20"/>
              </w:rPr>
              <w:t>52,236</w:t>
            </w:r>
          </w:p>
        </w:tc>
        <w:tc>
          <w:tcPr>
            <w:tcW w:w="1543" w:type="dxa"/>
            <w:tcBorders>
              <w:top w:val="single" w:sz="4" w:space="0" w:color="000000"/>
              <w:bottom w:val="single" w:sz="4" w:space="0" w:color="000000"/>
            </w:tcBorders>
            <w:shd w:val="clear" w:color="auto" w:fill="DDEBF6"/>
          </w:tcPr>
          <w:p>
            <w:pPr>
              <w:pStyle w:val="TableParagraph"/>
              <w:spacing w:before="35"/>
              <w:ind w:right="103"/>
              <w:jc w:val="right"/>
              <w:rPr>
                <w:b/>
                <w:sz w:val="20"/>
              </w:rPr>
            </w:pPr>
            <w:r>
              <w:rPr>
                <w:b/>
                <w:spacing w:val="-2"/>
                <w:sz w:val="20"/>
              </w:rPr>
              <w:t>52,678</w:t>
            </w:r>
          </w:p>
        </w:tc>
        <w:tc>
          <w:tcPr>
            <w:tcW w:w="1963" w:type="dxa"/>
            <w:tcBorders>
              <w:top w:val="single" w:sz="4" w:space="0" w:color="000000"/>
              <w:bottom w:val="single" w:sz="4" w:space="0" w:color="000000"/>
            </w:tcBorders>
          </w:tcPr>
          <w:p>
            <w:pPr>
              <w:pStyle w:val="TableParagraph"/>
              <w:spacing w:before="35"/>
              <w:ind w:right="523"/>
              <w:jc w:val="right"/>
              <w:rPr>
                <w:b/>
                <w:sz w:val="20"/>
              </w:rPr>
            </w:pPr>
            <w:r>
              <w:rPr>
                <w:b/>
                <w:spacing w:val="-5"/>
                <w:sz w:val="20"/>
              </w:rPr>
              <w:t>442</w:t>
            </w:r>
          </w:p>
        </w:tc>
        <w:tc>
          <w:tcPr>
            <w:tcW w:w="1121" w:type="dxa"/>
            <w:tcBorders>
              <w:top w:val="single" w:sz="4" w:space="0" w:color="000000"/>
              <w:bottom w:val="single" w:sz="4" w:space="0" w:color="000000"/>
              <w:right w:val="single" w:sz="4" w:space="0" w:color="000000"/>
            </w:tcBorders>
          </w:tcPr>
          <w:p>
            <w:pPr>
              <w:pStyle w:val="TableParagraph"/>
              <w:spacing w:before="35"/>
              <w:ind w:right="96"/>
              <w:jc w:val="right"/>
              <w:rPr>
                <w:b/>
                <w:sz w:val="20"/>
              </w:rPr>
            </w:pPr>
            <w:r>
              <w:rPr>
                <w:b/>
                <w:spacing w:val="-2"/>
                <w:sz w:val="20"/>
              </w:rPr>
              <w:t>0.85%</w:t>
            </w:r>
          </w:p>
        </w:tc>
      </w:tr>
    </w:tbl>
    <w:p>
      <w:pPr>
        <w:pStyle w:val="BodyText"/>
        <w:spacing w:before="1"/>
      </w:pPr>
    </w:p>
    <w:p>
      <w:pPr>
        <w:pStyle w:val="BodyText"/>
        <w:spacing w:before="1"/>
        <w:ind w:left="260"/>
      </w:pPr>
      <w:r>
        <w:rPr/>
        <w:t>4.1.1(e)The</w:t>
      </w:r>
      <w:r>
        <w:rPr>
          <w:spacing w:val="-6"/>
        </w:rPr>
        <w:t> </w:t>
      </w:r>
      <w:r>
        <w:rPr/>
        <w:t>basis</w:t>
      </w:r>
      <w:r>
        <w:rPr>
          <w:spacing w:val="-3"/>
        </w:rPr>
        <w:t> </w:t>
      </w:r>
      <w:r>
        <w:rPr/>
        <w:t>of</w:t>
      </w:r>
      <w:r>
        <w:rPr>
          <w:spacing w:val="-2"/>
        </w:rPr>
        <w:t> </w:t>
      </w:r>
      <w:r>
        <w:rPr/>
        <w:t>valuation</w:t>
      </w:r>
      <w:r>
        <w:rPr>
          <w:spacing w:val="-3"/>
        </w:rPr>
        <w:t> </w:t>
      </w:r>
      <w:r>
        <w:rPr/>
        <w:t>to</w:t>
      </w:r>
      <w:r>
        <w:rPr>
          <w:spacing w:val="-6"/>
        </w:rPr>
        <w:t> </w:t>
      </w:r>
      <w:r>
        <w:rPr/>
        <w:t>be</w:t>
      </w:r>
      <w:r>
        <w:rPr>
          <w:spacing w:val="-4"/>
        </w:rPr>
        <w:t> </w:t>
      </w:r>
      <w:r>
        <w:rPr/>
        <w:t>used</w:t>
      </w:r>
      <w:r>
        <w:rPr>
          <w:spacing w:val="-3"/>
        </w:rPr>
        <w:t> </w:t>
      </w:r>
      <w:r>
        <w:rPr/>
        <w:t>is</w:t>
      </w:r>
      <w:r>
        <w:rPr>
          <w:spacing w:val="-4"/>
        </w:rPr>
        <w:t> </w:t>
      </w:r>
      <w:r>
        <w:rPr/>
        <w:t>the</w:t>
      </w:r>
      <w:r>
        <w:rPr>
          <w:spacing w:val="-4"/>
        </w:rPr>
        <w:t> </w:t>
      </w:r>
      <w:r>
        <w:rPr/>
        <w:t>Capital</w:t>
      </w:r>
      <w:r>
        <w:rPr>
          <w:spacing w:val="-3"/>
        </w:rPr>
        <w:t> </w:t>
      </w:r>
      <w:r>
        <w:rPr/>
        <w:t>Improved</w:t>
      </w:r>
      <w:r>
        <w:rPr>
          <w:spacing w:val="-4"/>
        </w:rPr>
        <w:t> </w:t>
      </w:r>
      <w:r>
        <w:rPr/>
        <w:t>Value</w:t>
      </w:r>
      <w:r>
        <w:rPr>
          <w:spacing w:val="-3"/>
        </w:rPr>
        <w:t> </w:t>
      </w:r>
      <w:r>
        <w:rPr>
          <w:spacing w:val="-2"/>
        </w:rPr>
        <w:t>(CIV)</w:t>
      </w:r>
    </w:p>
    <w:p>
      <w:pPr>
        <w:pStyle w:val="BodyText"/>
      </w:pPr>
    </w:p>
    <w:p>
      <w:pPr>
        <w:pStyle w:val="BodyText"/>
        <w:ind w:left="980" w:hanging="721"/>
      </w:pPr>
      <w:r>
        <w:rPr/>
        <w:pict>
          <v:shape style="position:absolute;margin-left:227.400009pt;margin-top:71.277908pt;width:340pt;height:15pt;mso-position-horizontal-relative:page;mso-position-vertical-relative:paragraph;z-index:-38059008" id="docshape56" coordorigin="4548,1426" coordsize="6800,300" path="m11347,1426l9936,1426,8234,1426,6391,1426,4548,1426,4548,1726,6391,1726,8234,1726,9936,1726,11347,1726,11347,1426xe" filled="true" fillcolor="#d8d8d8" stroked="false">
            <v:path arrowok="t"/>
            <v:fill type="solid"/>
            <w10:wrap type="none"/>
          </v:shape>
        </w:pict>
      </w:r>
      <w:r>
        <w:rPr/>
        <w:t>4.1.1(f)The</w:t>
      </w:r>
      <w:r>
        <w:rPr>
          <w:spacing w:val="40"/>
        </w:rPr>
        <w:t> </w:t>
      </w:r>
      <w:r>
        <w:rPr/>
        <w:t>estimated</w:t>
      </w:r>
      <w:r>
        <w:rPr>
          <w:spacing w:val="40"/>
        </w:rPr>
        <w:t> </w:t>
      </w:r>
      <w:r>
        <w:rPr/>
        <w:t>total</w:t>
      </w:r>
      <w:r>
        <w:rPr>
          <w:spacing w:val="40"/>
        </w:rPr>
        <w:t> </w:t>
      </w:r>
      <w:r>
        <w:rPr/>
        <w:t>value</w:t>
      </w:r>
      <w:r>
        <w:rPr>
          <w:spacing w:val="40"/>
        </w:rPr>
        <w:t> </w:t>
      </w:r>
      <w:r>
        <w:rPr/>
        <w:t>of</w:t>
      </w:r>
      <w:r>
        <w:rPr>
          <w:spacing w:val="40"/>
        </w:rPr>
        <w:t> </w:t>
      </w:r>
      <w:r>
        <w:rPr/>
        <w:t>each</w:t>
      </w:r>
      <w:r>
        <w:rPr>
          <w:spacing w:val="40"/>
        </w:rPr>
        <w:t> </w:t>
      </w:r>
      <w:r>
        <w:rPr/>
        <w:t>type</w:t>
      </w:r>
      <w:r>
        <w:rPr>
          <w:spacing w:val="40"/>
        </w:rPr>
        <w:t> </w:t>
      </w:r>
      <w:r>
        <w:rPr/>
        <w:t>or</w:t>
      </w:r>
      <w:r>
        <w:rPr>
          <w:spacing w:val="40"/>
        </w:rPr>
        <w:t> </w:t>
      </w:r>
      <w:r>
        <w:rPr/>
        <w:t>class</w:t>
      </w:r>
      <w:r>
        <w:rPr>
          <w:spacing w:val="40"/>
        </w:rPr>
        <w:t> </w:t>
      </w:r>
      <w:r>
        <w:rPr/>
        <w:t>of</w:t>
      </w:r>
      <w:r>
        <w:rPr>
          <w:spacing w:val="40"/>
        </w:rPr>
        <w:t> </w:t>
      </w:r>
      <w:r>
        <w:rPr/>
        <w:t>land,</w:t>
      </w:r>
      <w:r>
        <w:rPr>
          <w:spacing w:val="40"/>
        </w:rPr>
        <w:t> </w:t>
      </w:r>
      <w:r>
        <w:rPr/>
        <w:t>and</w:t>
      </w:r>
      <w:r>
        <w:rPr>
          <w:spacing w:val="40"/>
        </w:rPr>
        <w:t> </w:t>
      </w:r>
      <w:r>
        <w:rPr/>
        <w:t>the</w:t>
      </w:r>
      <w:r>
        <w:rPr>
          <w:spacing w:val="40"/>
        </w:rPr>
        <w:t> </w:t>
      </w:r>
      <w:r>
        <w:rPr/>
        <w:t>estimated</w:t>
      </w:r>
      <w:r>
        <w:rPr>
          <w:spacing w:val="40"/>
        </w:rPr>
        <w:t> </w:t>
      </w:r>
      <w:r>
        <w:rPr/>
        <w:t>total</w:t>
      </w:r>
      <w:r>
        <w:rPr>
          <w:spacing w:val="40"/>
        </w:rPr>
        <w:t> </w:t>
      </w:r>
      <w:r>
        <w:rPr/>
        <w:t>value</w:t>
      </w:r>
      <w:r>
        <w:rPr>
          <w:spacing w:val="40"/>
        </w:rPr>
        <w:t> </w:t>
      </w:r>
      <w:r>
        <w:rPr/>
        <w:t>of</w:t>
      </w:r>
      <w:r>
        <w:rPr>
          <w:spacing w:val="40"/>
        </w:rPr>
        <w:t> </w:t>
      </w:r>
      <w:r>
        <w:rPr/>
        <w:t>land, compared with the previous financial year</w:t>
      </w: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13"/>
        <w:gridCol w:w="1854"/>
        <w:gridCol w:w="1843"/>
        <w:gridCol w:w="1989"/>
        <w:gridCol w:w="1129"/>
      </w:tblGrid>
      <w:tr>
        <w:trPr>
          <w:trHeight w:val="585" w:hRule="atLeast"/>
        </w:trPr>
        <w:tc>
          <w:tcPr>
            <w:tcW w:w="3813" w:type="dxa"/>
            <w:tcBorders>
              <w:top w:val="single" w:sz="4" w:space="0" w:color="000000"/>
              <w:left w:val="single" w:sz="4" w:space="0" w:color="000000"/>
            </w:tcBorders>
            <w:shd w:val="clear" w:color="auto" w:fill="629CD1"/>
          </w:tcPr>
          <w:p>
            <w:pPr>
              <w:pStyle w:val="TableParagraph"/>
              <w:spacing w:before="44"/>
              <w:ind w:left="1015"/>
              <w:rPr>
                <w:b/>
                <w:sz w:val="18"/>
              </w:rPr>
            </w:pPr>
            <w:r>
              <w:rPr>
                <w:b/>
                <w:color w:val="FFFFFF"/>
                <w:sz w:val="18"/>
              </w:rPr>
              <w:t>Type</w:t>
            </w:r>
            <w:r>
              <w:rPr>
                <w:b/>
                <w:color w:val="FFFFFF"/>
                <w:spacing w:val="-2"/>
                <w:sz w:val="18"/>
              </w:rPr>
              <w:t> </w:t>
            </w:r>
            <w:r>
              <w:rPr>
                <w:b/>
                <w:color w:val="FFFFFF"/>
                <w:sz w:val="18"/>
              </w:rPr>
              <w:t>or</w:t>
            </w:r>
            <w:r>
              <w:rPr>
                <w:b/>
                <w:color w:val="FFFFFF"/>
                <w:spacing w:val="-3"/>
                <w:sz w:val="18"/>
              </w:rPr>
              <w:t> </w:t>
            </w:r>
            <w:r>
              <w:rPr>
                <w:b/>
                <w:color w:val="FFFFFF"/>
                <w:sz w:val="18"/>
              </w:rPr>
              <w:t>class</w:t>
            </w:r>
            <w:r>
              <w:rPr>
                <w:b/>
                <w:color w:val="FFFFFF"/>
                <w:spacing w:val="1"/>
                <w:sz w:val="18"/>
              </w:rPr>
              <w:t> </w:t>
            </w:r>
            <w:r>
              <w:rPr>
                <w:b/>
                <w:color w:val="FFFFFF"/>
                <w:sz w:val="18"/>
              </w:rPr>
              <w:t>of</w:t>
            </w:r>
            <w:r>
              <w:rPr>
                <w:b/>
                <w:color w:val="FFFFFF"/>
                <w:spacing w:val="1"/>
                <w:sz w:val="18"/>
              </w:rPr>
              <w:t> </w:t>
            </w:r>
            <w:r>
              <w:rPr>
                <w:b/>
                <w:color w:val="FFFFFF"/>
                <w:spacing w:val="-4"/>
                <w:sz w:val="18"/>
              </w:rPr>
              <w:t>land</w:t>
            </w:r>
          </w:p>
        </w:tc>
        <w:tc>
          <w:tcPr>
            <w:tcW w:w="1854" w:type="dxa"/>
            <w:tcBorders>
              <w:top w:val="single" w:sz="4" w:space="0" w:color="000000"/>
            </w:tcBorders>
            <w:shd w:val="clear" w:color="auto" w:fill="629CD1"/>
          </w:tcPr>
          <w:p>
            <w:pPr>
              <w:pStyle w:val="TableParagraph"/>
              <w:spacing w:before="44"/>
              <w:ind w:left="500" w:right="481"/>
              <w:jc w:val="center"/>
              <w:rPr>
                <w:b/>
                <w:sz w:val="18"/>
              </w:rPr>
            </w:pPr>
            <w:r>
              <w:rPr>
                <w:b/>
                <w:color w:val="FFFFFF"/>
                <w:spacing w:val="-2"/>
                <w:sz w:val="18"/>
              </w:rPr>
              <w:t>2023/2024</w:t>
            </w:r>
          </w:p>
          <w:p>
            <w:pPr>
              <w:pStyle w:val="TableParagraph"/>
              <w:spacing w:before="86"/>
              <w:ind w:left="497" w:right="481"/>
              <w:jc w:val="center"/>
              <w:rPr>
                <w:b/>
                <w:sz w:val="18"/>
              </w:rPr>
            </w:pPr>
            <w:r>
              <w:rPr>
                <w:b/>
                <w:color w:val="FFFFFF"/>
                <w:spacing w:val="-2"/>
                <w:sz w:val="18"/>
              </w:rPr>
              <w:t>$’000</w:t>
            </w:r>
          </w:p>
        </w:tc>
        <w:tc>
          <w:tcPr>
            <w:tcW w:w="1843" w:type="dxa"/>
            <w:tcBorders>
              <w:top w:val="single" w:sz="4" w:space="0" w:color="000000"/>
            </w:tcBorders>
            <w:shd w:val="clear" w:color="auto" w:fill="629CD1"/>
          </w:tcPr>
          <w:p>
            <w:pPr>
              <w:pStyle w:val="TableParagraph"/>
              <w:spacing w:before="44"/>
              <w:ind w:left="489" w:right="481"/>
              <w:jc w:val="center"/>
              <w:rPr>
                <w:b/>
                <w:sz w:val="18"/>
              </w:rPr>
            </w:pPr>
            <w:r>
              <w:rPr>
                <w:b/>
                <w:color w:val="FFFFFF"/>
                <w:spacing w:val="-2"/>
                <w:sz w:val="18"/>
              </w:rPr>
              <w:t>2024/2025</w:t>
            </w:r>
          </w:p>
          <w:p>
            <w:pPr>
              <w:pStyle w:val="TableParagraph"/>
              <w:spacing w:before="86"/>
              <w:ind w:left="486" w:right="481"/>
              <w:jc w:val="center"/>
              <w:rPr>
                <w:b/>
                <w:sz w:val="18"/>
              </w:rPr>
            </w:pPr>
            <w:r>
              <w:rPr>
                <w:b/>
                <w:color w:val="FFFFFF"/>
                <w:spacing w:val="-2"/>
                <w:sz w:val="18"/>
              </w:rPr>
              <w:t>$’000</w:t>
            </w:r>
          </w:p>
        </w:tc>
        <w:tc>
          <w:tcPr>
            <w:tcW w:w="1989" w:type="dxa"/>
            <w:tcBorders>
              <w:top w:val="single" w:sz="4" w:space="0" w:color="000000"/>
            </w:tcBorders>
            <w:shd w:val="clear" w:color="auto" w:fill="629CD1"/>
          </w:tcPr>
          <w:p>
            <w:pPr>
              <w:pStyle w:val="TableParagraph"/>
              <w:spacing w:before="44"/>
              <w:ind w:left="1233"/>
              <w:rPr>
                <w:b/>
                <w:sz w:val="18"/>
              </w:rPr>
            </w:pPr>
            <w:r>
              <w:rPr>
                <w:b/>
                <w:color w:val="FFFFFF"/>
                <w:spacing w:val="-2"/>
                <w:sz w:val="18"/>
              </w:rPr>
              <w:t>Change</w:t>
            </w:r>
          </w:p>
          <w:p>
            <w:pPr>
              <w:pStyle w:val="TableParagraph"/>
              <w:spacing w:before="86"/>
              <w:ind w:left="628"/>
              <w:rPr>
                <w:b/>
                <w:sz w:val="18"/>
              </w:rPr>
            </w:pPr>
            <w:r>
              <w:rPr>
                <w:b/>
                <w:color w:val="FFFFFF"/>
                <w:spacing w:val="-2"/>
                <w:sz w:val="18"/>
              </w:rPr>
              <w:t>$’000</w:t>
            </w:r>
          </w:p>
        </w:tc>
        <w:tc>
          <w:tcPr>
            <w:tcW w:w="1129" w:type="dxa"/>
            <w:tcBorders>
              <w:top w:val="single" w:sz="4" w:space="0" w:color="000000"/>
              <w:right w:val="single" w:sz="4" w:space="0" w:color="000000"/>
            </w:tcBorders>
            <w:shd w:val="clear" w:color="auto" w:fill="629CD1"/>
          </w:tcPr>
          <w:p>
            <w:pPr>
              <w:pStyle w:val="TableParagraph"/>
              <w:spacing w:before="3"/>
              <w:rPr>
                <w:sz w:val="29"/>
              </w:rPr>
            </w:pPr>
          </w:p>
          <w:p>
            <w:pPr>
              <w:pStyle w:val="TableParagraph"/>
              <w:spacing w:before="1"/>
              <w:ind w:left="340"/>
              <w:rPr>
                <w:b/>
                <w:sz w:val="18"/>
              </w:rPr>
            </w:pPr>
            <w:r>
              <w:rPr>
                <w:b/>
                <w:color w:val="FFFFFF"/>
                <w:sz w:val="18"/>
              </w:rPr>
              <w:t>%</w:t>
            </w:r>
          </w:p>
        </w:tc>
      </w:tr>
      <w:tr>
        <w:trPr>
          <w:trHeight w:val="624" w:hRule="atLeast"/>
        </w:trPr>
        <w:tc>
          <w:tcPr>
            <w:tcW w:w="3813" w:type="dxa"/>
            <w:tcBorders>
              <w:left w:val="single" w:sz="4" w:space="0" w:color="000000"/>
            </w:tcBorders>
          </w:tcPr>
          <w:p>
            <w:pPr>
              <w:pStyle w:val="TableParagraph"/>
              <w:spacing w:before="47"/>
              <w:ind w:left="107"/>
              <w:rPr>
                <w:sz w:val="20"/>
              </w:rPr>
            </w:pPr>
            <w:r>
              <w:rPr>
                <w:sz w:val="20"/>
              </w:rPr>
              <w:t>General</w:t>
            </w:r>
            <w:r>
              <w:rPr>
                <w:spacing w:val="-8"/>
                <w:sz w:val="20"/>
              </w:rPr>
              <w:t> </w:t>
            </w:r>
            <w:r>
              <w:rPr>
                <w:spacing w:val="-4"/>
                <w:sz w:val="20"/>
              </w:rPr>
              <w:t>Land</w:t>
            </w:r>
          </w:p>
          <w:p>
            <w:pPr>
              <w:pStyle w:val="TableParagraph"/>
              <w:spacing w:before="82"/>
              <w:ind w:left="107"/>
              <w:rPr>
                <w:sz w:val="20"/>
              </w:rPr>
            </w:pPr>
            <w:r>
              <w:rPr>
                <w:sz w:val="20"/>
              </w:rPr>
              <w:t>Differential</w:t>
            </w:r>
            <w:r>
              <w:rPr>
                <w:spacing w:val="-9"/>
                <w:sz w:val="20"/>
              </w:rPr>
              <w:t> </w:t>
            </w:r>
            <w:r>
              <w:rPr>
                <w:spacing w:val="-2"/>
                <w:sz w:val="20"/>
              </w:rPr>
              <w:t>Rate:</w:t>
            </w:r>
          </w:p>
        </w:tc>
        <w:tc>
          <w:tcPr>
            <w:tcW w:w="1854" w:type="dxa"/>
          </w:tcPr>
          <w:p>
            <w:pPr>
              <w:pStyle w:val="TableParagraph"/>
              <w:spacing w:before="47"/>
              <w:ind w:right="106"/>
              <w:jc w:val="right"/>
              <w:rPr>
                <w:sz w:val="20"/>
              </w:rPr>
            </w:pPr>
            <w:r>
              <w:rPr>
                <w:spacing w:val="-2"/>
                <w:sz w:val="20"/>
              </w:rPr>
              <w:t>38,134,108</w:t>
            </w:r>
          </w:p>
        </w:tc>
        <w:tc>
          <w:tcPr>
            <w:tcW w:w="1843" w:type="dxa"/>
          </w:tcPr>
          <w:p>
            <w:pPr>
              <w:pStyle w:val="TableParagraph"/>
              <w:tabs>
                <w:tab w:pos="734" w:val="left" w:leader="none"/>
              </w:tabs>
              <w:spacing w:before="47"/>
              <w:ind w:right="-15"/>
              <w:jc w:val="right"/>
              <w:rPr>
                <w:b/>
                <w:sz w:val="20"/>
              </w:rPr>
            </w:pPr>
            <w:r>
              <w:rPr>
                <w:rFonts w:ascii="Times New Roman"/>
                <w:color w:val="000000"/>
                <w:sz w:val="20"/>
                <w:shd w:fill="DDEBF6" w:color="auto" w:val="clear"/>
              </w:rPr>
              <w:tab/>
            </w:r>
            <w:r>
              <w:rPr>
                <w:b/>
                <w:color w:val="000000"/>
                <w:spacing w:val="-2"/>
                <w:sz w:val="20"/>
                <w:shd w:fill="DDEBF6" w:color="auto" w:val="clear"/>
              </w:rPr>
              <w:t>39,204,380</w:t>
            </w:r>
            <w:r>
              <w:rPr>
                <w:b/>
                <w:color w:val="000000"/>
                <w:spacing w:val="80"/>
                <w:sz w:val="20"/>
                <w:shd w:fill="DDEBF6" w:color="auto" w:val="clear"/>
              </w:rPr>
              <w:t> </w:t>
            </w:r>
          </w:p>
        </w:tc>
        <w:tc>
          <w:tcPr>
            <w:tcW w:w="1989" w:type="dxa"/>
          </w:tcPr>
          <w:p>
            <w:pPr>
              <w:pStyle w:val="TableParagraph"/>
              <w:spacing w:before="47"/>
              <w:ind w:right="392"/>
              <w:jc w:val="right"/>
              <w:rPr>
                <w:sz w:val="20"/>
              </w:rPr>
            </w:pPr>
            <w:r>
              <w:rPr>
                <w:spacing w:val="-2"/>
                <w:sz w:val="20"/>
              </w:rPr>
              <w:t>1,070,273</w:t>
            </w:r>
          </w:p>
        </w:tc>
        <w:tc>
          <w:tcPr>
            <w:tcW w:w="1129" w:type="dxa"/>
            <w:tcBorders>
              <w:right w:val="single" w:sz="4" w:space="0" w:color="000000"/>
            </w:tcBorders>
          </w:tcPr>
          <w:p>
            <w:pPr>
              <w:pStyle w:val="TableParagraph"/>
              <w:spacing w:before="47"/>
              <w:ind w:right="98"/>
              <w:jc w:val="right"/>
              <w:rPr>
                <w:sz w:val="20"/>
              </w:rPr>
            </w:pPr>
            <w:r>
              <w:rPr>
                <w:spacing w:val="-2"/>
                <w:sz w:val="20"/>
              </w:rPr>
              <w:t>2.81%</w:t>
            </w:r>
          </w:p>
        </w:tc>
      </w:tr>
      <w:tr>
        <w:trPr>
          <w:trHeight w:val="304" w:hRule="atLeast"/>
        </w:trPr>
        <w:tc>
          <w:tcPr>
            <w:tcW w:w="3813" w:type="dxa"/>
            <w:tcBorders>
              <w:left w:val="single" w:sz="4" w:space="0" w:color="000000"/>
            </w:tcBorders>
          </w:tcPr>
          <w:p>
            <w:pPr>
              <w:pStyle w:val="TableParagraph"/>
              <w:spacing w:before="35"/>
              <w:ind w:left="327"/>
              <w:rPr>
                <w:sz w:val="20"/>
              </w:rPr>
            </w:pPr>
            <w:r>
              <w:rPr>
                <w:sz w:val="20"/>
              </w:rPr>
              <w:t>Vacant</w:t>
            </w:r>
            <w:r>
              <w:rPr>
                <w:spacing w:val="-5"/>
                <w:sz w:val="20"/>
              </w:rPr>
              <w:t> </w:t>
            </w:r>
            <w:r>
              <w:rPr>
                <w:spacing w:val="-4"/>
                <w:sz w:val="20"/>
              </w:rPr>
              <w:t>Land</w:t>
            </w:r>
          </w:p>
        </w:tc>
        <w:tc>
          <w:tcPr>
            <w:tcW w:w="1854" w:type="dxa"/>
          </w:tcPr>
          <w:p>
            <w:pPr>
              <w:pStyle w:val="TableParagraph"/>
              <w:spacing w:before="35"/>
              <w:ind w:right="106"/>
              <w:jc w:val="right"/>
              <w:rPr>
                <w:sz w:val="20"/>
              </w:rPr>
            </w:pPr>
            <w:r>
              <w:rPr>
                <w:spacing w:val="-2"/>
                <w:sz w:val="20"/>
              </w:rPr>
              <w:t>205,380</w:t>
            </w:r>
          </w:p>
        </w:tc>
        <w:tc>
          <w:tcPr>
            <w:tcW w:w="1843" w:type="dxa"/>
            <w:shd w:val="clear" w:color="auto" w:fill="DDEBF6"/>
          </w:tcPr>
          <w:p>
            <w:pPr>
              <w:pStyle w:val="TableParagraph"/>
              <w:spacing w:before="35"/>
              <w:ind w:right="100"/>
              <w:jc w:val="right"/>
              <w:rPr>
                <w:b/>
                <w:sz w:val="20"/>
              </w:rPr>
            </w:pPr>
            <w:r>
              <w:rPr>
                <w:b/>
                <w:spacing w:val="-2"/>
                <w:sz w:val="20"/>
              </w:rPr>
              <w:t>513,789</w:t>
            </w:r>
          </w:p>
        </w:tc>
        <w:tc>
          <w:tcPr>
            <w:tcW w:w="1989" w:type="dxa"/>
          </w:tcPr>
          <w:p>
            <w:pPr>
              <w:pStyle w:val="TableParagraph"/>
              <w:spacing w:before="35"/>
              <w:ind w:right="393"/>
              <w:jc w:val="right"/>
              <w:rPr>
                <w:sz w:val="20"/>
              </w:rPr>
            </w:pPr>
            <w:r>
              <w:rPr>
                <w:spacing w:val="-2"/>
                <w:sz w:val="20"/>
              </w:rPr>
              <w:t>308,409</w:t>
            </w:r>
          </w:p>
        </w:tc>
        <w:tc>
          <w:tcPr>
            <w:tcW w:w="1129" w:type="dxa"/>
            <w:tcBorders>
              <w:right w:val="single" w:sz="4" w:space="0" w:color="000000"/>
            </w:tcBorders>
          </w:tcPr>
          <w:p>
            <w:pPr>
              <w:pStyle w:val="TableParagraph"/>
              <w:spacing w:before="35"/>
              <w:ind w:right="98"/>
              <w:jc w:val="right"/>
              <w:rPr>
                <w:sz w:val="20"/>
              </w:rPr>
            </w:pPr>
            <w:r>
              <w:rPr>
                <w:spacing w:val="-2"/>
                <w:sz w:val="20"/>
              </w:rPr>
              <w:t>150.17%</w:t>
            </w:r>
          </w:p>
        </w:tc>
      </w:tr>
      <w:tr>
        <w:trPr>
          <w:trHeight w:val="300" w:hRule="atLeast"/>
        </w:trPr>
        <w:tc>
          <w:tcPr>
            <w:tcW w:w="3813" w:type="dxa"/>
            <w:tcBorders>
              <w:left w:val="single" w:sz="4" w:space="0" w:color="000000"/>
            </w:tcBorders>
          </w:tcPr>
          <w:p>
            <w:pPr>
              <w:pStyle w:val="TableParagraph"/>
              <w:spacing w:before="31"/>
              <w:ind w:left="327"/>
              <w:rPr>
                <w:sz w:val="20"/>
              </w:rPr>
            </w:pPr>
            <w:r>
              <w:rPr>
                <w:sz w:val="20"/>
              </w:rPr>
              <w:t>Commercial</w:t>
            </w:r>
            <w:r>
              <w:rPr>
                <w:spacing w:val="-9"/>
                <w:sz w:val="20"/>
              </w:rPr>
              <w:t> </w:t>
            </w:r>
            <w:r>
              <w:rPr>
                <w:spacing w:val="-4"/>
                <w:sz w:val="20"/>
              </w:rPr>
              <w:t>Land</w:t>
            </w:r>
          </w:p>
        </w:tc>
        <w:tc>
          <w:tcPr>
            <w:tcW w:w="1854" w:type="dxa"/>
          </w:tcPr>
          <w:p>
            <w:pPr>
              <w:pStyle w:val="TableParagraph"/>
              <w:spacing w:before="31"/>
              <w:ind w:right="106"/>
              <w:jc w:val="right"/>
              <w:rPr>
                <w:sz w:val="20"/>
              </w:rPr>
            </w:pPr>
            <w:r>
              <w:rPr>
                <w:spacing w:val="-2"/>
                <w:sz w:val="20"/>
              </w:rPr>
              <w:t>3,291,059</w:t>
            </w:r>
          </w:p>
        </w:tc>
        <w:tc>
          <w:tcPr>
            <w:tcW w:w="1843" w:type="dxa"/>
            <w:shd w:val="clear" w:color="auto" w:fill="DDEBF6"/>
          </w:tcPr>
          <w:p>
            <w:pPr>
              <w:pStyle w:val="TableParagraph"/>
              <w:spacing w:before="31"/>
              <w:ind w:right="101"/>
              <w:jc w:val="right"/>
              <w:rPr>
                <w:b/>
                <w:sz w:val="20"/>
              </w:rPr>
            </w:pPr>
            <w:r>
              <w:rPr>
                <w:b/>
                <w:spacing w:val="-2"/>
                <w:sz w:val="20"/>
              </w:rPr>
              <w:t>3,305,058</w:t>
            </w:r>
          </w:p>
        </w:tc>
        <w:tc>
          <w:tcPr>
            <w:tcW w:w="1989" w:type="dxa"/>
          </w:tcPr>
          <w:p>
            <w:pPr>
              <w:pStyle w:val="TableParagraph"/>
              <w:spacing w:before="31"/>
              <w:ind w:right="393"/>
              <w:jc w:val="right"/>
              <w:rPr>
                <w:sz w:val="20"/>
              </w:rPr>
            </w:pPr>
            <w:r>
              <w:rPr>
                <w:spacing w:val="-2"/>
                <w:sz w:val="20"/>
              </w:rPr>
              <w:t>13,998</w:t>
            </w:r>
          </w:p>
        </w:tc>
        <w:tc>
          <w:tcPr>
            <w:tcW w:w="1129" w:type="dxa"/>
            <w:tcBorders>
              <w:right w:val="single" w:sz="4" w:space="0" w:color="000000"/>
            </w:tcBorders>
          </w:tcPr>
          <w:p>
            <w:pPr>
              <w:pStyle w:val="TableParagraph"/>
              <w:spacing w:before="31"/>
              <w:ind w:right="98"/>
              <w:jc w:val="right"/>
              <w:rPr>
                <w:sz w:val="20"/>
              </w:rPr>
            </w:pPr>
            <w:r>
              <w:rPr>
                <w:spacing w:val="-2"/>
                <w:sz w:val="20"/>
              </w:rPr>
              <w:t>0.43%</w:t>
            </w:r>
          </w:p>
        </w:tc>
      </w:tr>
      <w:tr>
        <w:trPr>
          <w:trHeight w:val="299" w:hRule="atLeast"/>
        </w:trPr>
        <w:tc>
          <w:tcPr>
            <w:tcW w:w="3813" w:type="dxa"/>
            <w:tcBorders>
              <w:left w:val="single" w:sz="4" w:space="0" w:color="000000"/>
            </w:tcBorders>
          </w:tcPr>
          <w:p>
            <w:pPr>
              <w:pStyle w:val="TableParagraph"/>
              <w:spacing w:before="31"/>
              <w:ind w:left="327"/>
              <w:rPr>
                <w:sz w:val="20"/>
              </w:rPr>
            </w:pPr>
            <w:r>
              <w:rPr>
                <w:sz w:val="20"/>
              </w:rPr>
              <w:t>Industrial</w:t>
            </w:r>
            <w:r>
              <w:rPr>
                <w:spacing w:val="-9"/>
                <w:sz w:val="20"/>
              </w:rPr>
              <w:t> </w:t>
            </w:r>
            <w:r>
              <w:rPr>
                <w:spacing w:val="-4"/>
                <w:sz w:val="20"/>
              </w:rPr>
              <w:t>Land</w:t>
            </w:r>
          </w:p>
        </w:tc>
        <w:tc>
          <w:tcPr>
            <w:tcW w:w="1854" w:type="dxa"/>
          </w:tcPr>
          <w:p>
            <w:pPr>
              <w:pStyle w:val="TableParagraph"/>
              <w:spacing w:before="31"/>
              <w:ind w:right="105"/>
              <w:jc w:val="right"/>
              <w:rPr>
                <w:sz w:val="20"/>
              </w:rPr>
            </w:pPr>
            <w:r>
              <w:rPr>
                <w:spacing w:val="-2"/>
                <w:sz w:val="20"/>
              </w:rPr>
              <w:t>2,444,634</w:t>
            </w:r>
          </w:p>
        </w:tc>
        <w:tc>
          <w:tcPr>
            <w:tcW w:w="1843" w:type="dxa"/>
            <w:shd w:val="clear" w:color="auto" w:fill="DDEBF6"/>
          </w:tcPr>
          <w:p>
            <w:pPr>
              <w:pStyle w:val="TableParagraph"/>
              <w:spacing w:before="31"/>
              <w:ind w:right="101"/>
              <w:jc w:val="right"/>
              <w:rPr>
                <w:b/>
                <w:sz w:val="20"/>
              </w:rPr>
            </w:pPr>
            <w:r>
              <w:rPr>
                <w:b/>
                <w:spacing w:val="-2"/>
                <w:sz w:val="20"/>
              </w:rPr>
              <w:t>2,654,833</w:t>
            </w:r>
          </w:p>
        </w:tc>
        <w:tc>
          <w:tcPr>
            <w:tcW w:w="1989" w:type="dxa"/>
          </w:tcPr>
          <w:p>
            <w:pPr>
              <w:pStyle w:val="TableParagraph"/>
              <w:spacing w:before="31"/>
              <w:ind w:right="393"/>
              <w:jc w:val="right"/>
              <w:rPr>
                <w:sz w:val="20"/>
              </w:rPr>
            </w:pPr>
            <w:r>
              <w:rPr>
                <w:spacing w:val="-2"/>
                <w:sz w:val="20"/>
              </w:rPr>
              <w:t>210,199</w:t>
            </w:r>
          </w:p>
        </w:tc>
        <w:tc>
          <w:tcPr>
            <w:tcW w:w="1129" w:type="dxa"/>
            <w:tcBorders>
              <w:right w:val="single" w:sz="4" w:space="0" w:color="000000"/>
            </w:tcBorders>
          </w:tcPr>
          <w:p>
            <w:pPr>
              <w:pStyle w:val="TableParagraph"/>
              <w:spacing w:before="31"/>
              <w:ind w:right="99"/>
              <w:jc w:val="right"/>
              <w:rPr>
                <w:sz w:val="20"/>
              </w:rPr>
            </w:pPr>
            <w:r>
              <w:rPr>
                <w:spacing w:val="-2"/>
                <w:sz w:val="20"/>
              </w:rPr>
              <w:t>8.60%</w:t>
            </w:r>
          </w:p>
        </w:tc>
      </w:tr>
      <w:tr>
        <w:trPr>
          <w:trHeight w:val="303" w:hRule="atLeast"/>
        </w:trPr>
        <w:tc>
          <w:tcPr>
            <w:tcW w:w="3813" w:type="dxa"/>
            <w:tcBorders>
              <w:left w:val="single" w:sz="4" w:space="0" w:color="000000"/>
            </w:tcBorders>
          </w:tcPr>
          <w:p>
            <w:pPr>
              <w:pStyle w:val="TableParagraph"/>
              <w:spacing w:before="31"/>
              <w:ind w:left="327"/>
              <w:rPr>
                <w:sz w:val="20"/>
              </w:rPr>
            </w:pPr>
            <w:r>
              <w:rPr>
                <w:sz w:val="20"/>
              </w:rPr>
              <w:t>Derelict</w:t>
            </w:r>
            <w:r>
              <w:rPr>
                <w:spacing w:val="-6"/>
                <w:sz w:val="20"/>
              </w:rPr>
              <w:t> </w:t>
            </w:r>
            <w:r>
              <w:rPr>
                <w:spacing w:val="-4"/>
                <w:sz w:val="20"/>
              </w:rPr>
              <w:t>Land</w:t>
            </w:r>
          </w:p>
        </w:tc>
        <w:tc>
          <w:tcPr>
            <w:tcW w:w="1854" w:type="dxa"/>
          </w:tcPr>
          <w:p>
            <w:pPr>
              <w:pStyle w:val="TableParagraph"/>
              <w:spacing w:before="31"/>
              <w:ind w:right="105"/>
              <w:jc w:val="right"/>
              <w:rPr>
                <w:sz w:val="20"/>
              </w:rPr>
            </w:pPr>
            <w:r>
              <w:rPr>
                <w:spacing w:val="-2"/>
                <w:sz w:val="20"/>
              </w:rPr>
              <w:t>1,800</w:t>
            </w:r>
          </w:p>
        </w:tc>
        <w:tc>
          <w:tcPr>
            <w:tcW w:w="1843" w:type="dxa"/>
            <w:shd w:val="clear" w:color="auto" w:fill="DDEBF6"/>
          </w:tcPr>
          <w:p>
            <w:pPr>
              <w:pStyle w:val="TableParagraph"/>
              <w:spacing w:before="31"/>
              <w:ind w:right="102"/>
              <w:jc w:val="right"/>
              <w:rPr>
                <w:b/>
                <w:sz w:val="20"/>
              </w:rPr>
            </w:pPr>
            <w:r>
              <w:rPr>
                <w:b/>
                <w:w w:val="99"/>
                <w:sz w:val="20"/>
              </w:rPr>
              <w:t>-</w:t>
            </w:r>
          </w:p>
        </w:tc>
        <w:tc>
          <w:tcPr>
            <w:tcW w:w="1989" w:type="dxa"/>
          </w:tcPr>
          <w:p>
            <w:pPr>
              <w:pStyle w:val="TableParagraph"/>
              <w:spacing w:before="31"/>
              <w:ind w:right="394"/>
              <w:jc w:val="right"/>
              <w:rPr>
                <w:sz w:val="20"/>
              </w:rPr>
            </w:pPr>
            <w:r>
              <w:rPr>
                <w:spacing w:val="-2"/>
                <w:sz w:val="20"/>
              </w:rPr>
              <w:t>(1,800)</w:t>
            </w:r>
          </w:p>
        </w:tc>
        <w:tc>
          <w:tcPr>
            <w:tcW w:w="1129" w:type="dxa"/>
            <w:tcBorders>
              <w:right w:val="single" w:sz="4" w:space="0" w:color="000000"/>
            </w:tcBorders>
          </w:tcPr>
          <w:p>
            <w:pPr>
              <w:pStyle w:val="TableParagraph"/>
              <w:spacing w:before="31"/>
              <w:ind w:right="98"/>
              <w:jc w:val="right"/>
              <w:rPr>
                <w:sz w:val="20"/>
              </w:rPr>
            </w:pPr>
            <w:r>
              <w:rPr>
                <w:spacing w:val="-2"/>
                <w:sz w:val="20"/>
              </w:rPr>
              <w:t>(100.00%)</w:t>
            </w:r>
          </w:p>
        </w:tc>
      </w:tr>
      <w:tr>
        <w:trPr>
          <w:trHeight w:val="306" w:hRule="atLeast"/>
        </w:trPr>
        <w:tc>
          <w:tcPr>
            <w:tcW w:w="3813" w:type="dxa"/>
            <w:tcBorders>
              <w:left w:val="single" w:sz="4" w:space="0" w:color="000000"/>
              <w:bottom w:val="single" w:sz="4" w:space="0" w:color="000000"/>
            </w:tcBorders>
          </w:tcPr>
          <w:p>
            <w:pPr>
              <w:pStyle w:val="TableParagraph"/>
              <w:spacing w:before="35"/>
              <w:ind w:left="107"/>
              <w:rPr>
                <w:sz w:val="20"/>
              </w:rPr>
            </w:pPr>
            <w:r>
              <w:rPr>
                <w:sz w:val="20"/>
              </w:rPr>
              <w:t>Cultural</w:t>
            </w:r>
            <w:r>
              <w:rPr>
                <w:spacing w:val="-7"/>
                <w:sz w:val="20"/>
              </w:rPr>
              <w:t> </w:t>
            </w:r>
            <w:r>
              <w:rPr>
                <w:sz w:val="20"/>
              </w:rPr>
              <w:t>and</w:t>
            </w:r>
            <w:r>
              <w:rPr>
                <w:spacing w:val="-8"/>
                <w:sz w:val="20"/>
              </w:rPr>
              <w:t> </w:t>
            </w:r>
            <w:r>
              <w:rPr>
                <w:sz w:val="20"/>
              </w:rPr>
              <w:t>Recreational</w:t>
            </w:r>
            <w:r>
              <w:rPr>
                <w:spacing w:val="-7"/>
                <w:sz w:val="20"/>
              </w:rPr>
              <w:t> </w:t>
            </w:r>
            <w:r>
              <w:rPr>
                <w:sz w:val="20"/>
              </w:rPr>
              <w:t>Lands</w:t>
            </w:r>
            <w:r>
              <w:rPr>
                <w:spacing w:val="-7"/>
                <w:sz w:val="20"/>
              </w:rPr>
              <w:t> </w:t>
            </w:r>
            <w:r>
              <w:rPr>
                <w:spacing w:val="-5"/>
                <w:sz w:val="20"/>
              </w:rPr>
              <w:t>Act</w:t>
            </w:r>
          </w:p>
        </w:tc>
        <w:tc>
          <w:tcPr>
            <w:tcW w:w="1854" w:type="dxa"/>
            <w:tcBorders>
              <w:bottom w:val="single" w:sz="8" w:space="0" w:color="000000"/>
            </w:tcBorders>
          </w:tcPr>
          <w:p>
            <w:pPr>
              <w:pStyle w:val="TableParagraph"/>
              <w:spacing w:before="35"/>
              <w:ind w:right="106"/>
              <w:jc w:val="right"/>
              <w:rPr>
                <w:sz w:val="20"/>
              </w:rPr>
            </w:pPr>
            <w:r>
              <w:rPr>
                <w:spacing w:val="-2"/>
                <w:sz w:val="20"/>
              </w:rPr>
              <w:t>15,050</w:t>
            </w:r>
          </w:p>
        </w:tc>
        <w:tc>
          <w:tcPr>
            <w:tcW w:w="1843" w:type="dxa"/>
            <w:tcBorders>
              <w:bottom w:val="single" w:sz="8" w:space="0" w:color="000000"/>
            </w:tcBorders>
            <w:shd w:val="clear" w:color="auto" w:fill="DDEBF6"/>
          </w:tcPr>
          <w:p>
            <w:pPr>
              <w:pStyle w:val="TableParagraph"/>
              <w:spacing w:before="35"/>
              <w:ind w:right="100"/>
              <w:jc w:val="right"/>
              <w:rPr>
                <w:b/>
                <w:sz w:val="20"/>
              </w:rPr>
            </w:pPr>
            <w:r>
              <w:rPr>
                <w:b/>
                <w:spacing w:val="-2"/>
                <w:sz w:val="20"/>
              </w:rPr>
              <w:t>15,200</w:t>
            </w:r>
          </w:p>
        </w:tc>
        <w:tc>
          <w:tcPr>
            <w:tcW w:w="1989" w:type="dxa"/>
            <w:tcBorders>
              <w:bottom w:val="single" w:sz="8" w:space="0" w:color="000000"/>
            </w:tcBorders>
          </w:tcPr>
          <w:p>
            <w:pPr>
              <w:pStyle w:val="TableParagraph"/>
              <w:spacing w:before="35"/>
              <w:ind w:right="393"/>
              <w:jc w:val="right"/>
              <w:rPr>
                <w:sz w:val="20"/>
              </w:rPr>
            </w:pPr>
            <w:r>
              <w:rPr>
                <w:spacing w:val="-5"/>
                <w:sz w:val="20"/>
              </w:rPr>
              <w:t>150</w:t>
            </w:r>
          </w:p>
        </w:tc>
        <w:tc>
          <w:tcPr>
            <w:tcW w:w="1129" w:type="dxa"/>
            <w:tcBorders>
              <w:bottom w:val="single" w:sz="8" w:space="0" w:color="000000"/>
              <w:right w:val="single" w:sz="4" w:space="0" w:color="000000"/>
            </w:tcBorders>
          </w:tcPr>
          <w:p>
            <w:pPr>
              <w:pStyle w:val="TableParagraph"/>
              <w:spacing w:before="35"/>
              <w:ind w:right="98"/>
              <w:jc w:val="right"/>
              <w:rPr>
                <w:sz w:val="20"/>
              </w:rPr>
            </w:pPr>
            <w:r>
              <w:rPr>
                <w:spacing w:val="-2"/>
                <w:sz w:val="20"/>
              </w:rPr>
              <w:t>1.00%</w:t>
            </w:r>
          </w:p>
        </w:tc>
      </w:tr>
      <w:tr>
        <w:trPr>
          <w:trHeight w:val="316" w:hRule="atLeast"/>
        </w:trPr>
        <w:tc>
          <w:tcPr>
            <w:tcW w:w="3813" w:type="dxa"/>
            <w:tcBorders>
              <w:top w:val="single" w:sz="4" w:space="0" w:color="000000"/>
              <w:left w:val="single" w:sz="4" w:space="0" w:color="000000"/>
              <w:bottom w:val="single" w:sz="4" w:space="0" w:color="000000"/>
            </w:tcBorders>
          </w:tcPr>
          <w:p>
            <w:pPr>
              <w:pStyle w:val="TableParagraph"/>
              <w:spacing w:before="42"/>
              <w:ind w:left="327"/>
              <w:rPr>
                <w:b/>
                <w:sz w:val="20"/>
              </w:rPr>
            </w:pPr>
            <w:r>
              <w:rPr>
                <w:b/>
                <w:sz w:val="20"/>
              </w:rPr>
              <w:t>Total</w:t>
            </w:r>
            <w:r>
              <w:rPr>
                <w:b/>
                <w:spacing w:val="-7"/>
                <w:sz w:val="20"/>
              </w:rPr>
              <w:t> </w:t>
            </w:r>
            <w:r>
              <w:rPr>
                <w:b/>
                <w:sz w:val="20"/>
              </w:rPr>
              <w:t>Value</w:t>
            </w:r>
            <w:r>
              <w:rPr>
                <w:b/>
                <w:spacing w:val="-6"/>
                <w:sz w:val="20"/>
              </w:rPr>
              <w:t> </w:t>
            </w:r>
            <w:r>
              <w:rPr>
                <w:b/>
                <w:sz w:val="20"/>
              </w:rPr>
              <w:t>of</w:t>
            </w:r>
            <w:r>
              <w:rPr>
                <w:b/>
                <w:spacing w:val="-2"/>
                <w:sz w:val="20"/>
              </w:rPr>
              <w:t> </w:t>
            </w:r>
            <w:r>
              <w:rPr>
                <w:b/>
                <w:spacing w:val="-4"/>
                <w:sz w:val="20"/>
              </w:rPr>
              <w:t>Land</w:t>
            </w:r>
          </w:p>
        </w:tc>
        <w:tc>
          <w:tcPr>
            <w:tcW w:w="1854" w:type="dxa"/>
            <w:tcBorders>
              <w:top w:val="single" w:sz="8" w:space="0" w:color="000000"/>
              <w:bottom w:val="single" w:sz="4" w:space="0" w:color="000000"/>
            </w:tcBorders>
          </w:tcPr>
          <w:p>
            <w:pPr>
              <w:pStyle w:val="TableParagraph"/>
              <w:spacing w:before="42"/>
              <w:ind w:right="103"/>
              <w:jc w:val="right"/>
              <w:rPr>
                <w:b/>
                <w:sz w:val="20"/>
              </w:rPr>
            </w:pPr>
            <w:r>
              <w:rPr>
                <w:b/>
                <w:spacing w:val="-2"/>
                <w:sz w:val="20"/>
              </w:rPr>
              <w:t>44,092,030</w:t>
            </w:r>
          </w:p>
        </w:tc>
        <w:tc>
          <w:tcPr>
            <w:tcW w:w="1843" w:type="dxa"/>
            <w:tcBorders>
              <w:top w:val="single" w:sz="8" w:space="0" w:color="000000"/>
              <w:bottom w:val="single" w:sz="4" w:space="0" w:color="000000"/>
            </w:tcBorders>
            <w:shd w:val="clear" w:color="auto" w:fill="DDEBF6"/>
          </w:tcPr>
          <w:p>
            <w:pPr>
              <w:pStyle w:val="TableParagraph"/>
              <w:spacing w:before="42"/>
              <w:ind w:right="100"/>
              <w:jc w:val="right"/>
              <w:rPr>
                <w:b/>
                <w:sz w:val="20"/>
              </w:rPr>
            </w:pPr>
            <w:r>
              <w:rPr>
                <w:b/>
                <w:spacing w:val="-2"/>
                <w:sz w:val="20"/>
              </w:rPr>
              <w:t>45,693,259</w:t>
            </w:r>
          </w:p>
        </w:tc>
        <w:tc>
          <w:tcPr>
            <w:tcW w:w="1989" w:type="dxa"/>
            <w:tcBorders>
              <w:top w:val="single" w:sz="8" w:space="0" w:color="000000"/>
              <w:bottom w:val="single" w:sz="4" w:space="0" w:color="000000"/>
            </w:tcBorders>
          </w:tcPr>
          <w:p>
            <w:pPr>
              <w:pStyle w:val="TableParagraph"/>
              <w:spacing w:before="42"/>
              <w:ind w:right="392"/>
              <w:jc w:val="right"/>
              <w:rPr>
                <w:b/>
                <w:sz w:val="20"/>
              </w:rPr>
            </w:pPr>
            <w:r>
              <w:rPr>
                <w:b/>
                <w:spacing w:val="-2"/>
                <w:sz w:val="20"/>
              </w:rPr>
              <w:t>1,601,229</w:t>
            </w:r>
          </w:p>
        </w:tc>
        <w:tc>
          <w:tcPr>
            <w:tcW w:w="1129" w:type="dxa"/>
            <w:tcBorders>
              <w:top w:val="single" w:sz="8" w:space="0" w:color="000000"/>
              <w:bottom w:val="single" w:sz="4" w:space="0" w:color="000000"/>
              <w:right w:val="single" w:sz="4" w:space="0" w:color="000000"/>
            </w:tcBorders>
          </w:tcPr>
          <w:p>
            <w:pPr>
              <w:pStyle w:val="TableParagraph"/>
              <w:spacing w:before="42"/>
              <w:ind w:right="94"/>
              <w:jc w:val="right"/>
              <w:rPr>
                <w:b/>
                <w:sz w:val="20"/>
              </w:rPr>
            </w:pPr>
            <w:r>
              <w:rPr>
                <w:b/>
                <w:spacing w:val="-2"/>
                <w:sz w:val="20"/>
              </w:rPr>
              <w:t>3.63%</w:t>
            </w:r>
          </w:p>
        </w:tc>
      </w:tr>
    </w:tbl>
    <w:p>
      <w:pPr>
        <w:pStyle w:val="BodyText"/>
        <w:spacing w:before="2"/>
        <w:rPr>
          <w:sz w:val="20"/>
        </w:rPr>
      </w:pPr>
    </w:p>
    <w:p>
      <w:pPr>
        <w:pStyle w:val="BodyText"/>
        <w:spacing w:line="252" w:lineRule="exact"/>
        <w:ind w:left="260"/>
      </w:pPr>
      <w:r>
        <w:rPr/>
        <w:t>4.1.1(g)</w:t>
      </w:r>
      <w:r>
        <w:rPr>
          <w:spacing w:val="-6"/>
        </w:rPr>
        <w:t> </w:t>
      </w:r>
      <w:r>
        <w:rPr/>
        <w:t>The</w:t>
      </w:r>
      <w:r>
        <w:rPr>
          <w:spacing w:val="-5"/>
        </w:rPr>
        <w:t> </w:t>
      </w:r>
      <w:r>
        <w:rPr/>
        <w:t>municipal</w:t>
      </w:r>
      <w:r>
        <w:rPr>
          <w:spacing w:val="-3"/>
        </w:rPr>
        <w:t> </w:t>
      </w:r>
      <w:r>
        <w:rPr/>
        <w:t>charge</w:t>
      </w:r>
      <w:r>
        <w:rPr>
          <w:spacing w:val="-4"/>
        </w:rPr>
        <w:t> </w:t>
      </w:r>
      <w:r>
        <w:rPr/>
        <w:t>under</w:t>
      </w:r>
      <w:r>
        <w:rPr>
          <w:spacing w:val="-2"/>
        </w:rPr>
        <w:t> </w:t>
      </w:r>
      <w:r>
        <w:rPr/>
        <w:t>Section</w:t>
      </w:r>
      <w:r>
        <w:rPr>
          <w:spacing w:val="-3"/>
        </w:rPr>
        <w:t> </w:t>
      </w:r>
      <w:r>
        <w:rPr/>
        <w:t>159</w:t>
      </w:r>
      <w:r>
        <w:rPr>
          <w:spacing w:val="-5"/>
        </w:rPr>
        <w:t> </w:t>
      </w:r>
      <w:r>
        <w:rPr/>
        <w:t>of</w:t>
      </w:r>
      <w:r>
        <w:rPr>
          <w:spacing w:val="-4"/>
        </w:rPr>
        <w:t> </w:t>
      </w:r>
      <w:r>
        <w:rPr/>
        <w:t>the</w:t>
      </w:r>
      <w:r>
        <w:rPr>
          <w:spacing w:val="-4"/>
        </w:rPr>
        <w:t> </w:t>
      </w:r>
      <w:r>
        <w:rPr/>
        <w:t>Act</w:t>
      </w:r>
      <w:r>
        <w:rPr>
          <w:spacing w:val="-5"/>
        </w:rPr>
        <w:t> </w:t>
      </w:r>
      <w:r>
        <w:rPr/>
        <w:t>compared</w:t>
      </w:r>
      <w:r>
        <w:rPr>
          <w:spacing w:val="-4"/>
        </w:rPr>
        <w:t> </w:t>
      </w:r>
      <w:r>
        <w:rPr/>
        <w:t>with</w:t>
      </w:r>
      <w:r>
        <w:rPr>
          <w:spacing w:val="-3"/>
        </w:rPr>
        <w:t> </w:t>
      </w:r>
      <w:r>
        <w:rPr/>
        <w:t>the</w:t>
      </w:r>
      <w:r>
        <w:rPr>
          <w:spacing w:val="-4"/>
        </w:rPr>
        <w:t> </w:t>
      </w:r>
      <w:r>
        <w:rPr/>
        <w:t>previous</w:t>
      </w:r>
      <w:r>
        <w:rPr>
          <w:spacing w:val="-5"/>
        </w:rPr>
        <w:t> </w:t>
      </w:r>
      <w:r>
        <w:rPr/>
        <w:t>financial</w:t>
      </w:r>
      <w:r>
        <w:rPr>
          <w:spacing w:val="-3"/>
        </w:rPr>
        <w:t> </w:t>
      </w:r>
      <w:r>
        <w:rPr>
          <w:spacing w:val="-2"/>
        </w:rPr>
        <w:t>year.</w:t>
      </w:r>
    </w:p>
    <w:p>
      <w:pPr>
        <w:pStyle w:val="BodyText"/>
        <w:spacing w:line="252" w:lineRule="exact"/>
        <w:ind w:left="827"/>
      </w:pPr>
      <w:r>
        <w:rPr/>
        <w:t>Maroondah</w:t>
      </w:r>
      <w:r>
        <w:rPr>
          <w:spacing w:val="-8"/>
        </w:rPr>
        <w:t> </w:t>
      </w:r>
      <w:r>
        <w:rPr/>
        <w:t>City</w:t>
      </w:r>
      <w:r>
        <w:rPr>
          <w:spacing w:val="-3"/>
        </w:rPr>
        <w:t> </w:t>
      </w:r>
      <w:r>
        <w:rPr/>
        <w:t>Council</w:t>
      </w:r>
      <w:r>
        <w:rPr>
          <w:spacing w:val="-6"/>
        </w:rPr>
        <w:t> </w:t>
      </w:r>
      <w:r>
        <w:rPr/>
        <w:t>does</w:t>
      </w:r>
      <w:r>
        <w:rPr>
          <w:spacing w:val="-1"/>
        </w:rPr>
        <w:t> </w:t>
      </w:r>
      <w:r>
        <w:rPr/>
        <w:t>not</w:t>
      </w:r>
      <w:r>
        <w:rPr>
          <w:spacing w:val="-4"/>
        </w:rPr>
        <w:t> </w:t>
      </w:r>
      <w:r>
        <w:rPr/>
        <w:t>apply</w:t>
      </w:r>
      <w:r>
        <w:rPr>
          <w:spacing w:val="-4"/>
        </w:rPr>
        <w:t> </w:t>
      </w:r>
      <w:r>
        <w:rPr/>
        <w:t>a</w:t>
      </w:r>
      <w:r>
        <w:rPr>
          <w:spacing w:val="-5"/>
        </w:rPr>
        <w:t> </w:t>
      </w:r>
      <w:r>
        <w:rPr/>
        <w:t>municipal</w:t>
      </w:r>
      <w:r>
        <w:rPr>
          <w:spacing w:val="-3"/>
        </w:rPr>
        <w:t> </w:t>
      </w:r>
      <w:r>
        <w:rPr>
          <w:spacing w:val="-2"/>
        </w:rPr>
        <w:t>charge.</w:t>
      </w:r>
    </w:p>
    <w:p>
      <w:pPr>
        <w:pStyle w:val="BodyText"/>
        <w:spacing w:before="1"/>
      </w:pPr>
    </w:p>
    <w:p>
      <w:pPr>
        <w:pStyle w:val="BodyText"/>
        <w:ind w:left="826" w:right="449" w:hanging="567"/>
      </w:pPr>
      <w:r>
        <w:rPr/>
        <w:t>4.1.1(h) The</w:t>
      </w:r>
      <w:r>
        <w:rPr>
          <w:spacing w:val="-1"/>
        </w:rPr>
        <w:t> </w:t>
      </w:r>
      <w:r>
        <w:rPr/>
        <w:t>estimated</w:t>
      </w:r>
      <w:r>
        <w:rPr>
          <w:spacing w:val="-4"/>
        </w:rPr>
        <w:t> </w:t>
      </w:r>
      <w:r>
        <w:rPr/>
        <w:t>total amount</w:t>
      </w:r>
      <w:r>
        <w:rPr>
          <w:spacing w:val="-1"/>
        </w:rPr>
        <w:t> </w:t>
      </w:r>
      <w:r>
        <w:rPr/>
        <w:t>to</w:t>
      </w:r>
      <w:r>
        <w:rPr>
          <w:spacing w:val="-1"/>
        </w:rPr>
        <w:t> </w:t>
      </w:r>
      <w:r>
        <w:rPr/>
        <w:t>be</w:t>
      </w:r>
      <w:r>
        <w:rPr>
          <w:spacing w:val="-2"/>
        </w:rPr>
        <w:t> </w:t>
      </w:r>
      <w:r>
        <w:rPr/>
        <w:t>raised</w:t>
      </w:r>
      <w:r>
        <w:rPr>
          <w:spacing w:val="-3"/>
        </w:rPr>
        <w:t> </w:t>
      </w:r>
      <w:r>
        <w:rPr/>
        <w:t>by</w:t>
      </w:r>
      <w:r>
        <w:rPr>
          <w:spacing w:val="-2"/>
        </w:rPr>
        <w:t> </w:t>
      </w:r>
      <w:r>
        <w:rPr/>
        <w:t>municipal charges compared</w:t>
      </w:r>
      <w:r>
        <w:rPr>
          <w:spacing w:val="-1"/>
        </w:rPr>
        <w:t> </w:t>
      </w:r>
      <w:r>
        <w:rPr/>
        <w:t>with</w:t>
      </w:r>
      <w:r>
        <w:rPr>
          <w:spacing w:val="-1"/>
        </w:rPr>
        <w:t> </w:t>
      </w:r>
      <w:r>
        <w:rPr/>
        <w:t>the</w:t>
      </w:r>
      <w:r>
        <w:rPr>
          <w:spacing w:val="-1"/>
        </w:rPr>
        <w:t> </w:t>
      </w:r>
      <w:r>
        <w:rPr/>
        <w:t>previous financial year. Maroondah City Council does not apply a municipal charge.</w:t>
      </w:r>
    </w:p>
    <w:p>
      <w:pPr>
        <w:spacing w:after="0"/>
        <w:sectPr>
          <w:pgSz w:w="11910" w:h="16840"/>
          <w:pgMar w:header="0" w:footer="426" w:top="620" w:bottom="740" w:left="460" w:right="160"/>
        </w:sectPr>
      </w:pPr>
    </w:p>
    <w:p>
      <w:pPr>
        <w:pStyle w:val="BodyText"/>
        <w:spacing w:before="73"/>
        <w:ind w:left="826" w:right="449" w:hanging="567"/>
      </w:pPr>
      <w:r>
        <w:rPr/>
        <w:t>4.1.1(i) The</w:t>
      </w:r>
      <w:r>
        <w:rPr>
          <w:spacing w:val="-1"/>
        </w:rPr>
        <w:t> </w:t>
      </w:r>
      <w:r>
        <w:rPr/>
        <w:t>rate</w:t>
      </w:r>
      <w:r>
        <w:rPr>
          <w:spacing w:val="-3"/>
        </w:rPr>
        <w:t> </w:t>
      </w:r>
      <w:r>
        <w:rPr/>
        <w:t>or</w:t>
      </w:r>
      <w:r>
        <w:rPr>
          <w:spacing w:val="-1"/>
        </w:rPr>
        <w:t> </w:t>
      </w:r>
      <w:r>
        <w:rPr/>
        <w:t>unit</w:t>
      </w:r>
      <w:r>
        <w:rPr>
          <w:spacing w:val="-1"/>
        </w:rPr>
        <w:t> </w:t>
      </w:r>
      <w:r>
        <w:rPr/>
        <w:t>amount</w:t>
      </w:r>
      <w:r>
        <w:rPr>
          <w:spacing w:val="-1"/>
        </w:rPr>
        <w:t> </w:t>
      </w:r>
      <w:r>
        <w:rPr/>
        <w:t>to be levied</w:t>
      </w:r>
      <w:r>
        <w:rPr>
          <w:spacing w:val="-1"/>
        </w:rPr>
        <w:t> </w:t>
      </w:r>
      <w:r>
        <w:rPr/>
        <w:t>for each</w:t>
      </w:r>
      <w:r>
        <w:rPr>
          <w:spacing w:val="-3"/>
        </w:rPr>
        <w:t> </w:t>
      </w:r>
      <w:r>
        <w:rPr/>
        <w:t>type</w:t>
      </w:r>
      <w:r>
        <w:rPr>
          <w:spacing w:val="-1"/>
        </w:rPr>
        <w:t> </w:t>
      </w:r>
      <w:r>
        <w:rPr/>
        <w:t>of</w:t>
      </w:r>
      <w:r>
        <w:rPr>
          <w:spacing w:val="-1"/>
        </w:rPr>
        <w:t> </w:t>
      </w:r>
      <w:r>
        <w:rPr/>
        <w:t>service</w:t>
      </w:r>
      <w:r>
        <w:rPr>
          <w:spacing w:val="-3"/>
        </w:rPr>
        <w:t> </w:t>
      </w:r>
      <w:r>
        <w:rPr/>
        <w:t>rate</w:t>
      </w:r>
      <w:r>
        <w:rPr>
          <w:spacing w:val="-3"/>
        </w:rPr>
        <w:t> </w:t>
      </w:r>
      <w:r>
        <w:rPr/>
        <w:t>or</w:t>
      </w:r>
      <w:r>
        <w:rPr>
          <w:spacing w:val="-1"/>
        </w:rPr>
        <w:t> </w:t>
      </w:r>
      <w:r>
        <w:rPr/>
        <w:t>charge</w:t>
      </w:r>
      <w:r>
        <w:rPr>
          <w:spacing w:val="-1"/>
        </w:rPr>
        <w:t> </w:t>
      </w:r>
      <w:r>
        <w:rPr/>
        <w:t>under Section</w:t>
      </w:r>
      <w:r>
        <w:rPr>
          <w:spacing w:val="-1"/>
        </w:rPr>
        <w:t> </w:t>
      </w:r>
      <w:r>
        <w:rPr/>
        <w:t>162</w:t>
      </w:r>
      <w:r>
        <w:rPr>
          <w:spacing w:val="-1"/>
        </w:rPr>
        <w:t> </w:t>
      </w:r>
      <w:r>
        <w:rPr/>
        <w:t>of the Act compared with the previous financial year</w:t>
      </w:r>
    </w:p>
    <w:p>
      <w:pPr>
        <w:pStyle w:val="BodyText"/>
        <w:spacing w:before="2"/>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48"/>
        <w:gridCol w:w="1258"/>
        <w:gridCol w:w="1519"/>
        <w:gridCol w:w="1884"/>
        <w:gridCol w:w="1147"/>
      </w:tblGrid>
      <w:tr>
        <w:trPr>
          <w:trHeight w:val="1079" w:hRule="atLeast"/>
        </w:trPr>
        <w:tc>
          <w:tcPr>
            <w:tcW w:w="10456" w:type="dxa"/>
            <w:gridSpan w:val="5"/>
            <w:tcBorders>
              <w:top w:val="single" w:sz="4" w:space="0" w:color="000000"/>
              <w:left w:val="single" w:sz="4" w:space="0" w:color="000000"/>
              <w:right w:val="single" w:sz="4" w:space="0" w:color="000000"/>
            </w:tcBorders>
            <w:shd w:val="clear" w:color="auto" w:fill="5B9AD4"/>
          </w:tcPr>
          <w:p>
            <w:pPr>
              <w:pStyle w:val="TableParagraph"/>
              <w:tabs>
                <w:tab w:pos="6119" w:val="left" w:leader="none"/>
              </w:tabs>
              <w:spacing w:line="207" w:lineRule="exact" w:before="32"/>
              <w:ind w:left="4603"/>
              <w:rPr>
                <w:b/>
                <w:sz w:val="18"/>
              </w:rPr>
            </w:pPr>
            <w:r>
              <w:rPr>
                <w:b/>
                <w:color w:val="FFFFFF"/>
                <w:sz w:val="18"/>
              </w:rPr>
              <w:t>Per </w:t>
            </w:r>
            <w:r>
              <w:rPr>
                <w:b/>
                <w:color w:val="FFFFFF"/>
                <w:spacing w:val="-2"/>
                <w:sz w:val="18"/>
              </w:rPr>
              <w:t>Rateable</w:t>
            </w:r>
            <w:r>
              <w:rPr>
                <w:b/>
                <w:color w:val="FFFFFF"/>
                <w:sz w:val="18"/>
              </w:rPr>
              <w:tab/>
              <w:t>Per </w:t>
            </w:r>
            <w:r>
              <w:rPr>
                <w:b/>
                <w:color w:val="FFFFFF"/>
                <w:spacing w:val="-2"/>
                <w:sz w:val="18"/>
              </w:rPr>
              <w:t>Rateable</w:t>
            </w:r>
          </w:p>
          <w:p>
            <w:pPr>
              <w:pStyle w:val="TableParagraph"/>
              <w:tabs>
                <w:tab w:pos="6294" w:val="left" w:leader="none"/>
                <w:tab w:pos="8610" w:val="left" w:leader="none"/>
              </w:tabs>
              <w:spacing w:line="226" w:lineRule="exact"/>
              <w:ind w:left="4778"/>
              <w:rPr>
                <w:b/>
                <w:sz w:val="18"/>
              </w:rPr>
            </w:pPr>
            <w:r>
              <w:rPr>
                <w:b/>
                <w:color w:val="FFFFFF"/>
                <w:spacing w:val="-2"/>
                <w:sz w:val="18"/>
              </w:rPr>
              <w:t>Property</w:t>
            </w:r>
            <w:r>
              <w:rPr>
                <w:b/>
                <w:color w:val="FFFFFF"/>
                <w:sz w:val="18"/>
              </w:rPr>
              <w:tab/>
            </w:r>
            <w:r>
              <w:rPr>
                <w:b/>
                <w:color w:val="FFFFFF"/>
                <w:spacing w:val="-2"/>
                <w:sz w:val="18"/>
              </w:rPr>
              <w:t>Property</w:t>
            </w:r>
            <w:r>
              <w:rPr>
                <w:b/>
                <w:color w:val="FFFFFF"/>
                <w:sz w:val="18"/>
              </w:rPr>
              <w:tab/>
            </w:r>
            <w:r>
              <w:rPr>
                <w:b/>
                <w:color w:val="FFFFFF"/>
                <w:spacing w:val="-2"/>
                <w:position w:val="-4"/>
                <w:sz w:val="18"/>
              </w:rPr>
              <w:t>Change</w:t>
            </w:r>
          </w:p>
          <w:p>
            <w:pPr>
              <w:pStyle w:val="TableParagraph"/>
              <w:tabs>
                <w:tab w:pos="4722" w:val="left" w:leader="none"/>
                <w:tab w:pos="6239" w:val="left" w:leader="none"/>
              </w:tabs>
              <w:spacing w:line="266" w:lineRule="exact"/>
              <w:ind w:left="1564"/>
              <w:rPr>
                <w:b/>
                <w:sz w:val="18"/>
              </w:rPr>
            </w:pPr>
            <w:r>
              <w:rPr>
                <w:b/>
                <w:color w:val="FFFFFF"/>
                <w:position w:val="9"/>
                <w:sz w:val="18"/>
              </w:rPr>
              <w:t>Type</w:t>
            </w:r>
            <w:r>
              <w:rPr>
                <w:b/>
                <w:color w:val="FFFFFF"/>
                <w:spacing w:val="2"/>
                <w:position w:val="9"/>
                <w:sz w:val="18"/>
              </w:rPr>
              <w:t> </w:t>
            </w:r>
            <w:r>
              <w:rPr>
                <w:b/>
                <w:color w:val="FFFFFF"/>
                <w:position w:val="9"/>
                <w:sz w:val="18"/>
              </w:rPr>
              <w:t>of</w:t>
            </w:r>
            <w:r>
              <w:rPr>
                <w:b/>
                <w:color w:val="FFFFFF"/>
                <w:spacing w:val="-2"/>
                <w:position w:val="9"/>
                <w:sz w:val="18"/>
              </w:rPr>
              <w:t> Charge</w:t>
            </w:r>
            <w:r>
              <w:rPr>
                <w:b/>
                <w:color w:val="FFFFFF"/>
                <w:position w:val="9"/>
                <w:sz w:val="18"/>
              </w:rPr>
              <w:tab/>
            </w:r>
            <w:r>
              <w:rPr>
                <w:b/>
                <w:color w:val="FFFFFF"/>
                <w:spacing w:val="-2"/>
                <w:sz w:val="18"/>
              </w:rPr>
              <w:t>2023/2024</w:t>
            </w:r>
            <w:r>
              <w:rPr>
                <w:b/>
                <w:color w:val="FFFFFF"/>
                <w:sz w:val="18"/>
              </w:rPr>
              <w:tab/>
            </w:r>
            <w:r>
              <w:rPr>
                <w:b/>
                <w:color w:val="FFFFFF"/>
                <w:spacing w:val="-2"/>
                <w:sz w:val="18"/>
              </w:rPr>
              <w:t>2024/2025</w:t>
            </w:r>
          </w:p>
          <w:p>
            <w:pPr>
              <w:pStyle w:val="TableParagraph"/>
              <w:tabs>
                <w:tab w:pos="6640" w:val="left" w:leader="none"/>
                <w:tab w:pos="8159" w:val="left" w:leader="none"/>
                <w:tab w:pos="9618" w:val="left" w:leader="none"/>
              </w:tabs>
              <w:spacing w:before="93"/>
              <w:ind w:left="5123"/>
              <w:rPr>
                <w:b/>
                <w:sz w:val="18"/>
              </w:rPr>
            </w:pPr>
            <w:r>
              <w:rPr>
                <w:b/>
                <w:color w:val="FFFFFF"/>
                <w:spacing w:val="-10"/>
                <w:sz w:val="18"/>
              </w:rPr>
              <w:t>$</w:t>
            </w:r>
            <w:r>
              <w:rPr>
                <w:b/>
                <w:color w:val="FFFFFF"/>
                <w:sz w:val="18"/>
              </w:rPr>
              <w:tab/>
            </w:r>
            <w:r>
              <w:rPr>
                <w:b/>
                <w:color w:val="FFFFFF"/>
                <w:spacing w:val="-10"/>
                <w:sz w:val="18"/>
              </w:rPr>
              <w:t>$</w:t>
            </w:r>
            <w:r>
              <w:rPr>
                <w:b/>
                <w:color w:val="FFFFFF"/>
                <w:sz w:val="18"/>
              </w:rPr>
              <w:tab/>
            </w:r>
            <w:r>
              <w:rPr>
                <w:b/>
                <w:color w:val="FFFFFF"/>
                <w:spacing w:val="-10"/>
                <w:sz w:val="18"/>
              </w:rPr>
              <w:t>$</w:t>
            </w:r>
            <w:r>
              <w:rPr>
                <w:b/>
                <w:color w:val="FFFFFF"/>
                <w:sz w:val="18"/>
              </w:rPr>
              <w:tab/>
            </w:r>
            <w:r>
              <w:rPr>
                <w:b/>
                <w:color w:val="FFFFFF"/>
                <w:spacing w:val="-10"/>
                <w:sz w:val="18"/>
              </w:rPr>
              <w:t>%</w:t>
            </w:r>
          </w:p>
        </w:tc>
      </w:tr>
      <w:tr>
        <w:trPr>
          <w:trHeight w:val="301" w:hRule="atLeast"/>
        </w:trPr>
        <w:tc>
          <w:tcPr>
            <w:tcW w:w="4648" w:type="dxa"/>
            <w:tcBorders>
              <w:left w:val="single" w:sz="4" w:space="0" w:color="000000"/>
            </w:tcBorders>
          </w:tcPr>
          <w:p>
            <w:pPr>
              <w:pStyle w:val="TableParagraph"/>
              <w:spacing w:before="33"/>
              <w:ind w:left="107"/>
              <w:rPr>
                <w:sz w:val="20"/>
              </w:rPr>
            </w:pPr>
            <w:r>
              <w:rPr>
                <w:sz w:val="20"/>
              </w:rPr>
              <w:t>Residential</w:t>
            </w:r>
            <w:r>
              <w:rPr>
                <w:spacing w:val="-8"/>
                <w:sz w:val="20"/>
              </w:rPr>
              <w:t> </w:t>
            </w:r>
            <w:r>
              <w:rPr>
                <w:sz w:val="20"/>
              </w:rPr>
              <w:t>80</w:t>
            </w:r>
            <w:r>
              <w:rPr>
                <w:spacing w:val="-7"/>
                <w:sz w:val="20"/>
              </w:rPr>
              <w:t> </w:t>
            </w:r>
            <w:r>
              <w:rPr>
                <w:sz w:val="20"/>
              </w:rPr>
              <w:t>Litre</w:t>
            </w:r>
            <w:r>
              <w:rPr>
                <w:spacing w:val="-7"/>
                <w:sz w:val="20"/>
              </w:rPr>
              <w:t> </w:t>
            </w:r>
            <w:r>
              <w:rPr>
                <w:spacing w:val="-4"/>
                <w:sz w:val="20"/>
              </w:rPr>
              <w:t>Bins</w:t>
            </w:r>
          </w:p>
        </w:tc>
        <w:tc>
          <w:tcPr>
            <w:tcW w:w="1258" w:type="dxa"/>
          </w:tcPr>
          <w:p>
            <w:pPr>
              <w:pStyle w:val="TableParagraph"/>
              <w:spacing w:before="33"/>
              <w:ind w:right="100"/>
              <w:jc w:val="right"/>
              <w:rPr>
                <w:sz w:val="20"/>
              </w:rPr>
            </w:pPr>
            <w:r>
              <w:rPr>
                <w:spacing w:val="-5"/>
                <w:sz w:val="20"/>
              </w:rPr>
              <w:t>357</w:t>
            </w:r>
          </w:p>
        </w:tc>
        <w:tc>
          <w:tcPr>
            <w:tcW w:w="1519" w:type="dxa"/>
            <w:shd w:val="clear" w:color="auto" w:fill="DDEBF6"/>
          </w:tcPr>
          <w:p>
            <w:pPr>
              <w:pStyle w:val="TableParagraph"/>
              <w:spacing w:before="33"/>
              <w:ind w:right="103"/>
              <w:jc w:val="right"/>
              <w:rPr>
                <w:b/>
                <w:sz w:val="20"/>
              </w:rPr>
            </w:pPr>
            <w:r>
              <w:rPr>
                <w:b/>
                <w:spacing w:val="-5"/>
                <w:sz w:val="20"/>
              </w:rPr>
              <w:t>365</w:t>
            </w:r>
          </w:p>
        </w:tc>
        <w:tc>
          <w:tcPr>
            <w:tcW w:w="1884" w:type="dxa"/>
          </w:tcPr>
          <w:p>
            <w:pPr>
              <w:pStyle w:val="TableParagraph"/>
              <w:spacing w:before="33"/>
              <w:ind w:right="465"/>
              <w:jc w:val="right"/>
              <w:rPr>
                <w:sz w:val="20"/>
              </w:rPr>
            </w:pPr>
            <w:r>
              <w:rPr>
                <w:w w:val="99"/>
                <w:sz w:val="20"/>
              </w:rPr>
              <w:t>8</w:t>
            </w:r>
          </w:p>
        </w:tc>
        <w:tc>
          <w:tcPr>
            <w:tcW w:w="1147" w:type="dxa"/>
            <w:tcBorders>
              <w:right w:val="single" w:sz="4" w:space="0" w:color="000000"/>
            </w:tcBorders>
          </w:tcPr>
          <w:p>
            <w:pPr>
              <w:pStyle w:val="TableParagraph"/>
              <w:spacing w:before="33"/>
              <w:ind w:right="98"/>
              <w:jc w:val="right"/>
              <w:rPr>
                <w:sz w:val="20"/>
              </w:rPr>
            </w:pPr>
            <w:r>
              <w:rPr>
                <w:spacing w:val="-2"/>
                <w:sz w:val="20"/>
              </w:rPr>
              <w:t>2.24%</w:t>
            </w:r>
          </w:p>
        </w:tc>
      </w:tr>
      <w:tr>
        <w:trPr>
          <w:trHeight w:val="300" w:hRule="atLeast"/>
        </w:trPr>
        <w:tc>
          <w:tcPr>
            <w:tcW w:w="4648" w:type="dxa"/>
            <w:tcBorders>
              <w:left w:val="single" w:sz="4" w:space="0" w:color="000000"/>
            </w:tcBorders>
          </w:tcPr>
          <w:p>
            <w:pPr>
              <w:pStyle w:val="TableParagraph"/>
              <w:spacing w:before="31"/>
              <w:ind w:left="107"/>
              <w:rPr>
                <w:sz w:val="20"/>
              </w:rPr>
            </w:pPr>
            <w:r>
              <w:rPr>
                <w:sz w:val="20"/>
              </w:rPr>
              <w:t>Residential</w:t>
            </w:r>
            <w:r>
              <w:rPr>
                <w:spacing w:val="-5"/>
                <w:sz w:val="20"/>
              </w:rPr>
              <w:t> </w:t>
            </w:r>
            <w:r>
              <w:rPr>
                <w:sz w:val="20"/>
              </w:rPr>
              <w:t>120</w:t>
            </w:r>
            <w:r>
              <w:rPr>
                <w:spacing w:val="-9"/>
                <w:sz w:val="20"/>
              </w:rPr>
              <w:t> </w:t>
            </w:r>
            <w:r>
              <w:rPr>
                <w:sz w:val="20"/>
              </w:rPr>
              <w:t>Litre</w:t>
            </w:r>
            <w:r>
              <w:rPr>
                <w:spacing w:val="-7"/>
                <w:sz w:val="20"/>
              </w:rPr>
              <w:t> </w:t>
            </w:r>
            <w:r>
              <w:rPr>
                <w:spacing w:val="-4"/>
                <w:sz w:val="20"/>
              </w:rPr>
              <w:t>Bins</w:t>
            </w:r>
          </w:p>
        </w:tc>
        <w:tc>
          <w:tcPr>
            <w:tcW w:w="1258" w:type="dxa"/>
          </w:tcPr>
          <w:p>
            <w:pPr>
              <w:pStyle w:val="TableParagraph"/>
              <w:spacing w:before="31"/>
              <w:ind w:right="100"/>
              <w:jc w:val="right"/>
              <w:rPr>
                <w:sz w:val="20"/>
              </w:rPr>
            </w:pPr>
            <w:r>
              <w:rPr>
                <w:spacing w:val="-5"/>
                <w:sz w:val="20"/>
              </w:rPr>
              <w:t>429</w:t>
            </w:r>
          </w:p>
        </w:tc>
        <w:tc>
          <w:tcPr>
            <w:tcW w:w="1519" w:type="dxa"/>
            <w:shd w:val="clear" w:color="auto" w:fill="DDEBF6"/>
          </w:tcPr>
          <w:p>
            <w:pPr>
              <w:pStyle w:val="TableParagraph"/>
              <w:spacing w:before="31"/>
              <w:ind w:right="103"/>
              <w:jc w:val="right"/>
              <w:rPr>
                <w:b/>
                <w:sz w:val="20"/>
              </w:rPr>
            </w:pPr>
            <w:r>
              <w:rPr>
                <w:b/>
                <w:spacing w:val="-5"/>
                <w:sz w:val="20"/>
              </w:rPr>
              <w:t>439</w:t>
            </w:r>
          </w:p>
        </w:tc>
        <w:tc>
          <w:tcPr>
            <w:tcW w:w="1884" w:type="dxa"/>
          </w:tcPr>
          <w:p>
            <w:pPr>
              <w:pStyle w:val="TableParagraph"/>
              <w:spacing w:before="31"/>
              <w:ind w:right="468"/>
              <w:jc w:val="right"/>
              <w:rPr>
                <w:sz w:val="20"/>
              </w:rPr>
            </w:pPr>
            <w:r>
              <w:rPr>
                <w:spacing w:val="-5"/>
                <w:sz w:val="20"/>
              </w:rPr>
              <w:t>10</w:t>
            </w:r>
          </w:p>
        </w:tc>
        <w:tc>
          <w:tcPr>
            <w:tcW w:w="1147" w:type="dxa"/>
            <w:tcBorders>
              <w:right w:val="single" w:sz="4" w:space="0" w:color="000000"/>
            </w:tcBorders>
          </w:tcPr>
          <w:p>
            <w:pPr>
              <w:pStyle w:val="TableParagraph"/>
              <w:spacing w:before="31"/>
              <w:ind w:right="98"/>
              <w:jc w:val="right"/>
              <w:rPr>
                <w:sz w:val="20"/>
              </w:rPr>
            </w:pPr>
            <w:r>
              <w:rPr>
                <w:spacing w:val="-2"/>
                <w:sz w:val="20"/>
              </w:rPr>
              <w:t>2.33%</w:t>
            </w:r>
          </w:p>
        </w:tc>
      </w:tr>
      <w:tr>
        <w:trPr>
          <w:trHeight w:val="300" w:hRule="atLeast"/>
        </w:trPr>
        <w:tc>
          <w:tcPr>
            <w:tcW w:w="4648" w:type="dxa"/>
            <w:tcBorders>
              <w:left w:val="single" w:sz="4" w:space="0" w:color="000000"/>
            </w:tcBorders>
          </w:tcPr>
          <w:p>
            <w:pPr>
              <w:pStyle w:val="TableParagraph"/>
              <w:spacing w:before="31"/>
              <w:ind w:left="107"/>
              <w:rPr>
                <w:sz w:val="20"/>
              </w:rPr>
            </w:pPr>
            <w:r>
              <w:rPr>
                <w:sz w:val="20"/>
              </w:rPr>
              <w:t>Second</w:t>
            </w:r>
            <w:r>
              <w:rPr>
                <w:spacing w:val="-10"/>
                <w:sz w:val="20"/>
              </w:rPr>
              <w:t> </w:t>
            </w:r>
            <w:r>
              <w:rPr>
                <w:sz w:val="20"/>
              </w:rPr>
              <w:t>and</w:t>
            </w:r>
            <w:r>
              <w:rPr>
                <w:spacing w:val="-7"/>
                <w:sz w:val="20"/>
              </w:rPr>
              <w:t> </w:t>
            </w:r>
            <w:r>
              <w:rPr>
                <w:sz w:val="20"/>
              </w:rPr>
              <w:t>Subsequent</w:t>
            </w:r>
            <w:r>
              <w:rPr>
                <w:spacing w:val="-6"/>
                <w:sz w:val="20"/>
              </w:rPr>
              <w:t> </w:t>
            </w:r>
            <w:r>
              <w:rPr>
                <w:spacing w:val="-4"/>
                <w:sz w:val="20"/>
              </w:rPr>
              <w:t>Bins*</w:t>
            </w:r>
          </w:p>
        </w:tc>
        <w:tc>
          <w:tcPr>
            <w:tcW w:w="1258" w:type="dxa"/>
          </w:tcPr>
          <w:p>
            <w:pPr>
              <w:pStyle w:val="TableParagraph"/>
              <w:spacing w:before="31"/>
              <w:ind w:right="101"/>
              <w:jc w:val="right"/>
              <w:rPr>
                <w:sz w:val="20"/>
              </w:rPr>
            </w:pPr>
            <w:r>
              <w:rPr>
                <w:spacing w:val="-5"/>
                <w:sz w:val="20"/>
              </w:rPr>
              <w:t>455</w:t>
            </w:r>
          </w:p>
        </w:tc>
        <w:tc>
          <w:tcPr>
            <w:tcW w:w="1519" w:type="dxa"/>
            <w:shd w:val="clear" w:color="auto" w:fill="DDEBF6"/>
          </w:tcPr>
          <w:p>
            <w:pPr>
              <w:pStyle w:val="TableParagraph"/>
              <w:spacing w:before="31"/>
              <w:ind w:right="103"/>
              <w:jc w:val="right"/>
              <w:rPr>
                <w:b/>
                <w:sz w:val="20"/>
              </w:rPr>
            </w:pPr>
            <w:r>
              <w:rPr>
                <w:b/>
                <w:spacing w:val="-5"/>
                <w:sz w:val="20"/>
              </w:rPr>
              <w:t>466</w:t>
            </w:r>
          </w:p>
        </w:tc>
        <w:tc>
          <w:tcPr>
            <w:tcW w:w="1884" w:type="dxa"/>
          </w:tcPr>
          <w:p>
            <w:pPr>
              <w:pStyle w:val="TableParagraph"/>
              <w:spacing w:before="31"/>
              <w:ind w:right="468"/>
              <w:jc w:val="right"/>
              <w:rPr>
                <w:sz w:val="20"/>
              </w:rPr>
            </w:pPr>
            <w:r>
              <w:rPr>
                <w:spacing w:val="-5"/>
                <w:sz w:val="20"/>
              </w:rPr>
              <w:t>11</w:t>
            </w:r>
          </w:p>
        </w:tc>
        <w:tc>
          <w:tcPr>
            <w:tcW w:w="1147" w:type="dxa"/>
            <w:tcBorders>
              <w:right w:val="single" w:sz="4" w:space="0" w:color="000000"/>
            </w:tcBorders>
          </w:tcPr>
          <w:p>
            <w:pPr>
              <w:pStyle w:val="TableParagraph"/>
              <w:spacing w:before="31"/>
              <w:ind w:right="98"/>
              <w:jc w:val="right"/>
              <w:rPr>
                <w:sz w:val="20"/>
              </w:rPr>
            </w:pPr>
            <w:r>
              <w:rPr>
                <w:spacing w:val="-2"/>
                <w:sz w:val="20"/>
              </w:rPr>
              <w:t>2.42%</w:t>
            </w:r>
          </w:p>
        </w:tc>
      </w:tr>
      <w:tr>
        <w:trPr>
          <w:trHeight w:val="300" w:hRule="atLeast"/>
        </w:trPr>
        <w:tc>
          <w:tcPr>
            <w:tcW w:w="4648" w:type="dxa"/>
            <w:tcBorders>
              <w:left w:val="single" w:sz="4" w:space="0" w:color="000000"/>
            </w:tcBorders>
          </w:tcPr>
          <w:p>
            <w:pPr>
              <w:pStyle w:val="TableParagraph"/>
              <w:spacing w:before="31"/>
              <w:ind w:left="107"/>
              <w:rPr>
                <w:sz w:val="20"/>
              </w:rPr>
            </w:pPr>
            <w:r>
              <w:rPr>
                <w:sz w:val="20"/>
              </w:rPr>
              <w:t>Additional</w:t>
            </w:r>
            <w:r>
              <w:rPr>
                <w:spacing w:val="-9"/>
                <w:sz w:val="20"/>
              </w:rPr>
              <w:t> </w:t>
            </w:r>
            <w:r>
              <w:rPr>
                <w:sz w:val="20"/>
              </w:rPr>
              <w:t>Residential</w:t>
            </w:r>
            <w:r>
              <w:rPr>
                <w:spacing w:val="-7"/>
                <w:sz w:val="20"/>
              </w:rPr>
              <w:t> </w:t>
            </w:r>
            <w:r>
              <w:rPr>
                <w:sz w:val="20"/>
              </w:rPr>
              <w:t>120</w:t>
            </w:r>
            <w:r>
              <w:rPr>
                <w:spacing w:val="-7"/>
                <w:sz w:val="20"/>
              </w:rPr>
              <w:t> </w:t>
            </w:r>
            <w:r>
              <w:rPr>
                <w:sz w:val="20"/>
              </w:rPr>
              <w:t>Litre</w:t>
            </w:r>
            <w:r>
              <w:rPr>
                <w:spacing w:val="-7"/>
                <w:sz w:val="20"/>
              </w:rPr>
              <w:t> </w:t>
            </w:r>
            <w:r>
              <w:rPr>
                <w:spacing w:val="-4"/>
                <w:sz w:val="20"/>
              </w:rPr>
              <w:t>Bin*</w:t>
            </w:r>
          </w:p>
        </w:tc>
        <w:tc>
          <w:tcPr>
            <w:tcW w:w="1258" w:type="dxa"/>
          </w:tcPr>
          <w:p>
            <w:pPr>
              <w:pStyle w:val="TableParagraph"/>
              <w:spacing w:before="31"/>
              <w:ind w:right="100"/>
              <w:jc w:val="right"/>
              <w:rPr>
                <w:sz w:val="20"/>
              </w:rPr>
            </w:pPr>
            <w:r>
              <w:rPr>
                <w:spacing w:val="-5"/>
                <w:sz w:val="20"/>
              </w:rPr>
              <w:t>273</w:t>
            </w:r>
          </w:p>
        </w:tc>
        <w:tc>
          <w:tcPr>
            <w:tcW w:w="1519" w:type="dxa"/>
            <w:shd w:val="clear" w:color="auto" w:fill="DDEBF6"/>
          </w:tcPr>
          <w:p>
            <w:pPr>
              <w:pStyle w:val="TableParagraph"/>
              <w:spacing w:before="31"/>
              <w:ind w:right="103"/>
              <w:jc w:val="right"/>
              <w:rPr>
                <w:b/>
                <w:sz w:val="20"/>
              </w:rPr>
            </w:pPr>
            <w:r>
              <w:rPr>
                <w:b/>
                <w:spacing w:val="-5"/>
                <w:sz w:val="20"/>
              </w:rPr>
              <w:t>280</w:t>
            </w:r>
          </w:p>
        </w:tc>
        <w:tc>
          <w:tcPr>
            <w:tcW w:w="1884" w:type="dxa"/>
          </w:tcPr>
          <w:p>
            <w:pPr>
              <w:pStyle w:val="TableParagraph"/>
              <w:spacing w:before="31"/>
              <w:ind w:right="465"/>
              <w:jc w:val="right"/>
              <w:rPr>
                <w:sz w:val="20"/>
              </w:rPr>
            </w:pPr>
            <w:r>
              <w:rPr>
                <w:w w:val="99"/>
                <w:sz w:val="20"/>
              </w:rPr>
              <w:t>7</w:t>
            </w:r>
          </w:p>
        </w:tc>
        <w:tc>
          <w:tcPr>
            <w:tcW w:w="1147" w:type="dxa"/>
            <w:tcBorders>
              <w:right w:val="single" w:sz="4" w:space="0" w:color="000000"/>
            </w:tcBorders>
          </w:tcPr>
          <w:p>
            <w:pPr>
              <w:pStyle w:val="TableParagraph"/>
              <w:spacing w:before="31"/>
              <w:ind w:right="98"/>
              <w:jc w:val="right"/>
              <w:rPr>
                <w:sz w:val="20"/>
              </w:rPr>
            </w:pPr>
            <w:r>
              <w:rPr>
                <w:spacing w:val="-2"/>
                <w:sz w:val="20"/>
              </w:rPr>
              <w:t>2.56%</w:t>
            </w:r>
          </w:p>
        </w:tc>
      </w:tr>
      <w:tr>
        <w:trPr>
          <w:trHeight w:val="298" w:hRule="atLeast"/>
        </w:trPr>
        <w:tc>
          <w:tcPr>
            <w:tcW w:w="4648" w:type="dxa"/>
            <w:tcBorders>
              <w:left w:val="single" w:sz="4" w:space="0" w:color="000000"/>
            </w:tcBorders>
          </w:tcPr>
          <w:p>
            <w:pPr>
              <w:pStyle w:val="TableParagraph"/>
              <w:spacing w:before="31"/>
              <w:ind w:left="107"/>
              <w:rPr>
                <w:sz w:val="20"/>
              </w:rPr>
            </w:pPr>
            <w:r>
              <w:rPr>
                <w:sz w:val="20"/>
              </w:rPr>
              <w:t>Additional</w:t>
            </w:r>
            <w:r>
              <w:rPr>
                <w:spacing w:val="-11"/>
                <w:sz w:val="20"/>
              </w:rPr>
              <w:t> </w:t>
            </w:r>
            <w:r>
              <w:rPr>
                <w:sz w:val="20"/>
              </w:rPr>
              <w:t>Residential</w:t>
            </w:r>
            <w:r>
              <w:rPr>
                <w:spacing w:val="-8"/>
                <w:sz w:val="20"/>
              </w:rPr>
              <w:t> </w:t>
            </w:r>
            <w:r>
              <w:rPr>
                <w:sz w:val="20"/>
              </w:rPr>
              <w:t>Garden</w:t>
            </w:r>
            <w:r>
              <w:rPr>
                <w:spacing w:val="-11"/>
                <w:sz w:val="20"/>
              </w:rPr>
              <w:t> </w:t>
            </w:r>
            <w:r>
              <w:rPr>
                <w:spacing w:val="-2"/>
                <w:sz w:val="20"/>
              </w:rPr>
              <w:t>Organics*</w:t>
            </w:r>
          </w:p>
        </w:tc>
        <w:tc>
          <w:tcPr>
            <w:tcW w:w="1258" w:type="dxa"/>
          </w:tcPr>
          <w:p>
            <w:pPr>
              <w:pStyle w:val="TableParagraph"/>
              <w:spacing w:before="31"/>
              <w:ind w:right="101"/>
              <w:jc w:val="right"/>
              <w:rPr>
                <w:sz w:val="20"/>
              </w:rPr>
            </w:pPr>
            <w:r>
              <w:rPr>
                <w:spacing w:val="-5"/>
                <w:sz w:val="20"/>
              </w:rPr>
              <w:t>230</w:t>
            </w:r>
          </w:p>
        </w:tc>
        <w:tc>
          <w:tcPr>
            <w:tcW w:w="1519" w:type="dxa"/>
            <w:shd w:val="clear" w:color="auto" w:fill="DDEBF6"/>
          </w:tcPr>
          <w:p>
            <w:pPr>
              <w:pStyle w:val="TableParagraph"/>
              <w:spacing w:before="31"/>
              <w:ind w:right="103"/>
              <w:jc w:val="right"/>
              <w:rPr>
                <w:b/>
                <w:sz w:val="20"/>
              </w:rPr>
            </w:pPr>
            <w:r>
              <w:rPr>
                <w:b/>
                <w:spacing w:val="-5"/>
                <w:sz w:val="20"/>
              </w:rPr>
              <w:t>230</w:t>
            </w:r>
          </w:p>
        </w:tc>
        <w:tc>
          <w:tcPr>
            <w:tcW w:w="1884" w:type="dxa"/>
          </w:tcPr>
          <w:p>
            <w:pPr>
              <w:pStyle w:val="TableParagraph"/>
              <w:spacing w:before="31"/>
              <w:ind w:right="465"/>
              <w:jc w:val="right"/>
              <w:rPr>
                <w:sz w:val="20"/>
              </w:rPr>
            </w:pPr>
            <w:r>
              <w:rPr>
                <w:w w:val="99"/>
                <w:sz w:val="20"/>
              </w:rPr>
              <w:t>0</w:t>
            </w:r>
          </w:p>
        </w:tc>
        <w:tc>
          <w:tcPr>
            <w:tcW w:w="1147" w:type="dxa"/>
            <w:tcBorders>
              <w:right w:val="single" w:sz="4" w:space="0" w:color="000000"/>
            </w:tcBorders>
          </w:tcPr>
          <w:p>
            <w:pPr>
              <w:pStyle w:val="TableParagraph"/>
              <w:spacing w:before="31"/>
              <w:ind w:right="98"/>
              <w:jc w:val="right"/>
              <w:rPr>
                <w:sz w:val="20"/>
              </w:rPr>
            </w:pPr>
            <w:r>
              <w:rPr>
                <w:spacing w:val="-2"/>
                <w:sz w:val="20"/>
              </w:rPr>
              <w:t>0.00%</w:t>
            </w:r>
          </w:p>
        </w:tc>
      </w:tr>
      <w:tr>
        <w:trPr>
          <w:trHeight w:val="300" w:hRule="atLeast"/>
        </w:trPr>
        <w:tc>
          <w:tcPr>
            <w:tcW w:w="10456" w:type="dxa"/>
            <w:gridSpan w:val="5"/>
            <w:tcBorders>
              <w:left w:val="single" w:sz="4" w:space="0" w:color="000000"/>
              <w:right w:val="single" w:sz="4" w:space="0" w:color="000000"/>
            </w:tcBorders>
          </w:tcPr>
          <w:p>
            <w:pPr>
              <w:pStyle w:val="TableParagraph"/>
              <w:spacing w:before="33"/>
              <w:ind w:left="107"/>
              <w:rPr>
                <w:sz w:val="20"/>
              </w:rPr>
            </w:pPr>
            <w:r>
              <w:rPr>
                <w:sz w:val="20"/>
              </w:rPr>
              <w:t>Commercial</w:t>
            </w:r>
            <w:r>
              <w:rPr>
                <w:spacing w:val="-8"/>
                <w:sz w:val="20"/>
              </w:rPr>
              <w:t> </w:t>
            </w:r>
            <w:r>
              <w:rPr>
                <w:sz w:val="20"/>
              </w:rPr>
              <w:t>240</w:t>
            </w:r>
            <w:r>
              <w:rPr>
                <w:spacing w:val="-7"/>
                <w:sz w:val="20"/>
              </w:rPr>
              <w:t> </w:t>
            </w:r>
            <w:r>
              <w:rPr>
                <w:sz w:val="20"/>
              </w:rPr>
              <w:t>Litre</w:t>
            </w:r>
            <w:r>
              <w:rPr>
                <w:spacing w:val="-5"/>
                <w:sz w:val="20"/>
              </w:rPr>
              <w:t> </w:t>
            </w:r>
            <w:r>
              <w:rPr>
                <w:spacing w:val="-2"/>
                <w:sz w:val="20"/>
              </w:rPr>
              <w:t>Service</w:t>
            </w:r>
          </w:p>
        </w:tc>
      </w:tr>
      <w:tr>
        <w:trPr>
          <w:trHeight w:val="301" w:hRule="atLeast"/>
        </w:trPr>
        <w:tc>
          <w:tcPr>
            <w:tcW w:w="4648" w:type="dxa"/>
            <w:tcBorders>
              <w:left w:val="single" w:sz="4" w:space="0" w:color="000000"/>
            </w:tcBorders>
          </w:tcPr>
          <w:p>
            <w:pPr>
              <w:pStyle w:val="TableParagraph"/>
              <w:spacing w:before="33"/>
              <w:ind w:left="549"/>
              <w:rPr>
                <w:sz w:val="20"/>
              </w:rPr>
            </w:pPr>
            <w:r>
              <w:rPr>
                <w:sz w:val="20"/>
              </w:rPr>
              <w:t>One</w:t>
            </w:r>
            <w:r>
              <w:rPr>
                <w:spacing w:val="-5"/>
                <w:sz w:val="20"/>
              </w:rPr>
              <w:t> </w:t>
            </w:r>
            <w:r>
              <w:rPr>
                <w:sz w:val="20"/>
              </w:rPr>
              <w:t>per</w:t>
            </w:r>
            <w:r>
              <w:rPr>
                <w:spacing w:val="-3"/>
                <w:sz w:val="20"/>
              </w:rPr>
              <w:t> </w:t>
            </w:r>
            <w:r>
              <w:rPr>
                <w:sz w:val="20"/>
              </w:rPr>
              <w:t>week </w:t>
            </w:r>
            <w:r>
              <w:rPr>
                <w:spacing w:val="-10"/>
                <w:sz w:val="20"/>
              </w:rPr>
              <w:t>#</w:t>
            </w:r>
          </w:p>
        </w:tc>
        <w:tc>
          <w:tcPr>
            <w:tcW w:w="1258" w:type="dxa"/>
          </w:tcPr>
          <w:p>
            <w:pPr>
              <w:pStyle w:val="TableParagraph"/>
              <w:spacing w:before="33"/>
              <w:ind w:right="101"/>
              <w:jc w:val="right"/>
              <w:rPr>
                <w:sz w:val="20"/>
              </w:rPr>
            </w:pPr>
            <w:r>
              <w:rPr>
                <w:spacing w:val="-5"/>
                <w:sz w:val="20"/>
              </w:rPr>
              <w:t>770</w:t>
            </w:r>
          </w:p>
        </w:tc>
        <w:tc>
          <w:tcPr>
            <w:tcW w:w="1519" w:type="dxa"/>
            <w:shd w:val="clear" w:color="auto" w:fill="DDEBF6"/>
          </w:tcPr>
          <w:p>
            <w:pPr>
              <w:pStyle w:val="TableParagraph"/>
              <w:spacing w:before="33"/>
              <w:ind w:right="103"/>
              <w:jc w:val="right"/>
              <w:rPr>
                <w:b/>
                <w:sz w:val="20"/>
              </w:rPr>
            </w:pPr>
            <w:r>
              <w:rPr>
                <w:b/>
                <w:spacing w:val="-5"/>
                <w:sz w:val="20"/>
              </w:rPr>
              <w:t>786</w:t>
            </w:r>
          </w:p>
        </w:tc>
        <w:tc>
          <w:tcPr>
            <w:tcW w:w="1884" w:type="dxa"/>
          </w:tcPr>
          <w:p>
            <w:pPr>
              <w:pStyle w:val="TableParagraph"/>
              <w:spacing w:before="33"/>
              <w:ind w:right="468"/>
              <w:jc w:val="right"/>
              <w:rPr>
                <w:sz w:val="20"/>
              </w:rPr>
            </w:pPr>
            <w:r>
              <w:rPr>
                <w:spacing w:val="-5"/>
                <w:sz w:val="20"/>
              </w:rPr>
              <w:t>16</w:t>
            </w:r>
          </w:p>
        </w:tc>
        <w:tc>
          <w:tcPr>
            <w:tcW w:w="1147" w:type="dxa"/>
            <w:tcBorders>
              <w:right w:val="single" w:sz="4" w:space="0" w:color="000000"/>
            </w:tcBorders>
          </w:tcPr>
          <w:p>
            <w:pPr>
              <w:pStyle w:val="TableParagraph"/>
              <w:spacing w:before="33"/>
              <w:ind w:right="98"/>
              <w:jc w:val="right"/>
              <w:rPr>
                <w:sz w:val="20"/>
              </w:rPr>
            </w:pPr>
            <w:r>
              <w:rPr>
                <w:spacing w:val="-2"/>
                <w:sz w:val="20"/>
              </w:rPr>
              <w:t>2.08%</w:t>
            </w:r>
          </w:p>
        </w:tc>
      </w:tr>
      <w:tr>
        <w:trPr>
          <w:trHeight w:val="300" w:hRule="atLeast"/>
        </w:trPr>
        <w:tc>
          <w:tcPr>
            <w:tcW w:w="4648" w:type="dxa"/>
            <w:tcBorders>
              <w:left w:val="single" w:sz="4" w:space="0" w:color="000000"/>
            </w:tcBorders>
          </w:tcPr>
          <w:p>
            <w:pPr>
              <w:pStyle w:val="TableParagraph"/>
              <w:spacing w:before="31"/>
              <w:ind w:left="549"/>
              <w:rPr>
                <w:sz w:val="20"/>
              </w:rPr>
            </w:pPr>
            <w:r>
              <w:rPr>
                <w:sz w:val="20"/>
              </w:rPr>
              <w:t>Three</w:t>
            </w:r>
            <w:r>
              <w:rPr>
                <w:spacing w:val="-6"/>
                <w:sz w:val="20"/>
              </w:rPr>
              <w:t> </w:t>
            </w:r>
            <w:r>
              <w:rPr>
                <w:sz w:val="20"/>
              </w:rPr>
              <w:t>times</w:t>
            </w:r>
            <w:r>
              <w:rPr>
                <w:spacing w:val="-3"/>
                <w:sz w:val="20"/>
              </w:rPr>
              <w:t> </w:t>
            </w:r>
            <w:r>
              <w:rPr>
                <w:sz w:val="20"/>
              </w:rPr>
              <w:t>per</w:t>
            </w:r>
            <w:r>
              <w:rPr>
                <w:spacing w:val="-5"/>
                <w:sz w:val="20"/>
              </w:rPr>
              <w:t> </w:t>
            </w:r>
            <w:r>
              <w:rPr>
                <w:sz w:val="20"/>
              </w:rPr>
              <w:t>week</w:t>
            </w:r>
            <w:r>
              <w:rPr>
                <w:spacing w:val="-1"/>
                <w:sz w:val="20"/>
              </w:rPr>
              <w:t> </w:t>
            </w:r>
            <w:r>
              <w:rPr>
                <w:spacing w:val="-10"/>
                <w:sz w:val="20"/>
              </w:rPr>
              <w:t>#</w:t>
            </w:r>
          </w:p>
        </w:tc>
        <w:tc>
          <w:tcPr>
            <w:tcW w:w="1258" w:type="dxa"/>
          </w:tcPr>
          <w:p>
            <w:pPr>
              <w:pStyle w:val="TableParagraph"/>
              <w:spacing w:before="31"/>
              <w:ind w:right="99"/>
              <w:jc w:val="right"/>
              <w:rPr>
                <w:sz w:val="20"/>
              </w:rPr>
            </w:pPr>
            <w:r>
              <w:rPr>
                <w:spacing w:val="-2"/>
                <w:sz w:val="20"/>
              </w:rPr>
              <w:t>1,680</w:t>
            </w:r>
          </w:p>
        </w:tc>
        <w:tc>
          <w:tcPr>
            <w:tcW w:w="1519" w:type="dxa"/>
            <w:shd w:val="clear" w:color="auto" w:fill="DDEBF6"/>
          </w:tcPr>
          <w:p>
            <w:pPr>
              <w:pStyle w:val="TableParagraph"/>
              <w:spacing w:before="31"/>
              <w:ind w:right="102"/>
              <w:jc w:val="right"/>
              <w:rPr>
                <w:b/>
                <w:sz w:val="20"/>
              </w:rPr>
            </w:pPr>
            <w:r>
              <w:rPr>
                <w:b/>
                <w:spacing w:val="-2"/>
                <w:sz w:val="20"/>
              </w:rPr>
              <w:t>1,722</w:t>
            </w:r>
          </w:p>
        </w:tc>
        <w:tc>
          <w:tcPr>
            <w:tcW w:w="1884" w:type="dxa"/>
          </w:tcPr>
          <w:p>
            <w:pPr>
              <w:pStyle w:val="TableParagraph"/>
              <w:spacing w:before="31"/>
              <w:ind w:right="468"/>
              <w:jc w:val="right"/>
              <w:rPr>
                <w:sz w:val="20"/>
              </w:rPr>
            </w:pPr>
            <w:r>
              <w:rPr>
                <w:spacing w:val="-5"/>
                <w:sz w:val="20"/>
              </w:rPr>
              <w:t>42</w:t>
            </w:r>
          </w:p>
        </w:tc>
        <w:tc>
          <w:tcPr>
            <w:tcW w:w="1147" w:type="dxa"/>
            <w:tcBorders>
              <w:right w:val="single" w:sz="4" w:space="0" w:color="000000"/>
            </w:tcBorders>
          </w:tcPr>
          <w:p>
            <w:pPr>
              <w:pStyle w:val="TableParagraph"/>
              <w:spacing w:before="31"/>
              <w:ind w:right="98"/>
              <w:jc w:val="right"/>
              <w:rPr>
                <w:sz w:val="20"/>
              </w:rPr>
            </w:pPr>
            <w:r>
              <w:rPr>
                <w:spacing w:val="-2"/>
                <w:sz w:val="20"/>
              </w:rPr>
              <w:t>2.50%</w:t>
            </w:r>
          </w:p>
        </w:tc>
      </w:tr>
      <w:tr>
        <w:trPr>
          <w:trHeight w:val="300" w:hRule="atLeast"/>
        </w:trPr>
        <w:tc>
          <w:tcPr>
            <w:tcW w:w="4648" w:type="dxa"/>
            <w:tcBorders>
              <w:left w:val="single" w:sz="4" w:space="0" w:color="000000"/>
            </w:tcBorders>
          </w:tcPr>
          <w:p>
            <w:pPr>
              <w:pStyle w:val="TableParagraph"/>
              <w:spacing w:before="31"/>
              <w:ind w:left="107"/>
              <w:rPr>
                <w:sz w:val="20"/>
              </w:rPr>
            </w:pPr>
            <w:r>
              <w:rPr>
                <w:w w:val="95"/>
                <w:sz w:val="20"/>
              </w:rPr>
              <w:t>Additional</w:t>
            </w:r>
            <w:r>
              <w:rPr>
                <w:spacing w:val="59"/>
                <w:sz w:val="20"/>
              </w:rPr>
              <w:t> </w:t>
            </w:r>
            <w:r>
              <w:rPr>
                <w:w w:val="95"/>
                <w:sz w:val="20"/>
              </w:rPr>
              <w:t>Recycling-Non-Residential</w:t>
            </w:r>
            <w:r>
              <w:rPr>
                <w:spacing w:val="68"/>
                <w:sz w:val="20"/>
              </w:rPr>
              <w:t> </w:t>
            </w:r>
            <w:r>
              <w:rPr>
                <w:spacing w:val="-10"/>
                <w:w w:val="95"/>
                <w:sz w:val="20"/>
              </w:rPr>
              <w:t>#</w:t>
            </w:r>
          </w:p>
        </w:tc>
        <w:tc>
          <w:tcPr>
            <w:tcW w:w="1258" w:type="dxa"/>
          </w:tcPr>
          <w:p>
            <w:pPr>
              <w:pStyle w:val="TableParagraph"/>
              <w:spacing w:before="31"/>
              <w:ind w:right="100"/>
              <w:jc w:val="right"/>
              <w:rPr>
                <w:sz w:val="20"/>
              </w:rPr>
            </w:pPr>
            <w:r>
              <w:rPr>
                <w:spacing w:val="-5"/>
                <w:sz w:val="20"/>
              </w:rPr>
              <w:t>171</w:t>
            </w:r>
          </w:p>
        </w:tc>
        <w:tc>
          <w:tcPr>
            <w:tcW w:w="1519" w:type="dxa"/>
            <w:shd w:val="clear" w:color="auto" w:fill="DDEBF6"/>
          </w:tcPr>
          <w:p>
            <w:pPr>
              <w:pStyle w:val="TableParagraph"/>
              <w:spacing w:before="31"/>
              <w:ind w:right="103"/>
              <w:jc w:val="right"/>
              <w:rPr>
                <w:b/>
                <w:sz w:val="20"/>
              </w:rPr>
            </w:pPr>
            <w:r>
              <w:rPr>
                <w:b/>
                <w:spacing w:val="-5"/>
                <w:sz w:val="20"/>
              </w:rPr>
              <w:t>175</w:t>
            </w:r>
          </w:p>
        </w:tc>
        <w:tc>
          <w:tcPr>
            <w:tcW w:w="1884" w:type="dxa"/>
          </w:tcPr>
          <w:p>
            <w:pPr>
              <w:pStyle w:val="TableParagraph"/>
              <w:spacing w:before="31"/>
              <w:ind w:right="465"/>
              <w:jc w:val="right"/>
              <w:rPr>
                <w:sz w:val="20"/>
              </w:rPr>
            </w:pPr>
            <w:r>
              <w:rPr>
                <w:w w:val="99"/>
                <w:sz w:val="20"/>
              </w:rPr>
              <w:t>4</w:t>
            </w:r>
          </w:p>
        </w:tc>
        <w:tc>
          <w:tcPr>
            <w:tcW w:w="1147" w:type="dxa"/>
            <w:tcBorders>
              <w:right w:val="single" w:sz="4" w:space="0" w:color="000000"/>
            </w:tcBorders>
          </w:tcPr>
          <w:p>
            <w:pPr>
              <w:pStyle w:val="TableParagraph"/>
              <w:spacing w:before="31"/>
              <w:ind w:right="98"/>
              <w:jc w:val="right"/>
              <w:rPr>
                <w:sz w:val="20"/>
              </w:rPr>
            </w:pPr>
            <w:r>
              <w:rPr>
                <w:spacing w:val="-2"/>
                <w:sz w:val="20"/>
              </w:rPr>
              <w:t>2.34%</w:t>
            </w:r>
          </w:p>
        </w:tc>
      </w:tr>
      <w:tr>
        <w:trPr>
          <w:trHeight w:val="300" w:hRule="atLeast"/>
        </w:trPr>
        <w:tc>
          <w:tcPr>
            <w:tcW w:w="4648" w:type="dxa"/>
            <w:tcBorders>
              <w:left w:val="single" w:sz="4" w:space="0" w:color="000000"/>
            </w:tcBorders>
          </w:tcPr>
          <w:p>
            <w:pPr>
              <w:pStyle w:val="TableParagraph"/>
              <w:spacing w:before="31"/>
              <w:ind w:left="107"/>
              <w:rPr>
                <w:sz w:val="20"/>
              </w:rPr>
            </w:pPr>
            <w:r>
              <w:rPr>
                <w:sz w:val="20"/>
              </w:rPr>
              <w:t>Commercial</w:t>
            </w:r>
            <w:r>
              <w:rPr>
                <w:spacing w:val="-9"/>
                <w:sz w:val="20"/>
              </w:rPr>
              <w:t> </w:t>
            </w:r>
            <w:r>
              <w:rPr>
                <w:sz w:val="20"/>
              </w:rPr>
              <w:t>&amp;</w:t>
            </w:r>
            <w:r>
              <w:rPr>
                <w:spacing w:val="-6"/>
                <w:sz w:val="20"/>
              </w:rPr>
              <w:t> </w:t>
            </w:r>
            <w:r>
              <w:rPr>
                <w:sz w:val="20"/>
              </w:rPr>
              <w:t>Industrial</w:t>
            </w:r>
            <w:r>
              <w:rPr>
                <w:spacing w:val="-7"/>
                <w:sz w:val="20"/>
              </w:rPr>
              <w:t> </w:t>
            </w:r>
            <w:r>
              <w:rPr>
                <w:sz w:val="20"/>
              </w:rPr>
              <w:t>Garden</w:t>
            </w:r>
            <w:r>
              <w:rPr>
                <w:spacing w:val="-7"/>
                <w:sz w:val="20"/>
              </w:rPr>
              <w:t> </w:t>
            </w:r>
            <w:r>
              <w:rPr>
                <w:spacing w:val="-2"/>
                <w:sz w:val="20"/>
              </w:rPr>
              <w:t>Organics#*</w:t>
            </w:r>
          </w:p>
        </w:tc>
        <w:tc>
          <w:tcPr>
            <w:tcW w:w="1258" w:type="dxa"/>
          </w:tcPr>
          <w:p>
            <w:pPr>
              <w:pStyle w:val="TableParagraph"/>
              <w:spacing w:before="31"/>
              <w:ind w:right="101"/>
              <w:jc w:val="right"/>
              <w:rPr>
                <w:sz w:val="20"/>
              </w:rPr>
            </w:pPr>
            <w:r>
              <w:rPr>
                <w:spacing w:val="-5"/>
                <w:sz w:val="20"/>
              </w:rPr>
              <w:t>252</w:t>
            </w:r>
          </w:p>
        </w:tc>
        <w:tc>
          <w:tcPr>
            <w:tcW w:w="1519" w:type="dxa"/>
            <w:shd w:val="clear" w:color="auto" w:fill="DDEBF6"/>
          </w:tcPr>
          <w:p>
            <w:pPr>
              <w:pStyle w:val="TableParagraph"/>
              <w:spacing w:before="31"/>
              <w:ind w:right="103"/>
              <w:jc w:val="right"/>
              <w:rPr>
                <w:b/>
                <w:sz w:val="20"/>
              </w:rPr>
            </w:pPr>
            <w:r>
              <w:rPr>
                <w:b/>
                <w:spacing w:val="-5"/>
                <w:sz w:val="20"/>
              </w:rPr>
              <w:t>253</w:t>
            </w:r>
          </w:p>
        </w:tc>
        <w:tc>
          <w:tcPr>
            <w:tcW w:w="1884" w:type="dxa"/>
          </w:tcPr>
          <w:p>
            <w:pPr>
              <w:pStyle w:val="TableParagraph"/>
              <w:spacing w:before="31"/>
              <w:ind w:right="465"/>
              <w:jc w:val="right"/>
              <w:rPr>
                <w:sz w:val="20"/>
              </w:rPr>
            </w:pPr>
            <w:r>
              <w:rPr>
                <w:w w:val="99"/>
                <w:sz w:val="20"/>
              </w:rPr>
              <w:t>1</w:t>
            </w:r>
          </w:p>
        </w:tc>
        <w:tc>
          <w:tcPr>
            <w:tcW w:w="1147" w:type="dxa"/>
            <w:tcBorders>
              <w:right w:val="single" w:sz="4" w:space="0" w:color="000000"/>
            </w:tcBorders>
          </w:tcPr>
          <w:p>
            <w:pPr>
              <w:pStyle w:val="TableParagraph"/>
              <w:spacing w:before="31"/>
              <w:ind w:right="98"/>
              <w:jc w:val="right"/>
              <w:rPr>
                <w:sz w:val="20"/>
              </w:rPr>
            </w:pPr>
            <w:r>
              <w:rPr>
                <w:spacing w:val="-2"/>
                <w:sz w:val="20"/>
              </w:rPr>
              <w:t>0.40%</w:t>
            </w:r>
          </w:p>
        </w:tc>
      </w:tr>
      <w:tr>
        <w:trPr>
          <w:trHeight w:val="303" w:hRule="atLeast"/>
        </w:trPr>
        <w:tc>
          <w:tcPr>
            <w:tcW w:w="4648" w:type="dxa"/>
            <w:tcBorders>
              <w:left w:val="single" w:sz="4" w:space="0" w:color="000000"/>
            </w:tcBorders>
          </w:tcPr>
          <w:p>
            <w:pPr>
              <w:pStyle w:val="TableParagraph"/>
              <w:spacing w:before="31"/>
              <w:ind w:left="107"/>
              <w:rPr>
                <w:sz w:val="20"/>
              </w:rPr>
            </w:pPr>
            <w:r>
              <w:rPr>
                <w:sz w:val="20"/>
              </w:rPr>
              <w:t>Industrial</w:t>
            </w:r>
            <w:r>
              <w:rPr>
                <w:spacing w:val="-4"/>
                <w:sz w:val="20"/>
              </w:rPr>
              <w:t> </w:t>
            </w:r>
            <w:r>
              <w:rPr>
                <w:sz w:val="20"/>
              </w:rPr>
              <w:t>120</w:t>
            </w:r>
            <w:r>
              <w:rPr>
                <w:spacing w:val="-5"/>
                <w:sz w:val="20"/>
              </w:rPr>
              <w:t> </w:t>
            </w:r>
            <w:r>
              <w:rPr>
                <w:sz w:val="20"/>
              </w:rPr>
              <w:t>Litre</w:t>
            </w:r>
            <w:r>
              <w:rPr>
                <w:spacing w:val="-7"/>
                <w:sz w:val="20"/>
              </w:rPr>
              <w:t> </w:t>
            </w:r>
            <w:r>
              <w:rPr>
                <w:sz w:val="20"/>
              </w:rPr>
              <w:t>Service</w:t>
            </w:r>
            <w:r>
              <w:rPr>
                <w:spacing w:val="-6"/>
                <w:sz w:val="20"/>
              </w:rPr>
              <w:t> </w:t>
            </w:r>
            <w:r>
              <w:rPr>
                <w:spacing w:val="-10"/>
                <w:sz w:val="20"/>
              </w:rPr>
              <w:t>#</w:t>
            </w:r>
          </w:p>
        </w:tc>
        <w:tc>
          <w:tcPr>
            <w:tcW w:w="1258" w:type="dxa"/>
          </w:tcPr>
          <w:p>
            <w:pPr>
              <w:pStyle w:val="TableParagraph"/>
              <w:spacing w:before="31"/>
              <w:ind w:right="101"/>
              <w:jc w:val="right"/>
              <w:rPr>
                <w:sz w:val="20"/>
              </w:rPr>
            </w:pPr>
            <w:r>
              <w:rPr>
                <w:spacing w:val="-5"/>
                <w:sz w:val="20"/>
              </w:rPr>
              <w:t>412</w:t>
            </w:r>
          </w:p>
        </w:tc>
        <w:tc>
          <w:tcPr>
            <w:tcW w:w="1519" w:type="dxa"/>
            <w:shd w:val="clear" w:color="auto" w:fill="DDEBF6"/>
          </w:tcPr>
          <w:p>
            <w:pPr>
              <w:pStyle w:val="TableParagraph"/>
              <w:spacing w:before="31"/>
              <w:ind w:right="103"/>
              <w:jc w:val="right"/>
              <w:rPr>
                <w:b/>
                <w:sz w:val="20"/>
              </w:rPr>
            </w:pPr>
            <w:r>
              <w:rPr>
                <w:b/>
                <w:spacing w:val="-5"/>
                <w:sz w:val="20"/>
              </w:rPr>
              <w:t>422</w:t>
            </w:r>
          </w:p>
        </w:tc>
        <w:tc>
          <w:tcPr>
            <w:tcW w:w="1884" w:type="dxa"/>
          </w:tcPr>
          <w:p>
            <w:pPr>
              <w:pStyle w:val="TableParagraph"/>
              <w:spacing w:before="31"/>
              <w:ind w:right="468"/>
              <w:jc w:val="right"/>
              <w:rPr>
                <w:sz w:val="20"/>
              </w:rPr>
            </w:pPr>
            <w:r>
              <w:rPr>
                <w:spacing w:val="-5"/>
                <w:sz w:val="20"/>
              </w:rPr>
              <w:t>10</w:t>
            </w:r>
          </w:p>
        </w:tc>
        <w:tc>
          <w:tcPr>
            <w:tcW w:w="1147" w:type="dxa"/>
            <w:tcBorders>
              <w:right w:val="single" w:sz="4" w:space="0" w:color="000000"/>
            </w:tcBorders>
          </w:tcPr>
          <w:p>
            <w:pPr>
              <w:pStyle w:val="TableParagraph"/>
              <w:spacing w:before="31"/>
              <w:ind w:right="98"/>
              <w:jc w:val="right"/>
              <w:rPr>
                <w:sz w:val="20"/>
              </w:rPr>
            </w:pPr>
            <w:r>
              <w:rPr>
                <w:spacing w:val="-2"/>
                <w:sz w:val="20"/>
              </w:rPr>
              <w:t>2.43%</w:t>
            </w:r>
          </w:p>
        </w:tc>
      </w:tr>
      <w:tr>
        <w:trPr>
          <w:trHeight w:val="308" w:hRule="atLeast"/>
        </w:trPr>
        <w:tc>
          <w:tcPr>
            <w:tcW w:w="4648" w:type="dxa"/>
            <w:tcBorders>
              <w:left w:val="single" w:sz="4" w:space="0" w:color="000000"/>
              <w:bottom w:val="single" w:sz="4" w:space="0" w:color="000000"/>
            </w:tcBorders>
          </w:tcPr>
          <w:p>
            <w:pPr>
              <w:pStyle w:val="TableParagraph"/>
              <w:spacing w:before="35"/>
              <w:ind w:left="107"/>
              <w:rPr>
                <w:sz w:val="20"/>
              </w:rPr>
            </w:pPr>
            <w:r>
              <w:rPr>
                <w:sz w:val="20"/>
              </w:rPr>
              <w:t>Industrial</w:t>
            </w:r>
            <w:r>
              <w:rPr>
                <w:spacing w:val="-6"/>
                <w:sz w:val="20"/>
              </w:rPr>
              <w:t> </w:t>
            </w:r>
            <w:r>
              <w:rPr>
                <w:sz w:val="20"/>
              </w:rPr>
              <w:t>80</w:t>
            </w:r>
            <w:r>
              <w:rPr>
                <w:spacing w:val="-5"/>
                <w:sz w:val="20"/>
              </w:rPr>
              <w:t> </w:t>
            </w:r>
            <w:r>
              <w:rPr>
                <w:sz w:val="20"/>
              </w:rPr>
              <w:t>Litre</w:t>
            </w:r>
            <w:r>
              <w:rPr>
                <w:spacing w:val="-5"/>
                <w:sz w:val="20"/>
              </w:rPr>
              <w:t> </w:t>
            </w:r>
            <w:r>
              <w:rPr>
                <w:sz w:val="20"/>
              </w:rPr>
              <w:t>Service</w:t>
            </w:r>
            <w:r>
              <w:rPr>
                <w:spacing w:val="-5"/>
                <w:sz w:val="20"/>
              </w:rPr>
              <w:t> </w:t>
            </w:r>
            <w:r>
              <w:rPr>
                <w:spacing w:val="-10"/>
                <w:sz w:val="20"/>
              </w:rPr>
              <w:t>#</w:t>
            </w:r>
          </w:p>
        </w:tc>
        <w:tc>
          <w:tcPr>
            <w:tcW w:w="1258" w:type="dxa"/>
            <w:tcBorders>
              <w:bottom w:val="single" w:sz="4" w:space="0" w:color="000000"/>
            </w:tcBorders>
          </w:tcPr>
          <w:p>
            <w:pPr>
              <w:pStyle w:val="TableParagraph"/>
              <w:spacing w:before="35"/>
              <w:ind w:right="101"/>
              <w:jc w:val="right"/>
              <w:rPr>
                <w:sz w:val="20"/>
              </w:rPr>
            </w:pPr>
            <w:r>
              <w:rPr>
                <w:spacing w:val="-5"/>
                <w:sz w:val="20"/>
              </w:rPr>
              <w:t>346</w:t>
            </w:r>
          </w:p>
        </w:tc>
        <w:tc>
          <w:tcPr>
            <w:tcW w:w="1519" w:type="dxa"/>
            <w:tcBorders>
              <w:bottom w:val="single" w:sz="4" w:space="0" w:color="000000"/>
            </w:tcBorders>
            <w:shd w:val="clear" w:color="auto" w:fill="DDEBF6"/>
          </w:tcPr>
          <w:p>
            <w:pPr>
              <w:pStyle w:val="TableParagraph"/>
              <w:spacing w:before="35"/>
              <w:ind w:right="103"/>
              <w:jc w:val="right"/>
              <w:rPr>
                <w:b/>
                <w:sz w:val="20"/>
              </w:rPr>
            </w:pPr>
            <w:r>
              <w:rPr>
                <w:b/>
                <w:spacing w:val="-5"/>
                <w:sz w:val="20"/>
              </w:rPr>
              <w:t>355</w:t>
            </w:r>
          </w:p>
        </w:tc>
        <w:tc>
          <w:tcPr>
            <w:tcW w:w="1884" w:type="dxa"/>
            <w:tcBorders>
              <w:bottom w:val="single" w:sz="4" w:space="0" w:color="000000"/>
            </w:tcBorders>
          </w:tcPr>
          <w:p>
            <w:pPr>
              <w:pStyle w:val="TableParagraph"/>
              <w:spacing w:before="35"/>
              <w:ind w:right="465"/>
              <w:jc w:val="right"/>
              <w:rPr>
                <w:sz w:val="20"/>
              </w:rPr>
            </w:pPr>
            <w:r>
              <w:rPr>
                <w:w w:val="99"/>
                <w:sz w:val="20"/>
              </w:rPr>
              <w:t>9</w:t>
            </w:r>
          </w:p>
        </w:tc>
        <w:tc>
          <w:tcPr>
            <w:tcW w:w="1147" w:type="dxa"/>
            <w:tcBorders>
              <w:bottom w:val="single" w:sz="4" w:space="0" w:color="000000"/>
              <w:right w:val="single" w:sz="4" w:space="0" w:color="000000"/>
            </w:tcBorders>
          </w:tcPr>
          <w:p>
            <w:pPr>
              <w:pStyle w:val="TableParagraph"/>
              <w:spacing w:before="35"/>
              <w:ind w:right="98"/>
              <w:jc w:val="right"/>
              <w:rPr>
                <w:sz w:val="20"/>
              </w:rPr>
            </w:pPr>
            <w:r>
              <w:rPr>
                <w:spacing w:val="-2"/>
                <w:sz w:val="20"/>
              </w:rPr>
              <w:t>2.60%</w:t>
            </w:r>
          </w:p>
        </w:tc>
      </w:tr>
    </w:tbl>
    <w:p>
      <w:pPr>
        <w:spacing w:before="209"/>
        <w:ind w:left="260" w:right="0" w:firstLine="0"/>
        <w:jc w:val="left"/>
        <w:rPr>
          <w:sz w:val="18"/>
        </w:rPr>
      </w:pPr>
      <w:r>
        <w:rPr/>
        <w:pict>
          <v:shape style="position:absolute;margin-left:255.719009pt;margin-top:-106.028099pt;width:303.150pt;height:15pt;mso-position-horizontal-relative:page;mso-position-vertical-relative:paragraph;z-index:-38057984" id="docshape57" coordorigin="5114,-2121" coordsize="6063,300" path="m11177,-2121l9667,-2121,8150,-2121,6631,-2121,5114,-2121,5114,-1821,6631,-1821,8150,-1821,9667,-1821,11177,-1821,11177,-2121xe" filled="true" fillcolor="#d8d8d8" stroked="false">
            <v:path arrowok="t"/>
            <v:fill type="solid"/>
            <w10:wrap type="none"/>
          </v:shape>
        </w:pict>
      </w:r>
      <w:r>
        <w:rPr>
          <w:sz w:val="18"/>
        </w:rPr>
        <w:t>#These figures include</w:t>
      </w:r>
      <w:r>
        <w:rPr>
          <w:spacing w:val="-1"/>
          <w:sz w:val="18"/>
        </w:rPr>
        <w:t> </w:t>
      </w:r>
      <w:r>
        <w:rPr>
          <w:sz w:val="18"/>
        </w:rPr>
        <w:t>GST</w:t>
      </w:r>
      <w:r>
        <w:rPr>
          <w:spacing w:val="-2"/>
          <w:sz w:val="18"/>
        </w:rPr>
        <w:t> </w:t>
      </w:r>
      <w:r>
        <w:rPr>
          <w:sz w:val="18"/>
        </w:rPr>
        <w:t>which</w:t>
      </w:r>
      <w:r>
        <w:rPr>
          <w:spacing w:val="-4"/>
          <w:sz w:val="18"/>
        </w:rPr>
        <w:t> </w:t>
      </w:r>
      <w:r>
        <w:rPr>
          <w:sz w:val="18"/>
        </w:rPr>
        <w:t>applies to</w:t>
      </w:r>
      <w:r>
        <w:rPr>
          <w:spacing w:val="-3"/>
          <w:sz w:val="18"/>
        </w:rPr>
        <w:t> </w:t>
      </w:r>
      <w:r>
        <w:rPr>
          <w:sz w:val="18"/>
        </w:rPr>
        <w:t>these</w:t>
      </w:r>
      <w:r>
        <w:rPr>
          <w:spacing w:val="-3"/>
          <w:sz w:val="18"/>
        </w:rPr>
        <w:t> </w:t>
      </w:r>
      <w:r>
        <w:rPr>
          <w:spacing w:val="-2"/>
          <w:sz w:val="18"/>
        </w:rPr>
        <w:t>services.</w:t>
      </w:r>
    </w:p>
    <w:p>
      <w:pPr>
        <w:spacing w:before="2"/>
        <w:ind w:left="260" w:right="0" w:firstLine="0"/>
        <w:jc w:val="left"/>
        <w:rPr>
          <w:sz w:val="18"/>
        </w:rPr>
      </w:pPr>
      <w:r>
        <w:rPr>
          <w:sz w:val="18"/>
        </w:rPr>
        <w:t>*</w:t>
      </w:r>
      <w:r>
        <w:rPr>
          <w:spacing w:val="-2"/>
          <w:sz w:val="18"/>
        </w:rPr>
        <w:t> </w:t>
      </w:r>
      <w:r>
        <w:rPr>
          <w:sz w:val="18"/>
        </w:rPr>
        <w:t>Approval of</w:t>
      </w:r>
      <w:r>
        <w:rPr>
          <w:spacing w:val="-2"/>
          <w:sz w:val="18"/>
        </w:rPr>
        <w:t> </w:t>
      </w:r>
      <w:r>
        <w:rPr>
          <w:sz w:val="18"/>
        </w:rPr>
        <w:t>additional waste</w:t>
      </w:r>
      <w:r>
        <w:rPr>
          <w:spacing w:val="-3"/>
          <w:sz w:val="18"/>
        </w:rPr>
        <w:t> </w:t>
      </w:r>
      <w:r>
        <w:rPr>
          <w:sz w:val="18"/>
        </w:rPr>
        <w:t>service</w:t>
      </w:r>
      <w:r>
        <w:rPr>
          <w:spacing w:val="-3"/>
          <w:sz w:val="18"/>
        </w:rPr>
        <w:t> </w:t>
      </w:r>
      <w:r>
        <w:rPr>
          <w:sz w:val="18"/>
        </w:rPr>
        <w:t>is</w:t>
      </w:r>
      <w:r>
        <w:rPr>
          <w:spacing w:val="-3"/>
          <w:sz w:val="18"/>
        </w:rPr>
        <w:t> </w:t>
      </w:r>
      <w:r>
        <w:rPr>
          <w:sz w:val="18"/>
        </w:rPr>
        <w:t>subject</w:t>
      </w:r>
      <w:r>
        <w:rPr>
          <w:spacing w:val="-2"/>
          <w:sz w:val="18"/>
        </w:rPr>
        <w:t> </w:t>
      </w:r>
      <w:r>
        <w:rPr>
          <w:sz w:val="18"/>
        </w:rPr>
        <w:t>to</w:t>
      </w:r>
      <w:r>
        <w:rPr>
          <w:spacing w:val="1"/>
          <w:sz w:val="18"/>
        </w:rPr>
        <w:t> </w:t>
      </w:r>
      <w:r>
        <w:rPr>
          <w:sz w:val="18"/>
        </w:rPr>
        <w:t>Council </w:t>
      </w:r>
      <w:r>
        <w:rPr>
          <w:spacing w:val="-2"/>
          <w:sz w:val="18"/>
        </w:rPr>
        <w:t>assessment.</w:t>
      </w:r>
    </w:p>
    <w:p>
      <w:pPr>
        <w:pStyle w:val="BodyText"/>
        <w:rPr>
          <w:sz w:val="20"/>
        </w:rPr>
      </w:pPr>
    </w:p>
    <w:p>
      <w:pPr>
        <w:pStyle w:val="BodyText"/>
        <w:spacing w:before="10"/>
        <w:rPr>
          <w:sz w:val="15"/>
        </w:rPr>
      </w:pPr>
    </w:p>
    <w:p>
      <w:pPr>
        <w:pStyle w:val="BodyText"/>
        <w:ind w:left="826" w:right="449" w:hanging="567"/>
      </w:pPr>
      <w:r>
        <w:rPr/>
        <w:t>4.1.1(j) The estimated total amount to be raised by each type of service rate or charge, and the estimated total amount to be raised by service rates and charges, compared with the previous financial year</w:t>
      </w:r>
    </w:p>
    <w:p>
      <w:pPr>
        <w:pStyle w:val="BodyText"/>
        <w:spacing w:before="2"/>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31"/>
        <w:gridCol w:w="1365"/>
        <w:gridCol w:w="2138"/>
        <w:gridCol w:w="1583"/>
        <w:gridCol w:w="1139"/>
      </w:tblGrid>
      <w:tr>
        <w:trPr>
          <w:trHeight w:val="599" w:hRule="atLeast"/>
        </w:trPr>
        <w:tc>
          <w:tcPr>
            <w:tcW w:w="10456" w:type="dxa"/>
            <w:gridSpan w:val="5"/>
            <w:tcBorders>
              <w:top w:val="single" w:sz="4" w:space="0" w:color="000000"/>
              <w:left w:val="single" w:sz="4" w:space="0" w:color="000000"/>
              <w:right w:val="single" w:sz="4" w:space="0" w:color="000000"/>
            </w:tcBorders>
            <w:shd w:val="clear" w:color="auto" w:fill="5B9AD4"/>
          </w:tcPr>
          <w:p>
            <w:pPr>
              <w:pStyle w:val="TableParagraph"/>
              <w:tabs>
                <w:tab w:pos="6239" w:val="left" w:leader="none"/>
                <w:tab w:pos="8764" w:val="left" w:leader="none"/>
              </w:tabs>
              <w:spacing w:line="179" w:lineRule="exact" w:before="44"/>
              <w:ind w:left="4485"/>
              <w:rPr>
                <w:b/>
                <w:sz w:val="18"/>
              </w:rPr>
            </w:pPr>
            <w:r>
              <w:rPr>
                <w:b/>
                <w:color w:val="FFFFFF"/>
                <w:spacing w:val="-2"/>
                <w:sz w:val="18"/>
              </w:rPr>
              <w:t>2023/2024</w:t>
            </w:r>
            <w:r>
              <w:rPr>
                <w:b/>
                <w:color w:val="FFFFFF"/>
                <w:sz w:val="18"/>
              </w:rPr>
              <w:tab/>
            </w:r>
            <w:r>
              <w:rPr>
                <w:b/>
                <w:color w:val="FFFFFF"/>
                <w:spacing w:val="-2"/>
                <w:sz w:val="18"/>
              </w:rPr>
              <w:t>2024/2025</w:t>
            </w:r>
            <w:r>
              <w:rPr>
                <w:b/>
                <w:color w:val="FFFFFF"/>
                <w:sz w:val="18"/>
              </w:rPr>
              <w:tab/>
            </w:r>
            <w:r>
              <w:rPr>
                <w:b/>
                <w:color w:val="FFFFFF"/>
                <w:spacing w:val="-2"/>
                <w:sz w:val="18"/>
              </w:rPr>
              <w:t>Change</w:t>
            </w:r>
          </w:p>
          <w:p>
            <w:pPr>
              <w:pStyle w:val="TableParagraph"/>
              <w:spacing w:line="150" w:lineRule="exact"/>
              <w:ind w:left="1485"/>
              <w:rPr>
                <w:b/>
                <w:sz w:val="18"/>
              </w:rPr>
            </w:pPr>
            <w:r>
              <w:rPr>
                <w:b/>
                <w:color w:val="FFFFFF"/>
                <w:sz w:val="18"/>
              </w:rPr>
              <w:t>Type</w:t>
            </w:r>
            <w:r>
              <w:rPr>
                <w:b/>
                <w:color w:val="FFFFFF"/>
                <w:spacing w:val="2"/>
                <w:sz w:val="18"/>
              </w:rPr>
              <w:t> </w:t>
            </w:r>
            <w:r>
              <w:rPr>
                <w:b/>
                <w:color w:val="FFFFFF"/>
                <w:sz w:val="18"/>
              </w:rPr>
              <w:t>of</w:t>
            </w:r>
            <w:r>
              <w:rPr>
                <w:b/>
                <w:color w:val="FFFFFF"/>
                <w:spacing w:val="-2"/>
                <w:sz w:val="18"/>
              </w:rPr>
              <w:t> Charge</w:t>
            </w:r>
          </w:p>
          <w:p>
            <w:pPr>
              <w:pStyle w:val="TableParagraph"/>
              <w:tabs>
                <w:tab w:pos="6616" w:val="left" w:leader="none"/>
                <w:tab w:pos="8366" w:val="left" w:leader="none"/>
                <w:tab w:pos="9698" w:val="left" w:leader="none"/>
              </w:tabs>
              <w:spacing w:line="178" w:lineRule="exact"/>
              <w:ind w:left="4862"/>
              <w:rPr>
                <w:b/>
                <w:sz w:val="18"/>
              </w:rPr>
            </w:pPr>
            <w:r>
              <w:rPr>
                <w:b/>
                <w:color w:val="FFFFFF"/>
                <w:spacing w:val="-10"/>
                <w:sz w:val="18"/>
              </w:rPr>
              <w:t>$</w:t>
            </w:r>
            <w:r>
              <w:rPr>
                <w:b/>
                <w:color w:val="FFFFFF"/>
                <w:sz w:val="18"/>
              </w:rPr>
              <w:tab/>
            </w:r>
            <w:r>
              <w:rPr>
                <w:b/>
                <w:color w:val="FFFFFF"/>
                <w:spacing w:val="-10"/>
                <w:sz w:val="18"/>
              </w:rPr>
              <w:t>$</w:t>
            </w:r>
            <w:r>
              <w:rPr>
                <w:b/>
                <w:color w:val="FFFFFF"/>
                <w:sz w:val="18"/>
              </w:rPr>
              <w:tab/>
            </w:r>
            <w:r>
              <w:rPr>
                <w:b/>
                <w:color w:val="FFFFFF"/>
                <w:spacing w:val="-10"/>
                <w:sz w:val="18"/>
              </w:rPr>
              <w:t>$</w:t>
            </w:r>
            <w:r>
              <w:rPr>
                <w:b/>
                <w:color w:val="FFFFFF"/>
                <w:sz w:val="18"/>
              </w:rPr>
              <w:tab/>
            </w:r>
            <w:r>
              <w:rPr>
                <w:b/>
                <w:color w:val="FFFFFF"/>
                <w:spacing w:val="-10"/>
                <w:sz w:val="18"/>
              </w:rPr>
              <w:t>%</w:t>
            </w:r>
          </w:p>
        </w:tc>
      </w:tr>
      <w:tr>
        <w:trPr>
          <w:trHeight w:val="301" w:hRule="atLeast"/>
        </w:trPr>
        <w:tc>
          <w:tcPr>
            <w:tcW w:w="4231" w:type="dxa"/>
            <w:tcBorders>
              <w:left w:val="single" w:sz="4" w:space="0" w:color="000000"/>
            </w:tcBorders>
          </w:tcPr>
          <w:p>
            <w:pPr>
              <w:pStyle w:val="TableParagraph"/>
              <w:spacing w:before="33"/>
              <w:ind w:left="107"/>
              <w:rPr>
                <w:sz w:val="20"/>
              </w:rPr>
            </w:pPr>
            <w:r>
              <w:rPr>
                <w:sz w:val="20"/>
              </w:rPr>
              <w:t>Residential</w:t>
            </w:r>
            <w:r>
              <w:rPr>
                <w:spacing w:val="-8"/>
                <w:sz w:val="20"/>
              </w:rPr>
              <w:t> </w:t>
            </w:r>
            <w:r>
              <w:rPr>
                <w:sz w:val="20"/>
              </w:rPr>
              <w:t>80</w:t>
            </w:r>
            <w:r>
              <w:rPr>
                <w:spacing w:val="-7"/>
                <w:sz w:val="20"/>
              </w:rPr>
              <w:t> </w:t>
            </w:r>
            <w:r>
              <w:rPr>
                <w:sz w:val="20"/>
              </w:rPr>
              <w:t>Litre</w:t>
            </w:r>
            <w:r>
              <w:rPr>
                <w:spacing w:val="-7"/>
                <w:sz w:val="20"/>
              </w:rPr>
              <w:t> </w:t>
            </w:r>
            <w:r>
              <w:rPr>
                <w:spacing w:val="-4"/>
                <w:sz w:val="20"/>
              </w:rPr>
              <w:t>Bins</w:t>
            </w:r>
          </w:p>
        </w:tc>
        <w:tc>
          <w:tcPr>
            <w:tcW w:w="1365" w:type="dxa"/>
          </w:tcPr>
          <w:p>
            <w:pPr>
              <w:pStyle w:val="TableParagraph"/>
              <w:spacing w:before="33"/>
              <w:ind w:right="104"/>
              <w:jc w:val="right"/>
              <w:rPr>
                <w:sz w:val="20"/>
              </w:rPr>
            </w:pPr>
            <w:r>
              <w:rPr>
                <w:spacing w:val="-2"/>
                <w:sz w:val="20"/>
              </w:rPr>
              <w:t>3,831,324</w:t>
            </w:r>
          </w:p>
        </w:tc>
        <w:tc>
          <w:tcPr>
            <w:tcW w:w="2138" w:type="dxa"/>
            <w:shd w:val="clear" w:color="auto" w:fill="DDEBF6"/>
          </w:tcPr>
          <w:p>
            <w:pPr>
              <w:pStyle w:val="TableParagraph"/>
              <w:spacing w:before="33"/>
              <w:ind w:right="98"/>
              <w:jc w:val="right"/>
              <w:rPr>
                <w:b/>
                <w:sz w:val="20"/>
              </w:rPr>
            </w:pPr>
            <w:r>
              <w:rPr>
                <w:b/>
                <w:spacing w:val="-2"/>
                <w:sz w:val="20"/>
              </w:rPr>
              <w:t>4,008,732</w:t>
            </w:r>
          </w:p>
        </w:tc>
        <w:tc>
          <w:tcPr>
            <w:tcW w:w="1583" w:type="dxa"/>
          </w:tcPr>
          <w:p>
            <w:pPr>
              <w:pStyle w:val="TableParagraph"/>
              <w:spacing w:before="33"/>
              <w:ind w:right="322"/>
              <w:jc w:val="right"/>
              <w:rPr>
                <w:sz w:val="20"/>
              </w:rPr>
            </w:pPr>
            <w:r>
              <w:rPr>
                <w:spacing w:val="-2"/>
                <w:sz w:val="20"/>
              </w:rPr>
              <w:t>177,408</w:t>
            </w:r>
          </w:p>
        </w:tc>
        <w:tc>
          <w:tcPr>
            <w:tcW w:w="1139" w:type="dxa"/>
            <w:tcBorders>
              <w:right w:val="single" w:sz="4" w:space="0" w:color="000000"/>
            </w:tcBorders>
          </w:tcPr>
          <w:p>
            <w:pPr>
              <w:pStyle w:val="TableParagraph"/>
              <w:spacing w:before="33"/>
              <w:ind w:right="98"/>
              <w:jc w:val="right"/>
              <w:rPr>
                <w:sz w:val="20"/>
              </w:rPr>
            </w:pPr>
            <w:r>
              <w:rPr>
                <w:spacing w:val="-2"/>
                <w:sz w:val="20"/>
              </w:rPr>
              <w:t>4.63%</w:t>
            </w:r>
          </w:p>
        </w:tc>
      </w:tr>
      <w:tr>
        <w:trPr>
          <w:trHeight w:val="300" w:hRule="atLeast"/>
        </w:trPr>
        <w:tc>
          <w:tcPr>
            <w:tcW w:w="4231" w:type="dxa"/>
            <w:tcBorders>
              <w:left w:val="single" w:sz="4" w:space="0" w:color="000000"/>
            </w:tcBorders>
          </w:tcPr>
          <w:p>
            <w:pPr>
              <w:pStyle w:val="TableParagraph"/>
              <w:spacing w:before="31"/>
              <w:ind w:left="107"/>
              <w:rPr>
                <w:sz w:val="20"/>
              </w:rPr>
            </w:pPr>
            <w:r>
              <w:rPr>
                <w:sz w:val="20"/>
              </w:rPr>
              <w:t>Residential</w:t>
            </w:r>
            <w:r>
              <w:rPr>
                <w:spacing w:val="-5"/>
                <w:sz w:val="20"/>
              </w:rPr>
              <w:t> </w:t>
            </w:r>
            <w:r>
              <w:rPr>
                <w:sz w:val="20"/>
              </w:rPr>
              <w:t>120</w:t>
            </w:r>
            <w:r>
              <w:rPr>
                <w:spacing w:val="-9"/>
                <w:sz w:val="20"/>
              </w:rPr>
              <w:t> </w:t>
            </w:r>
            <w:r>
              <w:rPr>
                <w:sz w:val="20"/>
              </w:rPr>
              <w:t>Litre</w:t>
            </w:r>
            <w:r>
              <w:rPr>
                <w:spacing w:val="-7"/>
                <w:sz w:val="20"/>
              </w:rPr>
              <w:t> </w:t>
            </w:r>
            <w:r>
              <w:rPr>
                <w:spacing w:val="-4"/>
                <w:sz w:val="20"/>
              </w:rPr>
              <w:t>Bins</w:t>
            </w:r>
          </w:p>
        </w:tc>
        <w:tc>
          <w:tcPr>
            <w:tcW w:w="1365" w:type="dxa"/>
          </w:tcPr>
          <w:p>
            <w:pPr>
              <w:pStyle w:val="TableParagraph"/>
              <w:spacing w:before="31"/>
              <w:ind w:right="105"/>
              <w:jc w:val="right"/>
              <w:rPr>
                <w:sz w:val="20"/>
              </w:rPr>
            </w:pPr>
            <w:r>
              <w:rPr>
                <w:spacing w:val="-2"/>
                <w:sz w:val="20"/>
              </w:rPr>
              <w:t>14,795,228</w:t>
            </w:r>
          </w:p>
        </w:tc>
        <w:tc>
          <w:tcPr>
            <w:tcW w:w="2138" w:type="dxa"/>
            <w:shd w:val="clear" w:color="auto" w:fill="DDEBF6"/>
          </w:tcPr>
          <w:p>
            <w:pPr>
              <w:pStyle w:val="TableParagraph"/>
              <w:spacing w:before="31"/>
              <w:ind w:right="99"/>
              <w:jc w:val="right"/>
              <w:rPr>
                <w:b/>
                <w:sz w:val="20"/>
              </w:rPr>
            </w:pPr>
            <w:r>
              <w:rPr>
                <w:b/>
                <w:spacing w:val="-2"/>
                <w:sz w:val="20"/>
              </w:rPr>
              <w:t>15,118,622</w:t>
            </w:r>
          </w:p>
        </w:tc>
        <w:tc>
          <w:tcPr>
            <w:tcW w:w="1583" w:type="dxa"/>
          </w:tcPr>
          <w:p>
            <w:pPr>
              <w:pStyle w:val="TableParagraph"/>
              <w:spacing w:before="31"/>
              <w:ind w:right="322"/>
              <w:jc w:val="right"/>
              <w:rPr>
                <w:sz w:val="20"/>
              </w:rPr>
            </w:pPr>
            <w:r>
              <w:rPr>
                <w:spacing w:val="-2"/>
                <w:sz w:val="20"/>
              </w:rPr>
              <w:t>323,394</w:t>
            </w:r>
          </w:p>
        </w:tc>
        <w:tc>
          <w:tcPr>
            <w:tcW w:w="1139" w:type="dxa"/>
            <w:tcBorders>
              <w:right w:val="single" w:sz="4" w:space="0" w:color="000000"/>
            </w:tcBorders>
          </w:tcPr>
          <w:p>
            <w:pPr>
              <w:pStyle w:val="TableParagraph"/>
              <w:spacing w:before="31"/>
              <w:ind w:right="98"/>
              <w:jc w:val="right"/>
              <w:rPr>
                <w:sz w:val="20"/>
              </w:rPr>
            </w:pPr>
            <w:r>
              <w:rPr>
                <w:spacing w:val="-2"/>
                <w:sz w:val="20"/>
              </w:rPr>
              <w:t>2.19%</w:t>
            </w:r>
          </w:p>
        </w:tc>
      </w:tr>
      <w:tr>
        <w:trPr>
          <w:trHeight w:val="300" w:hRule="atLeast"/>
        </w:trPr>
        <w:tc>
          <w:tcPr>
            <w:tcW w:w="4231" w:type="dxa"/>
            <w:tcBorders>
              <w:left w:val="single" w:sz="4" w:space="0" w:color="000000"/>
            </w:tcBorders>
          </w:tcPr>
          <w:p>
            <w:pPr>
              <w:pStyle w:val="TableParagraph"/>
              <w:spacing w:before="31"/>
              <w:ind w:left="107"/>
              <w:rPr>
                <w:sz w:val="20"/>
              </w:rPr>
            </w:pPr>
            <w:r>
              <w:rPr>
                <w:sz w:val="20"/>
              </w:rPr>
              <w:t>Second</w:t>
            </w:r>
            <w:r>
              <w:rPr>
                <w:spacing w:val="-10"/>
                <w:sz w:val="20"/>
              </w:rPr>
              <w:t> </w:t>
            </w:r>
            <w:r>
              <w:rPr>
                <w:sz w:val="20"/>
              </w:rPr>
              <w:t>and</w:t>
            </w:r>
            <w:r>
              <w:rPr>
                <w:spacing w:val="-7"/>
                <w:sz w:val="20"/>
              </w:rPr>
              <w:t> </w:t>
            </w:r>
            <w:r>
              <w:rPr>
                <w:sz w:val="20"/>
              </w:rPr>
              <w:t>Subsequent</w:t>
            </w:r>
            <w:r>
              <w:rPr>
                <w:spacing w:val="-6"/>
                <w:sz w:val="20"/>
              </w:rPr>
              <w:t> </w:t>
            </w:r>
            <w:r>
              <w:rPr>
                <w:spacing w:val="-4"/>
                <w:sz w:val="20"/>
              </w:rPr>
              <w:t>Bins*</w:t>
            </w:r>
          </w:p>
        </w:tc>
        <w:tc>
          <w:tcPr>
            <w:tcW w:w="1365" w:type="dxa"/>
          </w:tcPr>
          <w:p>
            <w:pPr>
              <w:pStyle w:val="TableParagraph"/>
              <w:spacing w:before="31"/>
              <w:ind w:right="105"/>
              <w:jc w:val="right"/>
              <w:rPr>
                <w:sz w:val="20"/>
              </w:rPr>
            </w:pPr>
            <w:r>
              <w:rPr>
                <w:spacing w:val="-2"/>
                <w:sz w:val="20"/>
              </w:rPr>
              <w:t>182,910</w:t>
            </w:r>
          </w:p>
        </w:tc>
        <w:tc>
          <w:tcPr>
            <w:tcW w:w="2138" w:type="dxa"/>
            <w:shd w:val="clear" w:color="auto" w:fill="DDEBF6"/>
          </w:tcPr>
          <w:p>
            <w:pPr>
              <w:pStyle w:val="TableParagraph"/>
              <w:spacing w:before="31"/>
              <w:ind w:right="99"/>
              <w:jc w:val="right"/>
              <w:rPr>
                <w:b/>
                <w:sz w:val="20"/>
              </w:rPr>
            </w:pPr>
            <w:r>
              <w:rPr>
                <w:b/>
                <w:spacing w:val="-2"/>
                <w:sz w:val="20"/>
              </w:rPr>
              <w:t>121,900</w:t>
            </w:r>
          </w:p>
        </w:tc>
        <w:tc>
          <w:tcPr>
            <w:tcW w:w="1583" w:type="dxa"/>
          </w:tcPr>
          <w:p>
            <w:pPr>
              <w:pStyle w:val="TableParagraph"/>
              <w:spacing w:before="31"/>
              <w:ind w:right="321"/>
              <w:jc w:val="right"/>
              <w:rPr>
                <w:sz w:val="20"/>
              </w:rPr>
            </w:pPr>
            <w:r>
              <w:rPr>
                <w:spacing w:val="-2"/>
                <w:sz w:val="20"/>
              </w:rPr>
              <w:t>(61,010)</w:t>
            </w:r>
          </w:p>
        </w:tc>
        <w:tc>
          <w:tcPr>
            <w:tcW w:w="1139" w:type="dxa"/>
            <w:tcBorders>
              <w:right w:val="single" w:sz="4" w:space="0" w:color="000000"/>
            </w:tcBorders>
          </w:tcPr>
          <w:p>
            <w:pPr>
              <w:pStyle w:val="TableParagraph"/>
              <w:spacing w:before="31"/>
              <w:ind w:right="97"/>
              <w:jc w:val="right"/>
              <w:rPr>
                <w:sz w:val="20"/>
              </w:rPr>
            </w:pPr>
            <w:r>
              <w:rPr>
                <w:spacing w:val="-2"/>
                <w:sz w:val="20"/>
              </w:rPr>
              <w:t>(33.4%)</w:t>
            </w:r>
          </w:p>
        </w:tc>
      </w:tr>
      <w:tr>
        <w:trPr>
          <w:trHeight w:val="300" w:hRule="atLeast"/>
        </w:trPr>
        <w:tc>
          <w:tcPr>
            <w:tcW w:w="4231" w:type="dxa"/>
            <w:tcBorders>
              <w:left w:val="single" w:sz="4" w:space="0" w:color="000000"/>
            </w:tcBorders>
          </w:tcPr>
          <w:p>
            <w:pPr>
              <w:pStyle w:val="TableParagraph"/>
              <w:spacing w:before="31"/>
              <w:ind w:left="107"/>
              <w:rPr>
                <w:sz w:val="20"/>
              </w:rPr>
            </w:pPr>
            <w:r>
              <w:rPr>
                <w:sz w:val="20"/>
              </w:rPr>
              <w:t>Additional</w:t>
            </w:r>
            <w:r>
              <w:rPr>
                <w:spacing w:val="-9"/>
                <w:sz w:val="20"/>
              </w:rPr>
              <w:t> </w:t>
            </w:r>
            <w:r>
              <w:rPr>
                <w:sz w:val="20"/>
              </w:rPr>
              <w:t>Residential</w:t>
            </w:r>
            <w:r>
              <w:rPr>
                <w:spacing w:val="-7"/>
                <w:sz w:val="20"/>
              </w:rPr>
              <w:t> </w:t>
            </w:r>
            <w:r>
              <w:rPr>
                <w:sz w:val="20"/>
              </w:rPr>
              <w:t>120</w:t>
            </w:r>
            <w:r>
              <w:rPr>
                <w:spacing w:val="-7"/>
                <w:sz w:val="20"/>
              </w:rPr>
              <w:t> </w:t>
            </w:r>
            <w:r>
              <w:rPr>
                <w:sz w:val="20"/>
              </w:rPr>
              <w:t>Litre</w:t>
            </w:r>
            <w:r>
              <w:rPr>
                <w:spacing w:val="-7"/>
                <w:sz w:val="20"/>
              </w:rPr>
              <w:t> </w:t>
            </w:r>
            <w:r>
              <w:rPr>
                <w:spacing w:val="-4"/>
                <w:sz w:val="20"/>
              </w:rPr>
              <w:t>Bin*</w:t>
            </w:r>
          </w:p>
        </w:tc>
        <w:tc>
          <w:tcPr>
            <w:tcW w:w="1365" w:type="dxa"/>
          </w:tcPr>
          <w:p>
            <w:pPr>
              <w:pStyle w:val="TableParagraph"/>
              <w:spacing w:before="31"/>
              <w:ind w:right="104"/>
              <w:jc w:val="right"/>
              <w:rPr>
                <w:sz w:val="20"/>
              </w:rPr>
            </w:pPr>
            <w:r>
              <w:rPr>
                <w:spacing w:val="-2"/>
                <w:sz w:val="20"/>
              </w:rPr>
              <w:t>113,568</w:t>
            </w:r>
          </w:p>
        </w:tc>
        <w:tc>
          <w:tcPr>
            <w:tcW w:w="2138" w:type="dxa"/>
            <w:shd w:val="clear" w:color="auto" w:fill="DDEBF6"/>
          </w:tcPr>
          <w:p>
            <w:pPr>
              <w:pStyle w:val="TableParagraph"/>
              <w:spacing w:before="31"/>
              <w:ind w:right="99"/>
              <w:jc w:val="right"/>
              <w:rPr>
                <w:b/>
                <w:sz w:val="20"/>
              </w:rPr>
            </w:pPr>
            <w:r>
              <w:rPr>
                <w:b/>
                <w:spacing w:val="-2"/>
                <w:sz w:val="20"/>
              </w:rPr>
              <w:t>156,514</w:t>
            </w:r>
          </w:p>
        </w:tc>
        <w:tc>
          <w:tcPr>
            <w:tcW w:w="1583" w:type="dxa"/>
          </w:tcPr>
          <w:p>
            <w:pPr>
              <w:pStyle w:val="TableParagraph"/>
              <w:spacing w:before="31"/>
              <w:ind w:right="322"/>
              <w:jc w:val="right"/>
              <w:rPr>
                <w:sz w:val="20"/>
              </w:rPr>
            </w:pPr>
            <w:r>
              <w:rPr>
                <w:spacing w:val="-2"/>
                <w:sz w:val="20"/>
              </w:rPr>
              <w:t>42,946</w:t>
            </w:r>
          </w:p>
        </w:tc>
        <w:tc>
          <w:tcPr>
            <w:tcW w:w="1139" w:type="dxa"/>
            <w:tcBorders>
              <w:right w:val="single" w:sz="4" w:space="0" w:color="000000"/>
            </w:tcBorders>
          </w:tcPr>
          <w:p>
            <w:pPr>
              <w:pStyle w:val="TableParagraph"/>
              <w:spacing w:before="31"/>
              <w:ind w:right="98"/>
              <w:jc w:val="right"/>
              <w:rPr>
                <w:sz w:val="20"/>
              </w:rPr>
            </w:pPr>
            <w:r>
              <w:rPr>
                <w:spacing w:val="-2"/>
                <w:sz w:val="20"/>
              </w:rPr>
              <w:t>37.82%</w:t>
            </w:r>
          </w:p>
        </w:tc>
      </w:tr>
      <w:tr>
        <w:trPr>
          <w:trHeight w:val="298" w:hRule="atLeast"/>
        </w:trPr>
        <w:tc>
          <w:tcPr>
            <w:tcW w:w="4231" w:type="dxa"/>
            <w:tcBorders>
              <w:left w:val="single" w:sz="4" w:space="0" w:color="000000"/>
            </w:tcBorders>
          </w:tcPr>
          <w:p>
            <w:pPr>
              <w:pStyle w:val="TableParagraph"/>
              <w:spacing w:before="31"/>
              <w:ind w:left="107"/>
              <w:rPr>
                <w:sz w:val="20"/>
              </w:rPr>
            </w:pPr>
            <w:r>
              <w:rPr>
                <w:sz w:val="20"/>
              </w:rPr>
              <w:t>Additional</w:t>
            </w:r>
            <w:r>
              <w:rPr>
                <w:spacing w:val="-11"/>
                <w:sz w:val="20"/>
              </w:rPr>
              <w:t> </w:t>
            </w:r>
            <w:r>
              <w:rPr>
                <w:sz w:val="20"/>
              </w:rPr>
              <w:t>Residential</w:t>
            </w:r>
            <w:r>
              <w:rPr>
                <w:spacing w:val="-8"/>
                <w:sz w:val="20"/>
              </w:rPr>
              <w:t> </w:t>
            </w:r>
            <w:r>
              <w:rPr>
                <w:sz w:val="20"/>
              </w:rPr>
              <w:t>Garden</w:t>
            </w:r>
            <w:r>
              <w:rPr>
                <w:spacing w:val="-11"/>
                <w:sz w:val="20"/>
              </w:rPr>
              <w:t> </w:t>
            </w:r>
            <w:r>
              <w:rPr>
                <w:spacing w:val="-2"/>
                <w:sz w:val="20"/>
              </w:rPr>
              <w:t>Organics*</w:t>
            </w:r>
          </w:p>
        </w:tc>
        <w:tc>
          <w:tcPr>
            <w:tcW w:w="1365" w:type="dxa"/>
          </w:tcPr>
          <w:p>
            <w:pPr>
              <w:pStyle w:val="TableParagraph"/>
              <w:spacing w:before="31"/>
              <w:ind w:right="105"/>
              <w:jc w:val="right"/>
              <w:rPr>
                <w:sz w:val="20"/>
              </w:rPr>
            </w:pPr>
            <w:r>
              <w:rPr>
                <w:spacing w:val="-2"/>
                <w:sz w:val="20"/>
              </w:rPr>
              <w:t>169,970</w:t>
            </w:r>
          </w:p>
        </w:tc>
        <w:tc>
          <w:tcPr>
            <w:tcW w:w="2138" w:type="dxa"/>
            <w:shd w:val="clear" w:color="auto" w:fill="DDEBF6"/>
          </w:tcPr>
          <w:p>
            <w:pPr>
              <w:pStyle w:val="TableParagraph"/>
              <w:spacing w:before="31"/>
              <w:ind w:right="99"/>
              <w:jc w:val="right"/>
              <w:rPr>
                <w:b/>
                <w:sz w:val="20"/>
              </w:rPr>
            </w:pPr>
            <w:r>
              <w:rPr>
                <w:b/>
                <w:spacing w:val="-2"/>
                <w:sz w:val="20"/>
              </w:rPr>
              <w:t>212,290</w:t>
            </w:r>
          </w:p>
        </w:tc>
        <w:tc>
          <w:tcPr>
            <w:tcW w:w="1583" w:type="dxa"/>
          </w:tcPr>
          <w:p>
            <w:pPr>
              <w:pStyle w:val="TableParagraph"/>
              <w:spacing w:before="31"/>
              <w:ind w:right="322"/>
              <w:jc w:val="right"/>
              <w:rPr>
                <w:sz w:val="20"/>
              </w:rPr>
            </w:pPr>
            <w:r>
              <w:rPr>
                <w:spacing w:val="-2"/>
                <w:sz w:val="20"/>
              </w:rPr>
              <w:t>42,320</w:t>
            </w:r>
          </w:p>
        </w:tc>
        <w:tc>
          <w:tcPr>
            <w:tcW w:w="1139" w:type="dxa"/>
            <w:tcBorders>
              <w:right w:val="single" w:sz="4" w:space="0" w:color="000000"/>
            </w:tcBorders>
          </w:tcPr>
          <w:p>
            <w:pPr>
              <w:pStyle w:val="TableParagraph"/>
              <w:spacing w:before="31"/>
              <w:ind w:right="98"/>
              <w:jc w:val="right"/>
              <w:rPr>
                <w:sz w:val="20"/>
              </w:rPr>
            </w:pPr>
            <w:r>
              <w:rPr>
                <w:spacing w:val="-2"/>
                <w:sz w:val="20"/>
              </w:rPr>
              <w:t>24.90%</w:t>
            </w:r>
          </w:p>
        </w:tc>
      </w:tr>
      <w:tr>
        <w:trPr>
          <w:trHeight w:val="300" w:hRule="atLeast"/>
        </w:trPr>
        <w:tc>
          <w:tcPr>
            <w:tcW w:w="4231" w:type="dxa"/>
            <w:tcBorders>
              <w:left w:val="single" w:sz="4" w:space="0" w:color="000000"/>
            </w:tcBorders>
          </w:tcPr>
          <w:p>
            <w:pPr>
              <w:pStyle w:val="TableParagraph"/>
              <w:spacing w:before="33"/>
              <w:ind w:left="107"/>
              <w:rPr>
                <w:sz w:val="20"/>
              </w:rPr>
            </w:pPr>
            <w:r>
              <w:rPr>
                <w:sz w:val="20"/>
              </w:rPr>
              <w:t>Commercial</w:t>
            </w:r>
            <w:r>
              <w:rPr>
                <w:spacing w:val="-8"/>
                <w:sz w:val="20"/>
              </w:rPr>
              <w:t> </w:t>
            </w:r>
            <w:r>
              <w:rPr>
                <w:sz w:val="20"/>
              </w:rPr>
              <w:t>240</w:t>
            </w:r>
            <w:r>
              <w:rPr>
                <w:spacing w:val="-7"/>
                <w:sz w:val="20"/>
              </w:rPr>
              <w:t> </w:t>
            </w:r>
            <w:r>
              <w:rPr>
                <w:sz w:val="20"/>
              </w:rPr>
              <w:t>Litre</w:t>
            </w:r>
            <w:r>
              <w:rPr>
                <w:spacing w:val="-5"/>
                <w:sz w:val="20"/>
              </w:rPr>
              <w:t> </w:t>
            </w:r>
            <w:r>
              <w:rPr>
                <w:spacing w:val="-2"/>
                <w:sz w:val="20"/>
              </w:rPr>
              <w:t>Service</w:t>
            </w:r>
          </w:p>
        </w:tc>
        <w:tc>
          <w:tcPr>
            <w:tcW w:w="6225" w:type="dxa"/>
            <w:gridSpan w:val="4"/>
            <w:tcBorders>
              <w:right w:val="single" w:sz="4" w:space="0" w:color="000000"/>
            </w:tcBorders>
            <w:shd w:val="clear" w:color="auto" w:fill="D8D8D8"/>
          </w:tcPr>
          <w:p>
            <w:pPr>
              <w:pStyle w:val="TableParagraph"/>
              <w:ind w:right="-72"/>
              <w:rPr>
                <w:sz w:val="20"/>
              </w:rPr>
            </w:pPr>
            <w:r>
              <w:rPr>
                <w:sz w:val="20"/>
              </w:rPr>
              <w:pict>
                <v:group style="width:311.05pt;height:15pt;mso-position-horizontal-relative:char;mso-position-vertical-relative:line" id="docshapegroup58" coordorigin="0,0" coordsize="6221,300">
                  <v:shape style="position:absolute;left:-1;top:0;width:6221;height:300" id="docshape59" coordorigin="0,0" coordsize="6221,300" path="m6221,0l4870,0,3504,0,1366,0,0,0,0,300,1366,300,3504,300,4870,300,6221,300,6221,0xe" filled="true" fillcolor="#d8d8d8" stroked="false">
                    <v:path arrowok="t"/>
                    <v:fill type="solid"/>
                  </v:shape>
                </v:group>
              </w:pict>
            </w:r>
            <w:r>
              <w:rPr>
                <w:sz w:val="20"/>
              </w:rPr>
            </w:r>
          </w:p>
        </w:tc>
      </w:tr>
      <w:tr>
        <w:trPr>
          <w:trHeight w:val="276" w:hRule="atLeast"/>
        </w:trPr>
        <w:tc>
          <w:tcPr>
            <w:tcW w:w="4231" w:type="dxa"/>
            <w:tcBorders>
              <w:left w:val="single" w:sz="4" w:space="0" w:color="000000"/>
            </w:tcBorders>
          </w:tcPr>
          <w:p>
            <w:pPr>
              <w:pStyle w:val="TableParagraph"/>
              <w:spacing w:before="8"/>
              <w:ind w:left="549"/>
              <w:rPr>
                <w:sz w:val="20"/>
              </w:rPr>
            </w:pPr>
            <w:r>
              <w:rPr>
                <w:sz w:val="20"/>
              </w:rPr>
              <w:t>One</w:t>
            </w:r>
            <w:r>
              <w:rPr>
                <w:spacing w:val="-5"/>
                <w:sz w:val="20"/>
              </w:rPr>
              <w:t> </w:t>
            </w:r>
            <w:r>
              <w:rPr>
                <w:sz w:val="20"/>
              </w:rPr>
              <w:t>per</w:t>
            </w:r>
            <w:r>
              <w:rPr>
                <w:spacing w:val="-3"/>
                <w:sz w:val="20"/>
              </w:rPr>
              <w:t> </w:t>
            </w:r>
            <w:r>
              <w:rPr>
                <w:sz w:val="20"/>
              </w:rPr>
              <w:t>week </w:t>
            </w:r>
            <w:r>
              <w:rPr>
                <w:spacing w:val="-10"/>
                <w:sz w:val="20"/>
              </w:rPr>
              <w:t>#</w:t>
            </w:r>
          </w:p>
        </w:tc>
        <w:tc>
          <w:tcPr>
            <w:tcW w:w="1365" w:type="dxa"/>
          </w:tcPr>
          <w:p>
            <w:pPr>
              <w:pStyle w:val="TableParagraph"/>
              <w:spacing w:before="8"/>
              <w:ind w:right="105"/>
              <w:jc w:val="right"/>
              <w:rPr>
                <w:sz w:val="20"/>
              </w:rPr>
            </w:pPr>
            <w:r>
              <w:rPr>
                <w:spacing w:val="-2"/>
                <w:sz w:val="20"/>
              </w:rPr>
              <w:t>488,323</w:t>
            </w:r>
          </w:p>
        </w:tc>
        <w:tc>
          <w:tcPr>
            <w:tcW w:w="2138" w:type="dxa"/>
            <w:shd w:val="clear" w:color="auto" w:fill="DDEBF6"/>
          </w:tcPr>
          <w:p>
            <w:pPr>
              <w:pStyle w:val="TableParagraph"/>
              <w:spacing w:before="8"/>
              <w:ind w:right="99"/>
              <w:jc w:val="right"/>
              <w:rPr>
                <w:b/>
                <w:sz w:val="20"/>
              </w:rPr>
            </w:pPr>
            <w:r>
              <w:rPr>
                <w:b/>
                <w:spacing w:val="-2"/>
                <w:sz w:val="20"/>
              </w:rPr>
              <w:t>499,892</w:t>
            </w:r>
          </w:p>
        </w:tc>
        <w:tc>
          <w:tcPr>
            <w:tcW w:w="1583" w:type="dxa"/>
          </w:tcPr>
          <w:p>
            <w:pPr>
              <w:pStyle w:val="TableParagraph"/>
              <w:spacing w:before="8"/>
              <w:ind w:right="322"/>
              <w:jc w:val="right"/>
              <w:rPr>
                <w:sz w:val="20"/>
              </w:rPr>
            </w:pPr>
            <w:r>
              <w:rPr>
                <w:spacing w:val="-2"/>
                <w:sz w:val="20"/>
              </w:rPr>
              <w:t>11,569</w:t>
            </w:r>
          </w:p>
        </w:tc>
        <w:tc>
          <w:tcPr>
            <w:tcW w:w="1139" w:type="dxa"/>
            <w:tcBorders>
              <w:right w:val="single" w:sz="4" w:space="0" w:color="000000"/>
            </w:tcBorders>
          </w:tcPr>
          <w:p>
            <w:pPr>
              <w:pStyle w:val="TableParagraph"/>
              <w:spacing w:before="8"/>
              <w:ind w:right="98"/>
              <w:jc w:val="right"/>
              <w:rPr>
                <w:sz w:val="20"/>
              </w:rPr>
            </w:pPr>
            <w:r>
              <w:rPr>
                <w:spacing w:val="-2"/>
                <w:sz w:val="20"/>
              </w:rPr>
              <w:t>2.37%</w:t>
            </w:r>
          </w:p>
        </w:tc>
      </w:tr>
      <w:tr>
        <w:trPr>
          <w:trHeight w:val="300" w:hRule="atLeast"/>
        </w:trPr>
        <w:tc>
          <w:tcPr>
            <w:tcW w:w="4231" w:type="dxa"/>
            <w:tcBorders>
              <w:left w:val="single" w:sz="4" w:space="0" w:color="000000"/>
            </w:tcBorders>
          </w:tcPr>
          <w:p>
            <w:pPr>
              <w:pStyle w:val="TableParagraph"/>
              <w:spacing w:before="31"/>
              <w:ind w:left="549"/>
              <w:rPr>
                <w:sz w:val="20"/>
              </w:rPr>
            </w:pPr>
            <w:r>
              <w:rPr>
                <w:sz w:val="20"/>
              </w:rPr>
              <w:t>Three</w:t>
            </w:r>
            <w:r>
              <w:rPr>
                <w:spacing w:val="-6"/>
                <w:sz w:val="20"/>
              </w:rPr>
              <w:t> </w:t>
            </w:r>
            <w:r>
              <w:rPr>
                <w:sz w:val="20"/>
              </w:rPr>
              <w:t>times</w:t>
            </w:r>
            <w:r>
              <w:rPr>
                <w:spacing w:val="-3"/>
                <w:sz w:val="20"/>
              </w:rPr>
              <w:t> </w:t>
            </w:r>
            <w:r>
              <w:rPr>
                <w:sz w:val="20"/>
              </w:rPr>
              <w:t>per</w:t>
            </w:r>
            <w:r>
              <w:rPr>
                <w:spacing w:val="-5"/>
                <w:sz w:val="20"/>
              </w:rPr>
              <w:t> </w:t>
            </w:r>
            <w:r>
              <w:rPr>
                <w:sz w:val="20"/>
              </w:rPr>
              <w:t>week</w:t>
            </w:r>
            <w:r>
              <w:rPr>
                <w:spacing w:val="-1"/>
                <w:sz w:val="20"/>
              </w:rPr>
              <w:t> </w:t>
            </w:r>
            <w:r>
              <w:rPr>
                <w:spacing w:val="-10"/>
                <w:sz w:val="20"/>
              </w:rPr>
              <w:t>#</w:t>
            </w:r>
          </w:p>
        </w:tc>
        <w:tc>
          <w:tcPr>
            <w:tcW w:w="1365" w:type="dxa"/>
          </w:tcPr>
          <w:p>
            <w:pPr>
              <w:pStyle w:val="TableParagraph"/>
              <w:spacing w:before="31"/>
              <w:ind w:right="105"/>
              <w:jc w:val="right"/>
              <w:rPr>
                <w:sz w:val="20"/>
              </w:rPr>
            </w:pPr>
            <w:r>
              <w:rPr>
                <w:spacing w:val="-2"/>
                <w:sz w:val="20"/>
              </w:rPr>
              <w:t>192,436</w:t>
            </w:r>
          </w:p>
        </w:tc>
        <w:tc>
          <w:tcPr>
            <w:tcW w:w="2138" w:type="dxa"/>
            <w:shd w:val="clear" w:color="auto" w:fill="DDEBF6"/>
          </w:tcPr>
          <w:p>
            <w:pPr>
              <w:pStyle w:val="TableParagraph"/>
              <w:spacing w:before="31"/>
              <w:ind w:right="99"/>
              <w:jc w:val="right"/>
              <w:rPr>
                <w:b/>
                <w:sz w:val="20"/>
              </w:rPr>
            </w:pPr>
            <w:r>
              <w:rPr>
                <w:b/>
                <w:spacing w:val="-2"/>
                <w:sz w:val="20"/>
              </w:rPr>
              <w:t>198,697</w:t>
            </w:r>
          </w:p>
        </w:tc>
        <w:tc>
          <w:tcPr>
            <w:tcW w:w="1583" w:type="dxa"/>
          </w:tcPr>
          <w:p>
            <w:pPr>
              <w:pStyle w:val="TableParagraph"/>
              <w:spacing w:before="31"/>
              <w:ind w:right="321"/>
              <w:jc w:val="right"/>
              <w:rPr>
                <w:sz w:val="20"/>
              </w:rPr>
            </w:pPr>
            <w:r>
              <w:rPr>
                <w:spacing w:val="-2"/>
                <w:sz w:val="20"/>
              </w:rPr>
              <w:t>6,261</w:t>
            </w:r>
          </w:p>
        </w:tc>
        <w:tc>
          <w:tcPr>
            <w:tcW w:w="1139" w:type="dxa"/>
            <w:tcBorders>
              <w:right w:val="single" w:sz="4" w:space="0" w:color="000000"/>
            </w:tcBorders>
          </w:tcPr>
          <w:p>
            <w:pPr>
              <w:pStyle w:val="TableParagraph"/>
              <w:spacing w:before="31"/>
              <w:ind w:right="98"/>
              <w:jc w:val="right"/>
              <w:rPr>
                <w:sz w:val="20"/>
              </w:rPr>
            </w:pPr>
            <w:r>
              <w:rPr>
                <w:spacing w:val="-2"/>
                <w:sz w:val="20"/>
              </w:rPr>
              <w:t>3.25%</w:t>
            </w:r>
          </w:p>
        </w:tc>
      </w:tr>
      <w:tr>
        <w:trPr>
          <w:trHeight w:val="300" w:hRule="atLeast"/>
        </w:trPr>
        <w:tc>
          <w:tcPr>
            <w:tcW w:w="4231" w:type="dxa"/>
            <w:tcBorders>
              <w:left w:val="single" w:sz="4" w:space="0" w:color="000000"/>
            </w:tcBorders>
          </w:tcPr>
          <w:p>
            <w:pPr>
              <w:pStyle w:val="TableParagraph"/>
              <w:spacing w:before="31"/>
              <w:ind w:left="107"/>
              <w:rPr>
                <w:sz w:val="20"/>
              </w:rPr>
            </w:pPr>
            <w:r>
              <w:rPr>
                <w:w w:val="95"/>
                <w:sz w:val="20"/>
              </w:rPr>
              <w:t>Additional</w:t>
            </w:r>
            <w:r>
              <w:rPr>
                <w:spacing w:val="58"/>
                <w:sz w:val="20"/>
              </w:rPr>
              <w:t> </w:t>
            </w:r>
            <w:r>
              <w:rPr>
                <w:w w:val="95"/>
                <w:sz w:val="20"/>
              </w:rPr>
              <w:t>Recycling-Non-residential</w:t>
            </w:r>
            <w:r>
              <w:rPr>
                <w:spacing w:val="67"/>
                <w:sz w:val="20"/>
              </w:rPr>
              <w:t> </w:t>
            </w:r>
            <w:r>
              <w:rPr>
                <w:spacing w:val="-10"/>
                <w:w w:val="95"/>
                <w:sz w:val="20"/>
              </w:rPr>
              <w:t>#</w:t>
            </w:r>
          </w:p>
        </w:tc>
        <w:tc>
          <w:tcPr>
            <w:tcW w:w="1365" w:type="dxa"/>
          </w:tcPr>
          <w:p>
            <w:pPr>
              <w:pStyle w:val="TableParagraph"/>
              <w:spacing w:before="31"/>
              <w:ind w:right="104"/>
              <w:jc w:val="right"/>
              <w:rPr>
                <w:sz w:val="20"/>
              </w:rPr>
            </w:pPr>
            <w:r>
              <w:rPr>
                <w:spacing w:val="-2"/>
                <w:sz w:val="20"/>
              </w:rPr>
              <w:t>22,230</w:t>
            </w:r>
          </w:p>
        </w:tc>
        <w:tc>
          <w:tcPr>
            <w:tcW w:w="2138" w:type="dxa"/>
            <w:shd w:val="clear" w:color="auto" w:fill="DDEBF6"/>
          </w:tcPr>
          <w:p>
            <w:pPr>
              <w:pStyle w:val="TableParagraph"/>
              <w:spacing w:before="31"/>
              <w:ind w:right="101"/>
              <w:jc w:val="right"/>
              <w:rPr>
                <w:b/>
                <w:sz w:val="20"/>
              </w:rPr>
            </w:pPr>
            <w:r>
              <w:rPr>
                <w:b/>
                <w:spacing w:val="-2"/>
                <w:sz w:val="20"/>
              </w:rPr>
              <w:t>23,119</w:t>
            </w:r>
          </w:p>
        </w:tc>
        <w:tc>
          <w:tcPr>
            <w:tcW w:w="1583" w:type="dxa"/>
          </w:tcPr>
          <w:p>
            <w:pPr>
              <w:pStyle w:val="TableParagraph"/>
              <w:spacing w:before="31"/>
              <w:ind w:right="322"/>
              <w:jc w:val="right"/>
              <w:rPr>
                <w:sz w:val="20"/>
              </w:rPr>
            </w:pPr>
            <w:r>
              <w:rPr>
                <w:spacing w:val="-5"/>
                <w:sz w:val="20"/>
              </w:rPr>
              <w:t>889</w:t>
            </w:r>
          </w:p>
        </w:tc>
        <w:tc>
          <w:tcPr>
            <w:tcW w:w="1139" w:type="dxa"/>
            <w:tcBorders>
              <w:right w:val="single" w:sz="4" w:space="0" w:color="000000"/>
            </w:tcBorders>
          </w:tcPr>
          <w:p>
            <w:pPr>
              <w:pStyle w:val="TableParagraph"/>
              <w:spacing w:before="31"/>
              <w:ind w:right="99"/>
              <w:jc w:val="right"/>
              <w:rPr>
                <w:sz w:val="20"/>
              </w:rPr>
            </w:pPr>
            <w:r>
              <w:rPr>
                <w:spacing w:val="-2"/>
                <w:sz w:val="20"/>
              </w:rPr>
              <w:t>4.00%</w:t>
            </w:r>
          </w:p>
        </w:tc>
      </w:tr>
      <w:tr>
        <w:trPr>
          <w:trHeight w:val="299" w:hRule="atLeast"/>
        </w:trPr>
        <w:tc>
          <w:tcPr>
            <w:tcW w:w="4231" w:type="dxa"/>
            <w:tcBorders>
              <w:left w:val="single" w:sz="4" w:space="0" w:color="000000"/>
            </w:tcBorders>
          </w:tcPr>
          <w:p>
            <w:pPr>
              <w:pStyle w:val="TableParagraph"/>
              <w:spacing w:before="31"/>
              <w:ind w:left="107"/>
              <w:rPr>
                <w:sz w:val="20"/>
              </w:rPr>
            </w:pPr>
            <w:r>
              <w:rPr>
                <w:sz w:val="20"/>
              </w:rPr>
              <w:t>Commercial</w:t>
            </w:r>
            <w:r>
              <w:rPr>
                <w:spacing w:val="-9"/>
                <w:sz w:val="20"/>
              </w:rPr>
              <w:t> </w:t>
            </w:r>
            <w:r>
              <w:rPr>
                <w:sz w:val="20"/>
              </w:rPr>
              <w:t>&amp;</w:t>
            </w:r>
            <w:r>
              <w:rPr>
                <w:spacing w:val="-6"/>
                <w:sz w:val="20"/>
              </w:rPr>
              <w:t> </w:t>
            </w:r>
            <w:r>
              <w:rPr>
                <w:sz w:val="20"/>
              </w:rPr>
              <w:t>Industrial</w:t>
            </w:r>
            <w:r>
              <w:rPr>
                <w:spacing w:val="-7"/>
                <w:sz w:val="20"/>
              </w:rPr>
              <w:t> </w:t>
            </w:r>
            <w:r>
              <w:rPr>
                <w:sz w:val="20"/>
              </w:rPr>
              <w:t>Garden</w:t>
            </w:r>
            <w:r>
              <w:rPr>
                <w:spacing w:val="-7"/>
                <w:sz w:val="20"/>
              </w:rPr>
              <w:t> </w:t>
            </w:r>
            <w:r>
              <w:rPr>
                <w:spacing w:val="-2"/>
                <w:sz w:val="20"/>
              </w:rPr>
              <w:t>Organics#*</w:t>
            </w:r>
          </w:p>
        </w:tc>
        <w:tc>
          <w:tcPr>
            <w:tcW w:w="1365" w:type="dxa"/>
          </w:tcPr>
          <w:p>
            <w:pPr>
              <w:pStyle w:val="TableParagraph"/>
              <w:spacing w:before="31"/>
              <w:ind w:right="104"/>
              <w:jc w:val="right"/>
              <w:rPr>
                <w:sz w:val="20"/>
              </w:rPr>
            </w:pPr>
            <w:r>
              <w:rPr>
                <w:spacing w:val="-2"/>
                <w:sz w:val="20"/>
              </w:rPr>
              <w:t>8,476</w:t>
            </w:r>
          </w:p>
        </w:tc>
        <w:tc>
          <w:tcPr>
            <w:tcW w:w="2138" w:type="dxa"/>
            <w:shd w:val="clear" w:color="auto" w:fill="DDEBF6"/>
          </w:tcPr>
          <w:p>
            <w:pPr>
              <w:pStyle w:val="TableParagraph"/>
              <w:spacing w:before="31"/>
              <w:ind w:right="99"/>
              <w:jc w:val="right"/>
              <w:rPr>
                <w:b/>
                <w:sz w:val="20"/>
              </w:rPr>
            </w:pPr>
            <w:r>
              <w:rPr>
                <w:b/>
                <w:spacing w:val="-2"/>
                <w:sz w:val="20"/>
              </w:rPr>
              <w:t>8,740</w:t>
            </w:r>
          </w:p>
        </w:tc>
        <w:tc>
          <w:tcPr>
            <w:tcW w:w="1583" w:type="dxa"/>
          </w:tcPr>
          <w:p>
            <w:pPr>
              <w:pStyle w:val="TableParagraph"/>
              <w:spacing w:before="31"/>
              <w:ind w:right="322"/>
              <w:jc w:val="right"/>
              <w:rPr>
                <w:sz w:val="20"/>
              </w:rPr>
            </w:pPr>
            <w:r>
              <w:rPr>
                <w:spacing w:val="-5"/>
                <w:sz w:val="20"/>
              </w:rPr>
              <w:t>264</w:t>
            </w:r>
          </w:p>
        </w:tc>
        <w:tc>
          <w:tcPr>
            <w:tcW w:w="1139" w:type="dxa"/>
            <w:tcBorders>
              <w:right w:val="single" w:sz="4" w:space="0" w:color="000000"/>
            </w:tcBorders>
          </w:tcPr>
          <w:p>
            <w:pPr>
              <w:pStyle w:val="TableParagraph"/>
              <w:spacing w:before="31"/>
              <w:ind w:right="99"/>
              <w:jc w:val="right"/>
              <w:rPr>
                <w:sz w:val="20"/>
              </w:rPr>
            </w:pPr>
            <w:r>
              <w:rPr>
                <w:spacing w:val="-2"/>
                <w:sz w:val="20"/>
              </w:rPr>
              <w:t>3.11%</w:t>
            </w:r>
          </w:p>
        </w:tc>
      </w:tr>
      <w:tr>
        <w:trPr>
          <w:trHeight w:val="303" w:hRule="atLeast"/>
        </w:trPr>
        <w:tc>
          <w:tcPr>
            <w:tcW w:w="4231" w:type="dxa"/>
            <w:tcBorders>
              <w:left w:val="single" w:sz="4" w:space="0" w:color="000000"/>
            </w:tcBorders>
          </w:tcPr>
          <w:p>
            <w:pPr>
              <w:pStyle w:val="TableParagraph"/>
              <w:spacing w:before="31"/>
              <w:ind w:left="107"/>
              <w:rPr>
                <w:sz w:val="20"/>
              </w:rPr>
            </w:pPr>
            <w:r>
              <w:rPr>
                <w:sz w:val="20"/>
              </w:rPr>
              <w:t>Industrial</w:t>
            </w:r>
            <w:r>
              <w:rPr>
                <w:spacing w:val="-4"/>
                <w:sz w:val="20"/>
              </w:rPr>
              <w:t> </w:t>
            </w:r>
            <w:r>
              <w:rPr>
                <w:sz w:val="20"/>
              </w:rPr>
              <w:t>120</w:t>
            </w:r>
            <w:r>
              <w:rPr>
                <w:spacing w:val="-5"/>
                <w:sz w:val="20"/>
              </w:rPr>
              <w:t> </w:t>
            </w:r>
            <w:r>
              <w:rPr>
                <w:sz w:val="20"/>
              </w:rPr>
              <w:t>Litre</w:t>
            </w:r>
            <w:r>
              <w:rPr>
                <w:spacing w:val="-7"/>
                <w:sz w:val="20"/>
              </w:rPr>
              <w:t> </w:t>
            </w:r>
            <w:r>
              <w:rPr>
                <w:sz w:val="20"/>
              </w:rPr>
              <w:t>Service</w:t>
            </w:r>
            <w:r>
              <w:rPr>
                <w:spacing w:val="-6"/>
                <w:sz w:val="20"/>
              </w:rPr>
              <w:t> </w:t>
            </w:r>
            <w:r>
              <w:rPr>
                <w:spacing w:val="-10"/>
                <w:sz w:val="20"/>
              </w:rPr>
              <w:t>#</w:t>
            </w:r>
          </w:p>
        </w:tc>
        <w:tc>
          <w:tcPr>
            <w:tcW w:w="1365" w:type="dxa"/>
          </w:tcPr>
          <w:p>
            <w:pPr>
              <w:pStyle w:val="TableParagraph"/>
              <w:spacing w:before="31"/>
              <w:ind w:right="105"/>
              <w:jc w:val="right"/>
              <w:rPr>
                <w:sz w:val="20"/>
              </w:rPr>
            </w:pPr>
            <w:r>
              <w:rPr>
                <w:spacing w:val="-2"/>
                <w:sz w:val="20"/>
              </w:rPr>
              <w:t>131,840</w:t>
            </w:r>
          </w:p>
        </w:tc>
        <w:tc>
          <w:tcPr>
            <w:tcW w:w="2138" w:type="dxa"/>
            <w:shd w:val="clear" w:color="auto" w:fill="DDEBF6"/>
          </w:tcPr>
          <w:p>
            <w:pPr>
              <w:pStyle w:val="TableParagraph"/>
              <w:spacing w:before="31"/>
              <w:ind w:right="99"/>
              <w:jc w:val="right"/>
              <w:rPr>
                <w:b/>
                <w:sz w:val="20"/>
              </w:rPr>
            </w:pPr>
            <w:r>
              <w:rPr>
                <w:b/>
                <w:spacing w:val="-2"/>
                <w:sz w:val="20"/>
              </w:rPr>
              <w:t>135,164</w:t>
            </w:r>
          </w:p>
        </w:tc>
        <w:tc>
          <w:tcPr>
            <w:tcW w:w="1583" w:type="dxa"/>
          </w:tcPr>
          <w:p>
            <w:pPr>
              <w:pStyle w:val="TableParagraph"/>
              <w:spacing w:before="31"/>
              <w:ind w:right="321"/>
              <w:jc w:val="right"/>
              <w:rPr>
                <w:sz w:val="20"/>
              </w:rPr>
            </w:pPr>
            <w:r>
              <w:rPr>
                <w:spacing w:val="-2"/>
                <w:sz w:val="20"/>
              </w:rPr>
              <w:t>3,324</w:t>
            </w:r>
          </w:p>
        </w:tc>
        <w:tc>
          <w:tcPr>
            <w:tcW w:w="1139" w:type="dxa"/>
            <w:tcBorders>
              <w:right w:val="single" w:sz="4" w:space="0" w:color="000000"/>
            </w:tcBorders>
          </w:tcPr>
          <w:p>
            <w:pPr>
              <w:pStyle w:val="TableParagraph"/>
              <w:spacing w:before="31"/>
              <w:ind w:right="98"/>
              <w:jc w:val="right"/>
              <w:rPr>
                <w:sz w:val="20"/>
              </w:rPr>
            </w:pPr>
            <w:r>
              <w:rPr>
                <w:spacing w:val="-2"/>
                <w:sz w:val="20"/>
              </w:rPr>
              <w:t>2.52%</w:t>
            </w:r>
          </w:p>
        </w:tc>
      </w:tr>
      <w:tr>
        <w:trPr>
          <w:trHeight w:val="308" w:hRule="atLeast"/>
        </w:trPr>
        <w:tc>
          <w:tcPr>
            <w:tcW w:w="4231" w:type="dxa"/>
            <w:tcBorders>
              <w:left w:val="single" w:sz="4" w:space="0" w:color="000000"/>
            </w:tcBorders>
          </w:tcPr>
          <w:p>
            <w:pPr>
              <w:pStyle w:val="TableParagraph"/>
              <w:spacing w:before="35"/>
              <w:ind w:left="107"/>
              <w:rPr>
                <w:sz w:val="20"/>
              </w:rPr>
            </w:pPr>
            <w:r>
              <w:rPr>
                <w:sz w:val="20"/>
              </w:rPr>
              <w:t>Industrial</w:t>
            </w:r>
            <w:r>
              <w:rPr>
                <w:spacing w:val="-6"/>
                <w:sz w:val="20"/>
              </w:rPr>
              <w:t> </w:t>
            </w:r>
            <w:r>
              <w:rPr>
                <w:sz w:val="20"/>
              </w:rPr>
              <w:t>80</w:t>
            </w:r>
            <w:r>
              <w:rPr>
                <w:spacing w:val="-5"/>
                <w:sz w:val="20"/>
              </w:rPr>
              <w:t> </w:t>
            </w:r>
            <w:r>
              <w:rPr>
                <w:sz w:val="20"/>
              </w:rPr>
              <w:t>Litre</w:t>
            </w:r>
            <w:r>
              <w:rPr>
                <w:spacing w:val="-5"/>
                <w:sz w:val="20"/>
              </w:rPr>
              <w:t> </w:t>
            </w:r>
            <w:r>
              <w:rPr>
                <w:sz w:val="20"/>
              </w:rPr>
              <w:t>Service</w:t>
            </w:r>
            <w:r>
              <w:rPr>
                <w:spacing w:val="-5"/>
                <w:sz w:val="20"/>
              </w:rPr>
              <w:t> </w:t>
            </w:r>
            <w:r>
              <w:rPr>
                <w:spacing w:val="-10"/>
                <w:sz w:val="20"/>
              </w:rPr>
              <w:t>#</w:t>
            </w:r>
          </w:p>
        </w:tc>
        <w:tc>
          <w:tcPr>
            <w:tcW w:w="1365" w:type="dxa"/>
            <w:tcBorders>
              <w:bottom w:val="single" w:sz="8" w:space="0" w:color="000000"/>
            </w:tcBorders>
          </w:tcPr>
          <w:p>
            <w:pPr>
              <w:pStyle w:val="TableParagraph"/>
              <w:spacing w:before="35"/>
              <w:ind w:right="105"/>
              <w:jc w:val="right"/>
              <w:rPr>
                <w:sz w:val="20"/>
              </w:rPr>
            </w:pPr>
            <w:r>
              <w:rPr>
                <w:spacing w:val="-2"/>
                <w:sz w:val="20"/>
              </w:rPr>
              <w:t>10,695</w:t>
            </w:r>
          </w:p>
        </w:tc>
        <w:tc>
          <w:tcPr>
            <w:tcW w:w="2138" w:type="dxa"/>
            <w:tcBorders>
              <w:bottom w:val="single" w:sz="8" w:space="0" w:color="000000"/>
            </w:tcBorders>
            <w:shd w:val="clear" w:color="auto" w:fill="DDEBF6"/>
          </w:tcPr>
          <w:p>
            <w:pPr>
              <w:pStyle w:val="TableParagraph"/>
              <w:spacing w:before="35"/>
              <w:ind w:right="101"/>
              <w:jc w:val="right"/>
              <w:rPr>
                <w:b/>
                <w:sz w:val="20"/>
              </w:rPr>
            </w:pPr>
            <w:r>
              <w:rPr>
                <w:b/>
                <w:spacing w:val="-2"/>
                <w:sz w:val="20"/>
              </w:rPr>
              <w:t>11,873</w:t>
            </w:r>
          </w:p>
        </w:tc>
        <w:tc>
          <w:tcPr>
            <w:tcW w:w="1583" w:type="dxa"/>
            <w:tcBorders>
              <w:bottom w:val="single" w:sz="8" w:space="0" w:color="000000"/>
            </w:tcBorders>
          </w:tcPr>
          <w:p>
            <w:pPr>
              <w:pStyle w:val="TableParagraph"/>
              <w:spacing w:before="35"/>
              <w:ind w:right="321"/>
              <w:jc w:val="right"/>
              <w:rPr>
                <w:sz w:val="20"/>
              </w:rPr>
            </w:pPr>
            <w:r>
              <w:rPr>
                <w:spacing w:val="-2"/>
                <w:sz w:val="20"/>
              </w:rPr>
              <w:t>1,178</w:t>
            </w:r>
          </w:p>
        </w:tc>
        <w:tc>
          <w:tcPr>
            <w:tcW w:w="1139" w:type="dxa"/>
            <w:tcBorders>
              <w:bottom w:val="single" w:sz="8" w:space="0" w:color="000000"/>
              <w:right w:val="single" w:sz="4" w:space="0" w:color="000000"/>
            </w:tcBorders>
          </w:tcPr>
          <w:p>
            <w:pPr>
              <w:pStyle w:val="TableParagraph"/>
              <w:spacing w:before="35"/>
              <w:ind w:right="98"/>
              <w:jc w:val="right"/>
              <w:rPr>
                <w:sz w:val="20"/>
              </w:rPr>
            </w:pPr>
            <w:r>
              <w:rPr>
                <w:spacing w:val="-2"/>
                <w:sz w:val="20"/>
              </w:rPr>
              <w:t>11.01%</w:t>
            </w:r>
          </w:p>
        </w:tc>
      </w:tr>
      <w:tr>
        <w:trPr>
          <w:trHeight w:val="316" w:hRule="atLeast"/>
        </w:trPr>
        <w:tc>
          <w:tcPr>
            <w:tcW w:w="4231" w:type="dxa"/>
            <w:tcBorders>
              <w:left w:val="single" w:sz="4" w:space="0" w:color="000000"/>
              <w:bottom w:val="single" w:sz="4" w:space="0" w:color="000000"/>
            </w:tcBorders>
          </w:tcPr>
          <w:p>
            <w:pPr>
              <w:pStyle w:val="TableParagraph"/>
              <w:spacing w:before="42"/>
              <w:ind w:left="107"/>
              <w:rPr>
                <w:b/>
                <w:sz w:val="20"/>
              </w:rPr>
            </w:pPr>
            <w:r>
              <w:rPr>
                <w:b/>
                <w:spacing w:val="-2"/>
                <w:sz w:val="20"/>
              </w:rPr>
              <w:t>Total</w:t>
            </w:r>
          </w:p>
        </w:tc>
        <w:tc>
          <w:tcPr>
            <w:tcW w:w="1365" w:type="dxa"/>
            <w:tcBorders>
              <w:top w:val="single" w:sz="8" w:space="0" w:color="000000"/>
              <w:bottom w:val="single" w:sz="4" w:space="0" w:color="000000"/>
            </w:tcBorders>
          </w:tcPr>
          <w:p>
            <w:pPr>
              <w:pStyle w:val="TableParagraph"/>
              <w:spacing w:before="42"/>
              <w:ind w:right="105"/>
              <w:jc w:val="right"/>
              <w:rPr>
                <w:b/>
                <w:sz w:val="20"/>
              </w:rPr>
            </w:pPr>
            <w:r>
              <w:rPr>
                <w:b/>
                <w:spacing w:val="-2"/>
                <w:sz w:val="20"/>
              </w:rPr>
              <w:t>19,947,000</w:t>
            </w:r>
          </w:p>
        </w:tc>
        <w:tc>
          <w:tcPr>
            <w:tcW w:w="2138" w:type="dxa"/>
            <w:tcBorders>
              <w:top w:val="single" w:sz="8" w:space="0" w:color="000000"/>
              <w:bottom w:val="single" w:sz="4" w:space="0" w:color="000000"/>
            </w:tcBorders>
            <w:shd w:val="clear" w:color="auto" w:fill="DDEBF6"/>
          </w:tcPr>
          <w:p>
            <w:pPr>
              <w:pStyle w:val="TableParagraph"/>
              <w:spacing w:before="42"/>
              <w:ind w:right="99"/>
              <w:jc w:val="right"/>
              <w:rPr>
                <w:b/>
                <w:sz w:val="20"/>
              </w:rPr>
            </w:pPr>
            <w:r>
              <w:rPr>
                <w:b/>
                <w:spacing w:val="-2"/>
                <w:sz w:val="20"/>
              </w:rPr>
              <w:t>20,495,543</w:t>
            </w:r>
          </w:p>
        </w:tc>
        <w:tc>
          <w:tcPr>
            <w:tcW w:w="1583" w:type="dxa"/>
            <w:tcBorders>
              <w:top w:val="single" w:sz="8" w:space="0" w:color="000000"/>
              <w:bottom w:val="single" w:sz="4" w:space="0" w:color="000000"/>
            </w:tcBorders>
          </w:tcPr>
          <w:p>
            <w:pPr>
              <w:pStyle w:val="TableParagraph"/>
              <w:spacing w:before="42"/>
              <w:ind w:right="322"/>
              <w:jc w:val="right"/>
              <w:rPr>
                <w:b/>
                <w:sz w:val="20"/>
              </w:rPr>
            </w:pPr>
            <w:r>
              <w:rPr>
                <w:b/>
                <w:spacing w:val="-2"/>
                <w:sz w:val="20"/>
              </w:rPr>
              <w:t>548,543</w:t>
            </w:r>
          </w:p>
        </w:tc>
        <w:tc>
          <w:tcPr>
            <w:tcW w:w="1139" w:type="dxa"/>
            <w:tcBorders>
              <w:top w:val="single" w:sz="8" w:space="0" w:color="000000"/>
              <w:bottom w:val="single" w:sz="4" w:space="0" w:color="000000"/>
              <w:right w:val="single" w:sz="4" w:space="0" w:color="000000"/>
            </w:tcBorders>
          </w:tcPr>
          <w:p>
            <w:pPr>
              <w:pStyle w:val="TableParagraph"/>
              <w:spacing w:before="42"/>
              <w:ind w:right="94"/>
              <w:jc w:val="right"/>
              <w:rPr>
                <w:b/>
                <w:sz w:val="20"/>
              </w:rPr>
            </w:pPr>
            <w:r>
              <w:rPr>
                <w:b/>
                <w:spacing w:val="-2"/>
                <w:sz w:val="20"/>
              </w:rPr>
              <w:t>2.75%</w:t>
            </w:r>
          </w:p>
        </w:tc>
      </w:tr>
    </w:tbl>
    <w:p>
      <w:pPr>
        <w:pStyle w:val="BodyText"/>
        <w:spacing w:before="4"/>
        <w:rPr>
          <w:sz w:val="20"/>
        </w:rPr>
      </w:pPr>
    </w:p>
    <w:p>
      <w:pPr>
        <w:spacing w:line="207" w:lineRule="exact" w:before="0"/>
        <w:ind w:left="260" w:right="0" w:firstLine="0"/>
        <w:jc w:val="left"/>
        <w:rPr>
          <w:sz w:val="18"/>
        </w:rPr>
      </w:pPr>
      <w:r>
        <w:rPr>
          <w:sz w:val="18"/>
        </w:rPr>
        <w:t>#These figures exclude</w:t>
      </w:r>
      <w:r>
        <w:rPr>
          <w:spacing w:val="-4"/>
          <w:sz w:val="18"/>
        </w:rPr>
        <w:t> </w:t>
      </w:r>
      <w:r>
        <w:rPr>
          <w:sz w:val="18"/>
        </w:rPr>
        <w:t>GST</w:t>
      </w:r>
      <w:r>
        <w:rPr>
          <w:spacing w:val="-1"/>
          <w:sz w:val="18"/>
        </w:rPr>
        <w:t> </w:t>
      </w:r>
      <w:r>
        <w:rPr>
          <w:sz w:val="18"/>
        </w:rPr>
        <w:t>on</w:t>
      </w:r>
      <w:r>
        <w:rPr>
          <w:spacing w:val="-1"/>
          <w:sz w:val="18"/>
        </w:rPr>
        <w:t> </w:t>
      </w:r>
      <w:r>
        <w:rPr>
          <w:sz w:val="18"/>
        </w:rPr>
        <w:t>Industrial,</w:t>
      </w:r>
      <w:r>
        <w:rPr>
          <w:spacing w:val="-2"/>
          <w:sz w:val="18"/>
        </w:rPr>
        <w:t> </w:t>
      </w:r>
      <w:r>
        <w:rPr>
          <w:sz w:val="18"/>
        </w:rPr>
        <w:t>Commercial</w:t>
      </w:r>
      <w:r>
        <w:rPr>
          <w:spacing w:val="-3"/>
          <w:sz w:val="18"/>
        </w:rPr>
        <w:t> </w:t>
      </w:r>
      <w:r>
        <w:rPr>
          <w:sz w:val="18"/>
        </w:rPr>
        <w:t>and</w:t>
      </w:r>
      <w:r>
        <w:rPr>
          <w:spacing w:val="-4"/>
          <w:sz w:val="18"/>
        </w:rPr>
        <w:t> </w:t>
      </w:r>
      <w:r>
        <w:rPr>
          <w:sz w:val="18"/>
        </w:rPr>
        <w:t>second</w:t>
      </w:r>
      <w:r>
        <w:rPr>
          <w:spacing w:val="-2"/>
          <w:sz w:val="18"/>
        </w:rPr>
        <w:t> </w:t>
      </w:r>
      <w:r>
        <w:rPr>
          <w:sz w:val="18"/>
        </w:rPr>
        <w:t>bin</w:t>
      </w:r>
      <w:r>
        <w:rPr>
          <w:spacing w:val="-1"/>
          <w:sz w:val="18"/>
        </w:rPr>
        <w:t> </w:t>
      </w:r>
      <w:r>
        <w:rPr>
          <w:sz w:val="18"/>
        </w:rPr>
        <w:t>Residential </w:t>
      </w:r>
      <w:r>
        <w:rPr>
          <w:spacing w:val="-2"/>
          <w:sz w:val="18"/>
        </w:rPr>
        <w:t>Services.</w:t>
      </w:r>
    </w:p>
    <w:p>
      <w:pPr>
        <w:spacing w:line="207" w:lineRule="exact" w:before="0"/>
        <w:ind w:left="260" w:right="0" w:firstLine="0"/>
        <w:jc w:val="left"/>
        <w:rPr>
          <w:sz w:val="18"/>
        </w:rPr>
      </w:pPr>
      <w:r>
        <w:rPr>
          <w:sz w:val="18"/>
        </w:rPr>
        <w:t>*</w:t>
      </w:r>
      <w:r>
        <w:rPr>
          <w:spacing w:val="-2"/>
          <w:sz w:val="18"/>
        </w:rPr>
        <w:t> </w:t>
      </w:r>
      <w:r>
        <w:rPr>
          <w:sz w:val="18"/>
        </w:rPr>
        <w:t>Approval of</w:t>
      </w:r>
      <w:r>
        <w:rPr>
          <w:spacing w:val="-2"/>
          <w:sz w:val="18"/>
        </w:rPr>
        <w:t> </w:t>
      </w:r>
      <w:r>
        <w:rPr>
          <w:sz w:val="18"/>
        </w:rPr>
        <w:t>additional waste</w:t>
      </w:r>
      <w:r>
        <w:rPr>
          <w:spacing w:val="-3"/>
          <w:sz w:val="18"/>
        </w:rPr>
        <w:t> </w:t>
      </w:r>
      <w:r>
        <w:rPr>
          <w:sz w:val="18"/>
        </w:rPr>
        <w:t>service</w:t>
      </w:r>
      <w:r>
        <w:rPr>
          <w:spacing w:val="-3"/>
          <w:sz w:val="18"/>
        </w:rPr>
        <w:t> </w:t>
      </w:r>
      <w:r>
        <w:rPr>
          <w:sz w:val="18"/>
        </w:rPr>
        <w:t>is</w:t>
      </w:r>
      <w:r>
        <w:rPr>
          <w:spacing w:val="-3"/>
          <w:sz w:val="18"/>
        </w:rPr>
        <w:t> </w:t>
      </w:r>
      <w:r>
        <w:rPr>
          <w:sz w:val="18"/>
        </w:rPr>
        <w:t>subject</w:t>
      </w:r>
      <w:r>
        <w:rPr>
          <w:spacing w:val="-2"/>
          <w:sz w:val="18"/>
        </w:rPr>
        <w:t> </w:t>
      </w:r>
      <w:r>
        <w:rPr>
          <w:sz w:val="18"/>
        </w:rPr>
        <w:t>to</w:t>
      </w:r>
      <w:r>
        <w:rPr>
          <w:spacing w:val="1"/>
          <w:sz w:val="18"/>
        </w:rPr>
        <w:t> </w:t>
      </w:r>
      <w:r>
        <w:rPr>
          <w:sz w:val="18"/>
        </w:rPr>
        <w:t>Council </w:t>
      </w:r>
      <w:r>
        <w:rPr>
          <w:spacing w:val="-2"/>
          <w:sz w:val="18"/>
        </w:rPr>
        <w:t>assessment.</w:t>
      </w:r>
    </w:p>
    <w:p>
      <w:pPr>
        <w:spacing w:after="0" w:line="207" w:lineRule="exact"/>
        <w:jc w:val="left"/>
        <w:rPr>
          <w:sz w:val="18"/>
        </w:rPr>
        <w:sectPr>
          <w:pgSz w:w="11910" w:h="16840"/>
          <w:pgMar w:header="0" w:footer="426" w:top="880" w:bottom="740" w:left="460" w:right="160"/>
        </w:sectPr>
      </w:pPr>
    </w:p>
    <w:p>
      <w:pPr>
        <w:pStyle w:val="BodyText"/>
        <w:spacing w:before="72"/>
        <w:ind w:left="980" w:right="376" w:hanging="721"/>
      </w:pPr>
      <w:r>
        <w:rPr/>
        <w:t>4.1.1(k)</w:t>
      </w:r>
      <w:r>
        <w:rPr>
          <w:spacing w:val="-16"/>
        </w:rPr>
        <w:t> </w:t>
      </w:r>
      <w:r>
        <w:rPr/>
        <w:t>The</w:t>
      </w:r>
      <w:r>
        <w:rPr>
          <w:spacing w:val="-17"/>
        </w:rPr>
        <w:t> </w:t>
      </w:r>
      <w:r>
        <w:rPr/>
        <w:t>estimated</w:t>
      </w:r>
      <w:r>
        <w:rPr>
          <w:spacing w:val="-15"/>
        </w:rPr>
        <w:t> </w:t>
      </w:r>
      <w:r>
        <w:rPr/>
        <w:t>total</w:t>
      </w:r>
      <w:r>
        <w:rPr>
          <w:spacing w:val="-15"/>
        </w:rPr>
        <w:t> </w:t>
      </w:r>
      <w:r>
        <w:rPr/>
        <w:t>amount</w:t>
      </w:r>
      <w:r>
        <w:rPr>
          <w:spacing w:val="-16"/>
        </w:rPr>
        <w:t> </w:t>
      </w:r>
      <w:r>
        <w:rPr/>
        <w:t>to</w:t>
      </w:r>
      <w:r>
        <w:rPr>
          <w:spacing w:val="-17"/>
        </w:rPr>
        <w:t> </w:t>
      </w:r>
      <w:r>
        <w:rPr/>
        <w:t>be</w:t>
      </w:r>
      <w:r>
        <w:rPr>
          <w:spacing w:val="-15"/>
        </w:rPr>
        <w:t> </w:t>
      </w:r>
      <w:r>
        <w:rPr/>
        <w:t>raised</w:t>
      </w:r>
      <w:r>
        <w:rPr>
          <w:spacing w:val="-17"/>
        </w:rPr>
        <w:t> </w:t>
      </w:r>
      <w:r>
        <w:rPr/>
        <w:t>by</w:t>
      </w:r>
      <w:r>
        <w:rPr>
          <w:spacing w:val="-15"/>
        </w:rPr>
        <w:t> </w:t>
      </w:r>
      <w:r>
        <w:rPr/>
        <w:t>all</w:t>
      </w:r>
      <w:r>
        <w:rPr>
          <w:spacing w:val="-15"/>
        </w:rPr>
        <w:t> </w:t>
      </w:r>
      <w:r>
        <w:rPr/>
        <w:t>rates</w:t>
      </w:r>
      <w:r>
        <w:rPr>
          <w:spacing w:val="-16"/>
        </w:rPr>
        <w:t> </w:t>
      </w:r>
      <w:r>
        <w:rPr/>
        <w:t>and</w:t>
      </w:r>
      <w:r>
        <w:rPr>
          <w:spacing w:val="-15"/>
        </w:rPr>
        <w:t> </w:t>
      </w:r>
      <w:r>
        <w:rPr/>
        <w:t>charges</w:t>
      </w:r>
      <w:r>
        <w:rPr>
          <w:spacing w:val="-15"/>
        </w:rPr>
        <w:t> </w:t>
      </w:r>
      <w:r>
        <w:rPr/>
        <w:t>compared</w:t>
      </w:r>
      <w:r>
        <w:rPr>
          <w:spacing w:val="-15"/>
        </w:rPr>
        <w:t> </w:t>
      </w:r>
      <w:r>
        <w:rPr/>
        <w:t>with</w:t>
      </w:r>
      <w:r>
        <w:rPr>
          <w:spacing w:val="-17"/>
        </w:rPr>
        <w:t> </w:t>
      </w:r>
      <w:r>
        <w:rPr/>
        <w:t>the</w:t>
      </w:r>
      <w:r>
        <w:rPr>
          <w:spacing w:val="-15"/>
        </w:rPr>
        <w:t> </w:t>
      </w:r>
      <w:r>
        <w:rPr/>
        <w:t>previous</w:t>
      </w:r>
      <w:r>
        <w:rPr>
          <w:spacing w:val="-15"/>
        </w:rPr>
        <w:t> </w:t>
      </w:r>
      <w:r>
        <w:rPr/>
        <w:t>financial </w:t>
      </w:r>
      <w:r>
        <w:rPr>
          <w:spacing w:val="-4"/>
        </w:rPr>
        <w:t>year</w:t>
      </w:r>
    </w:p>
    <w:p>
      <w:pPr>
        <w:pStyle w:val="BodyText"/>
        <w:spacing w:before="9" w:after="1"/>
        <w:rPr>
          <w:sz w:val="19"/>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82"/>
        <w:gridCol w:w="2186"/>
        <w:gridCol w:w="2184"/>
        <w:gridCol w:w="2006"/>
        <w:gridCol w:w="898"/>
      </w:tblGrid>
      <w:tr>
        <w:trPr>
          <w:trHeight w:val="602" w:hRule="atLeast"/>
        </w:trPr>
        <w:tc>
          <w:tcPr>
            <w:tcW w:w="5368" w:type="dxa"/>
            <w:gridSpan w:val="2"/>
            <w:tcBorders>
              <w:top w:val="single" w:sz="4" w:space="0" w:color="000000"/>
              <w:left w:val="single" w:sz="4" w:space="0" w:color="000000"/>
            </w:tcBorders>
            <w:shd w:val="clear" w:color="auto" w:fill="5B9AD4"/>
          </w:tcPr>
          <w:p>
            <w:pPr>
              <w:pStyle w:val="TableParagraph"/>
              <w:spacing w:before="47"/>
              <w:ind w:left="3840" w:right="650"/>
              <w:jc w:val="center"/>
              <w:rPr>
                <w:b/>
                <w:sz w:val="18"/>
              </w:rPr>
            </w:pPr>
            <w:r>
              <w:rPr>
                <w:b/>
                <w:color w:val="FFFFFF"/>
                <w:spacing w:val="-2"/>
                <w:sz w:val="18"/>
              </w:rPr>
              <w:t>2023/2024</w:t>
            </w:r>
          </w:p>
          <w:p>
            <w:pPr>
              <w:pStyle w:val="TableParagraph"/>
              <w:spacing w:before="93"/>
              <w:ind w:left="3840" w:right="648"/>
              <w:jc w:val="center"/>
              <w:rPr>
                <w:b/>
                <w:sz w:val="18"/>
              </w:rPr>
            </w:pPr>
            <w:r>
              <w:rPr>
                <w:b/>
                <w:color w:val="FFFFFF"/>
                <w:spacing w:val="-2"/>
                <w:sz w:val="18"/>
              </w:rPr>
              <w:t>$’000</w:t>
            </w:r>
          </w:p>
        </w:tc>
        <w:tc>
          <w:tcPr>
            <w:tcW w:w="2184" w:type="dxa"/>
            <w:tcBorders>
              <w:top w:val="single" w:sz="4" w:space="0" w:color="000000"/>
            </w:tcBorders>
            <w:shd w:val="clear" w:color="auto" w:fill="5B9AD4"/>
          </w:tcPr>
          <w:p>
            <w:pPr>
              <w:pStyle w:val="TableParagraph"/>
              <w:spacing w:before="47"/>
              <w:ind w:left="661" w:right="650"/>
              <w:jc w:val="center"/>
              <w:rPr>
                <w:b/>
                <w:sz w:val="18"/>
              </w:rPr>
            </w:pPr>
            <w:r>
              <w:rPr>
                <w:b/>
                <w:color w:val="FFFFFF"/>
                <w:spacing w:val="-2"/>
                <w:sz w:val="18"/>
              </w:rPr>
              <w:t>2024/2025</w:t>
            </w:r>
          </w:p>
          <w:p>
            <w:pPr>
              <w:pStyle w:val="TableParagraph"/>
              <w:spacing w:before="93"/>
              <w:ind w:left="661" w:right="649"/>
              <w:jc w:val="center"/>
              <w:rPr>
                <w:b/>
                <w:sz w:val="18"/>
              </w:rPr>
            </w:pPr>
            <w:r>
              <w:rPr>
                <w:b/>
                <w:color w:val="FFFFFF"/>
                <w:spacing w:val="-2"/>
                <w:sz w:val="18"/>
              </w:rPr>
              <w:t>$’000</w:t>
            </w:r>
          </w:p>
        </w:tc>
        <w:tc>
          <w:tcPr>
            <w:tcW w:w="2006" w:type="dxa"/>
            <w:tcBorders>
              <w:top w:val="single" w:sz="4" w:space="0" w:color="000000"/>
            </w:tcBorders>
            <w:shd w:val="clear" w:color="auto" w:fill="5B9AD4"/>
          </w:tcPr>
          <w:p>
            <w:pPr>
              <w:pStyle w:val="TableParagraph"/>
              <w:spacing w:before="47"/>
              <w:ind w:left="1112" w:right="204"/>
              <w:jc w:val="center"/>
              <w:rPr>
                <w:b/>
                <w:sz w:val="18"/>
              </w:rPr>
            </w:pPr>
            <w:r>
              <w:rPr>
                <w:b/>
                <w:color w:val="FFFFFF"/>
                <w:spacing w:val="-2"/>
                <w:sz w:val="18"/>
              </w:rPr>
              <w:t>Change</w:t>
            </w:r>
          </w:p>
          <w:p>
            <w:pPr>
              <w:pStyle w:val="TableParagraph"/>
              <w:spacing w:before="93"/>
              <w:ind w:left="4" w:right="204"/>
              <w:jc w:val="center"/>
              <w:rPr>
                <w:b/>
                <w:sz w:val="18"/>
              </w:rPr>
            </w:pPr>
            <w:r>
              <w:rPr>
                <w:b/>
                <w:color w:val="FFFFFF"/>
                <w:spacing w:val="-2"/>
                <w:sz w:val="18"/>
              </w:rPr>
              <w:t>$’000</w:t>
            </w:r>
          </w:p>
        </w:tc>
        <w:tc>
          <w:tcPr>
            <w:tcW w:w="898" w:type="dxa"/>
            <w:tcBorders>
              <w:top w:val="single" w:sz="4" w:space="0" w:color="000000"/>
              <w:right w:val="single" w:sz="4" w:space="0" w:color="000000"/>
            </w:tcBorders>
            <w:shd w:val="clear" w:color="auto" w:fill="5B9AD4"/>
          </w:tcPr>
          <w:p>
            <w:pPr>
              <w:pStyle w:val="TableParagraph"/>
              <w:rPr>
                <w:sz w:val="20"/>
              </w:rPr>
            </w:pPr>
          </w:p>
          <w:p>
            <w:pPr>
              <w:pStyle w:val="TableParagraph"/>
              <w:spacing w:before="117"/>
              <w:ind w:left="262"/>
              <w:rPr>
                <w:b/>
                <w:sz w:val="18"/>
              </w:rPr>
            </w:pPr>
            <w:r>
              <w:rPr>
                <w:b/>
                <w:color w:val="FFFFFF"/>
                <w:sz w:val="18"/>
              </w:rPr>
              <w:t>%</w:t>
            </w:r>
          </w:p>
        </w:tc>
      </w:tr>
      <w:tr>
        <w:trPr>
          <w:trHeight w:val="305" w:hRule="atLeast"/>
        </w:trPr>
        <w:tc>
          <w:tcPr>
            <w:tcW w:w="3182" w:type="dxa"/>
            <w:tcBorders>
              <w:left w:val="single" w:sz="4" w:space="0" w:color="000000"/>
            </w:tcBorders>
          </w:tcPr>
          <w:p>
            <w:pPr>
              <w:pStyle w:val="TableParagraph"/>
              <w:spacing w:before="33"/>
              <w:ind w:left="107"/>
              <w:rPr>
                <w:sz w:val="20"/>
              </w:rPr>
            </w:pPr>
            <w:r>
              <w:rPr>
                <w:sz w:val="20"/>
              </w:rPr>
              <w:t>General</w:t>
            </w:r>
            <w:r>
              <w:rPr>
                <w:spacing w:val="-8"/>
                <w:sz w:val="20"/>
              </w:rPr>
              <w:t> </w:t>
            </w:r>
            <w:r>
              <w:rPr>
                <w:spacing w:val="-2"/>
                <w:sz w:val="20"/>
              </w:rPr>
              <w:t>rates</w:t>
            </w:r>
          </w:p>
        </w:tc>
        <w:tc>
          <w:tcPr>
            <w:tcW w:w="2186" w:type="dxa"/>
          </w:tcPr>
          <w:p>
            <w:pPr>
              <w:pStyle w:val="TableParagraph"/>
              <w:spacing w:before="33"/>
              <w:ind w:right="103"/>
              <w:jc w:val="right"/>
              <w:rPr>
                <w:sz w:val="20"/>
              </w:rPr>
            </w:pPr>
            <w:r>
              <w:rPr>
                <w:spacing w:val="-2"/>
                <w:sz w:val="20"/>
              </w:rPr>
              <w:t>86,799</w:t>
            </w:r>
          </w:p>
        </w:tc>
        <w:tc>
          <w:tcPr>
            <w:tcW w:w="2184" w:type="dxa"/>
            <w:shd w:val="clear" w:color="auto" w:fill="DDEBF6"/>
          </w:tcPr>
          <w:p>
            <w:pPr>
              <w:pStyle w:val="TableParagraph"/>
              <w:spacing w:before="33"/>
              <w:ind w:right="99"/>
              <w:jc w:val="right"/>
              <w:rPr>
                <w:b/>
                <w:sz w:val="20"/>
              </w:rPr>
            </w:pPr>
            <w:r>
              <w:rPr>
                <w:b/>
                <w:spacing w:val="-2"/>
                <w:sz w:val="20"/>
              </w:rPr>
              <w:t>90,190</w:t>
            </w:r>
          </w:p>
        </w:tc>
        <w:tc>
          <w:tcPr>
            <w:tcW w:w="2006" w:type="dxa"/>
          </w:tcPr>
          <w:p>
            <w:pPr>
              <w:pStyle w:val="TableParagraph"/>
              <w:spacing w:before="33"/>
              <w:ind w:right="315"/>
              <w:jc w:val="right"/>
              <w:rPr>
                <w:sz w:val="20"/>
              </w:rPr>
            </w:pPr>
            <w:r>
              <w:rPr>
                <w:spacing w:val="-2"/>
                <w:sz w:val="20"/>
              </w:rPr>
              <w:t>3,391</w:t>
            </w:r>
          </w:p>
        </w:tc>
        <w:tc>
          <w:tcPr>
            <w:tcW w:w="898" w:type="dxa"/>
            <w:tcBorders>
              <w:right w:val="single" w:sz="4" w:space="0" w:color="000000"/>
            </w:tcBorders>
          </w:tcPr>
          <w:p>
            <w:pPr>
              <w:pStyle w:val="TableParagraph"/>
              <w:spacing w:before="33"/>
              <w:ind w:left="224"/>
              <w:rPr>
                <w:sz w:val="20"/>
              </w:rPr>
            </w:pPr>
            <w:r>
              <w:rPr>
                <w:spacing w:val="-2"/>
                <w:sz w:val="20"/>
              </w:rPr>
              <w:t>3.91%</w:t>
            </w:r>
          </w:p>
        </w:tc>
      </w:tr>
      <w:tr>
        <w:trPr>
          <w:trHeight w:val="308" w:hRule="atLeast"/>
        </w:trPr>
        <w:tc>
          <w:tcPr>
            <w:tcW w:w="3182" w:type="dxa"/>
            <w:tcBorders>
              <w:left w:val="single" w:sz="4" w:space="0" w:color="000000"/>
            </w:tcBorders>
          </w:tcPr>
          <w:p>
            <w:pPr>
              <w:pStyle w:val="TableParagraph"/>
              <w:spacing w:before="35"/>
              <w:ind w:left="107"/>
              <w:rPr>
                <w:sz w:val="20"/>
              </w:rPr>
            </w:pPr>
            <w:r>
              <w:rPr>
                <w:sz w:val="20"/>
              </w:rPr>
              <w:t>Service</w:t>
            </w:r>
            <w:r>
              <w:rPr>
                <w:spacing w:val="-9"/>
                <w:sz w:val="20"/>
              </w:rPr>
              <w:t> </w:t>
            </w:r>
            <w:r>
              <w:rPr>
                <w:sz w:val="20"/>
              </w:rPr>
              <w:t>(Garbage)</w:t>
            </w:r>
            <w:r>
              <w:rPr>
                <w:spacing w:val="-7"/>
                <w:sz w:val="20"/>
              </w:rPr>
              <w:t> </w:t>
            </w:r>
            <w:r>
              <w:rPr>
                <w:sz w:val="20"/>
              </w:rPr>
              <w:t>Charges</w:t>
            </w:r>
            <w:r>
              <w:rPr>
                <w:spacing w:val="-6"/>
                <w:sz w:val="20"/>
              </w:rPr>
              <w:t> </w:t>
            </w:r>
            <w:r>
              <w:rPr>
                <w:spacing w:val="-10"/>
                <w:sz w:val="20"/>
              </w:rPr>
              <w:t>#</w:t>
            </w:r>
          </w:p>
        </w:tc>
        <w:tc>
          <w:tcPr>
            <w:tcW w:w="2186" w:type="dxa"/>
            <w:tcBorders>
              <w:bottom w:val="single" w:sz="8" w:space="0" w:color="000000"/>
            </w:tcBorders>
          </w:tcPr>
          <w:p>
            <w:pPr>
              <w:pStyle w:val="TableParagraph"/>
              <w:spacing w:before="35"/>
              <w:ind w:right="103"/>
              <w:jc w:val="right"/>
              <w:rPr>
                <w:sz w:val="20"/>
              </w:rPr>
            </w:pPr>
            <w:r>
              <w:rPr>
                <w:spacing w:val="-2"/>
                <w:sz w:val="20"/>
              </w:rPr>
              <w:t>19,947</w:t>
            </w:r>
          </w:p>
        </w:tc>
        <w:tc>
          <w:tcPr>
            <w:tcW w:w="2184" w:type="dxa"/>
            <w:tcBorders>
              <w:bottom w:val="single" w:sz="8" w:space="0" w:color="000000"/>
            </w:tcBorders>
            <w:shd w:val="clear" w:color="auto" w:fill="DDEBF6"/>
          </w:tcPr>
          <w:p>
            <w:pPr>
              <w:pStyle w:val="TableParagraph"/>
              <w:spacing w:before="35"/>
              <w:ind w:right="99"/>
              <w:jc w:val="right"/>
              <w:rPr>
                <w:b/>
                <w:sz w:val="20"/>
              </w:rPr>
            </w:pPr>
            <w:r>
              <w:rPr>
                <w:b/>
                <w:spacing w:val="-2"/>
                <w:sz w:val="20"/>
              </w:rPr>
              <w:t>20,496</w:t>
            </w:r>
          </w:p>
        </w:tc>
        <w:tc>
          <w:tcPr>
            <w:tcW w:w="2006" w:type="dxa"/>
            <w:tcBorders>
              <w:bottom w:val="single" w:sz="8" w:space="0" w:color="000000"/>
            </w:tcBorders>
          </w:tcPr>
          <w:p>
            <w:pPr>
              <w:pStyle w:val="TableParagraph"/>
              <w:spacing w:before="35"/>
              <w:ind w:right="316"/>
              <w:jc w:val="right"/>
              <w:rPr>
                <w:sz w:val="20"/>
              </w:rPr>
            </w:pPr>
            <w:r>
              <w:rPr>
                <w:spacing w:val="-5"/>
                <w:sz w:val="20"/>
              </w:rPr>
              <w:t>549</w:t>
            </w:r>
          </w:p>
        </w:tc>
        <w:tc>
          <w:tcPr>
            <w:tcW w:w="898" w:type="dxa"/>
            <w:tcBorders>
              <w:bottom w:val="single" w:sz="8" w:space="0" w:color="000000"/>
              <w:right w:val="single" w:sz="4" w:space="0" w:color="000000"/>
            </w:tcBorders>
          </w:tcPr>
          <w:p>
            <w:pPr>
              <w:pStyle w:val="TableParagraph"/>
              <w:spacing w:before="35"/>
              <w:ind w:left="224"/>
              <w:rPr>
                <w:sz w:val="20"/>
              </w:rPr>
            </w:pPr>
            <w:r>
              <w:rPr>
                <w:spacing w:val="-2"/>
                <w:sz w:val="20"/>
              </w:rPr>
              <w:t>2.75%</w:t>
            </w:r>
          </w:p>
        </w:tc>
      </w:tr>
      <w:tr>
        <w:trPr>
          <w:trHeight w:val="316" w:hRule="atLeast"/>
        </w:trPr>
        <w:tc>
          <w:tcPr>
            <w:tcW w:w="3182" w:type="dxa"/>
            <w:tcBorders>
              <w:left w:val="single" w:sz="4" w:space="0" w:color="000000"/>
              <w:bottom w:val="single" w:sz="4" w:space="0" w:color="000000"/>
            </w:tcBorders>
          </w:tcPr>
          <w:p>
            <w:pPr>
              <w:pStyle w:val="TableParagraph"/>
              <w:spacing w:before="42"/>
              <w:ind w:left="107"/>
              <w:rPr>
                <w:b/>
                <w:sz w:val="20"/>
              </w:rPr>
            </w:pPr>
            <w:r>
              <w:rPr>
                <w:b/>
                <w:sz w:val="20"/>
              </w:rPr>
              <w:t>Total</w:t>
            </w:r>
            <w:r>
              <w:rPr>
                <w:b/>
                <w:spacing w:val="-7"/>
                <w:sz w:val="20"/>
              </w:rPr>
              <w:t> </w:t>
            </w:r>
            <w:r>
              <w:rPr>
                <w:b/>
                <w:sz w:val="20"/>
              </w:rPr>
              <w:t>Rates</w:t>
            </w:r>
            <w:r>
              <w:rPr>
                <w:b/>
                <w:spacing w:val="-4"/>
                <w:sz w:val="20"/>
              </w:rPr>
              <w:t> </w:t>
            </w:r>
            <w:r>
              <w:rPr>
                <w:b/>
                <w:sz w:val="20"/>
              </w:rPr>
              <w:t>and</w:t>
            </w:r>
            <w:r>
              <w:rPr>
                <w:b/>
                <w:spacing w:val="-4"/>
                <w:sz w:val="20"/>
              </w:rPr>
              <w:t> </w:t>
            </w:r>
            <w:r>
              <w:rPr>
                <w:b/>
                <w:spacing w:val="-2"/>
                <w:sz w:val="20"/>
              </w:rPr>
              <w:t>charges</w:t>
            </w:r>
          </w:p>
        </w:tc>
        <w:tc>
          <w:tcPr>
            <w:tcW w:w="2186" w:type="dxa"/>
            <w:tcBorders>
              <w:top w:val="single" w:sz="8" w:space="0" w:color="000000"/>
              <w:bottom w:val="single" w:sz="4" w:space="0" w:color="000000"/>
            </w:tcBorders>
          </w:tcPr>
          <w:p>
            <w:pPr>
              <w:pStyle w:val="TableParagraph"/>
              <w:spacing w:before="42"/>
              <w:ind w:right="103"/>
              <w:jc w:val="right"/>
              <w:rPr>
                <w:b/>
                <w:sz w:val="20"/>
              </w:rPr>
            </w:pPr>
            <w:r>
              <w:rPr>
                <w:b/>
                <w:spacing w:val="-2"/>
                <w:sz w:val="20"/>
              </w:rPr>
              <w:t>106,746</w:t>
            </w:r>
          </w:p>
        </w:tc>
        <w:tc>
          <w:tcPr>
            <w:tcW w:w="2184" w:type="dxa"/>
            <w:tcBorders>
              <w:top w:val="single" w:sz="8" w:space="0" w:color="000000"/>
              <w:bottom w:val="single" w:sz="4" w:space="0" w:color="000000"/>
            </w:tcBorders>
            <w:shd w:val="clear" w:color="auto" w:fill="DDEBF6"/>
          </w:tcPr>
          <w:p>
            <w:pPr>
              <w:pStyle w:val="TableParagraph"/>
              <w:spacing w:before="42"/>
              <w:ind w:right="99"/>
              <w:jc w:val="right"/>
              <w:rPr>
                <w:b/>
                <w:sz w:val="20"/>
              </w:rPr>
            </w:pPr>
            <w:r>
              <w:rPr>
                <w:b/>
                <w:spacing w:val="-2"/>
                <w:sz w:val="20"/>
              </w:rPr>
              <w:t>110,686</w:t>
            </w:r>
          </w:p>
        </w:tc>
        <w:tc>
          <w:tcPr>
            <w:tcW w:w="2006" w:type="dxa"/>
            <w:tcBorders>
              <w:top w:val="single" w:sz="8" w:space="0" w:color="000000"/>
              <w:bottom w:val="single" w:sz="4" w:space="0" w:color="000000"/>
            </w:tcBorders>
          </w:tcPr>
          <w:p>
            <w:pPr>
              <w:pStyle w:val="TableParagraph"/>
              <w:spacing w:before="42"/>
              <w:ind w:right="315"/>
              <w:jc w:val="right"/>
              <w:rPr>
                <w:b/>
                <w:sz w:val="20"/>
              </w:rPr>
            </w:pPr>
            <w:r>
              <w:rPr>
                <w:b/>
                <w:spacing w:val="-2"/>
                <w:sz w:val="20"/>
              </w:rPr>
              <w:t>3,940</w:t>
            </w:r>
          </w:p>
        </w:tc>
        <w:tc>
          <w:tcPr>
            <w:tcW w:w="898" w:type="dxa"/>
            <w:tcBorders>
              <w:top w:val="single" w:sz="8" w:space="0" w:color="000000"/>
              <w:bottom w:val="single" w:sz="4" w:space="0" w:color="000000"/>
              <w:right w:val="single" w:sz="4" w:space="0" w:color="000000"/>
            </w:tcBorders>
          </w:tcPr>
          <w:p>
            <w:pPr>
              <w:pStyle w:val="TableParagraph"/>
              <w:spacing w:before="42"/>
              <w:ind w:left="224"/>
              <w:rPr>
                <w:b/>
                <w:sz w:val="20"/>
              </w:rPr>
            </w:pPr>
            <w:r>
              <w:rPr>
                <w:b/>
                <w:spacing w:val="-2"/>
                <w:sz w:val="20"/>
              </w:rPr>
              <w:t>3.69%</w:t>
            </w:r>
          </w:p>
        </w:tc>
      </w:tr>
    </w:tbl>
    <w:p>
      <w:pPr>
        <w:spacing w:before="0"/>
        <w:ind w:left="543" w:right="0" w:firstLine="0"/>
        <w:jc w:val="left"/>
        <w:rPr>
          <w:sz w:val="20"/>
        </w:rPr>
      </w:pPr>
      <w:r>
        <w:rPr>
          <w:sz w:val="18"/>
        </w:rPr>
        <w:t>#These</w:t>
      </w:r>
      <w:r>
        <w:rPr>
          <w:spacing w:val="-1"/>
          <w:sz w:val="18"/>
        </w:rPr>
        <w:t> </w:t>
      </w:r>
      <w:r>
        <w:rPr>
          <w:sz w:val="18"/>
        </w:rPr>
        <w:t>figures</w:t>
      </w:r>
      <w:r>
        <w:rPr>
          <w:spacing w:val="-1"/>
          <w:sz w:val="18"/>
        </w:rPr>
        <w:t> </w:t>
      </w:r>
      <w:r>
        <w:rPr>
          <w:sz w:val="18"/>
        </w:rPr>
        <w:t>exclude</w:t>
      </w:r>
      <w:r>
        <w:rPr>
          <w:spacing w:val="-4"/>
          <w:sz w:val="18"/>
        </w:rPr>
        <w:t> </w:t>
      </w:r>
      <w:r>
        <w:rPr>
          <w:sz w:val="18"/>
        </w:rPr>
        <w:t>GST</w:t>
      </w:r>
      <w:r>
        <w:rPr>
          <w:spacing w:val="-3"/>
          <w:sz w:val="18"/>
        </w:rPr>
        <w:t> </w:t>
      </w:r>
      <w:r>
        <w:rPr>
          <w:sz w:val="18"/>
        </w:rPr>
        <w:t>on</w:t>
      </w:r>
      <w:r>
        <w:rPr>
          <w:spacing w:val="-2"/>
          <w:sz w:val="18"/>
        </w:rPr>
        <w:t> </w:t>
      </w:r>
      <w:r>
        <w:rPr>
          <w:sz w:val="18"/>
        </w:rPr>
        <w:t>Industrial,</w:t>
      </w:r>
      <w:r>
        <w:rPr>
          <w:spacing w:val="-2"/>
          <w:sz w:val="18"/>
        </w:rPr>
        <w:t> </w:t>
      </w:r>
      <w:r>
        <w:rPr>
          <w:sz w:val="18"/>
        </w:rPr>
        <w:t>Commercial,</w:t>
      </w:r>
      <w:r>
        <w:rPr>
          <w:spacing w:val="-4"/>
          <w:sz w:val="18"/>
        </w:rPr>
        <w:t> </w:t>
      </w:r>
      <w:r>
        <w:rPr>
          <w:sz w:val="18"/>
        </w:rPr>
        <w:t>and</w:t>
      </w:r>
      <w:r>
        <w:rPr>
          <w:spacing w:val="-5"/>
          <w:sz w:val="18"/>
        </w:rPr>
        <w:t> </w:t>
      </w:r>
      <w:r>
        <w:rPr>
          <w:sz w:val="18"/>
        </w:rPr>
        <w:t>additional</w:t>
      </w:r>
      <w:r>
        <w:rPr>
          <w:spacing w:val="-1"/>
          <w:sz w:val="18"/>
        </w:rPr>
        <w:t> </w:t>
      </w:r>
      <w:r>
        <w:rPr>
          <w:sz w:val="18"/>
        </w:rPr>
        <w:t>recycling-non-residential</w:t>
      </w:r>
      <w:r>
        <w:rPr>
          <w:spacing w:val="4"/>
          <w:sz w:val="18"/>
        </w:rPr>
        <w:t> </w:t>
      </w:r>
      <w:r>
        <w:rPr>
          <w:spacing w:val="-2"/>
          <w:sz w:val="20"/>
        </w:rPr>
        <w:t>Services.</w:t>
      </w:r>
    </w:p>
    <w:p>
      <w:pPr>
        <w:pStyle w:val="BodyText"/>
        <w:spacing w:before="4"/>
        <w:rPr>
          <w:sz w:val="30"/>
        </w:rPr>
      </w:pPr>
    </w:p>
    <w:p>
      <w:pPr>
        <w:pStyle w:val="BodyText"/>
        <w:ind w:left="260"/>
        <w:jc w:val="both"/>
      </w:pPr>
      <w:r>
        <w:rPr/>
        <w:t>4.1.1(l)</w:t>
      </w:r>
      <w:r>
        <w:rPr>
          <w:spacing w:val="-1"/>
        </w:rPr>
        <w:t> </w:t>
      </w:r>
      <w:r>
        <w:rPr/>
        <w:t>Fair</w:t>
      </w:r>
      <w:r>
        <w:rPr>
          <w:spacing w:val="-7"/>
        </w:rPr>
        <w:t> </w:t>
      </w:r>
      <w:r>
        <w:rPr/>
        <w:t>Go</w:t>
      </w:r>
      <w:r>
        <w:rPr>
          <w:spacing w:val="-4"/>
        </w:rPr>
        <w:t> </w:t>
      </w:r>
      <w:r>
        <w:rPr/>
        <w:t>Rates</w:t>
      </w:r>
      <w:r>
        <w:rPr>
          <w:spacing w:val="-2"/>
        </w:rPr>
        <w:t> </w:t>
      </w:r>
      <w:r>
        <w:rPr/>
        <w:t>System</w:t>
      </w:r>
      <w:r>
        <w:rPr>
          <w:spacing w:val="-1"/>
        </w:rPr>
        <w:t> </w:t>
      </w:r>
      <w:r>
        <w:rPr>
          <w:spacing w:val="-2"/>
        </w:rPr>
        <w:t>Compliance</w:t>
      </w:r>
    </w:p>
    <w:p>
      <w:pPr>
        <w:pStyle w:val="BodyText"/>
      </w:pPr>
    </w:p>
    <w:p>
      <w:pPr>
        <w:pStyle w:val="BodyText"/>
        <w:spacing w:before="1"/>
        <w:ind w:left="260" w:right="553"/>
        <w:jc w:val="both"/>
      </w:pPr>
      <w:r>
        <w:rPr/>
        <w:t>Maroondah City Council is required to comply with the State Government’s Fair Go Rates System (FGRS). The table below details the budget assumptions consistent with the requirements of the Fair Go Rates </w:t>
      </w:r>
      <w:r>
        <w:rPr>
          <w:spacing w:val="-2"/>
        </w:rPr>
        <w:t>System.</w:t>
      </w:r>
    </w:p>
    <w:p>
      <w:pPr>
        <w:pStyle w:val="BodyText"/>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51"/>
        <w:gridCol w:w="1887"/>
        <w:gridCol w:w="2550"/>
      </w:tblGrid>
      <w:tr>
        <w:trPr>
          <w:trHeight w:val="297" w:hRule="atLeast"/>
        </w:trPr>
        <w:tc>
          <w:tcPr>
            <w:tcW w:w="7938" w:type="dxa"/>
            <w:gridSpan w:val="2"/>
            <w:tcBorders>
              <w:top w:val="single" w:sz="4" w:space="0" w:color="000000"/>
              <w:left w:val="single" w:sz="4" w:space="0" w:color="000000"/>
            </w:tcBorders>
            <w:shd w:val="clear" w:color="auto" w:fill="5B9AD4"/>
          </w:tcPr>
          <w:p>
            <w:pPr>
              <w:pStyle w:val="TableParagraph"/>
              <w:spacing w:before="44"/>
              <w:ind w:right="92"/>
              <w:jc w:val="right"/>
              <w:rPr>
                <w:b/>
                <w:sz w:val="18"/>
              </w:rPr>
            </w:pPr>
            <w:r>
              <w:rPr>
                <w:b/>
                <w:color w:val="FFFFFF"/>
                <w:spacing w:val="-2"/>
                <w:sz w:val="18"/>
              </w:rPr>
              <w:t>2023/2024</w:t>
            </w:r>
          </w:p>
        </w:tc>
        <w:tc>
          <w:tcPr>
            <w:tcW w:w="2550" w:type="dxa"/>
            <w:tcBorders>
              <w:top w:val="single" w:sz="4" w:space="0" w:color="000000"/>
              <w:right w:val="single" w:sz="4" w:space="0" w:color="000000"/>
            </w:tcBorders>
            <w:shd w:val="clear" w:color="auto" w:fill="5B9AD4"/>
          </w:tcPr>
          <w:p>
            <w:pPr>
              <w:pStyle w:val="TableParagraph"/>
              <w:spacing w:before="44"/>
              <w:ind w:right="91"/>
              <w:jc w:val="right"/>
              <w:rPr>
                <w:b/>
                <w:sz w:val="18"/>
              </w:rPr>
            </w:pPr>
            <w:r>
              <w:rPr>
                <w:b/>
                <w:color w:val="FFFFFF"/>
                <w:spacing w:val="-2"/>
                <w:sz w:val="18"/>
              </w:rPr>
              <w:t>2024/2025</w:t>
            </w:r>
          </w:p>
        </w:tc>
      </w:tr>
      <w:tr>
        <w:trPr>
          <w:trHeight w:val="320" w:hRule="atLeast"/>
        </w:trPr>
        <w:tc>
          <w:tcPr>
            <w:tcW w:w="6051" w:type="dxa"/>
            <w:tcBorders>
              <w:left w:val="single" w:sz="4" w:space="0" w:color="000000"/>
            </w:tcBorders>
          </w:tcPr>
          <w:p>
            <w:pPr>
              <w:pStyle w:val="TableParagraph"/>
              <w:spacing w:before="69"/>
              <w:ind w:left="107"/>
              <w:rPr>
                <w:sz w:val="20"/>
              </w:rPr>
            </w:pPr>
            <w:r>
              <w:rPr>
                <w:sz w:val="20"/>
              </w:rPr>
              <w:t>Total</w:t>
            </w:r>
            <w:r>
              <w:rPr>
                <w:spacing w:val="-6"/>
                <w:sz w:val="20"/>
              </w:rPr>
              <w:t> </w:t>
            </w:r>
            <w:r>
              <w:rPr>
                <w:spacing w:val="-2"/>
                <w:sz w:val="20"/>
              </w:rPr>
              <w:t>Rates</w:t>
            </w:r>
          </w:p>
        </w:tc>
        <w:tc>
          <w:tcPr>
            <w:tcW w:w="1887" w:type="dxa"/>
          </w:tcPr>
          <w:p>
            <w:pPr>
              <w:pStyle w:val="TableParagraph"/>
              <w:spacing w:before="35"/>
              <w:ind w:right="101"/>
              <w:jc w:val="right"/>
              <w:rPr>
                <w:sz w:val="20"/>
              </w:rPr>
            </w:pPr>
            <w:r>
              <w:rPr>
                <w:spacing w:val="-2"/>
                <w:sz w:val="20"/>
              </w:rPr>
              <w:t>83,863,560</w:t>
            </w:r>
          </w:p>
        </w:tc>
        <w:tc>
          <w:tcPr>
            <w:tcW w:w="2550" w:type="dxa"/>
            <w:tcBorders>
              <w:right w:val="single" w:sz="4" w:space="0" w:color="000000"/>
            </w:tcBorders>
            <w:shd w:val="clear" w:color="auto" w:fill="DDEBF6"/>
          </w:tcPr>
          <w:p>
            <w:pPr>
              <w:pStyle w:val="TableParagraph"/>
              <w:spacing w:before="35"/>
              <w:ind w:right="96"/>
              <w:jc w:val="right"/>
              <w:rPr>
                <w:b/>
                <w:sz w:val="20"/>
              </w:rPr>
            </w:pPr>
            <w:r>
              <w:rPr>
                <w:b/>
                <w:spacing w:val="-2"/>
                <w:sz w:val="20"/>
              </w:rPr>
              <w:t>$87,777,073</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Number</w:t>
            </w:r>
            <w:r>
              <w:rPr>
                <w:spacing w:val="-7"/>
                <w:sz w:val="20"/>
              </w:rPr>
              <w:t> </w:t>
            </w:r>
            <w:r>
              <w:rPr>
                <w:sz w:val="20"/>
              </w:rPr>
              <w:t>of</w:t>
            </w:r>
            <w:r>
              <w:rPr>
                <w:spacing w:val="-7"/>
                <w:sz w:val="20"/>
              </w:rPr>
              <w:t> </w:t>
            </w:r>
            <w:r>
              <w:rPr>
                <w:sz w:val="20"/>
              </w:rPr>
              <w:t>rateable</w:t>
            </w:r>
            <w:r>
              <w:rPr>
                <w:spacing w:val="-3"/>
                <w:sz w:val="20"/>
              </w:rPr>
              <w:t> </w:t>
            </w:r>
            <w:r>
              <w:rPr>
                <w:spacing w:val="-2"/>
                <w:sz w:val="20"/>
              </w:rPr>
              <w:t>properties</w:t>
            </w:r>
          </w:p>
        </w:tc>
        <w:tc>
          <w:tcPr>
            <w:tcW w:w="1887" w:type="dxa"/>
          </w:tcPr>
          <w:p>
            <w:pPr>
              <w:pStyle w:val="TableParagraph"/>
              <w:spacing w:before="14"/>
              <w:ind w:right="102"/>
              <w:jc w:val="right"/>
              <w:rPr>
                <w:sz w:val="20"/>
              </w:rPr>
            </w:pPr>
            <w:r>
              <w:rPr>
                <w:spacing w:val="-2"/>
                <w:sz w:val="20"/>
              </w:rPr>
              <w:t>52,233</w:t>
            </w:r>
          </w:p>
        </w:tc>
        <w:tc>
          <w:tcPr>
            <w:tcW w:w="2550" w:type="dxa"/>
            <w:tcBorders>
              <w:right w:val="single" w:sz="4" w:space="0" w:color="000000"/>
            </w:tcBorders>
            <w:shd w:val="clear" w:color="auto" w:fill="DDEBF6"/>
          </w:tcPr>
          <w:p>
            <w:pPr>
              <w:pStyle w:val="TableParagraph"/>
              <w:spacing w:before="14"/>
              <w:ind w:right="96"/>
              <w:jc w:val="right"/>
              <w:rPr>
                <w:b/>
                <w:sz w:val="20"/>
              </w:rPr>
            </w:pPr>
            <w:r>
              <w:rPr>
                <w:b/>
                <w:spacing w:val="-2"/>
                <w:sz w:val="20"/>
              </w:rPr>
              <w:t>52,675</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Base</w:t>
            </w:r>
            <w:r>
              <w:rPr>
                <w:spacing w:val="-9"/>
                <w:sz w:val="20"/>
              </w:rPr>
              <w:t> </w:t>
            </w:r>
            <w:r>
              <w:rPr>
                <w:sz w:val="20"/>
              </w:rPr>
              <w:t>Average</w:t>
            </w:r>
            <w:r>
              <w:rPr>
                <w:spacing w:val="-8"/>
                <w:sz w:val="20"/>
              </w:rPr>
              <w:t> </w:t>
            </w:r>
            <w:r>
              <w:rPr>
                <w:spacing w:val="-4"/>
                <w:sz w:val="20"/>
              </w:rPr>
              <w:t>Rates</w:t>
            </w:r>
          </w:p>
        </w:tc>
        <w:tc>
          <w:tcPr>
            <w:tcW w:w="1887" w:type="dxa"/>
          </w:tcPr>
          <w:p>
            <w:pPr>
              <w:pStyle w:val="TableParagraph"/>
              <w:spacing w:before="14"/>
              <w:ind w:right="101"/>
              <w:jc w:val="right"/>
              <w:rPr>
                <w:sz w:val="20"/>
              </w:rPr>
            </w:pPr>
            <w:r>
              <w:rPr>
                <w:spacing w:val="-2"/>
                <w:sz w:val="20"/>
              </w:rPr>
              <w:t>1,605.57</w:t>
            </w:r>
          </w:p>
        </w:tc>
        <w:tc>
          <w:tcPr>
            <w:tcW w:w="2550" w:type="dxa"/>
            <w:tcBorders>
              <w:right w:val="single" w:sz="4" w:space="0" w:color="000000"/>
            </w:tcBorders>
            <w:shd w:val="clear" w:color="auto" w:fill="DDEBF6"/>
          </w:tcPr>
          <w:p>
            <w:pPr>
              <w:pStyle w:val="TableParagraph"/>
              <w:spacing w:before="14"/>
              <w:ind w:right="92"/>
              <w:jc w:val="right"/>
              <w:rPr>
                <w:b/>
                <w:sz w:val="20"/>
              </w:rPr>
            </w:pPr>
            <w:r>
              <w:rPr>
                <w:b/>
                <w:spacing w:val="-2"/>
                <w:sz w:val="20"/>
              </w:rPr>
              <w:t>$1,666.39</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Maximum</w:t>
            </w:r>
            <w:r>
              <w:rPr>
                <w:spacing w:val="-5"/>
                <w:sz w:val="20"/>
              </w:rPr>
              <w:t> </w:t>
            </w:r>
            <w:r>
              <w:rPr>
                <w:sz w:val="20"/>
              </w:rPr>
              <w:t>Rate</w:t>
            </w:r>
            <w:r>
              <w:rPr>
                <w:spacing w:val="-4"/>
                <w:sz w:val="20"/>
              </w:rPr>
              <w:t> </w:t>
            </w:r>
            <w:r>
              <w:rPr>
                <w:sz w:val="20"/>
              </w:rPr>
              <w:t>Increase</w:t>
            </w:r>
            <w:r>
              <w:rPr>
                <w:spacing w:val="-6"/>
                <w:sz w:val="20"/>
              </w:rPr>
              <w:t> </w:t>
            </w:r>
            <w:r>
              <w:rPr>
                <w:sz w:val="20"/>
              </w:rPr>
              <w:t>(set</w:t>
            </w:r>
            <w:r>
              <w:rPr>
                <w:spacing w:val="-5"/>
                <w:sz w:val="20"/>
              </w:rPr>
              <w:t> </w:t>
            </w:r>
            <w:r>
              <w:rPr>
                <w:sz w:val="20"/>
              </w:rPr>
              <w:t>by</w:t>
            </w:r>
            <w:r>
              <w:rPr>
                <w:spacing w:val="-4"/>
                <w:sz w:val="20"/>
              </w:rPr>
              <w:t> </w:t>
            </w:r>
            <w:r>
              <w:rPr>
                <w:sz w:val="20"/>
              </w:rPr>
              <w:t>the</w:t>
            </w:r>
            <w:r>
              <w:rPr>
                <w:spacing w:val="-6"/>
                <w:sz w:val="20"/>
              </w:rPr>
              <w:t> </w:t>
            </w:r>
            <w:r>
              <w:rPr>
                <w:sz w:val="20"/>
              </w:rPr>
              <w:t>State</w:t>
            </w:r>
            <w:r>
              <w:rPr>
                <w:spacing w:val="-4"/>
                <w:sz w:val="20"/>
              </w:rPr>
              <w:t> </w:t>
            </w:r>
            <w:r>
              <w:rPr>
                <w:spacing w:val="-2"/>
                <w:sz w:val="20"/>
              </w:rPr>
              <w:t>Government)</w:t>
            </w:r>
          </w:p>
        </w:tc>
        <w:tc>
          <w:tcPr>
            <w:tcW w:w="1887" w:type="dxa"/>
          </w:tcPr>
          <w:p>
            <w:pPr>
              <w:pStyle w:val="TableParagraph"/>
              <w:spacing w:before="14"/>
              <w:ind w:right="102"/>
              <w:jc w:val="right"/>
              <w:rPr>
                <w:sz w:val="20"/>
              </w:rPr>
            </w:pPr>
            <w:r>
              <w:rPr>
                <w:spacing w:val="-2"/>
                <w:sz w:val="20"/>
              </w:rPr>
              <w:t>3.50%</w:t>
            </w:r>
          </w:p>
        </w:tc>
        <w:tc>
          <w:tcPr>
            <w:tcW w:w="2550" w:type="dxa"/>
            <w:tcBorders>
              <w:right w:val="single" w:sz="4" w:space="0" w:color="000000"/>
            </w:tcBorders>
            <w:shd w:val="clear" w:color="auto" w:fill="DDEBF6"/>
          </w:tcPr>
          <w:p>
            <w:pPr>
              <w:pStyle w:val="TableParagraph"/>
              <w:spacing w:before="14"/>
              <w:ind w:right="93"/>
              <w:jc w:val="right"/>
              <w:rPr>
                <w:b/>
                <w:sz w:val="20"/>
              </w:rPr>
            </w:pPr>
            <w:r>
              <w:rPr>
                <w:b/>
                <w:spacing w:val="-2"/>
                <w:sz w:val="20"/>
              </w:rPr>
              <w:t>2.75%</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Capped</w:t>
            </w:r>
            <w:r>
              <w:rPr>
                <w:spacing w:val="-8"/>
                <w:sz w:val="20"/>
              </w:rPr>
              <w:t> </w:t>
            </w:r>
            <w:r>
              <w:rPr>
                <w:sz w:val="20"/>
              </w:rPr>
              <w:t>Average</w:t>
            </w:r>
            <w:r>
              <w:rPr>
                <w:spacing w:val="-8"/>
                <w:sz w:val="20"/>
              </w:rPr>
              <w:t> </w:t>
            </w:r>
            <w:r>
              <w:rPr>
                <w:spacing w:val="-4"/>
                <w:sz w:val="20"/>
              </w:rPr>
              <w:t>Rate</w:t>
            </w:r>
          </w:p>
        </w:tc>
        <w:tc>
          <w:tcPr>
            <w:tcW w:w="1887" w:type="dxa"/>
          </w:tcPr>
          <w:p>
            <w:pPr>
              <w:pStyle w:val="TableParagraph"/>
              <w:spacing w:before="14"/>
              <w:ind w:right="101"/>
              <w:jc w:val="right"/>
              <w:rPr>
                <w:sz w:val="20"/>
              </w:rPr>
            </w:pPr>
            <w:r>
              <w:rPr>
                <w:spacing w:val="-2"/>
                <w:sz w:val="20"/>
              </w:rPr>
              <w:t>1,661.76</w:t>
            </w:r>
          </w:p>
        </w:tc>
        <w:tc>
          <w:tcPr>
            <w:tcW w:w="2550" w:type="dxa"/>
            <w:tcBorders>
              <w:right w:val="single" w:sz="4" w:space="0" w:color="000000"/>
            </w:tcBorders>
            <w:shd w:val="clear" w:color="auto" w:fill="DDEBF6"/>
          </w:tcPr>
          <w:p>
            <w:pPr>
              <w:pStyle w:val="TableParagraph"/>
              <w:spacing w:before="14"/>
              <w:ind w:right="92"/>
              <w:jc w:val="right"/>
              <w:rPr>
                <w:b/>
                <w:sz w:val="20"/>
              </w:rPr>
            </w:pPr>
            <w:r>
              <w:rPr>
                <w:b/>
                <w:spacing w:val="-2"/>
                <w:sz w:val="20"/>
              </w:rPr>
              <w:t>$1,712.22</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Maximum</w:t>
            </w:r>
            <w:r>
              <w:rPr>
                <w:spacing w:val="-8"/>
                <w:sz w:val="20"/>
              </w:rPr>
              <w:t> </w:t>
            </w:r>
            <w:r>
              <w:rPr>
                <w:sz w:val="20"/>
              </w:rPr>
              <w:t>General</w:t>
            </w:r>
            <w:r>
              <w:rPr>
                <w:spacing w:val="-9"/>
                <w:sz w:val="20"/>
              </w:rPr>
              <w:t> </w:t>
            </w:r>
            <w:r>
              <w:rPr>
                <w:sz w:val="20"/>
              </w:rPr>
              <w:t>Rates</w:t>
            </w:r>
            <w:r>
              <w:rPr>
                <w:spacing w:val="-6"/>
                <w:sz w:val="20"/>
              </w:rPr>
              <w:t> </w:t>
            </w:r>
            <w:r>
              <w:rPr>
                <w:sz w:val="20"/>
              </w:rPr>
              <w:t>and</w:t>
            </w:r>
            <w:r>
              <w:rPr>
                <w:spacing w:val="-8"/>
                <w:sz w:val="20"/>
              </w:rPr>
              <w:t> </w:t>
            </w:r>
            <w:r>
              <w:rPr>
                <w:sz w:val="20"/>
              </w:rPr>
              <w:t>Municipal</w:t>
            </w:r>
            <w:r>
              <w:rPr>
                <w:spacing w:val="-8"/>
                <w:sz w:val="20"/>
              </w:rPr>
              <w:t> </w:t>
            </w:r>
            <w:r>
              <w:rPr>
                <w:sz w:val="20"/>
              </w:rPr>
              <w:t>Charges</w:t>
            </w:r>
            <w:r>
              <w:rPr>
                <w:spacing w:val="-6"/>
                <w:sz w:val="20"/>
              </w:rPr>
              <w:t> </w:t>
            </w:r>
            <w:r>
              <w:rPr>
                <w:spacing w:val="-2"/>
                <w:sz w:val="20"/>
              </w:rPr>
              <w:t>Revenue</w:t>
            </w:r>
          </w:p>
        </w:tc>
        <w:tc>
          <w:tcPr>
            <w:tcW w:w="1887" w:type="dxa"/>
          </w:tcPr>
          <w:p>
            <w:pPr>
              <w:pStyle w:val="TableParagraph"/>
              <w:spacing w:before="14"/>
              <w:ind w:right="101"/>
              <w:jc w:val="right"/>
              <w:rPr>
                <w:sz w:val="20"/>
              </w:rPr>
            </w:pPr>
            <w:r>
              <w:rPr>
                <w:spacing w:val="-2"/>
                <w:sz w:val="20"/>
              </w:rPr>
              <w:t>86,798,784</w:t>
            </w:r>
          </w:p>
        </w:tc>
        <w:tc>
          <w:tcPr>
            <w:tcW w:w="2550" w:type="dxa"/>
            <w:tcBorders>
              <w:right w:val="single" w:sz="4" w:space="0" w:color="000000"/>
            </w:tcBorders>
            <w:shd w:val="clear" w:color="auto" w:fill="DDEBF6"/>
          </w:tcPr>
          <w:p>
            <w:pPr>
              <w:pStyle w:val="TableParagraph"/>
              <w:spacing w:before="14"/>
              <w:ind w:right="96"/>
              <w:jc w:val="right"/>
              <w:rPr>
                <w:b/>
                <w:sz w:val="20"/>
              </w:rPr>
            </w:pPr>
            <w:r>
              <w:rPr>
                <w:b/>
                <w:spacing w:val="-2"/>
                <w:sz w:val="20"/>
              </w:rPr>
              <w:t>$90,189,668</w:t>
            </w:r>
          </w:p>
        </w:tc>
      </w:tr>
      <w:tr>
        <w:trPr>
          <w:trHeight w:val="300" w:hRule="atLeast"/>
        </w:trPr>
        <w:tc>
          <w:tcPr>
            <w:tcW w:w="6051" w:type="dxa"/>
            <w:tcBorders>
              <w:left w:val="single" w:sz="4" w:space="0" w:color="000000"/>
            </w:tcBorders>
          </w:tcPr>
          <w:p>
            <w:pPr>
              <w:pStyle w:val="TableParagraph"/>
              <w:spacing w:before="48"/>
              <w:ind w:left="107"/>
              <w:rPr>
                <w:sz w:val="20"/>
              </w:rPr>
            </w:pPr>
            <w:r>
              <w:rPr>
                <w:sz w:val="20"/>
              </w:rPr>
              <w:t>Budgeted</w:t>
            </w:r>
            <w:r>
              <w:rPr>
                <w:spacing w:val="-8"/>
                <w:sz w:val="20"/>
              </w:rPr>
              <w:t> </w:t>
            </w:r>
            <w:r>
              <w:rPr>
                <w:sz w:val="20"/>
              </w:rPr>
              <w:t>General</w:t>
            </w:r>
            <w:r>
              <w:rPr>
                <w:spacing w:val="-5"/>
                <w:sz w:val="20"/>
              </w:rPr>
              <w:t> </w:t>
            </w:r>
            <w:r>
              <w:rPr>
                <w:sz w:val="20"/>
              </w:rPr>
              <w:t>Rates</w:t>
            </w:r>
            <w:r>
              <w:rPr>
                <w:spacing w:val="-7"/>
                <w:sz w:val="20"/>
              </w:rPr>
              <w:t> </w:t>
            </w:r>
            <w:r>
              <w:rPr>
                <w:sz w:val="20"/>
              </w:rPr>
              <w:t>and</w:t>
            </w:r>
            <w:r>
              <w:rPr>
                <w:spacing w:val="-7"/>
                <w:sz w:val="20"/>
              </w:rPr>
              <w:t> </w:t>
            </w:r>
            <w:r>
              <w:rPr>
                <w:sz w:val="20"/>
              </w:rPr>
              <w:t>Municipal</w:t>
            </w:r>
            <w:r>
              <w:rPr>
                <w:spacing w:val="-9"/>
                <w:sz w:val="20"/>
              </w:rPr>
              <w:t> </w:t>
            </w:r>
            <w:r>
              <w:rPr>
                <w:sz w:val="20"/>
              </w:rPr>
              <w:t>Charges</w:t>
            </w:r>
            <w:r>
              <w:rPr>
                <w:spacing w:val="-7"/>
                <w:sz w:val="20"/>
              </w:rPr>
              <w:t> </w:t>
            </w:r>
            <w:r>
              <w:rPr>
                <w:spacing w:val="-2"/>
                <w:sz w:val="20"/>
              </w:rPr>
              <w:t>Revenue</w:t>
            </w:r>
          </w:p>
        </w:tc>
        <w:tc>
          <w:tcPr>
            <w:tcW w:w="1887" w:type="dxa"/>
          </w:tcPr>
          <w:p>
            <w:pPr>
              <w:pStyle w:val="TableParagraph"/>
              <w:spacing w:before="14"/>
              <w:ind w:right="101"/>
              <w:jc w:val="right"/>
              <w:rPr>
                <w:sz w:val="20"/>
              </w:rPr>
            </w:pPr>
            <w:r>
              <w:rPr>
                <w:spacing w:val="-2"/>
                <w:sz w:val="20"/>
              </w:rPr>
              <w:t>86,780,093</w:t>
            </w:r>
          </w:p>
        </w:tc>
        <w:tc>
          <w:tcPr>
            <w:tcW w:w="2550" w:type="dxa"/>
            <w:tcBorders>
              <w:right w:val="single" w:sz="4" w:space="0" w:color="000000"/>
            </w:tcBorders>
            <w:shd w:val="clear" w:color="auto" w:fill="DDEBF6"/>
          </w:tcPr>
          <w:p>
            <w:pPr>
              <w:pStyle w:val="TableParagraph"/>
              <w:spacing w:before="14"/>
              <w:ind w:right="96"/>
              <w:jc w:val="right"/>
              <w:rPr>
                <w:b/>
                <w:sz w:val="20"/>
              </w:rPr>
            </w:pPr>
            <w:r>
              <w:rPr>
                <w:b/>
                <w:spacing w:val="-2"/>
                <w:sz w:val="20"/>
              </w:rPr>
              <w:t>$90,170,764</w:t>
            </w:r>
          </w:p>
        </w:tc>
      </w:tr>
      <w:tr>
        <w:trPr>
          <w:trHeight w:val="303" w:hRule="atLeast"/>
        </w:trPr>
        <w:tc>
          <w:tcPr>
            <w:tcW w:w="6051" w:type="dxa"/>
            <w:tcBorders>
              <w:left w:val="single" w:sz="4" w:space="0" w:color="000000"/>
            </w:tcBorders>
          </w:tcPr>
          <w:p>
            <w:pPr>
              <w:pStyle w:val="TableParagraph"/>
              <w:spacing w:before="48"/>
              <w:ind w:left="107"/>
              <w:rPr>
                <w:sz w:val="20"/>
              </w:rPr>
            </w:pPr>
            <w:r>
              <w:rPr>
                <w:sz w:val="20"/>
              </w:rPr>
              <w:t>Budgeted</w:t>
            </w:r>
            <w:r>
              <w:rPr>
                <w:spacing w:val="-10"/>
                <w:sz w:val="20"/>
              </w:rPr>
              <w:t> </w:t>
            </w:r>
            <w:r>
              <w:rPr>
                <w:sz w:val="20"/>
              </w:rPr>
              <w:t>Supplementary</w:t>
            </w:r>
            <w:r>
              <w:rPr>
                <w:spacing w:val="-11"/>
                <w:sz w:val="20"/>
              </w:rPr>
              <w:t> </w:t>
            </w:r>
            <w:r>
              <w:rPr>
                <w:spacing w:val="-4"/>
                <w:sz w:val="20"/>
              </w:rPr>
              <w:t>Rates</w:t>
            </w:r>
          </w:p>
        </w:tc>
        <w:tc>
          <w:tcPr>
            <w:tcW w:w="1887" w:type="dxa"/>
          </w:tcPr>
          <w:p>
            <w:pPr>
              <w:pStyle w:val="TableParagraph"/>
              <w:spacing w:before="14"/>
              <w:ind w:right="102"/>
              <w:jc w:val="right"/>
              <w:rPr>
                <w:sz w:val="20"/>
              </w:rPr>
            </w:pPr>
            <w:r>
              <w:rPr>
                <w:spacing w:val="-2"/>
                <w:sz w:val="20"/>
              </w:rPr>
              <w:t>996,980</w:t>
            </w:r>
          </w:p>
        </w:tc>
        <w:tc>
          <w:tcPr>
            <w:tcW w:w="2550" w:type="dxa"/>
            <w:tcBorders>
              <w:right w:val="single" w:sz="4" w:space="0" w:color="000000"/>
            </w:tcBorders>
            <w:shd w:val="clear" w:color="auto" w:fill="DDEBF6"/>
          </w:tcPr>
          <w:p>
            <w:pPr>
              <w:pStyle w:val="TableParagraph"/>
              <w:spacing w:before="14"/>
              <w:ind w:right="94"/>
              <w:jc w:val="right"/>
              <w:rPr>
                <w:b/>
                <w:sz w:val="20"/>
              </w:rPr>
            </w:pPr>
            <w:r>
              <w:rPr>
                <w:b/>
                <w:spacing w:val="-2"/>
                <w:sz w:val="20"/>
              </w:rPr>
              <w:t>$553,000</w:t>
            </w:r>
          </w:p>
        </w:tc>
      </w:tr>
      <w:tr>
        <w:trPr>
          <w:trHeight w:val="292" w:hRule="atLeast"/>
        </w:trPr>
        <w:tc>
          <w:tcPr>
            <w:tcW w:w="6051" w:type="dxa"/>
            <w:tcBorders>
              <w:left w:val="single" w:sz="4" w:space="0" w:color="000000"/>
              <w:bottom w:val="single" w:sz="4" w:space="0" w:color="000000"/>
            </w:tcBorders>
          </w:tcPr>
          <w:p>
            <w:pPr>
              <w:pStyle w:val="TableParagraph"/>
              <w:spacing w:line="211" w:lineRule="exact" w:before="61"/>
              <w:ind w:left="107"/>
              <w:rPr>
                <w:sz w:val="20"/>
              </w:rPr>
            </w:pPr>
            <w:r>
              <w:rPr>
                <w:sz w:val="20"/>
              </w:rPr>
              <w:t>Budgeted</w:t>
            </w:r>
            <w:r>
              <w:rPr>
                <w:spacing w:val="-9"/>
                <w:sz w:val="20"/>
              </w:rPr>
              <w:t> </w:t>
            </w:r>
            <w:r>
              <w:rPr>
                <w:sz w:val="20"/>
              </w:rPr>
              <w:t>Total</w:t>
            </w:r>
            <w:r>
              <w:rPr>
                <w:spacing w:val="-5"/>
                <w:sz w:val="20"/>
              </w:rPr>
              <w:t> </w:t>
            </w:r>
            <w:r>
              <w:rPr>
                <w:sz w:val="20"/>
              </w:rPr>
              <w:t>Rates</w:t>
            </w:r>
            <w:r>
              <w:rPr>
                <w:spacing w:val="-4"/>
                <w:sz w:val="20"/>
              </w:rPr>
              <w:t> </w:t>
            </w:r>
            <w:r>
              <w:rPr>
                <w:sz w:val="20"/>
              </w:rPr>
              <w:t>and</w:t>
            </w:r>
            <w:r>
              <w:rPr>
                <w:spacing w:val="-5"/>
                <w:sz w:val="20"/>
              </w:rPr>
              <w:t> </w:t>
            </w:r>
            <w:r>
              <w:rPr>
                <w:sz w:val="20"/>
              </w:rPr>
              <w:t>Municipal</w:t>
            </w:r>
            <w:r>
              <w:rPr>
                <w:spacing w:val="-9"/>
                <w:sz w:val="20"/>
              </w:rPr>
              <w:t> </w:t>
            </w:r>
            <w:r>
              <w:rPr>
                <w:sz w:val="20"/>
              </w:rPr>
              <w:t>Charges</w:t>
            </w:r>
            <w:r>
              <w:rPr>
                <w:spacing w:val="-7"/>
                <w:sz w:val="20"/>
              </w:rPr>
              <w:t> </w:t>
            </w:r>
            <w:r>
              <w:rPr>
                <w:spacing w:val="-2"/>
                <w:sz w:val="20"/>
              </w:rPr>
              <w:t>Revenue</w:t>
            </w:r>
          </w:p>
        </w:tc>
        <w:tc>
          <w:tcPr>
            <w:tcW w:w="1887" w:type="dxa"/>
            <w:tcBorders>
              <w:bottom w:val="single" w:sz="4" w:space="0" w:color="000000"/>
            </w:tcBorders>
          </w:tcPr>
          <w:p>
            <w:pPr>
              <w:pStyle w:val="TableParagraph"/>
              <w:spacing w:before="18"/>
              <w:ind w:right="101"/>
              <w:jc w:val="right"/>
              <w:rPr>
                <w:sz w:val="20"/>
              </w:rPr>
            </w:pPr>
            <w:r>
              <w:rPr>
                <w:spacing w:val="-2"/>
                <w:sz w:val="20"/>
              </w:rPr>
              <w:t>87,777,073</w:t>
            </w:r>
          </w:p>
        </w:tc>
        <w:tc>
          <w:tcPr>
            <w:tcW w:w="2550" w:type="dxa"/>
            <w:tcBorders>
              <w:bottom w:val="single" w:sz="4" w:space="0" w:color="000000"/>
              <w:right w:val="single" w:sz="4" w:space="0" w:color="000000"/>
            </w:tcBorders>
            <w:shd w:val="clear" w:color="auto" w:fill="DDEBF6"/>
          </w:tcPr>
          <w:p>
            <w:pPr>
              <w:pStyle w:val="TableParagraph"/>
              <w:spacing w:before="18"/>
              <w:ind w:right="96"/>
              <w:jc w:val="right"/>
              <w:rPr>
                <w:b/>
                <w:sz w:val="20"/>
              </w:rPr>
            </w:pPr>
            <w:r>
              <w:rPr>
                <w:b/>
                <w:spacing w:val="-2"/>
                <w:sz w:val="20"/>
              </w:rPr>
              <w:t>$90,723,764</w:t>
            </w:r>
          </w:p>
        </w:tc>
      </w:tr>
    </w:tbl>
    <w:p>
      <w:pPr>
        <w:spacing w:after="0"/>
        <w:jc w:val="right"/>
        <w:rPr>
          <w:sz w:val="20"/>
        </w:rPr>
        <w:sectPr>
          <w:pgSz w:w="11910" w:h="16840"/>
          <w:pgMar w:header="0" w:footer="426" w:top="860" w:bottom="740" w:left="460" w:right="160"/>
        </w:sectPr>
      </w:pPr>
    </w:p>
    <w:p>
      <w:pPr>
        <w:pStyle w:val="BodyText"/>
        <w:spacing w:before="81"/>
        <w:ind w:left="260"/>
      </w:pPr>
      <w:r>
        <w:rPr/>
        <w:t>4.1.1(m)</w:t>
      </w:r>
      <w:r>
        <w:rPr>
          <w:spacing w:val="-5"/>
        </w:rPr>
        <w:t> </w:t>
      </w:r>
      <w:r>
        <w:rPr/>
        <w:t>Any</w:t>
      </w:r>
      <w:r>
        <w:rPr>
          <w:spacing w:val="-3"/>
        </w:rPr>
        <w:t> </w:t>
      </w:r>
      <w:r>
        <w:rPr/>
        <w:t>significant</w:t>
      </w:r>
      <w:r>
        <w:rPr>
          <w:spacing w:val="-5"/>
        </w:rPr>
        <w:t> </w:t>
      </w:r>
      <w:r>
        <w:rPr/>
        <w:t>changes</w:t>
      </w:r>
      <w:r>
        <w:rPr>
          <w:spacing w:val="-1"/>
        </w:rPr>
        <w:t> </w:t>
      </w:r>
      <w:r>
        <w:rPr/>
        <w:t>that</w:t>
      </w:r>
      <w:r>
        <w:rPr>
          <w:spacing w:val="-5"/>
        </w:rPr>
        <w:t> </w:t>
      </w:r>
      <w:r>
        <w:rPr/>
        <w:t>may</w:t>
      </w:r>
      <w:r>
        <w:rPr>
          <w:spacing w:val="-5"/>
        </w:rPr>
        <w:t> </w:t>
      </w:r>
      <w:r>
        <w:rPr/>
        <w:t>affect</w:t>
      </w:r>
      <w:r>
        <w:rPr>
          <w:spacing w:val="-3"/>
        </w:rPr>
        <w:t> </w:t>
      </w:r>
      <w:r>
        <w:rPr/>
        <w:t>the</w:t>
      </w:r>
      <w:r>
        <w:rPr>
          <w:spacing w:val="-4"/>
        </w:rPr>
        <w:t> </w:t>
      </w:r>
      <w:r>
        <w:rPr/>
        <w:t>estimated</w:t>
      </w:r>
      <w:r>
        <w:rPr>
          <w:spacing w:val="-1"/>
        </w:rPr>
        <w:t> </w:t>
      </w:r>
      <w:r>
        <w:rPr/>
        <w:t>amounts</w:t>
      </w:r>
      <w:r>
        <w:rPr>
          <w:spacing w:val="-3"/>
        </w:rPr>
        <w:t> </w:t>
      </w:r>
      <w:r>
        <w:rPr/>
        <w:t>to</w:t>
      </w:r>
      <w:r>
        <w:rPr>
          <w:spacing w:val="-2"/>
        </w:rPr>
        <w:t> </w:t>
      </w:r>
      <w:r>
        <w:rPr/>
        <w:t>be</w:t>
      </w:r>
      <w:r>
        <w:rPr>
          <w:spacing w:val="-5"/>
        </w:rPr>
        <w:t> </w:t>
      </w:r>
      <w:r>
        <w:rPr/>
        <w:t>raised</w:t>
      </w:r>
      <w:r>
        <w:rPr>
          <w:spacing w:val="-3"/>
        </w:rPr>
        <w:t> </w:t>
      </w:r>
      <w:r>
        <w:rPr/>
        <w:t>by</w:t>
      </w:r>
      <w:r>
        <w:rPr>
          <w:spacing w:val="-5"/>
        </w:rPr>
        <w:t> </w:t>
      </w:r>
      <w:r>
        <w:rPr/>
        <w:t>rates</w:t>
      </w:r>
      <w:r>
        <w:rPr>
          <w:spacing w:val="-3"/>
        </w:rPr>
        <w:t> </w:t>
      </w:r>
      <w:r>
        <w:rPr/>
        <w:t>and</w:t>
      </w:r>
      <w:r>
        <w:rPr>
          <w:spacing w:val="-6"/>
        </w:rPr>
        <w:t> </w:t>
      </w:r>
      <w:r>
        <w:rPr>
          <w:spacing w:val="-2"/>
        </w:rPr>
        <w:t>charges</w:t>
      </w:r>
    </w:p>
    <w:p>
      <w:pPr>
        <w:pStyle w:val="BodyText"/>
        <w:spacing w:before="1"/>
      </w:pPr>
    </w:p>
    <w:p>
      <w:pPr>
        <w:pStyle w:val="BodyText"/>
        <w:ind w:left="260"/>
      </w:pPr>
      <w:r>
        <w:rPr/>
        <w:t>There are no known significant changes which may affect the estimated amounts to be raised by rates and charges. However, the total amount to be raised by rates and charges may be affected by:</w:t>
      </w:r>
    </w:p>
    <w:p>
      <w:pPr>
        <w:pStyle w:val="BodyText"/>
        <w:spacing w:before="3"/>
      </w:pPr>
    </w:p>
    <w:p>
      <w:pPr>
        <w:pStyle w:val="ListParagraph"/>
        <w:numPr>
          <w:ilvl w:val="0"/>
          <w:numId w:val="14"/>
        </w:numPr>
        <w:tabs>
          <w:tab w:pos="826" w:val="left" w:leader="none"/>
          <w:tab w:pos="827" w:val="left" w:leader="none"/>
        </w:tabs>
        <w:spacing w:line="237" w:lineRule="auto" w:before="0" w:after="0"/>
        <w:ind w:left="826" w:right="554" w:hanging="567"/>
        <w:jc w:val="left"/>
        <w:rPr>
          <w:sz w:val="22"/>
        </w:rPr>
      </w:pPr>
      <w:r>
        <w:rPr>
          <w:sz w:val="22"/>
        </w:rPr>
        <w:t>The making of</w:t>
      </w:r>
      <w:r>
        <w:rPr>
          <w:spacing w:val="28"/>
          <w:sz w:val="22"/>
        </w:rPr>
        <w:t> </w:t>
      </w:r>
      <w:r>
        <w:rPr>
          <w:sz w:val="22"/>
        </w:rPr>
        <w:t>supplementary valuations</w:t>
      </w:r>
      <w:r>
        <w:rPr>
          <w:spacing w:val="28"/>
          <w:sz w:val="22"/>
        </w:rPr>
        <w:t> </w:t>
      </w:r>
      <w:r>
        <w:rPr>
          <w:sz w:val="22"/>
        </w:rPr>
        <w:t>(2024/2025:</w:t>
      </w:r>
      <w:r>
        <w:rPr>
          <w:spacing w:val="28"/>
          <w:sz w:val="22"/>
        </w:rPr>
        <w:t> </w:t>
      </w:r>
      <w:r>
        <w:rPr>
          <w:sz w:val="22"/>
        </w:rPr>
        <w:t>estimated $0.55 million and 2023/2024: $1.0 </w:t>
      </w:r>
      <w:r>
        <w:rPr>
          <w:spacing w:val="-2"/>
          <w:sz w:val="22"/>
        </w:rPr>
        <w:t>million).</w:t>
      </w:r>
    </w:p>
    <w:p>
      <w:pPr>
        <w:pStyle w:val="ListParagraph"/>
        <w:numPr>
          <w:ilvl w:val="0"/>
          <w:numId w:val="14"/>
        </w:numPr>
        <w:tabs>
          <w:tab w:pos="826" w:val="left" w:leader="none"/>
          <w:tab w:pos="827" w:val="left" w:leader="none"/>
        </w:tabs>
        <w:spacing w:line="268" w:lineRule="exact" w:before="2" w:after="0"/>
        <w:ind w:left="826" w:right="0" w:hanging="567"/>
        <w:jc w:val="left"/>
        <w:rPr>
          <w:sz w:val="22"/>
        </w:rPr>
      </w:pPr>
      <w:r>
        <w:rPr>
          <w:sz w:val="22"/>
        </w:rPr>
        <w:t>The</w:t>
      </w:r>
      <w:r>
        <w:rPr>
          <w:spacing w:val="-3"/>
          <w:sz w:val="22"/>
        </w:rPr>
        <w:t> </w:t>
      </w:r>
      <w:r>
        <w:rPr>
          <w:sz w:val="22"/>
        </w:rPr>
        <w:t>variation</w:t>
      </w:r>
      <w:r>
        <w:rPr>
          <w:spacing w:val="-5"/>
          <w:sz w:val="22"/>
        </w:rPr>
        <w:t> </w:t>
      </w:r>
      <w:r>
        <w:rPr>
          <w:sz w:val="22"/>
        </w:rPr>
        <w:t>of</w:t>
      </w:r>
      <w:r>
        <w:rPr>
          <w:spacing w:val="-5"/>
          <w:sz w:val="22"/>
        </w:rPr>
        <w:t> </w:t>
      </w:r>
      <w:r>
        <w:rPr>
          <w:sz w:val="22"/>
        </w:rPr>
        <w:t>returned</w:t>
      </w:r>
      <w:r>
        <w:rPr>
          <w:spacing w:val="-4"/>
          <w:sz w:val="22"/>
        </w:rPr>
        <w:t> </w:t>
      </w:r>
      <w:r>
        <w:rPr>
          <w:sz w:val="22"/>
        </w:rPr>
        <w:t>levels</w:t>
      </w:r>
      <w:r>
        <w:rPr>
          <w:spacing w:val="-3"/>
          <w:sz w:val="22"/>
        </w:rPr>
        <w:t> </w:t>
      </w:r>
      <w:r>
        <w:rPr>
          <w:sz w:val="22"/>
        </w:rPr>
        <w:t>of</w:t>
      </w:r>
      <w:r>
        <w:rPr>
          <w:spacing w:val="-3"/>
          <w:sz w:val="22"/>
        </w:rPr>
        <w:t> </w:t>
      </w:r>
      <w:r>
        <w:rPr>
          <w:sz w:val="22"/>
        </w:rPr>
        <w:t>value</w:t>
      </w:r>
      <w:r>
        <w:rPr>
          <w:spacing w:val="-5"/>
          <w:sz w:val="22"/>
        </w:rPr>
        <w:t> </w:t>
      </w:r>
      <w:r>
        <w:rPr>
          <w:sz w:val="22"/>
        </w:rPr>
        <w:t>(e.g.,</w:t>
      </w:r>
      <w:r>
        <w:rPr>
          <w:spacing w:val="-3"/>
          <w:sz w:val="22"/>
        </w:rPr>
        <w:t> </w:t>
      </w:r>
      <w:r>
        <w:rPr>
          <w:sz w:val="22"/>
        </w:rPr>
        <w:t>valuation</w:t>
      </w:r>
      <w:r>
        <w:rPr>
          <w:spacing w:val="-2"/>
          <w:sz w:val="22"/>
        </w:rPr>
        <w:t> appeals).</w:t>
      </w:r>
    </w:p>
    <w:p>
      <w:pPr>
        <w:pStyle w:val="ListParagraph"/>
        <w:numPr>
          <w:ilvl w:val="0"/>
          <w:numId w:val="14"/>
        </w:numPr>
        <w:tabs>
          <w:tab w:pos="826" w:val="left" w:leader="none"/>
          <w:tab w:pos="827" w:val="left" w:leader="none"/>
        </w:tabs>
        <w:spacing w:line="268" w:lineRule="exact" w:before="0" w:after="0"/>
        <w:ind w:left="826" w:right="0" w:hanging="567"/>
        <w:jc w:val="left"/>
        <w:rPr>
          <w:sz w:val="22"/>
        </w:rPr>
      </w:pPr>
      <w:r>
        <w:rPr>
          <w:sz w:val="22"/>
        </w:rPr>
        <w:t>Changes</w:t>
      </w:r>
      <w:r>
        <w:rPr>
          <w:spacing w:val="-4"/>
          <w:sz w:val="22"/>
        </w:rPr>
        <w:t> </w:t>
      </w:r>
      <w:r>
        <w:rPr>
          <w:sz w:val="22"/>
        </w:rPr>
        <w:t>of</w:t>
      </w:r>
      <w:r>
        <w:rPr>
          <w:spacing w:val="-6"/>
          <w:sz w:val="22"/>
        </w:rPr>
        <w:t> </w:t>
      </w:r>
      <w:r>
        <w:rPr>
          <w:sz w:val="22"/>
        </w:rPr>
        <w:t>use</w:t>
      </w:r>
      <w:r>
        <w:rPr>
          <w:spacing w:val="-2"/>
          <w:sz w:val="22"/>
        </w:rPr>
        <w:t> </w:t>
      </w:r>
      <w:r>
        <w:rPr>
          <w:sz w:val="22"/>
        </w:rPr>
        <w:t>of</w:t>
      </w:r>
      <w:r>
        <w:rPr>
          <w:spacing w:val="-1"/>
          <w:sz w:val="22"/>
        </w:rPr>
        <w:t> </w:t>
      </w:r>
      <w:r>
        <w:rPr>
          <w:sz w:val="22"/>
        </w:rPr>
        <w:t>land</w:t>
      </w:r>
      <w:r>
        <w:rPr>
          <w:spacing w:val="-5"/>
          <w:sz w:val="22"/>
        </w:rPr>
        <w:t> </w:t>
      </w:r>
      <w:r>
        <w:rPr>
          <w:sz w:val="22"/>
        </w:rPr>
        <w:t>such</w:t>
      </w:r>
      <w:r>
        <w:rPr>
          <w:spacing w:val="-3"/>
          <w:sz w:val="22"/>
        </w:rPr>
        <w:t> </w:t>
      </w:r>
      <w:r>
        <w:rPr>
          <w:sz w:val="22"/>
        </w:rPr>
        <w:t>that</w:t>
      </w:r>
      <w:r>
        <w:rPr>
          <w:spacing w:val="-2"/>
          <w:sz w:val="22"/>
        </w:rPr>
        <w:t> </w:t>
      </w:r>
      <w:r>
        <w:rPr>
          <w:sz w:val="22"/>
        </w:rPr>
        <w:t>rateable</w:t>
      </w:r>
      <w:r>
        <w:rPr>
          <w:spacing w:val="-8"/>
          <w:sz w:val="22"/>
        </w:rPr>
        <w:t> </w:t>
      </w:r>
      <w:r>
        <w:rPr>
          <w:sz w:val="22"/>
        </w:rPr>
        <w:t>land</w:t>
      </w:r>
      <w:r>
        <w:rPr>
          <w:spacing w:val="-2"/>
          <w:sz w:val="22"/>
        </w:rPr>
        <w:t> </w:t>
      </w:r>
      <w:r>
        <w:rPr>
          <w:sz w:val="22"/>
        </w:rPr>
        <w:t>becomes</w:t>
      </w:r>
      <w:r>
        <w:rPr>
          <w:spacing w:val="-4"/>
          <w:sz w:val="22"/>
        </w:rPr>
        <w:t> </w:t>
      </w:r>
      <w:r>
        <w:rPr>
          <w:sz w:val="22"/>
        </w:rPr>
        <w:t>non-rateable</w:t>
      </w:r>
      <w:r>
        <w:rPr>
          <w:spacing w:val="-3"/>
          <w:sz w:val="22"/>
        </w:rPr>
        <w:t> </w:t>
      </w:r>
      <w:r>
        <w:rPr>
          <w:sz w:val="22"/>
        </w:rPr>
        <w:t>land</w:t>
      </w:r>
      <w:r>
        <w:rPr>
          <w:spacing w:val="-4"/>
          <w:sz w:val="22"/>
        </w:rPr>
        <w:t> </w:t>
      </w:r>
      <w:r>
        <w:rPr>
          <w:sz w:val="22"/>
        </w:rPr>
        <w:t>and</w:t>
      </w:r>
      <w:r>
        <w:rPr>
          <w:spacing w:val="-2"/>
          <w:sz w:val="22"/>
        </w:rPr>
        <w:t> </w:t>
      </w:r>
      <w:r>
        <w:rPr>
          <w:sz w:val="22"/>
        </w:rPr>
        <w:t>vice</w:t>
      </w:r>
      <w:r>
        <w:rPr>
          <w:spacing w:val="-5"/>
          <w:sz w:val="22"/>
        </w:rPr>
        <w:t> </w:t>
      </w:r>
      <w:r>
        <w:rPr>
          <w:spacing w:val="-2"/>
          <w:sz w:val="22"/>
        </w:rPr>
        <w:t>versa.</w:t>
      </w:r>
    </w:p>
    <w:p>
      <w:pPr>
        <w:pStyle w:val="ListParagraph"/>
        <w:numPr>
          <w:ilvl w:val="0"/>
          <w:numId w:val="14"/>
        </w:numPr>
        <w:tabs>
          <w:tab w:pos="826" w:val="left" w:leader="none"/>
          <w:tab w:pos="827" w:val="left" w:leader="none"/>
        </w:tabs>
        <w:spacing w:line="269" w:lineRule="exact" w:before="0" w:after="0"/>
        <w:ind w:left="826" w:right="0" w:hanging="567"/>
        <w:jc w:val="left"/>
        <w:rPr>
          <w:sz w:val="22"/>
        </w:rPr>
      </w:pPr>
      <w:r>
        <w:rPr>
          <w:sz w:val="22"/>
        </w:rPr>
        <w:t>Changes</w:t>
      </w:r>
      <w:r>
        <w:rPr>
          <w:spacing w:val="-4"/>
          <w:sz w:val="22"/>
        </w:rPr>
        <w:t> </w:t>
      </w:r>
      <w:r>
        <w:rPr>
          <w:sz w:val="22"/>
        </w:rPr>
        <w:t>of</w:t>
      </w:r>
      <w:r>
        <w:rPr>
          <w:spacing w:val="-4"/>
          <w:sz w:val="22"/>
        </w:rPr>
        <w:t> </w:t>
      </w:r>
      <w:r>
        <w:rPr>
          <w:sz w:val="22"/>
        </w:rPr>
        <w:t>use</w:t>
      </w:r>
      <w:r>
        <w:rPr>
          <w:spacing w:val="-2"/>
          <w:sz w:val="22"/>
        </w:rPr>
        <w:t> </w:t>
      </w:r>
      <w:r>
        <w:rPr>
          <w:sz w:val="22"/>
        </w:rPr>
        <w:t>of</w:t>
      </w:r>
      <w:r>
        <w:rPr>
          <w:spacing w:val="-1"/>
          <w:sz w:val="22"/>
        </w:rPr>
        <w:t> </w:t>
      </w:r>
      <w:r>
        <w:rPr>
          <w:sz w:val="22"/>
        </w:rPr>
        <w:t>land</w:t>
      </w:r>
      <w:r>
        <w:rPr>
          <w:spacing w:val="-4"/>
          <w:sz w:val="22"/>
        </w:rPr>
        <w:t> </w:t>
      </w:r>
      <w:r>
        <w:rPr>
          <w:sz w:val="22"/>
        </w:rPr>
        <w:t>such</w:t>
      </w:r>
      <w:r>
        <w:rPr>
          <w:spacing w:val="-2"/>
          <w:sz w:val="22"/>
        </w:rPr>
        <w:t> </w:t>
      </w:r>
      <w:r>
        <w:rPr>
          <w:sz w:val="22"/>
        </w:rPr>
        <w:t>that</w:t>
      </w:r>
      <w:r>
        <w:rPr>
          <w:spacing w:val="-2"/>
          <w:sz w:val="22"/>
        </w:rPr>
        <w:t> </w:t>
      </w:r>
      <w:r>
        <w:rPr>
          <w:sz w:val="22"/>
        </w:rPr>
        <w:t>residential</w:t>
      </w:r>
      <w:r>
        <w:rPr>
          <w:spacing w:val="-3"/>
          <w:sz w:val="22"/>
        </w:rPr>
        <w:t> </w:t>
      </w:r>
      <w:r>
        <w:rPr>
          <w:sz w:val="22"/>
        </w:rPr>
        <w:t>land</w:t>
      </w:r>
      <w:r>
        <w:rPr>
          <w:spacing w:val="-5"/>
          <w:sz w:val="22"/>
        </w:rPr>
        <w:t> </w:t>
      </w:r>
      <w:r>
        <w:rPr>
          <w:sz w:val="22"/>
        </w:rPr>
        <w:t>becomes</w:t>
      </w:r>
      <w:r>
        <w:rPr>
          <w:spacing w:val="-4"/>
          <w:sz w:val="22"/>
        </w:rPr>
        <w:t> </w:t>
      </w:r>
      <w:r>
        <w:rPr>
          <w:sz w:val="22"/>
        </w:rPr>
        <w:t>business</w:t>
      </w:r>
      <w:r>
        <w:rPr>
          <w:spacing w:val="-2"/>
          <w:sz w:val="22"/>
        </w:rPr>
        <w:t> </w:t>
      </w:r>
      <w:r>
        <w:rPr>
          <w:sz w:val="22"/>
        </w:rPr>
        <w:t>land</w:t>
      </w:r>
      <w:r>
        <w:rPr>
          <w:spacing w:val="-4"/>
          <w:sz w:val="22"/>
        </w:rPr>
        <w:t> </w:t>
      </w:r>
      <w:r>
        <w:rPr>
          <w:sz w:val="22"/>
        </w:rPr>
        <w:t>and</w:t>
      </w:r>
      <w:r>
        <w:rPr>
          <w:spacing w:val="-3"/>
          <w:sz w:val="22"/>
        </w:rPr>
        <w:t> </w:t>
      </w:r>
      <w:r>
        <w:rPr>
          <w:sz w:val="22"/>
        </w:rPr>
        <w:t>vice</w:t>
      </w:r>
      <w:r>
        <w:rPr>
          <w:spacing w:val="-2"/>
          <w:sz w:val="22"/>
        </w:rPr>
        <w:t> versa.</w:t>
      </w:r>
    </w:p>
    <w:p>
      <w:pPr>
        <w:pStyle w:val="BodyText"/>
        <w:spacing w:before="7"/>
        <w:rPr>
          <w:sz w:val="21"/>
        </w:rPr>
      </w:pPr>
    </w:p>
    <w:p>
      <w:pPr>
        <w:pStyle w:val="BodyText"/>
        <w:spacing w:before="1"/>
        <w:ind w:left="260"/>
      </w:pPr>
      <w:r>
        <w:rPr/>
        <w:t>4.1.1(n)</w:t>
      </w:r>
      <w:r>
        <w:rPr>
          <w:spacing w:val="-6"/>
        </w:rPr>
        <w:t> </w:t>
      </w:r>
      <w:r>
        <w:rPr/>
        <w:t>Differential</w:t>
      </w:r>
      <w:r>
        <w:rPr>
          <w:spacing w:val="-5"/>
        </w:rPr>
        <w:t> </w:t>
      </w:r>
      <w:r>
        <w:rPr>
          <w:spacing w:val="-4"/>
        </w:rPr>
        <w:t>rates</w:t>
      </w:r>
    </w:p>
    <w:p>
      <w:pPr>
        <w:pStyle w:val="BodyText"/>
      </w:pPr>
    </w:p>
    <w:p>
      <w:pPr>
        <w:spacing w:before="0"/>
        <w:ind w:left="260" w:right="0" w:firstLine="0"/>
        <w:jc w:val="left"/>
        <w:rPr>
          <w:b/>
          <w:sz w:val="22"/>
        </w:rPr>
      </w:pPr>
      <w:r>
        <w:rPr>
          <w:b/>
          <w:sz w:val="22"/>
          <w:u w:val="single"/>
        </w:rPr>
        <w:t>Rates</w:t>
      </w:r>
      <w:r>
        <w:rPr>
          <w:b/>
          <w:spacing w:val="-1"/>
          <w:sz w:val="22"/>
          <w:u w:val="single"/>
        </w:rPr>
        <w:t> </w:t>
      </w:r>
      <w:r>
        <w:rPr>
          <w:b/>
          <w:sz w:val="22"/>
          <w:u w:val="single"/>
        </w:rPr>
        <w:t>to</w:t>
      </w:r>
      <w:r>
        <w:rPr>
          <w:b/>
          <w:spacing w:val="-4"/>
          <w:sz w:val="22"/>
          <w:u w:val="single"/>
        </w:rPr>
        <w:t> </w:t>
      </w:r>
      <w:r>
        <w:rPr>
          <w:b/>
          <w:sz w:val="22"/>
          <w:u w:val="single"/>
        </w:rPr>
        <w:t>be</w:t>
      </w:r>
      <w:r>
        <w:rPr>
          <w:b/>
          <w:spacing w:val="-2"/>
          <w:sz w:val="22"/>
          <w:u w:val="single"/>
        </w:rPr>
        <w:t> levied.</w:t>
      </w:r>
    </w:p>
    <w:p>
      <w:pPr>
        <w:pStyle w:val="BodyText"/>
        <w:spacing w:before="10"/>
        <w:rPr>
          <w:b/>
          <w:sz w:val="13"/>
        </w:rPr>
      </w:pPr>
    </w:p>
    <w:p>
      <w:pPr>
        <w:pStyle w:val="BodyText"/>
        <w:spacing w:before="94"/>
        <w:ind w:left="260"/>
        <w:jc w:val="both"/>
      </w:pPr>
      <w:r>
        <w:rPr/>
        <w:t>The</w:t>
      </w:r>
      <w:r>
        <w:rPr>
          <w:spacing w:val="-3"/>
        </w:rPr>
        <w:t> </w:t>
      </w:r>
      <w:r>
        <w:rPr/>
        <w:t>rate</w:t>
      </w:r>
      <w:r>
        <w:rPr>
          <w:spacing w:val="-2"/>
        </w:rPr>
        <w:t> </w:t>
      </w:r>
      <w:r>
        <w:rPr/>
        <w:t>and</w:t>
      </w:r>
      <w:r>
        <w:rPr>
          <w:spacing w:val="-4"/>
        </w:rPr>
        <w:t> </w:t>
      </w:r>
      <w:r>
        <w:rPr/>
        <w:t>amount</w:t>
      </w:r>
      <w:r>
        <w:rPr>
          <w:spacing w:val="-1"/>
        </w:rPr>
        <w:t> </w:t>
      </w:r>
      <w:r>
        <w:rPr/>
        <w:t>of</w:t>
      </w:r>
      <w:r>
        <w:rPr>
          <w:spacing w:val="-3"/>
        </w:rPr>
        <w:t> </w:t>
      </w:r>
      <w:r>
        <w:rPr/>
        <w:t>rates</w:t>
      </w:r>
      <w:r>
        <w:rPr>
          <w:spacing w:val="-1"/>
        </w:rPr>
        <w:t> </w:t>
      </w:r>
      <w:r>
        <w:rPr/>
        <w:t>payable</w:t>
      </w:r>
      <w:r>
        <w:rPr>
          <w:spacing w:val="-7"/>
        </w:rPr>
        <w:t> </w:t>
      </w:r>
      <w:r>
        <w:rPr/>
        <w:t>in</w:t>
      </w:r>
      <w:r>
        <w:rPr>
          <w:spacing w:val="-2"/>
        </w:rPr>
        <w:t> </w:t>
      </w:r>
      <w:r>
        <w:rPr/>
        <w:t>relation</w:t>
      </w:r>
      <w:r>
        <w:rPr>
          <w:spacing w:val="-3"/>
        </w:rPr>
        <w:t> </w:t>
      </w:r>
      <w:r>
        <w:rPr/>
        <w:t>to</w:t>
      </w:r>
      <w:r>
        <w:rPr>
          <w:spacing w:val="-2"/>
        </w:rPr>
        <w:t> </w:t>
      </w:r>
      <w:r>
        <w:rPr/>
        <w:t>land</w:t>
      </w:r>
      <w:r>
        <w:rPr>
          <w:spacing w:val="-2"/>
        </w:rPr>
        <w:t> </w:t>
      </w:r>
      <w:r>
        <w:rPr/>
        <w:t>in</w:t>
      </w:r>
      <w:r>
        <w:rPr>
          <w:spacing w:val="-3"/>
        </w:rPr>
        <w:t> </w:t>
      </w:r>
      <w:r>
        <w:rPr/>
        <w:t>each</w:t>
      </w:r>
      <w:r>
        <w:rPr>
          <w:spacing w:val="-5"/>
        </w:rPr>
        <w:t> </w:t>
      </w:r>
      <w:r>
        <w:rPr/>
        <w:t>category</w:t>
      </w:r>
      <w:r>
        <w:rPr>
          <w:spacing w:val="-7"/>
        </w:rPr>
        <w:t> </w:t>
      </w:r>
      <w:r>
        <w:rPr/>
        <w:t>of</w:t>
      </w:r>
      <w:r>
        <w:rPr>
          <w:spacing w:val="-1"/>
        </w:rPr>
        <w:t> </w:t>
      </w:r>
      <w:r>
        <w:rPr/>
        <w:t>differential</w:t>
      </w:r>
      <w:r>
        <w:rPr>
          <w:spacing w:val="-2"/>
        </w:rPr>
        <w:t> </w:t>
      </w:r>
      <w:r>
        <w:rPr>
          <w:spacing w:val="-4"/>
        </w:rPr>
        <w:t>are:</w:t>
      </w:r>
    </w:p>
    <w:p>
      <w:pPr>
        <w:pStyle w:val="BodyText"/>
      </w:pPr>
    </w:p>
    <w:p>
      <w:pPr>
        <w:pStyle w:val="ListParagraph"/>
        <w:numPr>
          <w:ilvl w:val="0"/>
          <w:numId w:val="14"/>
        </w:numPr>
        <w:tabs>
          <w:tab w:pos="826" w:val="left" w:leader="none"/>
          <w:tab w:pos="827" w:val="left" w:leader="none"/>
        </w:tabs>
        <w:spacing w:line="269" w:lineRule="exact" w:before="0" w:after="0"/>
        <w:ind w:left="826" w:right="0" w:hanging="567"/>
        <w:jc w:val="left"/>
        <w:rPr>
          <w:sz w:val="22"/>
        </w:rPr>
      </w:pPr>
      <w:r>
        <w:rPr>
          <w:sz w:val="22"/>
        </w:rPr>
        <w:t>A</w:t>
      </w:r>
      <w:r>
        <w:rPr>
          <w:spacing w:val="-4"/>
          <w:sz w:val="22"/>
        </w:rPr>
        <w:t> </w:t>
      </w:r>
      <w:r>
        <w:rPr>
          <w:sz w:val="22"/>
        </w:rPr>
        <w:t>general</w:t>
      </w:r>
      <w:r>
        <w:rPr>
          <w:spacing w:val="-4"/>
          <w:sz w:val="22"/>
        </w:rPr>
        <w:t> </w:t>
      </w:r>
      <w:r>
        <w:rPr>
          <w:sz w:val="22"/>
        </w:rPr>
        <w:t>rate</w:t>
      </w:r>
      <w:r>
        <w:rPr>
          <w:spacing w:val="-4"/>
          <w:sz w:val="22"/>
        </w:rPr>
        <w:t> </w:t>
      </w:r>
      <w:r>
        <w:rPr>
          <w:sz w:val="22"/>
        </w:rPr>
        <w:t>of</w:t>
      </w:r>
      <w:r>
        <w:rPr>
          <w:spacing w:val="-1"/>
          <w:sz w:val="22"/>
        </w:rPr>
        <w:t> </w:t>
      </w:r>
      <w:r>
        <w:rPr>
          <w:sz w:val="22"/>
        </w:rPr>
        <w:t>0.191336%</w:t>
      </w:r>
      <w:r>
        <w:rPr>
          <w:spacing w:val="-4"/>
          <w:sz w:val="22"/>
        </w:rPr>
        <w:t> </w:t>
      </w:r>
      <w:r>
        <w:rPr>
          <w:sz w:val="22"/>
        </w:rPr>
        <w:t>for</w:t>
      </w:r>
      <w:r>
        <w:rPr>
          <w:spacing w:val="-2"/>
          <w:sz w:val="22"/>
        </w:rPr>
        <w:t> </w:t>
      </w:r>
      <w:r>
        <w:rPr>
          <w:sz w:val="22"/>
        </w:rPr>
        <w:t>all</w:t>
      </w:r>
      <w:r>
        <w:rPr>
          <w:spacing w:val="-2"/>
          <w:sz w:val="22"/>
        </w:rPr>
        <w:t> </w:t>
      </w:r>
      <w:r>
        <w:rPr>
          <w:sz w:val="22"/>
        </w:rPr>
        <w:t>rateable</w:t>
      </w:r>
      <w:r>
        <w:rPr>
          <w:spacing w:val="-6"/>
          <w:sz w:val="22"/>
        </w:rPr>
        <w:t> </w:t>
      </w:r>
      <w:r>
        <w:rPr>
          <w:sz w:val="22"/>
        </w:rPr>
        <w:t>General</w:t>
      </w:r>
      <w:r>
        <w:rPr>
          <w:spacing w:val="-2"/>
          <w:sz w:val="22"/>
        </w:rPr>
        <w:t> </w:t>
      </w:r>
      <w:r>
        <w:rPr>
          <w:sz w:val="22"/>
        </w:rPr>
        <w:t>Land; </w:t>
      </w:r>
      <w:r>
        <w:rPr>
          <w:spacing w:val="-5"/>
          <w:sz w:val="22"/>
        </w:rPr>
        <w:t>and</w:t>
      </w:r>
    </w:p>
    <w:p>
      <w:pPr>
        <w:pStyle w:val="ListParagraph"/>
        <w:numPr>
          <w:ilvl w:val="0"/>
          <w:numId w:val="14"/>
        </w:numPr>
        <w:tabs>
          <w:tab w:pos="826" w:val="left" w:leader="none"/>
          <w:tab w:pos="827" w:val="left" w:leader="none"/>
        </w:tabs>
        <w:spacing w:line="268" w:lineRule="exact" w:before="0" w:after="0"/>
        <w:ind w:left="826" w:right="0" w:hanging="567"/>
        <w:jc w:val="left"/>
        <w:rPr>
          <w:sz w:val="22"/>
        </w:rPr>
      </w:pPr>
      <w:r>
        <w:rPr>
          <w:sz w:val="22"/>
        </w:rPr>
        <w:t>A</w:t>
      </w:r>
      <w:r>
        <w:rPr>
          <w:spacing w:val="-5"/>
          <w:sz w:val="22"/>
        </w:rPr>
        <w:t> </w:t>
      </w:r>
      <w:r>
        <w:rPr>
          <w:sz w:val="22"/>
        </w:rPr>
        <w:t>general</w:t>
      </w:r>
      <w:r>
        <w:rPr>
          <w:spacing w:val="-4"/>
          <w:sz w:val="22"/>
        </w:rPr>
        <w:t> </w:t>
      </w:r>
      <w:r>
        <w:rPr>
          <w:sz w:val="22"/>
        </w:rPr>
        <w:t>rate</w:t>
      </w:r>
      <w:r>
        <w:rPr>
          <w:spacing w:val="-4"/>
          <w:sz w:val="22"/>
        </w:rPr>
        <w:t> </w:t>
      </w:r>
      <w:r>
        <w:rPr>
          <w:sz w:val="22"/>
        </w:rPr>
        <w:t>of</w:t>
      </w:r>
      <w:r>
        <w:rPr>
          <w:spacing w:val="-2"/>
          <w:sz w:val="22"/>
        </w:rPr>
        <w:t> </w:t>
      </w:r>
      <w:r>
        <w:rPr>
          <w:sz w:val="22"/>
        </w:rPr>
        <w:t>0.229603%</w:t>
      </w:r>
      <w:r>
        <w:rPr>
          <w:spacing w:val="-4"/>
          <w:sz w:val="22"/>
        </w:rPr>
        <w:t> </w:t>
      </w:r>
      <w:r>
        <w:rPr>
          <w:sz w:val="22"/>
        </w:rPr>
        <w:t>for</w:t>
      </w:r>
      <w:r>
        <w:rPr>
          <w:spacing w:val="-2"/>
          <w:sz w:val="22"/>
        </w:rPr>
        <w:t> </w:t>
      </w:r>
      <w:r>
        <w:rPr>
          <w:sz w:val="22"/>
        </w:rPr>
        <w:t>all</w:t>
      </w:r>
      <w:r>
        <w:rPr>
          <w:spacing w:val="-3"/>
          <w:sz w:val="22"/>
        </w:rPr>
        <w:t> </w:t>
      </w:r>
      <w:r>
        <w:rPr>
          <w:sz w:val="22"/>
        </w:rPr>
        <w:t>rateable</w:t>
      </w:r>
      <w:r>
        <w:rPr>
          <w:spacing w:val="-6"/>
          <w:sz w:val="22"/>
        </w:rPr>
        <w:t> </w:t>
      </w:r>
      <w:r>
        <w:rPr>
          <w:sz w:val="22"/>
        </w:rPr>
        <w:t>Commercial</w:t>
      </w:r>
      <w:r>
        <w:rPr>
          <w:spacing w:val="-2"/>
          <w:sz w:val="22"/>
        </w:rPr>
        <w:t> </w:t>
      </w:r>
      <w:r>
        <w:rPr>
          <w:sz w:val="22"/>
        </w:rPr>
        <w:t>Land; </w:t>
      </w:r>
      <w:r>
        <w:rPr>
          <w:spacing w:val="-5"/>
          <w:sz w:val="22"/>
        </w:rPr>
        <w:t>and</w:t>
      </w:r>
    </w:p>
    <w:p>
      <w:pPr>
        <w:pStyle w:val="ListParagraph"/>
        <w:numPr>
          <w:ilvl w:val="0"/>
          <w:numId w:val="14"/>
        </w:numPr>
        <w:tabs>
          <w:tab w:pos="826" w:val="left" w:leader="none"/>
          <w:tab w:pos="827" w:val="left" w:leader="none"/>
        </w:tabs>
        <w:spacing w:line="268" w:lineRule="exact" w:before="0" w:after="0"/>
        <w:ind w:left="826" w:right="0" w:hanging="567"/>
        <w:jc w:val="left"/>
        <w:rPr>
          <w:sz w:val="22"/>
        </w:rPr>
      </w:pPr>
      <w:r>
        <w:rPr>
          <w:sz w:val="22"/>
        </w:rPr>
        <w:t>A</w:t>
      </w:r>
      <w:r>
        <w:rPr>
          <w:spacing w:val="-5"/>
          <w:sz w:val="22"/>
        </w:rPr>
        <w:t> </w:t>
      </w:r>
      <w:r>
        <w:rPr>
          <w:sz w:val="22"/>
        </w:rPr>
        <w:t>general</w:t>
      </w:r>
      <w:r>
        <w:rPr>
          <w:spacing w:val="-4"/>
          <w:sz w:val="22"/>
        </w:rPr>
        <w:t> </w:t>
      </w:r>
      <w:r>
        <w:rPr>
          <w:sz w:val="22"/>
        </w:rPr>
        <w:t>rate</w:t>
      </w:r>
      <w:r>
        <w:rPr>
          <w:spacing w:val="-4"/>
          <w:sz w:val="22"/>
        </w:rPr>
        <w:t> </w:t>
      </w:r>
      <w:r>
        <w:rPr>
          <w:sz w:val="22"/>
        </w:rPr>
        <w:t>of</w:t>
      </w:r>
      <w:r>
        <w:rPr>
          <w:spacing w:val="-2"/>
          <w:sz w:val="22"/>
        </w:rPr>
        <w:t> </w:t>
      </w:r>
      <w:r>
        <w:rPr>
          <w:sz w:val="22"/>
        </w:rPr>
        <w:t>0.229603%</w:t>
      </w:r>
      <w:r>
        <w:rPr>
          <w:spacing w:val="-4"/>
          <w:sz w:val="22"/>
        </w:rPr>
        <w:t> </w:t>
      </w:r>
      <w:r>
        <w:rPr>
          <w:sz w:val="22"/>
        </w:rPr>
        <w:t>for</w:t>
      </w:r>
      <w:r>
        <w:rPr>
          <w:spacing w:val="-2"/>
          <w:sz w:val="22"/>
        </w:rPr>
        <w:t> </w:t>
      </w:r>
      <w:r>
        <w:rPr>
          <w:sz w:val="22"/>
        </w:rPr>
        <w:t>all</w:t>
      </w:r>
      <w:r>
        <w:rPr>
          <w:spacing w:val="-3"/>
          <w:sz w:val="22"/>
        </w:rPr>
        <w:t> </w:t>
      </w:r>
      <w:r>
        <w:rPr>
          <w:sz w:val="22"/>
        </w:rPr>
        <w:t>rateable</w:t>
      </w:r>
      <w:r>
        <w:rPr>
          <w:spacing w:val="-6"/>
          <w:sz w:val="22"/>
        </w:rPr>
        <w:t> </w:t>
      </w:r>
      <w:r>
        <w:rPr>
          <w:sz w:val="22"/>
        </w:rPr>
        <w:t>Industrial</w:t>
      </w:r>
      <w:r>
        <w:rPr>
          <w:spacing w:val="-2"/>
          <w:sz w:val="22"/>
        </w:rPr>
        <w:t> </w:t>
      </w:r>
      <w:r>
        <w:rPr>
          <w:sz w:val="22"/>
        </w:rPr>
        <w:t>Land; </w:t>
      </w:r>
      <w:r>
        <w:rPr>
          <w:spacing w:val="-5"/>
          <w:sz w:val="22"/>
        </w:rPr>
        <w:t>and</w:t>
      </w:r>
    </w:p>
    <w:p>
      <w:pPr>
        <w:pStyle w:val="ListParagraph"/>
        <w:numPr>
          <w:ilvl w:val="0"/>
          <w:numId w:val="14"/>
        </w:numPr>
        <w:tabs>
          <w:tab w:pos="826" w:val="left" w:leader="none"/>
          <w:tab w:pos="827" w:val="left" w:leader="none"/>
        </w:tabs>
        <w:spacing w:line="269" w:lineRule="exact" w:before="0" w:after="0"/>
        <w:ind w:left="826" w:right="0" w:hanging="567"/>
        <w:jc w:val="left"/>
        <w:rPr>
          <w:sz w:val="22"/>
        </w:rPr>
      </w:pPr>
      <w:r>
        <w:rPr>
          <w:sz w:val="22"/>
        </w:rPr>
        <w:t>A</w:t>
      </w:r>
      <w:r>
        <w:rPr>
          <w:spacing w:val="-5"/>
          <w:sz w:val="22"/>
        </w:rPr>
        <w:t> </w:t>
      </w:r>
      <w:r>
        <w:rPr>
          <w:sz w:val="22"/>
        </w:rPr>
        <w:t>general</w:t>
      </w:r>
      <w:r>
        <w:rPr>
          <w:spacing w:val="-4"/>
          <w:sz w:val="22"/>
        </w:rPr>
        <w:t> </w:t>
      </w:r>
      <w:r>
        <w:rPr>
          <w:sz w:val="22"/>
        </w:rPr>
        <w:t>rate</w:t>
      </w:r>
      <w:r>
        <w:rPr>
          <w:spacing w:val="-4"/>
          <w:sz w:val="22"/>
        </w:rPr>
        <w:t> </w:t>
      </w:r>
      <w:r>
        <w:rPr>
          <w:sz w:val="22"/>
        </w:rPr>
        <w:t>of</w:t>
      </w:r>
      <w:r>
        <w:rPr>
          <w:spacing w:val="-2"/>
          <w:sz w:val="22"/>
        </w:rPr>
        <w:t> </w:t>
      </w:r>
      <w:r>
        <w:rPr>
          <w:sz w:val="22"/>
        </w:rPr>
        <w:t>0.287004%</w:t>
      </w:r>
      <w:r>
        <w:rPr>
          <w:spacing w:val="-4"/>
          <w:sz w:val="22"/>
        </w:rPr>
        <w:t> </w:t>
      </w:r>
      <w:r>
        <w:rPr>
          <w:sz w:val="22"/>
        </w:rPr>
        <w:t>for</w:t>
      </w:r>
      <w:r>
        <w:rPr>
          <w:spacing w:val="-2"/>
          <w:sz w:val="22"/>
        </w:rPr>
        <w:t> </w:t>
      </w:r>
      <w:r>
        <w:rPr>
          <w:sz w:val="22"/>
        </w:rPr>
        <w:t>all</w:t>
      </w:r>
      <w:r>
        <w:rPr>
          <w:spacing w:val="-3"/>
          <w:sz w:val="22"/>
        </w:rPr>
        <w:t> </w:t>
      </w:r>
      <w:r>
        <w:rPr>
          <w:sz w:val="22"/>
        </w:rPr>
        <w:t>rateable</w:t>
      </w:r>
      <w:r>
        <w:rPr>
          <w:spacing w:val="-6"/>
          <w:sz w:val="22"/>
        </w:rPr>
        <w:t> </w:t>
      </w:r>
      <w:r>
        <w:rPr>
          <w:sz w:val="22"/>
        </w:rPr>
        <w:t>Vacant Land;</w:t>
      </w:r>
      <w:r>
        <w:rPr>
          <w:spacing w:val="-2"/>
          <w:sz w:val="22"/>
        </w:rPr>
        <w:t> </w:t>
      </w:r>
      <w:r>
        <w:rPr>
          <w:spacing w:val="-5"/>
          <w:sz w:val="22"/>
        </w:rPr>
        <w:t>and</w:t>
      </w:r>
    </w:p>
    <w:p>
      <w:pPr>
        <w:pStyle w:val="ListParagraph"/>
        <w:numPr>
          <w:ilvl w:val="0"/>
          <w:numId w:val="14"/>
        </w:numPr>
        <w:tabs>
          <w:tab w:pos="826" w:val="left" w:leader="none"/>
          <w:tab w:pos="827" w:val="left" w:leader="none"/>
        </w:tabs>
        <w:spacing w:line="269" w:lineRule="exact" w:before="0" w:after="0"/>
        <w:ind w:left="826" w:right="0" w:hanging="567"/>
        <w:jc w:val="left"/>
        <w:rPr>
          <w:sz w:val="22"/>
        </w:rPr>
      </w:pPr>
      <w:r>
        <w:rPr>
          <w:sz w:val="22"/>
        </w:rPr>
        <w:t>A</w:t>
      </w:r>
      <w:r>
        <w:rPr>
          <w:spacing w:val="-5"/>
          <w:sz w:val="22"/>
        </w:rPr>
        <w:t> </w:t>
      </w:r>
      <w:r>
        <w:rPr>
          <w:sz w:val="22"/>
        </w:rPr>
        <w:t>general</w:t>
      </w:r>
      <w:r>
        <w:rPr>
          <w:spacing w:val="-4"/>
          <w:sz w:val="22"/>
        </w:rPr>
        <w:t> </w:t>
      </w:r>
      <w:r>
        <w:rPr>
          <w:sz w:val="22"/>
        </w:rPr>
        <w:t>rate</w:t>
      </w:r>
      <w:r>
        <w:rPr>
          <w:spacing w:val="-4"/>
          <w:sz w:val="22"/>
        </w:rPr>
        <w:t> </w:t>
      </w:r>
      <w:r>
        <w:rPr>
          <w:sz w:val="22"/>
        </w:rPr>
        <w:t>of</w:t>
      </w:r>
      <w:r>
        <w:rPr>
          <w:spacing w:val="-1"/>
          <w:sz w:val="22"/>
        </w:rPr>
        <w:t> </w:t>
      </w:r>
      <w:r>
        <w:rPr>
          <w:sz w:val="22"/>
        </w:rPr>
        <w:t>0.574008%</w:t>
      </w:r>
      <w:r>
        <w:rPr>
          <w:spacing w:val="-5"/>
          <w:sz w:val="22"/>
        </w:rPr>
        <w:t> </w:t>
      </w:r>
      <w:r>
        <w:rPr>
          <w:sz w:val="22"/>
        </w:rPr>
        <w:t>for</w:t>
      </w:r>
      <w:r>
        <w:rPr>
          <w:spacing w:val="-2"/>
          <w:sz w:val="22"/>
        </w:rPr>
        <w:t> </w:t>
      </w:r>
      <w:r>
        <w:rPr>
          <w:sz w:val="22"/>
        </w:rPr>
        <w:t>all</w:t>
      </w:r>
      <w:r>
        <w:rPr>
          <w:spacing w:val="-2"/>
          <w:sz w:val="22"/>
        </w:rPr>
        <w:t> </w:t>
      </w:r>
      <w:r>
        <w:rPr>
          <w:sz w:val="22"/>
        </w:rPr>
        <w:t>rateable</w:t>
      </w:r>
      <w:r>
        <w:rPr>
          <w:spacing w:val="-6"/>
          <w:sz w:val="22"/>
        </w:rPr>
        <w:t> </w:t>
      </w:r>
      <w:r>
        <w:rPr>
          <w:sz w:val="22"/>
        </w:rPr>
        <w:t>Derelict </w:t>
      </w:r>
      <w:r>
        <w:rPr>
          <w:spacing w:val="-2"/>
          <w:sz w:val="22"/>
        </w:rPr>
        <w:t>Land.</w:t>
      </w:r>
    </w:p>
    <w:p>
      <w:pPr>
        <w:pStyle w:val="BodyText"/>
        <w:spacing w:before="196"/>
        <w:ind w:left="260" w:right="554"/>
        <w:jc w:val="both"/>
      </w:pPr>
      <w:r>
        <w:rPr/>
        <w:t>Each differential rate will be determined by multiplying the Capital Improved Value of each rateable land (categorised by the characteristics described below) by the relevant percentages indicated above.</w:t>
      </w:r>
    </w:p>
    <w:p>
      <w:pPr>
        <w:pStyle w:val="BodyText"/>
      </w:pPr>
    </w:p>
    <w:p>
      <w:pPr>
        <w:pStyle w:val="BodyText"/>
        <w:ind w:left="260" w:right="553"/>
        <w:jc w:val="both"/>
      </w:pPr>
      <w:r>
        <w:rPr/>
        <w:t>Council</w:t>
      </w:r>
      <w:r>
        <w:rPr>
          <w:spacing w:val="-16"/>
        </w:rPr>
        <w:t> </w:t>
      </w:r>
      <w:r>
        <w:rPr/>
        <w:t>considers</w:t>
      </w:r>
      <w:r>
        <w:rPr>
          <w:spacing w:val="-15"/>
        </w:rPr>
        <w:t> </w:t>
      </w:r>
      <w:r>
        <w:rPr/>
        <w:t>that</w:t>
      </w:r>
      <w:r>
        <w:rPr>
          <w:spacing w:val="-15"/>
        </w:rPr>
        <w:t> </w:t>
      </w:r>
      <w:r>
        <w:rPr/>
        <w:t>each</w:t>
      </w:r>
      <w:r>
        <w:rPr>
          <w:spacing w:val="-16"/>
        </w:rPr>
        <w:t> </w:t>
      </w:r>
      <w:r>
        <w:rPr/>
        <w:t>differential</w:t>
      </w:r>
      <w:r>
        <w:rPr>
          <w:spacing w:val="-15"/>
        </w:rPr>
        <w:t> </w:t>
      </w:r>
      <w:r>
        <w:rPr/>
        <w:t>rate</w:t>
      </w:r>
      <w:r>
        <w:rPr>
          <w:spacing w:val="-14"/>
        </w:rPr>
        <w:t> </w:t>
      </w:r>
      <w:r>
        <w:rPr/>
        <w:t>will</w:t>
      </w:r>
      <w:r>
        <w:rPr>
          <w:spacing w:val="-16"/>
        </w:rPr>
        <w:t> </w:t>
      </w:r>
      <w:r>
        <w:rPr/>
        <w:t>contribute</w:t>
      </w:r>
      <w:r>
        <w:rPr>
          <w:spacing w:val="-15"/>
        </w:rPr>
        <w:t> </w:t>
      </w:r>
      <w:r>
        <w:rPr/>
        <w:t>to</w:t>
      </w:r>
      <w:r>
        <w:rPr>
          <w:spacing w:val="-15"/>
        </w:rPr>
        <w:t> </w:t>
      </w:r>
      <w:r>
        <w:rPr/>
        <w:t>the</w:t>
      </w:r>
      <w:r>
        <w:rPr>
          <w:spacing w:val="-14"/>
        </w:rPr>
        <w:t> </w:t>
      </w:r>
      <w:r>
        <w:rPr/>
        <w:t>equitable</w:t>
      </w:r>
      <w:r>
        <w:rPr>
          <w:spacing w:val="-16"/>
        </w:rPr>
        <w:t> </w:t>
      </w:r>
      <w:r>
        <w:rPr/>
        <w:t>and</w:t>
      </w:r>
      <w:r>
        <w:rPr>
          <w:spacing w:val="-13"/>
        </w:rPr>
        <w:t> </w:t>
      </w:r>
      <w:r>
        <w:rPr/>
        <w:t>efficient</w:t>
      </w:r>
      <w:r>
        <w:rPr>
          <w:spacing w:val="-15"/>
        </w:rPr>
        <w:t> </w:t>
      </w:r>
      <w:r>
        <w:rPr/>
        <w:t>carrying</w:t>
      </w:r>
      <w:r>
        <w:rPr>
          <w:spacing w:val="-16"/>
        </w:rPr>
        <w:t> </w:t>
      </w:r>
      <w:r>
        <w:rPr/>
        <w:t>out</w:t>
      </w:r>
      <w:r>
        <w:rPr>
          <w:spacing w:val="-15"/>
        </w:rPr>
        <w:t> </w:t>
      </w:r>
      <w:r>
        <w:rPr/>
        <w:t>of</w:t>
      </w:r>
      <w:r>
        <w:rPr>
          <w:spacing w:val="-15"/>
        </w:rPr>
        <w:t> </w:t>
      </w:r>
      <w:r>
        <w:rPr/>
        <w:t>Council functions. Details of</w:t>
      </w:r>
      <w:r>
        <w:rPr>
          <w:spacing w:val="-1"/>
        </w:rPr>
        <w:t> </w:t>
      </w:r>
      <w:r>
        <w:rPr/>
        <w:t>the</w:t>
      </w:r>
      <w:r>
        <w:rPr>
          <w:spacing w:val="-5"/>
        </w:rPr>
        <w:t> </w:t>
      </w:r>
      <w:r>
        <w:rPr/>
        <w:t>objectives</w:t>
      </w:r>
      <w:r>
        <w:rPr>
          <w:spacing w:val="-4"/>
        </w:rPr>
        <w:t> </w:t>
      </w:r>
      <w:r>
        <w:rPr/>
        <w:t>of</w:t>
      </w:r>
      <w:r>
        <w:rPr>
          <w:spacing w:val="-2"/>
        </w:rPr>
        <w:t> </w:t>
      </w:r>
      <w:r>
        <w:rPr/>
        <w:t>each</w:t>
      </w:r>
      <w:r>
        <w:rPr>
          <w:spacing w:val="-3"/>
        </w:rPr>
        <w:t> </w:t>
      </w:r>
      <w:r>
        <w:rPr/>
        <w:t>differential</w:t>
      </w:r>
      <w:r>
        <w:rPr>
          <w:spacing w:val="-2"/>
        </w:rPr>
        <w:t> </w:t>
      </w:r>
      <w:r>
        <w:rPr/>
        <w:t>rate,</w:t>
      </w:r>
      <w:r>
        <w:rPr>
          <w:spacing w:val="-2"/>
        </w:rPr>
        <w:t> </w:t>
      </w:r>
      <w:r>
        <w:rPr/>
        <w:t>the</w:t>
      </w:r>
      <w:r>
        <w:rPr>
          <w:spacing w:val="-3"/>
        </w:rPr>
        <w:t> </w:t>
      </w:r>
      <w:r>
        <w:rPr/>
        <w:t>types</w:t>
      </w:r>
      <w:r>
        <w:rPr>
          <w:spacing w:val="-2"/>
        </w:rPr>
        <w:t> </w:t>
      </w:r>
      <w:r>
        <w:rPr/>
        <w:t>of classes</w:t>
      </w:r>
      <w:r>
        <w:rPr>
          <w:spacing w:val="-2"/>
        </w:rPr>
        <w:t> </w:t>
      </w:r>
      <w:r>
        <w:rPr/>
        <w:t>of land,</w:t>
      </w:r>
      <w:r>
        <w:rPr>
          <w:spacing w:val="-4"/>
        </w:rPr>
        <w:t> </w:t>
      </w:r>
      <w:r>
        <w:rPr/>
        <w:t>which are</w:t>
      </w:r>
      <w:r>
        <w:rPr>
          <w:spacing w:val="-4"/>
        </w:rPr>
        <w:t> </w:t>
      </w:r>
      <w:r>
        <w:rPr/>
        <w:t>subject</w:t>
      </w:r>
      <w:r>
        <w:rPr>
          <w:spacing w:val="-1"/>
        </w:rPr>
        <w:t> </w:t>
      </w:r>
      <w:r>
        <w:rPr/>
        <w:t>to each differential rate and the uses of each differential rate are set out below.</w:t>
      </w:r>
    </w:p>
    <w:p>
      <w:pPr>
        <w:pStyle w:val="BodyText"/>
        <w:spacing w:before="1"/>
      </w:pPr>
    </w:p>
    <w:p>
      <w:pPr>
        <w:spacing w:before="0"/>
        <w:ind w:left="260" w:right="0" w:firstLine="0"/>
        <w:jc w:val="both"/>
        <w:rPr>
          <w:b/>
          <w:sz w:val="22"/>
        </w:rPr>
      </w:pPr>
      <w:r>
        <w:rPr>
          <w:b/>
          <w:sz w:val="22"/>
          <w:u w:val="single"/>
        </w:rPr>
        <w:t>General</w:t>
      </w:r>
      <w:r>
        <w:rPr>
          <w:b/>
          <w:spacing w:val="-2"/>
          <w:sz w:val="22"/>
          <w:u w:val="single"/>
        </w:rPr>
        <w:t> </w:t>
      </w:r>
      <w:r>
        <w:rPr>
          <w:b/>
          <w:spacing w:val="-4"/>
          <w:sz w:val="22"/>
          <w:u w:val="single"/>
        </w:rPr>
        <w:t>Land</w:t>
      </w:r>
    </w:p>
    <w:p>
      <w:pPr>
        <w:pStyle w:val="BodyText"/>
        <w:spacing w:before="10"/>
        <w:rPr>
          <w:b/>
          <w:sz w:val="13"/>
        </w:rPr>
      </w:pPr>
    </w:p>
    <w:p>
      <w:pPr>
        <w:pStyle w:val="Heading5"/>
        <w:spacing w:line="252" w:lineRule="exact" w:before="94"/>
      </w:pPr>
      <w:r>
        <w:rPr>
          <w:spacing w:val="-2"/>
        </w:rPr>
        <w:t>Definitions/Characteristics:</w:t>
      </w:r>
    </w:p>
    <w:p>
      <w:pPr>
        <w:pStyle w:val="BodyText"/>
        <w:spacing w:line="252" w:lineRule="exact"/>
        <w:ind w:left="260"/>
      </w:pPr>
      <w:r>
        <w:rPr/>
        <w:t>Any</w:t>
      </w:r>
      <w:r>
        <w:rPr>
          <w:spacing w:val="-5"/>
        </w:rPr>
        <w:t> </w:t>
      </w:r>
      <w:r>
        <w:rPr/>
        <w:t>land</w:t>
      </w:r>
      <w:r>
        <w:rPr>
          <w:spacing w:val="-3"/>
        </w:rPr>
        <w:t> </w:t>
      </w:r>
      <w:r>
        <w:rPr/>
        <w:t>which</w:t>
      </w:r>
      <w:r>
        <w:rPr>
          <w:spacing w:val="-5"/>
        </w:rPr>
        <w:t> </w:t>
      </w:r>
      <w:r>
        <w:rPr/>
        <w:t>does</w:t>
      </w:r>
      <w:r>
        <w:rPr>
          <w:spacing w:val="-4"/>
        </w:rPr>
        <w:t> </w:t>
      </w:r>
      <w:r>
        <w:rPr/>
        <w:t>not</w:t>
      </w:r>
      <w:r>
        <w:rPr>
          <w:spacing w:val="-7"/>
        </w:rPr>
        <w:t> </w:t>
      </w:r>
      <w:r>
        <w:rPr/>
        <w:t>have</w:t>
      </w:r>
      <w:r>
        <w:rPr>
          <w:spacing w:val="-2"/>
        </w:rPr>
        <w:t> </w:t>
      </w:r>
      <w:r>
        <w:rPr/>
        <w:t>the</w:t>
      </w:r>
      <w:r>
        <w:rPr>
          <w:spacing w:val="-3"/>
        </w:rPr>
        <w:t> </w:t>
      </w:r>
      <w:r>
        <w:rPr/>
        <w:t>characteristics</w:t>
      </w:r>
      <w:r>
        <w:rPr>
          <w:spacing w:val="-7"/>
        </w:rPr>
        <w:t> </w:t>
      </w:r>
      <w:r>
        <w:rPr/>
        <w:t>of</w:t>
      </w:r>
      <w:r>
        <w:rPr>
          <w:spacing w:val="-1"/>
        </w:rPr>
        <w:t> </w:t>
      </w:r>
      <w:r>
        <w:rPr/>
        <w:t>Commercial,</w:t>
      </w:r>
      <w:r>
        <w:rPr>
          <w:spacing w:val="-4"/>
        </w:rPr>
        <w:t> </w:t>
      </w:r>
      <w:r>
        <w:rPr/>
        <w:t>Industrial,</w:t>
      </w:r>
      <w:r>
        <w:rPr>
          <w:spacing w:val="-3"/>
        </w:rPr>
        <w:t> </w:t>
      </w:r>
      <w:r>
        <w:rPr/>
        <w:t>Vacant</w:t>
      </w:r>
      <w:r>
        <w:rPr>
          <w:spacing w:val="-3"/>
        </w:rPr>
        <w:t> </w:t>
      </w:r>
      <w:r>
        <w:rPr/>
        <w:t>or</w:t>
      </w:r>
      <w:r>
        <w:rPr>
          <w:spacing w:val="-2"/>
        </w:rPr>
        <w:t> </w:t>
      </w:r>
      <w:r>
        <w:rPr/>
        <w:t>Derelict</w:t>
      </w:r>
      <w:r>
        <w:rPr>
          <w:spacing w:val="-2"/>
        </w:rPr>
        <w:t> Land.</w:t>
      </w:r>
    </w:p>
    <w:p>
      <w:pPr>
        <w:pStyle w:val="BodyText"/>
      </w:pPr>
    </w:p>
    <w:p>
      <w:pPr>
        <w:pStyle w:val="Heading5"/>
        <w:spacing w:line="252" w:lineRule="exact"/>
      </w:pPr>
      <w:r>
        <w:rPr>
          <w:spacing w:val="-2"/>
        </w:rPr>
        <w:t>Objective:</w:t>
      </w:r>
    </w:p>
    <w:p>
      <w:pPr>
        <w:pStyle w:val="BodyText"/>
        <w:ind w:left="260"/>
      </w:pPr>
      <w:r>
        <w:rPr/>
        <w:t>To</w:t>
      </w:r>
      <w:r>
        <w:rPr>
          <w:spacing w:val="28"/>
        </w:rPr>
        <w:t> </w:t>
      </w:r>
      <w:r>
        <w:rPr/>
        <w:t>ensure</w:t>
      </w:r>
      <w:r>
        <w:rPr>
          <w:spacing w:val="26"/>
        </w:rPr>
        <w:t> </w:t>
      </w:r>
      <w:r>
        <w:rPr/>
        <w:t>that</w:t>
      </w:r>
      <w:r>
        <w:rPr>
          <w:spacing w:val="27"/>
        </w:rPr>
        <w:t> </w:t>
      </w:r>
      <w:r>
        <w:rPr/>
        <w:t>all</w:t>
      </w:r>
      <w:r>
        <w:rPr>
          <w:spacing w:val="26"/>
        </w:rPr>
        <w:t> </w:t>
      </w:r>
      <w:r>
        <w:rPr/>
        <w:t>rateable</w:t>
      </w:r>
      <w:r>
        <w:rPr>
          <w:spacing w:val="26"/>
        </w:rPr>
        <w:t> </w:t>
      </w:r>
      <w:r>
        <w:rPr/>
        <w:t>land</w:t>
      </w:r>
      <w:r>
        <w:rPr>
          <w:spacing w:val="27"/>
        </w:rPr>
        <w:t> </w:t>
      </w:r>
      <w:r>
        <w:rPr/>
        <w:t>makes</w:t>
      </w:r>
      <w:r>
        <w:rPr>
          <w:spacing w:val="27"/>
        </w:rPr>
        <w:t> </w:t>
      </w:r>
      <w:r>
        <w:rPr/>
        <w:t>an</w:t>
      </w:r>
      <w:r>
        <w:rPr>
          <w:spacing w:val="27"/>
        </w:rPr>
        <w:t> </w:t>
      </w:r>
      <w:r>
        <w:rPr/>
        <w:t>equitable</w:t>
      </w:r>
      <w:r>
        <w:rPr>
          <w:spacing w:val="26"/>
        </w:rPr>
        <w:t> </w:t>
      </w:r>
      <w:r>
        <w:rPr/>
        <w:t>financial</w:t>
      </w:r>
      <w:r>
        <w:rPr>
          <w:spacing w:val="27"/>
        </w:rPr>
        <w:t> </w:t>
      </w:r>
      <w:r>
        <w:rPr/>
        <w:t>contribution</w:t>
      </w:r>
      <w:r>
        <w:rPr>
          <w:spacing w:val="26"/>
        </w:rPr>
        <w:t> </w:t>
      </w:r>
      <w:r>
        <w:rPr/>
        <w:t>to</w:t>
      </w:r>
      <w:r>
        <w:rPr>
          <w:spacing w:val="23"/>
        </w:rPr>
        <w:t> </w:t>
      </w:r>
      <w:r>
        <w:rPr/>
        <w:t>the</w:t>
      </w:r>
      <w:r>
        <w:rPr>
          <w:spacing w:val="28"/>
        </w:rPr>
        <w:t> </w:t>
      </w:r>
      <w:r>
        <w:rPr/>
        <w:t>cost</w:t>
      </w:r>
      <w:r>
        <w:rPr>
          <w:spacing w:val="29"/>
        </w:rPr>
        <w:t> </w:t>
      </w:r>
      <w:r>
        <w:rPr/>
        <w:t>of</w:t>
      </w:r>
      <w:r>
        <w:rPr>
          <w:spacing w:val="29"/>
        </w:rPr>
        <w:t> </w:t>
      </w:r>
      <w:r>
        <w:rPr/>
        <w:t>carrying</w:t>
      </w:r>
      <w:r>
        <w:rPr>
          <w:spacing w:val="26"/>
        </w:rPr>
        <w:t> </w:t>
      </w:r>
      <w:r>
        <w:rPr/>
        <w:t>out</w:t>
      </w:r>
      <w:r>
        <w:rPr>
          <w:spacing w:val="27"/>
        </w:rPr>
        <w:t> </w:t>
      </w:r>
      <w:r>
        <w:rPr/>
        <w:t>the functions of Council, including:</w:t>
      </w:r>
    </w:p>
    <w:p>
      <w:pPr>
        <w:pStyle w:val="ListParagraph"/>
        <w:numPr>
          <w:ilvl w:val="0"/>
          <w:numId w:val="15"/>
        </w:numPr>
        <w:tabs>
          <w:tab w:pos="826" w:val="left" w:leader="none"/>
          <w:tab w:pos="827" w:val="left" w:leader="none"/>
        </w:tabs>
        <w:spacing w:line="252" w:lineRule="exact" w:before="0" w:after="0"/>
        <w:ind w:left="827" w:right="0" w:hanging="567"/>
        <w:jc w:val="left"/>
        <w:rPr>
          <w:sz w:val="22"/>
        </w:rPr>
      </w:pPr>
      <w:r>
        <w:rPr>
          <w:sz w:val="22"/>
        </w:rPr>
        <w:t>Construction</w:t>
      </w:r>
      <w:r>
        <w:rPr>
          <w:spacing w:val="-4"/>
          <w:sz w:val="22"/>
        </w:rPr>
        <w:t> </w:t>
      </w:r>
      <w:r>
        <w:rPr>
          <w:sz w:val="22"/>
        </w:rPr>
        <w:t>and</w:t>
      </w:r>
      <w:r>
        <w:rPr>
          <w:spacing w:val="-7"/>
          <w:sz w:val="22"/>
        </w:rPr>
        <w:t> </w:t>
      </w:r>
      <w:r>
        <w:rPr>
          <w:sz w:val="22"/>
        </w:rPr>
        <w:t>maintenance</w:t>
      </w:r>
      <w:r>
        <w:rPr>
          <w:spacing w:val="-5"/>
          <w:sz w:val="22"/>
        </w:rPr>
        <w:t> </w:t>
      </w:r>
      <w:r>
        <w:rPr>
          <w:sz w:val="22"/>
        </w:rPr>
        <w:t>of</w:t>
      </w:r>
      <w:r>
        <w:rPr>
          <w:spacing w:val="-5"/>
          <w:sz w:val="22"/>
        </w:rPr>
        <w:t> </w:t>
      </w:r>
      <w:r>
        <w:rPr>
          <w:sz w:val="22"/>
        </w:rPr>
        <w:t>public</w:t>
      </w:r>
      <w:r>
        <w:rPr>
          <w:spacing w:val="-5"/>
          <w:sz w:val="22"/>
        </w:rPr>
        <w:t> </w:t>
      </w:r>
      <w:r>
        <w:rPr>
          <w:sz w:val="22"/>
        </w:rPr>
        <w:t>infrastructure;</w:t>
      </w:r>
      <w:r>
        <w:rPr>
          <w:spacing w:val="-5"/>
          <w:sz w:val="22"/>
        </w:rPr>
        <w:t> and</w:t>
      </w:r>
    </w:p>
    <w:p>
      <w:pPr>
        <w:pStyle w:val="ListParagraph"/>
        <w:numPr>
          <w:ilvl w:val="0"/>
          <w:numId w:val="15"/>
        </w:numPr>
        <w:tabs>
          <w:tab w:pos="826" w:val="left" w:leader="none"/>
          <w:tab w:pos="827" w:val="left" w:leader="none"/>
        </w:tabs>
        <w:spacing w:line="252" w:lineRule="exact" w:before="0" w:after="0"/>
        <w:ind w:left="827" w:right="0" w:hanging="567"/>
        <w:jc w:val="left"/>
        <w:rPr>
          <w:sz w:val="22"/>
        </w:rPr>
      </w:pPr>
      <w:r>
        <w:rPr>
          <w:sz w:val="22"/>
        </w:rPr>
        <w:t>Development</w:t>
      </w:r>
      <w:r>
        <w:rPr>
          <w:spacing w:val="-5"/>
          <w:sz w:val="22"/>
        </w:rPr>
        <w:t> </w:t>
      </w:r>
      <w:r>
        <w:rPr>
          <w:sz w:val="22"/>
        </w:rPr>
        <w:t>and</w:t>
      </w:r>
      <w:r>
        <w:rPr>
          <w:spacing w:val="-6"/>
          <w:sz w:val="22"/>
        </w:rPr>
        <w:t> </w:t>
      </w:r>
      <w:r>
        <w:rPr>
          <w:sz w:val="22"/>
        </w:rPr>
        <w:t>provision</w:t>
      </w:r>
      <w:r>
        <w:rPr>
          <w:spacing w:val="-4"/>
          <w:sz w:val="22"/>
        </w:rPr>
        <w:t> </w:t>
      </w:r>
      <w:r>
        <w:rPr>
          <w:sz w:val="22"/>
        </w:rPr>
        <w:t>of</w:t>
      </w:r>
      <w:r>
        <w:rPr>
          <w:spacing w:val="-3"/>
          <w:sz w:val="22"/>
        </w:rPr>
        <w:t> </w:t>
      </w:r>
      <w:r>
        <w:rPr>
          <w:sz w:val="22"/>
        </w:rPr>
        <w:t>health</w:t>
      </w:r>
      <w:r>
        <w:rPr>
          <w:spacing w:val="-2"/>
          <w:sz w:val="22"/>
        </w:rPr>
        <w:t> </w:t>
      </w:r>
      <w:r>
        <w:rPr>
          <w:sz w:val="22"/>
        </w:rPr>
        <w:t>&amp;</w:t>
      </w:r>
      <w:r>
        <w:rPr>
          <w:spacing w:val="-7"/>
          <w:sz w:val="22"/>
        </w:rPr>
        <w:t> </w:t>
      </w:r>
      <w:r>
        <w:rPr>
          <w:sz w:val="22"/>
        </w:rPr>
        <w:t>community</w:t>
      </w:r>
      <w:r>
        <w:rPr>
          <w:spacing w:val="-4"/>
          <w:sz w:val="22"/>
        </w:rPr>
        <w:t> </w:t>
      </w:r>
      <w:r>
        <w:rPr>
          <w:sz w:val="22"/>
        </w:rPr>
        <w:t>services;</w:t>
      </w:r>
      <w:r>
        <w:rPr>
          <w:spacing w:val="-4"/>
          <w:sz w:val="22"/>
        </w:rPr>
        <w:t> </w:t>
      </w:r>
      <w:r>
        <w:rPr>
          <w:spacing w:val="-5"/>
          <w:sz w:val="22"/>
        </w:rPr>
        <w:t>and</w:t>
      </w:r>
    </w:p>
    <w:p>
      <w:pPr>
        <w:pStyle w:val="ListParagraph"/>
        <w:numPr>
          <w:ilvl w:val="0"/>
          <w:numId w:val="15"/>
        </w:numPr>
        <w:tabs>
          <w:tab w:pos="826" w:val="left" w:leader="none"/>
          <w:tab w:pos="827" w:val="left" w:leader="none"/>
        </w:tabs>
        <w:spacing w:line="252" w:lineRule="exact" w:before="2" w:after="0"/>
        <w:ind w:left="827" w:right="0" w:hanging="567"/>
        <w:jc w:val="left"/>
        <w:rPr>
          <w:sz w:val="22"/>
        </w:rPr>
      </w:pPr>
      <w:r>
        <w:rPr>
          <w:sz w:val="22"/>
        </w:rPr>
        <w:t>Provision</w:t>
      </w:r>
      <w:r>
        <w:rPr>
          <w:spacing w:val="-4"/>
          <w:sz w:val="22"/>
        </w:rPr>
        <w:t> </w:t>
      </w:r>
      <w:r>
        <w:rPr>
          <w:sz w:val="22"/>
        </w:rPr>
        <w:t>of</w:t>
      </w:r>
      <w:r>
        <w:rPr>
          <w:spacing w:val="-3"/>
          <w:sz w:val="22"/>
        </w:rPr>
        <w:t> </w:t>
      </w:r>
      <w:r>
        <w:rPr>
          <w:sz w:val="22"/>
        </w:rPr>
        <w:t>general</w:t>
      </w:r>
      <w:r>
        <w:rPr>
          <w:spacing w:val="-4"/>
          <w:sz w:val="22"/>
        </w:rPr>
        <w:t> </w:t>
      </w:r>
      <w:r>
        <w:rPr>
          <w:sz w:val="22"/>
        </w:rPr>
        <w:t>support</w:t>
      </w:r>
      <w:r>
        <w:rPr>
          <w:spacing w:val="-5"/>
          <w:sz w:val="22"/>
        </w:rPr>
        <w:t> </w:t>
      </w:r>
      <w:r>
        <w:rPr>
          <w:sz w:val="22"/>
        </w:rPr>
        <w:t>services;</w:t>
      </w:r>
      <w:r>
        <w:rPr>
          <w:spacing w:val="-1"/>
          <w:sz w:val="22"/>
        </w:rPr>
        <w:t> </w:t>
      </w:r>
      <w:r>
        <w:rPr>
          <w:spacing w:val="-5"/>
          <w:sz w:val="22"/>
        </w:rPr>
        <w:t>and</w:t>
      </w:r>
    </w:p>
    <w:p>
      <w:pPr>
        <w:pStyle w:val="ListParagraph"/>
        <w:numPr>
          <w:ilvl w:val="0"/>
          <w:numId w:val="15"/>
        </w:numPr>
        <w:tabs>
          <w:tab w:pos="826" w:val="left" w:leader="none"/>
          <w:tab w:pos="827" w:val="left" w:leader="none"/>
        </w:tabs>
        <w:spacing w:line="240" w:lineRule="auto" w:before="0" w:after="0"/>
        <w:ind w:left="826" w:right="556" w:hanging="567"/>
        <w:jc w:val="left"/>
        <w:rPr>
          <w:sz w:val="22"/>
        </w:rPr>
      </w:pPr>
      <w:r>
        <w:rPr>
          <w:sz w:val="22"/>
        </w:rPr>
        <w:t>Requirement to ensure that</w:t>
      </w:r>
      <w:r>
        <w:rPr>
          <w:spacing w:val="24"/>
          <w:sz w:val="22"/>
        </w:rPr>
        <w:t> </w:t>
      </w:r>
      <w:r>
        <w:rPr>
          <w:sz w:val="22"/>
        </w:rPr>
        <w:t>Council has adequate funding to undertake it’s strategic, statutory, and</w:t>
      </w:r>
      <w:r>
        <w:rPr>
          <w:spacing w:val="40"/>
          <w:sz w:val="22"/>
        </w:rPr>
        <w:t> </w:t>
      </w:r>
      <w:r>
        <w:rPr>
          <w:sz w:val="22"/>
        </w:rPr>
        <w:t>service provision obligations.</w:t>
      </w:r>
    </w:p>
    <w:p>
      <w:pPr>
        <w:pStyle w:val="BodyText"/>
        <w:spacing w:before="10"/>
        <w:rPr>
          <w:sz w:val="21"/>
        </w:rPr>
      </w:pPr>
    </w:p>
    <w:p>
      <w:pPr>
        <w:pStyle w:val="Heading5"/>
      </w:pPr>
      <w:r>
        <w:rPr/>
        <w:t>Types</w:t>
      </w:r>
      <w:r>
        <w:rPr>
          <w:spacing w:val="-2"/>
        </w:rPr>
        <w:t> </w:t>
      </w:r>
      <w:r>
        <w:rPr/>
        <w:t>and</w:t>
      </w:r>
      <w:r>
        <w:rPr>
          <w:spacing w:val="-1"/>
        </w:rPr>
        <w:t> </w:t>
      </w:r>
      <w:r>
        <w:rPr>
          <w:spacing w:val="-2"/>
        </w:rPr>
        <w:t>Classes:</w:t>
      </w:r>
    </w:p>
    <w:p>
      <w:pPr>
        <w:pStyle w:val="BodyText"/>
        <w:spacing w:before="1"/>
        <w:ind w:left="260"/>
      </w:pPr>
      <w:r>
        <w:rPr/>
        <w:t>Rateable</w:t>
      </w:r>
      <w:r>
        <w:rPr>
          <w:spacing w:val="-7"/>
        </w:rPr>
        <w:t> </w:t>
      </w:r>
      <w:r>
        <w:rPr/>
        <w:t>land</w:t>
      </w:r>
      <w:r>
        <w:rPr>
          <w:spacing w:val="-3"/>
        </w:rPr>
        <w:t> </w:t>
      </w:r>
      <w:r>
        <w:rPr/>
        <w:t>having</w:t>
      </w:r>
      <w:r>
        <w:rPr>
          <w:spacing w:val="-4"/>
        </w:rPr>
        <w:t> </w:t>
      </w:r>
      <w:r>
        <w:rPr/>
        <w:t>the</w:t>
      </w:r>
      <w:r>
        <w:rPr>
          <w:spacing w:val="-4"/>
        </w:rPr>
        <w:t> </w:t>
      </w:r>
      <w:r>
        <w:rPr/>
        <w:t>relevant</w:t>
      </w:r>
      <w:r>
        <w:rPr>
          <w:spacing w:val="-2"/>
        </w:rPr>
        <w:t> </w:t>
      </w:r>
      <w:r>
        <w:rPr/>
        <w:t>characteristics</w:t>
      </w:r>
      <w:r>
        <w:rPr>
          <w:spacing w:val="-6"/>
        </w:rPr>
        <w:t> </w:t>
      </w:r>
      <w:r>
        <w:rPr/>
        <w:t>described</w:t>
      </w:r>
      <w:r>
        <w:rPr>
          <w:spacing w:val="-3"/>
        </w:rPr>
        <w:t> </w:t>
      </w:r>
      <w:r>
        <w:rPr/>
        <w:t>in</w:t>
      </w:r>
      <w:r>
        <w:rPr>
          <w:spacing w:val="-5"/>
        </w:rPr>
        <w:t> </w:t>
      </w:r>
      <w:r>
        <w:rPr/>
        <w:t>the</w:t>
      </w:r>
      <w:r>
        <w:rPr>
          <w:spacing w:val="-1"/>
        </w:rPr>
        <w:t> </w:t>
      </w:r>
      <w:r>
        <w:rPr>
          <w:spacing w:val="-2"/>
        </w:rPr>
        <w:t>definition/characteristics.</w:t>
      </w:r>
    </w:p>
    <w:p>
      <w:pPr>
        <w:pStyle w:val="BodyText"/>
        <w:spacing w:before="1"/>
      </w:pPr>
    </w:p>
    <w:p>
      <w:pPr>
        <w:pStyle w:val="Heading5"/>
        <w:spacing w:line="252" w:lineRule="exact"/>
        <w:jc w:val="both"/>
      </w:pPr>
      <w:r>
        <w:rPr/>
        <w:t>Use</w:t>
      </w:r>
      <w:r>
        <w:rPr>
          <w:spacing w:val="-2"/>
        </w:rPr>
        <w:t> </w:t>
      </w:r>
      <w:r>
        <w:rPr/>
        <w:t>and</w:t>
      </w:r>
      <w:r>
        <w:rPr>
          <w:spacing w:val="-3"/>
        </w:rPr>
        <w:t> </w:t>
      </w:r>
      <w:r>
        <w:rPr/>
        <w:t>Level</w:t>
      </w:r>
      <w:r>
        <w:rPr>
          <w:spacing w:val="-5"/>
        </w:rPr>
        <w:t> </w:t>
      </w:r>
      <w:r>
        <w:rPr/>
        <w:t>of</w:t>
      </w:r>
      <w:r>
        <w:rPr>
          <w:spacing w:val="-6"/>
        </w:rPr>
        <w:t> </w:t>
      </w:r>
      <w:r>
        <w:rPr/>
        <w:t>Differential </w:t>
      </w:r>
      <w:r>
        <w:rPr>
          <w:spacing w:val="-4"/>
        </w:rPr>
        <w:t>Rate:</w:t>
      </w:r>
    </w:p>
    <w:p>
      <w:pPr>
        <w:pStyle w:val="BodyText"/>
        <w:ind w:left="260" w:right="554"/>
        <w:jc w:val="both"/>
      </w:pPr>
      <w:r>
        <w:rPr/>
        <w:t>The</w:t>
      </w:r>
      <w:r>
        <w:rPr>
          <w:spacing w:val="-5"/>
        </w:rPr>
        <w:t> </w:t>
      </w:r>
      <w:r>
        <w:rPr/>
        <w:t>differential</w:t>
      </w:r>
      <w:r>
        <w:rPr>
          <w:spacing w:val="-7"/>
        </w:rPr>
        <w:t> </w:t>
      </w:r>
      <w:r>
        <w:rPr/>
        <w:t>rate</w:t>
      </w:r>
      <w:r>
        <w:rPr>
          <w:spacing w:val="-7"/>
        </w:rPr>
        <w:t> </w:t>
      </w:r>
      <w:r>
        <w:rPr/>
        <w:t>will</w:t>
      </w:r>
      <w:r>
        <w:rPr>
          <w:spacing w:val="-8"/>
        </w:rPr>
        <w:t> </w:t>
      </w:r>
      <w:r>
        <w:rPr/>
        <w:t>be</w:t>
      </w:r>
      <w:r>
        <w:rPr>
          <w:spacing w:val="-5"/>
        </w:rPr>
        <w:t> </w:t>
      </w:r>
      <w:r>
        <w:rPr/>
        <w:t>used</w:t>
      </w:r>
      <w:r>
        <w:rPr>
          <w:spacing w:val="-7"/>
        </w:rPr>
        <w:t> </w:t>
      </w:r>
      <w:r>
        <w:rPr/>
        <w:t>to</w:t>
      </w:r>
      <w:r>
        <w:rPr>
          <w:spacing w:val="-9"/>
        </w:rPr>
        <w:t> </w:t>
      </w:r>
      <w:r>
        <w:rPr/>
        <w:t>fund</w:t>
      </w:r>
      <w:r>
        <w:rPr>
          <w:spacing w:val="-7"/>
        </w:rPr>
        <w:t> </w:t>
      </w:r>
      <w:r>
        <w:rPr/>
        <w:t>some</w:t>
      </w:r>
      <w:r>
        <w:rPr>
          <w:spacing w:val="-9"/>
        </w:rPr>
        <w:t> </w:t>
      </w:r>
      <w:r>
        <w:rPr/>
        <w:t>of</w:t>
      </w:r>
      <w:r>
        <w:rPr>
          <w:spacing w:val="-9"/>
        </w:rPr>
        <w:t> </w:t>
      </w:r>
      <w:r>
        <w:rPr/>
        <w:t>those</w:t>
      </w:r>
      <w:r>
        <w:rPr>
          <w:spacing w:val="-5"/>
        </w:rPr>
        <w:t> </w:t>
      </w:r>
      <w:r>
        <w:rPr/>
        <w:t>items</w:t>
      </w:r>
      <w:r>
        <w:rPr>
          <w:spacing w:val="-5"/>
        </w:rPr>
        <w:t> </w:t>
      </w:r>
      <w:r>
        <w:rPr/>
        <w:t>of</w:t>
      </w:r>
      <w:r>
        <w:rPr>
          <w:spacing w:val="-3"/>
        </w:rPr>
        <w:t> </w:t>
      </w:r>
      <w:r>
        <w:rPr/>
        <w:t>expenditure</w:t>
      </w:r>
      <w:r>
        <w:rPr>
          <w:spacing w:val="-11"/>
        </w:rPr>
        <w:t> </w:t>
      </w:r>
      <w:r>
        <w:rPr/>
        <w:t>described</w:t>
      </w:r>
      <w:r>
        <w:rPr>
          <w:spacing w:val="-5"/>
        </w:rPr>
        <w:t> </w:t>
      </w:r>
      <w:r>
        <w:rPr/>
        <w:t>in</w:t>
      </w:r>
      <w:r>
        <w:rPr>
          <w:spacing w:val="-9"/>
        </w:rPr>
        <w:t> </w:t>
      </w:r>
      <w:r>
        <w:rPr/>
        <w:t>the</w:t>
      </w:r>
      <w:r>
        <w:rPr>
          <w:spacing w:val="-5"/>
        </w:rPr>
        <w:t> </w:t>
      </w:r>
      <w:r>
        <w:rPr/>
        <w:t>Budget</w:t>
      </w:r>
      <w:r>
        <w:rPr>
          <w:spacing w:val="-5"/>
        </w:rPr>
        <w:t> </w:t>
      </w:r>
      <w:r>
        <w:rPr/>
        <w:t>adopted by Council. The level of differential rate is the level which Council considers is necessary to achieve the objectives specified above.</w:t>
      </w:r>
    </w:p>
    <w:p>
      <w:pPr>
        <w:pStyle w:val="BodyText"/>
      </w:pPr>
    </w:p>
    <w:p>
      <w:pPr>
        <w:pStyle w:val="Heading5"/>
        <w:spacing w:line="252" w:lineRule="exact"/>
        <w:jc w:val="both"/>
      </w:pPr>
      <w:r>
        <w:rPr/>
        <w:t>Geographic</w:t>
      </w:r>
      <w:r>
        <w:rPr>
          <w:spacing w:val="-5"/>
        </w:rPr>
        <w:t> </w:t>
      </w:r>
      <w:r>
        <w:rPr>
          <w:spacing w:val="-2"/>
        </w:rPr>
        <w:t>Location:</w:t>
      </w:r>
    </w:p>
    <w:p>
      <w:pPr>
        <w:pStyle w:val="BodyText"/>
        <w:spacing w:line="252" w:lineRule="exact"/>
        <w:ind w:left="260"/>
      </w:pPr>
      <w:r>
        <w:rPr/>
        <w:t>Wherever</w:t>
      </w:r>
      <w:r>
        <w:rPr>
          <w:spacing w:val="-3"/>
        </w:rPr>
        <w:t> </w:t>
      </w:r>
      <w:r>
        <w:rPr/>
        <w:t>located</w:t>
      </w:r>
      <w:r>
        <w:rPr>
          <w:spacing w:val="-2"/>
        </w:rPr>
        <w:t> </w:t>
      </w:r>
      <w:r>
        <w:rPr/>
        <w:t>within</w:t>
      </w:r>
      <w:r>
        <w:rPr>
          <w:spacing w:val="-7"/>
        </w:rPr>
        <w:t> </w:t>
      </w:r>
      <w:r>
        <w:rPr/>
        <w:t>the</w:t>
      </w:r>
      <w:r>
        <w:rPr>
          <w:spacing w:val="-5"/>
        </w:rPr>
        <w:t> </w:t>
      </w:r>
      <w:r>
        <w:rPr/>
        <w:t>municipal</w:t>
      </w:r>
      <w:r>
        <w:rPr>
          <w:spacing w:val="-3"/>
        </w:rPr>
        <w:t> </w:t>
      </w:r>
      <w:r>
        <w:rPr>
          <w:spacing w:val="-2"/>
        </w:rPr>
        <w:t>district.</w:t>
      </w:r>
    </w:p>
    <w:p>
      <w:pPr>
        <w:pStyle w:val="BodyText"/>
        <w:spacing w:before="1"/>
      </w:pPr>
    </w:p>
    <w:p>
      <w:pPr>
        <w:pStyle w:val="Heading5"/>
        <w:spacing w:line="252" w:lineRule="exact"/>
        <w:jc w:val="both"/>
      </w:pPr>
      <w:r>
        <w:rPr/>
        <w:t>Use of</w:t>
      </w:r>
      <w:r>
        <w:rPr>
          <w:spacing w:val="-1"/>
        </w:rPr>
        <w:t> </w:t>
      </w:r>
      <w:r>
        <w:rPr>
          <w:spacing w:val="-4"/>
        </w:rPr>
        <w:t>Land:</w:t>
      </w:r>
    </w:p>
    <w:p>
      <w:pPr>
        <w:pStyle w:val="BodyText"/>
        <w:spacing w:line="252" w:lineRule="exact"/>
        <w:ind w:left="260"/>
      </w:pPr>
      <w:r>
        <w:rPr/>
        <w:t>Any</w:t>
      </w:r>
      <w:r>
        <w:rPr>
          <w:spacing w:val="-3"/>
        </w:rPr>
        <w:t> </w:t>
      </w:r>
      <w:r>
        <w:rPr/>
        <w:t>use</w:t>
      </w:r>
      <w:r>
        <w:rPr>
          <w:spacing w:val="-3"/>
        </w:rPr>
        <w:t> </w:t>
      </w:r>
      <w:r>
        <w:rPr/>
        <w:t>permitted</w:t>
      </w:r>
      <w:r>
        <w:rPr>
          <w:spacing w:val="-5"/>
        </w:rPr>
        <w:t> </w:t>
      </w:r>
      <w:r>
        <w:rPr/>
        <w:t>under</w:t>
      </w:r>
      <w:r>
        <w:rPr>
          <w:spacing w:val="-2"/>
        </w:rPr>
        <w:t> </w:t>
      </w:r>
      <w:r>
        <w:rPr/>
        <w:t>the</w:t>
      </w:r>
      <w:r>
        <w:rPr>
          <w:spacing w:val="-5"/>
        </w:rPr>
        <w:t> </w:t>
      </w:r>
      <w:r>
        <w:rPr/>
        <w:t>relevant</w:t>
      </w:r>
      <w:r>
        <w:rPr>
          <w:spacing w:val="-3"/>
        </w:rPr>
        <w:t> </w:t>
      </w:r>
      <w:r>
        <w:rPr/>
        <w:t>Planning</w:t>
      </w:r>
      <w:r>
        <w:rPr>
          <w:spacing w:val="-1"/>
        </w:rPr>
        <w:t> </w:t>
      </w:r>
      <w:r>
        <w:rPr>
          <w:spacing w:val="-2"/>
        </w:rPr>
        <w:t>Scheme.</w:t>
      </w:r>
    </w:p>
    <w:p>
      <w:pPr>
        <w:spacing w:after="0" w:line="252" w:lineRule="exact"/>
        <w:sectPr>
          <w:pgSz w:w="11910" w:h="16840"/>
          <w:pgMar w:header="0" w:footer="426" w:top="620" w:bottom="740" w:left="460" w:right="160"/>
        </w:sectPr>
      </w:pPr>
    </w:p>
    <w:p>
      <w:pPr>
        <w:pStyle w:val="Heading5"/>
        <w:spacing w:line="252" w:lineRule="exact" w:before="81"/>
      </w:pPr>
      <w:r>
        <w:rPr/>
        <w:t>Planning</w:t>
      </w:r>
      <w:r>
        <w:rPr>
          <w:spacing w:val="-4"/>
        </w:rPr>
        <w:t> </w:t>
      </w:r>
      <w:r>
        <w:rPr/>
        <w:t>Scheme</w:t>
      </w:r>
      <w:r>
        <w:rPr>
          <w:spacing w:val="-2"/>
        </w:rPr>
        <w:t> Zoning:</w:t>
      </w:r>
    </w:p>
    <w:p>
      <w:pPr>
        <w:pStyle w:val="BodyText"/>
        <w:ind w:left="260" w:right="445"/>
      </w:pPr>
      <w:r>
        <w:rPr/>
        <w:t>The</w:t>
      </w:r>
      <w:r>
        <w:rPr>
          <w:spacing w:val="-2"/>
        </w:rPr>
        <w:t> </w:t>
      </w:r>
      <w:r>
        <w:rPr/>
        <w:t>zoning</w:t>
      </w:r>
      <w:r>
        <w:rPr>
          <w:spacing w:val="-4"/>
        </w:rPr>
        <w:t> </w:t>
      </w:r>
      <w:r>
        <w:rPr/>
        <w:t>applicable</w:t>
      </w:r>
      <w:r>
        <w:rPr>
          <w:spacing w:val="-4"/>
        </w:rPr>
        <w:t> </w:t>
      </w:r>
      <w:r>
        <w:rPr/>
        <w:t>to</w:t>
      </w:r>
      <w:r>
        <w:rPr>
          <w:spacing w:val="-7"/>
        </w:rPr>
        <w:t> </w:t>
      </w:r>
      <w:r>
        <w:rPr/>
        <w:t>each</w:t>
      </w:r>
      <w:r>
        <w:rPr>
          <w:spacing w:val="-4"/>
        </w:rPr>
        <w:t> </w:t>
      </w:r>
      <w:r>
        <w:rPr/>
        <w:t>rateable</w:t>
      </w:r>
      <w:r>
        <w:rPr>
          <w:spacing w:val="-6"/>
        </w:rPr>
        <w:t> </w:t>
      </w:r>
      <w:r>
        <w:rPr/>
        <w:t>land</w:t>
      </w:r>
      <w:r>
        <w:rPr>
          <w:spacing w:val="-2"/>
        </w:rPr>
        <w:t> </w:t>
      </w:r>
      <w:r>
        <w:rPr/>
        <w:t>within</w:t>
      </w:r>
      <w:r>
        <w:rPr>
          <w:spacing w:val="-6"/>
        </w:rPr>
        <w:t> </w:t>
      </w:r>
      <w:r>
        <w:rPr/>
        <w:t>this</w:t>
      </w:r>
      <w:r>
        <w:rPr>
          <w:spacing w:val="-4"/>
        </w:rPr>
        <w:t> </w:t>
      </w:r>
      <w:r>
        <w:rPr/>
        <w:t>category,</w:t>
      </w:r>
      <w:r>
        <w:rPr>
          <w:spacing w:val="-2"/>
        </w:rPr>
        <w:t> </w:t>
      </w:r>
      <w:r>
        <w:rPr/>
        <w:t>as</w:t>
      </w:r>
      <w:r>
        <w:rPr>
          <w:spacing w:val="-4"/>
        </w:rPr>
        <w:t> </w:t>
      </w:r>
      <w:r>
        <w:rPr/>
        <w:t>determined</w:t>
      </w:r>
      <w:r>
        <w:rPr>
          <w:spacing w:val="-2"/>
        </w:rPr>
        <w:t> </w:t>
      </w:r>
      <w:r>
        <w:rPr/>
        <w:t>by</w:t>
      </w:r>
      <w:r>
        <w:rPr>
          <w:spacing w:val="-4"/>
        </w:rPr>
        <w:t> </w:t>
      </w:r>
      <w:r>
        <w:rPr/>
        <w:t>consulting</w:t>
      </w:r>
      <w:r>
        <w:rPr>
          <w:spacing w:val="-4"/>
        </w:rPr>
        <w:t> </w:t>
      </w:r>
      <w:r>
        <w:rPr/>
        <w:t>maps</w:t>
      </w:r>
      <w:r>
        <w:rPr>
          <w:spacing w:val="-4"/>
        </w:rPr>
        <w:t> </w:t>
      </w:r>
      <w:r>
        <w:rPr/>
        <w:t>referred to in the relevant Planning Scheme.</w:t>
      </w:r>
    </w:p>
    <w:p>
      <w:pPr>
        <w:pStyle w:val="BodyText"/>
        <w:rPr>
          <w:sz w:val="24"/>
        </w:rPr>
      </w:pPr>
    </w:p>
    <w:p>
      <w:pPr>
        <w:pStyle w:val="BodyText"/>
        <w:spacing w:before="1"/>
        <w:rPr>
          <w:sz w:val="20"/>
        </w:rPr>
      </w:pPr>
    </w:p>
    <w:p>
      <w:pPr>
        <w:pStyle w:val="Heading5"/>
        <w:spacing w:line="252" w:lineRule="exact"/>
      </w:pPr>
      <w:r>
        <w:rPr/>
        <w:t>Types</w:t>
      </w:r>
      <w:r>
        <w:rPr>
          <w:spacing w:val="-3"/>
        </w:rPr>
        <w:t> </w:t>
      </w:r>
      <w:r>
        <w:rPr/>
        <w:t>of</w:t>
      </w:r>
      <w:r>
        <w:rPr>
          <w:spacing w:val="-1"/>
        </w:rPr>
        <w:t> </w:t>
      </w:r>
      <w:r>
        <w:rPr>
          <w:spacing w:val="-2"/>
        </w:rPr>
        <w:t>Buildings:</w:t>
      </w:r>
    </w:p>
    <w:p>
      <w:pPr>
        <w:pStyle w:val="BodyText"/>
        <w:ind w:left="260" w:right="376"/>
      </w:pPr>
      <w:r>
        <w:rPr/>
        <w:t>All</w:t>
      </w:r>
      <w:r>
        <w:rPr>
          <w:spacing w:val="-4"/>
        </w:rPr>
        <w:t> </w:t>
      </w:r>
      <w:r>
        <w:rPr/>
        <w:t>buildings</w:t>
      </w:r>
      <w:r>
        <w:rPr>
          <w:spacing w:val="-4"/>
        </w:rPr>
        <w:t> </w:t>
      </w:r>
      <w:r>
        <w:rPr/>
        <w:t>which</w:t>
      </w:r>
      <w:r>
        <w:rPr>
          <w:spacing w:val="-4"/>
        </w:rPr>
        <w:t> </w:t>
      </w:r>
      <w:r>
        <w:rPr/>
        <w:t>are</w:t>
      </w:r>
      <w:r>
        <w:rPr>
          <w:spacing w:val="-8"/>
        </w:rPr>
        <w:t> </w:t>
      </w:r>
      <w:r>
        <w:rPr/>
        <w:t>now</w:t>
      </w:r>
      <w:r>
        <w:rPr>
          <w:spacing w:val="-4"/>
        </w:rPr>
        <w:t> </w:t>
      </w:r>
      <w:r>
        <w:rPr/>
        <w:t>constructed</w:t>
      </w:r>
      <w:r>
        <w:rPr>
          <w:spacing w:val="-5"/>
        </w:rPr>
        <w:t> </w:t>
      </w:r>
      <w:r>
        <w:rPr/>
        <w:t>on</w:t>
      </w:r>
      <w:r>
        <w:rPr>
          <w:spacing w:val="-5"/>
        </w:rPr>
        <w:t> </w:t>
      </w:r>
      <w:r>
        <w:rPr/>
        <w:t>the</w:t>
      </w:r>
      <w:r>
        <w:rPr>
          <w:spacing w:val="-8"/>
        </w:rPr>
        <w:t> </w:t>
      </w:r>
      <w:r>
        <w:rPr/>
        <w:t>land,</w:t>
      </w:r>
      <w:r>
        <w:rPr>
          <w:spacing w:val="-2"/>
        </w:rPr>
        <w:t> </w:t>
      </w:r>
      <w:r>
        <w:rPr/>
        <w:t>or</w:t>
      </w:r>
      <w:r>
        <w:rPr>
          <w:spacing w:val="-4"/>
        </w:rPr>
        <w:t> </w:t>
      </w:r>
      <w:r>
        <w:rPr/>
        <w:t>which</w:t>
      </w:r>
      <w:r>
        <w:rPr>
          <w:spacing w:val="-5"/>
        </w:rPr>
        <w:t> </w:t>
      </w:r>
      <w:r>
        <w:rPr/>
        <w:t>are</w:t>
      </w:r>
      <w:r>
        <w:rPr>
          <w:spacing w:val="-6"/>
        </w:rPr>
        <w:t> </w:t>
      </w:r>
      <w:r>
        <w:rPr/>
        <w:t>constructed</w:t>
      </w:r>
      <w:r>
        <w:rPr>
          <w:spacing w:val="-4"/>
        </w:rPr>
        <w:t> </w:t>
      </w:r>
      <w:r>
        <w:rPr/>
        <w:t>prior</w:t>
      </w:r>
      <w:r>
        <w:rPr>
          <w:spacing w:val="-6"/>
        </w:rPr>
        <w:t> </w:t>
      </w:r>
      <w:r>
        <w:rPr/>
        <w:t>to</w:t>
      </w:r>
      <w:r>
        <w:rPr>
          <w:spacing w:val="-8"/>
        </w:rPr>
        <w:t> </w:t>
      </w:r>
      <w:r>
        <w:rPr/>
        <w:t>the</w:t>
      </w:r>
      <w:r>
        <w:rPr>
          <w:spacing w:val="-6"/>
        </w:rPr>
        <w:t> </w:t>
      </w:r>
      <w:r>
        <w:rPr/>
        <w:t>end</w:t>
      </w:r>
      <w:r>
        <w:rPr>
          <w:spacing w:val="-8"/>
        </w:rPr>
        <w:t> </w:t>
      </w:r>
      <w:r>
        <w:rPr/>
        <w:t>of</w:t>
      </w:r>
      <w:r>
        <w:rPr>
          <w:spacing w:val="-6"/>
        </w:rPr>
        <w:t> </w:t>
      </w:r>
      <w:r>
        <w:rPr/>
        <w:t>the</w:t>
      </w:r>
      <w:r>
        <w:rPr>
          <w:spacing w:val="-5"/>
        </w:rPr>
        <w:t> </w:t>
      </w:r>
      <w:r>
        <w:rPr/>
        <w:t>financial </w:t>
      </w:r>
      <w:r>
        <w:rPr>
          <w:spacing w:val="-2"/>
        </w:rPr>
        <w:t>year.</w:t>
      </w:r>
    </w:p>
    <w:p>
      <w:pPr>
        <w:pStyle w:val="BodyText"/>
        <w:spacing w:before="1"/>
      </w:pPr>
    </w:p>
    <w:p>
      <w:pPr>
        <w:spacing w:before="0"/>
        <w:ind w:left="260" w:right="0" w:firstLine="0"/>
        <w:jc w:val="left"/>
        <w:rPr>
          <w:b/>
          <w:sz w:val="22"/>
        </w:rPr>
      </w:pPr>
      <w:r>
        <w:rPr>
          <w:b/>
          <w:sz w:val="22"/>
          <w:u w:val="single"/>
        </w:rPr>
        <w:t>Commercial</w:t>
      </w:r>
      <w:r>
        <w:rPr>
          <w:b/>
          <w:spacing w:val="-9"/>
          <w:sz w:val="22"/>
          <w:u w:val="single"/>
        </w:rPr>
        <w:t> </w:t>
      </w:r>
      <w:r>
        <w:rPr>
          <w:b/>
          <w:spacing w:val="-4"/>
          <w:sz w:val="22"/>
          <w:u w:val="single"/>
        </w:rPr>
        <w:t>Land</w:t>
      </w:r>
    </w:p>
    <w:p>
      <w:pPr>
        <w:pStyle w:val="BodyText"/>
        <w:spacing w:before="8"/>
        <w:rPr>
          <w:b/>
          <w:sz w:val="13"/>
        </w:rPr>
      </w:pPr>
    </w:p>
    <w:p>
      <w:pPr>
        <w:pStyle w:val="Heading5"/>
        <w:spacing w:before="94"/>
      </w:pPr>
      <w:r>
        <w:rPr>
          <w:spacing w:val="-2"/>
        </w:rPr>
        <w:t>Definitions/Characteristics:</w:t>
      </w:r>
    </w:p>
    <w:p>
      <w:pPr>
        <w:pStyle w:val="BodyText"/>
        <w:spacing w:before="1"/>
        <w:ind w:left="260" w:right="554"/>
        <w:jc w:val="both"/>
      </w:pPr>
      <w:r>
        <w:rPr/>
        <w:t>Commercial</w:t>
      </w:r>
      <w:r>
        <w:rPr>
          <w:spacing w:val="-5"/>
        </w:rPr>
        <w:t> </w:t>
      </w:r>
      <w:r>
        <w:rPr/>
        <w:t>Land</w:t>
      </w:r>
      <w:r>
        <w:rPr>
          <w:spacing w:val="-6"/>
        </w:rPr>
        <w:t> </w:t>
      </w:r>
      <w:r>
        <w:rPr/>
        <w:t>is</w:t>
      </w:r>
      <w:r>
        <w:rPr>
          <w:spacing w:val="-5"/>
        </w:rPr>
        <w:t> </w:t>
      </w:r>
      <w:r>
        <w:rPr/>
        <w:t>any</w:t>
      </w:r>
      <w:r>
        <w:rPr>
          <w:spacing w:val="-7"/>
        </w:rPr>
        <w:t> </w:t>
      </w:r>
      <w:r>
        <w:rPr/>
        <w:t>land</w:t>
      </w:r>
      <w:r>
        <w:rPr>
          <w:spacing w:val="-5"/>
        </w:rPr>
        <w:t> </w:t>
      </w:r>
      <w:r>
        <w:rPr/>
        <w:t>that</w:t>
      </w:r>
      <w:r>
        <w:rPr>
          <w:spacing w:val="-5"/>
        </w:rPr>
        <w:t> </w:t>
      </w:r>
      <w:r>
        <w:rPr/>
        <w:t>does</w:t>
      </w:r>
      <w:r>
        <w:rPr>
          <w:spacing w:val="-3"/>
        </w:rPr>
        <w:t> </w:t>
      </w:r>
      <w:r>
        <w:rPr/>
        <w:t>not</w:t>
      </w:r>
      <w:r>
        <w:rPr>
          <w:spacing w:val="-7"/>
        </w:rPr>
        <w:t> </w:t>
      </w:r>
      <w:r>
        <w:rPr/>
        <w:t>have</w:t>
      </w:r>
      <w:r>
        <w:rPr>
          <w:spacing w:val="-7"/>
        </w:rPr>
        <w:t> </w:t>
      </w:r>
      <w:r>
        <w:rPr/>
        <w:t>the</w:t>
      </w:r>
      <w:r>
        <w:rPr>
          <w:spacing w:val="-5"/>
        </w:rPr>
        <w:t> </w:t>
      </w:r>
      <w:r>
        <w:rPr/>
        <w:t>characteristics</w:t>
      </w:r>
      <w:r>
        <w:rPr>
          <w:spacing w:val="-5"/>
        </w:rPr>
        <w:t> </w:t>
      </w:r>
      <w:r>
        <w:rPr/>
        <w:t>of</w:t>
      </w:r>
      <w:r>
        <w:rPr>
          <w:spacing w:val="-9"/>
        </w:rPr>
        <w:t> </w:t>
      </w:r>
      <w:r>
        <w:rPr/>
        <w:t>General,</w:t>
      </w:r>
      <w:r>
        <w:rPr>
          <w:spacing w:val="-7"/>
        </w:rPr>
        <w:t> </w:t>
      </w:r>
      <w:r>
        <w:rPr/>
        <w:t>Industrial,</w:t>
      </w:r>
      <w:r>
        <w:rPr>
          <w:spacing w:val="-7"/>
        </w:rPr>
        <w:t> </w:t>
      </w:r>
      <w:r>
        <w:rPr/>
        <w:t>Vacant</w:t>
      </w:r>
      <w:r>
        <w:rPr>
          <w:spacing w:val="-5"/>
        </w:rPr>
        <w:t> </w:t>
      </w:r>
      <w:r>
        <w:rPr/>
        <w:t>or</w:t>
      </w:r>
      <w:r>
        <w:rPr>
          <w:spacing w:val="-5"/>
        </w:rPr>
        <w:t> </w:t>
      </w:r>
      <w:r>
        <w:rPr/>
        <w:t>Derelict Land</w:t>
      </w:r>
      <w:r>
        <w:rPr>
          <w:spacing w:val="-2"/>
        </w:rPr>
        <w:t> </w:t>
      </w:r>
      <w:r>
        <w:rPr/>
        <w:t>and</w:t>
      </w:r>
      <w:r>
        <w:rPr>
          <w:spacing w:val="-1"/>
        </w:rPr>
        <w:t> </w:t>
      </w:r>
      <w:r>
        <w:rPr/>
        <w:t>which</w:t>
      </w:r>
      <w:r>
        <w:rPr>
          <w:spacing w:val="-4"/>
        </w:rPr>
        <w:t> </w:t>
      </w:r>
      <w:r>
        <w:rPr/>
        <w:t>is</w:t>
      </w:r>
      <w:r>
        <w:rPr>
          <w:spacing w:val="-4"/>
        </w:rPr>
        <w:t> </w:t>
      </w:r>
      <w:r>
        <w:rPr/>
        <w:t>used,</w:t>
      </w:r>
      <w:r>
        <w:rPr>
          <w:spacing w:val="-4"/>
        </w:rPr>
        <w:t> </w:t>
      </w:r>
      <w:r>
        <w:rPr/>
        <w:t>designed, or</w:t>
      </w:r>
      <w:r>
        <w:rPr>
          <w:spacing w:val="-2"/>
        </w:rPr>
        <w:t> </w:t>
      </w:r>
      <w:r>
        <w:rPr/>
        <w:t>adapted</w:t>
      </w:r>
      <w:r>
        <w:rPr>
          <w:spacing w:val="-4"/>
        </w:rPr>
        <w:t> </w:t>
      </w:r>
      <w:r>
        <w:rPr/>
        <w:t>to</w:t>
      </w:r>
      <w:r>
        <w:rPr>
          <w:spacing w:val="-4"/>
        </w:rPr>
        <w:t> </w:t>
      </w:r>
      <w:r>
        <w:rPr/>
        <w:t>be</w:t>
      </w:r>
      <w:r>
        <w:rPr>
          <w:spacing w:val="-2"/>
        </w:rPr>
        <w:t> </w:t>
      </w:r>
      <w:r>
        <w:rPr/>
        <w:t>used</w:t>
      </w:r>
      <w:r>
        <w:rPr>
          <w:spacing w:val="-1"/>
        </w:rPr>
        <w:t> </w:t>
      </w:r>
      <w:r>
        <w:rPr/>
        <w:t>primarily</w:t>
      </w:r>
      <w:r>
        <w:rPr>
          <w:spacing w:val="-2"/>
        </w:rPr>
        <w:t> </w:t>
      </w:r>
      <w:r>
        <w:rPr/>
        <w:t>for</w:t>
      </w:r>
      <w:r>
        <w:rPr>
          <w:spacing w:val="-2"/>
        </w:rPr>
        <w:t> </w:t>
      </w:r>
      <w:r>
        <w:rPr/>
        <w:t>the</w:t>
      </w:r>
      <w:r>
        <w:rPr>
          <w:spacing w:val="-4"/>
        </w:rPr>
        <w:t> </w:t>
      </w:r>
      <w:r>
        <w:rPr/>
        <w:t>sale</w:t>
      </w:r>
      <w:r>
        <w:rPr>
          <w:spacing w:val="-4"/>
        </w:rPr>
        <w:t> </w:t>
      </w:r>
      <w:r>
        <w:rPr/>
        <w:t>of</w:t>
      </w:r>
      <w:r>
        <w:rPr>
          <w:spacing w:val="-1"/>
        </w:rPr>
        <w:t> </w:t>
      </w:r>
      <w:r>
        <w:rPr/>
        <w:t>goods or</w:t>
      </w:r>
      <w:r>
        <w:rPr>
          <w:spacing w:val="-1"/>
        </w:rPr>
        <w:t> </w:t>
      </w:r>
      <w:r>
        <w:rPr/>
        <w:t>services</w:t>
      </w:r>
      <w:r>
        <w:rPr>
          <w:spacing w:val="-4"/>
        </w:rPr>
        <w:t> </w:t>
      </w:r>
      <w:r>
        <w:rPr/>
        <w:t>or</w:t>
      </w:r>
      <w:r>
        <w:rPr>
          <w:spacing w:val="-2"/>
        </w:rPr>
        <w:t> </w:t>
      </w:r>
      <w:r>
        <w:rPr/>
        <w:t>other commercial purposes.</w:t>
      </w:r>
    </w:p>
    <w:p>
      <w:pPr>
        <w:pStyle w:val="BodyText"/>
        <w:spacing w:before="1"/>
      </w:pPr>
    </w:p>
    <w:p>
      <w:pPr>
        <w:pStyle w:val="Heading5"/>
        <w:spacing w:line="252" w:lineRule="exact"/>
      </w:pPr>
      <w:r>
        <w:rPr>
          <w:spacing w:val="-2"/>
        </w:rPr>
        <w:t>Objective:</w:t>
      </w:r>
    </w:p>
    <w:p>
      <w:pPr>
        <w:pStyle w:val="BodyText"/>
        <w:ind w:left="260"/>
      </w:pPr>
      <w:r>
        <w:rPr/>
        <w:t>To</w:t>
      </w:r>
      <w:r>
        <w:rPr>
          <w:spacing w:val="28"/>
        </w:rPr>
        <w:t> </w:t>
      </w:r>
      <w:r>
        <w:rPr/>
        <w:t>ensure</w:t>
      </w:r>
      <w:r>
        <w:rPr>
          <w:spacing w:val="26"/>
        </w:rPr>
        <w:t> </w:t>
      </w:r>
      <w:r>
        <w:rPr/>
        <w:t>that</w:t>
      </w:r>
      <w:r>
        <w:rPr>
          <w:spacing w:val="27"/>
        </w:rPr>
        <w:t> </w:t>
      </w:r>
      <w:r>
        <w:rPr/>
        <w:t>all</w:t>
      </w:r>
      <w:r>
        <w:rPr>
          <w:spacing w:val="26"/>
        </w:rPr>
        <w:t> </w:t>
      </w:r>
      <w:r>
        <w:rPr/>
        <w:t>rateable</w:t>
      </w:r>
      <w:r>
        <w:rPr>
          <w:spacing w:val="26"/>
        </w:rPr>
        <w:t> </w:t>
      </w:r>
      <w:r>
        <w:rPr/>
        <w:t>land</w:t>
      </w:r>
      <w:r>
        <w:rPr>
          <w:spacing w:val="27"/>
        </w:rPr>
        <w:t> </w:t>
      </w:r>
      <w:r>
        <w:rPr/>
        <w:t>makes</w:t>
      </w:r>
      <w:r>
        <w:rPr>
          <w:spacing w:val="27"/>
        </w:rPr>
        <w:t> </w:t>
      </w:r>
      <w:r>
        <w:rPr/>
        <w:t>an</w:t>
      </w:r>
      <w:r>
        <w:rPr>
          <w:spacing w:val="27"/>
        </w:rPr>
        <w:t> </w:t>
      </w:r>
      <w:r>
        <w:rPr/>
        <w:t>equitable</w:t>
      </w:r>
      <w:r>
        <w:rPr>
          <w:spacing w:val="26"/>
        </w:rPr>
        <w:t> </w:t>
      </w:r>
      <w:r>
        <w:rPr/>
        <w:t>financial</w:t>
      </w:r>
      <w:r>
        <w:rPr>
          <w:spacing w:val="27"/>
        </w:rPr>
        <w:t> </w:t>
      </w:r>
      <w:r>
        <w:rPr/>
        <w:t>contribution</w:t>
      </w:r>
      <w:r>
        <w:rPr>
          <w:spacing w:val="26"/>
        </w:rPr>
        <w:t> </w:t>
      </w:r>
      <w:r>
        <w:rPr/>
        <w:t>to</w:t>
      </w:r>
      <w:r>
        <w:rPr>
          <w:spacing w:val="23"/>
        </w:rPr>
        <w:t> </w:t>
      </w:r>
      <w:r>
        <w:rPr/>
        <w:t>the</w:t>
      </w:r>
      <w:r>
        <w:rPr>
          <w:spacing w:val="28"/>
        </w:rPr>
        <w:t> </w:t>
      </w:r>
      <w:r>
        <w:rPr/>
        <w:t>cost</w:t>
      </w:r>
      <w:r>
        <w:rPr>
          <w:spacing w:val="29"/>
        </w:rPr>
        <w:t> </w:t>
      </w:r>
      <w:r>
        <w:rPr/>
        <w:t>of</w:t>
      </w:r>
      <w:r>
        <w:rPr>
          <w:spacing w:val="29"/>
        </w:rPr>
        <w:t> </w:t>
      </w:r>
      <w:r>
        <w:rPr/>
        <w:t>carrying</w:t>
      </w:r>
      <w:r>
        <w:rPr>
          <w:spacing w:val="26"/>
        </w:rPr>
        <w:t> </w:t>
      </w:r>
      <w:r>
        <w:rPr/>
        <w:t>out</w:t>
      </w:r>
      <w:r>
        <w:rPr>
          <w:spacing w:val="27"/>
        </w:rPr>
        <w:t> </w:t>
      </w:r>
      <w:r>
        <w:rPr/>
        <w:t>the functions of Council, including:</w:t>
      </w:r>
    </w:p>
    <w:p>
      <w:pPr>
        <w:pStyle w:val="ListParagraph"/>
        <w:numPr>
          <w:ilvl w:val="0"/>
          <w:numId w:val="16"/>
        </w:numPr>
        <w:tabs>
          <w:tab w:pos="826" w:val="left" w:leader="none"/>
          <w:tab w:pos="827" w:val="left" w:leader="none"/>
        </w:tabs>
        <w:spacing w:line="252" w:lineRule="exact" w:before="0" w:after="0"/>
        <w:ind w:left="827" w:right="0" w:hanging="567"/>
        <w:jc w:val="left"/>
        <w:rPr>
          <w:sz w:val="22"/>
        </w:rPr>
      </w:pPr>
      <w:r>
        <w:rPr>
          <w:sz w:val="22"/>
        </w:rPr>
        <w:t>Construction</w:t>
      </w:r>
      <w:r>
        <w:rPr>
          <w:spacing w:val="-4"/>
          <w:sz w:val="22"/>
        </w:rPr>
        <w:t> </w:t>
      </w:r>
      <w:r>
        <w:rPr>
          <w:sz w:val="22"/>
        </w:rPr>
        <w:t>and</w:t>
      </w:r>
      <w:r>
        <w:rPr>
          <w:spacing w:val="-7"/>
          <w:sz w:val="22"/>
        </w:rPr>
        <w:t> </w:t>
      </w:r>
      <w:r>
        <w:rPr>
          <w:sz w:val="22"/>
        </w:rPr>
        <w:t>maintenance</w:t>
      </w:r>
      <w:r>
        <w:rPr>
          <w:spacing w:val="-5"/>
          <w:sz w:val="22"/>
        </w:rPr>
        <w:t> </w:t>
      </w:r>
      <w:r>
        <w:rPr>
          <w:sz w:val="22"/>
        </w:rPr>
        <w:t>of</w:t>
      </w:r>
      <w:r>
        <w:rPr>
          <w:spacing w:val="-5"/>
          <w:sz w:val="22"/>
        </w:rPr>
        <w:t> </w:t>
      </w:r>
      <w:r>
        <w:rPr>
          <w:sz w:val="22"/>
        </w:rPr>
        <w:t>public</w:t>
      </w:r>
      <w:r>
        <w:rPr>
          <w:spacing w:val="-5"/>
          <w:sz w:val="22"/>
        </w:rPr>
        <w:t> </w:t>
      </w:r>
      <w:r>
        <w:rPr>
          <w:sz w:val="22"/>
        </w:rPr>
        <w:t>infrastructure:</w:t>
      </w:r>
      <w:r>
        <w:rPr>
          <w:spacing w:val="-5"/>
          <w:sz w:val="22"/>
        </w:rPr>
        <w:t> and</w:t>
      </w:r>
    </w:p>
    <w:p>
      <w:pPr>
        <w:pStyle w:val="ListParagraph"/>
        <w:numPr>
          <w:ilvl w:val="0"/>
          <w:numId w:val="16"/>
        </w:numPr>
        <w:tabs>
          <w:tab w:pos="826" w:val="left" w:leader="none"/>
          <w:tab w:pos="827" w:val="left" w:leader="none"/>
        </w:tabs>
        <w:spacing w:line="252" w:lineRule="exact" w:before="0" w:after="0"/>
        <w:ind w:left="827" w:right="0" w:hanging="567"/>
        <w:jc w:val="left"/>
        <w:rPr>
          <w:sz w:val="22"/>
        </w:rPr>
      </w:pPr>
      <w:r>
        <w:rPr>
          <w:sz w:val="22"/>
        </w:rPr>
        <w:t>Development</w:t>
      </w:r>
      <w:r>
        <w:rPr>
          <w:spacing w:val="-5"/>
          <w:sz w:val="22"/>
        </w:rPr>
        <w:t> </w:t>
      </w:r>
      <w:r>
        <w:rPr>
          <w:sz w:val="22"/>
        </w:rPr>
        <w:t>and</w:t>
      </w:r>
      <w:r>
        <w:rPr>
          <w:spacing w:val="-6"/>
          <w:sz w:val="22"/>
        </w:rPr>
        <w:t> </w:t>
      </w:r>
      <w:r>
        <w:rPr>
          <w:sz w:val="22"/>
        </w:rPr>
        <w:t>provision</w:t>
      </w:r>
      <w:r>
        <w:rPr>
          <w:spacing w:val="-4"/>
          <w:sz w:val="22"/>
        </w:rPr>
        <w:t> </w:t>
      </w:r>
      <w:r>
        <w:rPr>
          <w:sz w:val="22"/>
        </w:rPr>
        <w:t>of</w:t>
      </w:r>
      <w:r>
        <w:rPr>
          <w:spacing w:val="-3"/>
          <w:sz w:val="22"/>
        </w:rPr>
        <w:t> </w:t>
      </w:r>
      <w:r>
        <w:rPr>
          <w:sz w:val="22"/>
        </w:rPr>
        <w:t>health</w:t>
      </w:r>
      <w:r>
        <w:rPr>
          <w:spacing w:val="-2"/>
          <w:sz w:val="22"/>
        </w:rPr>
        <w:t> </w:t>
      </w:r>
      <w:r>
        <w:rPr>
          <w:sz w:val="22"/>
        </w:rPr>
        <w:t>&amp;</w:t>
      </w:r>
      <w:r>
        <w:rPr>
          <w:spacing w:val="-7"/>
          <w:sz w:val="22"/>
        </w:rPr>
        <w:t> </w:t>
      </w:r>
      <w:r>
        <w:rPr>
          <w:sz w:val="22"/>
        </w:rPr>
        <w:t>community</w:t>
      </w:r>
      <w:r>
        <w:rPr>
          <w:spacing w:val="-4"/>
          <w:sz w:val="22"/>
        </w:rPr>
        <w:t> </w:t>
      </w:r>
      <w:r>
        <w:rPr>
          <w:sz w:val="22"/>
        </w:rPr>
        <w:t>services;</w:t>
      </w:r>
      <w:r>
        <w:rPr>
          <w:spacing w:val="-4"/>
          <w:sz w:val="22"/>
        </w:rPr>
        <w:t> </w:t>
      </w:r>
      <w:r>
        <w:rPr>
          <w:spacing w:val="-5"/>
          <w:sz w:val="22"/>
        </w:rPr>
        <w:t>and</w:t>
      </w:r>
    </w:p>
    <w:p>
      <w:pPr>
        <w:pStyle w:val="ListParagraph"/>
        <w:numPr>
          <w:ilvl w:val="0"/>
          <w:numId w:val="16"/>
        </w:numPr>
        <w:tabs>
          <w:tab w:pos="826" w:val="left" w:leader="none"/>
          <w:tab w:pos="827" w:val="left" w:leader="none"/>
        </w:tabs>
        <w:spacing w:line="252" w:lineRule="exact" w:before="1" w:after="0"/>
        <w:ind w:left="827" w:right="0" w:hanging="567"/>
        <w:jc w:val="left"/>
        <w:rPr>
          <w:sz w:val="22"/>
        </w:rPr>
      </w:pPr>
      <w:r>
        <w:rPr>
          <w:sz w:val="22"/>
        </w:rPr>
        <w:t>Provision</w:t>
      </w:r>
      <w:r>
        <w:rPr>
          <w:spacing w:val="-4"/>
          <w:sz w:val="22"/>
        </w:rPr>
        <w:t> </w:t>
      </w:r>
      <w:r>
        <w:rPr>
          <w:sz w:val="22"/>
        </w:rPr>
        <w:t>of</w:t>
      </w:r>
      <w:r>
        <w:rPr>
          <w:spacing w:val="-3"/>
          <w:sz w:val="22"/>
        </w:rPr>
        <w:t> </w:t>
      </w:r>
      <w:r>
        <w:rPr>
          <w:sz w:val="22"/>
        </w:rPr>
        <w:t>general</w:t>
      </w:r>
      <w:r>
        <w:rPr>
          <w:spacing w:val="-4"/>
          <w:sz w:val="22"/>
        </w:rPr>
        <w:t> </w:t>
      </w:r>
      <w:r>
        <w:rPr>
          <w:sz w:val="22"/>
        </w:rPr>
        <w:t>support</w:t>
      </w:r>
      <w:r>
        <w:rPr>
          <w:spacing w:val="-5"/>
          <w:sz w:val="22"/>
        </w:rPr>
        <w:t> </w:t>
      </w:r>
      <w:r>
        <w:rPr>
          <w:sz w:val="22"/>
        </w:rPr>
        <w:t>services;</w:t>
      </w:r>
      <w:r>
        <w:rPr>
          <w:spacing w:val="-1"/>
          <w:sz w:val="22"/>
        </w:rPr>
        <w:t> </w:t>
      </w:r>
      <w:r>
        <w:rPr>
          <w:spacing w:val="-5"/>
          <w:sz w:val="22"/>
        </w:rPr>
        <w:t>and</w:t>
      </w:r>
    </w:p>
    <w:p>
      <w:pPr>
        <w:pStyle w:val="ListParagraph"/>
        <w:numPr>
          <w:ilvl w:val="0"/>
          <w:numId w:val="16"/>
        </w:numPr>
        <w:tabs>
          <w:tab w:pos="826" w:val="left" w:leader="none"/>
          <w:tab w:pos="827" w:val="left" w:leader="none"/>
        </w:tabs>
        <w:spacing w:line="240" w:lineRule="auto" w:before="0" w:after="0"/>
        <w:ind w:left="826" w:right="555" w:hanging="567"/>
        <w:jc w:val="left"/>
        <w:rPr>
          <w:sz w:val="22"/>
        </w:rPr>
      </w:pPr>
      <w:r>
        <w:rPr>
          <w:sz w:val="22"/>
        </w:rPr>
        <w:t>Enhancement</w:t>
      </w:r>
      <w:r>
        <w:rPr>
          <w:spacing w:val="40"/>
          <w:sz w:val="22"/>
        </w:rPr>
        <w:t> </w:t>
      </w:r>
      <w:r>
        <w:rPr>
          <w:sz w:val="22"/>
        </w:rPr>
        <w:t>of</w:t>
      </w:r>
      <w:r>
        <w:rPr>
          <w:spacing w:val="40"/>
          <w:sz w:val="22"/>
        </w:rPr>
        <w:t> </w:t>
      </w:r>
      <w:r>
        <w:rPr>
          <w:sz w:val="22"/>
        </w:rPr>
        <w:t>the</w:t>
      </w:r>
      <w:r>
        <w:rPr>
          <w:spacing w:val="40"/>
          <w:sz w:val="22"/>
        </w:rPr>
        <w:t> </w:t>
      </w:r>
      <w:r>
        <w:rPr>
          <w:sz w:val="22"/>
        </w:rPr>
        <w:t>economic</w:t>
      </w:r>
      <w:r>
        <w:rPr>
          <w:spacing w:val="40"/>
          <w:sz w:val="22"/>
        </w:rPr>
        <w:t> </w:t>
      </w:r>
      <w:r>
        <w:rPr>
          <w:sz w:val="22"/>
        </w:rPr>
        <w:t>viability</w:t>
      </w:r>
      <w:r>
        <w:rPr>
          <w:spacing w:val="40"/>
          <w:sz w:val="22"/>
        </w:rPr>
        <w:t> </w:t>
      </w:r>
      <w:r>
        <w:rPr>
          <w:sz w:val="22"/>
        </w:rPr>
        <w:t>of</w:t>
      </w:r>
      <w:r>
        <w:rPr>
          <w:spacing w:val="40"/>
          <w:sz w:val="22"/>
        </w:rPr>
        <w:t> </w:t>
      </w:r>
      <w:r>
        <w:rPr>
          <w:sz w:val="22"/>
        </w:rPr>
        <w:t>the</w:t>
      </w:r>
      <w:r>
        <w:rPr>
          <w:spacing w:val="40"/>
          <w:sz w:val="22"/>
        </w:rPr>
        <w:t> </w:t>
      </w:r>
      <w:r>
        <w:rPr>
          <w:sz w:val="22"/>
        </w:rPr>
        <w:t>commercial</w:t>
      </w:r>
      <w:r>
        <w:rPr>
          <w:spacing w:val="40"/>
          <w:sz w:val="22"/>
        </w:rPr>
        <w:t> </w:t>
      </w:r>
      <w:r>
        <w:rPr>
          <w:sz w:val="22"/>
        </w:rPr>
        <w:t>and</w:t>
      </w:r>
      <w:r>
        <w:rPr>
          <w:spacing w:val="40"/>
          <w:sz w:val="22"/>
        </w:rPr>
        <w:t> </w:t>
      </w:r>
      <w:r>
        <w:rPr>
          <w:sz w:val="22"/>
        </w:rPr>
        <w:t>industrial</w:t>
      </w:r>
      <w:r>
        <w:rPr>
          <w:spacing w:val="40"/>
          <w:sz w:val="22"/>
        </w:rPr>
        <w:t> </w:t>
      </w:r>
      <w:r>
        <w:rPr>
          <w:sz w:val="22"/>
        </w:rPr>
        <w:t>sector</w:t>
      </w:r>
      <w:r>
        <w:rPr>
          <w:spacing w:val="40"/>
          <w:sz w:val="22"/>
        </w:rPr>
        <w:t> </w:t>
      </w:r>
      <w:r>
        <w:rPr>
          <w:sz w:val="22"/>
        </w:rPr>
        <w:t>through</w:t>
      </w:r>
      <w:r>
        <w:rPr>
          <w:spacing w:val="40"/>
          <w:sz w:val="22"/>
        </w:rPr>
        <w:t> </w:t>
      </w:r>
      <w:r>
        <w:rPr>
          <w:sz w:val="22"/>
        </w:rPr>
        <w:t>targeted programs and projects; and</w:t>
      </w:r>
    </w:p>
    <w:p>
      <w:pPr>
        <w:pStyle w:val="ListParagraph"/>
        <w:numPr>
          <w:ilvl w:val="0"/>
          <w:numId w:val="16"/>
        </w:numPr>
        <w:tabs>
          <w:tab w:pos="826" w:val="left" w:leader="none"/>
          <w:tab w:pos="827" w:val="left" w:leader="none"/>
        </w:tabs>
        <w:spacing w:line="252" w:lineRule="exact" w:before="0" w:after="0"/>
        <w:ind w:left="827" w:right="0" w:hanging="567"/>
        <w:jc w:val="left"/>
        <w:rPr>
          <w:sz w:val="22"/>
        </w:rPr>
      </w:pPr>
      <w:r>
        <w:rPr>
          <w:sz w:val="22"/>
        </w:rPr>
        <w:t>Encouragement</w:t>
      </w:r>
      <w:r>
        <w:rPr>
          <w:spacing w:val="-7"/>
          <w:sz w:val="22"/>
        </w:rPr>
        <w:t> </w:t>
      </w:r>
      <w:r>
        <w:rPr>
          <w:sz w:val="22"/>
        </w:rPr>
        <w:t>of</w:t>
      </w:r>
      <w:r>
        <w:rPr>
          <w:spacing w:val="-6"/>
          <w:sz w:val="22"/>
        </w:rPr>
        <w:t> </w:t>
      </w:r>
      <w:r>
        <w:rPr>
          <w:sz w:val="22"/>
        </w:rPr>
        <w:t>employment</w:t>
      </w:r>
      <w:r>
        <w:rPr>
          <w:spacing w:val="-8"/>
          <w:sz w:val="22"/>
        </w:rPr>
        <w:t> </w:t>
      </w:r>
      <w:r>
        <w:rPr>
          <w:sz w:val="22"/>
        </w:rPr>
        <w:t>opportunities;</w:t>
      </w:r>
      <w:r>
        <w:rPr>
          <w:spacing w:val="-6"/>
          <w:sz w:val="22"/>
        </w:rPr>
        <w:t> </w:t>
      </w:r>
      <w:r>
        <w:rPr>
          <w:spacing w:val="-5"/>
          <w:sz w:val="22"/>
        </w:rPr>
        <w:t>and</w:t>
      </w:r>
    </w:p>
    <w:p>
      <w:pPr>
        <w:pStyle w:val="ListParagraph"/>
        <w:numPr>
          <w:ilvl w:val="0"/>
          <w:numId w:val="16"/>
        </w:numPr>
        <w:tabs>
          <w:tab w:pos="826" w:val="left" w:leader="none"/>
          <w:tab w:pos="827" w:val="left" w:leader="none"/>
        </w:tabs>
        <w:spacing w:line="252" w:lineRule="exact" w:before="0" w:after="0"/>
        <w:ind w:left="827" w:right="0" w:hanging="567"/>
        <w:jc w:val="left"/>
        <w:rPr>
          <w:sz w:val="22"/>
        </w:rPr>
      </w:pPr>
      <w:r>
        <w:rPr>
          <w:sz w:val="22"/>
        </w:rPr>
        <w:t>Promotion</w:t>
      </w:r>
      <w:r>
        <w:rPr>
          <w:spacing w:val="-6"/>
          <w:sz w:val="22"/>
        </w:rPr>
        <w:t> </w:t>
      </w:r>
      <w:r>
        <w:rPr>
          <w:sz w:val="22"/>
        </w:rPr>
        <w:t>of</w:t>
      </w:r>
      <w:r>
        <w:rPr>
          <w:spacing w:val="-5"/>
          <w:sz w:val="22"/>
        </w:rPr>
        <w:t> </w:t>
      </w:r>
      <w:r>
        <w:rPr>
          <w:sz w:val="22"/>
        </w:rPr>
        <w:t>economic</w:t>
      </w:r>
      <w:r>
        <w:rPr>
          <w:spacing w:val="-6"/>
          <w:sz w:val="22"/>
        </w:rPr>
        <w:t> </w:t>
      </w:r>
      <w:r>
        <w:rPr>
          <w:sz w:val="22"/>
        </w:rPr>
        <w:t>development;</w:t>
      </w:r>
      <w:r>
        <w:rPr>
          <w:spacing w:val="-4"/>
          <w:sz w:val="22"/>
        </w:rPr>
        <w:t> </w:t>
      </w:r>
      <w:r>
        <w:rPr>
          <w:spacing w:val="-5"/>
          <w:sz w:val="22"/>
        </w:rPr>
        <w:t>and</w:t>
      </w:r>
    </w:p>
    <w:p>
      <w:pPr>
        <w:pStyle w:val="ListParagraph"/>
        <w:numPr>
          <w:ilvl w:val="0"/>
          <w:numId w:val="16"/>
        </w:numPr>
        <w:tabs>
          <w:tab w:pos="826" w:val="left" w:leader="none"/>
          <w:tab w:pos="827" w:val="left" w:leader="none"/>
        </w:tabs>
        <w:spacing w:line="240" w:lineRule="auto" w:before="2" w:after="0"/>
        <w:ind w:left="826" w:right="556" w:hanging="567"/>
        <w:jc w:val="left"/>
        <w:rPr>
          <w:sz w:val="22"/>
        </w:rPr>
      </w:pPr>
      <w:r>
        <w:rPr>
          <w:sz w:val="22"/>
        </w:rPr>
        <w:t>Requirement</w:t>
      </w:r>
      <w:r>
        <w:rPr>
          <w:spacing w:val="-16"/>
          <w:sz w:val="22"/>
        </w:rPr>
        <w:t> </w:t>
      </w:r>
      <w:r>
        <w:rPr>
          <w:sz w:val="22"/>
        </w:rPr>
        <w:t>to</w:t>
      </w:r>
      <w:r>
        <w:rPr>
          <w:spacing w:val="-15"/>
          <w:sz w:val="22"/>
        </w:rPr>
        <w:t> </w:t>
      </w:r>
      <w:r>
        <w:rPr>
          <w:sz w:val="22"/>
        </w:rPr>
        <w:t>ensure</w:t>
      </w:r>
      <w:r>
        <w:rPr>
          <w:spacing w:val="-15"/>
          <w:sz w:val="22"/>
        </w:rPr>
        <w:t> </w:t>
      </w:r>
      <w:r>
        <w:rPr>
          <w:sz w:val="22"/>
        </w:rPr>
        <w:t>that</w:t>
      </w:r>
      <w:r>
        <w:rPr>
          <w:spacing w:val="-14"/>
          <w:sz w:val="22"/>
        </w:rPr>
        <w:t> </w:t>
      </w:r>
      <w:r>
        <w:rPr>
          <w:sz w:val="22"/>
        </w:rPr>
        <w:t>streetscaping</w:t>
      </w:r>
      <w:r>
        <w:rPr>
          <w:spacing w:val="-13"/>
          <w:sz w:val="22"/>
        </w:rPr>
        <w:t> </w:t>
      </w:r>
      <w:r>
        <w:rPr>
          <w:sz w:val="22"/>
        </w:rPr>
        <w:t>and</w:t>
      </w:r>
      <w:r>
        <w:rPr>
          <w:spacing w:val="-14"/>
          <w:sz w:val="22"/>
        </w:rPr>
        <w:t> </w:t>
      </w:r>
      <w:r>
        <w:rPr>
          <w:sz w:val="22"/>
        </w:rPr>
        <w:t>promotional</w:t>
      </w:r>
      <w:r>
        <w:rPr>
          <w:spacing w:val="-15"/>
          <w:sz w:val="22"/>
        </w:rPr>
        <w:t> </w:t>
      </w:r>
      <w:r>
        <w:rPr>
          <w:sz w:val="22"/>
        </w:rPr>
        <w:t>activity</w:t>
      </w:r>
      <w:r>
        <w:rPr>
          <w:spacing w:val="-14"/>
          <w:sz w:val="22"/>
        </w:rPr>
        <w:t> </w:t>
      </w:r>
      <w:r>
        <w:rPr>
          <w:sz w:val="22"/>
        </w:rPr>
        <w:t>is</w:t>
      </w:r>
      <w:r>
        <w:rPr>
          <w:spacing w:val="-15"/>
          <w:sz w:val="22"/>
        </w:rPr>
        <w:t> </w:t>
      </w:r>
      <w:r>
        <w:rPr>
          <w:sz w:val="22"/>
        </w:rPr>
        <w:t>complimentary</w:t>
      </w:r>
      <w:r>
        <w:rPr>
          <w:spacing w:val="-16"/>
          <w:sz w:val="22"/>
        </w:rPr>
        <w:t> </w:t>
      </w:r>
      <w:r>
        <w:rPr>
          <w:sz w:val="22"/>
        </w:rPr>
        <w:t>to</w:t>
      </w:r>
      <w:r>
        <w:rPr>
          <w:spacing w:val="-15"/>
          <w:sz w:val="22"/>
        </w:rPr>
        <w:t> </w:t>
      </w:r>
      <w:r>
        <w:rPr>
          <w:sz w:val="22"/>
        </w:rPr>
        <w:t>the</w:t>
      </w:r>
      <w:r>
        <w:rPr>
          <w:spacing w:val="-13"/>
          <w:sz w:val="22"/>
        </w:rPr>
        <w:t> </w:t>
      </w:r>
      <w:r>
        <w:rPr>
          <w:sz w:val="22"/>
        </w:rPr>
        <w:t>achievement of commercial and industrial objectives.</w:t>
      </w:r>
    </w:p>
    <w:p>
      <w:pPr>
        <w:pStyle w:val="BodyText"/>
        <w:spacing w:before="10"/>
        <w:rPr>
          <w:sz w:val="21"/>
        </w:rPr>
      </w:pPr>
    </w:p>
    <w:p>
      <w:pPr>
        <w:pStyle w:val="Heading5"/>
        <w:spacing w:line="252" w:lineRule="exact" w:before="1"/>
      </w:pPr>
      <w:r>
        <w:rPr/>
        <w:t>Types</w:t>
      </w:r>
      <w:r>
        <w:rPr>
          <w:spacing w:val="-2"/>
        </w:rPr>
        <w:t> </w:t>
      </w:r>
      <w:r>
        <w:rPr/>
        <w:t>and</w:t>
      </w:r>
      <w:r>
        <w:rPr>
          <w:spacing w:val="-1"/>
        </w:rPr>
        <w:t> </w:t>
      </w:r>
      <w:r>
        <w:rPr>
          <w:spacing w:val="-2"/>
        </w:rPr>
        <w:t>Classes:</w:t>
      </w:r>
    </w:p>
    <w:p>
      <w:pPr>
        <w:pStyle w:val="BodyText"/>
        <w:spacing w:line="252" w:lineRule="exact"/>
        <w:ind w:left="260"/>
      </w:pPr>
      <w:r>
        <w:rPr/>
        <w:t>Rateable</w:t>
      </w:r>
      <w:r>
        <w:rPr>
          <w:spacing w:val="-7"/>
        </w:rPr>
        <w:t> </w:t>
      </w:r>
      <w:r>
        <w:rPr/>
        <w:t>land</w:t>
      </w:r>
      <w:r>
        <w:rPr>
          <w:spacing w:val="-3"/>
        </w:rPr>
        <w:t> </w:t>
      </w:r>
      <w:r>
        <w:rPr/>
        <w:t>having</w:t>
      </w:r>
      <w:r>
        <w:rPr>
          <w:spacing w:val="-4"/>
        </w:rPr>
        <w:t> </w:t>
      </w:r>
      <w:r>
        <w:rPr/>
        <w:t>the</w:t>
      </w:r>
      <w:r>
        <w:rPr>
          <w:spacing w:val="-4"/>
        </w:rPr>
        <w:t> </w:t>
      </w:r>
      <w:r>
        <w:rPr/>
        <w:t>relevant</w:t>
      </w:r>
      <w:r>
        <w:rPr>
          <w:spacing w:val="-2"/>
        </w:rPr>
        <w:t> </w:t>
      </w:r>
      <w:r>
        <w:rPr/>
        <w:t>characteristics</w:t>
      </w:r>
      <w:r>
        <w:rPr>
          <w:spacing w:val="-6"/>
        </w:rPr>
        <w:t> </w:t>
      </w:r>
      <w:r>
        <w:rPr/>
        <w:t>described</w:t>
      </w:r>
      <w:r>
        <w:rPr>
          <w:spacing w:val="-3"/>
        </w:rPr>
        <w:t> </w:t>
      </w:r>
      <w:r>
        <w:rPr/>
        <w:t>in</w:t>
      </w:r>
      <w:r>
        <w:rPr>
          <w:spacing w:val="-5"/>
        </w:rPr>
        <w:t> </w:t>
      </w:r>
      <w:r>
        <w:rPr/>
        <w:t>the</w:t>
      </w:r>
      <w:r>
        <w:rPr>
          <w:spacing w:val="-1"/>
        </w:rPr>
        <w:t> </w:t>
      </w:r>
      <w:r>
        <w:rPr>
          <w:spacing w:val="-2"/>
        </w:rPr>
        <w:t>definition/characteristics.</w:t>
      </w:r>
    </w:p>
    <w:p>
      <w:pPr>
        <w:pStyle w:val="BodyText"/>
      </w:pPr>
    </w:p>
    <w:p>
      <w:pPr>
        <w:pStyle w:val="Heading5"/>
        <w:spacing w:line="252" w:lineRule="exact"/>
        <w:jc w:val="both"/>
      </w:pPr>
      <w:r>
        <w:rPr/>
        <w:t>Use</w:t>
      </w:r>
      <w:r>
        <w:rPr>
          <w:spacing w:val="-2"/>
        </w:rPr>
        <w:t> </w:t>
      </w:r>
      <w:r>
        <w:rPr/>
        <w:t>and</w:t>
      </w:r>
      <w:r>
        <w:rPr>
          <w:spacing w:val="-3"/>
        </w:rPr>
        <w:t> </w:t>
      </w:r>
      <w:r>
        <w:rPr/>
        <w:t>Level</w:t>
      </w:r>
      <w:r>
        <w:rPr>
          <w:spacing w:val="-5"/>
        </w:rPr>
        <w:t> </w:t>
      </w:r>
      <w:r>
        <w:rPr/>
        <w:t>of</w:t>
      </w:r>
      <w:r>
        <w:rPr>
          <w:spacing w:val="-6"/>
        </w:rPr>
        <w:t> </w:t>
      </w:r>
      <w:r>
        <w:rPr/>
        <w:t>Differential </w:t>
      </w:r>
      <w:r>
        <w:rPr>
          <w:spacing w:val="-4"/>
        </w:rPr>
        <w:t>Rate:</w:t>
      </w:r>
    </w:p>
    <w:p>
      <w:pPr>
        <w:pStyle w:val="BodyText"/>
        <w:ind w:left="260" w:right="554"/>
        <w:jc w:val="both"/>
      </w:pPr>
      <w:r>
        <w:rPr/>
        <w:t>The</w:t>
      </w:r>
      <w:r>
        <w:rPr>
          <w:spacing w:val="-5"/>
        </w:rPr>
        <w:t> </w:t>
      </w:r>
      <w:r>
        <w:rPr/>
        <w:t>differential</w:t>
      </w:r>
      <w:r>
        <w:rPr>
          <w:spacing w:val="-7"/>
        </w:rPr>
        <w:t> </w:t>
      </w:r>
      <w:r>
        <w:rPr/>
        <w:t>rate</w:t>
      </w:r>
      <w:r>
        <w:rPr>
          <w:spacing w:val="-7"/>
        </w:rPr>
        <w:t> </w:t>
      </w:r>
      <w:r>
        <w:rPr/>
        <w:t>will</w:t>
      </w:r>
      <w:r>
        <w:rPr>
          <w:spacing w:val="-8"/>
        </w:rPr>
        <w:t> </w:t>
      </w:r>
      <w:r>
        <w:rPr/>
        <w:t>be</w:t>
      </w:r>
      <w:r>
        <w:rPr>
          <w:spacing w:val="-5"/>
        </w:rPr>
        <w:t> </w:t>
      </w:r>
      <w:r>
        <w:rPr/>
        <w:t>used</w:t>
      </w:r>
      <w:r>
        <w:rPr>
          <w:spacing w:val="-7"/>
        </w:rPr>
        <w:t> </w:t>
      </w:r>
      <w:r>
        <w:rPr/>
        <w:t>to</w:t>
      </w:r>
      <w:r>
        <w:rPr>
          <w:spacing w:val="-9"/>
        </w:rPr>
        <w:t> </w:t>
      </w:r>
      <w:r>
        <w:rPr/>
        <w:t>fund</w:t>
      </w:r>
      <w:r>
        <w:rPr>
          <w:spacing w:val="-7"/>
        </w:rPr>
        <w:t> </w:t>
      </w:r>
      <w:r>
        <w:rPr/>
        <w:t>some</w:t>
      </w:r>
      <w:r>
        <w:rPr>
          <w:spacing w:val="-9"/>
        </w:rPr>
        <w:t> </w:t>
      </w:r>
      <w:r>
        <w:rPr/>
        <w:t>of</w:t>
      </w:r>
      <w:r>
        <w:rPr>
          <w:spacing w:val="-9"/>
        </w:rPr>
        <w:t> </w:t>
      </w:r>
      <w:r>
        <w:rPr/>
        <w:t>those</w:t>
      </w:r>
      <w:r>
        <w:rPr>
          <w:spacing w:val="-5"/>
        </w:rPr>
        <w:t> </w:t>
      </w:r>
      <w:r>
        <w:rPr/>
        <w:t>items</w:t>
      </w:r>
      <w:r>
        <w:rPr>
          <w:spacing w:val="-5"/>
        </w:rPr>
        <w:t> </w:t>
      </w:r>
      <w:r>
        <w:rPr/>
        <w:t>of</w:t>
      </w:r>
      <w:r>
        <w:rPr>
          <w:spacing w:val="-3"/>
        </w:rPr>
        <w:t> </w:t>
      </w:r>
      <w:r>
        <w:rPr/>
        <w:t>expenditure</w:t>
      </w:r>
      <w:r>
        <w:rPr>
          <w:spacing w:val="-11"/>
        </w:rPr>
        <w:t> </w:t>
      </w:r>
      <w:r>
        <w:rPr/>
        <w:t>described</w:t>
      </w:r>
      <w:r>
        <w:rPr>
          <w:spacing w:val="-5"/>
        </w:rPr>
        <w:t> </w:t>
      </w:r>
      <w:r>
        <w:rPr/>
        <w:t>in</w:t>
      </w:r>
      <w:r>
        <w:rPr>
          <w:spacing w:val="-9"/>
        </w:rPr>
        <w:t> </w:t>
      </w:r>
      <w:r>
        <w:rPr/>
        <w:t>the</w:t>
      </w:r>
      <w:r>
        <w:rPr>
          <w:spacing w:val="-5"/>
        </w:rPr>
        <w:t> </w:t>
      </w:r>
      <w:r>
        <w:rPr/>
        <w:t>Budget</w:t>
      </w:r>
      <w:r>
        <w:rPr>
          <w:spacing w:val="-5"/>
        </w:rPr>
        <w:t> </w:t>
      </w:r>
      <w:r>
        <w:rPr/>
        <w:t>adopted by Council. The level of differential rate is the level which Council considers is necessary to achieve the objectives specified above.</w:t>
      </w:r>
    </w:p>
    <w:p>
      <w:pPr>
        <w:pStyle w:val="BodyText"/>
      </w:pPr>
    </w:p>
    <w:p>
      <w:pPr>
        <w:pStyle w:val="Heading5"/>
        <w:spacing w:line="252" w:lineRule="exact" w:before="1"/>
        <w:jc w:val="both"/>
      </w:pPr>
      <w:r>
        <w:rPr/>
        <w:t>Geographic</w:t>
      </w:r>
      <w:r>
        <w:rPr>
          <w:spacing w:val="-5"/>
        </w:rPr>
        <w:t> </w:t>
      </w:r>
      <w:r>
        <w:rPr>
          <w:spacing w:val="-2"/>
        </w:rPr>
        <w:t>Location:</w:t>
      </w:r>
    </w:p>
    <w:p>
      <w:pPr>
        <w:pStyle w:val="BodyText"/>
        <w:spacing w:line="252" w:lineRule="exact"/>
        <w:ind w:left="260"/>
      </w:pPr>
      <w:r>
        <w:rPr/>
        <w:t>Wherever</w:t>
      </w:r>
      <w:r>
        <w:rPr>
          <w:spacing w:val="-3"/>
        </w:rPr>
        <w:t> </w:t>
      </w:r>
      <w:r>
        <w:rPr/>
        <w:t>located</w:t>
      </w:r>
      <w:r>
        <w:rPr>
          <w:spacing w:val="-2"/>
        </w:rPr>
        <w:t> </w:t>
      </w:r>
      <w:r>
        <w:rPr/>
        <w:t>within</w:t>
      </w:r>
      <w:r>
        <w:rPr>
          <w:spacing w:val="-7"/>
        </w:rPr>
        <w:t> </w:t>
      </w:r>
      <w:r>
        <w:rPr/>
        <w:t>the</w:t>
      </w:r>
      <w:r>
        <w:rPr>
          <w:spacing w:val="-5"/>
        </w:rPr>
        <w:t> </w:t>
      </w:r>
      <w:r>
        <w:rPr/>
        <w:t>municipal</w:t>
      </w:r>
      <w:r>
        <w:rPr>
          <w:spacing w:val="-3"/>
        </w:rPr>
        <w:t> </w:t>
      </w:r>
      <w:r>
        <w:rPr>
          <w:spacing w:val="-2"/>
        </w:rPr>
        <w:t>district.</w:t>
      </w:r>
    </w:p>
    <w:p>
      <w:pPr>
        <w:pStyle w:val="BodyText"/>
      </w:pPr>
    </w:p>
    <w:p>
      <w:pPr>
        <w:pStyle w:val="Heading5"/>
        <w:jc w:val="both"/>
      </w:pPr>
      <w:r>
        <w:rPr/>
        <w:t>Use of</w:t>
      </w:r>
      <w:r>
        <w:rPr>
          <w:spacing w:val="-1"/>
        </w:rPr>
        <w:t> </w:t>
      </w:r>
      <w:r>
        <w:rPr>
          <w:spacing w:val="-4"/>
        </w:rPr>
        <w:t>Land:</w:t>
      </w:r>
    </w:p>
    <w:p>
      <w:pPr>
        <w:pStyle w:val="BodyText"/>
        <w:spacing w:before="1"/>
        <w:ind w:left="260"/>
        <w:jc w:val="both"/>
      </w:pPr>
      <w:r>
        <w:rPr/>
        <w:t>Any</w:t>
      </w:r>
      <w:r>
        <w:rPr>
          <w:spacing w:val="-3"/>
        </w:rPr>
        <w:t> </w:t>
      </w:r>
      <w:r>
        <w:rPr/>
        <w:t>use</w:t>
      </w:r>
      <w:r>
        <w:rPr>
          <w:spacing w:val="-3"/>
        </w:rPr>
        <w:t> </w:t>
      </w:r>
      <w:r>
        <w:rPr/>
        <w:t>permitted</w:t>
      </w:r>
      <w:r>
        <w:rPr>
          <w:spacing w:val="-5"/>
        </w:rPr>
        <w:t> </w:t>
      </w:r>
      <w:r>
        <w:rPr/>
        <w:t>under</w:t>
      </w:r>
      <w:r>
        <w:rPr>
          <w:spacing w:val="-2"/>
        </w:rPr>
        <w:t> </w:t>
      </w:r>
      <w:r>
        <w:rPr/>
        <w:t>the</w:t>
      </w:r>
      <w:r>
        <w:rPr>
          <w:spacing w:val="-5"/>
        </w:rPr>
        <w:t> </w:t>
      </w:r>
      <w:r>
        <w:rPr/>
        <w:t>relevant</w:t>
      </w:r>
      <w:r>
        <w:rPr>
          <w:spacing w:val="-3"/>
        </w:rPr>
        <w:t> </w:t>
      </w:r>
      <w:r>
        <w:rPr/>
        <w:t>Planning</w:t>
      </w:r>
      <w:r>
        <w:rPr>
          <w:spacing w:val="-1"/>
        </w:rPr>
        <w:t> </w:t>
      </w:r>
      <w:r>
        <w:rPr>
          <w:spacing w:val="-2"/>
        </w:rPr>
        <w:t>Scheme.</w:t>
      </w:r>
    </w:p>
    <w:p>
      <w:pPr>
        <w:pStyle w:val="BodyText"/>
        <w:spacing w:before="1"/>
      </w:pPr>
    </w:p>
    <w:p>
      <w:pPr>
        <w:pStyle w:val="Heading5"/>
        <w:spacing w:line="252" w:lineRule="exact"/>
        <w:jc w:val="both"/>
      </w:pPr>
      <w:r>
        <w:rPr/>
        <w:t>Planning</w:t>
      </w:r>
      <w:r>
        <w:rPr>
          <w:spacing w:val="-4"/>
        </w:rPr>
        <w:t> </w:t>
      </w:r>
      <w:r>
        <w:rPr/>
        <w:t>Scheme</w:t>
      </w:r>
      <w:r>
        <w:rPr>
          <w:spacing w:val="-2"/>
        </w:rPr>
        <w:t> Zoning:</w:t>
      </w:r>
    </w:p>
    <w:p>
      <w:pPr>
        <w:pStyle w:val="BodyText"/>
        <w:ind w:left="260" w:right="555"/>
        <w:jc w:val="both"/>
      </w:pPr>
      <w:r>
        <w:rPr/>
        <w:t>The</w:t>
      </w:r>
      <w:r>
        <w:rPr>
          <w:spacing w:val="-2"/>
        </w:rPr>
        <w:t> </w:t>
      </w:r>
      <w:r>
        <w:rPr/>
        <w:t>zoning</w:t>
      </w:r>
      <w:r>
        <w:rPr>
          <w:spacing w:val="-4"/>
        </w:rPr>
        <w:t> </w:t>
      </w:r>
      <w:r>
        <w:rPr/>
        <w:t>applicable</w:t>
      </w:r>
      <w:r>
        <w:rPr>
          <w:spacing w:val="-4"/>
        </w:rPr>
        <w:t> </w:t>
      </w:r>
      <w:r>
        <w:rPr/>
        <w:t>to</w:t>
      </w:r>
      <w:r>
        <w:rPr>
          <w:spacing w:val="-7"/>
        </w:rPr>
        <w:t> </w:t>
      </w:r>
      <w:r>
        <w:rPr/>
        <w:t>each</w:t>
      </w:r>
      <w:r>
        <w:rPr>
          <w:spacing w:val="-4"/>
        </w:rPr>
        <w:t> </w:t>
      </w:r>
      <w:r>
        <w:rPr/>
        <w:t>rateable</w:t>
      </w:r>
      <w:r>
        <w:rPr>
          <w:spacing w:val="-6"/>
        </w:rPr>
        <w:t> </w:t>
      </w:r>
      <w:r>
        <w:rPr/>
        <w:t>land</w:t>
      </w:r>
      <w:r>
        <w:rPr>
          <w:spacing w:val="-2"/>
        </w:rPr>
        <w:t> </w:t>
      </w:r>
      <w:r>
        <w:rPr/>
        <w:t>within</w:t>
      </w:r>
      <w:r>
        <w:rPr>
          <w:spacing w:val="-6"/>
        </w:rPr>
        <w:t> </w:t>
      </w:r>
      <w:r>
        <w:rPr/>
        <w:t>this</w:t>
      </w:r>
      <w:r>
        <w:rPr>
          <w:spacing w:val="-4"/>
        </w:rPr>
        <w:t> </w:t>
      </w:r>
      <w:r>
        <w:rPr/>
        <w:t>category,</w:t>
      </w:r>
      <w:r>
        <w:rPr>
          <w:spacing w:val="-2"/>
        </w:rPr>
        <w:t> </w:t>
      </w:r>
      <w:r>
        <w:rPr/>
        <w:t>as</w:t>
      </w:r>
      <w:r>
        <w:rPr>
          <w:spacing w:val="-4"/>
        </w:rPr>
        <w:t> </w:t>
      </w:r>
      <w:r>
        <w:rPr/>
        <w:t>determined</w:t>
      </w:r>
      <w:r>
        <w:rPr>
          <w:spacing w:val="-2"/>
        </w:rPr>
        <w:t> </w:t>
      </w:r>
      <w:r>
        <w:rPr/>
        <w:t>by</w:t>
      </w:r>
      <w:r>
        <w:rPr>
          <w:spacing w:val="-4"/>
        </w:rPr>
        <w:t> </w:t>
      </w:r>
      <w:r>
        <w:rPr/>
        <w:t>consulting</w:t>
      </w:r>
      <w:r>
        <w:rPr>
          <w:spacing w:val="-4"/>
        </w:rPr>
        <w:t> </w:t>
      </w:r>
      <w:r>
        <w:rPr/>
        <w:t>maps</w:t>
      </w:r>
      <w:r>
        <w:rPr>
          <w:spacing w:val="-4"/>
        </w:rPr>
        <w:t> </w:t>
      </w:r>
      <w:r>
        <w:rPr/>
        <w:t>referred to in the relevant Planning Scheme.</w:t>
      </w:r>
    </w:p>
    <w:p>
      <w:pPr>
        <w:pStyle w:val="BodyText"/>
        <w:spacing w:before="10"/>
        <w:rPr>
          <w:sz w:val="21"/>
        </w:rPr>
      </w:pPr>
    </w:p>
    <w:p>
      <w:pPr>
        <w:pStyle w:val="Heading5"/>
        <w:jc w:val="both"/>
      </w:pPr>
      <w:r>
        <w:rPr/>
        <w:t>Types</w:t>
      </w:r>
      <w:r>
        <w:rPr>
          <w:spacing w:val="-3"/>
        </w:rPr>
        <w:t> </w:t>
      </w:r>
      <w:r>
        <w:rPr/>
        <w:t>of</w:t>
      </w:r>
      <w:r>
        <w:rPr>
          <w:spacing w:val="-1"/>
        </w:rPr>
        <w:t> </w:t>
      </w:r>
      <w:r>
        <w:rPr>
          <w:spacing w:val="-2"/>
        </w:rPr>
        <w:t>Buildings:</w:t>
      </w:r>
    </w:p>
    <w:p>
      <w:pPr>
        <w:pStyle w:val="BodyText"/>
        <w:spacing w:before="2"/>
        <w:ind w:left="260" w:right="554"/>
        <w:jc w:val="both"/>
      </w:pPr>
      <w:r>
        <w:rPr/>
        <w:t>All</w:t>
      </w:r>
      <w:r>
        <w:rPr>
          <w:spacing w:val="-4"/>
        </w:rPr>
        <w:t> </w:t>
      </w:r>
      <w:r>
        <w:rPr/>
        <w:t>buildings</w:t>
      </w:r>
      <w:r>
        <w:rPr>
          <w:spacing w:val="-4"/>
        </w:rPr>
        <w:t> </w:t>
      </w:r>
      <w:r>
        <w:rPr/>
        <w:t>which</w:t>
      </w:r>
      <w:r>
        <w:rPr>
          <w:spacing w:val="-4"/>
        </w:rPr>
        <w:t> </w:t>
      </w:r>
      <w:r>
        <w:rPr/>
        <w:t>are</w:t>
      </w:r>
      <w:r>
        <w:rPr>
          <w:spacing w:val="-8"/>
        </w:rPr>
        <w:t> </w:t>
      </w:r>
      <w:r>
        <w:rPr/>
        <w:t>now</w:t>
      </w:r>
      <w:r>
        <w:rPr>
          <w:spacing w:val="-4"/>
        </w:rPr>
        <w:t> </w:t>
      </w:r>
      <w:r>
        <w:rPr/>
        <w:t>constructed</w:t>
      </w:r>
      <w:r>
        <w:rPr>
          <w:spacing w:val="-5"/>
        </w:rPr>
        <w:t> </w:t>
      </w:r>
      <w:r>
        <w:rPr/>
        <w:t>on</w:t>
      </w:r>
      <w:r>
        <w:rPr>
          <w:spacing w:val="-6"/>
        </w:rPr>
        <w:t> </w:t>
      </w:r>
      <w:r>
        <w:rPr/>
        <w:t>the</w:t>
      </w:r>
      <w:r>
        <w:rPr>
          <w:spacing w:val="-5"/>
        </w:rPr>
        <w:t> </w:t>
      </w:r>
      <w:r>
        <w:rPr/>
        <w:t>land</w:t>
      </w:r>
      <w:r>
        <w:rPr>
          <w:spacing w:val="-4"/>
        </w:rPr>
        <w:t> </w:t>
      </w:r>
      <w:r>
        <w:rPr/>
        <w:t>or</w:t>
      </w:r>
      <w:r>
        <w:rPr>
          <w:spacing w:val="-4"/>
        </w:rPr>
        <w:t> </w:t>
      </w:r>
      <w:r>
        <w:rPr/>
        <w:t>which</w:t>
      </w:r>
      <w:r>
        <w:rPr>
          <w:spacing w:val="-8"/>
        </w:rPr>
        <w:t> </w:t>
      </w:r>
      <w:r>
        <w:rPr/>
        <w:t>are</w:t>
      </w:r>
      <w:r>
        <w:rPr>
          <w:spacing w:val="-8"/>
        </w:rPr>
        <w:t> </w:t>
      </w:r>
      <w:r>
        <w:rPr/>
        <w:t>constructed</w:t>
      </w:r>
      <w:r>
        <w:rPr>
          <w:spacing w:val="-4"/>
        </w:rPr>
        <w:t> </w:t>
      </w:r>
      <w:r>
        <w:rPr/>
        <w:t>prior</w:t>
      </w:r>
      <w:r>
        <w:rPr>
          <w:spacing w:val="-6"/>
        </w:rPr>
        <w:t> </w:t>
      </w:r>
      <w:r>
        <w:rPr/>
        <w:t>to</w:t>
      </w:r>
      <w:r>
        <w:rPr>
          <w:spacing w:val="-6"/>
        </w:rPr>
        <w:t> </w:t>
      </w:r>
      <w:r>
        <w:rPr/>
        <w:t>the</w:t>
      </w:r>
      <w:r>
        <w:rPr>
          <w:spacing w:val="-6"/>
        </w:rPr>
        <w:t> </w:t>
      </w:r>
      <w:r>
        <w:rPr/>
        <w:t>end</w:t>
      </w:r>
      <w:r>
        <w:rPr>
          <w:spacing w:val="40"/>
        </w:rPr>
        <w:t> </w:t>
      </w:r>
      <w:r>
        <w:rPr/>
        <w:t>of</w:t>
      </w:r>
      <w:r>
        <w:rPr>
          <w:spacing w:val="-8"/>
        </w:rPr>
        <w:t> </w:t>
      </w:r>
      <w:r>
        <w:rPr/>
        <w:t>the</w:t>
      </w:r>
      <w:r>
        <w:rPr>
          <w:spacing w:val="-6"/>
        </w:rPr>
        <w:t> </w:t>
      </w:r>
      <w:r>
        <w:rPr/>
        <w:t>financial </w:t>
      </w:r>
      <w:r>
        <w:rPr>
          <w:spacing w:val="-2"/>
        </w:rPr>
        <w:t>Year.</w:t>
      </w:r>
    </w:p>
    <w:p>
      <w:pPr>
        <w:spacing w:after="0"/>
        <w:jc w:val="both"/>
        <w:sectPr>
          <w:pgSz w:w="11910" w:h="16840"/>
          <w:pgMar w:header="0" w:footer="426" w:top="620" w:bottom="740" w:left="460" w:right="160"/>
        </w:sectPr>
      </w:pPr>
    </w:p>
    <w:p>
      <w:pPr>
        <w:spacing w:before="81"/>
        <w:ind w:left="260" w:right="0" w:firstLine="0"/>
        <w:jc w:val="left"/>
        <w:rPr>
          <w:b/>
          <w:sz w:val="22"/>
        </w:rPr>
      </w:pPr>
      <w:r>
        <w:rPr>
          <w:b/>
          <w:sz w:val="22"/>
          <w:u w:val="single"/>
        </w:rPr>
        <w:t>Industrial</w:t>
      </w:r>
      <w:r>
        <w:rPr>
          <w:b/>
          <w:spacing w:val="-5"/>
          <w:sz w:val="22"/>
          <w:u w:val="single"/>
        </w:rPr>
        <w:t> </w:t>
      </w:r>
      <w:r>
        <w:rPr>
          <w:b/>
          <w:spacing w:val="-4"/>
          <w:sz w:val="22"/>
          <w:u w:val="single"/>
        </w:rPr>
        <w:t>Land</w:t>
      </w:r>
    </w:p>
    <w:p>
      <w:pPr>
        <w:pStyle w:val="BodyText"/>
        <w:spacing w:before="11"/>
        <w:rPr>
          <w:b/>
          <w:sz w:val="13"/>
        </w:rPr>
      </w:pPr>
    </w:p>
    <w:p>
      <w:pPr>
        <w:pStyle w:val="Heading5"/>
        <w:spacing w:line="252" w:lineRule="exact" w:before="93"/>
      </w:pPr>
      <w:r>
        <w:rPr>
          <w:spacing w:val="-2"/>
        </w:rPr>
        <w:t>Definitions/Characteristics:</w:t>
      </w:r>
    </w:p>
    <w:p>
      <w:pPr>
        <w:pStyle w:val="BodyText"/>
        <w:ind w:left="260" w:right="376"/>
      </w:pPr>
      <w:r>
        <w:rPr/>
        <w:t>Industrial</w:t>
      </w:r>
      <w:r>
        <w:rPr>
          <w:spacing w:val="-5"/>
        </w:rPr>
        <w:t> </w:t>
      </w:r>
      <w:r>
        <w:rPr/>
        <w:t>Land</w:t>
      </w:r>
      <w:r>
        <w:rPr>
          <w:spacing w:val="-8"/>
        </w:rPr>
        <w:t> </w:t>
      </w:r>
      <w:r>
        <w:rPr/>
        <w:t>is</w:t>
      </w:r>
      <w:r>
        <w:rPr>
          <w:spacing w:val="-4"/>
        </w:rPr>
        <w:t> </w:t>
      </w:r>
      <w:r>
        <w:rPr/>
        <w:t>any</w:t>
      </w:r>
      <w:r>
        <w:rPr>
          <w:spacing w:val="-2"/>
        </w:rPr>
        <w:t> </w:t>
      </w:r>
      <w:r>
        <w:rPr/>
        <w:t>land</w:t>
      </w:r>
      <w:r>
        <w:rPr>
          <w:spacing w:val="-5"/>
        </w:rPr>
        <w:t> </w:t>
      </w:r>
      <w:r>
        <w:rPr/>
        <w:t>that</w:t>
      </w:r>
      <w:r>
        <w:rPr>
          <w:spacing w:val="-6"/>
        </w:rPr>
        <w:t> </w:t>
      </w:r>
      <w:r>
        <w:rPr/>
        <w:t>does</w:t>
      </w:r>
      <w:r>
        <w:rPr>
          <w:spacing w:val="-6"/>
        </w:rPr>
        <w:t> </w:t>
      </w:r>
      <w:r>
        <w:rPr/>
        <w:t>not</w:t>
      </w:r>
      <w:r>
        <w:rPr>
          <w:spacing w:val="-6"/>
        </w:rPr>
        <w:t> </w:t>
      </w:r>
      <w:r>
        <w:rPr/>
        <w:t>have</w:t>
      </w:r>
      <w:r>
        <w:rPr>
          <w:spacing w:val="-10"/>
        </w:rPr>
        <w:t> </w:t>
      </w:r>
      <w:r>
        <w:rPr/>
        <w:t>the</w:t>
      </w:r>
      <w:r>
        <w:rPr>
          <w:spacing w:val="-8"/>
        </w:rPr>
        <w:t> </w:t>
      </w:r>
      <w:r>
        <w:rPr/>
        <w:t>characteristics</w:t>
      </w:r>
      <w:r>
        <w:rPr>
          <w:spacing w:val="-6"/>
        </w:rPr>
        <w:t> </w:t>
      </w:r>
      <w:r>
        <w:rPr/>
        <w:t>of</w:t>
      </w:r>
      <w:r>
        <w:rPr>
          <w:spacing w:val="-4"/>
        </w:rPr>
        <w:t> </w:t>
      </w:r>
      <w:r>
        <w:rPr/>
        <w:t>General,</w:t>
      </w:r>
      <w:r>
        <w:rPr>
          <w:spacing w:val="-2"/>
        </w:rPr>
        <w:t> </w:t>
      </w:r>
      <w:r>
        <w:rPr/>
        <w:t>Commercial,</w:t>
      </w:r>
      <w:r>
        <w:rPr>
          <w:spacing w:val="-4"/>
        </w:rPr>
        <w:t> </w:t>
      </w:r>
      <w:r>
        <w:rPr/>
        <w:t>Vacant</w:t>
      </w:r>
      <w:r>
        <w:rPr>
          <w:spacing w:val="-6"/>
        </w:rPr>
        <w:t> </w:t>
      </w:r>
      <w:r>
        <w:rPr/>
        <w:t>or</w:t>
      </w:r>
      <w:r>
        <w:rPr>
          <w:spacing w:val="-4"/>
        </w:rPr>
        <w:t> </w:t>
      </w:r>
      <w:r>
        <w:rPr/>
        <w:t>Derelict Land, that is used, designed, or adapted to be used primarily for industrial purposes.</w:t>
      </w:r>
    </w:p>
    <w:p>
      <w:pPr>
        <w:pStyle w:val="BodyText"/>
        <w:spacing w:before="11"/>
        <w:rPr>
          <w:sz w:val="21"/>
        </w:rPr>
      </w:pPr>
    </w:p>
    <w:p>
      <w:pPr>
        <w:pStyle w:val="Heading5"/>
      </w:pPr>
      <w:r>
        <w:rPr>
          <w:spacing w:val="-2"/>
        </w:rPr>
        <w:t>Objective:</w:t>
      </w:r>
    </w:p>
    <w:p>
      <w:pPr>
        <w:pStyle w:val="BodyText"/>
        <w:spacing w:before="1"/>
        <w:ind w:left="260"/>
      </w:pPr>
      <w:r>
        <w:rPr/>
        <w:t>To</w:t>
      </w:r>
      <w:r>
        <w:rPr>
          <w:spacing w:val="28"/>
        </w:rPr>
        <w:t> </w:t>
      </w:r>
      <w:r>
        <w:rPr/>
        <w:t>ensure</w:t>
      </w:r>
      <w:r>
        <w:rPr>
          <w:spacing w:val="26"/>
        </w:rPr>
        <w:t> </w:t>
      </w:r>
      <w:r>
        <w:rPr/>
        <w:t>that</w:t>
      </w:r>
      <w:r>
        <w:rPr>
          <w:spacing w:val="27"/>
        </w:rPr>
        <w:t> </w:t>
      </w:r>
      <w:r>
        <w:rPr/>
        <w:t>all</w:t>
      </w:r>
      <w:r>
        <w:rPr>
          <w:spacing w:val="26"/>
        </w:rPr>
        <w:t> </w:t>
      </w:r>
      <w:r>
        <w:rPr/>
        <w:t>rateable</w:t>
      </w:r>
      <w:r>
        <w:rPr>
          <w:spacing w:val="26"/>
        </w:rPr>
        <w:t> </w:t>
      </w:r>
      <w:r>
        <w:rPr/>
        <w:t>land</w:t>
      </w:r>
      <w:r>
        <w:rPr>
          <w:spacing w:val="27"/>
        </w:rPr>
        <w:t> </w:t>
      </w:r>
      <w:r>
        <w:rPr/>
        <w:t>makes</w:t>
      </w:r>
      <w:r>
        <w:rPr>
          <w:spacing w:val="27"/>
        </w:rPr>
        <w:t> </w:t>
      </w:r>
      <w:r>
        <w:rPr/>
        <w:t>an</w:t>
      </w:r>
      <w:r>
        <w:rPr>
          <w:spacing w:val="27"/>
        </w:rPr>
        <w:t> </w:t>
      </w:r>
      <w:r>
        <w:rPr/>
        <w:t>equitable</w:t>
      </w:r>
      <w:r>
        <w:rPr>
          <w:spacing w:val="26"/>
        </w:rPr>
        <w:t> </w:t>
      </w:r>
      <w:r>
        <w:rPr/>
        <w:t>financial</w:t>
      </w:r>
      <w:r>
        <w:rPr>
          <w:spacing w:val="27"/>
        </w:rPr>
        <w:t> </w:t>
      </w:r>
      <w:r>
        <w:rPr/>
        <w:t>contribution</w:t>
      </w:r>
      <w:r>
        <w:rPr>
          <w:spacing w:val="26"/>
        </w:rPr>
        <w:t> </w:t>
      </w:r>
      <w:r>
        <w:rPr/>
        <w:t>to</w:t>
      </w:r>
      <w:r>
        <w:rPr>
          <w:spacing w:val="23"/>
        </w:rPr>
        <w:t> </w:t>
      </w:r>
      <w:r>
        <w:rPr/>
        <w:t>the</w:t>
      </w:r>
      <w:r>
        <w:rPr>
          <w:spacing w:val="28"/>
        </w:rPr>
        <w:t> </w:t>
      </w:r>
      <w:r>
        <w:rPr/>
        <w:t>cost</w:t>
      </w:r>
      <w:r>
        <w:rPr>
          <w:spacing w:val="29"/>
        </w:rPr>
        <w:t> </w:t>
      </w:r>
      <w:r>
        <w:rPr/>
        <w:t>of</w:t>
      </w:r>
      <w:r>
        <w:rPr>
          <w:spacing w:val="29"/>
        </w:rPr>
        <w:t> </w:t>
      </w:r>
      <w:r>
        <w:rPr/>
        <w:t>carrying</w:t>
      </w:r>
      <w:r>
        <w:rPr>
          <w:spacing w:val="26"/>
        </w:rPr>
        <w:t> </w:t>
      </w:r>
      <w:r>
        <w:rPr/>
        <w:t>out</w:t>
      </w:r>
      <w:r>
        <w:rPr>
          <w:spacing w:val="27"/>
        </w:rPr>
        <w:t> </w:t>
      </w:r>
      <w:r>
        <w:rPr/>
        <w:t>the functions of Council, including:</w:t>
      </w:r>
    </w:p>
    <w:p>
      <w:pPr>
        <w:pStyle w:val="ListParagraph"/>
        <w:numPr>
          <w:ilvl w:val="0"/>
          <w:numId w:val="17"/>
        </w:numPr>
        <w:tabs>
          <w:tab w:pos="826" w:val="left" w:leader="none"/>
          <w:tab w:pos="827" w:val="left" w:leader="none"/>
        </w:tabs>
        <w:spacing w:line="252" w:lineRule="exact" w:before="1" w:after="0"/>
        <w:ind w:left="827" w:right="0" w:hanging="567"/>
        <w:jc w:val="left"/>
        <w:rPr>
          <w:sz w:val="22"/>
        </w:rPr>
      </w:pPr>
      <w:r>
        <w:rPr>
          <w:sz w:val="22"/>
        </w:rPr>
        <w:t>Construction</w:t>
      </w:r>
      <w:r>
        <w:rPr>
          <w:spacing w:val="-4"/>
          <w:sz w:val="22"/>
        </w:rPr>
        <w:t> </w:t>
      </w:r>
      <w:r>
        <w:rPr>
          <w:sz w:val="22"/>
        </w:rPr>
        <w:t>and</w:t>
      </w:r>
      <w:r>
        <w:rPr>
          <w:spacing w:val="-7"/>
          <w:sz w:val="22"/>
        </w:rPr>
        <w:t> </w:t>
      </w:r>
      <w:r>
        <w:rPr>
          <w:sz w:val="22"/>
        </w:rPr>
        <w:t>maintenance</w:t>
      </w:r>
      <w:r>
        <w:rPr>
          <w:spacing w:val="-5"/>
          <w:sz w:val="22"/>
        </w:rPr>
        <w:t> </w:t>
      </w:r>
      <w:r>
        <w:rPr>
          <w:sz w:val="22"/>
        </w:rPr>
        <w:t>of</w:t>
      </w:r>
      <w:r>
        <w:rPr>
          <w:spacing w:val="-5"/>
          <w:sz w:val="22"/>
        </w:rPr>
        <w:t> </w:t>
      </w:r>
      <w:r>
        <w:rPr>
          <w:sz w:val="22"/>
        </w:rPr>
        <w:t>public</w:t>
      </w:r>
      <w:r>
        <w:rPr>
          <w:spacing w:val="-5"/>
          <w:sz w:val="22"/>
        </w:rPr>
        <w:t> </w:t>
      </w:r>
      <w:r>
        <w:rPr>
          <w:sz w:val="22"/>
        </w:rPr>
        <w:t>infrastructure:</w:t>
      </w:r>
      <w:r>
        <w:rPr>
          <w:spacing w:val="-5"/>
          <w:sz w:val="22"/>
        </w:rPr>
        <w:t> and</w:t>
      </w:r>
    </w:p>
    <w:p>
      <w:pPr>
        <w:pStyle w:val="ListParagraph"/>
        <w:numPr>
          <w:ilvl w:val="0"/>
          <w:numId w:val="17"/>
        </w:numPr>
        <w:tabs>
          <w:tab w:pos="826" w:val="left" w:leader="none"/>
          <w:tab w:pos="827" w:val="left" w:leader="none"/>
        </w:tabs>
        <w:spacing w:line="252" w:lineRule="exact" w:before="0" w:after="0"/>
        <w:ind w:left="827" w:right="0" w:hanging="567"/>
        <w:jc w:val="left"/>
        <w:rPr>
          <w:sz w:val="22"/>
        </w:rPr>
      </w:pPr>
      <w:r>
        <w:rPr>
          <w:sz w:val="22"/>
        </w:rPr>
        <w:t>Development</w:t>
      </w:r>
      <w:r>
        <w:rPr>
          <w:spacing w:val="-5"/>
          <w:sz w:val="22"/>
        </w:rPr>
        <w:t> </w:t>
      </w:r>
      <w:r>
        <w:rPr>
          <w:sz w:val="22"/>
        </w:rPr>
        <w:t>and</w:t>
      </w:r>
      <w:r>
        <w:rPr>
          <w:spacing w:val="-6"/>
          <w:sz w:val="22"/>
        </w:rPr>
        <w:t> </w:t>
      </w:r>
      <w:r>
        <w:rPr>
          <w:sz w:val="22"/>
        </w:rPr>
        <w:t>provision</w:t>
      </w:r>
      <w:r>
        <w:rPr>
          <w:spacing w:val="-4"/>
          <w:sz w:val="22"/>
        </w:rPr>
        <w:t> </w:t>
      </w:r>
      <w:r>
        <w:rPr>
          <w:sz w:val="22"/>
        </w:rPr>
        <w:t>of</w:t>
      </w:r>
      <w:r>
        <w:rPr>
          <w:spacing w:val="-3"/>
          <w:sz w:val="22"/>
        </w:rPr>
        <w:t> </w:t>
      </w:r>
      <w:r>
        <w:rPr>
          <w:sz w:val="22"/>
        </w:rPr>
        <w:t>health</w:t>
      </w:r>
      <w:r>
        <w:rPr>
          <w:spacing w:val="-2"/>
          <w:sz w:val="22"/>
        </w:rPr>
        <w:t> </w:t>
      </w:r>
      <w:r>
        <w:rPr>
          <w:sz w:val="22"/>
        </w:rPr>
        <w:t>&amp;</w:t>
      </w:r>
      <w:r>
        <w:rPr>
          <w:spacing w:val="-7"/>
          <w:sz w:val="22"/>
        </w:rPr>
        <w:t> </w:t>
      </w:r>
      <w:r>
        <w:rPr>
          <w:sz w:val="22"/>
        </w:rPr>
        <w:t>community</w:t>
      </w:r>
      <w:r>
        <w:rPr>
          <w:spacing w:val="-4"/>
          <w:sz w:val="22"/>
        </w:rPr>
        <w:t> </w:t>
      </w:r>
      <w:r>
        <w:rPr>
          <w:sz w:val="22"/>
        </w:rPr>
        <w:t>services;</w:t>
      </w:r>
      <w:r>
        <w:rPr>
          <w:spacing w:val="-4"/>
          <w:sz w:val="22"/>
        </w:rPr>
        <w:t> </w:t>
      </w:r>
      <w:r>
        <w:rPr>
          <w:spacing w:val="-5"/>
          <w:sz w:val="22"/>
        </w:rPr>
        <w:t>and</w:t>
      </w:r>
    </w:p>
    <w:p>
      <w:pPr>
        <w:pStyle w:val="ListParagraph"/>
        <w:numPr>
          <w:ilvl w:val="0"/>
          <w:numId w:val="17"/>
        </w:numPr>
        <w:tabs>
          <w:tab w:pos="826" w:val="left" w:leader="none"/>
          <w:tab w:pos="827" w:val="left" w:leader="none"/>
        </w:tabs>
        <w:spacing w:line="252" w:lineRule="exact" w:before="0" w:after="0"/>
        <w:ind w:left="827" w:right="0" w:hanging="567"/>
        <w:jc w:val="left"/>
        <w:rPr>
          <w:sz w:val="22"/>
        </w:rPr>
      </w:pPr>
      <w:r>
        <w:rPr>
          <w:sz w:val="22"/>
        </w:rPr>
        <w:t>Provision</w:t>
      </w:r>
      <w:r>
        <w:rPr>
          <w:spacing w:val="-4"/>
          <w:sz w:val="22"/>
        </w:rPr>
        <w:t> </w:t>
      </w:r>
      <w:r>
        <w:rPr>
          <w:sz w:val="22"/>
        </w:rPr>
        <w:t>of</w:t>
      </w:r>
      <w:r>
        <w:rPr>
          <w:spacing w:val="-3"/>
          <w:sz w:val="22"/>
        </w:rPr>
        <w:t> </w:t>
      </w:r>
      <w:r>
        <w:rPr>
          <w:sz w:val="22"/>
        </w:rPr>
        <w:t>general</w:t>
      </w:r>
      <w:r>
        <w:rPr>
          <w:spacing w:val="-4"/>
          <w:sz w:val="22"/>
        </w:rPr>
        <w:t> </w:t>
      </w:r>
      <w:r>
        <w:rPr>
          <w:sz w:val="22"/>
        </w:rPr>
        <w:t>support</w:t>
      </w:r>
      <w:r>
        <w:rPr>
          <w:spacing w:val="-5"/>
          <w:sz w:val="22"/>
        </w:rPr>
        <w:t> </w:t>
      </w:r>
      <w:r>
        <w:rPr>
          <w:sz w:val="22"/>
        </w:rPr>
        <w:t>services;</w:t>
      </w:r>
      <w:r>
        <w:rPr>
          <w:spacing w:val="-1"/>
          <w:sz w:val="22"/>
        </w:rPr>
        <w:t> </w:t>
      </w:r>
      <w:r>
        <w:rPr>
          <w:spacing w:val="-5"/>
          <w:sz w:val="22"/>
        </w:rPr>
        <w:t>and</w:t>
      </w:r>
    </w:p>
    <w:p>
      <w:pPr>
        <w:pStyle w:val="ListParagraph"/>
        <w:numPr>
          <w:ilvl w:val="0"/>
          <w:numId w:val="17"/>
        </w:numPr>
        <w:tabs>
          <w:tab w:pos="826" w:val="left" w:leader="none"/>
          <w:tab w:pos="827" w:val="left" w:leader="none"/>
        </w:tabs>
        <w:spacing w:line="240" w:lineRule="auto" w:before="1" w:after="0"/>
        <w:ind w:left="826" w:right="555" w:hanging="567"/>
        <w:jc w:val="left"/>
        <w:rPr>
          <w:sz w:val="22"/>
        </w:rPr>
      </w:pPr>
      <w:r>
        <w:rPr>
          <w:sz w:val="22"/>
        </w:rPr>
        <w:t>Enhancement</w:t>
      </w:r>
      <w:r>
        <w:rPr>
          <w:spacing w:val="40"/>
          <w:sz w:val="22"/>
        </w:rPr>
        <w:t> </w:t>
      </w:r>
      <w:r>
        <w:rPr>
          <w:sz w:val="22"/>
        </w:rPr>
        <w:t>of</w:t>
      </w:r>
      <w:r>
        <w:rPr>
          <w:spacing w:val="40"/>
          <w:sz w:val="22"/>
        </w:rPr>
        <w:t> </w:t>
      </w:r>
      <w:r>
        <w:rPr>
          <w:sz w:val="22"/>
        </w:rPr>
        <w:t>the</w:t>
      </w:r>
      <w:r>
        <w:rPr>
          <w:spacing w:val="40"/>
          <w:sz w:val="22"/>
        </w:rPr>
        <w:t> </w:t>
      </w:r>
      <w:r>
        <w:rPr>
          <w:sz w:val="22"/>
        </w:rPr>
        <w:t>economic</w:t>
      </w:r>
      <w:r>
        <w:rPr>
          <w:spacing w:val="40"/>
          <w:sz w:val="22"/>
        </w:rPr>
        <w:t> </w:t>
      </w:r>
      <w:r>
        <w:rPr>
          <w:sz w:val="22"/>
        </w:rPr>
        <w:t>viability</w:t>
      </w:r>
      <w:r>
        <w:rPr>
          <w:spacing w:val="40"/>
          <w:sz w:val="22"/>
        </w:rPr>
        <w:t> </w:t>
      </w:r>
      <w:r>
        <w:rPr>
          <w:sz w:val="22"/>
        </w:rPr>
        <w:t>of</w:t>
      </w:r>
      <w:r>
        <w:rPr>
          <w:spacing w:val="40"/>
          <w:sz w:val="22"/>
        </w:rPr>
        <w:t> </w:t>
      </w:r>
      <w:r>
        <w:rPr>
          <w:sz w:val="22"/>
        </w:rPr>
        <w:t>the</w:t>
      </w:r>
      <w:r>
        <w:rPr>
          <w:spacing w:val="40"/>
          <w:sz w:val="22"/>
        </w:rPr>
        <w:t> </w:t>
      </w:r>
      <w:r>
        <w:rPr>
          <w:sz w:val="22"/>
        </w:rPr>
        <w:t>commercial</w:t>
      </w:r>
      <w:r>
        <w:rPr>
          <w:spacing w:val="40"/>
          <w:sz w:val="22"/>
        </w:rPr>
        <w:t> </w:t>
      </w:r>
      <w:r>
        <w:rPr>
          <w:sz w:val="22"/>
        </w:rPr>
        <w:t>and</w:t>
      </w:r>
      <w:r>
        <w:rPr>
          <w:spacing w:val="40"/>
          <w:sz w:val="22"/>
        </w:rPr>
        <w:t> </w:t>
      </w:r>
      <w:r>
        <w:rPr>
          <w:sz w:val="22"/>
        </w:rPr>
        <w:t>industrial</w:t>
      </w:r>
      <w:r>
        <w:rPr>
          <w:spacing w:val="40"/>
          <w:sz w:val="22"/>
        </w:rPr>
        <w:t> </w:t>
      </w:r>
      <w:r>
        <w:rPr>
          <w:sz w:val="22"/>
        </w:rPr>
        <w:t>sector</w:t>
      </w:r>
      <w:r>
        <w:rPr>
          <w:spacing w:val="40"/>
          <w:sz w:val="22"/>
        </w:rPr>
        <w:t> </w:t>
      </w:r>
      <w:r>
        <w:rPr>
          <w:sz w:val="22"/>
        </w:rPr>
        <w:t>through</w:t>
      </w:r>
      <w:r>
        <w:rPr>
          <w:spacing w:val="40"/>
          <w:sz w:val="22"/>
        </w:rPr>
        <w:t> </w:t>
      </w:r>
      <w:r>
        <w:rPr>
          <w:sz w:val="22"/>
        </w:rPr>
        <w:t>targeted programs and projects; and</w:t>
      </w:r>
    </w:p>
    <w:p>
      <w:pPr>
        <w:pStyle w:val="ListParagraph"/>
        <w:numPr>
          <w:ilvl w:val="0"/>
          <w:numId w:val="17"/>
        </w:numPr>
        <w:tabs>
          <w:tab w:pos="826" w:val="left" w:leader="none"/>
          <w:tab w:pos="827" w:val="left" w:leader="none"/>
        </w:tabs>
        <w:spacing w:line="252" w:lineRule="exact" w:before="0" w:after="0"/>
        <w:ind w:left="827" w:right="0" w:hanging="567"/>
        <w:jc w:val="left"/>
        <w:rPr>
          <w:sz w:val="22"/>
        </w:rPr>
      </w:pPr>
      <w:r>
        <w:rPr>
          <w:sz w:val="22"/>
        </w:rPr>
        <w:t>Encouragement</w:t>
      </w:r>
      <w:r>
        <w:rPr>
          <w:spacing w:val="-7"/>
          <w:sz w:val="22"/>
        </w:rPr>
        <w:t> </w:t>
      </w:r>
      <w:r>
        <w:rPr>
          <w:sz w:val="22"/>
        </w:rPr>
        <w:t>of</w:t>
      </w:r>
      <w:r>
        <w:rPr>
          <w:spacing w:val="-6"/>
          <w:sz w:val="22"/>
        </w:rPr>
        <w:t> </w:t>
      </w:r>
      <w:r>
        <w:rPr>
          <w:sz w:val="22"/>
        </w:rPr>
        <w:t>employment</w:t>
      </w:r>
      <w:r>
        <w:rPr>
          <w:spacing w:val="-8"/>
          <w:sz w:val="22"/>
        </w:rPr>
        <w:t> </w:t>
      </w:r>
      <w:r>
        <w:rPr>
          <w:sz w:val="22"/>
        </w:rPr>
        <w:t>opportunities;</w:t>
      </w:r>
      <w:r>
        <w:rPr>
          <w:spacing w:val="-6"/>
          <w:sz w:val="22"/>
        </w:rPr>
        <w:t> </w:t>
      </w:r>
      <w:r>
        <w:rPr>
          <w:spacing w:val="-5"/>
          <w:sz w:val="22"/>
        </w:rPr>
        <w:t>and</w:t>
      </w:r>
    </w:p>
    <w:p>
      <w:pPr>
        <w:pStyle w:val="ListParagraph"/>
        <w:numPr>
          <w:ilvl w:val="0"/>
          <w:numId w:val="17"/>
        </w:numPr>
        <w:tabs>
          <w:tab w:pos="826" w:val="left" w:leader="none"/>
          <w:tab w:pos="827" w:val="left" w:leader="none"/>
        </w:tabs>
        <w:spacing w:line="252" w:lineRule="exact" w:before="0" w:after="0"/>
        <w:ind w:left="827" w:right="0" w:hanging="567"/>
        <w:jc w:val="left"/>
        <w:rPr>
          <w:sz w:val="22"/>
        </w:rPr>
      </w:pPr>
      <w:r>
        <w:rPr>
          <w:sz w:val="22"/>
        </w:rPr>
        <w:t>Promotion</w:t>
      </w:r>
      <w:r>
        <w:rPr>
          <w:spacing w:val="-6"/>
          <w:sz w:val="22"/>
        </w:rPr>
        <w:t> </w:t>
      </w:r>
      <w:r>
        <w:rPr>
          <w:sz w:val="22"/>
        </w:rPr>
        <w:t>of</w:t>
      </w:r>
      <w:r>
        <w:rPr>
          <w:spacing w:val="-5"/>
          <w:sz w:val="22"/>
        </w:rPr>
        <w:t> </w:t>
      </w:r>
      <w:r>
        <w:rPr>
          <w:sz w:val="22"/>
        </w:rPr>
        <w:t>economic</w:t>
      </w:r>
      <w:r>
        <w:rPr>
          <w:spacing w:val="-6"/>
          <w:sz w:val="22"/>
        </w:rPr>
        <w:t> </w:t>
      </w:r>
      <w:r>
        <w:rPr>
          <w:sz w:val="22"/>
        </w:rPr>
        <w:t>development;</w:t>
      </w:r>
      <w:r>
        <w:rPr>
          <w:spacing w:val="-4"/>
          <w:sz w:val="22"/>
        </w:rPr>
        <w:t> </w:t>
      </w:r>
      <w:r>
        <w:rPr>
          <w:spacing w:val="-5"/>
          <w:sz w:val="22"/>
        </w:rPr>
        <w:t>and</w:t>
      </w:r>
    </w:p>
    <w:p>
      <w:pPr>
        <w:pStyle w:val="ListParagraph"/>
        <w:numPr>
          <w:ilvl w:val="0"/>
          <w:numId w:val="17"/>
        </w:numPr>
        <w:tabs>
          <w:tab w:pos="826" w:val="left" w:leader="none"/>
          <w:tab w:pos="827" w:val="left" w:leader="none"/>
        </w:tabs>
        <w:spacing w:line="240" w:lineRule="auto" w:before="2" w:after="0"/>
        <w:ind w:left="826" w:right="556" w:hanging="567"/>
        <w:jc w:val="left"/>
        <w:rPr>
          <w:sz w:val="22"/>
        </w:rPr>
      </w:pPr>
      <w:r>
        <w:rPr>
          <w:sz w:val="22"/>
        </w:rPr>
        <w:t>Requirement</w:t>
      </w:r>
      <w:r>
        <w:rPr>
          <w:spacing w:val="-16"/>
          <w:sz w:val="22"/>
        </w:rPr>
        <w:t> </w:t>
      </w:r>
      <w:r>
        <w:rPr>
          <w:sz w:val="22"/>
        </w:rPr>
        <w:t>to</w:t>
      </w:r>
      <w:r>
        <w:rPr>
          <w:spacing w:val="-15"/>
          <w:sz w:val="22"/>
        </w:rPr>
        <w:t> </w:t>
      </w:r>
      <w:r>
        <w:rPr>
          <w:sz w:val="22"/>
        </w:rPr>
        <w:t>ensure</w:t>
      </w:r>
      <w:r>
        <w:rPr>
          <w:spacing w:val="-15"/>
          <w:sz w:val="22"/>
        </w:rPr>
        <w:t> </w:t>
      </w:r>
      <w:r>
        <w:rPr>
          <w:sz w:val="22"/>
        </w:rPr>
        <w:t>that</w:t>
      </w:r>
      <w:r>
        <w:rPr>
          <w:spacing w:val="-14"/>
          <w:sz w:val="22"/>
        </w:rPr>
        <w:t> </w:t>
      </w:r>
      <w:r>
        <w:rPr>
          <w:sz w:val="22"/>
        </w:rPr>
        <w:t>streetscaping</w:t>
      </w:r>
      <w:r>
        <w:rPr>
          <w:spacing w:val="-13"/>
          <w:sz w:val="22"/>
        </w:rPr>
        <w:t> </w:t>
      </w:r>
      <w:r>
        <w:rPr>
          <w:sz w:val="22"/>
        </w:rPr>
        <w:t>and</w:t>
      </w:r>
      <w:r>
        <w:rPr>
          <w:spacing w:val="-14"/>
          <w:sz w:val="22"/>
        </w:rPr>
        <w:t> </w:t>
      </w:r>
      <w:r>
        <w:rPr>
          <w:sz w:val="22"/>
        </w:rPr>
        <w:t>promotional</w:t>
      </w:r>
      <w:r>
        <w:rPr>
          <w:spacing w:val="-15"/>
          <w:sz w:val="22"/>
        </w:rPr>
        <w:t> </w:t>
      </w:r>
      <w:r>
        <w:rPr>
          <w:sz w:val="22"/>
        </w:rPr>
        <w:t>activity</w:t>
      </w:r>
      <w:r>
        <w:rPr>
          <w:spacing w:val="-14"/>
          <w:sz w:val="22"/>
        </w:rPr>
        <w:t> </w:t>
      </w:r>
      <w:r>
        <w:rPr>
          <w:sz w:val="22"/>
        </w:rPr>
        <w:t>is</w:t>
      </w:r>
      <w:r>
        <w:rPr>
          <w:spacing w:val="-15"/>
          <w:sz w:val="22"/>
        </w:rPr>
        <w:t> </w:t>
      </w:r>
      <w:r>
        <w:rPr>
          <w:sz w:val="22"/>
        </w:rPr>
        <w:t>complimentary</w:t>
      </w:r>
      <w:r>
        <w:rPr>
          <w:spacing w:val="-16"/>
          <w:sz w:val="22"/>
        </w:rPr>
        <w:t> </w:t>
      </w:r>
      <w:r>
        <w:rPr>
          <w:sz w:val="22"/>
        </w:rPr>
        <w:t>to</w:t>
      </w:r>
      <w:r>
        <w:rPr>
          <w:spacing w:val="-15"/>
          <w:sz w:val="22"/>
        </w:rPr>
        <w:t> </w:t>
      </w:r>
      <w:r>
        <w:rPr>
          <w:sz w:val="22"/>
        </w:rPr>
        <w:t>the</w:t>
      </w:r>
      <w:r>
        <w:rPr>
          <w:spacing w:val="-13"/>
          <w:sz w:val="22"/>
        </w:rPr>
        <w:t> </w:t>
      </w:r>
      <w:r>
        <w:rPr>
          <w:sz w:val="22"/>
        </w:rPr>
        <w:t>achievement of commercial and industrial objectives.</w:t>
      </w:r>
    </w:p>
    <w:p>
      <w:pPr>
        <w:pStyle w:val="BodyText"/>
        <w:spacing w:before="11"/>
        <w:rPr>
          <w:sz w:val="21"/>
        </w:rPr>
      </w:pPr>
    </w:p>
    <w:p>
      <w:pPr>
        <w:pStyle w:val="Heading5"/>
        <w:spacing w:line="252" w:lineRule="exact"/>
      </w:pPr>
      <w:r>
        <w:rPr/>
        <w:t>Types</w:t>
      </w:r>
      <w:r>
        <w:rPr>
          <w:spacing w:val="-2"/>
        </w:rPr>
        <w:t> </w:t>
      </w:r>
      <w:r>
        <w:rPr/>
        <w:t>and</w:t>
      </w:r>
      <w:r>
        <w:rPr>
          <w:spacing w:val="-1"/>
        </w:rPr>
        <w:t> </w:t>
      </w:r>
      <w:r>
        <w:rPr>
          <w:spacing w:val="-2"/>
        </w:rPr>
        <w:t>Classes:</w:t>
      </w:r>
    </w:p>
    <w:p>
      <w:pPr>
        <w:pStyle w:val="BodyText"/>
        <w:spacing w:line="252" w:lineRule="exact"/>
        <w:ind w:left="260"/>
      </w:pPr>
      <w:r>
        <w:rPr/>
        <w:t>Rateable</w:t>
      </w:r>
      <w:r>
        <w:rPr>
          <w:spacing w:val="-7"/>
        </w:rPr>
        <w:t> </w:t>
      </w:r>
      <w:r>
        <w:rPr/>
        <w:t>land</w:t>
      </w:r>
      <w:r>
        <w:rPr>
          <w:spacing w:val="-3"/>
        </w:rPr>
        <w:t> </w:t>
      </w:r>
      <w:r>
        <w:rPr/>
        <w:t>having</w:t>
      </w:r>
      <w:r>
        <w:rPr>
          <w:spacing w:val="-4"/>
        </w:rPr>
        <w:t> </w:t>
      </w:r>
      <w:r>
        <w:rPr/>
        <w:t>the</w:t>
      </w:r>
      <w:r>
        <w:rPr>
          <w:spacing w:val="-4"/>
        </w:rPr>
        <w:t> </w:t>
      </w:r>
      <w:r>
        <w:rPr/>
        <w:t>relevant</w:t>
      </w:r>
      <w:r>
        <w:rPr>
          <w:spacing w:val="-2"/>
        </w:rPr>
        <w:t> </w:t>
      </w:r>
      <w:r>
        <w:rPr/>
        <w:t>characteristics</w:t>
      </w:r>
      <w:r>
        <w:rPr>
          <w:spacing w:val="-6"/>
        </w:rPr>
        <w:t> </w:t>
      </w:r>
      <w:r>
        <w:rPr/>
        <w:t>described</w:t>
      </w:r>
      <w:r>
        <w:rPr>
          <w:spacing w:val="-3"/>
        </w:rPr>
        <w:t> </w:t>
      </w:r>
      <w:r>
        <w:rPr/>
        <w:t>in</w:t>
      </w:r>
      <w:r>
        <w:rPr>
          <w:spacing w:val="-5"/>
        </w:rPr>
        <w:t> </w:t>
      </w:r>
      <w:r>
        <w:rPr/>
        <w:t>the</w:t>
      </w:r>
      <w:r>
        <w:rPr>
          <w:spacing w:val="-1"/>
        </w:rPr>
        <w:t> </w:t>
      </w:r>
      <w:r>
        <w:rPr>
          <w:spacing w:val="-2"/>
        </w:rPr>
        <w:t>definition/characteristics.</w:t>
      </w:r>
    </w:p>
    <w:p>
      <w:pPr>
        <w:pStyle w:val="BodyText"/>
      </w:pPr>
    </w:p>
    <w:p>
      <w:pPr>
        <w:pStyle w:val="Heading5"/>
        <w:spacing w:line="252" w:lineRule="exact"/>
        <w:jc w:val="both"/>
      </w:pPr>
      <w:r>
        <w:rPr/>
        <w:t>Use</w:t>
      </w:r>
      <w:r>
        <w:rPr>
          <w:spacing w:val="-2"/>
        </w:rPr>
        <w:t> </w:t>
      </w:r>
      <w:r>
        <w:rPr/>
        <w:t>and</w:t>
      </w:r>
      <w:r>
        <w:rPr>
          <w:spacing w:val="-3"/>
        </w:rPr>
        <w:t> </w:t>
      </w:r>
      <w:r>
        <w:rPr/>
        <w:t>Level</w:t>
      </w:r>
      <w:r>
        <w:rPr>
          <w:spacing w:val="-5"/>
        </w:rPr>
        <w:t> </w:t>
      </w:r>
      <w:r>
        <w:rPr/>
        <w:t>of</w:t>
      </w:r>
      <w:r>
        <w:rPr>
          <w:spacing w:val="-6"/>
        </w:rPr>
        <w:t> </w:t>
      </w:r>
      <w:r>
        <w:rPr/>
        <w:t>Differential </w:t>
      </w:r>
      <w:r>
        <w:rPr>
          <w:spacing w:val="-4"/>
        </w:rPr>
        <w:t>Rate:</w:t>
      </w:r>
    </w:p>
    <w:p>
      <w:pPr>
        <w:pStyle w:val="BodyText"/>
        <w:ind w:left="260" w:right="554"/>
        <w:jc w:val="both"/>
      </w:pPr>
      <w:r>
        <w:rPr/>
        <w:t>The</w:t>
      </w:r>
      <w:r>
        <w:rPr>
          <w:spacing w:val="-5"/>
        </w:rPr>
        <w:t> </w:t>
      </w:r>
      <w:r>
        <w:rPr/>
        <w:t>differential</w:t>
      </w:r>
      <w:r>
        <w:rPr>
          <w:spacing w:val="-7"/>
        </w:rPr>
        <w:t> </w:t>
      </w:r>
      <w:r>
        <w:rPr/>
        <w:t>rate</w:t>
      </w:r>
      <w:r>
        <w:rPr>
          <w:spacing w:val="-7"/>
        </w:rPr>
        <w:t> </w:t>
      </w:r>
      <w:r>
        <w:rPr/>
        <w:t>will</w:t>
      </w:r>
      <w:r>
        <w:rPr>
          <w:spacing w:val="-8"/>
        </w:rPr>
        <w:t> </w:t>
      </w:r>
      <w:r>
        <w:rPr/>
        <w:t>be</w:t>
      </w:r>
      <w:r>
        <w:rPr>
          <w:spacing w:val="-5"/>
        </w:rPr>
        <w:t> </w:t>
      </w:r>
      <w:r>
        <w:rPr/>
        <w:t>used</w:t>
      </w:r>
      <w:r>
        <w:rPr>
          <w:spacing w:val="-7"/>
        </w:rPr>
        <w:t> </w:t>
      </w:r>
      <w:r>
        <w:rPr/>
        <w:t>to</w:t>
      </w:r>
      <w:r>
        <w:rPr>
          <w:spacing w:val="-9"/>
        </w:rPr>
        <w:t> </w:t>
      </w:r>
      <w:r>
        <w:rPr/>
        <w:t>fund</w:t>
      </w:r>
      <w:r>
        <w:rPr>
          <w:spacing w:val="-7"/>
        </w:rPr>
        <w:t> </w:t>
      </w:r>
      <w:r>
        <w:rPr/>
        <w:t>some</w:t>
      </w:r>
      <w:r>
        <w:rPr>
          <w:spacing w:val="-9"/>
        </w:rPr>
        <w:t> </w:t>
      </w:r>
      <w:r>
        <w:rPr/>
        <w:t>of</w:t>
      </w:r>
      <w:r>
        <w:rPr>
          <w:spacing w:val="-9"/>
        </w:rPr>
        <w:t> </w:t>
      </w:r>
      <w:r>
        <w:rPr/>
        <w:t>those</w:t>
      </w:r>
      <w:r>
        <w:rPr>
          <w:spacing w:val="-5"/>
        </w:rPr>
        <w:t> </w:t>
      </w:r>
      <w:r>
        <w:rPr/>
        <w:t>items</w:t>
      </w:r>
      <w:r>
        <w:rPr>
          <w:spacing w:val="-5"/>
        </w:rPr>
        <w:t> </w:t>
      </w:r>
      <w:r>
        <w:rPr/>
        <w:t>of</w:t>
      </w:r>
      <w:r>
        <w:rPr>
          <w:spacing w:val="-3"/>
        </w:rPr>
        <w:t> </w:t>
      </w:r>
      <w:r>
        <w:rPr/>
        <w:t>expenditure</w:t>
      </w:r>
      <w:r>
        <w:rPr>
          <w:spacing w:val="-11"/>
        </w:rPr>
        <w:t> </w:t>
      </w:r>
      <w:r>
        <w:rPr/>
        <w:t>described</w:t>
      </w:r>
      <w:r>
        <w:rPr>
          <w:spacing w:val="-5"/>
        </w:rPr>
        <w:t> </w:t>
      </w:r>
      <w:r>
        <w:rPr/>
        <w:t>in</w:t>
      </w:r>
      <w:r>
        <w:rPr>
          <w:spacing w:val="-9"/>
        </w:rPr>
        <w:t> </w:t>
      </w:r>
      <w:r>
        <w:rPr/>
        <w:t>the</w:t>
      </w:r>
      <w:r>
        <w:rPr>
          <w:spacing w:val="-5"/>
        </w:rPr>
        <w:t> </w:t>
      </w:r>
      <w:r>
        <w:rPr/>
        <w:t>Budget</w:t>
      </w:r>
      <w:r>
        <w:rPr>
          <w:spacing w:val="-5"/>
        </w:rPr>
        <w:t> </w:t>
      </w:r>
      <w:r>
        <w:rPr/>
        <w:t>adopted by Council. The level of differential rate is the level which Council considers is necessary to achieve the objectives specified above.</w:t>
      </w:r>
    </w:p>
    <w:p>
      <w:pPr>
        <w:pStyle w:val="BodyText"/>
        <w:spacing w:before="1"/>
      </w:pPr>
    </w:p>
    <w:p>
      <w:pPr>
        <w:pStyle w:val="Heading5"/>
        <w:spacing w:line="252" w:lineRule="exact"/>
        <w:jc w:val="both"/>
      </w:pPr>
      <w:r>
        <w:rPr/>
        <w:t>Geographic</w:t>
      </w:r>
      <w:r>
        <w:rPr>
          <w:spacing w:val="-5"/>
        </w:rPr>
        <w:t> </w:t>
      </w:r>
      <w:r>
        <w:rPr>
          <w:spacing w:val="-2"/>
        </w:rPr>
        <w:t>Location:</w:t>
      </w:r>
    </w:p>
    <w:p>
      <w:pPr>
        <w:pStyle w:val="BodyText"/>
        <w:spacing w:line="252" w:lineRule="exact"/>
        <w:ind w:left="260"/>
      </w:pPr>
      <w:r>
        <w:rPr/>
        <w:t>Wherever</w:t>
      </w:r>
      <w:r>
        <w:rPr>
          <w:spacing w:val="-3"/>
        </w:rPr>
        <w:t> </w:t>
      </w:r>
      <w:r>
        <w:rPr/>
        <w:t>located</w:t>
      </w:r>
      <w:r>
        <w:rPr>
          <w:spacing w:val="-2"/>
        </w:rPr>
        <w:t> </w:t>
      </w:r>
      <w:r>
        <w:rPr/>
        <w:t>within</w:t>
      </w:r>
      <w:r>
        <w:rPr>
          <w:spacing w:val="-7"/>
        </w:rPr>
        <w:t> </w:t>
      </w:r>
      <w:r>
        <w:rPr/>
        <w:t>the</w:t>
      </w:r>
      <w:r>
        <w:rPr>
          <w:spacing w:val="-5"/>
        </w:rPr>
        <w:t> </w:t>
      </w:r>
      <w:r>
        <w:rPr/>
        <w:t>municipal</w:t>
      </w:r>
      <w:r>
        <w:rPr>
          <w:spacing w:val="-3"/>
        </w:rPr>
        <w:t> </w:t>
      </w:r>
      <w:r>
        <w:rPr>
          <w:spacing w:val="-2"/>
        </w:rPr>
        <w:t>district.</w:t>
      </w:r>
    </w:p>
    <w:p>
      <w:pPr>
        <w:pStyle w:val="BodyText"/>
      </w:pPr>
    </w:p>
    <w:p>
      <w:pPr>
        <w:pStyle w:val="Heading5"/>
        <w:jc w:val="both"/>
      </w:pPr>
      <w:r>
        <w:rPr/>
        <w:t>Use of</w:t>
      </w:r>
      <w:r>
        <w:rPr>
          <w:spacing w:val="-1"/>
        </w:rPr>
        <w:t> </w:t>
      </w:r>
      <w:r>
        <w:rPr>
          <w:spacing w:val="-4"/>
        </w:rPr>
        <w:t>Land:</w:t>
      </w:r>
    </w:p>
    <w:p>
      <w:pPr>
        <w:pStyle w:val="BodyText"/>
        <w:spacing w:before="2"/>
        <w:ind w:left="260"/>
        <w:jc w:val="both"/>
      </w:pPr>
      <w:r>
        <w:rPr/>
        <w:t>Any</w:t>
      </w:r>
      <w:r>
        <w:rPr>
          <w:spacing w:val="-3"/>
        </w:rPr>
        <w:t> </w:t>
      </w:r>
      <w:r>
        <w:rPr/>
        <w:t>use</w:t>
      </w:r>
      <w:r>
        <w:rPr>
          <w:spacing w:val="-3"/>
        </w:rPr>
        <w:t> </w:t>
      </w:r>
      <w:r>
        <w:rPr/>
        <w:t>permitted</w:t>
      </w:r>
      <w:r>
        <w:rPr>
          <w:spacing w:val="-5"/>
        </w:rPr>
        <w:t> </w:t>
      </w:r>
      <w:r>
        <w:rPr/>
        <w:t>under</w:t>
      </w:r>
      <w:r>
        <w:rPr>
          <w:spacing w:val="-2"/>
        </w:rPr>
        <w:t> </w:t>
      </w:r>
      <w:r>
        <w:rPr/>
        <w:t>the</w:t>
      </w:r>
      <w:r>
        <w:rPr>
          <w:spacing w:val="-5"/>
        </w:rPr>
        <w:t> </w:t>
      </w:r>
      <w:r>
        <w:rPr/>
        <w:t>relevant</w:t>
      </w:r>
      <w:r>
        <w:rPr>
          <w:spacing w:val="-3"/>
        </w:rPr>
        <w:t> </w:t>
      </w:r>
      <w:r>
        <w:rPr/>
        <w:t>Planning</w:t>
      </w:r>
      <w:r>
        <w:rPr>
          <w:spacing w:val="-1"/>
        </w:rPr>
        <w:t> </w:t>
      </w:r>
      <w:r>
        <w:rPr>
          <w:spacing w:val="-2"/>
        </w:rPr>
        <w:t>Scheme.</w:t>
      </w:r>
    </w:p>
    <w:p>
      <w:pPr>
        <w:pStyle w:val="BodyText"/>
        <w:spacing w:before="9"/>
        <w:rPr>
          <w:sz w:val="21"/>
        </w:rPr>
      </w:pPr>
    </w:p>
    <w:p>
      <w:pPr>
        <w:pStyle w:val="Heading5"/>
        <w:jc w:val="both"/>
      </w:pPr>
      <w:r>
        <w:rPr/>
        <w:t>Planning</w:t>
      </w:r>
      <w:r>
        <w:rPr>
          <w:spacing w:val="-4"/>
        </w:rPr>
        <w:t> </w:t>
      </w:r>
      <w:r>
        <w:rPr/>
        <w:t>Scheme</w:t>
      </w:r>
      <w:r>
        <w:rPr>
          <w:spacing w:val="-2"/>
        </w:rPr>
        <w:t> Zoning:</w:t>
      </w:r>
    </w:p>
    <w:p>
      <w:pPr>
        <w:pStyle w:val="BodyText"/>
        <w:spacing w:before="2"/>
        <w:ind w:left="260" w:right="555"/>
        <w:jc w:val="both"/>
      </w:pPr>
      <w:r>
        <w:rPr/>
        <w:t>The</w:t>
      </w:r>
      <w:r>
        <w:rPr>
          <w:spacing w:val="-2"/>
        </w:rPr>
        <w:t> </w:t>
      </w:r>
      <w:r>
        <w:rPr/>
        <w:t>zoning</w:t>
      </w:r>
      <w:r>
        <w:rPr>
          <w:spacing w:val="-4"/>
        </w:rPr>
        <w:t> </w:t>
      </w:r>
      <w:r>
        <w:rPr/>
        <w:t>applicable</w:t>
      </w:r>
      <w:r>
        <w:rPr>
          <w:spacing w:val="-4"/>
        </w:rPr>
        <w:t> </w:t>
      </w:r>
      <w:r>
        <w:rPr/>
        <w:t>to</w:t>
      </w:r>
      <w:r>
        <w:rPr>
          <w:spacing w:val="-7"/>
        </w:rPr>
        <w:t> </w:t>
      </w:r>
      <w:r>
        <w:rPr/>
        <w:t>each</w:t>
      </w:r>
      <w:r>
        <w:rPr>
          <w:spacing w:val="-4"/>
        </w:rPr>
        <w:t> </w:t>
      </w:r>
      <w:r>
        <w:rPr/>
        <w:t>rateable</w:t>
      </w:r>
      <w:r>
        <w:rPr>
          <w:spacing w:val="-6"/>
        </w:rPr>
        <w:t> </w:t>
      </w:r>
      <w:r>
        <w:rPr/>
        <w:t>land</w:t>
      </w:r>
      <w:r>
        <w:rPr>
          <w:spacing w:val="-2"/>
        </w:rPr>
        <w:t> </w:t>
      </w:r>
      <w:r>
        <w:rPr/>
        <w:t>within</w:t>
      </w:r>
      <w:r>
        <w:rPr>
          <w:spacing w:val="-6"/>
        </w:rPr>
        <w:t> </w:t>
      </w:r>
      <w:r>
        <w:rPr/>
        <w:t>this</w:t>
      </w:r>
      <w:r>
        <w:rPr>
          <w:spacing w:val="-4"/>
        </w:rPr>
        <w:t> </w:t>
      </w:r>
      <w:r>
        <w:rPr/>
        <w:t>category,</w:t>
      </w:r>
      <w:r>
        <w:rPr>
          <w:spacing w:val="-2"/>
        </w:rPr>
        <w:t> </w:t>
      </w:r>
      <w:r>
        <w:rPr/>
        <w:t>as</w:t>
      </w:r>
      <w:r>
        <w:rPr>
          <w:spacing w:val="-4"/>
        </w:rPr>
        <w:t> </w:t>
      </w:r>
      <w:r>
        <w:rPr/>
        <w:t>determined</w:t>
      </w:r>
      <w:r>
        <w:rPr>
          <w:spacing w:val="-2"/>
        </w:rPr>
        <w:t> </w:t>
      </w:r>
      <w:r>
        <w:rPr/>
        <w:t>by</w:t>
      </w:r>
      <w:r>
        <w:rPr>
          <w:spacing w:val="-4"/>
        </w:rPr>
        <w:t> </w:t>
      </w:r>
      <w:r>
        <w:rPr/>
        <w:t>consulting</w:t>
      </w:r>
      <w:r>
        <w:rPr>
          <w:spacing w:val="-4"/>
        </w:rPr>
        <w:t> </w:t>
      </w:r>
      <w:r>
        <w:rPr/>
        <w:t>maps</w:t>
      </w:r>
      <w:r>
        <w:rPr>
          <w:spacing w:val="-4"/>
        </w:rPr>
        <w:t> </w:t>
      </w:r>
      <w:r>
        <w:rPr/>
        <w:t>referred to in the relevant Planning Scheme.</w:t>
      </w:r>
    </w:p>
    <w:p>
      <w:pPr>
        <w:pStyle w:val="BodyText"/>
        <w:spacing w:before="10"/>
        <w:rPr>
          <w:sz w:val="21"/>
        </w:rPr>
      </w:pPr>
    </w:p>
    <w:p>
      <w:pPr>
        <w:pStyle w:val="Heading5"/>
        <w:spacing w:line="252" w:lineRule="exact"/>
        <w:jc w:val="both"/>
      </w:pPr>
      <w:r>
        <w:rPr/>
        <w:t>Types</w:t>
      </w:r>
      <w:r>
        <w:rPr>
          <w:spacing w:val="-3"/>
        </w:rPr>
        <w:t> </w:t>
      </w:r>
      <w:r>
        <w:rPr/>
        <w:t>of</w:t>
      </w:r>
      <w:r>
        <w:rPr>
          <w:spacing w:val="-1"/>
        </w:rPr>
        <w:t> </w:t>
      </w:r>
      <w:r>
        <w:rPr>
          <w:spacing w:val="-2"/>
        </w:rPr>
        <w:t>Buildings:</w:t>
      </w:r>
    </w:p>
    <w:p>
      <w:pPr>
        <w:pStyle w:val="BodyText"/>
        <w:ind w:left="260" w:right="553"/>
        <w:jc w:val="both"/>
      </w:pPr>
      <w:r>
        <w:rPr/>
        <w:t>All buildings which are now constructed on the land, or which are constructed prior to the expiry of the 2023/2024 financial Year.</w:t>
      </w:r>
    </w:p>
    <w:p>
      <w:pPr>
        <w:pStyle w:val="BodyText"/>
        <w:spacing w:before="2"/>
      </w:pPr>
    </w:p>
    <w:p>
      <w:pPr>
        <w:spacing w:before="0"/>
        <w:ind w:left="260" w:right="0" w:firstLine="0"/>
        <w:jc w:val="both"/>
        <w:rPr>
          <w:b/>
          <w:sz w:val="22"/>
        </w:rPr>
      </w:pPr>
      <w:r>
        <w:rPr>
          <w:b/>
          <w:sz w:val="22"/>
          <w:u w:val="single"/>
        </w:rPr>
        <w:t>Vacant</w:t>
      </w:r>
      <w:r>
        <w:rPr>
          <w:b/>
          <w:spacing w:val="-3"/>
          <w:sz w:val="22"/>
          <w:u w:val="single"/>
        </w:rPr>
        <w:t> </w:t>
      </w:r>
      <w:r>
        <w:rPr>
          <w:b/>
          <w:spacing w:val="-4"/>
          <w:sz w:val="22"/>
          <w:u w:val="single"/>
        </w:rPr>
        <w:t>Land</w:t>
      </w:r>
    </w:p>
    <w:p>
      <w:pPr>
        <w:pStyle w:val="BodyText"/>
        <w:spacing w:before="10"/>
        <w:rPr>
          <w:b/>
          <w:sz w:val="13"/>
        </w:rPr>
      </w:pPr>
    </w:p>
    <w:p>
      <w:pPr>
        <w:pStyle w:val="Heading5"/>
        <w:spacing w:line="252" w:lineRule="exact" w:before="94"/>
      </w:pPr>
      <w:r>
        <w:rPr>
          <w:spacing w:val="-2"/>
        </w:rPr>
        <w:t>Definitions/Characteristics:</w:t>
      </w:r>
    </w:p>
    <w:p>
      <w:pPr>
        <w:pStyle w:val="BodyText"/>
        <w:ind w:left="260"/>
      </w:pPr>
      <w:r>
        <w:rPr/>
        <w:t>Any land on which there</w:t>
      </w:r>
      <w:r>
        <w:rPr>
          <w:spacing w:val="-1"/>
        </w:rPr>
        <w:t> </w:t>
      </w:r>
      <w:r>
        <w:rPr/>
        <w:t>is no building which is occupied or adapted</w:t>
      </w:r>
      <w:r>
        <w:rPr>
          <w:spacing w:val="-1"/>
        </w:rPr>
        <w:t> </w:t>
      </w:r>
      <w:r>
        <w:rPr/>
        <w:t>for occupation and that is not General, Commercial, Industrial or Derelict Land.</w:t>
      </w:r>
    </w:p>
    <w:p>
      <w:pPr>
        <w:pStyle w:val="BodyText"/>
        <w:spacing w:before="10"/>
        <w:rPr>
          <w:sz w:val="21"/>
        </w:rPr>
      </w:pPr>
    </w:p>
    <w:p>
      <w:pPr>
        <w:pStyle w:val="Heading5"/>
      </w:pPr>
      <w:r>
        <w:rPr>
          <w:spacing w:val="-2"/>
        </w:rPr>
        <w:t>Objective:</w:t>
      </w:r>
    </w:p>
    <w:p>
      <w:pPr>
        <w:pStyle w:val="BodyText"/>
        <w:spacing w:before="2"/>
        <w:ind w:left="260"/>
      </w:pPr>
      <w:r>
        <w:rPr/>
        <w:t>To</w:t>
      </w:r>
      <w:r>
        <w:rPr>
          <w:spacing w:val="28"/>
        </w:rPr>
        <w:t> </w:t>
      </w:r>
      <w:r>
        <w:rPr/>
        <w:t>ensure</w:t>
      </w:r>
      <w:r>
        <w:rPr>
          <w:spacing w:val="26"/>
        </w:rPr>
        <w:t> </w:t>
      </w:r>
      <w:r>
        <w:rPr/>
        <w:t>that</w:t>
      </w:r>
      <w:r>
        <w:rPr>
          <w:spacing w:val="27"/>
        </w:rPr>
        <w:t> </w:t>
      </w:r>
      <w:r>
        <w:rPr/>
        <w:t>all</w:t>
      </w:r>
      <w:r>
        <w:rPr>
          <w:spacing w:val="26"/>
        </w:rPr>
        <w:t> </w:t>
      </w:r>
      <w:r>
        <w:rPr/>
        <w:t>rateable</w:t>
      </w:r>
      <w:r>
        <w:rPr>
          <w:spacing w:val="26"/>
        </w:rPr>
        <w:t> </w:t>
      </w:r>
      <w:r>
        <w:rPr/>
        <w:t>land</w:t>
      </w:r>
      <w:r>
        <w:rPr>
          <w:spacing w:val="27"/>
        </w:rPr>
        <w:t> </w:t>
      </w:r>
      <w:r>
        <w:rPr/>
        <w:t>makes</w:t>
      </w:r>
      <w:r>
        <w:rPr>
          <w:spacing w:val="27"/>
        </w:rPr>
        <w:t> </w:t>
      </w:r>
      <w:r>
        <w:rPr/>
        <w:t>an</w:t>
      </w:r>
      <w:r>
        <w:rPr>
          <w:spacing w:val="27"/>
        </w:rPr>
        <w:t> </w:t>
      </w:r>
      <w:r>
        <w:rPr/>
        <w:t>equitable</w:t>
      </w:r>
      <w:r>
        <w:rPr>
          <w:spacing w:val="26"/>
        </w:rPr>
        <w:t> </w:t>
      </w:r>
      <w:r>
        <w:rPr/>
        <w:t>financial</w:t>
      </w:r>
      <w:r>
        <w:rPr>
          <w:spacing w:val="27"/>
        </w:rPr>
        <w:t> </w:t>
      </w:r>
      <w:r>
        <w:rPr/>
        <w:t>contribution</w:t>
      </w:r>
      <w:r>
        <w:rPr>
          <w:spacing w:val="26"/>
        </w:rPr>
        <w:t> </w:t>
      </w:r>
      <w:r>
        <w:rPr/>
        <w:t>to</w:t>
      </w:r>
      <w:r>
        <w:rPr>
          <w:spacing w:val="23"/>
        </w:rPr>
        <w:t> </w:t>
      </w:r>
      <w:r>
        <w:rPr/>
        <w:t>the</w:t>
      </w:r>
      <w:r>
        <w:rPr>
          <w:spacing w:val="28"/>
        </w:rPr>
        <w:t> </w:t>
      </w:r>
      <w:r>
        <w:rPr/>
        <w:t>cost</w:t>
      </w:r>
      <w:r>
        <w:rPr>
          <w:spacing w:val="29"/>
        </w:rPr>
        <w:t> </w:t>
      </w:r>
      <w:r>
        <w:rPr/>
        <w:t>of</w:t>
      </w:r>
      <w:r>
        <w:rPr>
          <w:spacing w:val="29"/>
        </w:rPr>
        <w:t> </w:t>
      </w:r>
      <w:r>
        <w:rPr/>
        <w:t>carrying</w:t>
      </w:r>
      <w:r>
        <w:rPr>
          <w:spacing w:val="26"/>
        </w:rPr>
        <w:t> </w:t>
      </w:r>
      <w:r>
        <w:rPr/>
        <w:t>out</w:t>
      </w:r>
      <w:r>
        <w:rPr>
          <w:spacing w:val="27"/>
        </w:rPr>
        <w:t> </w:t>
      </w:r>
      <w:r>
        <w:rPr/>
        <w:t>the functions of Council, including:</w:t>
      </w:r>
    </w:p>
    <w:p>
      <w:pPr>
        <w:pStyle w:val="ListParagraph"/>
        <w:numPr>
          <w:ilvl w:val="0"/>
          <w:numId w:val="18"/>
        </w:numPr>
        <w:tabs>
          <w:tab w:pos="826" w:val="left" w:leader="none"/>
          <w:tab w:pos="827" w:val="left" w:leader="none"/>
        </w:tabs>
        <w:spacing w:line="251" w:lineRule="exact" w:before="0" w:after="0"/>
        <w:ind w:left="827" w:right="0" w:hanging="567"/>
        <w:jc w:val="left"/>
        <w:rPr>
          <w:sz w:val="22"/>
        </w:rPr>
      </w:pPr>
      <w:r>
        <w:rPr>
          <w:sz w:val="22"/>
        </w:rPr>
        <w:t>Construction</w:t>
      </w:r>
      <w:r>
        <w:rPr>
          <w:spacing w:val="-4"/>
          <w:sz w:val="22"/>
        </w:rPr>
        <w:t> </w:t>
      </w:r>
      <w:r>
        <w:rPr>
          <w:sz w:val="22"/>
        </w:rPr>
        <w:t>and</w:t>
      </w:r>
      <w:r>
        <w:rPr>
          <w:spacing w:val="-7"/>
          <w:sz w:val="22"/>
        </w:rPr>
        <w:t> </w:t>
      </w:r>
      <w:r>
        <w:rPr>
          <w:sz w:val="22"/>
        </w:rPr>
        <w:t>maintenance</w:t>
      </w:r>
      <w:r>
        <w:rPr>
          <w:spacing w:val="-5"/>
          <w:sz w:val="22"/>
        </w:rPr>
        <w:t> </w:t>
      </w:r>
      <w:r>
        <w:rPr>
          <w:sz w:val="22"/>
        </w:rPr>
        <w:t>of</w:t>
      </w:r>
      <w:r>
        <w:rPr>
          <w:spacing w:val="-5"/>
          <w:sz w:val="22"/>
        </w:rPr>
        <w:t> </w:t>
      </w:r>
      <w:r>
        <w:rPr>
          <w:sz w:val="22"/>
        </w:rPr>
        <w:t>public</w:t>
      </w:r>
      <w:r>
        <w:rPr>
          <w:spacing w:val="-5"/>
          <w:sz w:val="22"/>
        </w:rPr>
        <w:t> </w:t>
      </w:r>
      <w:r>
        <w:rPr>
          <w:sz w:val="22"/>
        </w:rPr>
        <w:t>infrastructure:</w:t>
      </w:r>
      <w:r>
        <w:rPr>
          <w:spacing w:val="-5"/>
          <w:sz w:val="22"/>
        </w:rPr>
        <w:t> and</w:t>
      </w:r>
    </w:p>
    <w:p>
      <w:pPr>
        <w:pStyle w:val="ListParagraph"/>
        <w:numPr>
          <w:ilvl w:val="0"/>
          <w:numId w:val="18"/>
        </w:numPr>
        <w:tabs>
          <w:tab w:pos="826" w:val="left" w:leader="none"/>
          <w:tab w:pos="827" w:val="left" w:leader="none"/>
        </w:tabs>
        <w:spacing w:line="252" w:lineRule="exact" w:before="1" w:after="0"/>
        <w:ind w:left="827" w:right="0" w:hanging="567"/>
        <w:jc w:val="left"/>
        <w:rPr>
          <w:sz w:val="22"/>
        </w:rPr>
      </w:pPr>
      <w:r>
        <w:rPr>
          <w:sz w:val="22"/>
        </w:rPr>
        <w:t>Development</w:t>
      </w:r>
      <w:r>
        <w:rPr>
          <w:spacing w:val="-5"/>
          <w:sz w:val="22"/>
        </w:rPr>
        <w:t> </w:t>
      </w:r>
      <w:r>
        <w:rPr>
          <w:sz w:val="22"/>
        </w:rPr>
        <w:t>and</w:t>
      </w:r>
      <w:r>
        <w:rPr>
          <w:spacing w:val="-6"/>
          <w:sz w:val="22"/>
        </w:rPr>
        <w:t> </w:t>
      </w:r>
      <w:r>
        <w:rPr>
          <w:sz w:val="22"/>
        </w:rPr>
        <w:t>provision</w:t>
      </w:r>
      <w:r>
        <w:rPr>
          <w:spacing w:val="-4"/>
          <w:sz w:val="22"/>
        </w:rPr>
        <w:t> </w:t>
      </w:r>
      <w:r>
        <w:rPr>
          <w:sz w:val="22"/>
        </w:rPr>
        <w:t>of</w:t>
      </w:r>
      <w:r>
        <w:rPr>
          <w:spacing w:val="-3"/>
          <w:sz w:val="22"/>
        </w:rPr>
        <w:t> </w:t>
      </w:r>
      <w:r>
        <w:rPr>
          <w:sz w:val="22"/>
        </w:rPr>
        <w:t>health</w:t>
      </w:r>
      <w:r>
        <w:rPr>
          <w:spacing w:val="-2"/>
          <w:sz w:val="22"/>
        </w:rPr>
        <w:t> </w:t>
      </w:r>
      <w:r>
        <w:rPr>
          <w:sz w:val="22"/>
        </w:rPr>
        <w:t>&amp;</w:t>
      </w:r>
      <w:r>
        <w:rPr>
          <w:spacing w:val="-7"/>
          <w:sz w:val="22"/>
        </w:rPr>
        <w:t> </w:t>
      </w:r>
      <w:r>
        <w:rPr>
          <w:sz w:val="22"/>
        </w:rPr>
        <w:t>community</w:t>
      </w:r>
      <w:r>
        <w:rPr>
          <w:spacing w:val="-4"/>
          <w:sz w:val="22"/>
        </w:rPr>
        <w:t> </w:t>
      </w:r>
      <w:r>
        <w:rPr>
          <w:sz w:val="22"/>
        </w:rPr>
        <w:t>services;</w:t>
      </w:r>
      <w:r>
        <w:rPr>
          <w:spacing w:val="-4"/>
          <w:sz w:val="22"/>
        </w:rPr>
        <w:t> </w:t>
      </w:r>
      <w:r>
        <w:rPr>
          <w:spacing w:val="-5"/>
          <w:sz w:val="22"/>
        </w:rPr>
        <w:t>and</w:t>
      </w:r>
    </w:p>
    <w:p>
      <w:pPr>
        <w:pStyle w:val="ListParagraph"/>
        <w:numPr>
          <w:ilvl w:val="0"/>
          <w:numId w:val="18"/>
        </w:numPr>
        <w:tabs>
          <w:tab w:pos="826" w:val="left" w:leader="none"/>
          <w:tab w:pos="827" w:val="left" w:leader="none"/>
        </w:tabs>
        <w:spacing w:line="252" w:lineRule="exact" w:before="0" w:after="0"/>
        <w:ind w:left="827" w:right="0" w:hanging="567"/>
        <w:jc w:val="left"/>
        <w:rPr>
          <w:sz w:val="22"/>
        </w:rPr>
      </w:pPr>
      <w:r>
        <w:rPr>
          <w:sz w:val="22"/>
        </w:rPr>
        <w:t>Provision</w:t>
      </w:r>
      <w:r>
        <w:rPr>
          <w:spacing w:val="-4"/>
          <w:sz w:val="22"/>
        </w:rPr>
        <w:t> </w:t>
      </w:r>
      <w:r>
        <w:rPr>
          <w:sz w:val="22"/>
        </w:rPr>
        <w:t>of</w:t>
      </w:r>
      <w:r>
        <w:rPr>
          <w:spacing w:val="-3"/>
          <w:sz w:val="22"/>
        </w:rPr>
        <w:t> </w:t>
      </w:r>
      <w:r>
        <w:rPr>
          <w:sz w:val="22"/>
        </w:rPr>
        <w:t>general</w:t>
      </w:r>
      <w:r>
        <w:rPr>
          <w:spacing w:val="-4"/>
          <w:sz w:val="22"/>
        </w:rPr>
        <w:t> </w:t>
      </w:r>
      <w:r>
        <w:rPr>
          <w:sz w:val="22"/>
        </w:rPr>
        <w:t>support</w:t>
      </w:r>
      <w:r>
        <w:rPr>
          <w:spacing w:val="-5"/>
          <w:sz w:val="22"/>
        </w:rPr>
        <w:t> </w:t>
      </w:r>
      <w:r>
        <w:rPr>
          <w:sz w:val="22"/>
        </w:rPr>
        <w:t>services;</w:t>
      </w:r>
      <w:r>
        <w:rPr>
          <w:spacing w:val="-1"/>
          <w:sz w:val="22"/>
        </w:rPr>
        <w:t> </w:t>
      </w:r>
      <w:r>
        <w:rPr>
          <w:spacing w:val="-5"/>
          <w:sz w:val="22"/>
        </w:rPr>
        <w:t>and</w:t>
      </w:r>
    </w:p>
    <w:p>
      <w:pPr>
        <w:pStyle w:val="ListParagraph"/>
        <w:numPr>
          <w:ilvl w:val="0"/>
          <w:numId w:val="18"/>
        </w:numPr>
        <w:tabs>
          <w:tab w:pos="826" w:val="left" w:leader="none"/>
          <w:tab w:pos="827" w:val="left" w:leader="none"/>
        </w:tabs>
        <w:spacing w:line="240" w:lineRule="auto" w:before="2" w:after="0"/>
        <w:ind w:left="826" w:right="555" w:hanging="567"/>
        <w:jc w:val="left"/>
        <w:rPr>
          <w:sz w:val="22"/>
        </w:rPr>
      </w:pPr>
      <w:r>
        <w:rPr>
          <w:sz w:val="22"/>
        </w:rPr>
        <w:t>Enhancement</w:t>
      </w:r>
      <w:r>
        <w:rPr>
          <w:spacing w:val="40"/>
          <w:sz w:val="22"/>
        </w:rPr>
        <w:t> </w:t>
      </w:r>
      <w:r>
        <w:rPr>
          <w:sz w:val="22"/>
        </w:rPr>
        <w:t>of</w:t>
      </w:r>
      <w:r>
        <w:rPr>
          <w:spacing w:val="40"/>
          <w:sz w:val="22"/>
        </w:rPr>
        <w:t> </w:t>
      </w:r>
      <w:r>
        <w:rPr>
          <w:sz w:val="22"/>
        </w:rPr>
        <w:t>the</w:t>
      </w:r>
      <w:r>
        <w:rPr>
          <w:spacing w:val="40"/>
          <w:sz w:val="22"/>
        </w:rPr>
        <w:t> </w:t>
      </w:r>
      <w:r>
        <w:rPr>
          <w:sz w:val="22"/>
        </w:rPr>
        <w:t>economic</w:t>
      </w:r>
      <w:r>
        <w:rPr>
          <w:spacing w:val="40"/>
          <w:sz w:val="22"/>
        </w:rPr>
        <w:t> </w:t>
      </w:r>
      <w:r>
        <w:rPr>
          <w:sz w:val="22"/>
        </w:rPr>
        <w:t>viability</w:t>
      </w:r>
      <w:r>
        <w:rPr>
          <w:spacing w:val="40"/>
          <w:sz w:val="22"/>
        </w:rPr>
        <w:t> </w:t>
      </w:r>
      <w:r>
        <w:rPr>
          <w:sz w:val="22"/>
        </w:rPr>
        <w:t>of</w:t>
      </w:r>
      <w:r>
        <w:rPr>
          <w:spacing w:val="40"/>
          <w:sz w:val="22"/>
        </w:rPr>
        <w:t> </w:t>
      </w:r>
      <w:r>
        <w:rPr>
          <w:sz w:val="22"/>
        </w:rPr>
        <w:t>the</w:t>
      </w:r>
      <w:r>
        <w:rPr>
          <w:spacing w:val="40"/>
          <w:sz w:val="22"/>
        </w:rPr>
        <w:t> </w:t>
      </w:r>
      <w:r>
        <w:rPr>
          <w:sz w:val="22"/>
        </w:rPr>
        <w:t>commercial</w:t>
      </w:r>
      <w:r>
        <w:rPr>
          <w:spacing w:val="40"/>
          <w:sz w:val="22"/>
        </w:rPr>
        <w:t> </w:t>
      </w:r>
      <w:r>
        <w:rPr>
          <w:sz w:val="22"/>
        </w:rPr>
        <w:t>and</w:t>
      </w:r>
      <w:r>
        <w:rPr>
          <w:spacing w:val="40"/>
          <w:sz w:val="22"/>
        </w:rPr>
        <w:t> </w:t>
      </w:r>
      <w:r>
        <w:rPr>
          <w:sz w:val="22"/>
        </w:rPr>
        <w:t>industrial</w:t>
      </w:r>
      <w:r>
        <w:rPr>
          <w:spacing w:val="40"/>
          <w:sz w:val="22"/>
        </w:rPr>
        <w:t> </w:t>
      </w:r>
      <w:r>
        <w:rPr>
          <w:sz w:val="22"/>
        </w:rPr>
        <w:t>sector</w:t>
      </w:r>
      <w:r>
        <w:rPr>
          <w:spacing w:val="40"/>
          <w:sz w:val="22"/>
        </w:rPr>
        <w:t> </w:t>
      </w:r>
      <w:r>
        <w:rPr>
          <w:sz w:val="22"/>
        </w:rPr>
        <w:t>through</w:t>
      </w:r>
      <w:r>
        <w:rPr>
          <w:spacing w:val="40"/>
          <w:sz w:val="22"/>
        </w:rPr>
        <w:t> </w:t>
      </w:r>
      <w:r>
        <w:rPr>
          <w:sz w:val="22"/>
        </w:rPr>
        <w:t>targeted programs and projects; and</w:t>
      </w:r>
    </w:p>
    <w:p>
      <w:pPr>
        <w:pStyle w:val="ListParagraph"/>
        <w:numPr>
          <w:ilvl w:val="0"/>
          <w:numId w:val="18"/>
        </w:numPr>
        <w:tabs>
          <w:tab w:pos="826" w:val="left" w:leader="none"/>
          <w:tab w:pos="827" w:val="left" w:leader="none"/>
        </w:tabs>
        <w:spacing w:line="251" w:lineRule="exact" w:before="0" w:after="0"/>
        <w:ind w:left="827" w:right="0" w:hanging="567"/>
        <w:jc w:val="left"/>
        <w:rPr>
          <w:sz w:val="22"/>
        </w:rPr>
      </w:pPr>
      <w:r>
        <w:rPr>
          <w:sz w:val="22"/>
        </w:rPr>
        <w:t>Encouragement</w:t>
      </w:r>
      <w:r>
        <w:rPr>
          <w:spacing w:val="-4"/>
          <w:sz w:val="22"/>
        </w:rPr>
        <w:t> </w:t>
      </w:r>
      <w:r>
        <w:rPr>
          <w:sz w:val="22"/>
        </w:rPr>
        <w:t>of</w:t>
      </w:r>
      <w:r>
        <w:rPr>
          <w:spacing w:val="-4"/>
          <w:sz w:val="22"/>
        </w:rPr>
        <w:t> </w:t>
      </w:r>
      <w:r>
        <w:rPr>
          <w:sz w:val="22"/>
        </w:rPr>
        <w:t>development</w:t>
      </w:r>
      <w:r>
        <w:rPr>
          <w:spacing w:val="-6"/>
          <w:sz w:val="22"/>
        </w:rPr>
        <w:t> </w:t>
      </w:r>
      <w:r>
        <w:rPr>
          <w:sz w:val="22"/>
        </w:rPr>
        <w:t>on</w:t>
      </w:r>
      <w:r>
        <w:rPr>
          <w:spacing w:val="-5"/>
          <w:sz w:val="22"/>
        </w:rPr>
        <w:t> </w:t>
      </w:r>
      <w:r>
        <w:rPr>
          <w:spacing w:val="-4"/>
          <w:sz w:val="22"/>
        </w:rPr>
        <w:t>land.</w:t>
      </w:r>
    </w:p>
    <w:p>
      <w:pPr>
        <w:spacing w:after="0" w:line="251" w:lineRule="exact"/>
        <w:jc w:val="left"/>
        <w:rPr>
          <w:sz w:val="22"/>
        </w:rPr>
        <w:sectPr>
          <w:pgSz w:w="11910" w:h="16840"/>
          <w:pgMar w:header="0" w:footer="426" w:top="620" w:bottom="740" w:left="460" w:right="160"/>
        </w:sectPr>
      </w:pPr>
    </w:p>
    <w:p>
      <w:pPr>
        <w:pStyle w:val="Heading5"/>
        <w:spacing w:line="252" w:lineRule="exact" w:before="81"/>
      </w:pPr>
      <w:r>
        <w:rPr/>
        <w:t>Types</w:t>
      </w:r>
      <w:r>
        <w:rPr>
          <w:spacing w:val="-2"/>
        </w:rPr>
        <w:t> </w:t>
      </w:r>
      <w:r>
        <w:rPr/>
        <w:t>and</w:t>
      </w:r>
      <w:r>
        <w:rPr>
          <w:spacing w:val="-1"/>
        </w:rPr>
        <w:t> </w:t>
      </w:r>
      <w:r>
        <w:rPr>
          <w:spacing w:val="-2"/>
        </w:rPr>
        <w:t>Classes:</w:t>
      </w:r>
    </w:p>
    <w:p>
      <w:pPr>
        <w:pStyle w:val="BodyText"/>
        <w:spacing w:line="252" w:lineRule="exact"/>
        <w:ind w:left="260"/>
      </w:pPr>
      <w:r>
        <w:rPr/>
        <w:t>Rateable</w:t>
      </w:r>
      <w:r>
        <w:rPr>
          <w:spacing w:val="-7"/>
        </w:rPr>
        <w:t> </w:t>
      </w:r>
      <w:r>
        <w:rPr/>
        <w:t>land</w:t>
      </w:r>
      <w:r>
        <w:rPr>
          <w:spacing w:val="-3"/>
        </w:rPr>
        <w:t> </w:t>
      </w:r>
      <w:r>
        <w:rPr/>
        <w:t>having</w:t>
      </w:r>
      <w:r>
        <w:rPr>
          <w:spacing w:val="-4"/>
        </w:rPr>
        <w:t> </w:t>
      </w:r>
      <w:r>
        <w:rPr/>
        <w:t>the</w:t>
      </w:r>
      <w:r>
        <w:rPr>
          <w:spacing w:val="-4"/>
        </w:rPr>
        <w:t> </w:t>
      </w:r>
      <w:r>
        <w:rPr/>
        <w:t>relevant</w:t>
      </w:r>
      <w:r>
        <w:rPr>
          <w:spacing w:val="-2"/>
        </w:rPr>
        <w:t> </w:t>
      </w:r>
      <w:r>
        <w:rPr/>
        <w:t>characteristics</w:t>
      </w:r>
      <w:r>
        <w:rPr>
          <w:spacing w:val="-6"/>
        </w:rPr>
        <w:t> </w:t>
      </w:r>
      <w:r>
        <w:rPr/>
        <w:t>described</w:t>
      </w:r>
      <w:r>
        <w:rPr>
          <w:spacing w:val="-3"/>
        </w:rPr>
        <w:t> </w:t>
      </w:r>
      <w:r>
        <w:rPr/>
        <w:t>in</w:t>
      </w:r>
      <w:r>
        <w:rPr>
          <w:spacing w:val="-5"/>
        </w:rPr>
        <w:t> </w:t>
      </w:r>
      <w:r>
        <w:rPr/>
        <w:t>the</w:t>
      </w:r>
      <w:r>
        <w:rPr>
          <w:spacing w:val="-1"/>
        </w:rPr>
        <w:t> </w:t>
      </w:r>
      <w:r>
        <w:rPr>
          <w:spacing w:val="-2"/>
        </w:rPr>
        <w:t>definition/characteristics.</w:t>
      </w:r>
    </w:p>
    <w:p>
      <w:pPr>
        <w:pStyle w:val="BodyText"/>
        <w:spacing w:before="1"/>
      </w:pPr>
    </w:p>
    <w:p>
      <w:pPr>
        <w:pStyle w:val="Heading5"/>
        <w:jc w:val="both"/>
      </w:pPr>
      <w:r>
        <w:rPr/>
        <w:t>Use</w:t>
      </w:r>
      <w:r>
        <w:rPr>
          <w:spacing w:val="-2"/>
        </w:rPr>
        <w:t> </w:t>
      </w:r>
      <w:r>
        <w:rPr/>
        <w:t>and</w:t>
      </w:r>
      <w:r>
        <w:rPr>
          <w:spacing w:val="-3"/>
        </w:rPr>
        <w:t> </w:t>
      </w:r>
      <w:r>
        <w:rPr/>
        <w:t>Level</w:t>
      </w:r>
      <w:r>
        <w:rPr>
          <w:spacing w:val="-5"/>
        </w:rPr>
        <w:t> </w:t>
      </w:r>
      <w:r>
        <w:rPr/>
        <w:t>of</w:t>
      </w:r>
      <w:r>
        <w:rPr>
          <w:spacing w:val="-6"/>
        </w:rPr>
        <w:t> </w:t>
      </w:r>
      <w:r>
        <w:rPr/>
        <w:t>Differential </w:t>
      </w:r>
      <w:r>
        <w:rPr>
          <w:spacing w:val="-4"/>
        </w:rPr>
        <w:t>Rate:</w:t>
      </w:r>
    </w:p>
    <w:p>
      <w:pPr>
        <w:pStyle w:val="BodyText"/>
        <w:spacing w:before="1"/>
        <w:ind w:left="260" w:right="554"/>
        <w:jc w:val="both"/>
      </w:pPr>
      <w:r>
        <w:rPr/>
        <w:t>The</w:t>
      </w:r>
      <w:r>
        <w:rPr>
          <w:spacing w:val="-5"/>
        </w:rPr>
        <w:t> </w:t>
      </w:r>
      <w:r>
        <w:rPr/>
        <w:t>differential</w:t>
      </w:r>
      <w:r>
        <w:rPr>
          <w:spacing w:val="-7"/>
        </w:rPr>
        <w:t> </w:t>
      </w:r>
      <w:r>
        <w:rPr/>
        <w:t>rate</w:t>
      </w:r>
      <w:r>
        <w:rPr>
          <w:spacing w:val="-7"/>
        </w:rPr>
        <w:t> </w:t>
      </w:r>
      <w:r>
        <w:rPr/>
        <w:t>will</w:t>
      </w:r>
      <w:r>
        <w:rPr>
          <w:spacing w:val="-8"/>
        </w:rPr>
        <w:t> </w:t>
      </w:r>
      <w:r>
        <w:rPr/>
        <w:t>be</w:t>
      </w:r>
      <w:r>
        <w:rPr>
          <w:spacing w:val="-5"/>
        </w:rPr>
        <w:t> </w:t>
      </w:r>
      <w:r>
        <w:rPr/>
        <w:t>used</w:t>
      </w:r>
      <w:r>
        <w:rPr>
          <w:spacing w:val="-7"/>
        </w:rPr>
        <w:t> </w:t>
      </w:r>
      <w:r>
        <w:rPr/>
        <w:t>to</w:t>
      </w:r>
      <w:r>
        <w:rPr>
          <w:spacing w:val="-9"/>
        </w:rPr>
        <w:t> </w:t>
      </w:r>
      <w:r>
        <w:rPr/>
        <w:t>fund</w:t>
      </w:r>
      <w:r>
        <w:rPr>
          <w:spacing w:val="-7"/>
        </w:rPr>
        <w:t> </w:t>
      </w:r>
      <w:r>
        <w:rPr/>
        <w:t>some</w:t>
      </w:r>
      <w:r>
        <w:rPr>
          <w:spacing w:val="-9"/>
        </w:rPr>
        <w:t> </w:t>
      </w:r>
      <w:r>
        <w:rPr/>
        <w:t>of</w:t>
      </w:r>
      <w:r>
        <w:rPr>
          <w:spacing w:val="-9"/>
        </w:rPr>
        <w:t> </w:t>
      </w:r>
      <w:r>
        <w:rPr/>
        <w:t>those</w:t>
      </w:r>
      <w:r>
        <w:rPr>
          <w:spacing w:val="-5"/>
        </w:rPr>
        <w:t> </w:t>
      </w:r>
      <w:r>
        <w:rPr/>
        <w:t>items</w:t>
      </w:r>
      <w:r>
        <w:rPr>
          <w:spacing w:val="-5"/>
        </w:rPr>
        <w:t> </w:t>
      </w:r>
      <w:r>
        <w:rPr/>
        <w:t>of</w:t>
      </w:r>
      <w:r>
        <w:rPr>
          <w:spacing w:val="-3"/>
        </w:rPr>
        <w:t> </w:t>
      </w:r>
      <w:r>
        <w:rPr/>
        <w:t>expenditure</w:t>
      </w:r>
      <w:r>
        <w:rPr>
          <w:spacing w:val="-11"/>
        </w:rPr>
        <w:t> </w:t>
      </w:r>
      <w:r>
        <w:rPr/>
        <w:t>described</w:t>
      </w:r>
      <w:r>
        <w:rPr>
          <w:spacing w:val="-5"/>
        </w:rPr>
        <w:t> </w:t>
      </w:r>
      <w:r>
        <w:rPr/>
        <w:t>in</w:t>
      </w:r>
      <w:r>
        <w:rPr>
          <w:spacing w:val="-9"/>
        </w:rPr>
        <w:t> </w:t>
      </w:r>
      <w:r>
        <w:rPr/>
        <w:t>the</w:t>
      </w:r>
      <w:r>
        <w:rPr>
          <w:spacing w:val="-5"/>
        </w:rPr>
        <w:t> </w:t>
      </w:r>
      <w:r>
        <w:rPr/>
        <w:t>Budget</w:t>
      </w:r>
      <w:r>
        <w:rPr>
          <w:spacing w:val="-5"/>
        </w:rPr>
        <w:t> </w:t>
      </w:r>
      <w:r>
        <w:rPr/>
        <w:t>adopted by Council. The level of differential rate is the level which Council considers is necessary to achieve the objectives specified above.</w:t>
      </w:r>
    </w:p>
    <w:p>
      <w:pPr>
        <w:pStyle w:val="BodyText"/>
        <w:spacing w:before="10"/>
        <w:rPr>
          <w:sz w:val="21"/>
        </w:rPr>
      </w:pPr>
    </w:p>
    <w:p>
      <w:pPr>
        <w:pStyle w:val="Heading5"/>
        <w:jc w:val="both"/>
      </w:pPr>
      <w:r>
        <w:rPr/>
        <w:t>Geographic</w:t>
      </w:r>
      <w:r>
        <w:rPr>
          <w:spacing w:val="-5"/>
        </w:rPr>
        <w:t> </w:t>
      </w:r>
      <w:r>
        <w:rPr>
          <w:spacing w:val="-2"/>
        </w:rPr>
        <w:t>Location:</w:t>
      </w:r>
    </w:p>
    <w:p>
      <w:pPr>
        <w:pStyle w:val="BodyText"/>
        <w:spacing w:before="2"/>
        <w:ind w:left="260"/>
        <w:jc w:val="both"/>
      </w:pPr>
      <w:r>
        <w:rPr/>
        <w:t>Wherever</w:t>
      </w:r>
      <w:r>
        <w:rPr>
          <w:spacing w:val="-3"/>
        </w:rPr>
        <w:t> </w:t>
      </w:r>
      <w:r>
        <w:rPr/>
        <w:t>located</w:t>
      </w:r>
      <w:r>
        <w:rPr>
          <w:spacing w:val="-2"/>
        </w:rPr>
        <w:t> </w:t>
      </w:r>
      <w:r>
        <w:rPr/>
        <w:t>within</w:t>
      </w:r>
      <w:r>
        <w:rPr>
          <w:spacing w:val="-7"/>
        </w:rPr>
        <w:t> </w:t>
      </w:r>
      <w:r>
        <w:rPr/>
        <w:t>the</w:t>
      </w:r>
      <w:r>
        <w:rPr>
          <w:spacing w:val="-5"/>
        </w:rPr>
        <w:t> </w:t>
      </w:r>
      <w:r>
        <w:rPr/>
        <w:t>municipal</w:t>
      </w:r>
      <w:r>
        <w:rPr>
          <w:spacing w:val="-3"/>
        </w:rPr>
        <w:t> </w:t>
      </w:r>
      <w:r>
        <w:rPr>
          <w:spacing w:val="-2"/>
        </w:rPr>
        <w:t>district.</w:t>
      </w:r>
    </w:p>
    <w:p>
      <w:pPr>
        <w:pStyle w:val="BodyText"/>
        <w:spacing w:before="9"/>
        <w:rPr>
          <w:sz w:val="21"/>
        </w:rPr>
      </w:pPr>
    </w:p>
    <w:p>
      <w:pPr>
        <w:pStyle w:val="Heading5"/>
        <w:jc w:val="both"/>
      </w:pPr>
      <w:r>
        <w:rPr/>
        <w:t>Use of</w:t>
      </w:r>
      <w:r>
        <w:rPr>
          <w:spacing w:val="-1"/>
        </w:rPr>
        <w:t> </w:t>
      </w:r>
      <w:r>
        <w:rPr>
          <w:spacing w:val="-4"/>
        </w:rPr>
        <w:t>Land:</w:t>
      </w:r>
    </w:p>
    <w:p>
      <w:pPr>
        <w:pStyle w:val="BodyText"/>
        <w:spacing w:before="2"/>
        <w:ind w:left="260"/>
        <w:jc w:val="both"/>
      </w:pPr>
      <w:r>
        <w:rPr/>
        <w:t>Any</w:t>
      </w:r>
      <w:r>
        <w:rPr>
          <w:spacing w:val="-3"/>
        </w:rPr>
        <w:t> </w:t>
      </w:r>
      <w:r>
        <w:rPr/>
        <w:t>use</w:t>
      </w:r>
      <w:r>
        <w:rPr>
          <w:spacing w:val="-3"/>
        </w:rPr>
        <w:t> </w:t>
      </w:r>
      <w:r>
        <w:rPr/>
        <w:t>permitted</w:t>
      </w:r>
      <w:r>
        <w:rPr>
          <w:spacing w:val="-5"/>
        </w:rPr>
        <w:t> </w:t>
      </w:r>
      <w:r>
        <w:rPr/>
        <w:t>under</w:t>
      </w:r>
      <w:r>
        <w:rPr>
          <w:spacing w:val="-2"/>
        </w:rPr>
        <w:t> </w:t>
      </w:r>
      <w:r>
        <w:rPr/>
        <w:t>the</w:t>
      </w:r>
      <w:r>
        <w:rPr>
          <w:spacing w:val="-5"/>
        </w:rPr>
        <w:t> </w:t>
      </w:r>
      <w:r>
        <w:rPr/>
        <w:t>relevant</w:t>
      </w:r>
      <w:r>
        <w:rPr>
          <w:spacing w:val="-3"/>
        </w:rPr>
        <w:t> </w:t>
      </w:r>
      <w:r>
        <w:rPr/>
        <w:t>Planning</w:t>
      </w:r>
      <w:r>
        <w:rPr>
          <w:spacing w:val="-1"/>
        </w:rPr>
        <w:t> </w:t>
      </w:r>
      <w:r>
        <w:rPr>
          <w:spacing w:val="-2"/>
        </w:rPr>
        <w:t>Scheme.</w:t>
      </w:r>
    </w:p>
    <w:p>
      <w:pPr>
        <w:pStyle w:val="BodyText"/>
      </w:pPr>
    </w:p>
    <w:p>
      <w:pPr>
        <w:pStyle w:val="Heading5"/>
        <w:spacing w:line="252" w:lineRule="exact"/>
      </w:pPr>
      <w:r>
        <w:rPr/>
        <w:t>Planning</w:t>
      </w:r>
      <w:r>
        <w:rPr>
          <w:spacing w:val="-4"/>
        </w:rPr>
        <w:t> </w:t>
      </w:r>
      <w:r>
        <w:rPr/>
        <w:t>Scheme</w:t>
      </w:r>
      <w:r>
        <w:rPr>
          <w:spacing w:val="-2"/>
        </w:rPr>
        <w:t> Zoning:</w:t>
      </w:r>
    </w:p>
    <w:p>
      <w:pPr>
        <w:pStyle w:val="BodyText"/>
        <w:ind w:left="260" w:right="555"/>
        <w:jc w:val="both"/>
      </w:pPr>
      <w:r>
        <w:rPr/>
        <w:t>The</w:t>
      </w:r>
      <w:r>
        <w:rPr>
          <w:spacing w:val="-2"/>
        </w:rPr>
        <w:t> </w:t>
      </w:r>
      <w:r>
        <w:rPr/>
        <w:t>zoning</w:t>
      </w:r>
      <w:r>
        <w:rPr>
          <w:spacing w:val="-4"/>
        </w:rPr>
        <w:t> </w:t>
      </w:r>
      <w:r>
        <w:rPr/>
        <w:t>applicable</w:t>
      </w:r>
      <w:r>
        <w:rPr>
          <w:spacing w:val="-4"/>
        </w:rPr>
        <w:t> </w:t>
      </w:r>
      <w:r>
        <w:rPr/>
        <w:t>to</w:t>
      </w:r>
      <w:r>
        <w:rPr>
          <w:spacing w:val="-7"/>
        </w:rPr>
        <w:t> </w:t>
      </w:r>
      <w:r>
        <w:rPr/>
        <w:t>each</w:t>
      </w:r>
      <w:r>
        <w:rPr>
          <w:spacing w:val="-4"/>
        </w:rPr>
        <w:t> </w:t>
      </w:r>
      <w:r>
        <w:rPr/>
        <w:t>rateable</w:t>
      </w:r>
      <w:r>
        <w:rPr>
          <w:spacing w:val="-6"/>
        </w:rPr>
        <w:t> </w:t>
      </w:r>
      <w:r>
        <w:rPr/>
        <w:t>land</w:t>
      </w:r>
      <w:r>
        <w:rPr>
          <w:spacing w:val="-2"/>
        </w:rPr>
        <w:t> </w:t>
      </w:r>
      <w:r>
        <w:rPr/>
        <w:t>within</w:t>
      </w:r>
      <w:r>
        <w:rPr>
          <w:spacing w:val="-6"/>
        </w:rPr>
        <w:t> </w:t>
      </w:r>
      <w:r>
        <w:rPr/>
        <w:t>this</w:t>
      </w:r>
      <w:r>
        <w:rPr>
          <w:spacing w:val="-4"/>
        </w:rPr>
        <w:t> </w:t>
      </w:r>
      <w:r>
        <w:rPr/>
        <w:t>category,</w:t>
      </w:r>
      <w:r>
        <w:rPr>
          <w:spacing w:val="-2"/>
        </w:rPr>
        <w:t> </w:t>
      </w:r>
      <w:r>
        <w:rPr/>
        <w:t>as</w:t>
      </w:r>
      <w:r>
        <w:rPr>
          <w:spacing w:val="-4"/>
        </w:rPr>
        <w:t> </w:t>
      </w:r>
      <w:r>
        <w:rPr/>
        <w:t>determined</w:t>
      </w:r>
      <w:r>
        <w:rPr>
          <w:spacing w:val="-2"/>
        </w:rPr>
        <w:t> </w:t>
      </w:r>
      <w:r>
        <w:rPr/>
        <w:t>by</w:t>
      </w:r>
      <w:r>
        <w:rPr>
          <w:spacing w:val="-4"/>
        </w:rPr>
        <w:t> </w:t>
      </w:r>
      <w:r>
        <w:rPr/>
        <w:t>consulting</w:t>
      </w:r>
      <w:r>
        <w:rPr>
          <w:spacing w:val="-4"/>
        </w:rPr>
        <w:t> </w:t>
      </w:r>
      <w:r>
        <w:rPr/>
        <w:t>maps</w:t>
      </w:r>
      <w:r>
        <w:rPr>
          <w:spacing w:val="-4"/>
        </w:rPr>
        <w:t> </w:t>
      </w:r>
      <w:r>
        <w:rPr/>
        <w:t>referred to in the relevant Planning Scheme.</w:t>
      </w:r>
    </w:p>
    <w:p>
      <w:pPr>
        <w:pStyle w:val="BodyText"/>
        <w:spacing w:before="10"/>
        <w:rPr>
          <w:sz w:val="21"/>
        </w:rPr>
      </w:pPr>
    </w:p>
    <w:p>
      <w:pPr>
        <w:spacing w:before="0"/>
        <w:ind w:left="260" w:right="0" w:firstLine="0"/>
        <w:jc w:val="both"/>
        <w:rPr>
          <w:b/>
          <w:sz w:val="22"/>
        </w:rPr>
      </w:pPr>
      <w:r>
        <w:rPr>
          <w:b/>
          <w:sz w:val="22"/>
          <w:u w:val="single"/>
        </w:rPr>
        <w:t>Derelict</w:t>
      </w:r>
      <w:r>
        <w:rPr>
          <w:b/>
          <w:spacing w:val="-5"/>
          <w:sz w:val="22"/>
          <w:u w:val="single"/>
        </w:rPr>
        <w:t> </w:t>
      </w:r>
      <w:r>
        <w:rPr>
          <w:b/>
          <w:spacing w:val="-4"/>
          <w:sz w:val="22"/>
          <w:u w:val="single"/>
        </w:rPr>
        <w:t>Land</w:t>
      </w:r>
    </w:p>
    <w:p>
      <w:pPr>
        <w:pStyle w:val="BodyText"/>
        <w:spacing w:before="11"/>
        <w:rPr>
          <w:b/>
          <w:sz w:val="13"/>
        </w:rPr>
      </w:pPr>
    </w:p>
    <w:p>
      <w:pPr>
        <w:pStyle w:val="Heading5"/>
        <w:spacing w:before="93"/>
      </w:pPr>
      <w:r>
        <w:rPr>
          <w:spacing w:val="-2"/>
        </w:rPr>
        <w:t>Definitions/Characteristics:</w:t>
      </w:r>
    </w:p>
    <w:p>
      <w:pPr>
        <w:pStyle w:val="BodyText"/>
        <w:rPr>
          <w:b/>
          <w:sz w:val="21"/>
        </w:rPr>
      </w:pPr>
    </w:p>
    <w:p>
      <w:pPr>
        <w:pStyle w:val="ListParagraph"/>
        <w:numPr>
          <w:ilvl w:val="0"/>
          <w:numId w:val="19"/>
        </w:numPr>
        <w:tabs>
          <w:tab w:pos="826" w:val="left" w:leader="none"/>
          <w:tab w:pos="827" w:val="left" w:leader="none"/>
        </w:tabs>
        <w:spacing w:line="240" w:lineRule="auto" w:before="0" w:after="0"/>
        <w:ind w:left="827" w:right="0" w:hanging="567"/>
        <w:jc w:val="left"/>
        <w:rPr>
          <w:b/>
          <w:sz w:val="22"/>
        </w:rPr>
      </w:pPr>
      <w:r>
        <w:rPr>
          <w:b/>
          <w:sz w:val="22"/>
          <w:u w:val="single"/>
        </w:rPr>
        <w:t>Derelict</w:t>
      </w:r>
      <w:r>
        <w:rPr>
          <w:b/>
          <w:spacing w:val="-6"/>
          <w:sz w:val="22"/>
          <w:u w:val="single"/>
        </w:rPr>
        <w:t> </w:t>
      </w:r>
      <w:r>
        <w:rPr>
          <w:b/>
          <w:spacing w:val="-4"/>
          <w:sz w:val="22"/>
          <w:u w:val="single"/>
        </w:rPr>
        <w:t>Land</w:t>
      </w:r>
    </w:p>
    <w:p>
      <w:pPr>
        <w:pStyle w:val="BodyText"/>
        <w:spacing w:before="9"/>
        <w:rPr>
          <w:b/>
          <w:sz w:val="20"/>
        </w:rPr>
      </w:pPr>
    </w:p>
    <w:p>
      <w:pPr>
        <w:pStyle w:val="ListParagraph"/>
        <w:numPr>
          <w:ilvl w:val="1"/>
          <w:numId w:val="19"/>
        </w:numPr>
        <w:tabs>
          <w:tab w:pos="827" w:val="left" w:leader="none"/>
          <w:tab w:pos="828" w:val="left" w:leader="none"/>
        </w:tabs>
        <w:spacing w:line="240" w:lineRule="auto" w:before="0" w:after="0"/>
        <w:ind w:left="826" w:right="555" w:hanging="567"/>
        <w:jc w:val="left"/>
        <w:rPr>
          <w:sz w:val="22"/>
        </w:rPr>
      </w:pPr>
      <w:r>
        <w:rPr>
          <w:sz w:val="22"/>
        </w:rPr>
        <w:t>Land</w:t>
      </w:r>
      <w:r>
        <w:rPr>
          <w:spacing w:val="19"/>
          <w:sz w:val="22"/>
        </w:rPr>
        <w:t> </w:t>
      </w:r>
      <w:r>
        <w:rPr>
          <w:sz w:val="22"/>
        </w:rPr>
        <w:t>is</w:t>
      </w:r>
      <w:r>
        <w:rPr>
          <w:spacing w:val="17"/>
          <w:sz w:val="22"/>
        </w:rPr>
        <w:t> </w:t>
      </w:r>
      <w:r>
        <w:rPr>
          <w:sz w:val="22"/>
        </w:rPr>
        <w:t>“Derelict</w:t>
      </w:r>
      <w:r>
        <w:rPr>
          <w:spacing w:val="22"/>
          <w:sz w:val="22"/>
        </w:rPr>
        <w:t> </w:t>
      </w:r>
      <w:r>
        <w:rPr>
          <w:sz w:val="22"/>
        </w:rPr>
        <w:t>Land”</w:t>
      </w:r>
      <w:r>
        <w:rPr>
          <w:spacing w:val="17"/>
          <w:sz w:val="22"/>
        </w:rPr>
        <w:t> </w:t>
      </w:r>
      <w:r>
        <w:rPr>
          <w:sz w:val="22"/>
        </w:rPr>
        <w:t>where,</w:t>
      </w:r>
      <w:r>
        <w:rPr>
          <w:spacing w:val="19"/>
          <w:sz w:val="22"/>
        </w:rPr>
        <w:t> </w:t>
      </w:r>
      <w:r>
        <w:rPr>
          <w:sz w:val="22"/>
        </w:rPr>
        <w:t>at</w:t>
      </w:r>
      <w:r>
        <w:rPr>
          <w:spacing w:val="19"/>
          <w:sz w:val="22"/>
        </w:rPr>
        <w:t> </w:t>
      </w:r>
      <w:r>
        <w:rPr>
          <w:sz w:val="22"/>
        </w:rPr>
        <w:t>any</w:t>
      </w:r>
      <w:r>
        <w:rPr>
          <w:spacing w:val="19"/>
          <w:sz w:val="22"/>
        </w:rPr>
        <w:t> </w:t>
      </w:r>
      <w:r>
        <w:rPr>
          <w:sz w:val="22"/>
        </w:rPr>
        <w:t>point</w:t>
      </w:r>
      <w:r>
        <w:rPr>
          <w:spacing w:val="17"/>
          <w:sz w:val="22"/>
        </w:rPr>
        <w:t> </w:t>
      </w:r>
      <w:r>
        <w:rPr>
          <w:sz w:val="22"/>
        </w:rPr>
        <w:t>in</w:t>
      </w:r>
      <w:r>
        <w:rPr>
          <w:spacing w:val="18"/>
          <w:sz w:val="22"/>
        </w:rPr>
        <w:t> </w:t>
      </w:r>
      <w:r>
        <w:rPr>
          <w:sz w:val="22"/>
        </w:rPr>
        <w:t>the</w:t>
      </w:r>
      <w:r>
        <w:rPr>
          <w:spacing w:val="18"/>
          <w:sz w:val="22"/>
        </w:rPr>
        <w:t> </w:t>
      </w:r>
      <w:r>
        <w:rPr>
          <w:sz w:val="22"/>
        </w:rPr>
        <w:t>rating</w:t>
      </w:r>
      <w:r>
        <w:rPr>
          <w:spacing w:val="19"/>
          <w:sz w:val="22"/>
        </w:rPr>
        <w:t> </w:t>
      </w:r>
      <w:r>
        <w:rPr>
          <w:sz w:val="22"/>
        </w:rPr>
        <w:t>year,</w:t>
      </w:r>
      <w:r>
        <w:rPr>
          <w:spacing w:val="17"/>
          <w:sz w:val="22"/>
        </w:rPr>
        <w:t> </w:t>
      </w:r>
      <w:r>
        <w:rPr>
          <w:sz w:val="22"/>
        </w:rPr>
        <w:t>a</w:t>
      </w:r>
      <w:r>
        <w:rPr>
          <w:spacing w:val="19"/>
          <w:sz w:val="22"/>
        </w:rPr>
        <w:t> </w:t>
      </w:r>
      <w:r>
        <w:rPr>
          <w:sz w:val="22"/>
        </w:rPr>
        <w:t>notice</w:t>
      </w:r>
      <w:r>
        <w:rPr>
          <w:spacing w:val="17"/>
          <w:sz w:val="22"/>
        </w:rPr>
        <w:t> </w:t>
      </w:r>
      <w:r>
        <w:rPr>
          <w:sz w:val="22"/>
        </w:rPr>
        <w:t>to</w:t>
      </w:r>
      <w:r>
        <w:rPr>
          <w:spacing w:val="18"/>
          <w:sz w:val="22"/>
        </w:rPr>
        <w:t> </w:t>
      </w:r>
      <w:r>
        <w:rPr>
          <w:sz w:val="22"/>
        </w:rPr>
        <w:t>comply</w:t>
      </w:r>
      <w:r>
        <w:rPr>
          <w:spacing w:val="17"/>
          <w:sz w:val="22"/>
        </w:rPr>
        <w:t> </w:t>
      </w:r>
      <w:r>
        <w:rPr>
          <w:sz w:val="22"/>
        </w:rPr>
        <w:t>to</w:t>
      </w:r>
      <w:r>
        <w:rPr>
          <w:spacing w:val="19"/>
          <w:sz w:val="22"/>
        </w:rPr>
        <w:t> </w:t>
      </w:r>
      <w:r>
        <w:rPr>
          <w:sz w:val="22"/>
        </w:rPr>
        <w:t>is</w:t>
      </w:r>
      <w:r>
        <w:rPr>
          <w:spacing w:val="19"/>
          <w:sz w:val="22"/>
        </w:rPr>
        <w:t> </w:t>
      </w:r>
      <w:r>
        <w:rPr>
          <w:sz w:val="22"/>
        </w:rPr>
        <w:t>issued</w:t>
      </w:r>
      <w:r>
        <w:rPr>
          <w:spacing w:val="16"/>
          <w:sz w:val="22"/>
        </w:rPr>
        <w:t> </w:t>
      </w:r>
      <w:r>
        <w:rPr>
          <w:sz w:val="22"/>
        </w:rPr>
        <w:t>to</w:t>
      </w:r>
      <w:r>
        <w:rPr>
          <w:spacing w:val="18"/>
          <w:sz w:val="22"/>
        </w:rPr>
        <w:t> </w:t>
      </w:r>
      <w:r>
        <w:rPr>
          <w:sz w:val="22"/>
        </w:rPr>
        <w:t>the Owner or Occupier of the land under the Local Law on the grounds that the land:</w:t>
      </w:r>
    </w:p>
    <w:p>
      <w:pPr>
        <w:pStyle w:val="BodyText"/>
        <w:spacing w:before="11"/>
        <w:rPr>
          <w:sz w:val="20"/>
        </w:rPr>
      </w:pPr>
    </w:p>
    <w:p>
      <w:pPr>
        <w:pStyle w:val="ListParagraph"/>
        <w:numPr>
          <w:ilvl w:val="2"/>
          <w:numId w:val="19"/>
        </w:numPr>
        <w:tabs>
          <w:tab w:pos="1393" w:val="left" w:leader="none"/>
        </w:tabs>
        <w:spacing w:line="240" w:lineRule="auto" w:before="0" w:after="0"/>
        <w:ind w:left="1392" w:right="554" w:hanging="567"/>
        <w:jc w:val="both"/>
        <w:rPr>
          <w:sz w:val="22"/>
        </w:rPr>
      </w:pPr>
      <w:r>
        <w:rPr>
          <w:sz w:val="22"/>
        </w:rPr>
        <w:t>is kept in</w:t>
      </w:r>
      <w:r>
        <w:rPr>
          <w:spacing w:val="-1"/>
          <w:sz w:val="22"/>
        </w:rPr>
        <w:t> </w:t>
      </w:r>
      <w:r>
        <w:rPr>
          <w:sz w:val="22"/>
        </w:rPr>
        <w:t>a manner which is unsightly or detrimental to the general amenity of the area in which the land is located; or</w:t>
      </w:r>
    </w:p>
    <w:p>
      <w:pPr>
        <w:pStyle w:val="BodyText"/>
        <w:spacing w:before="10"/>
        <w:rPr>
          <w:sz w:val="20"/>
        </w:rPr>
      </w:pPr>
    </w:p>
    <w:p>
      <w:pPr>
        <w:pStyle w:val="ListParagraph"/>
        <w:numPr>
          <w:ilvl w:val="2"/>
          <w:numId w:val="19"/>
        </w:numPr>
        <w:tabs>
          <w:tab w:pos="1393" w:val="left" w:leader="none"/>
        </w:tabs>
        <w:spacing w:line="240" w:lineRule="auto" w:before="0" w:after="0"/>
        <w:ind w:left="1392" w:right="556" w:hanging="567"/>
        <w:jc w:val="both"/>
        <w:rPr>
          <w:sz w:val="22"/>
        </w:rPr>
      </w:pPr>
      <w:r>
        <w:rPr>
          <w:sz w:val="22"/>
        </w:rPr>
        <w:t>is</w:t>
      </w:r>
      <w:r>
        <w:rPr>
          <w:spacing w:val="-15"/>
          <w:sz w:val="22"/>
        </w:rPr>
        <w:t> </w:t>
      </w:r>
      <w:r>
        <w:rPr>
          <w:sz w:val="22"/>
        </w:rPr>
        <w:t>used</w:t>
      </w:r>
      <w:r>
        <w:rPr>
          <w:spacing w:val="-14"/>
          <w:sz w:val="22"/>
        </w:rPr>
        <w:t> </w:t>
      </w:r>
      <w:r>
        <w:rPr>
          <w:sz w:val="22"/>
        </w:rPr>
        <w:t>for</w:t>
      </w:r>
      <w:r>
        <w:rPr>
          <w:spacing w:val="-15"/>
          <w:sz w:val="22"/>
        </w:rPr>
        <w:t> </w:t>
      </w:r>
      <w:r>
        <w:rPr>
          <w:sz w:val="22"/>
        </w:rPr>
        <w:t>storage</w:t>
      </w:r>
      <w:r>
        <w:rPr>
          <w:spacing w:val="-14"/>
          <w:sz w:val="22"/>
        </w:rPr>
        <w:t> </w:t>
      </w:r>
      <w:r>
        <w:rPr>
          <w:sz w:val="22"/>
        </w:rPr>
        <w:t>of</w:t>
      </w:r>
      <w:r>
        <w:rPr>
          <w:spacing w:val="-15"/>
          <w:sz w:val="22"/>
        </w:rPr>
        <w:t> </w:t>
      </w:r>
      <w:r>
        <w:rPr>
          <w:sz w:val="22"/>
        </w:rPr>
        <w:t>such</w:t>
      </w:r>
      <w:r>
        <w:rPr>
          <w:spacing w:val="-14"/>
          <w:sz w:val="22"/>
        </w:rPr>
        <w:t> </w:t>
      </w:r>
      <w:r>
        <w:rPr>
          <w:sz w:val="22"/>
        </w:rPr>
        <w:t>amounts</w:t>
      </w:r>
      <w:r>
        <w:rPr>
          <w:spacing w:val="-16"/>
          <w:sz w:val="22"/>
        </w:rPr>
        <w:t> </w:t>
      </w:r>
      <w:r>
        <w:rPr>
          <w:sz w:val="22"/>
        </w:rPr>
        <w:t>of</w:t>
      </w:r>
      <w:r>
        <w:rPr>
          <w:spacing w:val="-14"/>
          <w:sz w:val="22"/>
        </w:rPr>
        <w:t> </w:t>
      </w:r>
      <w:r>
        <w:rPr>
          <w:sz w:val="22"/>
        </w:rPr>
        <w:t>goods,</w:t>
      </w:r>
      <w:r>
        <w:rPr>
          <w:spacing w:val="-16"/>
          <w:sz w:val="22"/>
        </w:rPr>
        <w:t> </w:t>
      </w:r>
      <w:r>
        <w:rPr>
          <w:sz w:val="22"/>
        </w:rPr>
        <w:t>machinery,</w:t>
      </w:r>
      <w:r>
        <w:rPr>
          <w:spacing w:val="-14"/>
          <w:sz w:val="22"/>
        </w:rPr>
        <w:t> </w:t>
      </w:r>
      <w:r>
        <w:rPr>
          <w:sz w:val="22"/>
        </w:rPr>
        <w:t>materials</w:t>
      </w:r>
      <w:r>
        <w:rPr>
          <w:spacing w:val="-15"/>
          <w:sz w:val="22"/>
        </w:rPr>
        <w:t> </w:t>
      </w:r>
      <w:r>
        <w:rPr>
          <w:sz w:val="22"/>
        </w:rPr>
        <w:t>or</w:t>
      </w:r>
      <w:r>
        <w:rPr>
          <w:spacing w:val="-13"/>
          <w:sz w:val="22"/>
        </w:rPr>
        <w:t> </w:t>
      </w:r>
      <w:r>
        <w:rPr>
          <w:sz w:val="22"/>
        </w:rPr>
        <w:t>equipment</w:t>
      </w:r>
      <w:r>
        <w:rPr>
          <w:spacing w:val="-13"/>
          <w:sz w:val="22"/>
        </w:rPr>
        <w:t> </w:t>
      </w:r>
      <w:r>
        <w:rPr>
          <w:sz w:val="22"/>
        </w:rPr>
        <w:t>that</w:t>
      </w:r>
      <w:r>
        <w:rPr>
          <w:spacing w:val="-15"/>
          <w:sz w:val="22"/>
        </w:rPr>
        <w:t> </w:t>
      </w:r>
      <w:r>
        <w:rPr>
          <w:sz w:val="22"/>
        </w:rPr>
        <w:t>the</w:t>
      </w:r>
      <w:r>
        <w:rPr>
          <w:spacing w:val="-16"/>
          <w:sz w:val="22"/>
        </w:rPr>
        <w:t> </w:t>
      </w:r>
      <w:r>
        <w:rPr>
          <w:sz w:val="22"/>
        </w:rPr>
        <w:t>amenity of the area is adversely affected, or the land is, or has the potential to become infested by rats and/or other vermin species; or</w:t>
      </w:r>
    </w:p>
    <w:p>
      <w:pPr>
        <w:pStyle w:val="BodyText"/>
        <w:spacing w:before="10"/>
        <w:rPr>
          <w:sz w:val="20"/>
        </w:rPr>
      </w:pPr>
    </w:p>
    <w:p>
      <w:pPr>
        <w:pStyle w:val="ListParagraph"/>
        <w:numPr>
          <w:ilvl w:val="2"/>
          <w:numId w:val="19"/>
        </w:numPr>
        <w:tabs>
          <w:tab w:pos="1393" w:val="left" w:leader="none"/>
          <w:tab w:pos="1394" w:val="left" w:leader="none"/>
        </w:tabs>
        <w:spacing w:line="240" w:lineRule="auto" w:before="0" w:after="0"/>
        <w:ind w:left="1393" w:right="0" w:hanging="568"/>
        <w:jc w:val="left"/>
        <w:rPr>
          <w:sz w:val="22"/>
        </w:rPr>
      </w:pPr>
      <w:r>
        <w:rPr>
          <w:sz w:val="22"/>
        </w:rPr>
        <w:t>is</w:t>
      </w:r>
      <w:r>
        <w:rPr>
          <w:spacing w:val="-3"/>
          <w:sz w:val="22"/>
        </w:rPr>
        <w:t> </w:t>
      </w:r>
      <w:r>
        <w:rPr>
          <w:sz w:val="22"/>
        </w:rPr>
        <w:t>kept</w:t>
      </w:r>
      <w:r>
        <w:rPr>
          <w:spacing w:val="-2"/>
          <w:sz w:val="22"/>
        </w:rPr>
        <w:t> </w:t>
      </w:r>
      <w:r>
        <w:rPr>
          <w:sz w:val="22"/>
        </w:rPr>
        <w:t>in</w:t>
      </w:r>
      <w:r>
        <w:rPr>
          <w:spacing w:val="-5"/>
          <w:sz w:val="22"/>
        </w:rPr>
        <w:t> </w:t>
      </w:r>
      <w:r>
        <w:rPr>
          <w:sz w:val="22"/>
        </w:rPr>
        <w:t>a</w:t>
      </w:r>
      <w:r>
        <w:rPr>
          <w:spacing w:val="-2"/>
          <w:sz w:val="22"/>
        </w:rPr>
        <w:t> </w:t>
      </w:r>
      <w:r>
        <w:rPr>
          <w:sz w:val="22"/>
        </w:rPr>
        <w:t>manner</w:t>
      </w:r>
      <w:r>
        <w:rPr>
          <w:spacing w:val="-3"/>
          <w:sz w:val="22"/>
        </w:rPr>
        <w:t> </w:t>
      </w:r>
      <w:r>
        <w:rPr>
          <w:sz w:val="22"/>
        </w:rPr>
        <w:t>which</w:t>
      </w:r>
      <w:r>
        <w:rPr>
          <w:spacing w:val="-2"/>
          <w:sz w:val="22"/>
        </w:rPr>
        <w:t> </w:t>
      </w:r>
      <w:r>
        <w:rPr>
          <w:sz w:val="22"/>
        </w:rPr>
        <w:t>is</w:t>
      </w:r>
      <w:r>
        <w:rPr>
          <w:spacing w:val="-2"/>
          <w:sz w:val="22"/>
        </w:rPr>
        <w:t> </w:t>
      </w:r>
      <w:r>
        <w:rPr>
          <w:sz w:val="22"/>
        </w:rPr>
        <w:t>dangerous</w:t>
      </w:r>
      <w:r>
        <w:rPr>
          <w:spacing w:val="-3"/>
          <w:sz w:val="22"/>
        </w:rPr>
        <w:t> </w:t>
      </w:r>
      <w:r>
        <w:rPr>
          <w:sz w:val="22"/>
        </w:rPr>
        <w:t>or</w:t>
      </w:r>
      <w:r>
        <w:rPr>
          <w:spacing w:val="-2"/>
          <w:sz w:val="22"/>
        </w:rPr>
        <w:t> </w:t>
      </w:r>
      <w:r>
        <w:rPr>
          <w:sz w:val="22"/>
        </w:rPr>
        <w:t>likely</w:t>
      </w:r>
      <w:r>
        <w:rPr>
          <w:spacing w:val="-3"/>
          <w:sz w:val="22"/>
        </w:rPr>
        <w:t> </w:t>
      </w:r>
      <w:r>
        <w:rPr>
          <w:sz w:val="22"/>
        </w:rPr>
        <w:t>to cause</w:t>
      </w:r>
      <w:r>
        <w:rPr>
          <w:spacing w:val="-3"/>
          <w:sz w:val="22"/>
        </w:rPr>
        <w:t> </w:t>
      </w:r>
      <w:r>
        <w:rPr>
          <w:sz w:val="22"/>
        </w:rPr>
        <w:t>danger</w:t>
      </w:r>
      <w:r>
        <w:rPr>
          <w:spacing w:val="-2"/>
          <w:sz w:val="22"/>
        </w:rPr>
        <w:t> </w:t>
      </w:r>
      <w:r>
        <w:rPr>
          <w:sz w:val="22"/>
        </w:rPr>
        <w:t>to</w:t>
      </w:r>
      <w:r>
        <w:rPr>
          <w:spacing w:val="-4"/>
          <w:sz w:val="22"/>
        </w:rPr>
        <w:t> </w:t>
      </w:r>
      <w:r>
        <w:rPr>
          <w:sz w:val="22"/>
        </w:rPr>
        <w:t>life</w:t>
      </w:r>
      <w:r>
        <w:rPr>
          <w:spacing w:val="-5"/>
          <w:sz w:val="22"/>
        </w:rPr>
        <w:t> </w:t>
      </w:r>
      <w:r>
        <w:rPr>
          <w:sz w:val="22"/>
        </w:rPr>
        <w:t>or</w:t>
      </w:r>
      <w:r>
        <w:rPr>
          <w:spacing w:val="-4"/>
          <w:sz w:val="22"/>
        </w:rPr>
        <w:t> </w:t>
      </w:r>
      <w:r>
        <w:rPr>
          <w:sz w:val="22"/>
        </w:rPr>
        <w:t>property;</w:t>
      </w:r>
      <w:r>
        <w:rPr>
          <w:spacing w:val="-4"/>
          <w:sz w:val="22"/>
        </w:rPr>
        <w:t> </w:t>
      </w:r>
      <w:r>
        <w:rPr>
          <w:spacing w:val="-5"/>
          <w:sz w:val="22"/>
        </w:rPr>
        <w:t>or</w:t>
      </w:r>
    </w:p>
    <w:p>
      <w:pPr>
        <w:pStyle w:val="BodyText"/>
        <w:spacing w:before="9"/>
        <w:rPr>
          <w:sz w:val="20"/>
        </w:rPr>
      </w:pPr>
    </w:p>
    <w:p>
      <w:pPr>
        <w:pStyle w:val="ListParagraph"/>
        <w:numPr>
          <w:ilvl w:val="2"/>
          <w:numId w:val="19"/>
        </w:numPr>
        <w:tabs>
          <w:tab w:pos="1392" w:val="left" w:leader="none"/>
          <w:tab w:pos="1393" w:val="left" w:leader="none"/>
        </w:tabs>
        <w:spacing w:line="240" w:lineRule="auto" w:before="0" w:after="0"/>
        <w:ind w:left="1392" w:right="0" w:hanging="567"/>
        <w:jc w:val="left"/>
        <w:rPr>
          <w:sz w:val="22"/>
        </w:rPr>
      </w:pPr>
      <w:r>
        <w:rPr>
          <w:sz w:val="22"/>
        </w:rPr>
        <w:t>has</w:t>
      </w:r>
      <w:r>
        <w:rPr>
          <w:spacing w:val="-5"/>
          <w:sz w:val="22"/>
        </w:rPr>
        <w:t> </w:t>
      </w:r>
      <w:r>
        <w:rPr>
          <w:sz w:val="22"/>
        </w:rPr>
        <w:t>become</w:t>
      </w:r>
      <w:r>
        <w:rPr>
          <w:spacing w:val="-2"/>
          <w:sz w:val="22"/>
        </w:rPr>
        <w:t> </w:t>
      </w:r>
      <w:r>
        <w:rPr>
          <w:sz w:val="22"/>
        </w:rPr>
        <w:t>infested</w:t>
      </w:r>
      <w:r>
        <w:rPr>
          <w:spacing w:val="-6"/>
          <w:sz w:val="22"/>
        </w:rPr>
        <w:t> </w:t>
      </w:r>
      <w:r>
        <w:rPr>
          <w:sz w:val="22"/>
        </w:rPr>
        <w:t>with</w:t>
      </w:r>
      <w:r>
        <w:rPr>
          <w:spacing w:val="-2"/>
          <w:sz w:val="22"/>
        </w:rPr>
        <w:t> </w:t>
      </w:r>
      <w:r>
        <w:rPr>
          <w:sz w:val="22"/>
        </w:rPr>
        <w:t>blackberry</w:t>
      </w:r>
      <w:r>
        <w:rPr>
          <w:spacing w:val="-4"/>
          <w:sz w:val="22"/>
        </w:rPr>
        <w:t> </w:t>
      </w:r>
      <w:r>
        <w:rPr>
          <w:sz w:val="22"/>
        </w:rPr>
        <w:t>or</w:t>
      </w:r>
      <w:r>
        <w:rPr>
          <w:spacing w:val="-4"/>
          <w:sz w:val="22"/>
        </w:rPr>
        <w:t> </w:t>
      </w:r>
      <w:r>
        <w:rPr>
          <w:sz w:val="22"/>
        </w:rPr>
        <w:t>other</w:t>
      </w:r>
      <w:r>
        <w:rPr>
          <w:spacing w:val="-4"/>
          <w:sz w:val="22"/>
        </w:rPr>
        <w:t> </w:t>
      </w:r>
      <w:r>
        <w:rPr>
          <w:sz w:val="22"/>
        </w:rPr>
        <w:t>invasive</w:t>
      </w:r>
      <w:r>
        <w:rPr>
          <w:spacing w:val="-6"/>
          <w:sz w:val="22"/>
        </w:rPr>
        <w:t> </w:t>
      </w:r>
      <w:r>
        <w:rPr>
          <w:sz w:val="22"/>
        </w:rPr>
        <w:t>plants</w:t>
      </w:r>
      <w:r>
        <w:rPr>
          <w:spacing w:val="-2"/>
          <w:sz w:val="22"/>
        </w:rPr>
        <w:t> </w:t>
      </w:r>
      <w:r>
        <w:rPr>
          <w:sz w:val="22"/>
        </w:rPr>
        <w:t>or</w:t>
      </w:r>
      <w:r>
        <w:rPr>
          <w:spacing w:val="-4"/>
          <w:sz w:val="22"/>
        </w:rPr>
        <w:t> </w:t>
      </w:r>
      <w:r>
        <w:rPr>
          <w:sz w:val="22"/>
        </w:rPr>
        <w:t>vermin;</w:t>
      </w:r>
      <w:r>
        <w:rPr>
          <w:spacing w:val="-3"/>
          <w:sz w:val="22"/>
        </w:rPr>
        <w:t> </w:t>
      </w:r>
      <w:r>
        <w:rPr>
          <w:spacing w:val="-5"/>
          <w:sz w:val="22"/>
        </w:rPr>
        <w:t>or</w:t>
      </w:r>
    </w:p>
    <w:p>
      <w:pPr>
        <w:pStyle w:val="BodyText"/>
        <w:rPr>
          <w:sz w:val="21"/>
        </w:rPr>
      </w:pPr>
    </w:p>
    <w:p>
      <w:pPr>
        <w:pStyle w:val="ListParagraph"/>
        <w:numPr>
          <w:ilvl w:val="2"/>
          <w:numId w:val="19"/>
        </w:numPr>
        <w:tabs>
          <w:tab w:pos="1392" w:val="left" w:leader="none"/>
          <w:tab w:pos="1393" w:val="left" w:leader="none"/>
        </w:tabs>
        <w:spacing w:line="240" w:lineRule="auto" w:before="0" w:after="0"/>
        <w:ind w:left="1392" w:right="0" w:hanging="567"/>
        <w:jc w:val="left"/>
        <w:rPr>
          <w:sz w:val="22"/>
        </w:rPr>
      </w:pPr>
      <w:r>
        <w:rPr>
          <w:sz w:val="22"/>
        </w:rPr>
        <w:t>has</w:t>
      </w:r>
      <w:r>
        <w:rPr>
          <w:spacing w:val="-2"/>
          <w:sz w:val="22"/>
        </w:rPr>
        <w:t> </w:t>
      </w:r>
      <w:r>
        <w:rPr>
          <w:sz w:val="22"/>
        </w:rPr>
        <w:t>become</w:t>
      </w:r>
      <w:r>
        <w:rPr>
          <w:spacing w:val="-2"/>
          <w:sz w:val="22"/>
        </w:rPr>
        <w:t> </w:t>
      </w:r>
      <w:r>
        <w:rPr>
          <w:sz w:val="22"/>
        </w:rPr>
        <w:t>a</w:t>
      </w:r>
      <w:r>
        <w:rPr>
          <w:spacing w:val="-7"/>
          <w:sz w:val="22"/>
        </w:rPr>
        <w:t> </w:t>
      </w:r>
      <w:r>
        <w:rPr>
          <w:sz w:val="22"/>
        </w:rPr>
        <w:t>source</w:t>
      </w:r>
      <w:r>
        <w:rPr>
          <w:spacing w:val="-2"/>
          <w:sz w:val="22"/>
        </w:rPr>
        <w:t> </w:t>
      </w:r>
      <w:r>
        <w:rPr>
          <w:sz w:val="22"/>
        </w:rPr>
        <w:t>of</w:t>
      </w:r>
      <w:r>
        <w:rPr>
          <w:spacing w:val="-4"/>
          <w:sz w:val="22"/>
        </w:rPr>
        <w:t> </w:t>
      </w:r>
      <w:r>
        <w:rPr>
          <w:sz w:val="22"/>
        </w:rPr>
        <w:t>offensive</w:t>
      </w:r>
      <w:r>
        <w:rPr>
          <w:spacing w:val="-7"/>
          <w:sz w:val="22"/>
        </w:rPr>
        <w:t> </w:t>
      </w:r>
      <w:r>
        <w:rPr>
          <w:sz w:val="22"/>
        </w:rPr>
        <w:t>odour</w:t>
      </w:r>
      <w:r>
        <w:rPr>
          <w:spacing w:val="-3"/>
          <w:sz w:val="22"/>
        </w:rPr>
        <w:t> </w:t>
      </w:r>
      <w:r>
        <w:rPr>
          <w:sz w:val="22"/>
        </w:rPr>
        <w:t>discernible</w:t>
      </w:r>
      <w:r>
        <w:rPr>
          <w:spacing w:val="-5"/>
          <w:sz w:val="22"/>
        </w:rPr>
        <w:t> </w:t>
      </w:r>
      <w:r>
        <w:rPr>
          <w:sz w:val="22"/>
        </w:rPr>
        <w:t>beyond</w:t>
      </w:r>
      <w:r>
        <w:rPr>
          <w:spacing w:val="-1"/>
          <w:sz w:val="22"/>
        </w:rPr>
        <w:t> </w:t>
      </w:r>
      <w:r>
        <w:rPr>
          <w:sz w:val="22"/>
        </w:rPr>
        <w:t>the</w:t>
      </w:r>
      <w:r>
        <w:rPr>
          <w:spacing w:val="-3"/>
          <w:sz w:val="22"/>
        </w:rPr>
        <w:t> </w:t>
      </w:r>
      <w:r>
        <w:rPr>
          <w:spacing w:val="-2"/>
          <w:sz w:val="22"/>
        </w:rPr>
        <w:t>land;</w:t>
      </w:r>
    </w:p>
    <w:p>
      <w:pPr>
        <w:pStyle w:val="BodyText"/>
        <w:spacing w:before="9"/>
        <w:rPr>
          <w:sz w:val="20"/>
        </w:rPr>
      </w:pPr>
    </w:p>
    <w:p>
      <w:pPr>
        <w:pStyle w:val="ListParagraph"/>
        <w:numPr>
          <w:ilvl w:val="2"/>
          <w:numId w:val="19"/>
        </w:numPr>
        <w:tabs>
          <w:tab w:pos="1392" w:val="left" w:leader="none"/>
        </w:tabs>
        <w:spacing w:line="240" w:lineRule="auto" w:before="0" w:after="0"/>
        <w:ind w:left="1392" w:right="555" w:hanging="567"/>
        <w:jc w:val="both"/>
        <w:rPr>
          <w:sz w:val="22"/>
        </w:rPr>
      </w:pPr>
      <w:r>
        <w:rPr>
          <w:sz w:val="22"/>
        </w:rPr>
        <w:t>contains a vacant building that has been kept in a manner to the extent that the exterior of the </w:t>
      </w:r>
      <w:r>
        <w:rPr>
          <w:spacing w:val="-2"/>
          <w:sz w:val="22"/>
        </w:rPr>
        <w:t>building;</w:t>
      </w:r>
    </w:p>
    <w:p>
      <w:pPr>
        <w:pStyle w:val="BodyText"/>
        <w:spacing w:before="10"/>
        <w:rPr>
          <w:sz w:val="20"/>
        </w:rPr>
      </w:pPr>
    </w:p>
    <w:p>
      <w:pPr>
        <w:pStyle w:val="ListParagraph"/>
        <w:numPr>
          <w:ilvl w:val="3"/>
          <w:numId w:val="19"/>
        </w:numPr>
        <w:tabs>
          <w:tab w:pos="1960" w:val="left" w:leader="none"/>
          <w:tab w:pos="1961" w:val="left" w:leader="none"/>
        </w:tabs>
        <w:spacing w:line="240" w:lineRule="auto" w:before="0" w:after="0"/>
        <w:ind w:left="1960" w:right="0" w:hanging="569"/>
        <w:jc w:val="left"/>
        <w:rPr>
          <w:sz w:val="22"/>
        </w:rPr>
      </w:pPr>
      <w:r>
        <w:rPr>
          <w:sz w:val="22"/>
        </w:rPr>
        <w:t>is</w:t>
      </w:r>
      <w:r>
        <w:rPr>
          <w:spacing w:val="-2"/>
          <w:sz w:val="22"/>
        </w:rPr>
        <w:t> </w:t>
      </w:r>
      <w:r>
        <w:rPr>
          <w:sz w:val="22"/>
        </w:rPr>
        <w:t>in</w:t>
      </w:r>
      <w:r>
        <w:rPr>
          <w:spacing w:val="-1"/>
          <w:sz w:val="22"/>
        </w:rPr>
        <w:t> </w:t>
      </w:r>
      <w:r>
        <w:rPr>
          <w:sz w:val="22"/>
        </w:rPr>
        <w:t>a</w:t>
      </w:r>
      <w:r>
        <w:rPr>
          <w:spacing w:val="-3"/>
          <w:sz w:val="22"/>
        </w:rPr>
        <w:t> </w:t>
      </w:r>
      <w:r>
        <w:rPr>
          <w:sz w:val="22"/>
        </w:rPr>
        <w:t>state</w:t>
      </w:r>
      <w:r>
        <w:rPr>
          <w:spacing w:val="-4"/>
          <w:sz w:val="22"/>
        </w:rPr>
        <w:t> </w:t>
      </w:r>
      <w:r>
        <w:rPr>
          <w:sz w:val="22"/>
        </w:rPr>
        <w:t>of</w:t>
      </w:r>
      <w:r>
        <w:rPr>
          <w:spacing w:val="-1"/>
          <w:sz w:val="22"/>
        </w:rPr>
        <w:t> </w:t>
      </w:r>
      <w:r>
        <w:rPr>
          <w:sz w:val="22"/>
        </w:rPr>
        <w:t>disrepair;</w:t>
      </w:r>
      <w:r>
        <w:rPr>
          <w:spacing w:val="-1"/>
          <w:sz w:val="22"/>
        </w:rPr>
        <w:t> </w:t>
      </w:r>
      <w:r>
        <w:rPr>
          <w:spacing w:val="-7"/>
          <w:sz w:val="22"/>
        </w:rPr>
        <w:t>or</w:t>
      </w:r>
    </w:p>
    <w:p>
      <w:pPr>
        <w:pStyle w:val="BodyText"/>
        <w:spacing w:before="9"/>
        <w:rPr>
          <w:sz w:val="20"/>
        </w:rPr>
      </w:pPr>
    </w:p>
    <w:p>
      <w:pPr>
        <w:pStyle w:val="ListParagraph"/>
        <w:numPr>
          <w:ilvl w:val="3"/>
          <w:numId w:val="19"/>
        </w:numPr>
        <w:tabs>
          <w:tab w:pos="1960" w:val="left" w:leader="none"/>
          <w:tab w:pos="1961" w:val="left" w:leader="none"/>
        </w:tabs>
        <w:spacing w:line="240" w:lineRule="auto" w:before="0" w:after="0"/>
        <w:ind w:left="1960" w:right="0" w:hanging="569"/>
        <w:jc w:val="left"/>
        <w:rPr>
          <w:sz w:val="22"/>
        </w:rPr>
      </w:pPr>
      <w:r>
        <w:rPr>
          <w:sz w:val="22"/>
        </w:rPr>
        <w:t>is</w:t>
      </w:r>
      <w:r>
        <w:rPr>
          <w:spacing w:val="-2"/>
          <w:sz w:val="22"/>
        </w:rPr>
        <w:t> </w:t>
      </w:r>
      <w:r>
        <w:rPr>
          <w:sz w:val="22"/>
        </w:rPr>
        <w:t>damaged</w:t>
      </w:r>
      <w:r>
        <w:rPr>
          <w:spacing w:val="-4"/>
          <w:sz w:val="22"/>
        </w:rPr>
        <w:t> </w:t>
      </w:r>
      <w:r>
        <w:rPr>
          <w:sz w:val="22"/>
        </w:rPr>
        <w:t>or</w:t>
      </w:r>
      <w:r>
        <w:rPr>
          <w:spacing w:val="-2"/>
          <w:sz w:val="22"/>
        </w:rPr>
        <w:t> </w:t>
      </w:r>
      <w:r>
        <w:rPr>
          <w:sz w:val="22"/>
        </w:rPr>
        <w:t>defaced;</w:t>
      </w:r>
      <w:r>
        <w:rPr>
          <w:spacing w:val="-3"/>
          <w:sz w:val="22"/>
        </w:rPr>
        <w:t> </w:t>
      </w:r>
      <w:r>
        <w:rPr>
          <w:spacing w:val="-5"/>
          <w:sz w:val="22"/>
        </w:rPr>
        <w:t>or</w:t>
      </w:r>
    </w:p>
    <w:p>
      <w:pPr>
        <w:pStyle w:val="BodyText"/>
        <w:rPr>
          <w:sz w:val="21"/>
        </w:rPr>
      </w:pPr>
    </w:p>
    <w:p>
      <w:pPr>
        <w:pStyle w:val="ListParagraph"/>
        <w:numPr>
          <w:ilvl w:val="3"/>
          <w:numId w:val="19"/>
        </w:numPr>
        <w:tabs>
          <w:tab w:pos="1961" w:val="left" w:leader="none"/>
          <w:tab w:pos="1962" w:val="left" w:leader="none"/>
        </w:tabs>
        <w:spacing w:line="240" w:lineRule="auto" w:before="0" w:after="0"/>
        <w:ind w:left="1961" w:right="0" w:hanging="570"/>
        <w:jc w:val="left"/>
        <w:rPr>
          <w:sz w:val="22"/>
        </w:rPr>
      </w:pPr>
      <w:r>
        <w:rPr>
          <w:sz w:val="22"/>
        </w:rPr>
        <w:t>affects</w:t>
      </w:r>
      <w:r>
        <w:rPr>
          <w:spacing w:val="-7"/>
          <w:sz w:val="22"/>
        </w:rPr>
        <w:t> </w:t>
      </w:r>
      <w:r>
        <w:rPr>
          <w:sz w:val="22"/>
        </w:rPr>
        <w:t>the</w:t>
      </w:r>
      <w:r>
        <w:rPr>
          <w:spacing w:val="-5"/>
          <w:sz w:val="22"/>
        </w:rPr>
        <w:t> </w:t>
      </w:r>
      <w:r>
        <w:rPr>
          <w:sz w:val="22"/>
        </w:rPr>
        <w:t>amenity</w:t>
      </w:r>
      <w:r>
        <w:rPr>
          <w:spacing w:val="-4"/>
          <w:sz w:val="22"/>
        </w:rPr>
        <w:t> </w:t>
      </w:r>
      <w:r>
        <w:rPr>
          <w:sz w:val="22"/>
        </w:rPr>
        <w:t>of</w:t>
      </w:r>
      <w:r>
        <w:rPr>
          <w:spacing w:val="-6"/>
          <w:sz w:val="22"/>
        </w:rPr>
        <w:t> </w:t>
      </w:r>
      <w:r>
        <w:rPr>
          <w:sz w:val="22"/>
        </w:rPr>
        <w:t>the</w:t>
      </w:r>
      <w:r>
        <w:rPr>
          <w:spacing w:val="-4"/>
          <w:sz w:val="22"/>
        </w:rPr>
        <w:t> </w:t>
      </w:r>
      <w:r>
        <w:rPr>
          <w:sz w:val="22"/>
        </w:rPr>
        <w:t>surrounding</w:t>
      </w:r>
      <w:r>
        <w:rPr>
          <w:spacing w:val="-4"/>
          <w:sz w:val="22"/>
        </w:rPr>
        <w:t> </w:t>
      </w:r>
      <w:r>
        <w:rPr>
          <w:sz w:val="22"/>
        </w:rPr>
        <w:t>neighbourhood;</w:t>
      </w:r>
      <w:r>
        <w:rPr>
          <w:spacing w:val="-2"/>
          <w:sz w:val="22"/>
        </w:rPr>
        <w:t> </w:t>
      </w:r>
      <w:r>
        <w:rPr>
          <w:spacing w:val="-5"/>
          <w:sz w:val="22"/>
        </w:rPr>
        <w:t>or</w:t>
      </w:r>
    </w:p>
    <w:p>
      <w:pPr>
        <w:pStyle w:val="BodyText"/>
        <w:spacing w:before="9"/>
        <w:rPr>
          <w:sz w:val="20"/>
        </w:rPr>
      </w:pPr>
    </w:p>
    <w:p>
      <w:pPr>
        <w:pStyle w:val="ListParagraph"/>
        <w:numPr>
          <w:ilvl w:val="3"/>
          <w:numId w:val="19"/>
        </w:numPr>
        <w:tabs>
          <w:tab w:pos="1960" w:val="left" w:leader="none"/>
          <w:tab w:pos="1961" w:val="left" w:leader="none"/>
        </w:tabs>
        <w:spacing w:line="240" w:lineRule="auto" w:before="0" w:after="0"/>
        <w:ind w:left="1961" w:right="565" w:hanging="569"/>
        <w:jc w:val="left"/>
        <w:rPr>
          <w:sz w:val="22"/>
        </w:rPr>
      </w:pPr>
      <w:r>
        <w:rPr>
          <w:sz w:val="22"/>
        </w:rPr>
        <w:t>causes</w:t>
      </w:r>
      <w:r>
        <w:rPr>
          <w:spacing w:val="-3"/>
          <w:sz w:val="22"/>
        </w:rPr>
        <w:t> </w:t>
      </w:r>
      <w:r>
        <w:rPr>
          <w:sz w:val="22"/>
        </w:rPr>
        <w:t>the</w:t>
      </w:r>
      <w:r>
        <w:rPr>
          <w:spacing w:val="-2"/>
          <w:sz w:val="22"/>
        </w:rPr>
        <w:t> </w:t>
      </w:r>
      <w:r>
        <w:rPr>
          <w:sz w:val="22"/>
        </w:rPr>
        <w:t>building</w:t>
      </w:r>
      <w:r>
        <w:rPr>
          <w:spacing w:val="-2"/>
          <w:sz w:val="22"/>
        </w:rPr>
        <w:t> </w:t>
      </w:r>
      <w:r>
        <w:rPr>
          <w:sz w:val="22"/>
        </w:rPr>
        <w:t>to</w:t>
      </w:r>
      <w:r>
        <w:rPr>
          <w:spacing w:val="-4"/>
          <w:sz w:val="22"/>
        </w:rPr>
        <w:t> </w:t>
      </w:r>
      <w:r>
        <w:rPr>
          <w:sz w:val="22"/>
        </w:rPr>
        <w:t>be</w:t>
      </w:r>
      <w:r>
        <w:rPr>
          <w:spacing w:val="-4"/>
          <w:sz w:val="22"/>
        </w:rPr>
        <w:t> </w:t>
      </w:r>
      <w:r>
        <w:rPr>
          <w:sz w:val="22"/>
        </w:rPr>
        <w:t>out</w:t>
      </w:r>
      <w:r>
        <w:rPr>
          <w:spacing w:val="-4"/>
          <w:sz w:val="22"/>
        </w:rPr>
        <w:t> </w:t>
      </w:r>
      <w:r>
        <w:rPr>
          <w:sz w:val="22"/>
        </w:rPr>
        <w:t>of</w:t>
      </w:r>
      <w:r>
        <w:rPr>
          <w:spacing w:val="-3"/>
          <w:sz w:val="22"/>
        </w:rPr>
        <w:t> </w:t>
      </w:r>
      <w:r>
        <w:rPr>
          <w:sz w:val="22"/>
        </w:rPr>
        <w:t>conformity</w:t>
      </w:r>
      <w:r>
        <w:rPr>
          <w:spacing w:val="-3"/>
          <w:sz w:val="22"/>
        </w:rPr>
        <w:t> </w:t>
      </w:r>
      <w:r>
        <w:rPr>
          <w:sz w:val="22"/>
        </w:rPr>
        <w:t>with</w:t>
      </w:r>
      <w:r>
        <w:rPr>
          <w:spacing w:val="-4"/>
          <w:sz w:val="22"/>
        </w:rPr>
        <w:t> </w:t>
      </w:r>
      <w:r>
        <w:rPr>
          <w:sz w:val="22"/>
        </w:rPr>
        <w:t>the</w:t>
      </w:r>
      <w:r>
        <w:rPr>
          <w:spacing w:val="-1"/>
          <w:sz w:val="22"/>
        </w:rPr>
        <w:t> </w:t>
      </w:r>
      <w:r>
        <w:rPr>
          <w:sz w:val="22"/>
        </w:rPr>
        <w:t>visual</w:t>
      </w:r>
      <w:r>
        <w:rPr>
          <w:spacing w:val="-3"/>
          <w:sz w:val="22"/>
        </w:rPr>
        <w:t> </w:t>
      </w:r>
      <w:r>
        <w:rPr>
          <w:sz w:val="22"/>
        </w:rPr>
        <w:t>appearance</w:t>
      </w:r>
      <w:r>
        <w:rPr>
          <w:spacing w:val="-4"/>
          <w:sz w:val="22"/>
        </w:rPr>
        <w:t> </w:t>
      </w:r>
      <w:r>
        <w:rPr>
          <w:sz w:val="22"/>
        </w:rPr>
        <w:t>of</w:t>
      </w:r>
      <w:r>
        <w:rPr>
          <w:spacing w:val="-1"/>
          <w:sz w:val="22"/>
        </w:rPr>
        <w:t> </w:t>
      </w:r>
      <w:r>
        <w:rPr>
          <w:sz w:val="22"/>
        </w:rPr>
        <w:t>other</w:t>
      </w:r>
      <w:r>
        <w:rPr>
          <w:spacing w:val="-3"/>
          <w:sz w:val="22"/>
        </w:rPr>
        <w:t> </w:t>
      </w:r>
      <w:r>
        <w:rPr>
          <w:sz w:val="22"/>
        </w:rPr>
        <w:t>buildings</w:t>
      </w:r>
      <w:r>
        <w:rPr>
          <w:spacing w:val="-1"/>
          <w:sz w:val="22"/>
        </w:rPr>
        <w:t> </w:t>
      </w:r>
      <w:r>
        <w:rPr>
          <w:sz w:val="22"/>
        </w:rPr>
        <w:t>in the vicinity; or</w:t>
      </w:r>
    </w:p>
    <w:p>
      <w:pPr>
        <w:pStyle w:val="BodyText"/>
        <w:spacing w:before="11"/>
        <w:rPr>
          <w:sz w:val="20"/>
        </w:rPr>
      </w:pPr>
    </w:p>
    <w:p>
      <w:pPr>
        <w:pStyle w:val="ListParagraph"/>
        <w:numPr>
          <w:ilvl w:val="3"/>
          <w:numId w:val="19"/>
        </w:numPr>
        <w:tabs>
          <w:tab w:pos="1962" w:val="left" w:leader="none"/>
          <w:tab w:pos="1963" w:val="left" w:leader="none"/>
        </w:tabs>
        <w:spacing w:line="240" w:lineRule="auto" w:before="0" w:after="0"/>
        <w:ind w:left="1962" w:right="0" w:hanging="571"/>
        <w:jc w:val="left"/>
        <w:rPr>
          <w:sz w:val="22"/>
        </w:rPr>
      </w:pPr>
      <w:r>
        <w:rPr>
          <w:sz w:val="22"/>
        </w:rPr>
        <w:t>is</w:t>
      </w:r>
      <w:r>
        <w:rPr>
          <w:spacing w:val="-1"/>
          <w:sz w:val="22"/>
        </w:rPr>
        <w:t> </w:t>
      </w:r>
      <w:r>
        <w:rPr>
          <w:sz w:val="22"/>
        </w:rPr>
        <w:t>declared</w:t>
      </w:r>
      <w:r>
        <w:rPr>
          <w:spacing w:val="-2"/>
          <w:sz w:val="22"/>
        </w:rPr>
        <w:t> </w:t>
      </w:r>
      <w:r>
        <w:rPr>
          <w:sz w:val="22"/>
        </w:rPr>
        <w:t>in</w:t>
      </w:r>
      <w:r>
        <w:rPr>
          <w:spacing w:val="-3"/>
          <w:sz w:val="22"/>
        </w:rPr>
        <w:t> </w:t>
      </w:r>
      <w:r>
        <w:rPr>
          <w:sz w:val="22"/>
        </w:rPr>
        <w:t>writing</w:t>
      </w:r>
      <w:r>
        <w:rPr>
          <w:spacing w:val="-2"/>
          <w:sz w:val="22"/>
        </w:rPr>
        <w:t> </w:t>
      </w:r>
      <w:r>
        <w:rPr>
          <w:sz w:val="22"/>
        </w:rPr>
        <w:t>by</w:t>
      </w:r>
      <w:r>
        <w:rPr>
          <w:spacing w:val="-6"/>
          <w:sz w:val="22"/>
        </w:rPr>
        <w:t> </w:t>
      </w:r>
      <w:r>
        <w:rPr>
          <w:sz w:val="22"/>
        </w:rPr>
        <w:t>an</w:t>
      </w:r>
      <w:r>
        <w:rPr>
          <w:spacing w:val="-2"/>
          <w:sz w:val="22"/>
        </w:rPr>
        <w:t> </w:t>
      </w:r>
      <w:r>
        <w:rPr>
          <w:sz w:val="22"/>
        </w:rPr>
        <w:t>Authorised</w:t>
      </w:r>
      <w:r>
        <w:rPr>
          <w:spacing w:val="-6"/>
          <w:sz w:val="22"/>
        </w:rPr>
        <w:t> </w:t>
      </w:r>
      <w:r>
        <w:rPr>
          <w:sz w:val="22"/>
        </w:rPr>
        <w:t>Officer</w:t>
      </w:r>
      <w:r>
        <w:rPr>
          <w:spacing w:val="-2"/>
          <w:sz w:val="22"/>
        </w:rPr>
        <w:t> </w:t>
      </w:r>
      <w:r>
        <w:rPr>
          <w:sz w:val="22"/>
        </w:rPr>
        <w:t>to</w:t>
      </w:r>
      <w:r>
        <w:rPr>
          <w:spacing w:val="-3"/>
          <w:sz w:val="22"/>
        </w:rPr>
        <w:t> </w:t>
      </w:r>
      <w:r>
        <w:rPr>
          <w:sz w:val="22"/>
        </w:rPr>
        <w:t>be</w:t>
      </w:r>
      <w:r>
        <w:rPr>
          <w:spacing w:val="-3"/>
          <w:sz w:val="22"/>
        </w:rPr>
        <w:t> </w:t>
      </w:r>
      <w:r>
        <w:rPr>
          <w:sz w:val="22"/>
        </w:rPr>
        <w:t>unsafe;</w:t>
      </w:r>
      <w:r>
        <w:rPr>
          <w:spacing w:val="-2"/>
          <w:sz w:val="22"/>
        </w:rPr>
        <w:t> </w:t>
      </w:r>
      <w:r>
        <w:rPr>
          <w:spacing w:val="-5"/>
          <w:sz w:val="22"/>
        </w:rPr>
        <w:t>and</w:t>
      </w:r>
    </w:p>
    <w:p>
      <w:pPr>
        <w:pStyle w:val="BodyText"/>
        <w:spacing w:before="9"/>
        <w:rPr>
          <w:sz w:val="20"/>
        </w:rPr>
      </w:pPr>
    </w:p>
    <w:p>
      <w:pPr>
        <w:pStyle w:val="ListParagraph"/>
        <w:numPr>
          <w:ilvl w:val="1"/>
          <w:numId w:val="19"/>
        </w:numPr>
        <w:tabs>
          <w:tab w:pos="827" w:val="left" w:leader="none"/>
          <w:tab w:pos="828" w:val="left" w:leader="none"/>
        </w:tabs>
        <w:spacing w:line="240" w:lineRule="auto" w:before="0" w:after="0"/>
        <w:ind w:left="827" w:right="0" w:hanging="568"/>
        <w:jc w:val="left"/>
        <w:rPr>
          <w:sz w:val="22"/>
        </w:rPr>
      </w:pPr>
      <w:r>
        <w:rPr>
          <w:sz w:val="22"/>
        </w:rPr>
        <w:t>The</w:t>
      </w:r>
      <w:r>
        <w:rPr>
          <w:spacing w:val="-4"/>
          <w:sz w:val="22"/>
        </w:rPr>
        <w:t> </w:t>
      </w:r>
      <w:r>
        <w:rPr>
          <w:sz w:val="22"/>
        </w:rPr>
        <w:t>grounds</w:t>
      </w:r>
      <w:r>
        <w:rPr>
          <w:spacing w:val="-3"/>
          <w:sz w:val="22"/>
        </w:rPr>
        <w:t> </w:t>
      </w:r>
      <w:r>
        <w:rPr>
          <w:sz w:val="22"/>
        </w:rPr>
        <w:t>in</w:t>
      </w:r>
      <w:r>
        <w:rPr>
          <w:spacing w:val="-4"/>
          <w:sz w:val="22"/>
        </w:rPr>
        <w:t> </w:t>
      </w:r>
      <w:r>
        <w:rPr>
          <w:sz w:val="22"/>
        </w:rPr>
        <w:t>the</w:t>
      </w:r>
      <w:r>
        <w:rPr>
          <w:spacing w:val="-2"/>
          <w:sz w:val="22"/>
        </w:rPr>
        <w:t> </w:t>
      </w:r>
      <w:r>
        <w:rPr>
          <w:sz w:val="22"/>
        </w:rPr>
        <w:t>notice</w:t>
      </w:r>
      <w:r>
        <w:rPr>
          <w:spacing w:val="-3"/>
          <w:sz w:val="22"/>
        </w:rPr>
        <w:t> </w:t>
      </w:r>
      <w:r>
        <w:rPr>
          <w:sz w:val="22"/>
        </w:rPr>
        <w:t>to</w:t>
      </w:r>
      <w:r>
        <w:rPr>
          <w:spacing w:val="-5"/>
          <w:sz w:val="22"/>
        </w:rPr>
        <w:t> </w:t>
      </w:r>
      <w:r>
        <w:rPr>
          <w:sz w:val="22"/>
        </w:rPr>
        <w:t>comply</w:t>
      </w:r>
      <w:r>
        <w:rPr>
          <w:spacing w:val="-4"/>
          <w:sz w:val="22"/>
        </w:rPr>
        <w:t> </w:t>
      </w:r>
      <w:r>
        <w:rPr>
          <w:sz w:val="22"/>
        </w:rPr>
        <w:t>have</w:t>
      </w:r>
      <w:r>
        <w:rPr>
          <w:spacing w:val="-3"/>
          <w:sz w:val="22"/>
        </w:rPr>
        <w:t> </w:t>
      </w:r>
      <w:r>
        <w:rPr>
          <w:sz w:val="22"/>
        </w:rPr>
        <w:t>not</w:t>
      </w:r>
      <w:r>
        <w:rPr>
          <w:spacing w:val="-1"/>
          <w:sz w:val="22"/>
        </w:rPr>
        <w:t> </w:t>
      </w:r>
      <w:r>
        <w:rPr>
          <w:sz w:val="22"/>
        </w:rPr>
        <w:t>been</w:t>
      </w:r>
      <w:r>
        <w:rPr>
          <w:spacing w:val="-2"/>
          <w:sz w:val="22"/>
        </w:rPr>
        <w:t> </w:t>
      </w:r>
      <w:r>
        <w:rPr>
          <w:sz w:val="22"/>
        </w:rPr>
        <w:t>addressed</w:t>
      </w:r>
      <w:r>
        <w:rPr>
          <w:spacing w:val="-7"/>
          <w:sz w:val="22"/>
        </w:rPr>
        <w:t> </w:t>
      </w:r>
      <w:r>
        <w:rPr>
          <w:sz w:val="22"/>
        </w:rPr>
        <w:t>to</w:t>
      </w:r>
      <w:r>
        <w:rPr>
          <w:spacing w:val="-3"/>
          <w:sz w:val="22"/>
        </w:rPr>
        <w:t> </w:t>
      </w:r>
      <w:r>
        <w:rPr>
          <w:sz w:val="22"/>
        </w:rPr>
        <w:t>Council’s</w:t>
      </w:r>
      <w:r>
        <w:rPr>
          <w:spacing w:val="-1"/>
          <w:sz w:val="22"/>
        </w:rPr>
        <w:t> </w:t>
      </w:r>
      <w:r>
        <w:rPr>
          <w:spacing w:val="-2"/>
          <w:sz w:val="22"/>
        </w:rPr>
        <w:t>satisfaction.</w:t>
      </w:r>
    </w:p>
    <w:p>
      <w:pPr>
        <w:spacing w:after="0" w:line="240" w:lineRule="auto"/>
        <w:jc w:val="left"/>
        <w:rPr>
          <w:sz w:val="22"/>
        </w:rPr>
        <w:sectPr>
          <w:pgSz w:w="11910" w:h="16840"/>
          <w:pgMar w:header="0" w:footer="426" w:top="620" w:bottom="740" w:left="460" w:right="160"/>
        </w:sectPr>
      </w:pPr>
    </w:p>
    <w:p>
      <w:pPr>
        <w:pStyle w:val="ListParagraph"/>
        <w:numPr>
          <w:ilvl w:val="1"/>
          <w:numId w:val="19"/>
        </w:numPr>
        <w:tabs>
          <w:tab w:pos="827" w:val="left" w:leader="none"/>
          <w:tab w:pos="828" w:val="left" w:leader="none"/>
        </w:tabs>
        <w:spacing w:line="240" w:lineRule="auto" w:before="81" w:after="0"/>
        <w:ind w:left="827" w:right="0" w:hanging="568"/>
        <w:jc w:val="left"/>
        <w:rPr>
          <w:sz w:val="22"/>
        </w:rPr>
      </w:pPr>
      <w:r>
        <w:rPr>
          <w:sz w:val="22"/>
        </w:rPr>
        <w:t>For</w:t>
      </w:r>
      <w:r>
        <w:rPr>
          <w:spacing w:val="-2"/>
          <w:sz w:val="22"/>
        </w:rPr>
        <w:t> </w:t>
      </w:r>
      <w:r>
        <w:rPr>
          <w:sz w:val="22"/>
        </w:rPr>
        <w:t>the</w:t>
      </w:r>
      <w:r>
        <w:rPr>
          <w:spacing w:val="-2"/>
          <w:sz w:val="22"/>
        </w:rPr>
        <w:t> </w:t>
      </w:r>
      <w:r>
        <w:rPr>
          <w:sz w:val="22"/>
        </w:rPr>
        <w:t>purposes</w:t>
      </w:r>
      <w:r>
        <w:rPr>
          <w:spacing w:val="-3"/>
          <w:sz w:val="22"/>
        </w:rPr>
        <w:t> </w:t>
      </w:r>
      <w:r>
        <w:rPr>
          <w:sz w:val="22"/>
        </w:rPr>
        <w:t>of</w:t>
      </w:r>
      <w:r>
        <w:rPr>
          <w:spacing w:val="-2"/>
          <w:sz w:val="22"/>
        </w:rPr>
        <w:t> </w:t>
      </w:r>
      <w:r>
        <w:rPr>
          <w:sz w:val="22"/>
        </w:rPr>
        <w:t>this</w:t>
      </w:r>
      <w:r>
        <w:rPr>
          <w:spacing w:val="-3"/>
          <w:sz w:val="22"/>
        </w:rPr>
        <w:t> </w:t>
      </w:r>
      <w:r>
        <w:rPr>
          <w:spacing w:val="-2"/>
          <w:sz w:val="22"/>
        </w:rPr>
        <w:t>section:</w:t>
      </w:r>
    </w:p>
    <w:p>
      <w:pPr>
        <w:pStyle w:val="BodyText"/>
        <w:spacing w:before="9"/>
        <w:rPr>
          <w:sz w:val="20"/>
        </w:rPr>
      </w:pPr>
    </w:p>
    <w:p>
      <w:pPr>
        <w:pStyle w:val="ListParagraph"/>
        <w:numPr>
          <w:ilvl w:val="2"/>
          <w:numId w:val="19"/>
        </w:numPr>
        <w:tabs>
          <w:tab w:pos="1393" w:val="left" w:leader="none"/>
        </w:tabs>
        <w:spacing w:line="240" w:lineRule="auto" w:before="0" w:after="0"/>
        <w:ind w:left="1392" w:right="556" w:hanging="567"/>
        <w:jc w:val="both"/>
        <w:rPr>
          <w:sz w:val="22"/>
        </w:rPr>
      </w:pPr>
      <w:r>
        <w:rPr>
          <w:sz w:val="22"/>
        </w:rPr>
        <w:t>“Land” includes all land within Council’s municipality, including land with or (where relevant) without structures or buildings on it, in any zone, used for any purpose, other than land that is Vacant Land, Industrial Land, Commercial Land, Cultural and Recreational Land.</w:t>
      </w:r>
    </w:p>
    <w:p>
      <w:pPr>
        <w:pStyle w:val="BodyText"/>
        <w:spacing w:before="1"/>
        <w:rPr>
          <w:sz w:val="21"/>
        </w:rPr>
      </w:pPr>
    </w:p>
    <w:p>
      <w:pPr>
        <w:pStyle w:val="ListParagraph"/>
        <w:numPr>
          <w:ilvl w:val="2"/>
          <w:numId w:val="19"/>
        </w:numPr>
        <w:tabs>
          <w:tab w:pos="1393" w:val="left" w:leader="none"/>
        </w:tabs>
        <w:spacing w:line="240" w:lineRule="auto" w:before="0" w:after="0"/>
        <w:ind w:left="1392" w:right="555" w:hanging="567"/>
        <w:jc w:val="both"/>
        <w:rPr>
          <w:sz w:val="22"/>
        </w:rPr>
      </w:pPr>
      <w:r>
        <w:rPr>
          <w:sz w:val="22"/>
        </w:rPr>
        <w:t>“Authorised</w:t>
      </w:r>
      <w:r>
        <w:rPr>
          <w:spacing w:val="-2"/>
          <w:sz w:val="22"/>
        </w:rPr>
        <w:t> </w:t>
      </w:r>
      <w:r>
        <w:rPr>
          <w:sz w:val="22"/>
        </w:rPr>
        <w:t>Officer”</w:t>
      </w:r>
      <w:r>
        <w:rPr>
          <w:spacing w:val="-1"/>
          <w:sz w:val="22"/>
        </w:rPr>
        <w:t> </w:t>
      </w:r>
      <w:r>
        <w:rPr>
          <w:sz w:val="22"/>
        </w:rPr>
        <w:t>means an officer appointed by Council as an Authorised Officer under</w:t>
      </w:r>
      <w:r>
        <w:rPr>
          <w:spacing w:val="-1"/>
          <w:sz w:val="22"/>
        </w:rPr>
        <w:t> </w:t>
      </w:r>
      <w:r>
        <w:rPr>
          <w:sz w:val="22"/>
        </w:rPr>
        <w:t>s124 of the Local Government Act 2020.</w:t>
      </w:r>
    </w:p>
    <w:p>
      <w:pPr>
        <w:pStyle w:val="BodyText"/>
        <w:spacing w:before="8"/>
        <w:rPr>
          <w:sz w:val="20"/>
        </w:rPr>
      </w:pPr>
    </w:p>
    <w:p>
      <w:pPr>
        <w:pStyle w:val="ListParagraph"/>
        <w:numPr>
          <w:ilvl w:val="2"/>
          <w:numId w:val="19"/>
        </w:numPr>
        <w:tabs>
          <w:tab w:pos="1394" w:val="left" w:leader="none"/>
        </w:tabs>
        <w:spacing w:line="240" w:lineRule="auto" w:before="0" w:after="0"/>
        <w:ind w:left="1392" w:right="556" w:hanging="567"/>
        <w:jc w:val="both"/>
        <w:rPr>
          <w:sz w:val="22"/>
        </w:rPr>
      </w:pPr>
      <w:r>
        <w:rPr>
          <w:sz w:val="22"/>
        </w:rPr>
        <w:t>Local Law means the Maroondah City Council Local Law no. 11 as amended or replaced from time to time.</w:t>
      </w:r>
    </w:p>
    <w:p>
      <w:pPr>
        <w:pStyle w:val="BodyText"/>
        <w:spacing w:before="2"/>
      </w:pPr>
    </w:p>
    <w:p>
      <w:pPr>
        <w:pStyle w:val="Heading5"/>
        <w:spacing w:line="252" w:lineRule="exact"/>
      </w:pPr>
      <w:r>
        <w:rPr>
          <w:spacing w:val="-2"/>
        </w:rPr>
        <w:t>Objective:</w:t>
      </w:r>
    </w:p>
    <w:p>
      <w:pPr>
        <w:pStyle w:val="BodyText"/>
        <w:ind w:left="260" w:right="376"/>
      </w:pPr>
      <w:r>
        <w:rPr/>
        <w:t>To</w:t>
      </w:r>
      <w:r>
        <w:rPr>
          <w:spacing w:val="-4"/>
        </w:rPr>
        <w:t> </w:t>
      </w:r>
      <w:r>
        <w:rPr/>
        <w:t>ensure</w:t>
      </w:r>
      <w:r>
        <w:rPr>
          <w:spacing w:val="-4"/>
        </w:rPr>
        <w:t> </w:t>
      </w:r>
      <w:r>
        <w:rPr/>
        <w:t>that</w:t>
      </w:r>
      <w:r>
        <w:rPr>
          <w:spacing w:val="-4"/>
        </w:rPr>
        <w:t> </w:t>
      </w:r>
      <w:r>
        <w:rPr/>
        <w:t>the</w:t>
      </w:r>
      <w:r>
        <w:rPr>
          <w:spacing w:val="-3"/>
        </w:rPr>
        <w:t> </w:t>
      </w:r>
      <w:r>
        <w:rPr/>
        <w:t>incidence of</w:t>
      </w:r>
      <w:r>
        <w:rPr>
          <w:spacing w:val="-4"/>
        </w:rPr>
        <w:t> </w:t>
      </w:r>
      <w:r>
        <w:rPr/>
        <w:t>dilapidated</w:t>
      </w:r>
      <w:r>
        <w:rPr>
          <w:spacing w:val="-2"/>
        </w:rPr>
        <w:t> </w:t>
      </w:r>
      <w:r>
        <w:rPr/>
        <w:t>properties</w:t>
      </w:r>
      <w:r>
        <w:rPr>
          <w:spacing w:val="-4"/>
        </w:rPr>
        <w:t> </w:t>
      </w:r>
      <w:r>
        <w:rPr/>
        <w:t>reduce</w:t>
      </w:r>
      <w:r>
        <w:rPr>
          <w:spacing w:val="-3"/>
        </w:rPr>
        <w:t> </w:t>
      </w:r>
      <w:r>
        <w:rPr/>
        <w:t>in</w:t>
      </w:r>
      <w:r>
        <w:rPr>
          <w:spacing w:val="-4"/>
        </w:rPr>
        <w:t> </w:t>
      </w:r>
      <w:r>
        <w:rPr/>
        <w:t>the</w:t>
      </w:r>
      <w:r>
        <w:rPr>
          <w:spacing w:val="-3"/>
        </w:rPr>
        <w:t> </w:t>
      </w:r>
      <w:r>
        <w:rPr/>
        <w:t>municipality</w:t>
      </w:r>
      <w:r>
        <w:rPr>
          <w:spacing w:val="-2"/>
        </w:rPr>
        <w:t> </w:t>
      </w:r>
      <w:r>
        <w:rPr/>
        <w:t>and</w:t>
      </w:r>
      <w:r>
        <w:rPr>
          <w:spacing w:val="-3"/>
        </w:rPr>
        <w:t> </w:t>
      </w:r>
      <w:r>
        <w:rPr/>
        <w:t>all</w:t>
      </w:r>
      <w:r>
        <w:rPr>
          <w:spacing w:val="-2"/>
        </w:rPr>
        <w:t> </w:t>
      </w:r>
      <w:r>
        <w:rPr/>
        <w:t>rateable</w:t>
      </w:r>
      <w:r>
        <w:rPr>
          <w:spacing w:val="-6"/>
        </w:rPr>
        <w:t> </w:t>
      </w:r>
      <w:r>
        <w:rPr/>
        <w:t>land</w:t>
      </w:r>
      <w:r>
        <w:rPr>
          <w:spacing w:val="-4"/>
        </w:rPr>
        <w:t> </w:t>
      </w:r>
      <w:r>
        <w:rPr/>
        <w:t>makes an equitable financial contribution to the cost of carrying out the functions of Council, including the:</w:t>
      </w:r>
    </w:p>
    <w:p>
      <w:pPr>
        <w:pStyle w:val="BodyText"/>
        <w:spacing w:before="10"/>
        <w:rPr>
          <w:sz w:val="21"/>
        </w:rPr>
      </w:pPr>
    </w:p>
    <w:p>
      <w:pPr>
        <w:pStyle w:val="ListParagraph"/>
        <w:numPr>
          <w:ilvl w:val="0"/>
          <w:numId w:val="20"/>
        </w:numPr>
        <w:tabs>
          <w:tab w:pos="826" w:val="left" w:leader="none"/>
          <w:tab w:pos="827" w:val="left" w:leader="none"/>
        </w:tabs>
        <w:spacing w:line="240" w:lineRule="auto" w:before="0" w:after="0"/>
        <w:ind w:left="827" w:right="0" w:hanging="567"/>
        <w:jc w:val="left"/>
        <w:rPr>
          <w:sz w:val="22"/>
        </w:rPr>
      </w:pPr>
      <w:r>
        <w:rPr>
          <w:sz w:val="22"/>
        </w:rPr>
        <w:t>Encouragement</w:t>
      </w:r>
      <w:r>
        <w:rPr>
          <w:spacing w:val="-5"/>
          <w:sz w:val="22"/>
        </w:rPr>
        <w:t> </w:t>
      </w:r>
      <w:r>
        <w:rPr>
          <w:sz w:val="22"/>
        </w:rPr>
        <w:t>of</w:t>
      </w:r>
      <w:r>
        <w:rPr>
          <w:spacing w:val="-5"/>
          <w:sz w:val="22"/>
        </w:rPr>
        <w:t> </w:t>
      </w:r>
      <w:r>
        <w:rPr>
          <w:sz w:val="22"/>
        </w:rPr>
        <w:t>development/and</w:t>
      </w:r>
      <w:r>
        <w:rPr>
          <w:spacing w:val="-5"/>
          <w:sz w:val="22"/>
        </w:rPr>
        <w:t> </w:t>
      </w:r>
      <w:r>
        <w:rPr>
          <w:sz w:val="22"/>
        </w:rPr>
        <w:t>or</w:t>
      </w:r>
      <w:r>
        <w:rPr>
          <w:spacing w:val="-6"/>
          <w:sz w:val="22"/>
        </w:rPr>
        <w:t> </w:t>
      </w:r>
      <w:r>
        <w:rPr>
          <w:sz w:val="22"/>
        </w:rPr>
        <w:t>improvement</w:t>
      </w:r>
      <w:r>
        <w:rPr>
          <w:spacing w:val="-5"/>
          <w:sz w:val="22"/>
        </w:rPr>
        <w:t> </w:t>
      </w:r>
      <w:r>
        <w:rPr>
          <w:sz w:val="22"/>
        </w:rPr>
        <w:t>of</w:t>
      </w:r>
      <w:r>
        <w:rPr>
          <w:spacing w:val="-4"/>
          <w:sz w:val="22"/>
        </w:rPr>
        <w:t> </w:t>
      </w:r>
      <w:r>
        <w:rPr>
          <w:sz w:val="22"/>
        </w:rPr>
        <w:t>land;</w:t>
      </w:r>
      <w:r>
        <w:rPr>
          <w:spacing w:val="-8"/>
          <w:sz w:val="22"/>
        </w:rPr>
        <w:t> </w:t>
      </w:r>
      <w:r>
        <w:rPr>
          <w:spacing w:val="-5"/>
          <w:sz w:val="22"/>
        </w:rPr>
        <w:t>and</w:t>
      </w:r>
    </w:p>
    <w:p>
      <w:pPr>
        <w:pStyle w:val="ListParagraph"/>
        <w:numPr>
          <w:ilvl w:val="0"/>
          <w:numId w:val="20"/>
        </w:numPr>
        <w:tabs>
          <w:tab w:pos="826" w:val="left" w:leader="none"/>
          <w:tab w:pos="827" w:val="left" w:leader="none"/>
        </w:tabs>
        <w:spacing w:line="252" w:lineRule="exact" w:before="2" w:after="0"/>
        <w:ind w:left="827" w:right="0" w:hanging="567"/>
        <w:jc w:val="left"/>
        <w:rPr>
          <w:sz w:val="22"/>
        </w:rPr>
      </w:pPr>
      <w:r>
        <w:rPr>
          <w:sz w:val="22"/>
        </w:rPr>
        <w:t>Construction</w:t>
      </w:r>
      <w:r>
        <w:rPr>
          <w:spacing w:val="-4"/>
          <w:sz w:val="22"/>
        </w:rPr>
        <w:t> </w:t>
      </w:r>
      <w:r>
        <w:rPr>
          <w:sz w:val="22"/>
        </w:rPr>
        <w:t>and</w:t>
      </w:r>
      <w:r>
        <w:rPr>
          <w:spacing w:val="-7"/>
          <w:sz w:val="22"/>
        </w:rPr>
        <w:t> </w:t>
      </w:r>
      <w:r>
        <w:rPr>
          <w:sz w:val="22"/>
        </w:rPr>
        <w:t>maintenance</w:t>
      </w:r>
      <w:r>
        <w:rPr>
          <w:spacing w:val="-5"/>
          <w:sz w:val="22"/>
        </w:rPr>
        <w:t> </w:t>
      </w:r>
      <w:r>
        <w:rPr>
          <w:sz w:val="22"/>
        </w:rPr>
        <w:t>of</w:t>
      </w:r>
      <w:r>
        <w:rPr>
          <w:spacing w:val="-5"/>
          <w:sz w:val="22"/>
        </w:rPr>
        <w:t> </w:t>
      </w:r>
      <w:r>
        <w:rPr>
          <w:sz w:val="22"/>
        </w:rPr>
        <w:t>public</w:t>
      </w:r>
      <w:r>
        <w:rPr>
          <w:spacing w:val="-5"/>
          <w:sz w:val="22"/>
        </w:rPr>
        <w:t> </w:t>
      </w:r>
      <w:r>
        <w:rPr>
          <w:sz w:val="22"/>
        </w:rPr>
        <w:t>infrastructure:</w:t>
      </w:r>
      <w:r>
        <w:rPr>
          <w:spacing w:val="-5"/>
          <w:sz w:val="22"/>
        </w:rPr>
        <w:t> and</w:t>
      </w:r>
    </w:p>
    <w:p>
      <w:pPr>
        <w:pStyle w:val="ListParagraph"/>
        <w:numPr>
          <w:ilvl w:val="0"/>
          <w:numId w:val="20"/>
        </w:numPr>
        <w:tabs>
          <w:tab w:pos="826" w:val="left" w:leader="none"/>
          <w:tab w:pos="827" w:val="left" w:leader="none"/>
        </w:tabs>
        <w:spacing w:line="252" w:lineRule="exact" w:before="0" w:after="0"/>
        <w:ind w:left="827" w:right="0" w:hanging="567"/>
        <w:jc w:val="left"/>
        <w:rPr>
          <w:sz w:val="22"/>
        </w:rPr>
      </w:pPr>
      <w:r>
        <w:rPr>
          <w:sz w:val="22"/>
        </w:rPr>
        <w:t>Development</w:t>
      </w:r>
      <w:r>
        <w:rPr>
          <w:spacing w:val="-3"/>
          <w:sz w:val="22"/>
        </w:rPr>
        <w:t> </w:t>
      </w:r>
      <w:r>
        <w:rPr>
          <w:sz w:val="22"/>
        </w:rPr>
        <w:t>and</w:t>
      </w:r>
      <w:r>
        <w:rPr>
          <w:spacing w:val="-7"/>
          <w:sz w:val="22"/>
        </w:rPr>
        <w:t> </w:t>
      </w:r>
      <w:r>
        <w:rPr>
          <w:sz w:val="22"/>
        </w:rPr>
        <w:t>provision</w:t>
      </w:r>
      <w:r>
        <w:rPr>
          <w:spacing w:val="-4"/>
          <w:sz w:val="22"/>
        </w:rPr>
        <w:t> </w:t>
      </w:r>
      <w:r>
        <w:rPr>
          <w:sz w:val="22"/>
        </w:rPr>
        <w:t>of</w:t>
      </w:r>
      <w:r>
        <w:rPr>
          <w:spacing w:val="-4"/>
          <w:sz w:val="22"/>
        </w:rPr>
        <w:t> </w:t>
      </w:r>
      <w:r>
        <w:rPr>
          <w:sz w:val="22"/>
        </w:rPr>
        <w:t>health</w:t>
      </w:r>
      <w:r>
        <w:rPr>
          <w:spacing w:val="-3"/>
          <w:sz w:val="22"/>
        </w:rPr>
        <w:t> </w:t>
      </w:r>
      <w:r>
        <w:rPr>
          <w:sz w:val="22"/>
        </w:rPr>
        <w:t>and</w:t>
      </w:r>
      <w:r>
        <w:rPr>
          <w:spacing w:val="-6"/>
          <w:sz w:val="22"/>
        </w:rPr>
        <w:t> </w:t>
      </w:r>
      <w:r>
        <w:rPr>
          <w:sz w:val="22"/>
        </w:rPr>
        <w:t>community</w:t>
      </w:r>
      <w:r>
        <w:rPr>
          <w:spacing w:val="-3"/>
          <w:sz w:val="22"/>
        </w:rPr>
        <w:t> </w:t>
      </w:r>
      <w:r>
        <w:rPr>
          <w:sz w:val="22"/>
        </w:rPr>
        <w:t>services;</w:t>
      </w:r>
      <w:r>
        <w:rPr>
          <w:spacing w:val="-3"/>
          <w:sz w:val="22"/>
        </w:rPr>
        <w:t> </w:t>
      </w:r>
      <w:r>
        <w:rPr>
          <w:spacing w:val="-5"/>
          <w:sz w:val="22"/>
        </w:rPr>
        <w:t>and</w:t>
      </w:r>
    </w:p>
    <w:p>
      <w:pPr>
        <w:pStyle w:val="ListParagraph"/>
        <w:numPr>
          <w:ilvl w:val="0"/>
          <w:numId w:val="20"/>
        </w:numPr>
        <w:tabs>
          <w:tab w:pos="826" w:val="left" w:leader="none"/>
          <w:tab w:pos="827" w:val="left" w:leader="none"/>
        </w:tabs>
        <w:spacing w:line="240" w:lineRule="auto" w:before="1" w:after="0"/>
        <w:ind w:left="827" w:right="0" w:hanging="567"/>
        <w:jc w:val="left"/>
        <w:rPr>
          <w:sz w:val="22"/>
        </w:rPr>
      </w:pPr>
      <w:r>
        <w:rPr>
          <w:sz w:val="22"/>
        </w:rPr>
        <w:t>Provision</w:t>
      </w:r>
      <w:r>
        <w:rPr>
          <w:spacing w:val="-4"/>
          <w:sz w:val="22"/>
        </w:rPr>
        <w:t> </w:t>
      </w:r>
      <w:r>
        <w:rPr>
          <w:sz w:val="22"/>
        </w:rPr>
        <w:t>of</w:t>
      </w:r>
      <w:r>
        <w:rPr>
          <w:spacing w:val="-3"/>
          <w:sz w:val="22"/>
        </w:rPr>
        <w:t> </w:t>
      </w:r>
      <w:r>
        <w:rPr>
          <w:sz w:val="22"/>
        </w:rPr>
        <w:t>general</w:t>
      </w:r>
      <w:r>
        <w:rPr>
          <w:spacing w:val="-3"/>
          <w:sz w:val="22"/>
        </w:rPr>
        <w:t> </w:t>
      </w:r>
      <w:r>
        <w:rPr>
          <w:sz w:val="22"/>
        </w:rPr>
        <w:t>support</w:t>
      </w:r>
      <w:r>
        <w:rPr>
          <w:spacing w:val="-4"/>
          <w:sz w:val="22"/>
        </w:rPr>
        <w:t> </w:t>
      </w:r>
      <w:r>
        <w:rPr>
          <w:spacing w:val="-2"/>
          <w:sz w:val="22"/>
        </w:rPr>
        <w:t>services.</w:t>
      </w:r>
    </w:p>
    <w:p>
      <w:pPr>
        <w:pStyle w:val="BodyText"/>
        <w:spacing w:before="9"/>
        <w:rPr>
          <w:sz w:val="21"/>
        </w:rPr>
      </w:pPr>
    </w:p>
    <w:p>
      <w:pPr>
        <w:pStyle w:val="Heading5"/>
        <w:spacing w:before="1"/>
      </w:pPr>
      <w:r>
        <w:rPr/>
        <w:t>Types</w:t>
      </w:r>
      <w:r>
        <w:rPr>
          <w:spacing w:val="-2"/>
        </w:rPr>
        <w:t> </w:t>
      </w:r>
      <w:r>
        <w:rPr/>
        <w:t>and</w:t>
      </w:r>
      <w:r>
        <w:rPr>
          <w:spacing w:val="-1"/>
        </w:rPr>
        <w:t> </w:t>
      </w:r>
      <w:r>
        <w:rPr>
          <w:spacing w:val="-2"/>
        </w:rPr>
        <w:t>Classes:</w:t>
      </w:r>
    </w:p>
    <w:p>
      <w:pPr>
        <w:pStyle w:val="BodyText"/>
        <w:spacing w:before="1"/>
        <w:ind w:left="260"/>
      </w:pPr>
      <w:r>
        <w:rPr/>
        <w:t>Rateable</w:t>
      </w:r>
      <w:r>
        <w:rPr>
          <w:spacing w:val="-7"/>
        </w:rPr>
        <w:t> </w:t>
      </w:r>
      <w:r>
        <w:rPr/>
        <w:t>land</w:t>
      </w:r>
      <w:r>
        <w:rPr>
          <w:spacing w:val="-3"/>
        </w:rPr>
        <w:t> </w:t>
      </w:r>
      <w:r>
        <w:rPr/>
        <w:t>having</w:t>
      </w:r>
      <w:r>
        <w:rPr>
          <w:spacing w:val="-4"/>
        </w:rPr>
        <w:t> </w:t>
      </w:r>
      <w:r>
        <w:rPr/>
        <w:t>the</w:t>
      </w:r>
      <w:r>
        <w:rPr>
          <w:spacing w:val="-4"/>
        </w:rPr>
        <w:t> </w:t>
      </w:r>
      <w:r>
        <w:rPr/>
        <w:t>relevant</w:t>
      </w:r>
      <w:r>
        <w:rPr>
          <w:spacing w:val="-2"/>
        </w:rPr>
        <w:t> </w:t>
      </w:r>
      <w:r>
        <w:rPr/>
        <w:t>characteristics</w:t>
      </w:r>
      <w:r>
        <w:rPr>
          <w:spacing w:val="-6"/>
        </w:rPr>
        <w:t> </w:t>
      </w:r>
      <w:r>
        <w:rPr/>
        <w:t>described</w:t>
      </w:r>
      <w:r>
        <w:rPr>
          <w:spacing w:val="-3"/>
        </w:rPr>
        <w:t> </w:t>
      </w:r>
      <w:r>
        <w:rPr/>
        <w:t>in</w:t>
      </w:r>
      <w:r>
        <w:rPr>
          <w:spacing w:val="-5"/>
        </w:rPr>
        <w:t> </w:t>
      </w:r>
      <w:r>
        <w:rPr/>
        <w:t>the</w:t>
      </w:r>
      <w:r>
        <w:rPr>
          <w:spacing w:val="-1"/>
        </w:rPr>
        <w:t> </w:t>
      </w:r>
      <w:r>
        <w:rPr>
          <w:spacing w:val="-2"/>
        </w:rPr>
        <w:t>definition/characteristics.</w:t>
      </w:r>
    </w:p>
    <w:p>
      <w:pPr>
        <w:pStyle w:val="BodyText"/>
      </w:pPr>
    </w:p>
    <w:p>
      <w:pPr>
        <w:pStyle w:val="Heading5"/>
        <w:spacing w:line="252" w:lineRule="exact"/>
        <w:jc w:val="both"/>
      </w:pPr>
      <w:r>
        <w:rPr/>
        <w:t>Use</w:t>
      </w:r>
      <w:r>
        <w:rPr>
          <w:spacing w:val="-2"/>
        </w:rPr>
        <w:t> </w:t>
      </w:r>
      <w:r>
        <w:rPr/>
        <w:t>and</w:t>
      </w:r>
      <w:r>
        <w:rPr>
          <w:spacing w:val="-3"/>
        </w:rPr>
        <w:t> </w:t>
      </w:r>
      <w:r>
        <w:rPr/>
        <w:t>Level</w:t>
      </w:r>
      <w:r>
        <w:rPr>
          <w:spacing w:val="-5"/>
        </w:rPr>
        <w:t> </w:t>
      </w:r>
      <w:r>
        <w:rPr/>
        <w:t>of</w:t>
      </w:r>
      <w:r>
        <w:rPr>
          <w:spacing w:val="-6"/>
        </w:rPr>
        <w:t> </w:t>
      </w:r>
      <w:r>
        <w:rPr/>
        <w:t>Differential </w:t>
      </w:r>
      <w:r>
        <w:rPr>
          <w:spacing w:val="-4"/>
        </w:rPr>
        <w:t>Rate:</w:t>
      </w:r>
    </w:p>
    <w:p>
      <w:pPr>
        <w:pStyle w:val="BodyText"/>
        <w:ind w:left="260" w:right="554"/>
        <w:jc w:val="both"/>
      </w:pPr>
      <w:r>
        <w:rPr/>
        <w:t>The</w:t>
      </w:r>
      <w:r>
        <w:rPr>
          <w:spacing w:val="-5"/>
        </w:rPr>
        <w:t> </w:t>
      </w:r>
      <w:r>
        <w:rPr/>
        <w:t>differential</w:t>
      </w:r>
      <w:r>
        <w:rPr>
          <w:spacing w:val="-7"/>
        </w:rPr>
        <w:t> </w:t>
      </w:r>
      <w:r>
        <w:rPr/>
        <w:t>rate</w:t>
      </w:r>
      <w:r>
        <w:rPr>
          <w:spacing w:val="-7"/>
        </w:rPr>
        <w:t> </w:t>
      </w:r>
      <w:r>
        <w:rPr/>
        <w:t>will</w:t>
      </w:r>
      <w:r>
        <w:rPr>
          <w:spacing w:val="-8"/>
        </w:rPr>
        <w:t> </w:t>
      </w:r>
      <w:r>
        <w:rPr/>
        <w:t>be</w:t>
      </w:r>
      <w:r>
        <w:rPr>
          <w:spacing w:val="-5"/>
        </w:rPr>
        <w:t> </w:t>
      </w:r>
      <w:r>
        <w:rPr/>
        <w:t>used</w:t>
      </w:r>
      <w:r>
        <w:rPr>
          <w:spacing w:val="-7"/>
        </w:rPr>
        <w:t> </w:t>
      </w:r>
      <w:r>
        <w:rPr/>
        <w:t>to</w:t>
      </w:r>
      <w:r>
        <w:rPr>
          <w:spacing w:val="-9"/>
        </w:rPr>
        <w:t> </w:t>
      </w:r>
      <w:r>
        <w:rPr/>
        <w:t>fund</w:t>
      </w:r>
      <w:r>
        <w:rPr>
          <w:spacing w:val="-7"/>
        </w:rPr>
        <w:t> </w:t>
      </w:r>
      <w:r>
        <w:rPr/>
        <w:t>some</w:t>
      </w:r>
      <w:r>
        <w:rPr>
          <w:spacing w:val="-9"/>
        </w:rPr>
        <w:t> </w:t>
      </w:r>
      <w:r>
        <w:rPr/>
        <w:t>of</w:t>
      </w:r>
      <w:r>
        <w:rPr>
          <w:spacing w:val="-9"/>
        </w:rPr>
        <w:t> </w:t>
      </w:r>
      <w:r>
        <w:rPr/>
        <w:t>those</w:t>
      </w:r>
      <w:r>
        <w:rPr>
          <w:spacing w:val="-5"/>
        </w:rPr>
        <w:t> </w:t>
      </w:r>
      <w:r>
        <w:rPr/>
        <w:t>items</w:t>
      </w:r>
      <w:r>
        <w:rPr>
          <w:spacing w:val="-5"/>
        </w:rPr>
        <w:t> </w:t>
      </w:r>
      <w:r>
        <w:rPr/>
        <w:t>of</w:t>
      </w:r>
      <w:r>
        <w:rPr>
          <w:spacing w:val="-3"/>
        </w:rPr>
        <w:t> </w:t>
      </w:r>
      <w:r>
        <w:rPr/>
        <w:t>expenditure</w:t>
      </w:r>
      <w:r>
        <w:rPr>
          <w:spacing w:val="-11"/>
        </w:rPr>
        <w:t> </w:t>
      </w:r>
      <w:r>
        <w:rPr/>
        <w:t>described</w:t>
      </w:r>
      <w:r>
        <w:rPr>
          <w:spacing w:val="-5"/>
        </w:rPr>
        <w:t> </w:t>
      </w:r>
      <w:r>
        <w:rPr/>
        <w:t>in</w:t>
      </w:r>
      <w:r>
        <w:rPr>
          <w:spacing w:val="-9"/>
        </w:rPr>
        <w:t> </w:t>
      </w:r>
      <w:r>
        <w:rPr/>
        <w:t>the</w:t>
      </w:r>
      <w:r>
        <w:rPr>
          <w:spacing w:val="-5"/>
        </w:rPr>
        <w:t> </w:t>
      </w:r>
      <w:r>
        <w:rPr/>
        <w:t>Budget</w:t>
      </w:r>
      <w:r>
        <w:rPr>
          <w:spacing w:val="-5"/>
        </w:rPr>
        <w:t> </w:t>
      </w:r>
      <w:r>
        <w:rPr/>
        <w:t>adopted by Council. The level of differential rate is the level which Council considers is necessary to achieve the objectives specified above.</w:t>
      </w:r>
    </w:p>
    <w:p>
      <w:pPr>
        <w:pStyle w:val="BodyText"/>
        <w:spacing w:before="1"/>
      </w:pPr>
    </w:p>
    <w:p>
      <w:pPr>
        <w:pStyle w:val="Heading5"/>
        <w:spacing w:line="252" w:lineRule="exact"/>
        <w:jc w:val="both"/>
      </w:pPr>
      <w:r>
        <w:rPr/>
        <w:t>Geographic</w:t>
      </w:r>
      <w:r>
        <w:rPr>
          <w:spacing w:val="-5"/>
        </w:rPr>
        <w:t> </w:t>
      </w:r>
      <w:r>
        <w:rPr>
          <w:spacing w:val="-2"/>
        </w:rPr>
        <w:t>Location:</w:t>
      </w:r>
    </w:p>
    <w:p>
      <w:pPr>
        <w:pStyle w:val="BodyText"/>
        <w:spacing w:line="252" w:lineRule="exact"/>
        <w:ind w:left="260"/>
      </w:pPr>
      <w:r>
        <w:rPr/>
        <w:t>Wherever</w:t>
      </w:r>
      <w:r>
        <w:rPr>
          <w:spacing w:val="-3"/>
        </w:rPr>
        <w:t> </w:t>
      </w:r>
      <w:r>
        <w:rPr/>
        <w:t>located</w:t>
      </w:r>
      <w:r>
        <w:rPr>
          <w:spacing w:val="-2"/>
        </w:rPr>
        <w:t> </w:t>
      </w:r>
      <w:r>
        <w:rPr/>
        <w:t>within</w:t>
      </w:r>
      <w:r>
        <w:rPr>
          <w:spacing w:val="-7"/>
        </w:rPr>
        <w:t> </w:t>
      </w:r>
      <w:r>
        <w:rPr/>
        <w:t>the</w:t>
      </w:r>
      <w:r>
        <w:rPr>
          <w:spacing w:val="-5"/>
        </w:rPr>
        <w:t> </w:t>
      </w:r>
      <w:r>
        <w:rPr/>
        <w:t>municipal</w:t>
      </w:r>
      <w:r>
        <w:rPr>
          <w:spacing w:val="-3"/>
        </w:rPr>
        <w:t> </w:t>
      </w:r>
      <w:r>
        <w:rPr>
          <w:spacing w:val="-2"/>
        </w:rPr>
        <w:t>district.</w:t>
      </w:r>
    </w:p>
    <w:p>
      <w:pPr>
        <w:pStyle w:val="BodyText"/>
      </w:pPr>
    </w:p>
    <w:p>
      <w:pPr>
        <w:pStyle w:val="Heading5"/>
        <w:spacing w:line="252" w:lineRule="exact"/>
        <w:jc w:val="both"/>
      </w:pPr>
      <w:r>
        <w:rPr/>
        <w:t>Use of</w:t>
      </w:r>
      <w:r>
        <w:rPr>
          <w:spacing w:val="-1"/>
        </w:rPr>
        <w:t> </w:t>
      </w:r>
      <w:r>
        <w:rPr>
          <w:spacing w:val="-4"/>
        </w:rPr>
        <w:t>Land:</w:t>
      </w:r>
    </w:p>
    <w:p>
      <w:pPr>
        <w:pStyle w:val="BodyText"/>
        <w:spacing w:line="252" w:lineRule="exact"/>
        <w:ind w:left="260"/>
      </w:pPr>
      <w:r>
        <w:rPr/>
        <w:t>Any</w:t>
      </w:r>
      <w:r>
        <w:rPr>
          <w:spacing w:val="-3"/>
        </w:rPr>
        <w:t> </w:t>
      </w:r>
      <w:r>
        <w:rPr/>
        <w:t>use</w:t>
      </w:r>
      <w:r>
        <w:rPr>
          <w:spacing w:val="-3"/>
        </w:rPr>
        <w:t> </w:t>
      </w:r>
      <w:r>
        <w:rPr/>
        <w:t>permitted</w:t>
      </w:r>
      <w:r>
        <w:rPr>
          <w:spacing w:val="-5"/>
        </w:rPr>
        <w:t> </w:t>
      </w:r>
      <w:r>
        <w:rPr/>
        <w:t>under</w:t>
      </w:r>
      <w:r>
        <w:rPr>
          <w:spacing w:val="-2"/>
        </w:rPr>
        <w:t> </w:t>
      </w:r>
      <w:r>
        <w:rPr/>
        <w:t>the</w:t>
      </w:r>
      <w:r>
        <w:rPr>
          <w:spacing w:val="-5"/>
        </w:rPr>
        <w:t> </w:t>
      </w:r>
      <w:r>
        <w:rPr/>
        <w:t>relevant</w:t>
      </w:r>
      <w:r>
        <w:rPr>
          <w:spacing w:val="-3"/>
        </w:rPr>
        <w:t> </w:t>
      </w:r>
      <w:r>
        <w:rPr/>
        <w:t>Planning</w:t>
      </w:r>
      <w:r>
        <w:rPr>
          <w:spacing w:val="-1"/>
        </w:rPr>
        <w:t> </w:t>
      </w:r>
      <w:r>
        <w:rPr>
          <w:spacing w:val="-2"/>
        </w:rPr>
        <w:t>Scheme.</w:t>
      </w:r>
    </w:p>
    <w:p>
      <w:pPr>
        <w:pStyle w:val="BodyText"/>
        <w:spacing w:before="1"/>
      </w:pPr>
    </w:p>
    <w:p>
      <w:pPr>
        <w:pStyle w:val="Heading5"/>
        <w:spacing w:line="252" w:lineRule="exact"/>
        <w:jc w:val="both"/>
      </w:pPr>
      <w:r>
        <w:rPr/>
        <w:t>Planning</w:t>
      </w:r>
      <w:r>
        <w:rPr>
          <w:spacing w:val="-4"/>
        </w:rPr>
        <w:t> </w:t>
      </w:r>
      <w:r>
        <w:rPr/>
        <w:t>Scheme</w:t>
      </w:r>
      <w:r>
        <w:rPr>
          <w:spacing w:val="-2"/>
        </w:rPr>
        <w:t> Zoning:</w:t>
      </w:r>
    </w:p>
    <w:p>
      <w:pPr>
        <w:pStyle w:val="BodyText"/>
        <w:ind w:left="260" w:right="555"/>
        <w:jc w:val="both"/>
      </w:pPr>
      <w:r>
        <w:rPr/>
        <w:t>The</w:t>
      </w:r>
      <w:r>
        <w:rPr>
          <w:spacing w:val="-2"/>
        </w:rPr>
        <w:t> </w:t>
      </w:r>
      <w:r>
        <w:rPr/>
        <w:t>zoning</w:t>
      </w:r>
      <w:r>
        <w:rPr>
          <w:spacing w:val="-4"/>
        </w:rPr>
        <w:t> </w:t>
      </w:r>
      <w:r>
        <w:rPr/>
        <w:t>applicable</w:t>
      </w:r>
      <w:r>
        <w:rPr>
          <w:spacing w:val="-4"/>
        </w:rPr>
        <w:t> </w:t>
      </w:r>
      <w:r>
        <w:rPr/>
        <w:t>to</w:t>
      </w:r>
      <w:r>
        <w:rPr>
          <w:spacing w:val="-7"/>
        </w:rPr>
        <w:t> </w:t>
      </w:r>
      <w:r>
        <w:rPr/>
        <w:t>each</w:t>
      </w:r>
      <w:r>
        <w:rPr>
          <w:spacing w:val="-4"/>
        </w:rPr>
        <w:t> </w:t>
      </w:r>
      <w:r>
        <w:rPr/>
        <w:t>rateable</w:t>
      </w:r>
      <w:r>
        <w:rPr>
          <w:spacing w:val="-6"/>
        </w:rPr>
        <w:t> </w:t>
      </w:r>
      <w:r>
        <w:rPr/>
        <w:t>land</w:t>
      </w:r>
      <w:r>
        <w:rPr>
          <w:spacing w:val="-2"/>
        </w:rPr>
        <w:t> </w:t>
      </w:r>
      <w:r>
        <w:rPr/>
        <w:t>within</w:t>
      </w:r>
      <w:r>
        <w:rPr>
          <w:spacing w:val="-6"/>
        </w:rPr>
        <w:t> </w:t>
      </w:r>
      <w:r>
        <w:rPr/>
        <w:t>this</w:t>
      </w:r>
      <w:r>
        <w:rPr>
          <w:spacing w:val="-4"/>
        </w:rPr>
        <w:t> </w:t>
      </w:r>
      <w:r>
        <w:rPr/>
        <w:t>category,</w:t>
      </w:r>
      <w:r>
        <w:rPr>
          <w:spacing w:val="-2"/>
        </w:rPr>
        <w:t> </w:t>
      </w:r>
      <w:r>
        <w:rPr/>
        <w:t>as</w:t>
      </w:r>
      <w:r>
        <w:rPr>
          <w:spacing w:val="-4"/>
        </w:rPr>
        <w:t> </w:t>
      </w:r>
      <w:r>
        <w:rPr/>
        <w:t>determined</w:t>
      </w:r>
      <w:r>
        <w:rPr>
          <w:spacing w:val="-2"/>
        </w:rPr>
        <w:t> </w:t>
      </w:r>
      <w:r>
        <w:rPr/>
        <w:t>by</w:t>
      </w:r>
      <w:r>
        <w:rPr>
          <w:spacing w:val="-4"/>
        </w:rPr>
        <w:t> </w:t>
      </w:r>
      <w:r>
        <w:rPr/>
        <w:t>consulting</w:t>
      </w:r>
      <w:r>
        <w:rPr>
          <w:spacing w:val="-4"/>
        </w:rPr>
        <w:t> </w:t>
      </w:r>
      <w:r>
        <w:rPr/>
        <w:t>maps</w:t>
      </w:r>
      <w:r>
        <w:rPr>
          <w:spacing w:val="-4"/>
        </w:rPr>
        <w:t> </w:t>
      </w:r>
      <w:r>
        <w:rPr/>
        <w:t>referred to in the relevant Planning Scheme.</w:t>
      </w:r>
    </w:p>
    <w:p>
      <w:pPr>
        <w:pStyle w:val="BodyText"/>
        <w:spacing w:before="1"/>
      </w:pPr>
    </w:p>
    <w:p>
      <w:pPr>
        <w:pStyle w:val="Heading5"/>
        <w:spacing w:line="252" w:lineRule="exact"/>
        <w:jc w:val="both"/>
      </w:pPr>
      <w:r>
        <w:rPr/>
        <w:t>Types</w:t>
      </w:r>
      <w:r>
        <w:rPr>
          <w:spacing w:val="-3"/>
        </w:rPr>
        <w:t> </w:t>
      </w:r>
      <w:r>
        <w:rPr/>
        <w:t>of</w:t>
      </w:r>
      <w:r>
        <w:rPr>
          <w:spacing w:val="-1"/>
        </w:rPr>
        <w:t> </w:t>
      </w:r>
      <w:r>
        <w:rPr>
          <w:spacing w:val="-2"/>
        </w:rPr>
        <w:t>Buildings:</w:t>
      </w:r>
    </w:p>
    <w:p>
      <w:pPr>
        <w:pStyle w:val="BodyText"/>
        <w:ind w:left="260" w:right="553"/>
        <w:jc w:val="both"/>
      </w:pPr>
      <w:r>
        <w:rPr/>
        <w:t>All buildings which are now constructed on the land, or which are constructed prior to the expiry of the 2023/2024 financial Year.</w:t>
      </w:r>
    </w:p>
    <w:p>
      <w:pPr>
        <w:spacing w:after="0"/>
        <w:jc w:val="both"/>
        <w:sectPr>
          <w:pgSz w:w="11910" w:h="16840"/>
          <w:pgMar w:header="0" w:footer="426" w:top="620" w:bottom="740" w:left="460" w:right="160"/>
        </w:sectPr>
      </w:pPr>
    </w:p>
    <w:p>
      <w:pPr>
        <w:pStyle w:val="Heading4"/>
        <w:numPr>
          <w:ilvl w:val="2"/>
          <w:numId w:val="11"/>
        </w:numPr>
        <w:tabs>
          <w:tab w:pos="862" w:val="left" w:leader="none"/>
        </w:tabs>
        <w:spacing w:line="240" w:lineRule="auto" w:before="82" w:after="0"/>
        <w:ind w:left="861" w:right="0" w:hanging="602"/>
        <w:jc w:val="left"/>
        <w:rPr>
          <w:color w:val="4966AC"/>
        </w:rPr>
      </w:pPr>
      <w:r>
        <w:rPr>
          <w:color w:val="4966AC"/>
        </w:rPr>
        <w:t>Statutory fees</w:t>
      </w:r>
      <w:r>
        <w:rPr>
          <w:color w:val="4966AC"/>
          <w:spacing w:val="-2"/>
        </w:rPr>
        <w:t> </w:t>
      </w:r>
      <w:r>
        <w:rPr>
          <w:color w:val="4966AC"/>
        </w:rPr>
        <w:t>and</w:t>
      </w:r>
      <w:r>
        <w:rPr>
          <w:color w:val="4966AC"/>
          <w:spacing w:val="-1"/>
        </w:rPr>
        <w:t> </w:t>
      </w:r>
      <w:r>
        <w:rPr>
          <w:color w:val="4966AC"/>
          <w:spacing w:val="-4"/>
        </w:rPr>
        <w:t>fines</w:t>
      </w:r>
    </w:p>
    <w:p>
      <w:pPr>
        <w:pStyle w:val="BodyText"/>
        <w:spacing w:before="10"/>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59"/>
        <w:gridCol w:w="1339"/>
        <w:gridCol w:w="1337"/>
        <w:gridCol w:w="1578"/>
        <w:gridCol w:w="844"/>
      </w:tblGrid>
      <w:tr>
        <w:trPr>
          <w:trHeight w:val="1123" w:hRule="atLeast"/>
        </w:trPr>
        <w:tc>
          <w:tcPr>
            <w:tcW w:w="6698" w:type="dxa"/>
            <w:gridSpan w:val="2"/>
            <w:tcBorders>
              <w:top w:val="single" w:sz="4" w:space="0" w:color="000000"/>
              <w:left w:val="single" w:sz="4" w:space="0" w:color="000000"/>
            </w:tcBorders>
            <w:shd w:val="clear" w:color="auto" w:fill="5B9AD4"/>
          </w:tcPr>
          <w:p>
            <w:pPr>
              <w:pStyle w:val="TableParagraph"/>
              <w:spacing w:before="66"/>
              <w:ind w:left="5594" w:right="224"/>
              <w:jc w:val="center"/>
              <w:rPr>
                <w:b/>
                <w:sz w:val="18"/>
              </w:rPr>
            </w:pPr>
            <w:r>
              <w:rPr>
                <w:b/>
                <w:color w:val="FFFFFF"/>
                <w:spacing w:val="-2"/>
                <w:sz w:val="18"/>
              </w:rPr>
              <w:t>Forecast Actual</w:t>
            </w:r>
          </w:p>
          <w:p>
            <w:pPr>
              <w:pStyle w:val="TableParagraph"/>
              <w:spacing w:before="47"/>
              <w:ind w:left="5594" w:right="225"/>
              <w:jc w:val="center"/>
              <w:rPr>
                <w:b/>
                <w:sz w:val="18"/>
              </w:rPr>
            </w:pPr>
            <w:r>
              <w:rPr>
                <w:b/>
                <w:color w:val="FFFFFF"/>
                <w:spacing w:val="-2"/>
                <w:sz w:val="18"/>
              </w:rPr>
              <w:t>2023/2024</w:t>
            </w:r>
          </w:p>
          <w:p>
            <w:pPr>
              <w:pStyle w:val="TableParagraph"/>
              <w:spacing w:line="190" w:lineRule="exact" w:before="179"/>
              <w:ind w:left="5594" w:right="224"/>
              <w:jc w:val="center"/>
              <w:rPr>
                <w:b/>
                <w:sz w:val="18"/>
              </w:rPr>
            </w:pPr>
            <w:r>
              <w:rPr>
                <w:b/>
                <w:color w:val="FFFFFF"/>
                <w:spacing w:val="-2"/>
                <w:sz w:val="18"/>
              </w:rPr>
              <w:t>$’000</w:t>
            </w:r>
          </w:p>
        </w:tc>
        <w:tc>
          <w:tcPr>
            <w:tcW w:w="1337" w:type="dxa"/>
            <w:tcBorders>
              <w:top w:val="single" w:sz="4" w:space="0" w:color="000000"/>
            </w:tcBorders>
            <w:shd w:val="clear" w:color="auto" w:fill="5B9AD4"/>
          </w:tcPr>
          <w:p>
            <w:pPr>
              <w:pStyle w:val="TableParagraph"/>
              <w:spacing w:before="8"/>
              <w:rPr>
                <w:b/>
                <w:sz w:val="23"/>
              </w:rPr>
            </w:pPr>
          </w:p>
          <w:p>
            <w:pPr>
              <w:pStyle w:val="TableParagraph"/>
              <w:spacing w:line="295" w:lineRule="auto"/>
              <w:ind w:left="247" w:right="232" w:firstLine="2"/>
              <w:jc w:val="center"/>
              <w:rPr>
                <w:b/>
                <w:sz w:val="18"/>
              </w:rPr>
            </w:pPr>
            <w:r>
              <w:rPr>
                <w:b/>
                <w:color w:val="FFFFFF"/>
                <w:spacing w:val="-2"/>
                <w:sz w:val="18"/>
              </w:rPr>
              <w:t>Budget 2024/2025</w:t>
            </w:r>
          </w:p>
          <w:p>
            <w:pPr>
              <w:pStyle w:val="TableParagraph"/>
              <w:spacing w:line="190" w:lineRule="exact" w:before="131"/>
              <w:ind w:left="435" w:right="421"/>
              <w:jc w:val="center"/>
              <w:rPr>
                <w:b/>
                <w:sz w:val="18"/>
              </w:rPr>
            </w:pPr>
            <w:r>
              <w:rPr>
                <w:b/>
                <w:color w:val="FFFFFF"/>
                <w:spacing w:val="-2"/>
                <w:sz w:val="18"/>
              </w:rPr>
              <w:t>$’000</w:t>
            </w:r>
          </w:p>
        </w:tc>
        <w:tc>
          <w:tcPr>
            <w:tcW w:w="1578" w:type="dxa"/>
            <w:tcBorders>
              <w:top w:val="single" w:sz="4" w:space="0" w:color="000000"/>
            </w:tcBorders>
            <w:shd w:val="clear" w:color="auto" w:fill="5B9AD4"/>
          </w:tcPr>
          <w:p>
            <w:pPr>
              <w:pStyle w:val="TableParagraph"/>
              <w:rPr>
                <w:b/>
                <w:sz w:val="20"/>
              </w:rPr>
            </w:pPr>
          </w:p>
          <w:p>
            <w:pPr>
              <w:pStyle w:val="TableParagraph"/>
              <w:spacing w:before="9"/>
              <w:rPr>
                <w:b/>
                <w:sz w:val="29"/>
              </w:rPr>
            </w:pPr>
          </w:p>
          <w:p>
            <w:pPr>
              <w:pStyle w:val="TableParagraph"/>
              <w:ind w:left="885"/>
              <w:rPr>
                <w:b/>
                <w:sz w:val="18"/>
              </w:rPr>
            </w:pPr>
            <w:r>
              <w:rPr>
                <w:b/>
                <w:color w:val="FFFFFF"/>
                <w:spacing w:val="-2"/>
                <w:sz w:val="18"/>
              </w:rPr>
              <w:t>Change</w:t>
            </w:r>
          </w:p>
          <w:p>
            <w:pPr>
              <w:pStyle w:val="TableParagraph"/>
              <w:spacing w:line="190" w:lineRule="exact" w:before="134"/>
              <w:ind w:left="448"/>
              <w:rPr>
                <w:b/>
                <w:sz w:val="18"/>
              </w:rPr>
            </w:pPr>
            <w:r>
              <w:rPr>
                <w:b/>
                <w:color w:val="FFFFFF"/>
                <w:spacing w:val="-2"/>
                <w:sz w:val="18"/>
              </w:rPr>
              <w:t>$’000</w:t>
            </w:r>
          </w:p>
        </w:tc>
        <w:tc>
          <w:tcPr>
            <w:tcW w:w="844"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4"/>
              <w:rPr>
                <w:b/>
                <w:sz w:val="19"/>
              </w:rPr>
            </w:pPr>
          </w:p>
          <w:p>
            <w:pPr>
              <w:pStyle w:val="TableParagraph"/>
              <w:spacing w:line="190" w:lineRule="exact" w:before="1"/>
              <w:ind w:left="222"/>
              <w:rPr>
                <w:b/>
                <w:sz w:val="18"/>
              </w:rPr>
            </w:pPr>
            <w:r>
              <w:rPr>
                <w:b/>
                <w:color w:val="FFFFFF"/>
                <w:sz w:val="18"/>
              </w:rPr>
              <w:t>%</w:t>
            </w:r>
          </w:p>
        </w:tc>
      </w:tr>
      <w:tr>
        <w:trPr>
          <w:trHeight w:val="343" w:hRule="atLeast"/>
        </w:trPr>
        <w:tc>
          <w:tcPr>
            <w:tcW w:w="5359" w:type="dxa"/>
            <w:tcBorders>
              <w:left w:val="single" w:sz="4" w:space="0" w:color="000000"/>
            </w:tcBorders>
          </w:tcPr>
          <w:p>
            <w:pPr>
              <w:pStyle w:val="TableParagraph"/>
              <w:spacing w:before="55"/>
              <w:ind w:left="107"/>
              <w:rPr>
                <w:sz w:val="20"/>
              </w:rPr>
            </w:pPr>
            <w:r>
              <w:rPr>
                <w:sz w:val="20"/>
              </w:rPr>
              <w:t>Court</w:t>
            </w:r>
            <w:r>
              <w:rPr>
                <w:spacing w:val="-7"/>
                <w:sz w:val="20"/>
              </w:rPr>
              <w:t> </w:t>
            </w:r>
            <w:r>
              <w:rPr>
                <w:spacing w:val="-2"/>
                <w:sz w:val="20"/>
              </w:rPr>
              <w:t>recoveries</w:t>
            </w:r>
          </w:p>
        </w:tc>
        <w:tc>
          <w:tcPr>
            <w:tcW w:w="1339" w:type="dxa"/>
          </w:tcPr>
          <w:p>
            <w:pPr>
              <w:pStyle w:val="TableParagraph"/>
              <w:spacing w:before="55"/>
              <w:ind w:right="103"/>
              <w:jc w:val="right"/>
              <w:rPr>
                <w:sz w:val="20"/>
              </w:rPr>
            </w:pPr>
            <w:r>
              <w:rPr>
                <w:spacing w:val="-5"/>
                <w:sz w:val="20"/>
              </w:rPr>
              <w:t>280</w:t>
            </w:r>
          </w:p>
        </w:tc>
        <w:tc>
          <w:tcPr>
            <w:tcW w:w="1337" w:type="dxa"/>
            <w:shd w:val="clear" w:color="auto" w:fill="DDEBF6"/>
          </w:tcPr>
          <w:p>
            <w:pPr>
              <w:pStyle w:val="TableParagraph"/>
              <w:spacing w:before="55"/>
              <w:ind w:right="101"/>
              <w:jc w:val="right"/>
              <w:rPr>
                <w:b/>
                <w:sz w:val="20"/>
              </w:rPr>
            </w:pPr>
            <w:r>
              <w:rPr>
                <w:b/>
                <w:spacing w:val="-5"/>
                <w:sz w:val="20"/>
              </w:rPr>
              <w:t>300</w:t>
            </w:r>
          </w:p>
        </w:tc>
        <w:tc>
          <w:tcPr>
            <w:tcW w:w="1578" w:type="dxa"/>
          </w:tcPr>
          <w:p>
            <w:pPr>
              <w:pStyle w:val="TableParagraph"/>
              <w:spacing w:before="55"/>
              <w:ind w:right="342"/>
              <w:jc w:val="right"/>
              <w:rPr>
                <w:sz w:val="20"/>
              </w:rPr>
            </w:pPr>
            <w:r>
              <w:rPr>
                <w:spacing w:val="-5"/>
                <w:sz w:val="20"/>
              </w:rPr>
              <w:t>20</w:t>
            </w:r>
          </w:p>
        </w:tc>
        <w:tc>
          <w:tcPr>
            <w:tcW w:w="844" w:type="dxa"/>
            <w:tcBorders>
              <w:right w:val="single" w:sz="4" w:space="0" w:color="000000"/>
            </w:tcBorders>
          </w:tcPr>
          <w:p>
            <w:pPr>
              <w:pStyle w:val="TableParagraph"/>
              <w:spacing w:before="55"/>
              <w:ind w:right="99"/>
              <w:jc w:val="right"/>
              <w:rPr>
                <w:sz w:val="20"/>
              </w:rPr>
            </w:pPr>
            <w:r>
              <w:rPr>
                <w:spacing w:val="-4"/>
                <w:sz w:val="20"/>
              </w:rPr>
              <w:t>7.1%</w:t>
            </w:r>
          </w:p>
        </w:tc>
      </w:tr>
      <w:tr>
        <w:trPr>
          <w:trHeight w:val="342" w:hRule="atLeast"/>
        </w:trPr>
        <w:tc>
          <w:tcPr>
            <w:tcW w:w="5359" w:type="dxa"/>
            <w:tcBorders>
              <w:left w:val="single" w:sz="4" w:space="0" w:color="000000"/>
            </w:tcBorders>
          </w:tcPr>
          <w:p>
            <w:pPr>
              <w:pStyle w:val="TableParagraph"/>
              <w:spacing w:before="52"/>
              <w:ind w:left="107"/>
              <w:rPr>
                <w:sz w:val="20"/>
              </w:rPr>
            </w:pPr>
            <w:r>
              <w:rPr>
                <w:sz w:val="20"/>
              </w:rPr>
              <w:t>Infringements</w:t>
            </w:r>
            <w:r>
              <w:rPr>
                <w:spacing w:val="-8"/>
                <w:sz w:val="20"/>
              </w:rPr>
              <w:t> </w:t>
            </w:r>
            <w:r>
              <w:rPr>
                <w:sz w:val="20"/>
              </w:rPr>
              <w:t>and</w:t>
            </w:r>
            <w:r>
              <w:rPr>
                <w:spacing w:val="-9"/>
                <w:sz w:val="20"/>
              </w:rPr>
              <w:t> </w:t>
            </w:r>
            <w:r>
              <w:rPr>
                <w:spacing w:val="-4"/>
                <w:sz w:val="20"/>
              </w:rPr>
              <w:t>costs</w:t>
            </w:r>
          </w:p>
        </w:tc>
        <w:tc>
          <w:tcPr>
            <w:tcW w:w="1339" w:type="dxa"/>
          </w:tcPr>
          <w:p>
            <w:pPr>
              <w:pStyle w:val="TableParagraph"/>
              <w:spacing w:before="52"/>
              <w:ind w:right="102"/>
              <w:jc w:val="right"/>
              <w:rPr>
                <w:sz w:val="20"/>
              </w:rPr>
            </w:pPr>
            <w:r>
              <w:rPr>
                <w:spacing w:val="-2"/>
                <w:sz w:val="20"/>
              </w:rPr>
              <w:t>1,777</w:t>
            </w:r>
          </w:p>
        </w:tc>
        <w:tc>
          <w:tcPr>
            <w:tcW w:w="1337" w:type="dxa"/>
            <w:shd w:val="clear" w:color="auto" w:fill="DDEBF6"/>
          </w:tcPr>
          <w:p>
            <w:pPr>
              <w:pStyle w:val="TableParagraph"/>
              <w:spacing w:before="52"/>
              <w:ind w:right="100"/>
              <w:jc w:val="right"/>
              <w:rPr>
                <w:b/>
                <w:sz w:val="20"/>
              </w:rPr>
            </w:pPr>
            <w:r>
              <w:rPr>
                <w:b/>
                <w:spacing w:val="-2"/>
                <w:sz w:val="20"/>
              </w:rPr>
              <w:t>1,919</w:t>
            </w:r>
          </w:p>
        </w:tc>
        <w:tc>
          <w:tcPr>
            <w:tcW w:w="1578" w:type="dxa"/>
          </w:tcPr>
          <w:p>
            <w:pPr>
              <w:pStyle w:val="TableParagraph"/>
              <w:spacing w:before="52"/>
              <w:ind w:right="342"/>
              <w:jc w:val="right"/>
              <w:rPr>
                <w:sz w:val="20"/>
              </w:rPr>
            </w:pPr>
            <w:r>
              <w:rPr>
                <w:spacing w:val="-5"/>
                <w:sz w:val="20"/>
              </w:rPr>
              <w:t>142</w:t>
            </w:r>
          </w:p>
        </w:tc>
        <w:tc>
          <w:tcPr>
            <w:tcW w:w="844" w:type="dxa"/>
            <w:tcBorders>
              <w:right w:val="single" w:sz="4" w:space="0" w:color="000000"/>
            </w:tcBorders>
          </w:tcPr>
          <w:p>
            <w:pPr>
              <w:pStyle w:val="TableParagraph"/>
              <w:spacing w:before="52"/>
              <w:ind w:right="99"/>
              <w:jc w:val="right"/>
              <w:rPr>
                <w:sz w:val="20"/>
              </w:rPr>
            </w:pPr>
            <w:r>
              <w:rPr>
                <w:spacing w:val="-4"/>
                <w:sz w:val="20"/>
              </w:rPr>
              <w:t>8.0%</w:t>
            </w:r>
          </w:p>
        </w:tc>
      </w:tr>
      <w:tr>
        <w:trPr>
          <w:trHeight w:val="342" w:hRule="atLeast"/>
        </w:trPr>
        <w:tc>
          <w:tcPr>
            <w:tcW w:w="5359" w:type="dxa"/>
            <w:tcBorders>
              <w:left w:val="single" w:sz="4" w:space="0" w:color="000000"/>
            </w:tcBorders>
          </w:tcPr>
          <w:p>
            <w:pPr>
              <w:pStyle w:val="TableParagraph"/>
              <w:spacing w:before="53"/>
              <w:ind w:left="107"/>
              <w:rPr>
                <w:sz w:val="20"/>
              </w:rPr>
            </w:pPr>
            <w:r>
              <w:rPr>
                <w:sz w:val="20"/>
              </w:rPr>
              <w:t>Land</w:t>
            </w:r>
            <w:r>
              <w:rPr>
                <w:spacing w:val="-7"/>
                <w:sz w:val="20"/>
              </w:rPr>
              <w:t> </w:t>
            </w:r>
            <w:r>
              <w:rPr>
                <w:sz w:val="20"/>
              </w:rPr>
              <w:t>information</w:t>
            </w:r>
            <w:r>
              <w:rPr>
                <w:spacing w:val="-9"/>
                <w:sz w:val="20"/>
              </w:rPr>
              <w:t> </w:t>
            </w:r>
            <w:r>
              <w:rPr>
                <w:spacing w:val="-2"/>
                <w:sz w:val="20"/>
              </w:rPr>
              <w:t>certificates</w:t>
            </w:r>
          </w:p>
        </w:tc>
        <w:tc>
          <w:tcPr>
            <w:tcW w:w="1339" w:type="dxa"/>
          </w:tcPr>
          <w:p>
            <w:pPr>
              <w:pStyle w:val="TableParagraph"/>
              <w:spacing w:before="53"/>
              <w:ind w:right="102"/>
              <w:jc w:val="right"/>
              <w:rPr>
                <w:sz w:val="20"/>
              </w:rPr>
            </w:pPr>
            <w:r>
              <w:rPr>
                <w:spacing w:val="-5"/>
                <w:sz w:val="20"/>
              </w:rPr>
              <w:t>125</w:t>
            </w:r>
          </w:p>
        </w:tc>
        <w:tc>
          <w:tcPr>
            <w:tcW w:w="1337" w:type="dxa"/>
            <w:shd w:val="clear" w:color="auto" w:fill="DDEBF6"/>
          </w:tcPr>
          <w:p>
            <w:pPr>
              <w:pStyle w:val="TableParagraph"/>
              <w:spacing w:before="53"/>
              <w:ind w:right="101"/>
              <w:jc w:val="right"/>
              <w:rPr>
                <w:b/>
                <w:sz w:val="20"/>
              </w:rPr>
            </w:pPr>
            <w:r>
              <w:rPr>
                <w:b/>
                <w:spacing w:val="-5"/>
                <w:sz w:val="20"/>
              </w:rPr>
              <w:t>127</w:t>
            </w:r>
          </w:p>
        </w:tc>
        <w:tc>
          <w:tcPr>
            <w:tcW w:w="1578" w:type="dxa"/>
          </w:tcPr>
          <w:p>
            <w:pPr>
              <w:pStyle w:val="TableParagraph"/>
              <w:spacing w:before="53"/>
              <w:ind w:right="339"/>
              <w:jc w:val="right"/>
              <w:rPr>
                <w:sz w:val="20"/>
              </w:rPr>
            </w:pPr>
            <w:r>
              <w:rPr>
                <w:w w:val="99"/>
                <w:sz w:val="20"/>
              </w:rPr>
              <w:t>2</w:t>
            </w:r>
          </w:p>
        </w:tc>
        <w:tc>
          <w:tcPr>
            <w:tcW w:w="844" w:type="dxa"/>
            <w:tcBorders>
              <w:right w:val="single" w:sz="4" w:space="0" w:color="000000"/>
            </w:tcBorders>
          </w:tcPr>
          <w:p>
            <w:pPr>
              <w:pStyle w:val="TableParagraph"/>
              <w:spacing w:before="53"/>
              <w:ind w:right="99"/>
              <w:jc w:val="right"/>
              <w:rPr>
                <w:sz w:val="20"/>
              </w:rPr>
            </w:pPr>
            <w:r>
              <w:rPr>
                <w:spacing w:val="-4"/>
                <w:sz w:val="20"/>
              </w:rPr>
              <w:t>1.6%</w:t>
            </w:r>
          </w:p>
        </w:tc>
      </w:tr>
      <w:tr>
        <w:trPr>
          <w:trHeight w:val="342" w:hRule="atLeast"/>
        </w:trPr>
        <w:tc>
          <w:tcPr>
            <w:tcW w:w="5359" w:type="dxa"/>
            <w:tcBorders>
              <w:left w:val="single" w:sz="4" w:space="0" w:color="000000"/>
            </w:tcBorders>
          </w:tcPr>
          <w:p>
            <w:pPr>
              <w:pStyle w:val="TableParagraph"/>
              <w:spacing w:before="52"/>
              <w:ind w:left="107"/>
              <w:rPr>
                <w:sz w:val="20"/>
              </w:rPr>
            </w:pPr>
            <w:r>
              <w:rPr>
                <w:spacing w:val="-2"/>
                <w:sz w:val="20"/>
              </w:rPr>
              <w:t>Other</w:t>
            </w:r>
          </w:p>
        </w:tc>
        <w:tc>
          <w:tcPr>
            <w:tcW w:w="1339" w:type="dxa"/>
          </w:tcPr>
          <w:p>
            <w:pPr>
              <w:pStyle w:val="TableParagraph"/>
              <w:spacing w:before="52"/>
              <w:ind w:right="102"/>
              <w:jc w:val="right"/>
              <w:rPr>
                <w:sz w:val="20"/>
              </w:rPr>
            </w:pPr>
            <w:r>
              <w:rPr>
                <w:spacing w:val="-5"/>
                <w:sz w:val="20"/>
              </w:rPr>
              <w:t>179</w:t>
            </w:r>
          </w:p>
        </w:tc>
        <w:tc>
          <w:tcPr>
            <w:tcW w:w="1337" w:type="dxa"/>
            <w:shd w:val="clear" w:color="auto" w:fill="DDEBF6"/>
          </w:tcPr>
          <w:p>
            <w:pPr>
              <w:pStyle w:val="TableParagraph"/>
              <w:spacing w:before="52"/>
              <w:ind w:right="101"/>
              <w:jc w:val="right"/>
              <w:rPr>
                <w:b/>
                <w:sz w:val="20"/>
              </w:rPr>
            </w:pPr>
            <w:r>
              <w:rPr>
                <w:b/>
                <w:spacing w:val="-5"/>
                <w:sz w:val="20"/>
              </w:rPr>
              <w:t>126</w:t>
            </w:r>
          </w:p>
        </w:tc>
        <w:tc>
          <w:tcPr>
            <w:tcW w:w="1578" w:type="dxa"/>
          </w:tcPr>
          <w:p>
            <w:pPr>
              <w:pStyle w:val="TableParagraph"/>
              <w:spacing w:before="52"/>
              <w:ind w:right="340"/>
              <w:jc w:val="right"/>
              <w:rPr>
                <w:sz w:val="20"/>
              </w:rPr>
            </w:pPr>
            <w:r>
              <w:rPr>
                <w:spacing w:val="-4"/>
                <w:sz w:val="20"/>
              </w:rPr>
              <w:t>(53)</w:t>
            </w:r>
          </w:p>
        </w:tc>
        <w:tc>
          <w:tcPr>
            <w:tcW w:w="844" w:type="dxa"/>
            <w:tcBorders>
              <w:right w:val="single" w:sz="4" w:space="0" w:color="000000"/>
            </w:tcBorders>
          </w:tcPr>
          <w:p>
            <w:pPr>
              <w:pStyle w:val="TableParagraph"/>
              <w:spacing w:before="52"/>
              <w:ind w:right="100"/>
              <w:jc w:val="right"/>
              <w:rPr>
                <w:sz w:val="20"/>
              </w:rPr>
            </w:pPr>
            <w:r>
              <w:rPr>
                <w:spacing w:val="-2"/>
                <w:sz w:val="20"/>
              </w:rPr>
              <w:t>(29.6%)</w:t>
            </w:r>
          </w:p>
        </w:tc>
      </w:tr>
      <w:tr>
        <w:trPr>
          <w:trHeight w:val="342" w:hRule="atLeast"/>
        </w:trPr>
        <w:tc>
          <w:tcPr>
            <w:tcW w:w="5359" w:type="dxa"/>
            <w:tcBorders>
              <w:left w:val="single" w:sz="4" w:space="0" w:color="000000"/>
            </w:tcBorders>
          </w:tcPr>
          <w:p>
            <w:pPr>
              <w:pStyle w:val="TableParagraph"/>
              <w:spacing w:before="53"/>
              <w:ind w:left="107"/>
              <w:rPr>
                <w:sz w:val="20"/>
              </w:rPr>
            </w:pPr>
            <w:r>
              <w:rPr>
                <w:spacing w:val="-2"/>
                <w:sz w:val="20"/>
              </w:rPr>
              <w:t>Permits</w:t>
            </w:r>
          </w:p>
        </w:tc>
        <w:tc>
          <w:tcPr>
            <w:tcW w:w="1339" w:type="dxa"/>
          </w:tcPr>
          <w:p>
            <w:pPr>
              <w:pStyle w:val="TableParagraph"/>
              <w:spacing w:before="53"/>
              <w:ind w:right="102"/>
              <w:jc w:val="right"/>
              <w:rPr>
                <w:sz w:val="20"/>
              </w:rPr>
            </w:pPr>
            <w:r>
              <w:rPr>
                <w:spacing w:val="-2"/>
                <w:sz w:val="20"/>
              </w:rPr>
              <w:t>1,730</w:t>
            </w:r>
          </w:p>
        </w:tc>
        <w:tc>
          <w:tcPr>
            <w:tcW w:w="1337" w:type="dxa"/>
            <w:shd w:val="clear" w:color="auto" w:fill="DDEBF6"/>
          </w:tcPr>
          <w:p>
            <w:pPr>
              <w:pStyle w:val="TableParagraph"/>
              <w:spacing w:before="53"/>
              <w:ind w:right="100"/>
              <w:jc w:val="right"/>
              <w:rPr>
                <w:b/>
                <w:sz w:val="20"/>
              </w:rPr>
            </w:pPr>
            <w:r>
              <w:rPr>
                <w:b/>
                <w:spacing w:val="-2"/>
                <w:sz w:val="20"/>
              </w:rPr>
              <w:t>1,832</w:t>
            </w:r>
          </w:p>
        </w:tc>
        <w:tc>
          <w:tcPr>
            <w:tcW w:w="1578" w:type="dxa"/>
          </w:tcPr>
          <w:p>
            <w:pPr>
              <w:pStyle w:val="TableParagraph"/>
              <w:spacing w:before="53"/>
              <w:ind w:right="342"/>
              <w:jc w:val="right"/>
              <w:rPr>
                <w:sz w:val="20"/>
              </w:rPr>
            </w:pPr>
            <w:r>
              <w:rPr>
                <w:spacing w:val="-5"/>
                <w:sz w:val="20"/>
              </w:rPr>
              <w:t>102</w:t>
            </w:r>
          </w:p>
        </w:tc>
        <w:tc>
          <w:tcPr>
            <w:tcW w:w="844" w:type="dxa"/>
            <w:tcBorders>
              <w:right w:val="single" w:sz="4" w:space="0" w:color="000000"/>
            </w:tcBorders>
          </w:tcPr>
          <w:p>
            <w:pPr>
              <w:pStyle w:val="TableParagraph"/>
              <w:spacing w:before="53"/>
              <w:ind w:right="99"/>
              <w:jc w:val="right"/>
              <w:rPr>
                <w:sz w:val="20"/>
              </w:rPr>
            </w:pPr>
            <w:r>
              <w:rPr>
                <w:spacing w:val="-4"/>
                <w:sz w:val="20"/>
              </w:rPr>
              <w:t>5.9%</w:t>
            </w:r>
          </w:p>
        </w:tc>
      </w:tr>
      <w:tr>
        <w:trPr>
          <w:trHeight w:val="339" w:hRule="atLeast"/>
        </w:trPr>
        <w:tc>
          <w:tcPr>
            <w:tcW w:w="5359" w:type="dxa"/>
            <w:tcBorders>
              <w:left w:val="single" w:sz="4" w:space="0" w:color="000000"/>
            </w:tcBorders>
          </w:tcPr>
          <w:p>
            <w:pPr>
              <w:pStyle w:val="TableParagraph"/>
              <w:spacing w:before="52"/>
              <w:ind w:left="107"/>
              <w:rPr>
                <w:sz w:val="20"/>
              </w:rPr>
            </w:pPr>
            <w:r>
              <w:rPr>
                <w:sz w:val="20"/>
              </w:rPr>
              <w:t>Town</w:t>
            </w:r>
            <w:r>
              <w:rPr>
                <w:spacing w:val="-9"/>
                <w:sz w:val="20"/>
              </w:rPr>
              <w:t> </w:t>
            </w:r>
            <w:r>
              <w:rPr>
                <w:sz w:val="20"/>
              </w:rPr>
              <w:t>planning</w:t>
            </w:r>
            <w:r>
              <w:rPr>
                <w:spacing w:val="-8"/>
                <w:sz w:val="20"/>
              </w:rPr>
              <w:t> </w:t>
            </w:r>
            <w:r>
              <w:rPr>
                <w:spacing w:val="-4"/>
                <w:sz w:val="20"/>
              </w:rPr>
              <w:t>fees</w:t>
            </w:r>
          </w:p>
        </w:tc>
        <w:tc>
          <w:tcPr>
            <w:tcW w:w="1339" w:type="dxa"/>
            <w:tcBorders>
              <w:bottom w:val="single" w:sz="8" w:space="0" w:color="000000"/>
            </w:tcBorders>
          </w:tcPr>
          <w:p>
            <w:pPr>
              <w:pStyle w:val="TableParagraph"/>
              <w:spacing w:before="52"/>
              <w:ind w:right="101"/>
              <w:jc w:val="right"/>
              <w:rPr>
                <w:sz w:val="20"/>
              </w:rPr>
            </w:pPr>
            <w:r>
              <w:rPr>
                <w:spacing w:val="-2"/>
                <w:sz w:val="20"/>
              </w:rPr>
              <w:t>1,755</w:t>
            </w:r>
          </w:p>
        </w:tc>
        <w:tc>
          <w:tcPr>
            <w:tcW w:w="1337" w:type="dxa"/>
            <w:tcBorders>
              <w:bottom w:val="single" w:sz="8" w:space="0" w:color="000000"/>
            </w:tcBorders>
            <w:shd w:val="clear" w:color="auto" w:fill="DDEBF6"/>
          </w:tcPr>
          <w:p>
            <w:pPr>
              <w:pStyle w:val="TableParagraph"/>
              <w:spacing w:before="52"/>
              <w:ind w:right="100"/>
              <w:jc w:val="right"/>
              <w:rPr>
                <w:b/>
                <w:sz w:val="20"/>
              </w:rPr>
            </w:pPr>
            <w:r>
              <w:rPr>
                <w:b/>
                <w:spacing w:val="-2"/>
                <w:sz w:val="20"/>
              </w:rPr>
              <w:t>1,833</w:t>
            </w:r>
          </w:p>
        </w:tc>
        <w:tc>
          <w:tcPr>
            <w:tcW w:w="1578" w:type="dxa"/>
            <w:tcBorders>
              <w:bottom w:val="single" w:sz="8" w:space="0" w:color="000000"/>
            </w:tcBorders>
          </w:tcPr>
          <w:p>
            <w:pPr>
              <w:pStyle w:val="TableParagraph"/>
              <w:spacing w:before="52"/>
              <w:ind w:right="342"/>
              <w:jc w:val="right"/>
              <w:rPr>
                <w:sz w:val="20"/>
              </w:rPr>
            </w:pPr>
            <w:r>
              <w:rPr>
                <w:spacing w:val="-5"/>
                <w:sz w:val="20"/>
              </w:rPr>
              <w:t>78</w:t>
            </w:r>
          </w:p>
        </w:tc>
        <w:tc>
          <w:tcPr>
            <w:tcW w:w="844" w:type="dxa"/>
            <w:tcBorders>
              <w:bottom w:val="single" w:sz="8" w:space="0" w:color="000000"/>
              <w:right w:val="single" w:sz="4" w:space="0" w:color="000000"/>
            </w:tcBorders>
          </w:tcPr>
          <w:p>
            <w:pPr>
              <w:pStyle w:val="TableParagraph"/>
              <w:spacing w:before="52"/>
              <w:ind w:right="99"/>
              <w:jc w:val="right"/>
              <w:rPr>
                <w:sz w:val="20"/>
              </w:rPr>
            </w:pPr>
            <w:r>
              <w:rPr>
                <w:spacing w:val="-4"/>
                <w:sz w:val="20"/>
              </w:rPr>
              <w:t>4.4%</w:t>
            </w:r>
          </w:p>
        </w:tc>
      </w:tr>
      <w:tr>
        <w:trPr>
          <w:trHeight w:val="342" w:hRule="atLeast"/>
        </w:trPr>
        <w:tc>
          <w:tcPr>
            <w:tcW w:w="5359" w:type="dxa"/>
            <w:tcBorders>
              <w:left w:val="single" w:sz="4" w:space="0" w:color="000000"/>
              <w:bottom w:val="single" w:sz="4" w:space="0" w:color="000000"/>
            </w:tcBorders>
          </w:tcPr>
          <w:p>
            <w:pPr>
              <w:pStyle w:val="TableParagraph"/>
              <w:spacing w:line="211" w:lineRule="exact" w:before="112"/>
              <w:ind w:left="107"/>
              <w:rPr>
                <w:b/>
                <w:sz w:val="20"/>
              </w:rPr>
            </w:pPr>
            <w:r>
              <w:rPr>
                <w:b/>
                <w:sz w:val="20"/>
              </w:rPr>
              <w:t>Total</w:t>
            </w:r>
            <w:r>
              <w:rPr>
                <w:b/>
                <w:spacing w:val="-7"/>
                <w:sz w:val="20"/>
              </w:rPr>
              <w:t> </w:t>
            </w:r>
            <w:r>
              <w:rPr>
                <w:b/>
                <w:sz w:val="20"/>
              </w:rPr>
              <w:t>statutory</w:t>
            </w:r>
            <w:r>
              <w:rPr>
                <w:b/>
                <w:spacing w:val="-7"/>
                <w:sz w:val="20"/>
              </w:rPr>
              <w:t> </w:t>
            </w:r>
            <w:r>
              <w:rPr>
                <w:b/>
                <w:sz w:val="20"/>
              </w:rPr>
              <w:t>fees</w:t>
            </w:r>
            <w:r>
              <w:rPr>
                <w:b/>
                <w:spacing w:val="-7"/>
                <w:sz w:val="20"/>
              </w:rPr>
              <w:t> </w:t>
            </w:r>
            <w:r>
              <w:rPr>
                <w:b/>
                <w:sz w:val="20"/>
              </w:rPr>
              <w:t>and</w:t>
            </w:r>
            <w:r>
              <w:rPr>
                <w:b/>
                <w:spacing w:val="-6"/>
                <w:sz w:val="20"/>
              </w:rPr>
              <w:t> </w:t>
            </w:r>
            <w:r>
              <w:rPr>
                <w:b/>
                <w:spacing w:val="-4"/>
                <w:sz w:val="20"/>
              </w:rPr>
              <w:t>fines</w:t>
            </w:r>
          </w:p>
        </w:tc>
        <w:tc>
          <w:tcPr>
            <w:tcW w:w="1339" w:type="dxa"/>
            <w:tcBorders>
              <w:top w:val="single" w:sz="8" w:space="0" w:color="000000"/>
              <w:bottom w:val="single" w:sz="4" w:space="0" w:color="000000"/>
            </w:tcBorders>
          </w:tcPr>
          <w:p>
            <w:pPr>
              <w:pStyle w:val="TableParagraph"/>
              <w:spacing w:before="54"/>
              <w:ind w:right="102"/>
              <w:jc w:val="right"/>
              <w:rPr>
                <w:b/>
                <w:sz w:val="20"/>
              </w:rPr>
            </w:pPr>
            <w:r>
              <w:rPr>
                <w:b/>
                <w:spacing w:val="-2"/>
                <w:sz w:val="20"/>
              </w:rPr>
              <w:t>5,846</w:t>
            </w:r>
          </w:p>
        </w:tc>
        <w:tc>
          <w:tcPr>
            <w:tcW w:w="1337" w:type="dxa"/>
            <w:tcBorders>
              <w:top w:val="single" w:sz="8" w:space="0" w:color="000000"/>
              <w:bottom w:val="single" w:sz="4" w:space="0" w:color="000000"/>
            </w:tcBorders>
            <w:shd w:val="clear" w:color="auto" w:fill="DDEBF6"/>
          </w:tcPr>
          <w:p>
            <w:pPr>
              <w:pStyle w:val="TableParagraph"/>
              <w:spacing w:before="54"/>
              <w:ind w:right="100"/>
              <w:jc w:val="right"/>
              <w:rPr>
                <w:b/>
                <w:sz w:val="20"/>
              </w:rPr>
            </w:pPr>
            <w:r>
              <w:rPr>
                <w:b/>
                <w:spacing w:val="-2"/>
                <w:sz w:val="20"/>
              </w:rPr>
              <w:t>6,137</w:t>
            </w:r>
          </w:p>
        </w:tc>
        <w:tc>
          <w:tcPr>
            <w:tcW w:w="1578" w:type="dxa"/>
            <w:tcBorders>
              <w:top w:val="single" w:sz="8" w:space="0" w:color="000000"/>
              <w:bottom w:val="single" w:sz="4" w:space="0" w:color="000000"/>
            </w:tcBorders>
          </w:tcPr>
          <w:p>
            <w:pPr>
              <w:pStyle w:val="TableParagraph"/>
              <w:spacing w:before="54"/>
              <w:ind w:right="342"/>
              <w:jc w:val="right"/>
              <w:rPr>
                <w:b/>
                <w:sz w:val="20"/>
              </w:rPr>
            </w:pPr>
            <w:r>
              <w:rPr>
                <w:b/>
                <w:spacing w:val="-5"/>
                <w:sz w:val="20"/>
              </w:rPr>
              <w:t>291</w:t>
            </w:r>
          </w:p>
        </w:tc>
        <w:tc>
          <w:tcPr>
            <w:tcW w:w="844" w:type="dxa"/>
            <w:tcBorders>
              <w:top w:val="single" w:sz="8" w:space="0" w:color="000000"/>
              <w:bottom w:val="single" w:sz="4" w:space="0" w:color="000000"/>
              <w:right w:val="single" w:sz="4" w:space="0" w:color="000000"/>
            </w:tcBorders>
          </w:tcPr>
          <w:p>
            <w:pPr>
              <w:pStyle w:val="TableParagraph"/>
              <w:spacing w:before="54"/>
              <w:ind w:right="96"/>
              <w:jc w:val="right"/>
              <w:rPr>
                <w:b/>
                <w:sz w:val="20"/>
              </w:rPr>
            </w:pPr>
            <w:r>
              <w:rPr>
                <w:b/>
                <w:spacing w:val="-4"/>
                <w:sz w:val="20"/>
              </w:rPr>
              <w:t>5.0%</w:t>
            </w:r>
          </w:p>
        </w:tc>
      </w:tr>
    </w:tbl>
    <w:p>
      <w:pPr>
        <w:pStyle w:val="BodyText"/>
        <w:spacing w:before="8"/>
        <w:rPr>
          <w:b/>
          <w:sz w:val="23"/>
        </w:rPr>
      </w:pPr>
    </w:p>
    <w:p>
      <w:pPr>
        <w:pStyle w:val="BodyText"/>
        <w:ind w:left="260" w:right="555"/>
        <w:jc w:val="both"/>
      </w:pPr>
      <w:r>
        <w:rPr/>
        <w:t>Statutory fees relate mainly to fees and fines levied in accordance with legislation and include animal registrations,</w:t>
      </w:r>
      <w:r>
        <w:rPr>
          <w:spacing w:val="-6"/>
        </w:rPr>
        <w:t> </w:t>
      </w:r>
      <w:r>
        <w:rPr/>
        <w:t>local</w:t>
      </w:r>
      <w:r>
        <w:rPr>
          <w:spacing w:val="-7"/>
        </w:rPr>
        <w:t> </w:t>
      </w:r>
      <w:r>
        <w:rPr/>
        <w:t>laws</w:t>
      </w:r>
      <w:r>
        <w:rPr>
          <w:spacing w:val="-4"/>
        </w:rPr>
        <w:t> </w:t>
      </w:r>
      <w:r>
        <w:rPr/>
        <w:t>and</w:t>
      </w:r>
      <w:r>
        <w:rPr>
          <w:spacing w:val="-4"/>
        </w:rPr>
        <w:t> </w:t>
      </w:r>
      <w:r>
        <w:rPr/>
        <w:t>parking</w:t>
      </w:r>
      <w:r>
        <w:rPr>
          <w:spacing w:val="-5"/>
        </w:rPr>
        <w:t> </w:t>
      </w:r>
      <w:r>
        <w:rPr/>
        <w:t>fines</w:t>
      </w:r>
      <w:r>
        <w:rPr>
          <w:spacing w:val="-6"/>
        </w:rPr>
        <w:t> </w:t>
      </w:r>
      <w:r>
        <w:rPr/>
        <w:t>and</w:t>
      </w:r>
      <w:r>
        <w:rPr>
          <w:spacing w:val="-6"/>
        </w:rPr>
        <w:t> </w:t>
      </w:r>
      <w:r>
        <w:rPr/>
        <w:t>statutory</w:t>
      </w:r>
      <w:r>
        <w:rPr>
          <w:spacing w:val="-6"/>
        </w:rPr>
        <w:t> </w:t>
      </w:r>
      <w:r>
        <w:rPr/>
        <w:t>planning</w:t>
      </w:r>
      <w:r>
        <w:rPr>
          <w:spacing w:val="-6"/>
        </w:rPr>
        <w:t> </w:t>
      </w:r>
      <w:r>
        <w:rPr/>
        <w:t>application</w:t>
      </w:r>
      <w:r>
        <w:rPr>
          <w:spacing w:val="-6"/>
        </w:rPr>
        <w:t> </w:t>
      </w:r>
      <w:r>
        <w:rPr/>
        <w:t>fees.</w:t>
      </w:r>
      <w:r>
        <w:rPr>
          <w:spacing w:val="-6"/>
        </w:rPr>
        <w:t> </w:t>
      </w:r>
      <w:r>
        <w:rPr/>
        <w:t>Increases</w:t>
      </w:r>
      <w:r>
        <w:rPr>
          <w:spacing w:val="-6"/>
        </w:rPr>
        <w:t> </w:t>
      </w:r>
      <w:r>
        <w:rPr/>
        <w:t>in</w:t>
      </w:r>
      <w:r>
        <w:rPr>
          <w:spacing w:val="-8"/>
        </w:rPr>
        <w:t> </w:t>
      </w:r>
      <w:r>
        <w:rPr/>
        <w:t>statutory</w:t>
      </w:r>
      <w:r>
        <w:rPr>
          <w:spacing w:val="-8"/>
        </w:rPr>
        <w:t> </w:t>
      </w:r>
      <w:r>
        <w:rPr/>
        <w:t>fees are made in accordance with legislative requirements.</w:t>
      </w:r>
    </w:p>
    <w:p>
      <w:pPr>
        <w:pStyle w:val="BodyText"/>
        <w:spacing w:before="1"/>
      </w:pPr>
    </w:p>
    <w:p>
      <w:pPr>
        <w:pStyle w:val="Heading4"/>
        <w:numPr>
          <w:ilvl w:val="2"/>
          <w:numId w:val="11"/>
        </w:numPr>
        <w:tabs>
          <w:tab w:pos="862" w:val="left" w:leader="none"/>
        </w:tabs>
        <w:spacing w:line="240" w:lineRule="auto" w:before="1" w:after="0"/>
        <w:ind w:left="861" w:right="0" w:hanging="602"/>
        <w:jc w:val="left"/>
        <w:rPr>
          <w:color w:val="4966AC"/>
        </w:rPr>
      </w:pPr>
      <w:r>
        <w:rPr>
          <w:color w:val="4966AC"/>
        </w:rPr>
        <w:t>User </w:t>
      </w:r>
      <w:r>
        <w:rPr>
          <w:color w:val="4966AC"/>
          <w:spacing w:val="-4"/>
        </w:rPr>
        <w:t>fees</w:t>
      </w:r>
    </w:p>
    <w:p>
      <w:pPr>
        <w:pStyle w:val="BodyText"/>
        <w:spacing w:before="9" w:after="1"/>
        <w:rPr>
          <w:b/>
          <w:sz w:val="21"/>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54"/>
        <w:gridCol w:w="1437"/>
        <w:gridCol w:w="1439"/>
        <w:gridCol w:w="1769"/>
        <w:gridCol w:w="908"/>
      </w:tblGrid>
      <w:tr>
        <w:trPr>
          <w:trHeight w:val="1027" w:hRule="atLeast"/>
        </w:trPr>
        <w:tc>
          <w:tcPr>
            <w:tcW w:w="6491" w:type="dxa"/>
            <w:gridSpan w:val="2"/>
            <w:tcBorders>
              <w:top w:val="single" w:sz="4" w:space="0" w:color="000000"/>
              <w:left w:val="single" w:sz="4" w:space="0" w:color="000000"/>
            </w:tcBorders>
            <w:shd w:val="clear" w:color="auto" w:fill="5B9AD4"/>
          </w:tcPr>
          <w:p>
            <w:pPr>
              <w:pStyle w:val="TableParagraph"/>
              <w:spacing w:line="264" w:lineRule="auto" w:before="42"/>
              <w:ind w:left="5344" w:right="279" w:hanging="1"/>
              <w:jc w:val="center"/>
              <w:rPr>
                <w:b/>
                <w:sz w:val="18"/>
              </w:rPr>
            </w:pPr>
            <w:r>
              <w:rPr>
                <w:b/>
                <w:color w:val="FFFFFF"/>
                <w:spacing w:val="-2"/>
                <w:sz w:val="18"/>
              </w:rPr>
              <w:t>Forecast Actual 2023/2024</w:t>
            </w:r>
          </w:p>
          <w:p>
            <w:pPr>
              <w:pStyle w:val="TableParagraph"/>
              <w:spacing w:line="187" w:lineRule="exact" w:before="94"/>
              <w:ind w:left="5534" w:right="470"/>
              <w:jc w:val="center"/>
              <w:rPr>
                <w:b/>
                <w:sz w:val="18"/>
              </w:rPr>
            </w:pPr>
            <w:r>
              <w:rPr>
                <w:b/>
                <w:color w:val="FFFFFF"/>
                <w:spacing w:val="-2"/>
                <w:sz w:val="18"/>
              </w:rPr>
              <w:t>$’000</w:t>
            </w:r>
          </w:p>
        </w:tc>
        <w:tc>
          <w:tcPr>
            <w:tcW w:w="1439" w:type="dxa"/>
            <w:tcBorders>
              <w:top w:val="single" w:sz="4" w:space="0" w:color="000000"/>
            </w:tcBorders>
            <w:shd w:val="clear" w:color="auto" w:fill="5B9AD4"/>
          </w:tcPr>
          <w:p>
            <w:pPr>
              <w:pStyle w:val="TableParagraph"/>
              <w:spacing w:before="7"/>
              <w:rPr>
                <w:b/>
                <w:sz w:val="21"/>
              </w:rPr>
            </w:pPr>
          </w:p>
          <w:p>
            <w:pPr>
              <w:pStyle w:val="TableParagraph"/>
              <w:spacing w:line="285" w:lineRule="auto"/>
              <w:ind w:left="298" w:right="283" w:firstLine="2"/>
              <w:jc w:val="center"/>
              <w:rPr>
                <w:b/>
                <w:sz w:val="18"/>
              </w:rPr>
            </w:pPr>
            <w:r>
              <w:rPr>
                <w:b/>
                <w:color w:val="FFFFFF"/>
                <w:spacing w:val="-2"/>
                <w:sz w:val="18"/>
              </w:rPr>
              <w:t>Budget 2024/2025</w:t>
            </w:r>
          </w:p>
          <w:p>
            <w:pPr>
              <w:pStyle w:val="TableParagraph"/>
              <w:spacing w:line="187" w:lineRule="exact" w:before="78"/>
              <w:ind w:left="486" w:right="472"/>
              <w:jc w:val="center"/>
              <w:rPr>
                <w:b/>
                <w:sz w:val="18"/>
              </w:rPr>
            </w:pPr>
            <w:r>
              <w:rPr>
                <w:b/>
                <w:color w:val="FFFFFF"/>
                <w:spacing w:val="-2"/>
                <w:sz w:val="18"/>
              </w:rPr>
              <w:t>$’000</w:t>
            </w:r>
          </w:p>
        </w:tc>
        <w:tc>
          <w:tcPr>
            <w:tcW w:w="1769" w:type="dxa"/>
            <w:tcBorders>
              <w:top w:val="single" w:sz="4" w:space="0" w:color="000000"/>
            </w:tcBorders>
            <w:shd w:val="clear" w:color="auto" w:fill="5B9AD4"/>
          </w:tcPr>
          <w:p>
            <w:pPr>
              <w:pStyle w:val="TableParagraph"/>
              <w:rPr>
                <w:b/>
                <w:sz w:val="20"/>
              </w:rPr>
            </w:pPr>
          </w:p>
          <w:p>
            <w:pPr>
              <w:pStyle w:val="TableParagraph"/>
              <w:spacing w:before="5"/>
              <w:rPr>
                <w:b/>
                <w:sz w:val="26"/>
              </w:rPr>
            </w:pPr>
          </w:p>
          <w:p>
            <w:pPr>
              <w:pStyle w:val="TableParagraph"/>
              <w:ind w:left="1014"/>
              <w:rPr>
                <w:b/>
                <w:sz w:val="18"/>
              </w:rPr>
            </w:pPr>
            <w:r>
              <w:rPr>
                <w:b/>
                <w:color w:val="FFFFFF"/>
                <w:spacing w:val="-2"/>
                <w:sz w:val="18"/>
              </w:rPr>
              <w:t>Change</w:t>
            </w:r>
          </w:p>
          <w:p>
            <w:pPr>
              <w:pStyle w:val="TableParagraph"/>
              <w:spacing w:line="187" w:lineRule="exact" w:before="79"/>
              <w:ind w:left="501"/>
              <w:rPr>
                <w:b/>
                <w:sz w:val="18"/>
              </w:rPr>
            </w:pPr>
            <w:r>
              <w:rPr>
                <w:b/>
                <w:color w:val="FFFFFF"/>
                <w:spacing w:val="-2"/>
                <w:sz w:val="18"/>
              </w:rPr>
              <w:t>$’000</w:t>
            </w:r>
          </w:p>
        </w:tc>
        <w:tc>
          <w:tcPr>
            <w:tcW w:w="908"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line="187" w:lineRule="exact" w:before="130"/>
              <w:ind w:left="210"/>
              <w:rPr>
                <w:b/>
                <w:sz w:val="18"/>
              </w:rPr>
            </w:pPr>
            <w:r>
              <w:rPr>
                <w:b/>
                <w:color w:val="FFFFFF"/>
                <w:sz w:val="18"/>
              </w:rPr>
              <w:t>%</w:t>
            </w:r>
          </w:p>
        </w:tc>
      </w:tr>
      <w:tr>
        <w:trPr>
          <w:trHeight w:val="301" w:hRule="atLeast"/>
        </w:trPr>
        <w:tc>
          <w:tcPr>
            <w:tcW w:w="5054" w:type="dxa"/>
            <w:tcBorders>
              <w:left w:val="single" w:sz="4" w:space="0" w:color="000000"/>
            </w:tcBorders>
          </w:tcPr>
          <w:p>
            <w:pPr>
              <w:pStyle w:val="TableParagraph"/>
              <w:spacing w:line="227" w:lineRule="exact" w:before="55"/>
              <w:ind w:left="107"/>
              <w:rPr>
                <w:sz w:val="20"/>
              </w:rPr>
            </w:pPr>
            <w:r>
              <w:rPr>
                <w:sz w:val="20"/>
              </w:rPr>
              <w:t>Active</w:t>
            </w:r>
            <w:r>
              <w:rPr>
                <w:spacing w:val="-7"/>
                <w:sz w:val="20"/>
              </w:rPr>
              <w:t> </w:t>
            </w:r>
            <w:r>
              <w:rPr>
                <w:sz w:val="20"/>
              </w:rPr>
              <w:t>leisure</w:t>
            </w:r>
            <w:r>
              <w:rPr>
                <w:spacing w:val="-8"/>
                <w:sz w:val="20"/>
              </w:rPr>
              <w:t> </w:t>
            </w:r>
            <w:r>
              <w:rPr>
                <w:spacing w:val="-2"/>
                <w:sz w:val="20"/>
              </w:rPr>
              <w:t>centres</w:t>
            </w:r>
          </w:p>
        </w:tc>
        <w:tc>
          <w:tcPr>
            <w:tcW w:w="1437" w:type="dxa"/>
          </w:tcPr>
          <w:p>
            <w:pPr>
              <w:pStyle w:val="TableParagraph"/>
              <w:spacing w:before="26"/>
              <w:ind w:right="102"/>
              <w:jc w:val="right"/>
              <w:rPr>
                <w:sz w:val="20"/>
              </w:rPr>
            </w:pPr>
            <w:r>
              <w:rPr>
                <w:spacing w:val="-2"/>
                <w:sz w:val="20"/>
              </w:rPr>
              <w:t>23,603</w:t>
            </w:r>
          </w:p>
        </w:tc>
        <w:tc>
          <w:tcPr>
            <w:tcW w:w="1439" w:type="dxa"/>
            <w:shd w:val="clear" w:color="auto" w:fill="DDEBF6"/>
          </w:tcPr>
          <w:p>
            <w:pPr>
              <w:pStyle w:val="TableParagraph"/>
              <w:spacing w:before="26"/>
              <w:ind w:right="101"/>
              <w:jc w:val="right"/>
              <w:rPr>
                <w:b/>
                <w:sz w:val="20"/>
              </w:rPr>
            </w:pPr>
            <w:r>
              <w:rPr>
                <w:b/>
                <w:spacing w:val="-2"/>
                <w:sz w:val="20"/>
              </w:rPr>
              <w:t>25,010</w:t>
            </w:r>
          </w:p>
        </w:tc>
        <w:tc>
          <w:tcPr>
            <w:tcW w:w="1769" w:type="dxa"/>
          </w:tcPr>
          <w:p>
            <w:pPr>
              <w:pStyle w:val="TableParagraph"/>
              <w:spacing w:before="26"/>
              <w:ind w:right="429"/>
              <w:jc w:val="right"/>
              <w:rPr>
                <w:sz w:val="20"/>
              </w:rPr>
            </w:pPr>
            <w:r>
              <w:rPr>
                <w:spacing w:val="-2"/>
                <w:sz w:val="20"/>
              </w:rPr>
              <w:t>1,407</w:t>
            </w:r>
          </w:p>
        </w:tc>
        <w:tc>
          <w:tcPr>
            <w:tcW w:w="908" w:type="dxa"/>
            <w:tcBorders>
              <w:right w:val="single" w:sz="4" w:space="0" w:color="000000"/>
            </w:tcBorders>
          </w:tcPr>
          <w:p>
            <w:pPr>
              <w:pStyle w:val="TableParagraph"/>
              <w:spacing w:before="26"/>
              <w:ind w:right="95"/>
              <w:jc w:val="right"/>
              <w:rPr>
                <w:sz w:val="20"/>
              </w:rPr>
            </w:pPr>
            <w:r>
              <w:rPr>
                <w:spacing w:val="-4"/>
                <w:sz w:val="20"/>
              </w:rPr>
              <w:t>6.0%</w:t>
            </w:r>
          </w:p>
        </w:tc>
      </w:tr>
      <w:tr>
        <w:trPr>
          <w:trHeight w:val="285" w:hRule="atLeast"/>
        </w:trPr>
        <w:tc>
          <w:tcPr>
            <w:tcW w:w="5054" w:type="dxa"/>
            <w:tcBorders>
              <w:left w:val="single" w:sz="4" w:space="0" w:color="000000"/>
            </w:tcBorders>
          </w:tcPr>
          <w:p>
            <w:pPr>
              <w:pStyle w:val="TableParagraph"/>
              <w:spacing w:line="227" w:lineRule="exact" w:before="38"/>
              <w:ind w:left="107"/>
              <w:rPr>
                <w:sz w:val="20"/>
              </w:rPr>
            </w:pPr>
            <w:r>
              <w:rPr>
                <w:sz w:val="20"/>
              </w:rPr>
              <w:t>Aged</w:t>
            </w:r>
            <w:r>
              <w:rPr>
                <w:spacing w:val="-7"/>
                <w:sz w:val="20"/>
              </w:rPr>
              <w:t> </w:t>
            </w:r>
            <w:r>
              <w:rPr>
                <w:sz w:val="20"/>
              </w:rPr>
              <w:t>and</w:t>
            </w:r>
            <w:r>
              <w:rPr>
                <w:spacing w:val="-5"/>
                <w:sz w:val="20"/>
              </w:rPr>
              <w:t> </w:t>
            </w:r>
            <w:r>
              <w:rPr>
                <w:sz w:val="20"/>
              </w:rPr>
              <w:t>health</w:t>
            </w:r>
            <w:r>
              <w:rPr>
                <w:spacing w:val="-3"/>
                <w:sz w:val="20"/>
              </w:rPr>
              <w:t> </w:t>
            </w:r>
            <w:r>
              <w:rPr>
                <w:spacing w:val="-2"/>
                <w:sz w:val="20"/>
              </w:rPr>
              <w:t>Services</w:t>
            </w:r>
          </w:p>
        </w:tc>
        <w:tc>
          <w:tcPr>
            <w:tcW w:w="1437" w:type="dxa"/>
          </w:tcPr>
          <w:p>
            <w:pPr>
              <w:pStyle w:val="TableParagraph"/>
              <w:spacing w:before="10"/>
              <w:ind w:right="102"/>
              <w:jc w:val="right"/>
              <w:rPr>
                <w:sz w:val="20"/>
              </w:rPr>
            </w:pPr>
            <w:r>
              <w:rPr>
                <w:spacing w:val="-5"/>
                <w:sz w:val="20"/>
              </w:rPr>
              <w:t>695</w:t>
            </w:r>
          </w:p>
        </w:tc>
        <w:tc>
          <w:tcPr>
            <w:tcW w:w="1439" w:type="dxa"/>
            <w:shd w:val="clear" w:color="auto" w:fill="DDEBF6"/>
          </w:tcPr>
          <w:p>
            <w:pPr>
              <w:pStyle w:val="TableParagraph"/>
              <w:spacing w:before="10"/>
              <w:ind w:right="101"/>
              <w:jc w:val="right"/>
              <w:rPr>
                <w:b/>
                <w:sz w:val="20"/>
              </w:rPr>
            </w:pPr>
            <w:r>
              <w:rPr>
                <w:b/>
                <w:spacing w:val="-5"/>
                <w:sz w:val="20"/>
              </w:rPr>
              <w:t>830</w:t>
            </w:r>
          </w:p>
        </w:tc>
        <w:tc>
          <w:tcPr>
            <w:tcW w:w="1769" w:type="dxa"/>
          </w:tcPr>
          <w:p>
            <w:pPr>
              <w:pStyle w:val="TableParagraph"/>
              <w:spacing w:before="10"/>
              <w:ind w:right="430"/>
              <w:jc w:val="right"/>
              <w:rPr>
                <w:sz w:val="20"/>
              </w:rPr>
            </w:pPr>
            <w:r>
              <w:rPr>
                <w:spacing w:val="-5"/>
                <w:sz w:val="20"/>
              </w:rPr>
              <w:t>135</w:t>
            </w:r>
          </w:p>
        </w:tc>
        <w:tc>
          <w:tcPr>
            <w:tcW w:w="908" w:type="dxa"/>
            <w:tcBorders>
              <w:right w:val="single" w:sz="4" w:space="0" w:color="000000"/>
            </w:tcBorders>
          </w:tcPr>
          <w:p>
            <w:pPr>
              <w:pStyle w:val="TableParagraph"/>
              <w:spacing w:before="10"/>
              <w:ind w:right="95"/>
              <w:jc w:val="right"/>
              <w:rPr>
                <w:sz w:val="20"/>
              </w:rPr>
            </w:pPr>
            <w:r>
              <w:rPr>
                <w:spacing w:val="-2"/>
                <w:sz w:val="20"/>
              </w:rPr>
              <w:t>19.4%</w:t>
            </w:r>
          </w:p>
        </w:tc>
      </w:tr>
      <w:tr>
        <w:trPr>
          <w:trHeight w:val="284" w:hRule="atLeast"/>
        </w:trPr>
        <w:tc>
          <w:tcPr>
            <w:tcW w:w="5054" w:type="dxa"/>
            <w:tcBorders>
              <w:left w:val="single" w:sz="4" w:space="0" w:color="000000"/>
            </w:tcBorders>
          </w:tcPr>
          <w:p>
            <w:pPr>
              <w:pStyle w:val="TableParagraph"/>
              <w:spacing w:line="228" w:lineRule="exact" w:before="36"/>
              <w:ind w:left="107"/>
              <w:rPr>
                <w:sz w:val="20"/>
              </w:rPr>
            </w:pPr>
            <w:r>
              <w:rPr>
                <w:sz w:val="20"/>
              </w:rPr>
              <w:t>Asset</w:t>
            </w:r>
            <w:r>
              <w:rPr>
                <w:spacing w:val="-8"/>
                <w:sz w:val="20"/>
              </w:rPr>
              <w:t> </w:t>
            </w:r>
            <w:r>
              <w:rPr>
                <w:spacing w:val="-2"/>
                <w:sz w:val="20"/>
              </w:rPr>
              <w:t>Protection</w:t>
            </w:r>
          </w:p>
        </w:tc>
        <w:tc>
          <w:tcPr>
            <w:tcW w:w="1437" w:type="dxa"/>
          </w:tcPr>
          <w:p>
            <w:pPr>
              <w:pStyle w:val="TableParagraph"/>
              <w:spacing w:before="10"/>
              <w:ind w:right="102"/>
              <w:jc w:val="right"/>
              <w:rPr>
                <w:sz w:val="20"/>
              </w:rPr>
            </w:pPr>
            <w:r>
              <w:rPr>
                <w:spacing w:val="-5"/>
                <w:sz w:val="20"/>
              </w:rPr>
              <w:t>300</w:t>
            </w:r>
          </w:p>
        </w:tc>
        <w:tc>
          <w:tcPr>
            <w:tcW w:w="1439" w:type="dxa"/>
            <w:shd w:val="clear" w:color="auto" w:fill="DDEBF6"/>
          </w:tcPr>
          <w:p>
            <w:pPr>
              <w:pStyle w:val="TableParagraph"/>
              <w:spacing w:before="10"/>
              <w:ind w:right="101"/>
              <w:jc w:val="right"/>
              <w:rPr>
                <w:b/>
                <w:sz w:val="20"/>
              </w:rPr>
            </w:pPr>
            <w:r>
              <w:rPr>
                <w:b/>
                <w:spacing w:val="-5"/>
                <w:sz w:val="20"/>
              </w:rPr>
              <w:t>340</w:t>
            </w:r>
          </w:p>
        </w:tc>
        <w:tc>
          <w:tcPr>
            <w:tcW w:w="1769" w:type="dxa"/>
          </w:tcPr>
          <w:p>
            <w:pPr>
              <w:pStyle w:val="TableParagraph"/>
              <w:spacing w:before="10"/>
              <w:ind w:right="431"/>
              <w:jc w:val="right"/>
              <w:rPr>
                <w:sz w:val="20"/>
              </w:rPr>
            </w:pPr>
            <w:r>
              <w:rPr>
                <w:spacing w:val="-5"/>
                <w:sz w:val="20"/>
              </w:rPr>
              <w:t>40</w:t>
            </w:r>
          </w:p>
        </w:tc>
        <w:tc>
          <w:tcPr>
            <w:tcW w:w="908" w:type="dxa"/>
            <w:tcBorders>
              <w:right w:val="single" w:sz="4" w:space="0" w:color="000000"/>
            </w:tcBorders>
          </w:tcPr>
          <w:p>
            <w:pPr>
              <w:pStyle w:val="TableParagraph"/>
              <w:spacing w:before="10"/>
              <w:ind w:right="95"/>
              <w:jc w:val="right"/>
              <w:rPr>
                <w:sz w:val="20"/>
              </w:rPr>
            </w:pPr>
            <w:r>
              <w:rPr>
                <w:spacing w:val="-2"/>
                <w:sz w:val="20"/>
              </w:rPr>
              <w:t>13.3%</w:t>
            </w:r>
          </w:p>
        </w:tc>
      </w:tr>
      <w:tr>
        <w:trPr>
          <w:trHeight w:val="284" w:hRule="atLeast"/>
        </w:trPr>
        <w:tc>
          <w:tcPr>
            <w:tcW w:w="5054" w:type="dxa"/>
            <w:tcBorders>
              <w:left w:val="single" w:sz="4" w:space="0" w:color="000000"/>
            </w:tcBorders>
          </w:tcPr>
          <w:p>
            <w:pPr>
              <w:pStyle w:val="TableParagraph"/>
              <w:spacing w:line="227" w:lineRule="exact" w:before="37"/>
              <w:ind w:left="107"/>
              <w:rPr>
                <w:sz w:val="20"/>
              </w:rPr>
            </w:pPr>
            <w:r>
              <w:rPr>
                <w:sz w:val="20"/>
              </w:rPr>
              <w:t>Building</w:t>
            </w:r>
            <w:r>
              <w:rPr>
                <w:spacing w:val="-9"/>
                <w:sz w:val="20"/>
              </w:rPr>
              <w:t> </w:t>
            </w:r>
            <w:r>
              <w:rPr>
                <w:spacing w:val="-2"/>
                <w:sz w:val="20"/>
              </w:rPr>
              <w:t>services</w:t>
            </w:r>
          </w:p>
        </w:tc>
        <w:tc>
          <w:tcPr>
            <w:tcW w:w="1437" w:type="dxa"/>
          </w:tcPr>
          <w:p>
            <w:pPr>
              <w:pStyle w:val="TableParagraph"/>
              <w:spacing w:before="11"/>
              <w:ind w:right="99"/>
              <w:jc w:val="right"/>
              <w:rPr>
                <w:sz w:val="20"/>
              </w:rPr>
            </w:pPr>
            <w:r>
              <w:rPr>
                <w:w w:val="99"/>
                <w:sz w:val="20"/>
              </w:rPr>
              <w:t>0</w:t>
            </w:r>
          </w:p>
        </w:tc>
        <w:tc>
          <w:tcPr>
            <w:tcW w:w="1439" w:type="dxa"/>
            <w:shd w:val="clear" w:color="auto" w:fill="DDEBF6"/>
          </w:tcPr>
          <w:p>
            <w:pPr>
              <w:pStyle w:val="TableParagraph"/>
              <w:spacing w:before="11"/>
              <w:ind w:right="102"/>
              <w:jc w:val="right"/>
              <w:rPr>
                <w:b/>
                <w:sz w:val="20"/>
              </w:rPr>
            </w:pPr>
            <w:r>
              <w:rPr>
                <w:b/>
                <w:spacing w:val="-5"/>
                <w:sz w:val="20"/>
              </w:rPr>
              <w:t>30</w:t>
            </w:r>
          </w:p>
        </w:tc>
        <w:tc>
          <w:tcPr>
            <w:tcW w:w="1769" w:type="dxa"/>
          </w:tcPr>
          <w:p>
            <w:pPr>
              <w:pStyle w:val="TableParagraph"/>
              <w:spacing w:before="11"/>
              <w:ind w:right="431"/>
              <w:jc w:val="right"/>
              <w:rPr>
                <w:sz w:val="20"/>
              </w:rPr>
            </w:pPr>
            <w:r>
              <w:rPr>
                <w:spacing w:val="-5"/>
                <w:sz w:val="20"/>
              </w:rPr>
              <w:t>30</w:t>
            </w:r>
          </w:p>
        </w:tc>
        <w:tc>
          <w:tcPr>
            <w:tcW w:w="908" w:type="dxa"/>
            <w:tcBorders>
              <w:right w:val="single" w:sz="4" w:space="0" w:color="000000"/>
            </w:tcBorders>
          </w:tcPr>
          <w:p>
            <w:pPr>
              <w:pStyle w:val="TableParagraph"/>
              <w:spacing w:before="11"/>
              <w:ind w:right="95"/>
              <w:jc w:val="right"/>
              <w:rPr>
                <w:sz w:val="20"/>
              </w:rPr>
            </w:pPr>
            <w:r>
              <w:rPr>
                <w:spacing w:val="-4"/>
                <w:sz w:val="20"/>
              </w:rPr>
              <w:t>0.0%</w:t>
            </w:r>
          </w:p>
        </w:tc>
      </w:tr>
      <w:tr>
        <w:trPr>
          <w:trHeight w:val="285" w:hRule="atLeast"/>
        </w:trPr>
        <w:tc>
          <w:tcPr>
            <w:tcW w:w="5054" w:type="dxa"/>
            <w:tcBorders>
              <w:left w:val="single" w:sz="4" w:space="0" w:color="000000"/>
            </w:tcBorders>
          </w:tcPr>
          <w:p>
            <w:pPr>
              <w:pStyle w:val="TableParagraph"/>
              <w:spacing w:line="227" w:lineRule="exact" w:before="38"/>
              <w:ind w:left="107"/>
              <w:rPr>
                <w:sz w:val="20"/>
              </w:rPr>
            </w:pPr>
            <w:r>
              <w:rPr>
                <w:sz w:val="20"/>
              </w:rPr>
              <w:t>Community</w:t>
            </w:r>
            <w:r>
              <w:rPr>
                <w:spacing w:val="-7"/>
                <w:sz w:val="20"/>
              </w:rPr>
              <w:t> </w:t>
            </w:r>
            <w:r>
              <w:rPr>
                <w:sz w:val="20"/>
              </w:rPr>
              <w:t>facilities</w:t>
            </w:r>
            <w:r>
              <w:rPr>
                <w:spacing w:val="-7"/>
                <w:sz w:val="20"/>
              </w:rPr>
              <w:t> </w:t>
            </w:r>
            <w:r>
              <w:rPr>
                <w:sz w:val="20"/>
              </w:rPr>
              <w:t>-</w:t>
            </w:r>
            <w:r>
              <w:rPr>
                <w:spacing w:val="-7"/>
                <w:sz w:val="20"/>
              </w:rPr>
              <w:t> </w:t>
            </w:r>
            <w:r>
              <w:rPr>
                <w:spacing w:val="-2"/>
                <w:sz w:val="20"/>
              </w:rPr>
              <w:t>recreation</w:t>
            </w:r>
          </w:p>
        </w:tc>
        <w:tc>
          <w:tcPr>
            <w:tcW w:w="1437" w:type="dxa"/>
          </w:tcPr>
          <w:p>
            <w:pPr>
              <w:pStyle w:val="TableParagraph"/>
              <w:spacing w:before="10"/>
              <w:ind w:right="102"/>
              <w:jc w:val="right"/>
              <w:rPr>
                <w:sz w:val="20"/>
              </w:rPr>
            </w:pPr>
            <w:r>
              <w:rPr>
                <w:spacing w:val="-5"/>
                <w:sz w:val="20"/>
              </w:rPr>
              <w:t>796</w:t>
            </w:r>
          </w:p>
        </w:tc>
        <w:tc>
          <w:tcPr>
            <w:tcW w:w="1439" w:type="dxa"/>
            <w:shd w:val="clear" w:color="auto" w:fill="DDEBF6"/>
          </w:tcPr>
          <w:p>
            <w:pPr>
              <w:pStyle w:val="TableParagraph"/>
              <w:spacing w:before="10"/>
              <w:ind w:right="101"/>
              <w:jc w:val="right"/>
              <w:rPr>
                <w:b/>
                <w:sz w:val="20"/>
              </w:rPr>
            </w:pPr>
            <w:r>
              <w:rPr>
                <w:b/>
                <w:spacing w:val="-5"/>
                <w:sz w:val="20"/>
              </w:rPr>
              <w:t>788</w:t>
            </w:r>
          </w:p>
        </w:tc>
        <w:tc>
          <w:tcPr>
            <w:tcW w:w="1769" w:type="dxa"/>
          </w:tcPr>
          <w:p>
            <w:pPr>
              <w:pStyle w:val="TableParagraph"/>
              <w:spacing w:before="10"/>
              <w:ind w:right="429"/>
              <w:jc w:val="right"/>
              <w:rPr>
                <w:sz w:val="20"/>
              </w:rPr>
            </w:pPr>
            <w:r>
              <w:rPr>
                <w:spacing w:val="-5"/>
                <w:sz w:val="20"/>
              </w:rPr>
              <w:t>(8)</w:t>
            </w:r>
          </w:p>
        </w:tc>
        <w:tc>
          <w:tcPr>
            <w:tcW w:w="908" w:type="dxa"/>
            <w:tcBorders>
              <w:right w:val="single" w:sz="4" w:space="0" w:color="000000"/>
            </w:tcBorders>
          </w:tcPr>
          <w:p>
            <w:pPr>
              <w:pStyle w:val="TableParagraph"/>
              <w:spacing w:before="10"/>
              <w:ind w:right="93"/>
              <w:jc w:val="right"/>
              <w:rPr>
                <w:sz w:val="20"/>
              </w:rPr>
            </w:pPr>
            <w:r>
              <w:rPr>
                <w:spacing w:val="-2"/>
                <w:sz w:val="20"/>
              </w:rPr>
              <w:t>(1.0%)</w:t>
            </w:r>
          </w:p>
        </w:tc>
      </w:tr>
      <w:tr>
        <w:trPr>
          <w:trHeight w:val="285" w:hRule="atLeast"/>
        </w:trPr>
        <w:tc>
          <w:tcPr>
            <w:tcW w:w="5054" w:type="dxa"/>
            <w:tcBorders>
              <w:left w:val="single" w:sz="4" w:space="0" w:color="000000"/>
            </w:tcBorders>
          </w:tcPr>
          <w:p>
            <w:pPr>
              <w:pStyle w:val="TableParagraph"/>
              <w:spacing w:line="227" w:lineRule="exact" w:before="38"/>
              <w:ind w:left="107"/>
              <w:rPr>
                <w:sz w:val="20"/>
              </w:rPr>
            </w:pPr>
            <w:r>
              <w:rPr>
                <w:sz w:val="20"/>
              </w:rPr>
              <w:t>Community</w:t>
            </w:r>
            <w:r>
              <w:rPr>
                <w:spacing w:val="-13"/>
                <w:sz w:val="20"/>
              </w:rPr>
              <w:t> </w:t>
            </w:r>
            <w:r>
              <w:rPr>
                <w:spacing w:val="-2"/>
                <w:sz w:val="20"/>
              </w:rPr>
              <w:t>health</w:t>
            </w:r>
          </w:p>
        </w:tc>
        <w:tc>
          <w:tcPr>
            <w:tcW w:w="1437" w:type="dxa"/>
          </w:tcPr>
          <w:p>
            <w:pPr>
              <w:pStyle w:val="TableParagraph"/>
              <w:spacing w:before="10"/>
              <w:ind w:right="103"/>
              <w:jc w:val="right"/>
              <w:rPr>
                <w:sz w:val="20"/>
              </w:rPr>
            </w:pPr>
            <w:r>
              <w:rPr>
                <w:spacing w:val="-5"/>
                <w:sz w:val="20"/>
              </w:rPr>
              <w:t>56</w:t>
            </w:r>
          </w:p>
        </w:tc>
        <w:tc>
          <w:tcPr>
            <w:tcW w:w="1439" w:type="dxa"/>
            <w:shd w:val="clear" w:color="auto" w:fill="DDEBF6"/>
          </w:tcPr>
          <w:p>
            <w:pPr>
              <w:pStyle w:val="TableParagraph"/>
              <w:spacing w:before="10"/>
              <w:ind w:right="102"/>
              <w:jc w:val="right"/>
              <w:rPr>
                <w:b/>
                <w:sz w:val="20"/>
              </w:rPr>
            </w:pPr>
            <w:r>
              <w:rPr>
                <w:b/>
                <w:spacing w:val="-5"/>
                <w:sz w:val="20"/>
              </w:rPr>
              <w:t>42</w:t>
            </w:r>
          </w:p>
        </w:tc>
        <w:tc>
          <w:tcPr>
            <w:tcW w:w="1769" w:type="dxa"/>
          </w:tcPr>
          <w:p>
            <w:pPr>
              <w:pStyle w:val="TableParagraph"/>
              <w:spacing w:before="10"/>
              <w:ind w:right="428"/>
              <w:jc w:val="right"/>
              <w:rPr>
                <w:sz w:val="20"/>
              </w:rPr>
            </w:pPr>
            <w:r>
              <w:rPr>
                <w:spacing w:val="-4"/>
                <w:sz w:val="20"/>
              </w:rPr>
              <w:t>(14)</w:t>
            </w:r>
          </w:p>
        </w:tc>
        <w:tc>
          <w:tcPr>
            <w:tcW w:w="908" w:type="dxa"/>
            <w:tcBorders>
              <w:right w:val="single" w:sz="4" w:space="0" w:color="000000"/>
            </w:tcBorders>
          </w:tcPr>
          <w:p>
            <w:pPr>
              <w:pStyle w:val="TableParagraph"/>
              <w:spacing w:before="10"/>
              <w:ind w:left="102"/>
              <w:rPr>
                <w:sz w:val="20"/>
              </w:rPr>
            </w:pPr>
            <w:r>
              <w:rPr>
                <w:spacing w:val="-2"/>
                <w:sz w:val="20"/>
              </w:rPr>
              <w:t>(25.0%)</w:t>
            </w:r>
          </w:p>
        </w:tc>
      </w:tr>
      <w:tr>
        <w:trPr>
          <w:trHeight w:val="284" w:hRule="atLeast"/>
        </w:trPr>
        <w:tc>
          <w:tcPr>
            <w:tcW w:w="5054" w:type="dxa"/>
            <w:tcBorders>
              <w:left w:val="single" w:sz="4" w:space="0" w:color="000000"/>
            </w:tcBorders>
          </w:tcPr>
          <w:p>
            <w:pPr>
              <w:pStyle w:val="TableParagraph"/>
              <w:spacing w:line="228" w:lineRule="exact" w:before="36"/>
              <w:ind w:left="107"/>
              <w:rPr>
                <w:sz w:val="20"/>
              </w:rPr>
            </w:pPr>
            <w:r>
              <w:rPr>
                <w:sz w:val="20"/>
              </w:rPr>
              <w:t>Local</w:t>
            </w:r>
            <w:r>
              <w:rPr>
                <w:spacing w:val="-5"/>
                <w:sz w:val="20"/>
              </w:rPr>
              <w:t> </w:t>
            </w:r>
            <w:r>
              <w:rPr>
                <w:spacing w:val="-4"/>
                <w:sz w:val="20"/>
              </w:rPr>
              <w:t>laws</w:t>
            </w:r>
          </w:p>
        </w:tc>
        <w:tc>
          <w:tcPr>
            <w:tcW w:w="1437" w:type="dxa"/>
          </w:tcPr>
          <w:p>
            <w:pPr>
              <w:pStyle w:val="TableParagraph"/>
              <w:spacing w:before="10"/>
              <w:ind w:right="103"/>
              <w:jc w:val="right"/>
              <w:rPr>
                <w:sz w:val="20"/>
              </w:rPr>
            </w:pPr>
            <w:r>
              <w:rPr>
                <w:spacing w:val="-5"/>
                <w:sz w:val="20"/>
              </w:rPr>
              <w:t>64</w:t>
            </w:r>
          </w:p>
        </w:tc>
        <w:tc>
          <w:tcPr>
            <w:tcW w:w="1439" w:type="dxa"/>
            <w:shd w:val="clear" w:color="auto" w:fill="DDEBF6"/>
          </w:tcPr>
          <w:p>
            <w:pPr>
              <w:pStyle w:val="TableParagraph"/>
              <w:spacing w:before="10"/>
              <w:ind w:right="101"/>
              <w:jc w:val="right"/>
              <w:rPr>
                <w:b/>
                <w:sz w:val="20"/>
              </w:rPr>
            </w:pPr>
            <w:r>
              <w:rPr>
                <w:b/>
                <w:spacing w:val="-5"/>
                <w:sz w:val="20"/>
              </w:rPr>
              <w:t>131</w:t>
            </w:r>
          </w:p>
        </w:tc>
        <w:tc>
          <w:tcPr>
            <w:tcW w:w="1769" w:type="dxa"/>
          </w:tcPr>
          <w:p>
            <w:pPr>
              <w:pStyle w:val="TableParagraph"/>
              <w:spacing w:before="10"/>
              <w:ind w:right="431"/>
              <w:jc w:val="right"/>
              <w:rPr>
                <w:sz w:val="20"/>
              </w:rPr>
            </w:pPr>
            <w:r>
              <w:rPr>
                <w:spacing w:val="-5"/>
                <w:sz w:val="20"/>
              </w:rPr>
              <w:t>67</w:t>
            </w:r>
          </w:p>
        </w:tc>
        <w:tc>
          <w:tcPr>
            <w:tcW w:w="908" w:type="dxa"/>
            <w:tcBorders>
              <w:right w:val="single" w:sz="4" w:space="0" w:color="000000"/>
            </w:tcBorders>
          </w:tcPr>
          <w:p>
            <w:pPr>
              <w:pStyle w:val="TableParagraph"/>
              <w:spacing w:before="10"/>
              <w:ind w:left="124"/>
              <w:rPr>
                <w:sz w:val="20"/>
              </w:rPr>
            </w:pPr>
            <w:r>
              <w:rPr>
                <w:spacing w:val="-2"/>
                <w:sz w:val="20"/>
              </w:rPr>
              <w:t>104.7%</w:t>
            </w:r>
          </w:p>
        </w:tc>
      </w:tr>
      <w:tr>
        <w:trPr>
          <w:trHeight w:val="284" w:hRule="atLeast"/>
        </w:trPr>
        <w:tc>
          <w:tcPr>
            <w:tcW w:w="5054" w:type="dxa"/>
            <w:tcBorders>
              <w:left w:val="single" w:sz="4" w:space="0" w:color="000000"/>
            </w:tcBorders>
          </w:tcPr>
          <w:p>
            <w:pPr>
              <w:pStyle w:val="TableParagraph"/>
              <w:spacing w:line="227" w:lineRule="exact" w:before="37"/>
              <w:ind w:left="107"/>
              <w:rPr>
                <w:sz w:val="20"/>
              </w:rPr>
            </w:pPr>
            <w:r>
              <w:rPr>
                <w:sz w:val="20"/>
              </w:rPr>
              <w:t>Occupation</w:t>
            </w:r>
            <w:r>
              <w:rPr>
                <w:spacing w:val="-7"/>
                <w:sz w:val="20"/>
              </w:rPr>
              <w:t> </w:t>
            </w:r>
            <w:r>
              <w:rPr>
                <w:sz w:val="20"/>
              </w:rPr>
              <w:t>road</w:t>
            </w:r>
            <w:r>
              <w:rPr>
                <w:spacing w:val="-8"/>
                <w:sz w:val="20"/>
              </w:rPr>
              <w:t> </w:t>
            </w:r>
            <w:r>
              <w:rPr>
                <w:spacing w:val="-2"/>
                <w:sz w:val="20"/>
              </w:rPr>
              <w:t>reserve</w:t>
            </w:r>
          </w:p>
        </w:tc>
        <w:tc>
          <w:tcPr>
            <w:tcW w:w="1437" w:type="dxa"/>
          </w:tcPr>
          <w:p>
            <w:pPr>
              <w:pStyle w:val="TableParagraph"/>
              <w:spacing w:before="11"/>
              <w:ind w:right="102"/>
              <w:jc w:val="right"/>
              <w:rPr>
                <w:sz w:val="20"/>
              </w:rPr>
            </w:pPr>
            <w:r>
              <w:rPr>
                <w:spacing w:val="-5"/>
                <w:sz w:val="20"/>
              </w:rPr>
              <w:t>150</w:t>
            </w:r>
          </w:p>
        </w:tc>
        <w:tc>
          <w:tcPr>
            <w:tcW w:w="1439" w:type="dxa"/>
            <w:shd w:val="clear" w:color="auto" w:fill="DDEBF6"/>
          </w:tcPr>
          <w:p>
            <w:pPr>
              <w:pStyle w:val="TableParagraph"/>
              <w:spacing w:before="11"/>
              <w:ind w:right="101"/>
              <w:jc w:val="right"/>
              <w:rPr>
                <w:b/>
                <w:sz w:val="20"/>
              </w:rPr>
            </w:pPr>
            <w:r>
              <w:rPr>
                <w:b/>
                <w:spacing w:val="-5"/>
                <w:sz w:val="20"/>
              </w:rPr>
              <w:t>150</w:t>
            </w:r>
          </w:p>
        </w:tc>
        <w:tc>
          <w:tcPr>
            <w:tcW w:w="1769" w:type="dxa"/>
          </w:tcPr>
          <w:p>
            <w:pPr>
              <w:pStyle w:val="TableParagraph"/>
              <w:spacing w:before="11"/>
              <w:ind w:right="427"/>
              <w:jc w:val="right"/>
              <w:rPr>
                <w:sz w:val="20"/>
              </w:rPr>
            </w:pPr>
            <w:r>
              <w:rPr>
                <w:w w:val="99"/>
                <w:sz w:val="20"/>
              </w:rPr>
              <w:t>0</w:t>
            </w:r>
          </w:p>
        </w:tc>
        <w:tc>
          <w:tcPr>
            <w:tcW w:w="908" w:type="dxa"/>
            <w:tcBorders>
              <w:right w:val="single" w:sz="4" w:space="0" w:color="000000"/>
            </w:tcBorders>
          </w:tcPr>
          <w:p>
            <w:pPr>
              <w:pStyle w:val="TableParagraph"/>
              <w:spacing w:before="11"/>
              <w:ind w:right="95"/>
              <w:jc w:val="right"/>
              <w:rPr>
                <w:sz w:val="20"/>
              </w:rPr>
            </w:pPr>
            <w:r>
              <w:rPr>
                <w:spacing w:val="-4"/>
                <w:sz w:val="20"/>
              </w:rPr>
              <w:t>0.0%</w:t>
            </w:r>
          </w:p>
        </w:tc>
      </w:tr>
      <w:tr>
        <w:trPr>
          <w:trHeight w:val="285" w:hRule="atLeast"/>
        </w:trPr>
        <w:tc>
          <w:tcPr>
            <w:tcW w:w="5054" w:type="dxa"/>
            <w:tcBorders>
              <w:left w:val="single" w:sz="4" w:space="0" w:color="000000"/>
            </w:tcBorders>
          </w:tcPr>
          <w:p>
            <w:pPr>
              <w:pStyle w:val="TableParagraph"/>
              <w:spacing w:line="227" w:lineRule="exact" w:before="38"/>
              <w:ind w:left="107"/>
              <w:rPr>
                <w:sz w:val="20"/>
              </w:rPr>
            </w:pPr>
            <w:r>
              <w:rPr>
                <w:sz w:val="20"/>
              </w:rPr>
              <w:t>Other</w:t>
            </w:r>
            <w:r>
              <w:rPr>
                <w:spacing w:val="-5"/>
                <w:sz w:val="20"/>
              </w:rPr>
              <w:t> </w:t>
            </w:r>
            <w:r>
              <w:rPr>
                <w:sz w:val="20"/>
              </w:rPr>
              <w:t>fees</w:t>
            </w:r>
            <w:r>
              <w:rPr>
                <w:spacing w:val="-3"/>
                <w:sz w:val="20"/>
              </w:rPr>
              <w:t> </w:t>
            </w:r>
            <w:r>
              <w:rPr>
                <w:sz w:val="20"/>
              </w:rPr>
              <w:t>and</w:t>
            </w:r>
            <w:r>
              <w:rPr>
                <w:spacing w:val="-7"/>
                <w:sz w:val="20"/>
              </w:rPr>
              <w:t> </w:t>
            </w:r>
            <w:r>
              <w:rPr>
                <w:spacing w:val="-2"/>
                <w:sz w:val="20"/>
              </w:rPr>
              <w:t>charges</w:t>
            </w:r>
          </w:p>
        </w:tc>
        <w:tc>
          <w:tcPr>
            <w:tcW w:w="1437" w:type="dxa"/>
          </w:tcPr>
          <w:p>
            <w:pPr>
              <w:pStyle w:val="TableParagraph"/>
              <w:spacing w:before="10"/>
              <w:ind w:right="101"/>
              <w:jc w:val="right"/>
              <w:rPr>
                <w:sz w:val="20"/>
              </w:rPr>
            </w:pPr>
            <w:r>
              <w:rPr>
                <w:spacing w:val="-2"/>
                <w:sz w:val="20"/>
              </w:rPr>
              <w:t>1,828</w:t>
            </w:r>
          </w:p>
        </w:tc>
        <w:tc>
          <w:tcPr>
            <w:tcW w:w="1439" w:type="dxa"/>
            <w:shd w:val="clear" w:color="auto" w:fill="DDEBF6"/>
          </w:tcPr>
          <w:p>
            <w:pPr>
              <w:pStyle w:val="TableParagraph"/>
              <w:spacing w:before="10"/>
              <w:ind w:right="100"/>
              <w:jc w:val="right"/>
              <w:rPr>
                <w:b/>
                <w:sz w:val="20"/>
              </w:rPr>
            </w:pPr>
            <w:r>
              <w:rPr>
                <w:b/>
                <w:spacing w:val="-2"/>
                <w:sz w:val="20"/>
              </w:rPr>
              <w:t>1,669</w:t>
            </w:r>
          </w:p>
        </w:tc>
        <w:tc>
          <w:tcPr>
            <w:tcW w:w="1769" w:type="dxa"/>
          </w:tcPr>
          <w:p>
            <w:pPr>
              <w:pStyle w:val="TableParagraph"/>
              <w:spacing w:before="10"/>
              <w:ind w:right="432"/>
              <w:jc w:val="right"/>
              <w:rPr>
                <w:sz w:val="20"/>
              </w:rPr>
            </w:pPr>
            <w:r>
              <w:rPr>
                <w:spacing w:val="-2"/>
                <w:sz w:val="20"/>
              </w:rPr>
              <w:t>(159)</w:t>
            </w:r>
          </w:p>
        </w:tc>
        <w:tc>
          <w:tcPr>
            <w:tcW w:w="908" w:type="dxa"/>
            <w:tcBorders>
              <w:right w:val="single" w:sz="4" w:space="0" w:color="000000"/>
            </w:tcBorders>
          </w:tcPr>
          <w:p>
            <w:pPr>
              <w:pStyle w:val="TableParagraph"/>
              <w:spacing w:before="10"/>
              <w:ind w:right="93"/>
              <w:jc w:val="right"/>
              <w:rPr>
                <w:sz w:val="20"/>
              </w:rPr>
            </w:pPr>
            <w:r>
              <w:rPr>
                <w:spacing w:val="-2"/>
                <w:sz w:val="20"/>
              </w:rPr>
              <w:t>(8.7%)</w:t>
            </w:r>
          </w:p>
        </w:tc>
      </w:tr>
      <w:tr>
        <w:trPr>
          <w:trHeight w:val="285" w:hRule="atLeast"/>
        </w:trPr>
        <w:tc>
          <w:tcPr>
            <w:tcW w:w="5054" w:type="dxa"/>
            <w:tcBorders>
              <w:left w:val="single" w:sz="4" w:space="0" w:color="000000"/>
            </w:tcBorders>
          </w:tcPr>
          <w:p>
            <w:pPr>
              <w:pStyle w:val="TableParagraph"/>
              <w:spacing w:line="227" w:lineRule="exact" w:before="38"/>
              <w:ind w:left="107"/>
              <w:rPr>
                <w:sz w:val="20"/>
              </w:rPr>
            </w:pPr>
            <w:r>
              <w:rPr>
                <w:sz w:val="20"/>
              </w:rPr>
              <w:t>Performing</w:t>
            </w:r>
            <w:r>
              <w:rPr>
                <w:spacing w:val="-8"/>
                <w:sz w:val="20"/>
              </w:rPr>
              <w:t> </w:t>
            </w:r>
            <w:r>
              <w:rPr>
                <w:sz w:val="20"/>
              </w:rPr>
              <w:t>arts,</w:t>
            </w:r>
            <w:r>
              <w:rPr>
                <w:spacing w:val="-7"/>
                <w:sz w:val="20"/>
              </w:rPr>
              <w:t> </w:t>
            </w:r>
            <w:r>
              <w:rPr>
                <w:sz w:val="20"/>
              </w:rPr>
              <w:t>functions</w:t>
            </w:r>
            <w:r>
              <w:rPr>
                <w:spacing w:val="-5"/>
                <w:sz w:val="20"/>
              </w:rPr>
              <w:t> </w:t>
            </w:r>
            <w:r>
              <w:rPr>
                <w:sz w:val="20"/>
              </w:rPr>
              <w:t>&amp;</w:t>
            </w:r>
            <w:r>
              <w:rPr>
                <w:spacing w:val="-5"/>
                <w:sz w:val="20"/>
              </w:rPr>
              <w:t> </w:t>
            </w:r>
            <w:r>
              <w:rPr>
                <w:spacing w:val="-2"/>
                <w:sz w:val="20"/>
              </w:rPr>
              <w:t>conferences</w:t>
            </w:r>
          </w:p>
        </w:tc>
        <w:tc>
          <w:tcPr>
            <w:tcW w:w="1437" w:type="dxa"/>
          </w:tcPr>
          <w:p>
            <w:pPr>
              <w:pStyle w:val="TableParagraph"/>
              <w:spacing w:before="10"/>
              <w:ind w:right="101"/>
              <w:jc w:val="right"/>
              <w:rPr>
                <w:sz w:val="20"/>
              </w:rPr>
            </w:pPr>
            <w:r>
              <w:rPr>
                <w:spacing w:val="-2"/>
                <w:sz w:val="20"/>
              </w:rPr>
              <w:t>3,642</w:t>
            </w:r>
          </w:p>
        </w:tc>
        <w:tc>
          <w:tcPr>
            <w:tcW w:w="1439" w:type="dxa"/>
            <w:shd w:val="clear" w:color="auto" w:fill="DDEBF6"/>
          </w:tcPr>
          <w:p>
            <w:pPr>
              <w:pStyle w:val="TableParagraph"/>
              <w:spacing w:before="10"/>
              <w:ind w:right="100"/>
              <w:jc w:val="right"/>
              <w:rPr>
                <w:b/>
                <w:sz w:val="20"/>
              </w:rPr>
            </w:pPr>
            <w:r>
              <w:rPr>
                <w:b/>
                <w:spacing w:val="-2"/>
                <w:sz w:val="20"/>
              </w:rPr>
              <w:t>3,674</w:t>
            </w:r>
          </w:p>
        </w:tc>
        <w:tc>
          <w:tcPr>
            <w:tcW w:w="1769" w:type="dxa"/>
          </w:tcPr>
          <w:p>
            <w:pPr>
              <w:pStyle w:val="TableParagraph"/>
              <w:spacing w:before="10"/>
              <w:ind w:right="431"/>
              <w:jc w:val="right"/>
              <w:rPr>
                <w:sz w:val="20"/>
              </w:rPr>
            </w:pPr>
            <w:r>
              <w:rPr>
                <w:spacing w:val="-5"/>
                <w:sz w:val="20"/>
              </w:rPr>
              <w:t>32</w:t>
            </w:r>
          </w:p>
        </w:tc>
        <w:tc>
          <w:tcPr>
            <w:tcW w:w="908" w:type="dxa"/>
            <w:tcBorders>
              <w:right w:val="single" w:sz="4" w:space="0" w:color="000000"/>
            </w:tcBorders>
          </w:tcPr>
          <w:p>
            <w:pPr>
              <w:pStyle w:val="TableParagraph"/>
              <w:spacing w:before="10"/>
              <w:ind w:right="95"/>
              <w:jc w:val="right"/>
              <w:rPr>
                <w:sz w:val="20"/>
              </w:rPr>
            </w:pPr>
            <w:r>
              <w:rPr>
                <w:spacing w:val="-4"/>
                <w:sz w:val="20"/>
              </w:rPr>
              <w:t>0.9%</w:t>
            </w:r>
          </w:p>
        </w:tc>
      </w:tr>
      <w:tr>
        <w:trPr>
          <w:trHeight w:val="284" w:hRule="atLeast"/>
        </w:trPr>
        <w:tc>
          <w:tcPr>
            <w:tcW w:w="5054" w:type="dxa"/>
            <w:tcBorders>
              <w:left w:val="single" w:sz="4" w:space="0" w:color="000000"/>
            </w:tcBorders>
          </w:tcPr>
          <w:p>
            <w:pPr>
              <w:pStyle w:val="TableParagraph"/>
              <w:spacing w:line="228" w:lineRule="exact" w:before="36"/>
              <w:ind w:left="107"/>
              <w:rPr>
                <w:sz w:val="20"/>
              </w:rPr>
            </w:pPr>
            <w:r>
              <w:rPr>
                <w:sz w:val="20"/>
              </w:rPr>
              <w:t>Public</w:t>
            </w:r>
            <w:r>
              <w:rPr>
                <w:spacing w:val="-10"/>
                <w:sz w:val="20"/>
              </w:rPr>
              <w:t> </w:t>
            </w:r>
            <w:r>
              <w:rPr>
                <w:spacing w:val="-2"/>
                <w:sz w:val="20"/>
              </w:rPr>
              <w:t>notices</w:t>
            </w:r>
          </w:p>
        </w:tc>
        <w:tc>
          <w:tcPr>
            <w:tcW w:w="1437" w:type="dxa"/>
          </w:tcPr>
          <w:p>
            <w:pPr>
              <w:pStyle w:val="TableParagraph"/>
              <w:spacing w:before="10"/>
              <w:ind w:right="102"/>
              <w:jc w:val="right"/>
              <w:rPr>
                <w:sz w:val="20"/>
              </w:rPr>
            </w:pPr>
            <w:r>
              <w:rPr>
                <w:spacing w:val="-5"/>
                <w:sz w:val="20"/>
              </w:rPr>
              <w:t>100</w:t>
            </w:r>
          </w:p>
        </w:tc>
        <w:tc>
          <w:tcPr>
            <w:tcW w:w="1439" w:type="dxa"/>
            <w:shd w:val="clear" w:color="auto" w:fill="DDEBF6"/>
          </w:tcPr>
          <w:p>
            <w:pPr>
              <w:pStyle w:val="TableParagraph"/>
              <w:spacing w:before="10"/>
              <w:ind w:right="101"/>
              <w:jc w:val="right"/>
              <w:rPr>
                <w:b/>
                <w:sz w:val="20"/>
              </w:rPr>
            </w:pPr>
            <w:r>
              <w:rPr>
                <w:b/>
                <w:spacing w:val="-5"/>
                <w:sz w:val="20"/>
              </w:rPr>
              <w:t>100</w:t>
            </w:r>
          </w:p>
        </w:tc>
        <w:tc>
          <w:tcPr>
            <w:tcW w:w="1769" w:type="dxa"/>
          </w:tcPr>
          <w:p>
            <w:pPr>
              <w:pStyle w:val="TableParagraph"/>
              <w:spacing w:before="10"/>
              <w:ind w:right="427"/>
              <w:jc w:val="right"/>
              <w:rPr>
                <w:sz w:val="20"/>
              </w:rPr>
            </w:pPr>
            <w:r>
              <w:rPr>
                <w:w w:val="99"/>
                <w:sz w:val="20"/>
              </w:rPr>
              <w:t>0</w:t>
            </w:r>
          </w:p>
        </w:tc>
        <w:tc>
          <w:tcPr>
            <w:tcW w:w="908" w:type="dxa"/>
            <w:tcBorders>
              <w:right w:val="single" w:sz="4" w:space="0" w:color="000000"/>
            </w:tcBorders>
          </w:tcPr>
          <w:p>
            <w:pPr>
              <w:pStyle w:val="TableParagraph"/>
              <w:spacing w:before="10"/>
              <w:ind w:right="95"/>
              <w:jc w:val="right"/>
              <w:rPr>
                <w:sz w:val="20"/>
              </w:rPr>
            </w:pPr>
            <w:r>
              <w:rPr>
                <w:spacing w:val="-4"/>
                <w:sz w:val="20"/>
              </w:rPr>
              <w:t>0.0%</w:t>
            </w:r>
          </w:p>
        </w:tc>
      </w:tr>
      <w:tr>
        <w:trPr>
          <w:trHeight w:val="287" w:hRule="atLeast"/>
        </w:trPr>
        <w:tc>
          <w:tcPr>
            <w:tcW w:w="5054" w:type="dxa"/>
            <w:tcBorders>
              <w:left w:val="single" w:sz="4" w:space="0" w:color="000000"/>
            </w:tcBorders>
          </w:tcPr>
          <w:p>
            <w:pPr>
              <w:pStyle w:val="TableParagraph"/>
              <w:spacing w:before="37"/>
              <w:ind w:left="107"/>
              <w:rPr>
                <w:sz w:val="20"/>
              </w:rPr>
            </w:pPr>
            <w:r>
              <w:rPr>
                <w:sz w:val="20"/>
              </w:rPr>
              <w:t>Registration</w:t>
            </w:r>
            <w:r>
              <w:rPr>
                <w:spacing w:val="-7"/>
                <w:sz w:val="20"/>
              </w:rPr>
              <w:t> </w:t>
            </w:r>
            <w:r>
              <w:rPr>
                <w:sz w:val="20"/>
              </w:rPr>
              <w:t>and</w:t>
            </w:r>
            <w:r>
              <w:rPr>
                <w:spacing w:val="-8"/>
                <w:sz w:val="20"/>
              </w:rPr>
              <w:t> </w:t>
            </w:r>
            <w:r>
              <w:rPr>
                <w:sz w:val="20"/>
              </w:rPr>
              <w:t>other</w:t>
            </w:r>
            <w:r>
              <w:rPr>
                <w:spacing w:val="-3"/>
                <w:sz w:val="20"/>
              </w:rPr>
              <w:t> </w:t>
            </w:r>
            <w:r>
              <w:rPr>
                <w:spacing w:val="-2"/>
                <w:sz w:val="20"/>
              </w:rPr>
              <w:t>permits</w:t>
            </w:r>
          </w:p>
        </w:tc>
        <w:tc>
          <w:tcPr>
            <w:tcW w:w="1437" w:type="dxa"/>
          </w:tcPr>
          <w:p>
            <w:pPr>
              <w:pStyle w:val="TableParagraph"/>
              <w:spacing w:before="11"/>
              <w:ind w:right="99"/>
              <w:jc w:val="right"/>
              <w:rPr>
                <w:sz w:val="20"/>
              </w:rPr>
            </w:pPr>
            <w:r>
              <w:rPr>
                <w:w w:val="99"/>
                <w:sz w:val="20"/>
              </w:rPr>
              <w:t>0</w:t>
            </w:r>
          </w:p>
        </w:tc>
        <w:tc>
          <w:tcPr>
            <w:tcW w:w="1439" w:type="dxa"/>
            <w:shd w:val="clear" w:color="auto" w:fill="DDEBF6"/>
          </w:tcPr>
          <w:p>
            <w:pPr>
              <w:pStyle w:val="TableParagraph"/>
              <w:spacing w:before="11"/>
              <w:ind w:right="98"/>
              <w:jc w:val="right"/>
              <w:rPr>
                <w:b/>
                <w:sz w:val="20"/>
              </w:rPr>
            </w:pPr>
            <w:r>
              <w:rPr>
                <w:b/>
                <w:w w:val="99"/>
                <w:sz w:val="20"/>
              </w:rPr>
              <w:t>9</w:t>
            </w:r>
          </w:p>
        </w:tc>
        <w:tc>
          <w:tcPr>
            <w:tcW w:w="1769" w:type="dxa"/>
          </w:tcPr>
          <w:p>
            <w:pPr>
              <w:pStyle w:val="TableParagraph"/>
              <w:spacing w:before="11"/>
              <w:ind w:right="427"/>
              <w:jc w:val="right"/>
              <w:rPr>
                <w:sz w:val="20"/>
              </w:rPr>
            </w:pPr>
            <w:r>
              <w:rPr>
                <w:w w:val="99"/>
                <w:sz w:val="20"/>
              </w:rPr>
              <w:t>9</w:t>
            </w:r>
          </w:p>
        </w:tc>
        <w:tc>
          <w:tcPr>
            <w:tcW w:w="908" w:type="dxa"/>
            <w:tcBorders>
              <w:right w:val="single" w:sz="4" w:space="0" w:color="000000"/>
            </w:tcBorders>
          </w:tcPr>
          <w:p>
            <w:pPr>
              <w:pStyle w:val="TableParagraph"/>
              <w:spacing w:before="11"/>
              <w:ind w:right="95"/>
              <w:jc w:val="right"/>
              <w:rPr>
                <w:sz w:val="20"/>
              </w:rPr>
            </w:pPr>
            <w:r>
              <w:rPr>
                <w:spacing w:val="-4"/>
                <w:sz w:val="20"/>
              </w:rPr>
              <w:t>0.0%</w:t>
            </w:r>
          </w:p>
        </w:tc>
      </w:tr>
      <w:tr>
        <w:trPr>
          <w:trHeight w:val="279" w:hRule="atLeast"/>
        </w:trPr>
        <w:tc>
          <w:tcPr>
            <w:tcW w:w="5054" w:type="dxa"/>
            <w:tcBorders>
              <w:left w:val="single" w:sz="4" w:space="0" w:color="000000"/>
            </w:tcBorders>
          </w:tcPr>
          <w:p>
            <w:pPr>
              <w:pStyle w:val="TableParagraph"/>
              <w:spacing w:line="210" w:lineRule="exact" w:before="49"/>
              <w:ind w:left="107"/>
              <w:rPr>
                <w:sz w:val="20"/>
              </w:rPr>
            </w:pPr>
            <w:r>
              <w:rPr>
                <w:sz w:val="20"/>
              </w:rPr>
              <w:t>Youth</w:t>
            </w:r>
            <w:r>
              <w:rPr>
                <w:spacing w:val="-7"/>
                <w:sz w:val="20"/>
              </w:rPr>
              <w:t> </w:t>
            </w:r>
            <w:r>
              <w:rPr>
                <w:sz w:val="20"/>
              </w:rPr>
              <w:t>and</w:t>
            </w:r>
            <w:r>
              <w:rPr>
                <w:spacing w:val="-7"/>
                <w:sz w:val="20"/>
              </w:rPr>
              <w:t> </w:t>
            </w:r>
            <w:r>
              <w:rPr>
                <w:sz w:val="20"/>
              </w:rPr>
              <w:t>Children</w:t>
            </w:r>
            <w:r>
              <w:rPr>
                <w:spacing w:val="-7"/>
                <w:sz w:val="20"/>
              </w:rPr>
              <w:t> </w:t>
            </w:r>
            <w:r>
              <w:rPr>
                <w:spacing w:val="-2"/>
                <w:sz w:val="20"/>
              </w:rPr>
              <w:t>Services</w:t>
            </w:r>
          </w:p>
        </w:tc>
        <w:tc>
          <w:tcPr>
            <w:tcW w:w="1437" w:type="dxa"/>
            <w:tcBorders>
              <w:bottom w:val="single" w:sz="8" w:space="0" w:color="000000"/>
            </w:tcBorders>
          </w:tcPr>
          <w:p>
            <w:pPr>
              <w:pStyle w:val="TableParagraph"/>
              <w:spacing w:before="13"/>
              <w:ind w:right="102"/>
              <w:jc w:val="right"/>
              <w:rPr>
                <w:sz w:val="20"/>
              </w:rPr>
            </w:pPr>
            <w:r>
              <w:rPr>
                <w:spacing w:val="-5"/>
                <w:sz w:val="20"/>
              </w:rPr>
              <w:t>401</w:t>
            </w:r>
          </w:p>
        </w:tc>
        <w:tc>
          <w:tcPr>
            <w:tcW w:w="1439" w:type="dxa"/>
            <w:tcBorders>
              <w:bottom w:val="single" w:sz="8" w:space="0" w:color="000000"/>
            </w:tcBorders>
            <w:shd w:val="clear" w:color="auto" w:fill="DDEBF6"/>
          </w:tcPr>
          <w:p>
            <w:pPr>
              <w:pStyle w:val="TableParagraph"/>
              <w:spacing w:before="13"/>
              <w:ind w:right="101"/>
              <w:jc w:val="right"/>
              <w:rPr>
                <w:b/>
                <w:sz w:val="20"/>
              </w:rPr>
            </w:pPr>
            <w:r>
              <w:rPr>
                <w:b/>
                <w:spacing w:val="-5"/>
                <w:sz w:val="20"/>
              </w:rPr>
              <w:t>360</w:t>
            </w:r>
          </w:p>
        </w:tc>
        <w:tc>
          <w:tcPr>
            <w:tcW w:w="1769" w:type="dxa"/>
            <w:tcBorders>
              <w:bottom w:val="single" w:sz="8" w:space="0" w:color="000000"/>
            </w:tcBorders>
          </w:tcPr>
          <w:p>
            <w:pPr>
              <w:pStyle w:val="TableParagraph"/>
              <w:spacing w:before="13"/>
              <w:ind w:right="428"/>
              <w:jc w:val="right"/>
              <w:rPr>
                <w:sz w:val="20"/>
              </w:rPr>
            </w:pPr>
            <w:r>
              <w:rPr>
                <w:spacing w:val="-4"/>
                <w:sz w:val="20"/>
              </w:rPr>
              <w:t>(41)</w:t>
            </w:r>
          </w:p>
        </w:tc>
        <w:tc>
          <w:tcPr>
            <w:tcW w:w="908" w:type="dxa"/>
            <w:tcBorders>
              <w:bottom w:val="single" w:sz="8" w:space="0" w:color="000000"/>
              <w:right w:val="single" w:sz="4" w:space="0" w:color="000000"/>
            </w:tcBorders>
          </w:tcPr>
          <w:p>
            <w:pPr>
              <w:pStyle w:val="TableParagraph"/>
              <w:spacing w:before="13"/>
              <w:ind w:left="102"/>
              <w:rPr>
                <w:sz w:val="20"/>
              </w:rPr>
            </w:pPr>
            <w:r>
              <w:rPr>
                <w:spacing w:val="-2"/>
                <w:sz w:val="20"/>
              </w:rPr>
              <w:t>(10.2%)</w:t>
            </w:r>
          </w:p>
        </w:tc>
      </w:tr>
      <w:tr>
        <w:trPr>
          <w:trHeight w:val="299" w:hRule="atLeast"/>
        </w:trPr>
        <w:tc>
          <w:tcPr>
            <w:tcW w:w="5054" w:type="dxa"/>
            <w:tcBorders>
              <w:left w:val="single" w:sz="4" w:space="0" w:color="000000"/>
              <w:bottom w:val="single" w:sz="4" w:space="0" w:color="000000"/>
            </w:tcBorders>
          </w:tcPr>
          <w:p>
            <w:pPr>
              <w:pStyle w:val="TableParagraph"/>
              <w:spacing w:line="211" w:lineRule="exact" w:before="69"/>
              <w:ind w:left="107"/>
              <w:rPr>
                <w:b/>
                <w:sz w:val="20"/>
              </w:rPr>
            </w:pPr>
            <w:r>
              <w:rPr>
                <w:b/>
                <w:sz w:val="20"/>
              </w:rPr>
              <w:t>Total</w:t>
            </w:r>
            <w:r>
              <w:rPr>
                <w:b/>
                <w:spacing w:val="-9"/>
                <w:sz w:val="20"/>
              </w:rPr>
              <w:t> </w:t>
            </w:r>
            <w:r>
              <w:rPr>
                <w:b/>
                <w:sz w:val="20"/>
              </w:rPr>
              <w:t>user</w:t>
            </w:r>
            <w:r>
              <w:rPr>
                <w:b/>
                <w:spacing w:val="-6"/>
                <w:sz w:val="20"/>
              </w:rPr>
              <w:t> </w:t>
            </w:r>
            <w:r>
              <w:rPr>
                <w:b/>
                <w:spacing w:val="-4"/>
                <w:sz w:val="20"/>
              </w:rPr>
              <w:t>fees</w:t>
            </w:r>
          </w:p>
        </w:tc>
        <w:tc>
          <w:tcPr>
            <w:tcW w:w="1437" w:type="dxa"/>
            <w:tcBorders>
              <w:top w:val="single" w:sz="8" w:space="0" w:color="000000"/>
              <w:bottom w:val="single" w:sz="4" w:space="0" w:color="000000"/>
            </w:tcBorders>
          </w:tcPr>
          <w:p>
            <w:pPr>
              <w:pStyle w:val="TableParagraph"/>
              <w:spacing w:before="33"/>
              <w:ind w:right="102"/>
              <w:jc w:val="right"/>
              <w:rPr>
                <w:b/>
                <w:sz w:val="20"/>
              </w:rPr>
            </w:pPr>
            <w:r>
              <w:rPr>
                <w:b/>
                <w:spacing w:val="-2"/>
                <w:sz w:val="20"/>
              </w:rPr>
              <w:t>31,635</w:t>
            </w:r>
          </w:p>
        </w:tc>
        <w:tc>
          <w:tcPr>
            <w:tcW w:w="1439" w:type="dxa"/>
            <w:tcBorders>
              <w:top w:val="single" w:sz="8" w:space="0" w:color="000000"/>
              <w:bottom w:val="single" w:sz="4" w:space="0" w:color="000000"/>
            </w:tcBorders>
            <w:shd w:val="clear" w:color="auto" w:fill="DDEBF6"/>
          </w:tcPr>
          <w:p>
            <w:pPr>
              <w:pStyle w:val="TableParagraph"/>
              <w:spacing w:before="33"/>
              <w:ind w:right="101"/>
              <w:jc w:val="right"/>
              <w:rPr>
                <w:b/>
                <w:sz w:val="20"/>
              </w:rPr>
            </w:pPr>
            <w:r>
              <w:rPr>
                <w:b/>
                <w:spacing w:val="-2"/>
                <w:sz w:val="20"/>
              </w:rPr>
              <w:t>33,133</w:t>
            </w:r>
          </w:p>
        </w:tc>
        <w:tc>
          <w:tcPr>
            <w:tcW w:w="1769" w:type="dxa"/>
            <w:tcBorders>
              <w:top w:val="single" w:sz="8" w:space="0" w:color="000000"/>
              <w:bottom w:val="single" w:sz="4" w:space="0" w:color="000000"/>
            </w:tcBorders>
          </w:tcPr>
          <w:p>
            <w:pPr>
              <w:pStyle w:val="TableParagraph"/>
              <w:spacing w:before="33"/>
              <w:ind w:right="429"/>
              <w:jc w:val="right"/>
              <w:rPr>
                <w:b/>
                <w:sz w:val="20"/>
              </w:rPr>
            </w:pPr>
            <w:r>
              <w:rPr>
                <w:b/>
                <w:spacing w:val="-2"/>
                <w:sz w:val="20"/>
              </w:rPr>
              <w:t>1,498</w:t>
            </w:r>
          </w:p>
        </w:tc>
        <w:tc>
          <w:tcPr>
            <w:tcW w:w="908" w:type="dxa"/>
            <w:tcBorders>
              <w:top w:val="single" w:sz="8" w:space="0" w:color="000000"/>
              <w:bottom w:val="single" w:sz="4" w:space="0" w:color="000000"/>
              <w:right w:val="single" w:sz="4" w:space="0" w:color="000000"/>
            </w:tcBorders>
          </w:tcPr>
          <w:p>
            <w:pPr>
              <w:pStyle w:val="TableParagraph"/>
              <w:spacing w:before="33"/>
              <w:ind w:right="93"/>
              <w:jc w:val="right"/>
              <w:rPr>
                <w:b/>
                <w:sz w:val="20"/>
              </w:rPr>
            </w:pPr>
            <w:r>
              <w:rPr>
                <w:b/>
                <w:spacing w:val="-4"/>
                <w:sz w:val="20"/>
              </w:rPr>
              <w:t>4.7%</w:t>
            </w:r>
          </w:p>
        </w:tc>
      </w:tr>
    </w:tbl>
    <w:p>
      <w:pPr>
        <w:pStyle w:val="BodyText"/>
        <w:spacing w:before="6"/>
        <w:rPr>
          <w:b/>
        </w:rPr>
      </w:pPr>
    </w:p>
    <w:p>
      <w:pPr>
        <w:pStyle w:val="BodyText"/>
        <w:ind w:left="260" w:right="569"/>
      </w:pPr>
      <w:r>
        <w:rPr/>
        <w:t>User fees relate mainly to the recovery of service delivery costs through the charging of fees to users of Council’s services. In setting the budget, the key principle for determining the level of user charges has been to ensure that increases reflect the cost of running the services and/or market levels. These include use</w:t>
      </w:r>
      <w:r>
        <w:rPr>
          <w:spacing w:val="-1"/>
        </w:rPr>
        <w:t> </w:t>
      </w:r>
      <w:r>
        <w:rPr/>
        <w:t>of</w:t>
      </w:r>
      <w:r>
        <w:rPr>
          <w:spacing w:val="-5"/>
        </w:rPr>
        <w:t> </w:t>
      </w:r>
      <w:r>
        <w:rPr/>
        <w:t>Maroondah</w:t>
      </w:r>
      <w:r>
        <w:rPr>
          <w:spacing w:val="-5"/>
        </w:rPr>
        <w:t> </w:t>
      </w:r>
      <w:r>
        <w:rPr/>
        <w:t>Leisure</w:t>
      </w:r>
      <w:r>
        <w:rPr>
          <w:spacing w:val="-5"/>
        </w:rPr>
        <w:t> </w:t>
      </w:r>
      <w:r>
        <w:rPr/>
        <w:t>facilities:</w:t>
      </w:r>
      <w:r>
        <w:rPr>
          <w:spacing w:val="-5"/>
        </w:rPr>
        <w:t> </w:t>
      </w:r>
      <w:r>
        <w:rPr/>
        <w:t>Aquahub;</w:t>
      </w:r>
      <w:r>
        <w:rPr>
          <w:spacing w:val="-2"/>
        </w:rPr>
        <w:t> </w:t>
      </w:r>
      <w:r>
        <w:rPr/>
        <w:t>Aquanation;</w:t>
      </w:r>
      <w:r>
        <w:rPr>
          <w:spacing w:val="-1"/>
        </w:rPr>
        <w:t> </w:t>
      </w:r>
      <w:r>
        <w:rPr/>
        <w:t>Croydon</w:t>
      </w:r>
      <w:r>
        <w:rPr>
          <w:spacing w:val="-5"/>
        </w:rPr>
        <w:t> </w:t>
      </w:r>
      <w:r>
        <w:rPr/>
        <w:t>Memorial</w:t>
      </w:r>
      <w:r>
        <w:rPr>
          <w:spacing w:val="-3"/>
        </w:rPr>
        <w:t> </w:t>
      </w:r>
      <w:r>
        <w:rPr/>
        <w:t>Pool;</w:t>
      </w:r>
      <w:r>
        <w:rPr>
          <w:spacing w:val="-3"/>
        </w:rPr>
        <w:t> </w:t>
      </w:r>
      <w:r>
        <w:rPr/>
        <w:t>The</w:t>
      </w:r>
      <w:r>
        <w:rPr>
          <w:spacing w:val="-3"/>
        </w:rPr>
        <w:t> </w:t>
      </w:r>
      <w:r>
        <w:rPr/>
        <w:t>Rings;</w:t>
      </w:r>
      <w:r>
        <w:rPr>
          <w:spacing w:val="-2"/>
        </w:rPr>
        <w:t> </w:t>
      </w:r>
      <w:r>
        <w:rPr/>
        <w:t>Maroondah Nets, Maroondah Edge; and the Ringwood and Croydon Golf courses, Council Multi-purpose centres facilities including Karralyka Centre, Realm, Federation Estate and Wyreena. In addition, the provision of services such as meals on wheels and occasional care are included in user fees.</w:t>
      </w:r>
    </w:p>
    <w:p>
      <w:pPr>
        <w:pStyle w:val="BodyText"/>
      </w:pPr>
    </w:p>
    <w:p>
      <w:pPr>
        <w:pStyle w:val="BodyText"/>
        <w:ind w:left="260" w:right="555"/>
        <w:jc w:val="both"/>
      </w:pPr>
      <w:r>
        <w:rPr/>
        <w:t>User fees are projected to increase by 4.7% or $1.5 million over 2024/2025. The</w:t>
      </w:r>
      <w:r>
        <w:rPr>
          <w:spacing w:val="-1"/>
        </w:rPr>
        <w:t> </w:t>
      </w:r>
      <w:r>
        <w:rPr/>
        <w:t>main areas contributing to the</w:t>
      </w:r>
      <w:r>
        <w:rPr>
          <w:spacing w:val="-8"/>
        </w:rPr>
        <w:t> </w:t>
      </w:r>
      <w:r>
        <w:rPr/>
        <w:t>increase</w:t>
      </w:r>
      <w:r>
        <w:rPr>
          <w:spacing w:val="-10"/>
        </w:rPr>
        <w:t> </w:t>
      </w:r>
      <w:r>
        <w:rPr/>
        <w:t>are</w:t>
      </w:r>
      <w:r>
        <w:rPr>
          <w:spacing w:val="-8"/>
        </w:rPr>
        <w:t> </w:t>
      </w:r>
      <w:r>
        <w:rPr/>
        <w:t>Aquahub</w:t>
      </w:r>
      <w:r>
        <w:rPr>
          <w:spacing w:val="-10"/>
        </w:rPr>
        <w:t> </w:t>
      </w:r>
      <w:r>
        <w:rPr/>
        <w:t>($0.78</w:t>
      </w:r>
      <w:r>
        <w:rPr>
          <w:spacing w:val="-11"/>
        </w:rPr>
        <w:t> </w:t>
      </w:r>
      <w:r>
        <w:rPr/>
        <w:t>million),</w:t>
      </w:r>
      <w:r>
        <w:rPr>
          <w:spacing w:val="-6"/>
        </w:rPr>
        <w:t> </w:t>
      </w:r>
      <w:r>
        <w:rPr/>
        <w:t>Aquanation</w:t>
      </w:r>
      <w:r>
        <w:rPr>
          <w:spacing w:val="-8"/>
        </w:rPr>
        <w:t> </w:t>
      </w:r>
      <w:r>
        <w:rPr/>
        <w:t>($0.58</w:t>
      </w:r>
      <w:r>
        <w:rPr>
          <w:spacing w:val="-11"/>
        </w:rPr>
        <w:t> </w:t>
      </w:r>
      <w:r>
        <w:rPr/>
        <w:t>million)</w:t>
      </w:r>
      <w:r>
        <w:rPr>
          <w:spacing w:val="-7"/>
        </w:rPr>
        <w:t> </w:t>
      </w:r>
      <w:r>
        <w:rPr/>
        <w:t>and</w:t>
      </w:r>
      <w:r>
        <w:rPr>
          <w:spacing w:val="-8"/>
        </w:rPr>
        <w:t> </w:t>
      </w:r>
      <w:r>
        <w:rPr/>
        <w:t>The</w:t>
      </w:r>
      <w:r>
        <w:rPr>
          <w:spacing w:val="-8"/>
        </w:rPr>
        <w:t> </w:t>
      </w:r>
      <w:r>
        <w:rPr/>
        <w:t>Rings</w:t>
      </w:r>
      <w:r>
        <w:rPr>
          <w:spacing w:val="-8"/>
        </w:rPr>
        <w:t> </w:t>
      </w:r>
      <w:r>
        <w:rPr/>
        <w:t>($0.098</w:t>
      </w:r>
      <w:r>
        <w:rPr>
          <w:spacing w:val="-11"/>
        </w:rPr>
        <w:t> </w:t>
      </w:r>
      <w:r>
        <w:rPr/>
        <w:t>million).</w:t>
      </w:r>
      <w:r>
        <w:rPr>
          <w:spacing w:val="-6"/>
        </w:rPr>
        <w:t> </w:t>
      </w:r>
      <w:r>
        <w:rPr/>
        <w:t>Council plans</w:t>
      </w:r>
      <w:r>
        <w:rPr>
          <w:spacing w:val="-6"/>
        </w:rPr>
        <w:t> </w:t>
      </w:r>
      <w:r>
        <w:rPr/>
        <w:t>to</w:t>
      </w:r>
      <w:r>
        <w:rPr>
          <w:spacing w:val="-8"/>
        </w:rPr>
        <w:t> </w:t>
      </w:r>
      <w:r>
        <w:rPr/>
        <w:t>increase</w:t>
      </w:r>
      <w:r>
        <w:rPr>
          <w:spacing w:val="-6"/>
        </w:rPr>
        <w:t> </w:t>
      </w:r>
      <w:r>
        <w:rPr/>
        <w:t>user</w:t>
      </w:r>
      <w:r>
        <w:rPr>
          <w:spacing w:val="-6"/>
        </w:rPr>
        <w:t> </w:t>
      </w:r>
      <w:r>
        <w:rPr/>
        <w:t>charges</w:t>
      </w:r>
      <w:r>
        <w:rPr>
          <w:spacing w:val="-8"/>
        </w:rPr>
        <w:t> </w:t>
      </w:r>
      <w:r>
        <w:rPr/>
        <w:t>for</w:t>
      </w:r>
      <w:r>
        <w:rPr>
          <w:spacing w:val="-5"/>
        </w:rPr>
        <w:t> </w:t>
      </w:r>
      <w:r>
        <w:rPr/>
        <w:t>all</w:t>
      </w:r>
      <w:r>
        <w:rPr>
          <w:spacing w:val="-9"/>
        </w:rPr>
        <w:t> </w:t>
      </w:r>
      <w:r>
        <w:rPr/>
        <w:t>areas</w:t>
      </w:r>
      <w:r>
        <w:rPr>
          <w:spacing w:val="-6"/>
        </w:rPr>
        <w:t> </w:t>
      </w:r>
      <w:r>
        <w:rPr/>
        <w:t>in</w:t>
      </w:r>
      <w:r>
        <w:rPr>
          <w:spacing w:val="-5"/>
        </w:rPr>
        <w:t> </w:t>
      </w:r>
      <w:r>
        <w:rPr/>
        <w:t>line</w:t>
      </w:r>
      <w:r>
        <w:rPr>
          <w:spacing w:val="-8"/>
        </w:rPr>
        <w:t> </w:t>
      </w:r>
      <w:r>
        <w:rPr/>
        <w:t>with</w:t>
      </w:r>
      <w:r>
        <w:rPr>
          <w:spacing w:val="-8"/>
        </w:rPr>
        <w:t> </w:t>
      </w:r>
      <w:r>
        <w:rPr/>
        <w:t>expected</w:t>
      </w:r>
      <w:r>
        <w:rPr>
          <w:spacing w:val="-8"/>
        </w:rPr>
        <w:t> </w:t>
      </w:r>
      <w:r>
        <w:rPr/>
        <w:t>inflationary</w:t>
      </w:r>
      <w:r>
        <w:rPr>
          <w:spacing w:val="-6"/>
        </w:rPr>
        <w:t> </w:t>
      </w:r>
      <w:r>
        <w:rPr/>
        <w:t>trends</w:t>
      </w:r>
      <w:r>
        <w:rPr>
          <w:spacing w:val="-6"/>
        </w:rPr>
        <w:t> </w:t>
      </w:r>
      <w:r>
        <w:rPr/>
        <w:t>and</w:t>
      </w:r>
      <w:r>
        <w:rPr>
          <w:spacing w:val="-5"/>
        </w:rPr>
        <w:t> </w:t>
      </w:r>
      <w:r>
        <w:rPr/>
        <w:t>increase</w:t>
      </w:r>
      <w:r>
        <w:rPr>
          <w:spacing w:val="-8"/>
        </w:rPr>
        <w:t> </w:t>
      </w:r>
      <w:r>
        <w:rPr/>
        <w:t>service</w:t>
      </w:r>
      <w:r>
        <w:rPr>
          <w:spacing w:val="-8"/>
        </w:rPr>
        <w:t> </w:t>
      </w:r>
      <w:r>
        <w:rPr/>
        <w:t>use over the budget period to maintain parity between user charges and the costs of service delivery.</w:t>
      </w:r>
    </w:p>
    <w:p>
      <w:pPr>
        <w:pStyle w:val="BodyText"/>
        <w:spacing w:before="2"/>
      </w:pPr>
    </w:p>
    <w:p>
      <w:pPr>
        <w:pStyle w:val="BodyText"/>
        <w:ind w:left="260"/>
      </w:pPr>
      <w:r>
        <w:rPr/>
        <w:t>A</w:t>
      </w:r>
      <w:r>
        <w:rPr>
          <w:spacing w:val="-3"/>
        </w:rPr>
        <w:t> </w:t>
      </w:r>
      <w:r>
        <w:rPr/>
        <w:t>detailed</w:t>
      </w:r>
      <w:r>
        <w:rPr>
          <w:spacing w:val="-3"/>
        </w:rPr>
        <w:t> </w:t>
      </w:r>
      <w:r>
        <w:rPr/>
        <w:t>listing</w:t>
      </w:r>
      <w:r>
        <w:rPr>
          <w:spacing w:val="-2"/>
        </w:rPr>
        <w:t> </w:t>
      </w:r>
      <w:r>
        <w:rPr/>
        <w:t>of</w:t>
      </w:r>
      <w:r>
        <w:rPr>
          <w:spacing w:val="-7"/>
        </w:rPr>
        <w:t> </w:t>
      </w:r>
      <w:r>
        <w:rPr/>
        <w:t>fees</w:t>
      </w:r>
      <w:r>
        <w:rPr>
          <w:spacing w:val="-5"/>
        </w:rPr>
        <w:t> </w:t>
      </w:r>
      <w:r>
        <w:rPr/>
        <w:t>and</w:t>
      </w:r>
      <w:r>
        <w:rPr>
          <w:spacing w:val="-3"/>
        </w:rPr>
        <w:t> </w:t>
      </w:r>
      <w:r>
        <w:rPr/>
        <w:t>charges</w:t>
      </w:r>
      <w:r>
        <w:rPr>
          <w:spacing w:val="-3"/>
        </w:rPr>
        <w:t> </w:t>
      </w:r>
      <w:r>
        <w:rPr/>
        <w:t>is</w:t>
      </w:r>
      <w:r>
        <w:rPr>
          <w:spacing w:val="-1"/>
        </w:rPr>
        <w:t> </w:t>
      </w:r>
      <w:r>
        <w:rPr/>
        <w:t>included</w:t>
      </w:r>
      <w:r>
        <w:rPr>
          <w:spacing w:val="-1"/>
        </w:rPr>
        <w:t> </w:t>
      </w:r>
      <w:r>
        <w:rPr/>
        <w:t>in</w:t>
      </w:r>
      <w:r>
        <w:rPr>
          <w:spacing w:val="-3"/>
        </w:rPr>
        <w:t> </w:t>
      </w:r>
      <w:r>
        <w:rPr/>
        <w:t>Section</w:t>
      </w:r>
      <w:r>
        <w:rPr>
          <w:spacing w:val="-3"/>
        </w:rPr>
        <w:t> </w:t>
      </w:r>
      <w:r>
        <w:rPr>
          <w:spacing w:val="-5"/>
        </w:rPr>
        <w:t>6.</w:t>
      </w:r>
    </w:p>
    <w:p>
      <w:pPr>
        <w:spacing w:after="0"/>
        <w:sectPr>
          <w:pgSz w:w="11910" w:h="16840"/>
          <w:pgMar w:header="0" w:footer="426" w:top="620" w:bottom="740" w:left="460" w:right="160"/>
        </w:sectPr>
      </w:pPr>
    </w:p>
    <w:p>
      <w:pPr>
        <w:pStyle w:val="Heading4"/>
        <w:numPr>
          <w:ilvl w:val="2"/>
          <w:numId w:val="11"/>
        </w:numPr>
        <w:tabs>
          <w:tab w:pos="862" w:val="left" w:leader="none"/>
        </w:tabs>
        <w:spacing w:line="240" w:lineRule="auto" w:before="82" w:after="0"/>
        <w:ind w:left="861" w:right="0" w:hanging="602"/>
        <w:jc w:val="left"/>
        <w:rPr>
          <w:color w:val="4966AC"/>
        </w:rPr>
      </w:pPr>
      <w:r>
        <w:rPr>
          <w:color w:val="4966AC"/>
          <w:spacing w:val="-2"/>
        </w:rPr>
        <w:t>Grants</w:t>
      </w:r>
    </w:p>
    <w:p>
      <w:pPr>
        <w:pStyle w:val="BodyText"/>
        <w:spacing w:before="8"/>
        <w:rPr>
          <w:b/>
          <w:sz w:val="23"/>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38"/>
        <w:gridCol w:w="1853"/>
        <w:gridCol w:w="1623"/>
        <w:gridCol w:w="2518"/>
      </w:tblGrid>
      <w:tr>
        <w:trPr>
          <w:trHeight w:val="530" w:hRule="atLeast"/>
        </w:trPr>
        <w:tc>
          <w:tcPr>
            <w:tcW w:w="6291" w:type="dxa"/>
            <w:gridSpan w:val="2"/>
            <w:tcBorders>
              <w:top w:val="single" w:sz="4" w:space="0" w:color="000000"/>
              <w:left w:val="single" w:sz="4" w:space="0" w:color="000000"/>
              <w:bottom w:val="single" w:sz="4" w:space="0" w:color="000000"/>
            </w:tcBorders>
            <w:shd w:val="clear" w:color="auto" w:fill="5B9AD4"/>
          </w:tcPr>
          <w:p>
            <w:pPr>
              <w:pStyle w:val="TableParagraph"/>
              <w:spacing w:line="230" w:lineRule="atLeast" w:before="50"/>
              <w:ind w:left="5059" w:hanging="113"/>
              <w:rPr>
                <w:b/>
                <w:sz w:val="20"/>
              </w:rPr>
            </w:pPr>
            <w:r>
              <w:rPr>
                <w:b/>
                <w:color w:val="FFFFFF"/>
                <w:spacing w:val="-2"/>
                <w:sz w:val="20"/>
              </w:rPr>
              <w:t>Forecast Actual</w:t>
            </w:r>
          </w:p>
        </w:tc>
        <w:tc>
          <w:tcPr>
            <w:tcW w:w="1623" w:type="dxa"/>
            <w:tcBorders>
              <w:top w:val="single" w:sz="4" w:space="0" w:color="000000"/>
              <w:bottom w:val="single" w:sz="4" w:space="0" w:color="000000"/>
            </w:tcBorders>
            <w:shd w:val="clear" w:color="auto" w:fill="5B9AD4"/>
          </w:tcPr>
          <w:p>
            <w:pPr>
              <w:pStyle w:val="TableParagraph"/>
              <w:rPr>
                <w:b/>
                <w:sz w:val="26"/>
              </w:rPr>
            </w:pPr>
          </w:p>
          <w:p>
            <w:pPr>
              <w:pStyle w:val="TableParagraph"/>
              <w:spacing w:line="211" w:lineRule="exact"/>
              <w:ind w:left="469"/>
              <w:rPr>
                <w:b/>
                <w:sz w:val="20"/>
              </w:rPr>
            </w:pPr>
            <w:r>
              <w:rPr>
                <w:b/>
                <w:color w:val="FFFFFF"/>
                <w:spacing w:val="-2"/>
                <w:sz w:val="20"/>
              </w:rPr>
              <w:t>Budget</w:t>
            </w:r>
          </w:p>
        </w:tc>
        <w:tc>
          <w:tcPr>
            <w:tcW w:w="2518" w:type="dxa"/>
            <w:tcBorders>
              <w:top w:val="single" w:sz="4" w:space="0" w:color="000000"/>
              <w:bottom w:val="single" w:sz="4" w:space="0" w:color="000000"/>
              <w:right w:val="single" w:sz="4" w:space="0" w:color="000000"/>
            </w:tcBorders>
            <w:shd w:val="clear" w:color="auto" w:fill="5B9AD4"/>
          </w:tcPr>
          <w:p>
            <w:pPr>
              <w:pStyle w:val="TableParagraph"/>
              <w:rPr>
                <w:b/>
                <w:sz w:val="26"/>
              </w:rPr>
            </w:pPr>
          </w:p>
          <w:p>
            <w:pPr>
              <w:pStyle w:val="TableParagraph"/>
              <w:spacing w:line="211" w:lineRule="exact"/>
              <w:ind w:left="876" w:right="874"/>
              <w:jc w:val="center"/>
              <w:rPr>
                <w:b/>
                <w:sz w:val="20"/>
              </w:rPr>
            </w:pPr>
            <w:r>
              <w:rPr>
                <w:b/>
                <w:color w:val="FFFFFF"/>
                <w:spacing w:val="-2"/>
                <w:sz w:val="20"/>
              </w:rPr>
              <w:t>Change</w:t>
            </w:r>
          </w:p>
        </w:tc>
      </w:tr>
      <w:tr>
        <w:trPr>
          <w:trHeight w:val="532" w:hRule="atLeast"/>
        </w:trPr>
        <w:tc>
          <w:tcPr>
            <w:tcW w:w="4438" w:type="dxa"/>
            <w:tcBorders>
              <w:top w:val="single" w:sz="4" w:space="0" w:color="000000"/>
              <w:left w:val="single" w:sz="4" w:space="0" w:color="000000"/>
            </w:tcBorders>
            <w:shd w:val="clear" w:color="auto" w:fill="5B9AD4"/>
          </w:tcPr>
          <w:p>
            <w:pPr>
              <w:pStyle w:val="TableParagraph"/>
              <w:rPr>
                <w:rFonts w:ascii="Times New Roman"/>
                <w:sz w:val="20"/>
              </w:rPr>
            </w:pPr>
          </w:p>
        </w:tc>
        <w:tc>
          <w:tcPr>
            <w:tcW w:w="1853" w:type="dxa"/>
            <w:tcBorders>
              <w:top w:val="single" w:sz="4" w:space="0" w:color="000000"/>
            </w:tcBorders>
            <w:shd w:val="clear" w:color="auto" w:fill="5B9AD4"/>
          </w:tcPr>
          <w:p>
            <w:pPr>
              <w:pStyle w:val="TableParagraph"/>
              <w:spacing w:line="229" w:lineRule="exact"/>
              <w:ind w:left="445" w:right="439"/>
              <w:jc w:val="center"/>
              <w:rPr>
                <w:b/>
                <w:sz w:val="20"/>
              </w:rPr>
            </w:pPr>
            <w:r>
              <w:rPr>
                <w:b/>
                <w:color w:val="FFFFFF"/>
                <w:spacing w:val="-2"/>
                <w:sz w:val="20"/>
              </w:rPr>
              <w:t>2023/2024</w:t>
            </w:r>
          </w:p>
          <w:p>
            <w:pPr>
              <w:pStyle w:val="TableParagraph"/>
              <w:spacing w:line="211" w:lineRule="exact" w:before="72"/>
              <w:ind w:left="443" w:right="439"/>
              <w:jc w:val="center"/>
              <w:rPr>
                <w:b/>
                <w:sz w:val="20"/>
              </w:rPr>
            </w:pPr>
            <w:r>
              <w:rPr>
                <w:b/>
                <w:color w:val="FFFFFF"/>
                <w:spacing w:val="-2"/>
                <w:sz w:val="20"/>
              </w:rPr>
              <w:t>$’000</w:t>
            </w:r>
          </w:p>
        </w:tc>
        <w:tc>
          <w:tcPr>
            <w:tcW w:w="1623" w:type="dxa"/>
            <w:tcBorders>
              <w:top w:val="single" w:sz="4" w:space="0" w:color="000000"/>
            </w:tcBorders>
            <w:shd w:val="clear" w:color="auto" w:fill="5B9AD4"/>
          </w:tcPr>
          <w:p>
            <w:pPr>
              <w:pStyle w:val="TableParagraph"/>
              <w:spacing w:line="229" w:lineRule="exact"/>
              <w:ind w:left="330" w:right="325"/>
              <w:jc w:val="center"/>
              <w:rPr>
                <w:b/>
                <w:sz w:val="20"/>
              </w:rPr>
            </w:pPr>
            <w:r>
              <w:rPr>
                <w:b/>
                <w:color w:val="FFFFFF"/>
                <w:spacing w:val="-2"/>
                <w:sz w:val="20"/>
              </w:rPr>
              <w:t>2024/2025</w:t>
            </w:r>
          </w:p>
          <w:p>
            <w:pPr>
              <w:pStyle w:val="TableParagraph"/>
              <w:spacing w:line="211" w:lineRule="exact" w:before="72"/>
              <w:ind w:left="328" w:right="325"/>
              <w:jc w:val="center"/>
              <w:rPr>
                <w:b/>
                <w:sz w:val="20"/>
              </w:rPr>
            </w:pPr>
            <w:r>
              <w:rPr>
                <w:b/>
                <w:color w:val="FFFFFF"/>
                <w:spacing w:val="-2"/>
                <w:sz w:val="20"/>
              </w:rPr>
              <w:t>$’000</w:t>
            </w:r>
          </w:p>
        </w:tc>
        <w:tc>
          <w:tcPr>
            <w:tcW w:w="2518" w:type="dxa"/>
            <w:tcBorders>
              <w:top w:val="single" w:sz="4" w:space="0" w:color="000000"/>
              <w:right w:val="single" w:sz="4" w:space="0" w:color="000000"/>
            </w:tcBorders>
            <w:shd w:val="clear" w:color="auto" w:fill="5B9AD4"/>
          </w:tcPr>
          <w:p>
            <w:pPr>
              <w:pStyle w:val="TableParagraph"/>
              <w:spacing w:before="2"/>
              <w:rPr>
                <w:b/>
                <w:sz w:val="26"/>
              </w:rPr>
            </w:pPr>
          </w:p>
          <w:p>
            <w:pPr>
              <w:pStyle w:val="TableParagraph"/>
              <w:tabs>
                <w:tab w:pos="1812" w:val="left" w:leader="none"/>
              </w:tabs>
              <w:spacing w:line="211" w:lineRule="exact" w:before="1"/>
              <w:ind w:left="392"/>
              <w:rPr>
                <w:b/>
                <w:sz w:val="20"/>
              </w:rPr>
            </w:pPr>
            <w:r>
              <w:rPr>
                <w:b/>
                <w:color w:val="FFFFFF"/>
                <w:spacing w:val="-2"/>
                <w:sz w:val="20"/>
              </w:rPr>
              <w:t>$’000</w:t>
            </w:r>
            <w:r>
              <w:rPr>
                <w:b/>
                <w:color w:val="FFFFFF"/>
                <w:sz w:val="20"/>
              </w:rPr>
              <w:tab/>
            </w:r>
            <w:r>
              <w:rPr>
                <w:b/>
                <w:color w:val="FFFFFF"/>
                <w:spacing w:val="-10"/>
                <w:sz w:val="20"/>
              </w:rPr>
              <w:t>%</w:t>
            </w:r>
          </w:p>
        </w:tc>
      </w:tr>
      <w:tr>
        <w:trPr>
          <w:trHeight w:val="288" w:hRule="atLeast"/>
        </w:trPr>
        <w:tc>
          <w:tcPr>
            <w:tcW w:w="4438" w:type="dxa"/>
            <w:tcBorders>
              <w:left w:val="single" w:sz="4" w:space="0" w:color="000000"/>
            </w:tcBorders>
          </w:tcPr>
          <w:p>
            <w:pPr>
              <w:pStyle w:val="TableParagraph"/>
              <w:spacing w:line="214" w:lineRule="exact" w:before="55"/>
              <w:ind w:left="163"/>
              <w:rPr>
                <w:b/>
                <w:sz w:val="20"/>
              </w:rPr>
            </w:pPr>
            <w:r>
              <w:rPr>
                <w:b/>
                <w:sz w:val="20"/>
              </w:rPr>
              <w:t>Grants</w:t>
            </w:r>
            <w:r>
              <w:rPr>
                <w:b/>
                <w:spacing w:val="-8"/>
                <w:sz w:val="20"/>
              </w:rPr>
              <w:t> </w:t>
            </w:r>
            <w:r>
              <w:rPr>
                <w:b/>
                <w:sz w:val="20"/>
              </w:rPr>
              <w:t>were</w:t>
            </w:r>
            <w:r>
              <w:rPr>
                <w:b/>
                <w:spacing w:val="-6"/>
                <w:sz w:val="20"/>
              </w:rPr>
              <w:t> </w:t>
            </w:r>
            <w:r>
              <w:rPr>
                <w:b/>
                <w:sz w:val="20"/>
              </w:rPr>
              <w:t>received</w:t>
            </w:r>
            <w:r>
              <w:rPr>
                <w:b/>
                <w:spacing w:val="-2"/>
                <w:sz w:val="20"/>
              </w:rPr>
              <w:t> </w:t>
            </w:r>
            <w:r>
              <w:rPr>
                <w:b/>
                <w:sz w:val="20"/>
              </w:rPr>
              <w:t>in</w:t>
            </w:r>
            <w:r>
              <w:rPr>
                <w:b/>
                <w:spacing w:val="-5"/>
                <w:sz w:val="20"/>
              </w:rPr>
              <w:t> </w:t>
            </w:r>
            <w:r>
              <w:rPr>
                <w:b/>
                <w:sz w:val="20"/>
              </w:rPr>
              <w:t>respect</w:t>
            </w:r>
            <w:r>
              <w:rPr>
                <w:b/>
                <w:spacing w:val="-5"/>
                <w:sz w:val="20"/>
              </w:rPr>
              <w:t> </w:t>
            </w:r>
            <w:r>
              <w:rPr>
                <w:b/>
                <w:sz w:val="20"/>
              </w:rPr>
              <w:t>of</w:t>
            </w:r>
            <w:r>
              <w:rPr>
                <w:b/>
                <w:spacing w:val="-4"/>
                <w:sz w:val="20"/>
              </w:rPr>
              <w:t> </w:t>
            </w:r>
            <w:r>
              <w:rPr>
                <w:b/>
                <w:spacing w:val="-5"/>
                <w:sz w:val="20"/>
              </w:rPr>
              <w:t>the</w:t>
            </w:r>
          </w:p>
        </w:tc>
        <w:tc>
          <w:tcPr>
            <w:tcW w:w="1853" w:type="dxa"/>
          </w:tcPr>
          <w:p>
            <w:pPr>
              <w:pStyle w:val="TableParagraph"/>
              <w:rPr>
                <w:rFonts w:ascii="Times New Roman"/>
                <w:sz w:val="20"/>
              </w:rPr>
            </w:pPr>
          </w:p>
        </w:tc>
        <w:tc>
          <w:tcPr>
            <w:tcW w:w="1623" w:type="dxa"/>
            <w:shd w:val="clear" w:color="auto" w:fill="DDEBF6"/>
          </w:tcPr>
          <w:p>
            <w:pPr>
              <w:pStyle w:val="TableParagraph"/>
              <w:rPr>
                <w:rFonts w:ascii="Times New Roman"/>
                <w:sz w:val="20"/>
              </w:rPr>
            </w:pPr>
          </w:p>
        </w:tc>
        <w:tc>
          <w:tcPr>
            <w:tcW w:w="2518" w:type="dxa"/>
            <w:tcBorders>
              <w:right w:val="single" w:sz="4" w:space="0" w:color="000000"/>
            </w:tcBorders>
          </w:tcPr>
          <w:p>
            <w:pPr>
              <w:pStyle w:val="TableParagraph"/>
              <w:rPr>
                <w:rFonts w:ascii="Times New Roman"/>
                <w:sz w:val="20"/>
              </w:rPr>
            </w:pPr>
          </w:p>
        </w:tc>
      </w:tr>
      <w:tr>
        <w:trPr>
          <w:trHeight w:val="266" w:hRule="atLeast"/>
        </w:trPr>
        <w:tc>
          <w:tcPr>
            <w:tcW w:w="4438" w:type="dxa"/>
            <w:tcBorders>
              <w:left w:val="single" w:sz="4" w:space="0" w:color="000000"/>
            </w:tcBorders>
          </w:tcPr>
          <w:p>
            <w:pPr>
              <w:pStyle w:val="TableParagraph"/>
              <w:spacing w:line="227" w:lineRule="exact"/>
              <w:ind w:left="107"/>
              <w:rPr>
                <w:b/>
                <w:sz w:val="20"/>
              </w:rPr>
            </w:pPr>
            <w:r>
              <w:rPr>
                <w:b/>
                <w:spacing w:val="-2"/>
                <w:sz w:val="20"/>
              </w:rPr>
              <w:t>following:</w:t>
            </w:r>
          </w:p>
        </w:tc>
        <w:tc>
          <w:tcPr>
            <w:tcW w:w="1853" w:type="dxa"/>
          </w:tcPr>
          <w:p>
            <w:pPr>
              <w:pStyle w:val="TableParagraph"/>
              <w:rPr>
                <w:rFonts w:ascii="Times New Roman"/>
                <w:sz w:val="18"/>
              </w:rPr>
            </w:pPr>
          </w:p>
        </w:tc>
        <w:tc>
          <w:tcPr>
            <w:tcW w:w="1623" w:type="dxa"/>
            <w:shd w:val="clear" w:color="auto" w:fill="DDEBF6"/>
          </w:tcPr>
          <w:p>
            <w:pPr>
              <w:pStyle w:val="TableParagraph"/>
              <w:rPr>
                <w:rFonts w:ascii="Times New Roman"/>
                <w:sz w:val="18"/>
              </w:rPr>
            </w:pPr>
          </w:p>
        </w:tc>
        <w:tc>
          <w:tcPr>
            <w:tcW w:w="2518" w:type="dxa"/>
            <w:tcBorders>
              <w:right w:val="single" w:sz="4" w:space="0" w:color="000000"/>
            </w:tcBorders>
          </w:tcPr>
          <w:p>
            <w:pPr>
              <w:pStyle w:val="TableParagraph"/>
              <w:rPr>
                <w:rFonts w:ascii="Times New Roman"/>
                <w:sz w:val="18"/>
              </w:rPr>
            </w:pPr>
          </w:p>
        </w:tc>
      </w:tr>
      <w:tr>
        <w:trPr>
          <w:trHeight w:val="284" w:hRule="atLeast"/>
        </w:trPr>
        <w:tc>
          <w:tcPr>
            <w:tcW w:w="4438" w:type="dxa"/>
            <w:tcBorders>
              <w:left w:val="single" w:sz="4" w:space="0" w:color="000000"/>
            </w:tcBorders>
          </w:tcPr>
          <w:p>
            <w:pPr>
              <w:pStyle w:val="TableParagraph"/>
              <w:spacing w:before="32"/>
              <w:ind w:left="107"/>
              <w:rPr>
                <w:sz w:val="20"/>
              </w:rPr>
            </w:pPr>
            <w:r>
              <w:rPr>
                <w:sz w:val="20"/>
              </w:rPr>
              <w:t>Summary</w:t>
            </w:r>
            <w:r>
              <w:rPr>
                <w:spacing w:val="-7"/>
                <w:sz w:val="20"/>
              </w:rPr>
              <w:t> </w:t>
            </w:r>
            <w:r>
              <w:rPr>
                <w:sz w:val="20"/>
              </w:rPr>
              <w:t>of</w:t>
            </w:r>
            <w:r>
              <w:rPr>
                <w:spacing w:val="-4"/>
                <w:sz w:val="20"/>
              </w:rPr>
              <w:t> </w:t>
            </w:r>
            <w:r>
              <w:rPr>
                <w:spacing w:val="-2"/>
                <w:sz w:val="20"/>
              </w:rPr>
              <w:t>grants</w:t>
            </w:r>
          </w:p>
        </w:tc>
        <w:tc>
          <w:tcPr>
            <w:tcW w:w="1853" w:type="dxa"/>
          </w:tcPr>
          <w:p>
            <w:pPr>
              <w:pStyle w:val="TableParagraph"/>
              <w:rPr>
                <w:rFonts w:ascii="Times New Roman"/>
                <w:sz w:val="20"/>
              </w:rPr>
            </w:pPr>
          </w:p>
        </w:tc>
        <w:tc>
          <w:tcPr>
            <w:tcW w:w="1623" w:type="dxa"/>
            <w:shd w:val="clear" w:color="auto" w:fill="DDEBF6"/>
          </w:tcPr>
          <w:p>
            <w:pPr>
              <w:pStyle w:val="TableParagraph"/>
              <w:rPr>
                <w:rFonts w:ascii="Times New Roman"/>
                <w:sz w:val="20"/>
              </w:rPr>
            </w:pPr>
          </w:p>
        </w:tc>
        <w:tc>
          <w:tcPr>
            <w:tcW w:w="2518" w:type="dxa"/>
            <w:tcBorders>
              <w:right w:val="single" w:sz="4" w:space="0" w:color="000000"/>
            </w:tcBorders>
          </w:tcPr>
          <w:p>
            <w:pPr>
              <w:pStyle w:val="TableParagraph"/>
              <w:rPr>
                <w:rFonts w:ascii="Times New Roman"/>
                <w:sz w:val="20"/>
              </w:rPr>
            </w:pPr>
          </w:p>
        </w:tc>
      </w:tr>
      <w:tr>
        <w:trPr>
          <w:trHeight w:val="306" w:hRule="atLeast"/>
        </w:trPr>
        <w:tc>
          <w:tcPr>
            <w:tcW w:w="4438" w:type="dxa"/>
            <w:tcBorders>
              <w:left w:val="single" w:sz="4" w:space="0" w:color="000000"/>
            </w:tcBorders>
          </w:tcPr>
          <w:p>
            <w:pPr>
              <w:pStyle w:val="TableParagraph"/>
              <w:spacing w:before="50"/>
              <w:ind w:left="107"/>
              <w:rPr>
                <w:sz w:val="20"/>
              </w:rPr>
            </w:pPr>
            <w:r>
              <w:rPr>
                <w:sz w:val="20"/>
              </w:rPr>
              <w:t>Commonwealth</w:t>
            </w:r>
            <w:r>
              <w:rPr>
                <w:spacing w:val="-12"/>
                <w:sz w:val="20"/>
              </w:rPr>
              <w:t> </w:t>
            </w:r>
            <w:r>
              <w:rPr>
                <w:sz w:val="20"/>
              </w:rPr>
              <w:t>funded</w:t>
            </w:r>
            <w:r>
              <w:rPr>
                <w:spacing w:val="-10"/>
                <w:sz w:val="20"/>
              </w:rPr>
              <w:t> </w:t>
            </w:r>
            <w:r>
              <w:rPr>
                <w:spacing w:val="-2"/>
                <w:sz w:val="20"/>
              </w:rPr>
              <w:t>grants</w:t>
            </w:r>
          </w:p>
        </w:tc>
        <w:tc>
          <w:tcPr>
            <w:tcW w:w="1853" w:type="dxa"/>
          </w:tcPr>
          <w:p>
            <w:pPr>
              <w:pStyle w:val="TableParagraph"/>
              <w:spacing w:before="14"/>
              <w:ind w:right="103"/>
              <w:jc w:val="right"/>
              <w:rPr>
                <w:sz w:val="20"/>
              </w:rPr>
            </w:pPr>
            <w:r>
              <w:rPr>
                <w:spacing w:val="-2"/>
                <w:sz w:val="20"/>
              </w:rPr>
              <w:t>9,263</w:t>
            </w:r>
          </w:p>
        </w:tc>
        <w:tc>
          <w:tcPr>
            <w:tcW w:w="1623" w:type="dxa"/>
            <w:shd w:val="clear" w:color="auto" w:fill="DDEBF6"/>
          </w:tcPr>
          <w:p>
            <w:pPr>
              <w:pStyle w:val="TableParagraph"/>
              <w:spacing w:before="14"/>
              <w:ind w:right="101"/>
              <w:jc w:val="right"/>
              <w:rPr>
                <w:b/>
                <w:sz w:val="20"/>
              </w:rPr>
            </w:pPr>
            <w:r>
              <w:rPr>
                <w:b/>
                <w:spacing w:val="-2"/>
                <w:sz w:val="20"/>
              </w:rPr>
              <w:t>33,419</w:t>
            </w:r>
          </w:p>
        </w:tc>
        <w:tc>
          <w:tcPr>
            <w:tcW w:w="2518" w:type="dxa"/>
            <w:tcBorders>
              <w:right w:val="single" w:sz="4" w:space="0" w:color="000000"/>
            </w:tcBorders>
          </w:tcPr>
          <w:p>
            <w:pPr>
              <w:pStyle w:val="TableParagraph"/>
              <w:tabs>
                <w:tab w:pos="1048" w:val="left" w:leader="none"/>
              </w:tabs>
              <w:spacing w:before="14"/>
              <w:ind w:right="101"/>
              <w:jc w:val="right"/>
              <w:rPr>
                <w:sz w:val="20"/>
              </w:rPr>
            </w:pPr>
            <w:r>
              <w:rPr>
                <w:spacing w:val="-2"/>
                <w:sz w:val="20"/>
              </w:rPr>
              <w:t>24,156</w:t>
            </w:r>
            <w:r>
              <w:rPr>
                <w:sz w:val="20"/>
              </w:rPr>
              <w:tab/>
            </w:r>
            <w:r>
              <w:rPr>
                <w:spacing w:val="-2"/>
                <w:sz w:val="20"/>
              </w:rPr>
              <w:t>260.78%</w:t>
            </w:r>
          </w:p>
        </w:tc>
      </w:tr>
      <w:tr>
        <w:trPr>
          <w:trHeight w:val="294" w:hRule="atLeast"/>
        </w:trPr>
        <w:tc>
          <w:tcPr>
            <w:tcW w:w="4438" w:type="dxa"/>
            <w:tcBorders>
              <w:left w:val="single" w:sz="4" w:space="0" w:color="000000"/>
            </w:tcBorders>
          </w:tcPr>
          <w:p>
            <w:pPr>
              <w:pStyle w:val="TableParagraph"/>
              <w:spacing w:line="210" w:lineRule="exact" w:before="64"/>
              <w:ind w:left="107"/>
              <w:rPr>
                <w:sz w:val="20"/>
              </w:rPr>
            </w:pPr>
            <w:r>
              <w:rPr>
                <w:sz w:val="20"/>
              </w:rPr>
              <w:t>State</w:t>
            </w:r>
            <w:r>
              <w:rPr>
                <w:spacing w:val="-7"/>
                <w:sz w:val="20"/>
              </w:rPr>
              <w:t> </w:t>
            </w:r>
            <w:r>
              <w:rPr>
                <w:sz w:val="20"/>
              </w:rPr>
              <w:t>funded</w:t>
            </w:r>
            <w:r>
              <w:rPr>
                <w:spacing w:val="-6"/>
                <w:sz w:val="20"/>
              </w:rPr>
              <w:t> </w:t>
            </w:r>
            <w:r>
              <w:rPr>
                <w:spacing w:val="-2"/>
                <w:sz w:val="20"/>
              </w:rPr>
              <w:t>grants</w:t>
            </w:r>
          </w:p>
        </w:tc>
        <w:tc>
          <w:tcPr>
            <w:tcW w:w="1853" w:type="dxa"/>
            <w:tcBorders>
              <w:bottom w:val="single" w:sz="8" w:space="0" w:color="000000"/>
            </w:tcBorders>
          </w:tcPr>
          <w:p>
            <w:pPr>
              <w:pStyle w:val="TableParagraph"/>
              <w:spacing w:before="18"/>
              <w:ind w:right="103"/>
              <w:jc w:val="right"/>
              <w:rPr>
                <w:sz w:val="20"/>
              </w:rPr>
            </w:pPr>
            <w:r>
              <w:rPr>
                <w:spacing w:val="-2"/>
                <w:sz w:val="20"/>
              </w:rPr>
              <w:t>4,816</w:t>
            </w:r>
          </w:p>
        </w:tc>
        <w:tc>
          <w:tcPr>
            <w:tcW w:w="1623" w:type="dxa"/>
            <w:tcBorders>
              <w:bottom w:val="single" w:sz="8" w:space="0" w:color="000000"/>
            </w:tcBorders>
            <w:shd w:val="clear" w:color="auto" w:fill="DDEBF6"/>
          </w:tcPr>
          <w:p>
            <w:pPr>
              <w:pStyle w:val="TableParagraph"/>
              <w:spacing w:before="18"/>
              <w:ind w:right="102"/>
              <w:jc w:val="right"/>
              <w:rPr>
                <w:b/>
                <w:sz w:val="20"/>
              </w:rPr>
            </w:pPr>
            <w:r>
              <w:rPr>
                <w:b/>
                <w:spacing w:val="-2"/>
                <w:sz w:val="20"/>
              </w:rPr>
              <w:t>2,318</w:t>
            </w:r>
          </w:p>
        </w:tc>
        <w:tc>
          <w:tcPr>
            <w:tcW w:w="2518" w:type="dxa"/>
            <w:tcBorders>
              <w:bottom w:val="single" w:sz="8" w:space="0" w:color="000000"/>
              <w:right w:val="single" w:sz="4" w:space="0" w:color="000000"/>
            </w:tcBorders>
          </w:tcPr>
          <w:p>
            <w:pPr>
              <w:pStyle w:val="TableParagraph"/>
              <w:tabs>
                <w:tab w:pos="1159" w:val="left" w:leader="none"/>
              </w:tabs>
              <w:spacing w:before="18"/>
              <w:ind w:right="102"/>
              <w:jc w:val="right"/>
              <w:rPr>
                <w:sz w:val="20"/>
              </w:rPr>
            </w:pPr>
            <w:r>
              <w:rPr>
                <w:spacing w:val="-2"/>
                <w:sz w:val="20"/>
              </w:rPr>
              <w:t>(2,498)</w:t>
            </w:r>
            <w:r>
              <w:rPr>
                <w:sz w:val="20"/>
              </w:rPr>
              <w:tab/>
            </w:r>
            <w:r>
              <w:rPr>
                <w:spacing w:val="-2"/>
                <w:sz w:val="20"/>
              </w:rPr>
              <w:t>(51.9%)</w:t>
            </w:r>
          </w:p>
        </w:tc>
      </w:tr>
      <w:tr>
        <w:trPr>
          <w:trHeight w:val="318" w:hRule="atLeast"/>
        </w:trPr>
        <w:tc>
          <w:tcPr>
            <w:tcW w:w="4438" w:type="dxa"/>
            <w:tcBorders>
              <w:left w:val="single" w:sz="4" w:space="0" w:color="000000"/>
              <w:bottom w:val="single" w:sz="4" w:space="0" w:color="000000"/>
            </w:tcBorders>
          </w:tcPr>
          <w:p>
            <w:pPr>
              <w:pStyle w:val="TableParagraph"/>
              <w:spacing w:line="213" w:lineRule="exact" w:before="85"/>
              <w:ind w:left="107"/>
              <w:rPr>
                <w:b/>
                <w:sz w:val="20"/>
              </w:rPr>
            </w:pPr>
            <w:r>
              <w:rPr>
                <w:b/>
                <w:sz w:val="20"/>
              </w:rPr>
              <w:t>Total</w:t>
            </w:r>
            <w:r>
              <w:rPr>
                <w:b/>
                <w:spacing w:val="-7"/>
                <w:sz w:val="20"/>
              </w:rPr>
              <w:t> </w:t>
            </w:r>
            <w:r>
              <w:rPr>
                <w:b/>
                <w:sz w:val="20"/>
              </w:rPr>
              <w:t>grants</w:t>
            </w:r>
            <w:r>
              <w:rPr>
                <w:b/>
                <w:spacing w:val="-4"/>
                <w:sz w:val="20"/>
              </w:rPr>
              <w:t> </w:t>
            </w:r>
            <w:r>
              <w:rPr>
                <w:b/>
                <w:spacing w:val="-2"/>
                <w:sz w:val="20"/>
              </w:rPr>
              <w:t>received</w:t>
            </w:r>
          </w:p>
        </w:tc>
        <w:tc>
          <w:tcPr>
            <w:tcW w:w="1853" w:type="dxa"/>
            <w:tcBorders>
              <w:top w:val="single" w:sz="8" w:space="0" w:color="000000"/>
              <w:bottom w:val="single" w:sz="4" w:space="0" w:color="000000"/>
            </w:tcBorders>
          </w:tcPr>
          <w:p>
            <w:pPr>
              <w:pStyle w:val="TableParagraph"/>
              <w:spacing w:before="42"/>
              <w:ind w:right="104"/>
              <w:jc w:val="right"/>
              <w:rPr>
                <w:b/>
                <w:sz w:val="20"/>
              </w:rPr>
            </w:pPr>
            <w:r>
              <w:rPr>
                <w:b/>
                <w:spacing w:val="-2"/>
                <w:sz w:val="20"/>
              </w:rPr>
              <w:t>14,079</w:t>
            </w:r>
          </w:p>
        </w:tc>
        <w:tc>
          <w:tcPr>
            <w:tcW w:w="1623" w:type="dxa"/>
            <w:tcBorders>
              <w:top w:val="single" w:sz="8" w:space="0" w:color="000000"/>
              <w:bottom w:val="single" w:sz="4" w:space="0" w:color="000000"/>
            </w:tcBorders>
            <w:shd w:val="clear" w:color="auto" w:fill="DDEBF6"/>
          </w:tcPr>
          <w:p>
            <w:pPr>
              <w:pStyle w:val="TableParagraph"/>
              <w:spacing w:before="42"/>
              <w:ind w:right="104"/>
              <w:jc w:val="right"/>
              <w:rPr>
                <w:b/>
                <w:sz w:val="20"/>
              </w:rPr>
            </w:pPr>
            <w:r>
              <w:rPr>
                <w:b/>
                <w:spacing w:val="-2"/>
                <w:sz w:val="20"/>
              </w:rPr>
              <w:t>35,737</w:t>
            </w:r>
          </w:p>
        </w:tc>
        <w:tc>
          <w:tcPr>
            <w:tcW w:w="2518" w:type="dxa"/>
            <w:tcBorders>
              <w:top w:val="single" w:sz="8" w:space="0" w:color="000000"/>
              <w:bottom w:val="single" w:sz="4" w:space="0" w:color="000000"/>
              <w:right w:val="single" w:sz="4" w:space="0" w:color="000000"/>
            </w:tcBorders>
          </w:tcPr>
          <w:p>
            <w:pPr>
              <w:pStyle w:val="TableParagraph"/>
              <w:tabs>
                <w:tab w:pos="1048" w:val="left" w:leader="none"/>
              </w:tabs>
              <w:spacing w:before="42"/>
              <w:ind w:right="98"/>
              <w:jc w:val="right"/>
              <w:rPr>
                <w:b/>
                <w:sz w:val="20"/>
              </w:rPr>
            </w:pPr>
            <w:r>
              <w:rPr>
                <w:b/>
                <w:spacing w:val="-2"/>
                <w:sz w:val="20"/>
              </w:rPr>
              <w:t>21,658</w:t>
            </w:r>
            <w:r>
              <w:rPr>
                <w:b/>
                <w:sz w:val="20"/>
              </w:rPr>
              <w:tab/>
            </w:r>
            <w:r>
              <w:rPr>
                <w:b/>
                <w:spacing w:val="-2"/>
                <w:sz w:val="20"/>
              </w:rPr>
              <w:t>153.83%</w:t>
            </w:r>
          </w:p>
        </w:tc>
      </w:tr>
    </w:tbl>
    <w:p>
      <w:pPr>
        <w:pStyle w:val="BodyText"/>
        <w:rPr>
          <w:b/>
          <w:sz w:val="24"/>
        </w:rPr>
      </w:pPr>
    </w:p>
    <w:p>
      <w:pPr>
        <w:pStyle w:val="Heading6"/>
        <w:numPr>
          <w:ilvl w:val="3"/>
          <w:numId w:val="11"/>
        </w:numPr>
        <w:tabs>
          <w:tab w:pos="994" w:val="left" w:leader="none"/>
        </w:tabs>
        <w:spacing w:line="240" w:lineRule="auto" w:before="0" w:after="0"/>
        <w:ind w:left="993" w:right="0" w:hanging="734"/>
        <w:jc w:val="left"/>
        <w:rPr>
          <w:i/>
        </w:rPr>
      </w:pPr>
      <w:r>
        <w:rPr>
          <w:i/>
          <w:color w:val="4966AC"/>
        </w:rPr>
        <w:t>Grants</w:t>
      </w:r>
      <w:r>
        <w:rPr>
          <w:i/>
          <w:color w:val="4966AC"/>
          <w:spacing w:val="-3"/>
        </w:rPr>
        <w:t> </w:t>
      </w:r>
      <w:r>
        <w:rPr>
          <w:i/>
          <w:color w:val="4966AC"/>
        </w:rPr>
        <w:t>–</w:t>
      </w:r>
      <w:r>
        <w:rPr>
          <w:i/>
          <w:color w:val="4966AC"/>
          <w:spacing w:val="-3"/>
        </w:rPr>
        <w:t> </w:t>
      </w:r>
      <w:r>
        <w:rPr>
          <w:i/>
          <w:color w:val="4966AC"/>
          <w:spacing w:val="-2"/>
        </w:rPr>
        <w:t>operating.</w:t>
      </w:r>
    </w:p>
    <w:p>
      <w:pPr>
        <w:pStyle w:val="BodyText"/>
        <w:spacing w:before="5"/>
        <w:rPr>
          <w:b/>
          <w:i/>
          <w:sz w:val="23"/>
        </w:rPr>
      </w:pPr>
    </w:p>
    <w:p>
      <w:pPr>
        <w:pStyle w:val="BodyText"/>
        <w:spacing w:before="1"/>
        <w:ind w:left="260"/>
      </w:pPr>
      <w:r>
        <w:rPr/>
        <w:t>Operating</w:t>
      </w:r>
      <w:r>
        <w:rPr>
          <w:spacing w:val="-8"/>
        </w:rPr>
        <w:t> </w:t>
      </w:r>
      <w:r>
        <w:rPr/>
        <w:t>grants</w:t>
      </w:r>
      <w:r>
        <w:rPr>
          <w:spacing w:val="-6"/>
        </w:rPr>
        <w:t> </w:t>
      </w:r>
      <w:r>
        <w:rPr/>
        <w:t>include</w:t>
      </w:r>
      <w:r>
        <w:rPr>
          <w:spacing w:val="-8"/>
        </w:rPr>
        <w:t> </w:t>
      </w:r>
      <w:r>
        <w:rPr/>
        <w:t>all</w:t>
      </w:r>
      <w:r>
        <w:rPr>
          <w:spacing w:val="-8"/>
        </w:rPr>
        <w:t> </w:t>
      </w:r>
      <w:r>
        <w:rPr/>
        <w:t>monies</w:t>
      </w:r>
      <w:r>
        <w:rPr>
          <w:spacing w:val="-6"/>
        </w:rPr>
        <w:t> </w:t>
      </w:r>
      <w:r>
        <w:rPr/>
        <w:t>received</w:t>
      </w:r>
      <w:r>
        <w:rPr>
          <w:spacing w:val="-6"/>
        </w:rPr>
        <w:t> </w:t>
      </w:r>
      <w:r>
        <w:rPr/>
        <w:t>from</w:t>
      </w:r>
      <w:r>
        <w:rPr>
          <w:spacing w:val="-11"/>
        </w:rPr>
        <w:t> </w:t>
      </w:r>
      <w:r>
        <w:rPr/>
        <w:t>State</w:t>
      </w:r>
      <w:r>
        <w:rPr>
          <w:spacing w:val="-4"/>
        </w:rPr>
        <w:t> </w:t>
      </w:r>
      <w:r>
        <w:rPr/>
        <w:t>and</w:t>
      </w:r>
      <w:r>
        <w:rPr>
          <w:spacing w:val="-6"/>
        </w:rPr>
        <w:t> </w:t>
      </w:r>
      <w:r>
        <w:rPr/>
        <w:t>Federal</w:t>
      </w:r>
      <w:r>
        <w:rPr>
          <w:spacing w:val="-6"/>
        </w:rPr>
        <w:t> </w:t>
      </w:r>
      <w:r>
        <w:rPr/>
        <w:t>sources</w:t>
      </w:r>
      <w:r>
        <w:rPr>
          <w:spacing w:val="-4"/>
        </w:rPr>
        <w:t> </w:t>
      </w:r>
      <w:r>
        <w:rPr/>
        <w:t>for</w:t>
      </w:r>
      <w:r>
        <w:rPr>
          <w:spacing w:val="-7"/>
        </w:rPr>
        <w:t> </w:t>
      </w:r>
      <w:r>
        <w:rPr/>
        <w:t>the</w:t>
      </w:r>
      <w:r>
        <w:rPr>
          <w:spacing w:val="-6"/>
        </w:rPr>
        <w:t> </w:t>
      </w:r>
      <w:r>
        <w:rPr/>
        <w:t>purposes</w:t>
      </w:r>
      <w:r>
        <w:rPr>
          <w:spacing w:val="-6"/>
        </w:rPr>
        <w:t> </w:t>
      </w:r>
      <w:r>
        <w:rPr/>
        <w:t>of</w:t>
      </w:r>
      <w:r>
        <w:rPr>
          <w:spacing w:val="-6"/>
        </w:rPr>
        <w:t> </w:t>
      </w:r>
      <w:r>
        <w:rPr/>
        <w:t>funding</w:t>
      </w:r>
      <w:r>
        <w:rPr>
          <w:spacing w:val="-6"/>
        </w:rPr>
        <w:t> </w:t>
      </w:r>
      <w:r>
        <w:rPr/>
        <w:t>the delivery</w:t>
      </w:r>
      <w:r>
        <w:rPr>
          <w:spacing w:val="-6"/>
        </w:rPr>
        <w:t> </w:t>
      </w:r>
      <w:r>
        <w:rPr/>
        <w:t>of</w:t>
      </w:r>
      <w:r>
        <w:rPr>
          <w:spacing w:val="-3"/>
        </w:rPr>
        <w:t> </w:t>
      </w:r>
      <w:r>
        <w:rPr/>
        <w:t>Council’s</w:t>
      </w:r>
      <w:r>
        <w:rPr>
          <w:spacing w:val="-6"/>
        </w:rPr>
        <w:t> </w:t>
      </w:r>
      <w:r>
        <w:rPr/>
        <w:t>services</w:t>
      </w:r>
      <w:r>
        <w:rPr>
          <w:spacing w:val="-6"/>
        </w:rPr>
        <w:t> </w:t>
      </w:r>
      <w:r>
        <w:rPr/>
        <w:t>to</w:t>
      </w:r>
      <w:r>
        <w:rPr>
          <w:spacing w:val="-3"/>
        </w:rPr>
        <w:t> </w:t>
      </w:r>
      <w:r>
        <w:rPr/>
        <w:t>ratepayers.</w:t>
      </w:r>
      <w:r>
        <w:rPr>
          <w:spacing w:val="-6"/>
        </w:rPr>
        <w:t> </w:t>
      </w:r>
      <w:r>
        <w:rPr/>
        <w:t>Overall,</w:t>
      </w:r>
      <w:r>
        <w:rPr>
          <w:spacing w:val="-6"/>
        </w:rPr>
        <w:t> </w:t>
      </w:r>
      <w:r>
        <w:rPr/>
        <w:t>the</w:t>
      </w:r>
      <w:r>
        <w:rPr>
          <w:spacing w:val="-6"/>
        </w:rPr>
        <w:t> </w:t>
      </w:r>
      <w:r>
        <w:rPr/>
        <w:t>level</w:t>
      </w:r>
      <w:r>
        <w:rPr>
          <w:spacing w:val="-5"/>
        </w:rPr>
        <w:t> </w:t>
      </w:r>
      <w:r>
        <w:rPr/>
        <w:t>of</w:t>
      </w:r>
      <w:r>
        <w:rPr>
          <w:spacing w:val="-4"/>
        </w:rPr>
        <w:t> </w:t>
      </w:r>
      <w:r>
        <w:rPr/>
        <w:t>operating</w:t>
      </w:r>
      <w:r>
        <w:rPr>
          <w:spacing w:val="-6"/>
        </w:rPr>
        <w:t> </w:t>
      </w:r>
      <w:r>
        <w:rPr/>
        <w:t>grants</w:t>
      </w:r>
      <w:r>
        <w:rPr>
          <w:spacing w:val="-6"/>
        </w:rPr>
        <w:t> </w:t>
      </w:r>
      <w:r>
        <w:rPr/>
        <w:t>has</w:t>
      </w:r>
      <w:r>
        <w:rPr>
          <w:spacing w:val="-5"/>
        </w:rPr>
        <w:t> </w:t>
      </w:r>
      <w:r>
        <w:rPr/>
        <w:t>increased</w:t>
      </w:r>
      <w:r>
        <w:rPr>
          <w:spacing w:val="-6"/>
        </w:rPr>
        <w:t> </w:t>
      </w:r>
      <w:r>
        <w:rPr/>
        <w:t>by</w:t>
      </w:r>
      <w:r>
        <w:rPr>
          <w:spacing w:val="-6"/>
        </w:rPr>
        <w:t> </w:t>
      </w:r>
      <w:r>
        <w:rPr/>
        <w:t>15.2%</w:t>
      </w:r>
      <w:r>
        <w:rPr>
          <w:spacing w:val="-3"/>
        </w:rPr>
        <w:t> </w:t>
      </w:r>
      <w:r>
        <w:rPr>
          <w:spacing w:val="-5"/>
        </w:rPr>
        <w:t>or</w:t>
      </w:r>
    </w:p>
    <w:p>
      <w:pPr>
        <w:pStyle w:val="BodyText"/>
        <w:ind w:left="260" w:right="376"/>
      </w:pPr>
      <w:r>
        <w:rPr/>
        <w:t>$1.19</w:t>
      </w:r>
      <w:r>
        <w:rPr>
          <w:spacing w:val="-11"/>
        </w:rPr>
        <w:t> </w:t>
      </w:r>
      <w:r>
        <w:rPr/>
        <w:t>million</w:t>
      </w:r>
      <w:r>
        <w:rPr>
          <w:spacing w:val="-9"/>
        </w:rPr>
        <w:t> </w:t>
      </w:r>
      <w:r>
        <w:rPr/>
        <w:t>compared</w:t>
      </w:r>
      <w:r>
        <w:rPr>
          <w:spacing w:val="-9"/>
        </w:rPr>
        <w:t> </w:t>
      </w:r>
      <w:r>
        <w:rPr/>
        <w:t>to</w:t>
      </w:r>
      <w:r>
        <w:rPr>
          <w:spacing w:val="-7"/>
        </w:rPr>
        <w:t> </w:t>
      </w:r>
      <w:r>
        <w:rPr/>
        <w:t>2023/2024.</w:t>
      </w:r>
      <w:r>
        <w:rPr>
          <w:spacing w:val="-5"/>
        </w:rPr>
        <w:t> </w:t>
      </w:r>
      <w:r>
        <w:rPr/>
        <w:t>The</w:t>
      </w:r>
      <w:r>
        <w:rPr>
          <w:spacing w:val="-7"/>
        </w:rPr>
        <w:t> </w:t>
      </w:r>
      <w:r>
        <w:rPr/>
        <w:t>increase</w:t>
      </w:r>
      <w:r>
        <w:rPr>
          <w:spacing w:val="-9"/>
        </w:rPr>
        <w:t> </w:t>
      </w:r>
      <w:r>
        <w:rPr/>
        <w:t>mainly</w:t>
      </w:r>
      <w:r>
        <w:rPr>
          <w:spacing w:val="-9"/>
        </w:rPr>
        <w:t> </w:t>
      </w:r>
      <w:r>
        <w:rPr/>
        <w:t>relates</w:t>
      </w:r>
      <w:r>
        <w:rPr>
          <w:spacing w:val="-9"/>
        </w:rPr>
        <w:t> </w:t>
      </w:r>
      <w:r>
        <w:rPr/>
        <w:t>to</w:t>
      </w:r>
      <w:r>
        <w:rPr>
          <w:spacing w:val="-5"/>
        </w:rPr>
        <w:t> </w:t>
      </w:r>
      <w:r>
        <w:rPr/>
        <w:t>Financial</w:t>
      </w:r>
      <w:r>
        <w:rPr>
          <w:spacing w:val="-7"/>
        </w:rPr>
        <w:t> </w:t>
      </w:r>
      <w:r>
        <w:rPr/>
        <w:t>assistant</w:t>
      </w:r>
      <w:r>
        <w:rPr>
          <w:spacing w:val="-5"/>
        </w:rPr>
        <w:t> </w:t>
      </w:r>
      <w:r>
        <w:rPr/>
        <w:t>grant</w:t>
      </w:r>
      <w:r>
        <w:rPr>
          <w:spacing w:val="-7"/>
        </w:rPr>
        <w:t> </w:t>
      </w:r>
      <w:r>
        <w:rPr/>
        <w:t>for</w:t>
      </w:r>
      <w:r>
        <w:rPr>
          <w:spacing w:val="-6"/>
        </w:rPr>
        <w:t> </w:t>
      </w:r>
      <w:r>
        <w:rPr/>
        <w:t>2023/2024 being paid in advance.</w:t>
      </w:r>
    </w:p>
    <w:p>
      <w:pPr>
        <w:pStyle w:val="BodyText"/>
        <w:spacing w:before="3" w:after="1"/>
        <w:rPr>
          <w:sz w:val="21"/>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22"/>
        <w:gridCol w:w="1687"/>
        <w:gridCol w:w="1581"/>
        <w:gridCol w:w="1872"/>
        <w:gridCol w:w="993"/>
      </w:tblGrid>
      <w:tr>
        <w:trPr>
          <w:trHeight w:val="1039" w:hRule="atLeast"/>
        </w:trPr>
        <w:tc>
          <w:tcPr>
            <w:tcW w:w="4322" w:type="dxa"/>
            <w:tcBorders>
              <w:top w:val="single" w:sz="4" w:space="0" w:color="000000"/>
              <w:left w:val="single" w:sz="4" w:space="0" w:color="000000"/>
            </w:tcBorders>
            <w:shd w:val="clear" w:color="auto" w:fill="5B9AD4"/>
          </w:tcPr>
          <w:p>
            <w:pPr>
              <w:pStyle w:val="TableParagraph"/>
              <w:spacing w:before="1"/>
              <w:rPr>
                <w:sz w:val="24"/>
              </w:rPr>
            </w:pPr>
          </w:p>
          <w:p>
            <w:pPr>
              <w:pStyle w:val="TableParagraph"/>
              <w:spacing w:before="1"/>
              <w:ind w:left="1339"/>
              <w:rPr>
                <w:b/>
                <w:sz w:val="20"/>
              </w:rPr>
            </w:pPr>
            <w:r>
              <w:rPr>
                <w:b/>
                <w:color w:val="FFFFFF"/>
                <w:sz w:val="20"/>
              </w:rPr>
              <w:t>Operating</w:t>
            </w:r>
            <w:r>
              <w:rPr>
                <w:b/>
                <w:color w:val="FFFFFF"/>
                <w:spacing w:val="-12"/>
                <w:sz w:val="20"/>
              </w:rPr>
              <w:t> </w:t>
            </w:r>
            <w:r>
              <w:rPr>
                <w:b/>
                <w:color w:val="FFFFFF"/>
                <w:spacing w:val="-2"/>
                <w:sz w:val="20"/>
              </w:rPr>
              <w:t>Grants</w:t>
            </w:r>
          </w:p>
        </w:tc>
        <w:tc>
          <w:tcPr>
            <w:tcW w:w="1687" w:type="dxa"/>
            <w:tcBorders>
              <w:top w:val="single" w:sz="4" w:space="0" w:color="000000"/>
            </w:tcBorders>
            <w:shd w:val="clear" w:color="auto" w:fill="5B9AD4"/>
          </w:tcPr>
          <w:p>
            <w:pPr>
              <w:pStyle w:val="TableParagraph"/>
              <w:spacing w:before="50"/>
              <w:ind w:left="374" w:right="367" w:firstLine="3"/>
              <w:jc w:val="center"/>
              <w:rPr>
                <w:b/>
                <w:sz w:val="20"/>
              </w:rPr>
            </w:pPr>
            <w:r>
              <w:rPr>
                <w:b/>
                <w:color w:val="FFFFFF"/>
                <w:spacing w:val="-2"/>
                <w:sz w:val="20"/>
              </w:rPr>
              <w:t>Forecast Actual 2023/2024</w:t>
            </w:r>
          </w:p>
          <w:p>
            <w:pPr>
              <w:pStyle w:val="TableParagraph"/>
              <w:spacing w:line="211" w:lineRule="exact" w:before="68"/>
              <w:ind w:left="582" w:right="573"/>
              <w:jc w:val="center"/>
              <w:rPr>
                <w:b/>
                <w:sz w:val="20"/>
              </w:rPr>
            </w:pPr>
            <w:r>
              <w:rPr>
                <w:b/>
                <w:color w:val="FFFFFF"/>
                <w:spacing w:val="-2"/>
                <w:sz w:val="20"/>
              </w:rPr>
              <w:t>$’000</w:t>
            </w:r>
          </w:p>
        </w:tc>
        <w:tc>
          <w:tcPr>
            <w:tcW w:w="1581" w:type="dxa"/>
            <w:tcBorders>
              <w:top w:val="single" w:sz="4" w:space="0" w:color="000000"/>
            </w:tcBorders>
            <w:shd w:val="clear" w:color="auto" w:fill="5B9AD4"/>
          </w:tcPr>
          <w:p>
            <w:pPr>
              <w:pStyle w:val="TableParagraph"/>
              <w:spacing w:before="1"/>
              <w:rPr>
                <w:sz w:val="24"/>
              </w:rPr>
            </w:pPr>
          </w:p>
          <w:p>
            <w:pPr>
              <w:pStyle w:val="TableParagraph"/>
              <w:spacing w:before="1"/>
              <w:ind w:left="322" w:right="313" w:firstLine="3"/>
              <w:jc w:val="center"/>
              <w:rPr>
                <w:b/>
                <w:sz w:val="20"/>
              </w:rPr>
            </w:pPr>
            <w:r>
              <w:rPr>
                <w:b/>
                <w:color w:val="FFFFFF"/>
                <w:spacing w:val="-2"/>
                <w:sz w:val="20"/>
              </w:rPr>
              <w:t>Budget 2024/2025</w:t>
            </w:r>
          </w:p>
          <w:p>
            <w:pPr>
              <w:pStyle w:val="TableParagraph"/>
              <w:spacing w:line="211" w:lineRule="exact" w:before="70"/>
              <w:ind w:left="529" w:right="520"/>
              <w:jc w:val="center"/>
              <w:rPr>
                <w:b/>
                <w:sz w:val="20"/>
              </w:rPr>
            </w:pPr>
            <w:r>
              <w:rPr>
                <w:b/>
                <w:color w:val="FFFFFF"/>
                <w:spacing w:val="-2"/>
                <w:sz w:val="20"/>
              </w:rPr>
              <w:t>$’000</w:t>
            </w:r>
          </w:p>
        </w:tc>
        <w:tc>
          <w:tcPr>
            <w:tcW w:w="1872" w:type="dxa"/>
            <w:tcBorders>
              <w:top w:val="single" w:sz="4" w:space="0" w:color="000000"/>
            </w:tcBorders>
            <w:shd w:val="clear" w:color="auto" w:fill="5B9AD4"/>
          </w:tcPr>
          <w:p>
            <w:pPr>
              <w:pStyle w:val="TableParagraph"/>
              <w:spacing w:before="1"/>
              <w:rPr>
                <w:sz w:val="24"/>
              </w:rPr>
            </w:pPr>
          </w:p>
          <w:p>
            <w:pPr>
              <w:pStyle w:val="TableParagraph"/>
              <w:spacing w:before="1"/>
              <w:ind w:left="1071"/>
              <w:rPr>
                <w:b/>
                <w:sz w:val="20"/>
              </w:rPr>
            </w:pPr>
            <w:r>
              <w:rPr>
                <w:b/>
                <w:color w:val="FFFFFF"/>
                <w:spacing w:val="-2"/>
                <w:sz w:val="20"/>
              </w:rPr>
              <w:t>Change</w:t>
            </w:r>
          </w:p>
          <w:p>
            <w:pPr>
              <w:pStyle w:val="TableParagraph"/>
              <w:spacing w:before="1"/>
              <w:rPr>
                <w:sz w:val="26"/>
              </w:rPr>
            </w:pPr>
          </w:p>
          <w:p>
            <w:pPr>
              <w:pStyle w:val="TableParagraph"/>
              <w:spacing w:line="211" w:lineRule="exact"/>
              <w:ind w:left="502"/>
              <w:rPr>
                <w:b/>
                <w:sz w:val="20"/>
              </w:rPr>
            </w:pPr>
            <w:r>
              <w:rPr>
                <w:b/>
                <w:color w:val="FFFFFF"/>
                <w:spacing w:val="-2"/>
                <w:sz w:val="20"/>
              </w:rPr>
              <w:t>$’000</w:t>
            </w:r>
          </w:p>
        </w:tc>
        <w:tc>
          <w:tcPr>
            <w:tcW w:w="993" w:type="dxa"/>
            <w:tcBorders>
              <w:top w:val="single" w:sz="4" w:space="0" w:color="000000"/>
              <w:right w:val="single" w:sz="4" w:space="0" w:color="000000"/>
            </w:tcBorders>
            <w:shd w:val="clear" w:color="auto" w:fill="5B9AD4"/>
          </w:tcPr>
          <w:p>
            <w:pPr>
              <w:pStyle w:val="TableParagraph"/>
              <w:rPr>
                <w:sz w:val="22"/>
              </w:rPr>
            </w:pPr>
          </w:p>
          <w:p>
            <w:pPr>
              <w:pStyle w:val="TableParagraph"/>
              <w:rPr>
                <w:sz w:val="22"/>
              </w:rPr>
            </w:pPr>
          </w:p>
          <w:p>
            <w:pPr>
              <w:pStyle w:val="TableParagraph"/>
              <w:spacing w:before="3"/>
              <w:rPr>
                <w:sz w:val="26"/>
              </w:rPr>
            </w:pPr>
          </w:p>
          <w:p>
            <w:pPr>
              <w:pStyle w:val="TableParagraph"/>
              <w:spacing w:line="211" w:lineRule="exact"/>
              <w:ind w:left="219"/>
              <w:rPr>
                <w:b/>
                <w:sz w:val="20"/>
              </w:rPr>
            </w:pPr>
            <w:r>
              <w:rPr>
                <w:b/>
                <w:color w:val="FFFFFF"/>
                <w:w w:val="99"/>
                <w:sz w:val="20"/>
              </w:rPr>
              <w:t>%</w:t>
            </w:r>
          </w:p>
        </w:tc>
      </w:tr>
      <w:tr>
        <w:trPr>
          <w:trHeight w:val="320" w:hRule="atLeast"/>
        </w:trPr>
        <w:tc>
          <w:tcPr>
            <w:tcW w:w="4322" w:type="dxa"/>
            <w:tcBorders>
              <w:left w:val="single" w:sz="4" w:space="0" w:color="000000"/>
            </w:tcBorders>
          </w:tcPr>
          <w:p>
            <w:pPr>
              <w:pStyle w:val="TableParagraph"/>
              <w:spacing w:before="69"/>
              <w:ind w:left="107"/>
              <w:rPr>
                <w:b/>
                <w:i/>
                <w:sz w:val="20"/>
              </w:rPr>
            </w:pPr>
            <w:r>
              <w:rPr>
                <w:b/>
                <w:i/>
                <w:sz w:val="20"/>
              </w:rPr>
              <w:t>Recurrent</w:t>
            </w:r>
            <w:r>
              <w:rPr>
                <w:b/>
                <w:i/>
                <w:spacing w:val="-8"/>
                <w:sz w:val="20"/>
              </w:rPr>
              <w:t> </w:t>
            </w:r>
            <w:r>
              <w:rPr>
                <w:b/>
                <w:i/>
                <w:sz w:val="20"/>
              </w:rPr>
              <w:t>-</w:t>
            </w:r>
            <w:r>
              <w:rPr>
                <w:b/>
                <w:i/>
                <w:spacing w:val="-7"/>
                <w:sz w:val="20"/>
              </w:rPr>
              <w:t> </w:t>
            </w:r>
            <w:r>
              <w:rPr>
                <w:b/>
                <w:i/>
                <w:sz w:val="20"/>
              </w:rPr>
              <w:t>Commonwealth</w:t>
            </w:r>
            <w:r>
              <w:rPr>
                <w:b/>
                <w:i/>
                <w:spacing w:val="-7"/>
                <w:sz w:val="20"/>
              </w:rPr>
              <w:t> </w:t>
            </w:r>
            <w:r>
              <w:rPr>
                <w:b/>
                <w:i/>
                <w:spacing w:val="-2"/>
                <w:sz w:val="20"/>
              </w:rPr>
              <w:t>Government</w:t>
            </w:r>
          </w:p>
        </w:tc>
        <w:tc>
          <w:tcPr>
            <w:tcW w:w="1687" w:type="dxa"/>
          </w:tcPr>
          <w:p>
            <w:pPr>
              <w:pStyle w:val="TableParagraph"/>
              <w:rPr>
                <w:rFonts w:ascii="Times New Roman"/>
                <w:sz w:val="20"/>
              </w:rPr>
            </w:pPr>
          </w:p>
        </w:tc>
        <w:tc>
          <w:tcPr>
            <w:tcW w:w="1581" w:type="dxa"/>
            <w:shd w:val="clear" w:color="auto" w:fill="DDEBF6"/>
          </w:tcPr>
          <w:p>
            <w:pPr>
              <w:pStyle w:val="TableParagraph"/>
              <w:rPr>
                <w:rFonts w:ascii="Times New Roman"/>
                <w:sz w:val="20"/>
              </w:rPr>
            </w:pPr>
          </w:p>
        </w:tc>
        <w:tc>
          <w:tcPr>
            <w:tcW w:w="1872" w:type="dxa"/>
          </w:tcPr>
          <w:p>
            <w:pPr>
              <w:pStyle w:val="TableParagraph"/>
              <w:rPr>
                <w:rFonts w:ascii="Times New Roman"/>
                <w:sz w:val="20"/>
              </w:rPr>
            </w:pPr>
          </w:p>
        </w:tc>
        <w:tc>
          <w:tcPr>
            <w:tcW w:w="993" w:type="dxa"/>
            <w:tcBorders>
              <w:right w:val="single" w:sz="4" w:space="0" w:color="000000"/>
            </w:tcBorders>
          </w:tcPr>
          <w:p>
            <w:pPr>
              <w:pStyle w:val="TableParagraph"/>
              <w:rPr>
                <w:rFonts w:ascii="Times New Roman"/>
                <w:sz w:val="20"/>
              </w:rPr>
            </w:pPr>
          </w:p>
        </w:tc>
      </w:tr>
      <w:tr>
        <w:trPr>
          <w:trHeight w:val="283" w:hRule="atLeast"/>
        </w:trPr>
        <w:tc>
          <w:tcPr>
            <w:tcW w:w="4322" w:type="dxa"/>
            <w:tcBorders>
              <w:left w:val="single" w:sz="4" w:space="0" w:color="000000"/>
            </w:tcBorders>
          </w:tcPr>
          <w:p>
            <w:pPr>
              <w:pStyle w:val="TableParagraph"/>
              <w:spacing w:before="14"/>
              <w:ind w:left="107"/>
              <w:rPr>
                <w:sz w:val="20"/>
              </w:rPr>
            </w:pPr>
            <w:r>
              <w:rPr>
                <w:sz w:val="20"/>
              </w:rPr>
              <w:t>Aged</w:t>
            </w:r>
            <w:r>
              <w:rPr>
                <w:spacing w:val="-9"/>
                <w:sz w:val="20"/>
              </w:rPr>
              <w:t> </w:t>
            </w:r>
            <w:r>
              <w:rPr>
                <w:sz w:val="20"/>
              </w:rPr>
              <w:t>and</w:t>
            </w:r>
            <w:r>
              <w:rPr>
                <w:spacing w:val="-6"/>
                <w:sz w:val="20"/>
              </w:rPr>
              <w:t> </w:t>
            </w:r>
            <w:r>
              <w:rPr>
                <w:sz w:val="20"/>
              </w:rPr>
              <w:t>Disability</w:t>
            </w:r>
            <w:r>
              <w:rPr>
                <w:spacing w:val="-6"/>
                <w:sz w:val="20"/>
              </w:rPr>
              <w:t> </w:t>
            </w:r>
            <w:r>
              <w:rPr>
                <w:spacing w:val="-2"/>
                <w:sz w:val="20"/>
              </w:rPr>
              <w:t>Services</w:t>
            </w:r>
          </w:p>
        </w:tc>
        <w:tc>
          <w:tcPr>
            <w:tcW w:w="1687" w:type="dxa"/>
          </w:tcPr>
          <w:p>
            <w:pPr>
              <w:pStyle w:val="TableParagraph"/>
              <w:spacing w:before="14"/>
              <w:ind w:right="102"/>
              <w:jc w:val="right"/>
              <w:rPr>
                <w:sz w:val="20"/>
              </w:rPr>
            </w:pPr>
            <w:r>
              <w:rPr>
                <w:spacing w:val="-2"/>
                <w:sz w:val="20"/>
              </w:rPr>
              <w:t>1,030</w:t>
            </w:r>
          </w:p>
        </w:tc>
        <w:tc>
          <w:tcPr>
            <w:tcW w:w="1581" w:type="dxa"/>
            <w:shd w:val="clear" w:color="auto" w:fill="DDEBF6"/>
          </w:tcPr>
          <w:p>
            <w:pPr>
              <w:pStyle w:val="TableParagraph"/>
              <w:spacing w:before="14"/>
              <w:ind w:right="101"/>
              <w:jc w:val="right"/>
              <w:rPr>
                <w:b/>
                <w:sz w:val="20"/>
              </w:rPr>
            </w:pPr>
            <w:r>
              <w:rPr>
                <w:b/>
                <w:spacing w:val="-2"/>
                <w:sz w:val="20"/>
              </w:rPr>
              <w:t>1,090</w:t>
            </w:r>
          </w:p>
        </w:tc>
        <w:tc>
          <w:tcPr>
            <w:tcW w:w="1872" w:type="dxa"/>
          </w:tcPr>
          <w:p>
            <w:pPr>
              <w:pStyle w:val="TableParagraph"/>
              <w:spacing w:before="14"/>
              <w:ind w:right="477"/>
              <w:jc w:val="right"/>
              <w:rPr>
                <w:sz w:val="20"/>
              </w:rPr>
            </w:pPr>
            <w:r>
              <w:rPr>
                <w:spacing w:val="-5"/>
                <w:sz w:val="20"/>
              </w:rPr>
              <w:t>60</w:t>
            </w:r>
          </w:p>
        </w:tc>
        <w:tc>
          <w:tcPr>
            <w:tcW w:w="993" w:type="dxa"/>
            <w:tcBorders>
              <w:right w:val="single" w:sz="4" w:space="0" w:color="000000"/>
            </w:tcBorders>
          </w:tcPr>
          <w:p>
            <w:pPr>
              <w:pStyle w:val="TableParagraph"/>
              <w:spacing w:before="14"/>
              <w:ind w:right="97"/>
              <w:jc w:val="right"/>
              <w:rPr>
                <w:sz w:val="20"/>
              </w:rPr>
            </w:pPr>
            <w:r>
              <w:rPr>
                <w:spacing w:val="-4"/>
                <w:sz w:val="20"/>
              </w:rPr>
              <w:t>5.8%</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Community</w:t>
            </w:r>
            <w:r>
              <w:rPr>
                <w:spacing w:val="-13"/>
                <w:sz w:val="20"/>
              </w:rPr>
              <w:t> </w:t>
            </w:r>
            <w:r>
              <w:rPr>
                <w:spacing w:val="-2"/>
                <w:sz w:val="20"/>
              </w:rPr>
              <w:t>Safety</w:t>
            </w:r>
          </w:p>
        </w:tc>
        <w:tc>
          <w:tcPr>
            <w:tcW w:w="1687" w:type="dxa"/>
          </w:tcPr>
          <w:p>
            <w:pPr>
              <w:pStyle w:val="TableParagraph"/>
              <w:spacing w:before="31"/>
              <w:ind w:right="103"/>
              <w:jc w:val="right"/>
              <w:rPr>
                <w:sz w:val="20"/>
              </w:rPr>
            </w:pPr>
            <w:r>
              <w:rPr>
                <w:spacing w:val="-5"/>
                <w:sz w:val="20"/>
              </w:rPr>
              <w:t>14</w:t>
            </w:r>
          </w:p>
        </w:tc>
        <w:tc>
          <w:tcPr>
            <w:tcW w:w="1581" w:type="dxa"/>
            <w:shd w:val="clear" w:color="auto" w:fill="DDEBF6"/>
          </w:tcPr>
          <w:p>
            <w:pPr>
              <w:pStyle w:val="TableParagraph"/>
              <w:spacing w:before="31"/>
              <w:ind w:right="102"/>
              <w:jc w:val="right"/>
              <w:rPr>
                <w:b/>
                <w:sz w:val="20"/>
              </w:rPr>
            </w:pPr>
            <w:r>
              <w:rPr>
                <w:b/>
                <w:spacing w:val="-5"/>
                <w:sz w:val="20"/>
              </w:rPr>
              <w:t>14</w:t>
            </w:r>
          </w:p>
        </w:tc>
        <w:tc>
          <w:tcPr>
            <w:tcW w:w="1872" w:type="dxa"/>
          </w:tcPr>
          <w:p>
            <w:pPr>
              <w:pStyle w:val="TableParagraph"/>
              <w:spacing w:before="31"/>
              <w:ind w:right="474"/>
              <w:jc w:val="right"/>
              <w:rPr>
                <w:sz w:val="20"/>
              </w:rPr>
            </w:pPr>
            <w:r>
              <w:rPr>
                <w:w w:val="99"/>
                <w:sz w:val="20"/>
              </w:rPr>
              <w:t>0</w:t>
            </w:r>
          </w:p>
        </w:tc>
        <w:tc>
          <w:tcPr>
            <w:tcW w:w="993" w:type="dxa"/>
            <w:tcBorders>
              <w:right w:val="single" w:sz="4" w:space="0" w:color="000000"/>
            </w:tcBorders>
          </w:tcPr>
          <w:p>
            <w:pPr>
              <w:pStyle w:val="TableParagraph"/>
              <w:spacing w:before="31"/>
              <w:ind w:right="97"/>
              <w:jc w:val="right"/>
              <w:rPr>
                <w:sz w:val="20"/>
              </w:rPr>
            </w:pPr>
            <w:r>
              <w:rPr>
                <w:spacing w:val="-4"/>
                <w:sz w:val="20"/>
              </w:rPr>
              <w:t>0.0%</w:t>
            </w:r>
          </w:p>
        </w:tc>
      </w:tr>
      <w:tr>
        <w:trPr>
          <w:trHeight w:val="316" w:hRule="atLeast"/>
        </w:trPr>
        <w:tc>
          <w:tcPr>
            <w:tcW w:w="4322" w:type="dxa"/>
            <w:tcBorders>
              <w:left w:val="single" w:sz="4" w:space="0" w:color="000000"/>
            </w:tcBorders>
          </w:tcPr>
          <w:p>
            <w:pPr>
              <w:pStyle w:val="TableParagraph"/>
              <w:spacing w:before="31"/>
              <w:ind w:left="107"/>
              <w:rPr>
                <w:sz w:val="20"/>
              </w:rPr>
            </w:pPr>
            <w:r>
              <w:rPr>
                <w:sz w:val="20"/>
              </w:rPr>
              <w:t>Financial</w:t>
            </w:r>
            <w:r>
              <w:rPr>
                <w:spacing w:val="-9"/>
                <w:sz w:val="20"/>
              </w:rPr>
              <w:t> </w:t>
            </w:r>
            <w:r>
              <w:rPr>
                <w:sz w:val="20"/>
              </w:rPr>
              <w:t>Assistance</w:t>
            </w:r>
            <w:r>
              <w:rPr>
                <w:spacing w:val="-9"/>
                <w:sz w:val="20"/>
              </w:rPr>
              <w:t> </w:t>
            </w:r>
            <w:r>
              <w:rPr>
                <w:spacing w:val="-2"/>
                <w:sz w:val="20"/>
              </w:rPr>
              <w:t>Grants</w:t>
            </w:r>
          </w:p>
        </w:tc>
        <w:tc>
          <w:tcPr>
            <w:tcW w:w="1687" w:type="dxa"/>
          </w:tcPr>
          <w:p>
            <w:pPr>
              <w:pStyle w:val="TableParagraph"/>
              <w:spacing w:before="31"/>
              <w:ind w:right="102"/>
              <w:jc w:val="right"/>
              <w:rPr>
                <w:sz w:val="20"/>
              </w:rPr>
            </w:pPr>
            <w:r>
              <w:rPr>
                <w:spacing w:val="-2"/>
                <w:sz w:val="20"/>
              </w:rPr>
              <w:t>2,550</w:t>
            </w:r>
          </w:p>
        </w:tc>
        <w:tc>
          <w:tcPr>
            <w:tcW w:w="1581" w:type="dxa"/>
            <w:shd w:val="clear" w:color="auto" w:fill="DDEBF6"/>
          </w:tcPr>
          <w:p>
            <w:pPr>
              <w:pStyle w:val="TableParagraph"/>
              <w:spacing w:before="31"/>
              <w:ind w:right="101"/>
              <w:jc w:val="right"/>
              <w:rPr>
                <w:b/>
                <w:sz w:val="20"/>
              </w:rPr>
            </w:pPr>
            <w:r>
              <w:rPr>
                <w:b/>
                <w:spacing w:val="-2"/>
                <w:sz w:val="20"/>
              </w:rPr>
              <w:t>5,607</w:t>
            </w:r>
          </w:p>
        </w:tc>
        <w:tc>
          <w:tcPr>
            <w:tcW w:w="1872" w:type="dxa"/>
          </w:tcPr>
          <w:p>
            <w:pPr>
              <w:pStyle w:val="TableParagraph"/>
              <w:spacing w:before="31"/>
              <w:ind w:right="475"/>
              <w:jc w:val="right"/>
              <w:rPr>
                <w:sz w:val="20"/>
              </w:rPr>
            </w:pPr>
            <w:r>
              <w:rPr>
                <w:spacing w:val="-2"/>
                <w:sz w:val="20"/>
              </w:rPr>
              <w:t>3,057</w:t>
            </w:r>
          </w:p>
        </w:tc>
        <w:tc>
          <w:tcPr>
            <w:tcW w:w="993" w:type="dxa"/>
            <w:tcBorders>
              <w:right w:val="single" w:sz="4" w:space="0" w:color="000000"/>
            </w:tcBorders>
          </w:tcPr>
          <w:p>
            <w:pPr>
              <w:pStyle w:val="TableParagraph"/>
              <w:spacing w:before="31"/>
              <w:ind w:right="99"/>
              <w:jc w:val="right"/>
              <w:rPr>
                <w:sz w:val="20"/>
              </w:rPr>
            </w:pPr>
            <w:r>
              <w:rPr>
                <w:spacing w:val="-2"/>
                <w:sz w:val="20"/>
              </w:rPr>
              <w:t>119.9%</w:t>
            </w:r>
          </w:p>
        </w:tc>
      </w:tr>
      <w:tr>
        <w:trPr>
          <w:trHeight w:val="300" w:hRule="atLeast"/>
        </w:trPr>
        <w:tc>
          <w:tcPr>
            <w:tcW w:w="4322" w:type="dxa"/>
            <w:tcBorders>
              <w:left w:val="single" w:sz="4" w:space="0" w:color="000000"/>
            </w:tcBorders>
          </w:tcPr>
          <w:p>
            <w:pPr>
              <w:pStyle w:val="TableParagraph"/>
              <w:spacing w:before="48"/>
              <w:ind w:left="107"/>
              <w:rPr>
                <w:b/>
                <w:i/>
                <w:sz w:val="20"/>
              </w:rPr>
            </w:pPr>
            <w:r>
              <w:rPr>
                <w:b/>
                <w:i/>
                <w:sz w:val="20"/>
              </w:rPr>
              <w:t>Recurrent</w:t>
            </w:r>
            <w:r>
              <w:rPr>
                <w:b/>
                <w:i/>
                <w:spacing w:val="-6"/>
                <w:sz w:val="20"/>
              </w:rPr>
              <w:t> </w:t>
            </w:r>
            <w:r>
              <w:rPr>
                <w:b/>
                <w:i/>
                <w:sz w:val="20"/>
              </w:rPr>
              <w:t>-</w:t>
            </w:r>
            <w:r>
              <w:rPr>
                <w:b/>
                <w:i/>
                <w:spacing w:val="-6"/>
                <w:sz w:val="20"/>
              </w:rPr>
              <w:t> </w:t>
            </w:r>
            <w:r>
              <w:rPr>
                <w:b/>
                <w:i/>
                <w:sz w:val="20"/>
              </w:rPr>
              <w:t>State</w:t>
            </w:r>
            <w:r>
              <w:rPr>
                <w:b/>
                <w:i/>
                <w:spacing w:val="-5"/>
                <w:sz w:val="20"/>
              </w:rPr>
              <w:t> </w:t>
            </w:r>
            <w:r>
              <w:rPr>
                <w:b/>
                <w:i/>
                <w:spacing w:val="-2"/>
                <w:sz w:val="20"/>
              </w:rPr>
              <w:t>Government</w:t>
            </w:r>
          </w:p>
        </w:tc>
        <w:tc>
          <w:tcPr>
            <w:tcW w:w="1687" w:type="dxa"/>
          </w:tcPr>
          <w:p>
            <w:pPr>
              <w:pStyle w:val="TableParagraph"/>
              <w:rPr>
                <w:rFonts w:ascii="Times New Roman"/>
                <w:sz w:val="20"/>
              </w:rPr>
            </w:pPr>
          </w:p>
        </w:tc>
        <w:tc>
          <w:tcPr>
            <w:tcW w:w="1581" w:type="dxa"/>
            <w:shd w:val="clear" w:color="auto" w:fill="DDEBF6"/>
          </w:tcPr>
          <w:p>
            <w:pPr>
              <w:pStyle w:val="TableParagraph"/>
              <w:rPr>
                <w:rFonts w:ascii="Times New Roman"/>
                <w:sz w:val="20"/>
              </w:rPr>
            </w:pPr>
          </w:p>
        </w:tc>
        <w:tc>
          <w:tcPr>
            <w:tcW w:w="1872" w:type="dxa"/>
          </w:tcPr>
          <w:p>
            <w:pPr>
              <w:pStyle w:val="TableParagraph"/>
              <w:rPr>
                <w:rFonts w:ascii="Times New Roman"/>
                <w:sz w:val="20"/>
              </w:rPr>
            </w:pPr>
          </w:p>
        </w:tc>
        <w:tc>
          <w:tcPr>
            <w:tcW w:w="993" w:type="dxa"/>
            <w:tcBorders>
              <w:right w:val="single" w:sz="4" w:space="0" w:color="000000"/>
            </w:tcBorders>
          </w:tcPr>
          <w:p>
            <w:pPr>
              <w:pStyle w:val="TableParagraph"/>
              <w:rPr>
                <w:rFonts w:ascii="Times New Roman"/>
                <w:sz w:val="20"/>
              </w:rPr>
            </w:pPr>
          </w:p>
        </w:tc>
      </w:tr>
      <w:tr>
        <w:trPr>
          <w:trHeight w:val="283" w:hRule="atLeast"/>
        </w:trPr>
        <w:tc>
          <w:tcPr>
            <w:tcW w:w="4322" w:type="dxa"/>
            <w:tcBorders>
              <w:left w:val="single" w:sz="4" w:space="0" w:color="000000"/>
            </w:tcBorders>
          </w:tcPr>
          <w:p>
            <w:pPr>
              <w:pStyle w:val="TableParagraph"/>
              <w:spacing w:before="14"/>
              <w:ind w:left="107"/>
              <w:rPr>
                <w:sz w:val="20"/>
              </w:rPr>
            </w:pPr>
            <w:r>
              <w:rPr>
                <w:sz w:val="20"/>
              </w:rPr>
              <w:t>Aged</w:t>
            </w:r>
            <w:r>
              <w:rPr>
                <w:spacing w:val="-9"/>
                <w:sz w:val="20"/>
              </w:rPr>
              <w:t> </w:t>
            </w:r>
            <w:r>
              <w:rPr>
                <w:sz w:val="20"/>
              </w:rPr>
              <w:t>and</w:t>
            </w:r>
            <w:r>
              <w:rPr>
                <w:spacing w:val="-6"/>
                <w:sz w:val="20"/>
              </w:rPr>
              <w:t> </w:t>
            </w:r>
            <w:r>
              <w:rPr>
                <w:sz w:val="20"/>
              </w:rPr>
              <w:t>Disability</w:t>
            </w:r>
            <w:r>
              <w:rPr>
                <w:spacing w:val="-6"/>
                <w:sz w:val="20"/>
              </w:rPr>
              <w:t> </w:t>
            </w:r>
            <w:r>
              <w:rPr>
                <w:spacing w:val="-2"/>
                <w:sz w:val="20"/>
              </w:rPr>
              <w:t>Services</w:t>
            </w:r>
          </w:p>
        </w:tc>
        <w:tc>
          <w:tcPr>
            <w:tcW w:w="1687" w:type="dxa"/>
          </w:tcPr>
          <w:p>
            <w:pPr>
              <w:pStyle w:val="TableParagraph"/>
              <w:spacing w:before="14"/>
              <w:ind w:right="102"/>
              <w:jc w:val="right"/>
              <w:rPr>
                <w:sz w:val="20"/>
              </w:rPr>
            </w:pPr>
            <w:r>
              <w:rPr>
                <w:spacing w:val="-5"/>
                <w:sz w:val="20"/>
              </w:rPr>
              <w:t>556</w:t>
            </w:r>
          </w:p>
        </w:tc>
        <w:tc>
          <w:tcPr>
            <w:tcW w:w="1581" w:type="dxa"/>
            <w:shd w:val="clear" w:color="auto" w:fill="DDEBF6"/>
          </w:tcPr>
          <w:p>
            <w:pPr>
              <w:pStyle w:val="TableParagraph"/>
              <w:spacing w:before="14"/>
              <w:ind w:right="102"/>
              <w:jc w:val="right"/>
              <w:rPr>
                <w:b/>
                <w:sz w:val="20"/>
              </w:rPr>
            </w:pPr>
            <w:r>
              <w:rPr>
                <w:b/>
                <w:spacing w:val="-5"/>
                <w:sz w:val="20"/>
              </w:rPr>
              <w:t>515</w:t>
            </w:r>
          </w:p>
        </w:tc>
        <w:tc>
          <w:tcPr>
            <w:tcW w:w="1872" w:type="dxa"/>
          </w:tcPr>
          <w:p>
            <w:pPr>
              <w:pStyle w:val="TableParagraph"/>
              <w:spacing w:before="14"/>
              <w:ind w:right="475"/>
              <w:jc w:val="right"/>
              <w:rPr>
                <w:sz w:val="20"/>
              </w:rPr>
            </w:pPr>
            <w:r>
              <w:rPr>
                <w:spacing w:val="-4"/>
                <w:sz w:val="20"/>
              </w:rPr>
              <w:t>(41)</w:t>
            </w:r>
          </w:p>
        </w:tc>
        <w:tc>
          <w:tcPr>
            <w:tcW w:w="993" w:type="dxa"/>
            <w:tcBorders>
              <w:right w:val="single" w:sz="4" w:space="0" w:color="000000"/>
            </w:tcBorders>
          </w:tcPr>
          <w:p>
            <w:pPr>
              <w:pStyle w:val="TableParagraph"/>
              <w:spacing w:before="14"/>
              <w:ind w:right="95"/>
              <w:jc w:val="right"/>
              <w:rPr>
                <w:sz w:val="20"/>
              </w:rPr>
            </w:pPr>
            <w:r>
              <w:rPr>
                <w:spacing w:val="-2"/>
                <w:sz w:val="20"/>
              </w:rPr>
              <w:t>(7.4%)</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Community</w:t>
            </w:r>
            <w:r>
              <w:rPr>
                <w:spacing w:val="-13"/>
                <w:sz w:val="20"/>
              </w:rPr>
              <w:t> </w:t>
            </w:r>
            <w:r>
              <w:rPr>
                <w:spacing w:val="-2"/>
                <w:sz w:val="20"/>
              </w:rPr>
              <w:t>Safety</w:t>
            </w:r>
          </w:p>
        </w:tc>
        <w:tc>
          <w:tcPr>
            <w:tcW w:w="1687" w:type="dxa"/>
          </w:tcPr>
          <w:p>
            <w:pPr>
              <w:pStyle w:val="TableParagraph"/>
              <w:spacing w:before="31"/>
              <w:ind w:right="102"/>
              <w:jc w:val="right"/>
              <w:rPr>
                <w:sz w:val="20"/>
              </w:rPr>
            </w:pPr>
            <w:r>
              <w:rPr>
                <w:spacing w:val="-5"/>
                <w:sz w:val="20"/>
              </w:rPr>
              <w:t>78</w:t>
            </w:r>
          </w:p>
        </w:tc>
        <w:tc>
          <w:tcPr>
            <w:tcW w:w="1581" w:type="dxa"/>
            <w:shd w:val="clear" w:color="auto" w:fill="DDEBF6"/>
          </w:tcPr>
          <w:p>
            <w:pPr>
              <w:pStyle w:val="TableParagraph"/>
              <w:spacing w:before="31"/>
              <w:ind w:right="102"/>
              <w:jc w:val="right"/>
              <w:rPr>
                <w:b/>
                <w:sz w:val="20"/>
              </w:rPr>
            </w:pPr>
            <w:r>
              <w:rPr>
                <w:b/>
                <w:spacing w:val="-5"/>
                <w:sz w:val="20"/>
              </w:rPr>
              <w:t>77</w:t>
            </w:r>
          </w:p>
        </w:tc>
        <w:tc>
          <w:tcPr>
            <w:tcW w:w="1872" w:type="dxa"/>
          </w:tcPr>
          <w:p>
            <w:pPr>
              <w:pStyle w:val="TableParagraph"/>
              <w:spacing w:before="31"/>
              <w:ind w:right="475"/>
              <w:jc w:val="right"/>
              <w:rPr>
                <w:sz w:val="20"/>
              </w:rPr>
            </w:pPr>
            <w:r>
              <w:rPr>
                <w:spacing w:val="-5"/>
                <w:sz w:val="20"/>
              </w:rPr>
              <w:t>(1)</w:t>
            </w:r>
          </w:p>
        </w:tc>
        <w:tc>
          <w:tcPr>
            <w:tcW w:w="993" w:type="dxa"/>
            <w:tcBorders>
              <w:right w:val="single" w:sz="4" w:space="0" w:color="000000"/>
            </w:tcBorders>
          </w:tcPr>
          <w:p>
            <w:pPr>
              <w:pStyle w:val="TableParagraph"/>
              <w:spacing w:before="31"/>
              <w:ind w:right="95"/>
              <w:jc w:val="right"/>
              <w:rPr>
                <w:sz w:val="20"/>
              </w:rPr>
            </w:pPr>
            <w:r>
              <w:rPr>
                <w:spacing w:val="-2"/>
                <w:sz w:val="20"/>
              </w:rPr>
              <w:t>(1.3%)</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Maternal</w:t>
            </w:r>
            <w:r>
              <w:rPr>
                <w:spacing w:val="-6"/>
                <w:sz w:val="20"/>
              </w:rPr>
              <w:t> </w:t>
            </w:r>
            <w:r>
              <w:rPr>
                <w:sz w:val="20"/>
              </w:rPr>
              <w:t>Child</w:t>
            </w:r>
            <w:r>
              <w:rPr>
                <w:spacing w:val="-7"/>
                <w:sz w:val="20"/>
              </w:rPr>
              <w:t> </w:t>
            </w:r>
            <w:r>
              <w:rPr>
                <w:spacing w:val="-2"/>
                <w:sz w:val="20"/>
              </w:rPr>
              <w:t>Health</w:t>
            </w:r>
          </w:p>
        </w:tc>
        <w:tc>
          <w:tcPr>
            <w:tcW w:w="1687" w:type="dxa"/>
          </w:tcPr>
          <w:p>
            <w:pPr>
              <w:pStyle w:val="TableParagraph"/>
              <w:spacing w:before="31"/>
              <w:ind w:right="101"/>
              <w:jc w:val="right"/>
              <w:rPr>
                <w:sz w:val="20"/>
              </w:rPr>
            </w:pPr>
            <w:r>
              <w:rPr>
                <w:spacing w:val="-2"/>
                <w:sz w:val="20"/>
              </w:rPr>
              <w:t>1,691</w:t>
            </w:r>
          </w:p>
        </w:tc>
        <w:tc>
          <w:tcPr>
            <w:tcW w:w="1581" w:type="dxa"/>
            <w:shd w:val="clear" w:color="auto" w:fill="DDEBF6"/>
          </w:tcPr>
          <w:p>
            <w:pPr>
              <w:pStyle w:val="TableParagraph"/>
              <w:spacing w:before="31"/>
              <w:ind w:right="101"/>
              <w:jc w:val="right"/>
              <w:rPr>
                <w:b/>
                <w:sz w:val="20"/>
              </w:rPr>
            </w:pPr>
            <w:r>
              <w:rPr>
                <w:b/>
                <w:spacing w:val="-2"/>
                <w:sz w:val="20"/>
              </w:rPr>
              <w:t>1,273</w:t>
            </w:r>
          </w:p>
        </w:tc>
        <w:tc>
          <w:tcPr>
            <w:tcW w:w="1872" w:type="dxa"/>
          </w:tcPr>
          <w:p>
            <w:pPr>
              <w:pStyle w:val="TableParagraph"/>
              <w:spacing w:before="31"/>
              <w:ind w:right="478"/>
              <w:jc w:val="right"/>
              <w:rPr>
                <w:sz w:val="20"/>
              </w:rPr>
            </w:pPr>
            <w:r>
              <w:rPr>
                <w:spacing w:val="-2"/>
                <w:sz w:val="20"/>
              </w:rPr>
              <w:t>(418)</w:t>
            </w:r>
          </w:p>
        </w:tc>
        <w:tc>
          <w:tcPr>
            <w:tcW w:w="993" w:type="dxa"/>
            <w:tcBorders>
              <w:right w:val="single" w:sz="4" w:space="0" w:color="000000"/>
            </w:tcBorders>
          </w:tcPr>
          <w:p>
            <w:pPr>
              <w:pStyle w:val="TableParagraph"/>
              <w:spacing w:before="31"/>
              <w:ind w:right="98"/>
              <w:jc w:val="right"/>
              <w:rPr>
                <w:sz w:val="20"/>
              </w:rPr>
            </w:pPr>
            <w:r>
              <w:rPr>
                <w:spacing w:val="-2"/>
                <w:sz w:val="20"/>
              </w:rPr>
              <w:t>(24.7%)</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Sport</w:t>
            </w:r>
            <w:r>
              <w:rPr>
                <w:spacing w:val="-5"/>
                <w:sz w:val="20"/>
              </w:rPr>
              <w:t> </w:t>
            </w:r>
            <w:r>
              <w:rPr>
                <w:sz w:val="20"/>
              </w:rPr>
              <w:t>and</w:t>
            </w:r>
            <w:r>
              <w:rPr>
                <w:spacing w:val="-5"/>
                <w:sz w:val="20"/>
              </w:rPr>
              <w:t> </w:t>
            </w:r>
            <w:r>
              <w:rPr>
                <w:spacing w:val="-2"/>
                <w:sz w:val="20"/>
              </w:rPr>
              <w:t>recreation</w:t>
            </w:r>
          </w:p>
        </w:tc>
        <w:tc>
          <w:tcPr>
            <w:tcW w:w="1687" w:type="dxa"/>
          </w:tcPr>
          <w:p>
            <w:pPr>
              <w:pStyle w:val="TableParagraph"/>
              <w:spacing w:before="31"/>
              <w:ind w:right="101"/>
              <w:jc w:val="right"/>
              <w:rPr>
                <w:sz w:val="20"/>
              </w:rPr>
            </w:pPr>
            <w:r>
              <w:rPr>
                <w:w w:val="99"/>
                <w:sz w:val="20"/>
              </w:rPr>
              <w:t>2</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5"/>
              <w:jc w:val="right"/>
              <w:rPr>
                <w:sz w:val="20"/>
              </w:rPr>
            </w:pPr>
            <w:r>
              <w:rPr>
                <w:spacing w:val="-5"/>
                <w:sz w:val="20"/>
              </w:rPr>
              <w:t>(2)</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295" w:hRule="atLeast"/>
        </w:trPr>
        <w:tc>
          <w:tcPr>
            <w:tcW w:w="4322" w:type="dxa"/>
            <w:tcBorders>
              <w:left w:val="single" w:sz="4" w:space="0" w:color="000000"/>
            </w:tcBorders>
          </w:tcPr>
          <w:p>
            <w:pPr>
              <w:pStyle w:val="TableParagraph"/>
              <w:spacing w:before="31"/>
              <w:ind w:left="107"/>
              <w:rPr>
                <w:sz w:val="20"/>
              </w:rPr>
            </w:pPr>
            <w:r>
              <w:rPr>
                <w:sz w:val="20"/>
              </w:rPr>
              <w:t>Youth</w:t>
            </w:r>
            <w:r>
              <w:rPr>
                <w:spacing w:val="-7"/>
                <w:sz w:val="20"/>
              </w:rPr>
              <w:t> </w:t>
            </w:r>
            <w:r>
              <w:rPr>
                <w:sz w:val="20"/>
              </w:rPr>
              <w:t>and</w:t>
            </w:r>
            <w:r>
              <w:rPr>
                <w:spacing w:val="-7"/>
                <w:sz w:val="20"/>
              </w:rPr>
              <w:t> </w:t>
            </w:r>
            <w:r>
              <w:rPr>
                <w:sz w:val="20"/>
              </w:rPr>
              <w:t>Children</w:t>
            </w:r>
            <w:r>
              <w:rPr>
                <w:spacing w:val="-7"/>
                <w:sz w:val="20"/>
              </w:rPr>
              <w:t> </w:t>
            </w:r>
            <w:r>
              <w:rPr>
                <w:spacing w:val="-2"/>
                <w:sz w:val="20"/>
              </w:rPr>
              <w:t>Services</w:t>
            </w:r>
          </w:p>
        </w:tc>
        <w:tc>
          <w:tcPr>
            <w:tcW w:w="1687" w:type="dxa"/>
            <w:tcBorders>
              <w:bottom w:val="single" w:sz="8" w:space="0" w:color="000000"/>
            </w:tcBorders>
          </w:tcPr>
          <w:p>
            <w:pPr>
              <w:pStyle w:val="TableParagraph"/>
              <w:spacing w:before="31"/>
              <w:ind w:right="103"/>
              <w:jc w:val="right"/>
              <w:rPr>
                <w:sz w:val="20"/>
              </w:rPr>
            </w:pPr>
            <w:r>
              <w:rPr>
                <w:spacing w:val="-5"/>
                <w:sz w:val="20"/>
              </w:rPr>
              <w:t>180</w:t>
            </w:r>
          </w:p>
        </w:tc>
        <w:tc>
          <w:tcPr>
            <w:tcW w:w="1581" w:type="dxa"/>
            <w:tcBorders>
              <w:bottom w:val="single" w:sz="8" w:space="0" w:color="000000"/>
            </w:tcBorders>
            <w:shd w:val="clear" w:color="auto" w:fill="DDEBF6"/>
          </w:tcPr>
          <w:p>
            <w:pPr>
              <w:pStyle w:val="TableParagraph"/>
              <w:spacing w:before="31"/>
              <w:ind w:right="102"/>
              <w:jc w:val="right"/>
              <w:rPr>
                <w:b/>
                <w:sz w:val="20"/>
              </w:rPr>
            </w:pPr>
            <w:r>
              <w:rPr>
                <w:b/>
                <w:spacing w:val="-5"/>
                <w:sz w:val="20"/>
              </w:rPr>
              <w:t>41</w:t>
            </w:r>
          </w:p>
        </w:tc>
        <w:tc>
          <w:tcPr>
            <w:tcW w:w="1872" w:type="dxa"/>
            <w:tcBorders>
              <w:bottom w:val="single" w:sz="8" w:space="0" w:color="000000"/>
            </w:tcBorders>
          </w:tcPr>
          <w:p>
            <w:pPr>
              <w:pStyle w:val="TableParagraph"/>
              <w:spacing w:before="31"/>
              <w:ind w:right="478"/>
              <w:jc w:val="right"/>
              <w:rPr>
                <w:sz w:val="20"/>
              </w:rPr>
            </w:pPr>
            <w:r>
              <w:rPr>
                <w:spacing w:val="-2"/>
                <w:sz w:val="20"/>
              </w:rPr>
              <w:t>(139)</w:t>
            </w:r>
          </w:p>
        </w:tc>
        <w:tc>
          <w:tcPr>
            <w:tcW w:w="993" w:type="dxa"/>
            <w:tcBorders>
              <w:bottom w:val="single" w:sz="4" w:space="0" w:color="000000"/>
              <w:right w:val="single" w:sz="4" w:space="0" w:color="000000"/>
            </w:tcBorders>
          </w:tcPr>
          <w:p>
            <w:pPr>
              <w:pStyle w:val="TableParagraph"/>
              <w:spacing w:before="31"/>
              <w:ind w:right="98"/>
              <w:jc w:val="right"/>
              <w:rPr>
                <w:sz w:val="20"/>
              </w:rPr>
            </w:pPr>
            <w:r>
              <w:rPr>
                <w:spacing w:val="-2"/>
                <w:sz w:val="20"/>
              </w:rPr>
              <w:t>(77.2%)</w:t>
            </w:r>
          </w:p>
        </w:tc>
      </w:tr>
      <w:tr>
        <w:trPr>
          <w:trHeight w:val="328" w:hRule="atLeast"/>
        </w:trPr>
        <w:tc>
          <w:tcPr>
            <w:tcW w:w="4322" w:type="dxa"/>
            <w:tcBorders>
              <w:left w:val="single" w:sz="4" w:space="0" w:color="000000"/>
            </w:tcBorders>
          </w:tcPr>
          <w:p>
            <w:pPr>
              <w:pStyle w:val="TableParagraph"/>
              <w:spacing w:before="71"/>
              <w:ind w:left="107"/>
              <w:rPr>
                <w:b/>
                <w:i/>
                <w:sz w:val="20"/>
              </w:rPr>
            </w:pPr>
            <w:r>
              <w:rPr>
                <w:b/>
                <w:i/>
                <w:sz w:val="20"/>
              </w:rPr>
              <w:t>Total</w:t>
            </w:r>
            <w:r>
              <w:rPr>
                <w:b/>
                <w:i/>
                <w:spacing w:val="-9"/>
                <w:sz w:val="20"/>
              </w:rPr>
              <w:t> </w:t>
            </w:r>
            <w:r>
              <w:rPr>
                <w:b/>
                <w:i/>
                <w:sz w:val="20"/>
              </w:rPr>
              <w:t>recurrent</w:t>
            </w:r>
            <w:r>
              <w:rPr>
                <w:b/>
                <w:i/>
                <w:spacing w:val="-9"/>
                <w:sz w:val="20"/>
              </w:rPr>
              <w:t> </w:t>
            </w:r>
            <w:r>
              <w:rPr>
                <w:b/>
                <w:i/>
                <w:spacing w:val="-2"/>
                <w:sz w:val="20"/>
              </w:rPr>
              <w:t>grants</w:t>
            </w:r>
          </w:p>
        </w:tc>
        <w:tc>
          <w:tcPr>
            <w:tcW w:w="1687" w:type="dxa"/>
            <w:tcBorders>
              <w:top w:val="single" w:sz="8" w:space="0" w:color="000000"/>
            </w:tcBorders>
          </w:tcPr>
          <w:p>
            <w:pPr>
              <w:pStyle w:val="TableParagraph"/>
              <w:spacing w:before="35"/>
              <w:ind w:right="102"/>
              <w:jc w:val="right"/>
              <w:rPr>
                <w:b/>
                <w:sz w:val="20"/>
              </w:rPr>
            </w:pPr>
            <w:r>
              <w:rPr>
                <w:b/>
                <w:spacing w:val="-2"/>
                <w:sz w:val="20"/>
              </w:rPr>
              <w:t>6,101</w:t>
            </w:r>
          </w:p>
        </w:tc>
        <w:tc>
          <w:tcPr>
            <w:tcW w:w="1581" w:type="dxa"/>
            <w:tcBorders>
              <w:top w:val="single" w:sz="8" w:space="0" w:color="000000"/>
            </w:tcBorders>
            <w:shd w:val="clear" w:color="auto" w:fill="DDEBF6"/>
          </w:tcPr>
          <w:p>
            <w:pPr>
              <w:pStyle w:val="TableParagraph"/>
              <w:spacing w:before="35"/>
              <w:ind w:right="101"/>
              <w:jc w:val="right"/>
              <w:rPr>
                <w:b/>
                <w:sz w:val="20"/>
              </w:rPr>
            </w:pPr>
            <w:r>
              <w:rPr>
                <w:b/>
                <w:spacing w:val="-2"/>
                <w:sz w:val="20"/>
              </w:rPr>
              <w:t>8,617</w:t>
            </w:r>
          </w:p>
        </w:tc>
        <w:tc>
          <w:tcPr>
            <w:tcW w:w="1872" w:type="dxa"/>
            <w:tcBorders>
              <w:top w:val="single" w:sz="8" w:space="0" w:color="000000"/>
            </w:tcBorders>
          </w:tcPr>
          <w:p>
            <w:pPr>
              <w:pStyle w:val="TableParagraph"/>
              <w:spacing w:before="35"/>
              <w:ind w:right="475"/>
              <w:jc w:val="right"/>
              <w:rPr>
                <w:b/>
                <w:sz w:val="20"/>
              </w:rPr>
            </w:pPr>
            <w:r>
              <w:rPr>
                <w:b/>
                <w:spacing w:val="-2"/>
                <w:sz w:val="20"/>
              </w:rPr>
              <w:t>2,516</w:t>
            </w:r>
          </w:p>
        </w:tc>
        <w:tc>
          <w:tcPr>
            <w:tcW w:w="993" w:type="dxa"/>
            <w:tcBorders>
              <w:top w:val="single" w:sz="4" w:space="0" w:color="000000"/>
              <w:right w:val="single" w:sz="4" w:space="0" w:color="000000"/>
            </w:tcBorders>
          </w:tcPr>
          <w:p>
            <w:pPr>
              <w:pStyle w:val="TableParagraph"/>
              <w:spacing w:before="35"/>
              <w:ind w:right="94"/>
              <w:jc w:val="right"/>
              <w:rPr>
                <w:b/>
                <w:sz w:val="20"/>
              </w:rPr>
            </w:pPr>
            <w:r>
              <w:rPr>
                <w:b/>
                <w:spacing w:val="-2"/>
                <w:sz w:val="20"/>
              </w:rPr>
              <w:t>41.2%</w:t>
            </w:r>
          </w:p>
        </w:tc>
      </w:tr>
      <w:tr>
        <w:trPr>
          <w:trHeight w:val="254" w:hRule="atLeast"/>
        </w:trPr>
        <w:tc>
          <w:tcPr>
            <w:tcW w:w="4322" w:type="dxa"/>
            <w:tcBorders>
              <w:left w:val="single" w:sz="4" w:space="0" w:color="000000"/>
            </w:tcBorders>
          </w:tcPr>
          <w:p>
            <w:pPr>
              <w:pStyle w:val="TableParagraph"/>
              <w:spacing w:line="214" w:lineRule="exact" w:before="20"/>
              <w:ind w:left="107"/>
              <w:rPr>
                <w:b/>
                <w:i/>
                <w:sz w:val="20"/>
              </w:rPr>
            </w:pPr>
            <w:r>
              <w:rPr>
                <w:b/>
                <w:i/>
                <w:sz w:val="20"/>
              </w:rPr>
              <w:t>Non-</w:t>
            </w:r>
            <w:r>
              <w:rPr>
                <w:b/>
                <w:i/>
                <w:spacing w:val="-8"/>
                <w:sz w:val="20"/>
              </w:rPr>
              <w:t> </w:t>
            </w:r>
            <w:r>
              <w:rPr>
                <w:b/>
                <w:i/>
                <w:sz w:val="20"/>
              </w:rPr>
              <w:t>recurrent</w:t>
            </w:r>
            <w:r>
              <w:rPr>
                <w:b/>
                <w:i/>
                <w:spacing w:val="-4"/>
                <w:sz w:val="20"/>
              </w:rPr>
              <w:t> </w:t>
            </w:r>
            <w:r>
              <w:rPr>
                <w:b/>
                <w:i/>
                <w:sz w:val="20"/>
              </w:rPr>
              <w:t>-</w:t>
            </w:r>
            <w:r>
              <w:rPr>
                <w:b/>
                <w:i/>
                <w:spacing w:val="-5"/>
                <w:sz w:val="20"/>
              </w:rPr>
              <w:t> </w:t>
            </w:r>
            <w:r>
              <w:rPr>
                <w:b/>
                <w:i/>
                <w:spacing w:val="-2"/>
                <w:sz w:val="20"/>
              </w:rPr>
              <w:t>Commonwealth</w:t>
            </w:r>
          </w:p>
        </w:tc>
        <w:tc>
          <w:tcPr>
            <w:tcW w:w="1687" w:type="dxa"/>
          </w:tcPr>
          <w:p>
            <w:pPr>
              <w:pStyle w:val="TableParagraph"/>
              <w:rPr>
                <w:rFonts w:ascii="Times New Roman"/>
                <w:sz w:val="18"/>
              </w:rPr>
            </w:pPr>
          </w:p>
        </w:tc>
        <w:tc>
          <w:tcPr>
            <w:tcW w:w="1581" w:type="dxa"/>
            <w:shd w:val="clear" w:color="auto" w:fill="DDEBF6"/>
          </w:tcPr>
          <w:p>
            <w:pPr>
              <w:pStyle w:val="TableParagraph"/>
              <w:rPr>
                <w:rFonts w:ascii="Times New Roman"/>
                <w:sz w:val="18"/>
              </w:rPr>
            </w:pPr>
          </w:p>
        </w:tc>
        <w:tc>
          <w:tcPr>
            <w:tcW w:w="1872" w:type="dxa"/>
          </w:tcPr>
          <w:p>
            <w:pPr>
              <w:pStyle w:val="TableParagraph"/>
              <w:rPr>
                <w:rFonts w:ascii="Times New Roman"/>
                <w:sz w:val="18"/>
              </w:rPr>
            </w:pPr>
          </w:p>
        </w:tc>
        <w:tc>
          <w:tcPr>
            <w:tcW w:w="993" w:type="dxa"/>
            <w:tcBorders>
              <w:right w:val="single" w:sz="4" w:space="0" w:color="000000"/>
            </w:tcBorders>
          </w:tcPr>
          <w:p>
            <w:pPr>
              <w:pStyle w:val="TableParagraph"/>
              <w:rPr>
                <w:rFonts w:ascii="Times New Roman"/>
                <w:sz w:val="18"/>
              </w:rPr>
            </w:pPr>
          </w:p>
        </w:tc>
      </w:tr>
      <w:tr>
        <w:trPr>
          <w:trHeight w:val="248" w:hRule="atLeast"/>
        </w:trPr>
        <w:tc>
          <w:tcPr>
            <w:tcW w:w="4322" w:type="dxa"/>
            <w:tcBorders>
              <w:left w:val="single" w:sz="4" w:space="0" w:color="000000"/>
            </w:tcBorders>
          </w:tcPr>
          <w:p>
            <w:pPr>
              <w:pStyle w:val="TableParagraph"/>
              <w:spacing w:line="227" w:lineRule="exact"/>
              <w:ind w:left="107"/>
              <w:rPr>
                <w:b/>
                <w:i/>
                <w:sz w:val="20"/>
              </w:rPr>
            </w:pPr>
            <w:r>
              <w:rPr>
                <w:b/>
                <w:i/>
                <w:spacing w:val="-2"/>
                <w:sz w:val="20"/>
              </w:rPr>
              <w:t>Government</w:t>
            </w:r>
          </w:p>
        </w:tc>
        <w:tc>
          <w:tcPr>
            <w:tcW w:w="1687" w:type="dxa"/>
          </w:tcPr>
          <w:p>
            <w:pPr>
              <w:pStyle w:val="TableParagraph"/>
              <w:rPr>
                <w:rFonts w:ascii="Times New Roman"/>
                <w:sz w:val="18"/>
              </w:rPr>
            </w:pPr>
          </w:p>
        </w:tc>
        <w:tc>
          <w:tcPr>
            <w:tcW w:w="1581" w:type="dxa"/>
            <w:shd w:val="clear" w:color="auto" w:fill="DDEBF6"/>
          </w:tcPr>
          <w:p>
            <w:pPr>
              <w:pStyle w:val="TableParagraph"/>
              <w:rPr>
                <w:rFonts w:ascii="Times New Roman"/>
                <w:sz w:val="18"/>
              </w:rPr>
            </w:pPr>
          </w:p>
        </w:tc>
        <w:tc>
          <w:tcPr>
            <w:tcW w:w="1872" w:type="dxa"/>
          </w:tcPr>
          <w:p>
            <w:pPr>
              <w:pStyle w:val="TableParagraph"/>
              <w:rPr>
                <w:rFonts w:ascii="Times New Roman"/>
                <w:sz w:val="18"/>
              </w:rPr>
            </w:pPr>
          </w:p>
        </w:tc>
        <w:tc>
          <w:tcPr>
            <w:tcW w:w="993" w:type="dxa"/>
            <w:tcBorders>
              <w:right w:val="single" w:sz="4" w:space="0" w:color="000000"/>
            </w:tcBorders>
          </w:tcPr>
          <w:p>
            <w:pPr>
              <w:pStyle w:val="TableParagraph"/>
              <w:rPr>
                <w:rFonts w:ascii="Times New Roman"/>
                <w:sz w:val="18"/>
              </w:rPr>
            </w:pPr>
          </w:p>
        </w:tc>
      </w:tr>
      <w:tr>
        <w:trPr>
          <w:trHeight w:val="316" w:hRule="atLeast"/>
        </w:trPr>
        <w:tc>
          <w:tcPr>
            <w:tcW w:w="4322" w:type="dxa"/>
            <w:tcBorders>
              <w:left w:val="single" w:sz="4" w:space="0" w:color="000000"/>
            </w:tcBorders>
          </w:tcPr>
          <w:p>
            <w:pPr>
              <w:pStyle w:val="TableParagraph"/>
              <w:spacing w:before="48"/>
              <w:ind w:left="107"/>
              <w:rPr>
                <w:sz w:val="20"/>
              </w:rPr>
            </w:pPr>
            <w:r>
              <w:rPr>
                <w:sz w:val="20"/>
              </w:rPr>
              <w:t>Aged</w:t>
            </w:r>
            <w:r>
              <w:rPr>
                <w:spacing w:val="-7"/>
                <w:sz w:val="20"/>
              </w:rPr>
              <w:t> </w:t>
            </w:r>
            <w:r>
              <w:rPr>
                <w:spacing w:val="-4"/>
                <w:sz w:val="20"/>
              </w:rPr>
              <w:t>Care</w:t>
            </w:r>
          </w:p>
        </w:tc>
        <w:tc>
          <w:tcPr>
            <w:tcW w:w="1687" w:type="dxa"/>
          </w:tcPr>
          <w:p>
            <w:pPr>
              <w:pStyle w:val="TableParagraph"/>
              <w:spacing w:before="14"/>
              <w:ind w:right="101"/>
              <w:jc w:val="right"/>
              <w:rPr>
                <w:sz w:val="20"/>
              </w:rPr>
            </w:pPr>
            <w:r>
              <w:rPr>
                <w:spacing w:val="-5"/>
                <w:sz w:val="20"/>
              </w:rPr>
              <w:t>(2)</w:t>
            </w:r>
          </w:p>
        </w:tc>
        <w:tc>
          <w:tcPr>
            <w:tcW w:w="1581" w:type="dxa"/>
            <w:shd w:val="clear" w:color="auto" w:fill="DDEBF6"/>
          </w:tcPr>
          <w:p>
            <w:pPr>
              <w:pStyle w:val="TableParagraph"/>
              <w:spacing w:before="14"/>
              <w:ind w:right="99"/>
              <w:jc w:val="right"/>
              <w:rPr>
                <w:b/>
                <w:sz w:val="20"/>
              </w:rPr>
            </w:pPr>
            <w:r>
              <w:rPr>
                <w:b/>
                <w:w w:val="99"/>
                <w:sz w:val="20"/>
              </w:rPr>
              <w:t>0</w:t>
            </w:r>
          </w:p>
        </w:tc>
        <w:tc>
          <w:tcPr>
            <w:tcW w:w="1872" w:type="dxa"/>
          </w:tcPr>
          <w:p>
            <w:pPr>
              <w:pStyle w:val="TableParagraph"/>
              <w:spacing w:before="14"/>
              <w:ind w:right="474"/>
              <w:jc w:val="right"/>
              <w:rPr>
                <w:sz w:val="20"/>
              </w:rPr>
            </w:pPr>
            <w:r>
              <w:rPr>
                <w:w w:val="99"/>
                <w:sz w:val="20"/>
              </w:rPr>
              <w:t>2</w:t>
            </w:r>
          </w:p>
        </w:tc>
        <w:tc>
          <w:tcPr>
            <w:tcW w:w="993" w:type="dxa"/>
            <w:tcBorders>
              <w:right w:val="single" w:sz="4" w:space="0" w:color="000000"/>
            </w:tcBorders>
          </w:tcPr>
          <w:p>
            <w:pPr>
              <w:pStyle w:val="TableParagraph"/>
              <w:spacing w:before="14"/>
              <w:ind w:right="98"/>
              <w:jc w:val="right"/>
              <w:rPr>
                <w:sz w:val="20"/>
              </w:rPr>
            </w:pPr>
            <w:r>
              <w:rPr>
                <w:spacing w:val="-2"/>
                <w:sz w:val="20"/>
              </w:rPr>
              <w:t>(100.0%)</w:t>
            </w:r>
          </w:p>
        </w:tc>
      </w:tr>
      <w:tr>
        <w:trPr>
          <w:trHeight w:val="283" w:hRule="atLeast"/>
        </w:trPr>
        <w:tc>
          <w:tcPr>
            <w:tcW w:w="4322" w:type="dxa"/>
            <w:tcBorders>
              <w:left w:val="single" w:sz="4" w:space="0" w:color="000000"/>
            </w:tcBorders>
          </w:tcPr>
          <w:p>
            <w:pPr>
              <w:pStyle w:val="TableParagraph"/>
              <w:spacing w:before="31"/>
              <w:ind w:left="107"/>
              <w:rPr>
                <w:b/>
                <w:i/>
                <w:sz w:val="20"/>
              </w:rPr>
            </w:pPr>
            <w:r>
              <w:rPr>
                <w:b/>
                <w:i/>
                <w:sz w:val="20"/>
              </w:rPr>
              <w:t>Non-recurrent</w:t>
            </w:r>
            <w:r>
              <w:rPr>
                <w:b/>
                <w:i/>
                <w:spacing w:val="-6"/>
                <w:sz w:val="20"/>
              </w:rPr>
              <w:t> </w:t>
            </w:r>
            <w:r>
              <w:rPr>
                <w:b/>
                <w:i/>
                <w:sz w:val="20"/>
              </w:rPr>
              <w:t>-</w:t>
            </w:r>
            <w:r>
              <w:rPr>
                <w:b/>
                <w:i/>
                <w:spacing w:val="-7"/>
                <w:sz w:val="20"/>
              </w:rPr>
              <w:t> </w:t>
            </w:r>
            <w:r>
              <w:rPr>
                <w:b/>
                <w:i/>
                <w:sz w:val="20"/>
              </w:rPr>
              <w:t>State</w:t>
            </w:r>
            <w:r>
              <w:rPr>
                <w:b/>
                <w:i/>
                <w:spacing w:val="-7"/>
                <w:sz w:val="20"/>
              </w:rPr>
              <w:t> </w:t>
            </w:r>
            <w:r>
              <w:rPr>
                <w:b/>
                <w:i/>
                <w:spacing w:val="-2"/>
                <w:sz w:val="20"/>
              </w:rPr>
              <w:t>Government</w:t>
            </w:r>
          </w:p>
        </w:tc>
        <w:tc>
          <w:tcPr>
            <w:tcW w:w="1687" w:type="dxa"/>
          </w:tcPr>
          <w:p>
            <w:pPr>
              <w:pStyle w:val="TableParagraph"/>
              <w:rPr>
                <w:rFonts w:ascii="Times New Roman"/>
                <w:sz w:val="20"/>
              </w:rPr>
            </w:pPr>
          </w:p>
        </w:tc>
        <w:tc>
          <w:tcPr>
            <w:tcW w:w="1581" w:type="dxa"/>
            <w:shd w:val="clear" w:color="auto" w:fill="DDEBF6"/>
          </w:tcPr>
          <w:p>
            <w:pPr>
              <w:pStyle w:val="TableParagraph"/>
              <w:rPr>
                <w:rFonts w:ascii="Times New Roman"/>
                <w:sz w:val="20"/>
              </w:rPr>
            </w:pPr>
          </w:p>
        </w:tc>
        <w:tc>
          <w:tcPr>
            <w:tcW w:w="1872" w:type="dxa"/>
          </w:tcPr>
          <w:p>
            <w:pPr>
              <w:pStyle w:val="TableParagraph"/>
              <w:rPr>
                <w:rFonts w:ascii="Times New Roman"/>
                <w:sz w:val="20"/>
              </w:rPr>
            </w:pPr>
          </w:p>
        </w:tc>
        <w:tc>
          <w:tcPr>
            <w:tcW w:w="993" w:type="dxa"/>
            <w:tcBorders>
              <w:right w:val="single" w:sz="4" w:space="0" w:color="000000"/>
            </w:tcBorders>
          </w:tcPr>
          <w:p>
            <w:pPr>
              <w:pStyle w:val="TableParagraph"/>
              <w:rPr>
                <w:rFonts w:ascii="Times New Roman"/>
                <w:sz w:val="20"/>
              </w:rPr>
            </w:pPr>
          </w:p>
        </w:tc>
      </w:tr>
      <w:tr>
        <w:trPr>
          <w:trHeight w:val="283" w:hRule="atLeast"/>
        </w:trPr>
        <w:tc>
          <w:tcPr>
            <w:tcW w:w="4322" w:type="dxa"/>
            <w:tcBorders>
              <w:left w:val="single" w:sz="4" w:space="0" w:color="000000"/>
            </w:tcBorders>
          </w:tcPr>
          <w:p>
            <w:pPr>
              <w:pStyle w:val="TableParagraph"/>
              <w:spacing w:before="14"/>
              <w:ind w:left="107"/>
              <w:rPr>
                <w:sz w:val="20"/>
              </w:rPr>
            </w:pPr>
            <w:r>
              <w:rPr>
                <w:sz w:val="20"/>
              </w:rPr>
              <w:t>Activity</w:t>
            </w:r>
            <w:r>
              <w:rPr>
                <w:spacing w:val="-6"/>
                <w:sz w:val="20"/>
              </w:rPr>
              <w:t> </w:t>
            </w:r>
            <w:r>
              <w:rPr>
                <w:sz w:val="20"/>
              </w:rPr>
              <w:t>Centre</w:t>
            </w:r>
            <w:r>
              <w:rPr>
                <w:spacing w:val="-7"/>
                <w:sz w:val="20"/>
              </w:rPr>
              <w:t> </w:t>
            </w:r>
            <w:r>
              <w:rPr>
                <w:spacing w:val="-2"/>
                <w:sz w:val="20"/>
              </w:rPr>
              <w:t>Development</w:t>
            </w:r>
          </w:p>
        </w:tc>
        <w:tc>
          <w:tcPr>
            <w:tcW w:w="1687" w:type="dxa"/>
          </w:tcPr>
          <w:p>
            <w:pPr>
              <w:pStyle w:val="TableParagraph"/>
              <w:spacing w:before="14"/>
              <w:ind w:right="102"/>
              <w:jc w:val="right"/>
              <w:rPr>
                <w:sz w:val="20"/>
              </w:rPr>
            </w:pPr>
            <w:r>
              <w:rPr>
                <w:spacing w:val="-5"/>
                <w:sz w:val="20"/>
              </w:rPr>
              <w:t>531</w:t>
            </w:r>
          </w:p>
        </w:tc>
        <w:tc>
          <w:tcPr>
            <w:tcW w:w="1581" w:type="dxa"/>
            <w:shd w:val="clear" w:color="auto" w:fill="DDEBF6"/>
          </w:tcPr>
          <w:p>
            <w:pPr>
              <w:pStyle w:val="TableParagraph"/>
              <w:spacing w:before="14"/>
              <w:ind w:right="99"/>
              <w:jc w:val="right"/>
              <w:rPr>
                <w:b/>
                <w:sz w:val="20"/>
              </w:rPr>
            </w:pPr>
            <w:r>
              <w:rPr>
                <w:b/>
                <w:w w:val="99"/>
                <w:sz w:val="20"/>
              </w:rPr>
              <w:t>0</w:t>
            </w:r>
          </w:p>
        </w:tc>
        <w:tc>
          <w:tcPr>
            <w:tcW w:w="1872" w:type="dxa"/>
          </w:tcPr>
          <w:p>
            <w:pPr>
              <w:pStyle w:val="TableParagraph"/>
              <w:spacing w:before="14"/>
              <w:ind w:right="478"/>
              <w:jc w:val="right"/>
              <w:rPr>
                <w:sz w:val="20"/>
              </w:rPr>
            </w:pPr>
            <w:r>
              <w:rPr>
                <w:spacing w:val="-2"/>
                <w:sz w:val="20"/>
              </w:rPr>
              <w:t>(531)</w:t>
            </w:r>
          </w:p>
        </w:tc>
        <w:tc>
          <w:tcPr>
            <w:tcW w:w="993" w:type="dxa"/>
            <w:tcBorders>
              <w:right w:val="single" w:sz="4" w:space="0" w:color="000000"/>
            </w:tcBorders>
          </w:tcPr>
          <w:p>
            <w:pPr>
              <w:pStyle w:val="TableParagraph"/>
              <w:spacing w:before="14"/>
              <w:ind w:right="98"/>
              <w:jc w:val="right"/>
              <w:rPr>
                <w:sz w:val="20"/>
              </w:rPr>
            </w:pPr>
            <w:r>
              <w:rPr>
                <w:spacing w:val="-2"/>
                <w:sz w:val="20"/>
              </w:rPr>
              <w:t>(100.0%)</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Aged</w:t>
            </w:r>
            <w:r>
              <w:rPr>
                <w:spacing w:val="-9"/>
                <w:sz w:val="20"/>
              </w:rPr>
              <w:t> </w:t>
            </w:r>
            <w:r>
              <w:rPr>
                <w:sz w:val="20"/>
              </w:rPr>
              <w:t>and</w:t>
            </w:r>
            <w:r>
              <w:rPr>
                <w:spacing w:val="-6"/>
                <w:sz w:val="20"/>
              </w:rPr>
              <w:t> </w:t>
            </w:r>
            <w:r>
              <w:rPr>
                <w:sz w:val="20"/>
              </w:rPr>
              <w:t>Disability</w:t>
            </w:r>
            <w:r>
              <w:rPr>
                <w:spacing w:val="-6"/>
                <w:sz w:val="20"/>
              </w:rPr>
              <w:t> </w:t>
            </w:r>
            <w:r>
              <w:rPr>
                <w:spacing w:val="-2"/>
                <w:sz w:val="20"/>
              </w:rPr>
              <w:t>Services</w:t>
            </w:r>
          </w:p>
        </w:tc>
        <w:tc>
          <w:tcPr>
            <w:tcW w:w="1687" w:type="dxa"/>
          </w:tcPr>
          <w:p>
            <w:pPr>
              <w:pStyle w:val="TableParagraph"/>
              <w:spacing w:before="31"/>
              <w:ind w:right="102"/>
              <w:jc w:val="right"/>
              <w:rPr>
                <w:sz w:val="20"/>
              </w:rPr>
            </w:pPr>
            <w:r>
              <w:rPr>
                <w:spacing w:val="-5"/>
                <w:sz w:val="20"/>
              </w:rPr>
              <w:t>42</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5"/>
              <w:jc w:val="right"/>
              <w:rPr>
                <w:sz w:val="20"/>
              </w:rPr>
            </w:pPr>
            <w:r>
              <w:rPr>
                <w:spacing w:val="-4"/>
                <w:sz w:val="20"/>
              </w:rPr>
              <w:t>(42)</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316" w:hRule="atLeast"/>
        </w:trPr>
        <w:tc>
          <w:tcPr>
            <w:tcW w:w="4322" w:type="dxa"/>
            <w:tcBorders>
              <w:left w:val="single" w:sz="4" w:space="0" w:color="000000"/>
            </w:tcBorders>
          </w:tcPr>
          <w:p>
            <w:pPr>
              <w:pStyle w:val="TableParagraph"/>
              <w:spacing w:before="65"/>
              <w:ind w:left="107"/>
              <w:rPr>
                <w:sz w:val="20"/>
              </w:rPr>
            </w:pPr>
            <w:r>
              <w:rPr>
                <w:sz w:val="20"/>
              </w:rPr>
              <w:t>Asset</w:t>
            </w:r>
            <w:r>
              <w:rPr>
                <w:spacing w:val="-8"/>
                <w:sz w:val="20"/>
              </w:rPr>
              <w:t> </w:t>
            </w:r>
            <w:r>
              <w:rPr>
                <w:spacing w:val="-2"/>
                <w:sz w:val="20"/>
              </w:rPr>
              <w:t>management</w:t>
            </w:r>
          </w:p>
        </w:tc>
        <w:tc>
          <w:tcPr>
            <w:tcW w:w="1687" w:type="dxa"/>
          </w:tcPr>
          <w:p>
            <w:pPr>
              <w:pStyle w:val="TableParagraph"/>
              <w:spacing w:before="31"/>
              <w:ind w:right="103"/>
              <w:jc w:val="right"/>
              <w:rPr>
                <w:sz w:val="20"/>
              </w:rPr>
            </w:pPr>
            <w:r>
              <w:rPr>
                <w:spacing w:val="-5"/>
                <w:sz w:val="20"/>
              </w:rPr>
              <w:t>50</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5"/>
              <w:jc w:val="right"/>
              <w:rPr>
                <w:sz w:val="20"/>
              </w:rPr>
            </w:pPr>
            <w:r>
              <w:rPr>
                <w:spacing w:val="-4"/>
                <w:sz w:val="20"/>
              </w:rPr>
              <w:t>(50)</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283" w:hRule="atLeast"/>
        </w:trPr>
        <w:tc>
          <w:tcPr>
            <w:tcW w:w="4322" w:type="dxa"/>
            <w:tcBorders>
              <w:left w:val="single" w:sz="4" w:space="0" w:color="000000"/>
            </w:tcBorders>
          </w:tcPr>
          <w:p>
            <w:pPr>
              <w:pStyle w:val="TableParagraph"/>
              <w:spacing w:before="14"/>
              <w:ind w:left="107"/>
              <w:rPr>
                <w:sz w:val="20"/>
              </w:rPr>
            </w:pPr>
            <w:r>
              <w:rPr>
                <w:sz w:val="20"/>
              </w:rPr>
              <w:t>Community</w:t>
            </w:r>
            <w:r>
              <w:rPr>
                <w:spacing w:val="-13"/>
                <w:sz w:val="20"/>
              </w:rPr>
              <w:t> </w:t>
            </w:r>
            <w:r>
              <w:rPr>
                <w:spacing w:val="-2"/>
                <w:sz w:val="20"/>
              </w:rPr>
              <w:t>Safety</w:t>
            </w:r>
          </w:p>
        </w:tc>
        <w:tc>
          <w:tcPr>
            <w:tcW w:w="1687" w:type="dxa"/>
          </w:tcPr>
          <w:p>
            <w:pPr>
              <w:pStyle w:val="TableParagraph"/>
              <w:spacing w:before="14"/>
              <w:ind w:right="102"/>
              <w:jc w:val="right"/>
              <w:rPr>
                <w:sz w:val="20"/>
              </w:rPr>
            </w:pPr>
            <w:r>
              <w:rPr>
                <w:spacing w:val="-5"/>
                <w:sz w:val="20"/>
              </w:rPr>
              <w:t>30</w:t>
            </w:r>
          </w:p>
        </w:tc>
        <w:tc>
          <w:tcPr>
            <w:tcW w:w="1581" w:type="dxa"/>
            <w:shd w:val="clear" w:color="auto" w:fill="DDEBF6"/>
          </w:tcPr>
          <w:p>
            <w:pPr>
              <w:pStyle w:val="TableParagraph"/>
              <w:spacing w:before="14"/>
              <w:ind w:right="102"/>
              <w:jc w:val="right"/>
              <w:rPr>
                <w:b/>
                <w:sz w:val="20"/>
              </w:rPr>
            </w:pPr>
            <w:r>
              <w:rPr>
                <w:b/>
                <w:spacing w:val="-5"/>
                <w:sz w:val="20"/>
              </w:rPr>
              <w:t>23</w:t>
            </w:r>
          </w:p>
        </w:tc>
        <w:tc>
          <w:tcPr>
            <w:tcW w:w="1872" w:type="dxa"/>
          </w:tcPr>
          <w:p>
            <w:pPr>
              <w:pStyle w:val="TableParagraph"/>
              <w:spacing w:before="14"/>
              <w:ind w:right="475"/>
              <w:jc w:val="right"/>
              <w:rPr>
                <w:sz w:val="20"/>
              </w:rPr>
            </w:pPr>
            <w:r>
              <w:rPr>
                <w:spacing w:val="-5"/>
                <w:sz w:val="20"/>
              </w:rPr>
              <w:t>(7)</w:t>
            </w:r>
          </w:p>
        </w:tc>
        <w:tc>
          <w:tcPr>
            <w:tcW w:w="993" w:type="dxa"/>
            <w:tcBorders>
              <w:right w:val="single" w:sz="4" w:space="0" w:color="000000"/>
            </w:tcBorders>
          </w:tcPr>
          <w:p>
            <w:pPr>
              <w:pStyle w:val="TableParagraph"/>
              <w:spacing w:before="14"/>
              <w:ind w:right="98"/>
              <w:jc w:val="right"/>
              <w:rPr>
                <w:sz w:val="20"/>
              </w:rPr>
            </w:pPr>
            <w:r>
              <w:rPr>
                <w:spacing w:val="-2"/>
                <w:sz w:val="20"/>
              </w:rPr>
              <w:t>(23.3%)</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Community</w:t>
            </w:r>
            <w:r>
              <w:rPr>
                <w:spacing w:val="-13"/>
                <w:sz w:val="20"/>
              </w:rPr>
              <w:t> </w:t>
            </w:r>
            <w:r>
              <w:rPr>
                <w:spacing w:val="-2"/>
                <w:sz w:val="20"/>
              </w:rPr>
              <w:t>Wellbeing</w:t>
            </w:r>
          </w:p>
        </w:tc>
        <w:tc>
          <w:tcPr>
            <w:tcW w:w="1687" w:type="dxa"/>
          </w:tcPr>
          <w:p>
            <w:pPr>
              <w:pStyle w:val="TableParagraph"/>
              <w:spacing w:before="31"/>
              <w:ind w:right="103"/>
              <w:jc w:val="right"/>
              <w:rPr>
                <w:sz w:val="20"/>
              </w:rPr>
            </w:pPr>
            <w:r>
              <w:rPr>
                <w:spacing w:val="-5"/>
                <w:sz w:val="20"/>
              </w:rPr>
              <w:t>148</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8"/>
              <w:jc w:val="right"/>
              <w:rPr>
                <w:sz w:val="20"/>
              </w:rPr>
            </w:pPr>
            <w:r>
              <w:rPr>
                <w:spacing w:val="-2"/>
                <w:sz w:val="20"/>
              </w:rPr>
              <w:t>(148)</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COVID-19</w:t>
            </w:r>
            <w:r>
              <w:rPr>
                <w:spacing w:val="-9"/>
                <w:sz w:val="20"/>
              </w:rPr>
              <w:t> </w:t>
            </w:r>
            <w:r>
              <w:rPr>
                <w:spacing w:val="-2"/>
                <w:sz w:val="20"/>
              </w:rPr>
              <w:t>Pandemic</w:t>
            </w:r>
          </w:p>
        </w:tc>
        <w:tc>
          <w:tcPr>
            <w:tcW w:w="1687" w:type="dxa"/>
          </w:tcPr>
          <w:p>
            <w:pPr>
              <w:pStyle w:val="TableParagraph"/>
              <w:spacing w:before="31"/>
              <w:ind w:right="102"/>
              <w:jc w:val="right"/>
              <w:rPr>
                <w:sz w:val="20"/>
              </w:rPr>
            </w:pPr>
            <w:r>
              <w:rPr>
                <w:spacing w:val="-5"/>
                <w:sz w:val="20"/>
              </w:rPr>
              <w:t>111</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8"/>
              <w:jc w:val="right"/>
              <w:rPr>
                <w:sz w:val="20"/>
              </w:rPr>
            </w:pPr>
            <w:r>
              <w:rPr>
                <w:spacing w:val="-2"/>
                <w:sz w:val="20"/>
              </w:rPr>
              <w:t>(111)</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Engineering</w:t>
            </w:r>
            <w:r>
              <w:rPr>
                <w:spacing w:val="-10"/>
                <w:sz w:val="20"/>
              </w:rPr>
              <w:t> </w:t>
            </w:r>
            <w:r>
              <w:rPr>
                <w:sz w:val="20"/>
              </w:rPr>
              <w:t>and</w:t>
            </w:r>
            <w:r>
              <w:rPr>
                <w:spacing w:val="-6"/>
                <w:sz w:val="20"/>
              </w:rPr>
              <w:t> </w:t>
            </w:r>
            <w:r>
              <w:rPr>
                <w:sz w:val="20"/>
              </w:rPr>
              <w:t>Building</w:t>
            </w:r>
            <w:r>
              <w:rPr>
                <w:spacing w:val="-11"/>
                <w:sz w:val="20"/>
              </w:rPr>
              <w:t> </w:t>
            </w:r>
            <w:r>
              <w:rPr>
                <w:spacing w:val="-2"/>
                <w:sz w:val="20"/>
              </w:rPr>
              <w:t>services</w:t>
            </w:r>
          </w:p>
        </w:tc>
        <w:tc>
          <w:tcPr>
            <w:tcW w:w="1687" w:type="dxa"/>
          </w:tcPr>
          <w:p>
            <w:pPr>
              <w:pStyle w:val="TableParagraph"/>
              <w:spacing w:before="31"/>
              <w:ind w:right="103"/>
              <w:jc w:val="right"/>
              <w:rPr>
                <w:sz w:val="20"/>
              </w:rPr>
            </w:pPr>
            <w:r>
              <w:rPr>
                <w:spacing w:val="-5"/>
                <w:sz w:val="20"/>
              </w:rPr>
              <w:t>59</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5"/>
              <w:jc w:val="right"/>
              <w:rPr>
                <w:sz w:val="20"/>
              </w:rPr>
            </w:pPr>
            <w:r>
              <w:rPr>
                <w:spacing w:val="-4"/>
                <w:sz w:val="20"/>
              </w:rPr>
              <w:t>(59)</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Maternal</w:t>
            </w:r>
            <w:r>
              <w:rPr>
                <w:spacing w:val="-6"/>
                <w:sz w:val="20"/>
              </w:rPr>
              <w:t> </w:t>
            </w:r>
            <w:r>
              <w:rPr>
                <w:sz w:val="20"/>
              </w:rPr>
              <w:t>Child</w:t>
            </w:r>
            <w:r>
              <w:rPr>
                <w:spacing w:val="-7"/>
                <w:sz w:val="20"/>
              </w:rPr>
              <w:t> </w:t>
            </w:r>
            <w:r>
              <w:rPr>
                <w:spacing w:val="-2"/>
                <w:sz w:val="20"/>
              </w:rPr>
              <w:t>Health</w:t>
            </w:r>
          </w:p>
        </w:tc>
        <w:tc>
          <w:tcPr>
            <w:tcW w:w="1687" w:type="dxa"/>
          </w:tcPr>
          <w:p>
            <w:pPr>
              <w:pStyle w:val="TableParagraph"/>
              <w:spacing w:before="31"/>
              <w:ind w:right="102"/>
              <w:jc w:val="right"/>
              <w:rPr>
                <w:sz w:val="20"/>
              </w:rPr>
            </w:pPr>
            <w:r>
              <w:rPr>
                <w:spacing w:val="-5"/>
                <w:sz w:val="20"/>
              </w:rPr>
              <w:t>195</w:t>
            </w:r>
          </w:p>
        </w:tc>
        <w:tc>
          <w:tcPr>
            <w:tcW w:w="1581" w:type="dxa"/>
            <w:shd w:val="clear" w:color="auto" w:fill="DDEBF6"/>
          </w:tcPr>
          <w:p>
            <w:pPr>
              <w:pStyle w:val="TableParagraph"/>
              <w:spacing w:before="31"/>
              <w:ind w:right="102"/>
              <w:jc w:val="right"/>
              <w:rPr>
                <w:b/>
                <w:sz w:val="20"/>
              </w:rPr>
            </w:pPr>
            <w:r>
              <w:rPr>
                <w:b/>
                <w:spacing w:val="-5"/>
                <w:sz w:val="20"/>
              </w:rPr>
              <w:t>153</w:t>
            </w:r>
          </w:p>
        </w:tc>
        <w:tc>
          <w:tcPr>
            <w:tcW w:w="1872" w:type="dxa"/>
          </w:tcPr>
          <w:p>
            <w:pPr>
              <w:pStyle w:val="TableParagraph"/>
              <w:spacing w:before="31"/>
              <w:ind w:right="475"/>
              <w:jc w:val="right"/>
              <w:rPr>
                <w:sz w:val="20"/>
              </w:rPr>
            </w:pPr>
            <w:r>
              <w:rPr>
                <w:spacing w:val="-4"/>
                <w:sz w:val="20"/>
              </w:rPr>
              <w:t>(42)</w:t>
            </w:r>
          </w:p>
        </w:tc>
        <w:tc>
          <w:tcPr>
            <w:tcW w:w="993" w:type="dxa"/>
            <w:tcBorders>
              <w:right w:val="single" w:sz="4" w:space="0" w:color="000000"/>
            </w:tcBorders>
          </w:tcPr>
          <w:p>
            <w:pPr>
              <w:pStyle w:val="TableParagraph"/>
              <w:spacing w:before="31"/>
              <w:ind w:right="98"/>
              <w:jc w:val="right"/>
              <w:rPr>
                <w:sz w:val="20"/>
              </w:rPr>
            </w:pPr>
            <w:r>
              <w:rPr>
                <w:spacing w:val="-2"/>
                <w:sz w:val="20"/>
              </w:rPr>
              <w:t>(21.5%)</w:t>
            </w:r>
          </w:p>
        </w:tc>
      </w:tr>
      <w:tr>
        <w:trPr>
          <w:trHeight w:val="300" w:hRule="atLeast"/>
        </w:trPr>
        <w:tc>
          <w:tcPr>
            <w:tcW w:w="4322" w:type="dxa"/>
            <w:tcBorders>
              <w:left w:val="single" w:sz="4" w:space="0" w:color="000000"/>
            </w:tcBorders>
          </w:tcPr>
          <w:p>
            <w:pPr>
              <w:pStyle w:val="TableParagraph"/>
              <w:spacing w:before="31"/>
              <w:ind w:left="107"/>
              <w:rPr>
                <w:sz w:val="20"/>
              </w:rPr>
            </w:pPr>
            <w:r>
              <w:rPr>
                <w:sz w:val="20"/>
              </w:rPr>
              <w:t>Sport</w:t>
            </w:r>
            <w:r>
              <w:rPr>
                <w:spacing w:val="-5"/>
                <w:sz w:val="20"/>
              </w:rPr>
              <w:t> </w:t>
            </w:r>
            <w:r>
              <w:rPr>
                <w:sz w:val="20"/>
              </w:rPr>
              <w:t>and</w:t>
            </w:r>
            <w:r>
              <w:rPr>
                <w:spacing w:val="-5"/>
                <w:sz w:val="20"/>
              </w:rPr>
              <w:t> </w:t>
            </w:r>
            <w:r>
              <w:rPr>
                <w:spacing w:val="-2"/>
                <w:sz w:val="20"/>
              </w:rPr>
              <w:t>Recreation</w:t>
            </w:r>
          </w:p>
        </w:tc>
        <w:tc>
          <w:tcPr>
            <w:tcW w:w="1687" w:type="dxa"/>
          </w:tcPr>
          <w:p>
            <w:pPr>
              <w:pStyle w:val="TableParagraph"/>
              <w:spacing w:before="31"/>
              <w:ind w:right="102"/>
              <w:jc w:val="right"/>
              <w:rPr>
                <w:sz w:val="20"/>
              </w:rPr>
            </w:pPr>
            <w:r>
              <w:rPr>
                <w:spacing w:val="-5"/>
                <w:sz w:val="20"/>
              </w:rPr>
              <w:t>41</w:t>
            </w:r>
          </w:p>
        </w:tc>
        <w:tc>
          <w:tcPr>
            <w:tcW w:w="1581" w:type="dxa"/>
            <w:shd w:val="clear" w:color="auto" w:fill="DDEBF6"/>
          </w:tcPr>
          <w:p>
            <w:pPr>
              <w:pStyle w:val="TableParagraph"/>
              <w:spacing w:before="31"/>
              <w:ind w:right="102"/>
              <w:jc w:val="right"/>
              <w:rPr>
                <w:b/>
                <w:sz w:val="20"/>
              </w:rPr>
            </w:pPr>
            <w:r>
              <w:rPr>
                <w:b/>
                <w:spacing w:val="-5"/>
                <w:sz w:val="20"/>
              </w:rPr>
              <w:t>46</w:t>
            </w:r>
          </w:p>
        </w:tc>
        <w:tc>
          <w:tcPr>
            <w:tcW w:w="1872" w:type="dxa"/>
          </w:tcPr>
          <w:p>
            <w:pPr>
              <w:pStyle w:val="TableParagraph"/>
              <w:spacing w:before="31"/>
              <w:ind w:right="474"/>
              <w:jc w:val="right"/>
              <w:rPr>
                <w:sz w:val="20"/>
              </w:rPr>
            </w:pPr>
            <w:r>
              <w:rPr>
                <w:w w:val="99"/>
                <w:sz w:val="20"/>
              </w:rPr>
              <w:t>5</w:t>
            </w:r>
          </w:p>
        </w:tc>
        <w:tc>
          <w:tcPr>
            <w:tcW w:w="993" w:type="dxa"/>
            <w:tcBorders>
              <w:right w:val="single" w:sz="4" w:space="0" w:color="000000"/>
            </w:tcBorders>
          </w:tcPr>
          <w:p>
            <w:pPr>
              <w:pStyle w:val="TableParagraph"/>
              <w:spacing w:before="31"/>
              <w:ind w:right="97"/>
              <w:jc w:val="right"/>
              <w:rPr>
                <w:sz w:val="20"/>
              </w:rPr>
            </w:pPr>
            <w:r>
              <w:rPr>
                <w:spacing w:val="-2"/>
                <w:sz w:val="20"/>
              </w:rPr>
              <w:t>12.2%</w:t>
            </w:r>
          </w:p>
        </w:tc>
      </w:tr>
      <w:tr>
        <w:trPr>
          <w:trHeight w:val="303" w:hRule="atLeast"/>
        </w:trPr>
        <w:tc>
          <w:tcPr>
            <w:tcW w:w="4322" w:type="dxa"/>
            <w:tcBorders>
              <w:left w:val="single" w:sz="4" w:space="0" w:color="000000"/>
            </w:tcBorders>
          </w:tcPr>
          <w:p>
            <w:pPr>
              <w:pStyle w:val="TableParagraph"/>
              <w:spacing w:before="31"/>
              <w:ind w:left="107"/>
              <w:rPr>
                <w:sz w:val="20"/>
              </w:rPr>
            </w:pPr>
            <w:r>
              <w:rPr>
                <w:sz w:val="20"/>
              </w:rPr>
              <w:t>Strategic</w:t>
            </w:r>
            <w:r>
              <w:rPr>
                <w:spacing w:val="-6"/>
                <w:sz w:val="20"/>
              </w:rPr>
              <w:t> </w:t>
            </w:r>
            <w:r>
              <w:rPr>
                <w:sz w:val="20"/>
              </w:rPr>
              <w:t>Planning</w:t>
            </w:r>
            <w:r>
              <w:rPr>
                <w:spacing w:val="-6"/>
                <w:sz w:val="20"/>
              </w:rPr>
              <w:t> </w:t>
            </w:r>
            <w:r>
              <w:rPr>
                <w:sz w:val="20"/>
              </w:rPr>
              <w:t>and</w:t>
            </w:r>
            <w:r>
              <w:rPr>
                <w:spacing w:val="-10"/>
                <w:sz w:val="20"/>
              </w:rPr>
              <w:t> </w:t>
            </w:r>
            <w:r>
              <w:rPr>
                <w:spacing w:val="-2"/>
                <w:sz w:val="20"/>
              </w:rPr>
              <w:t>Sustainability</w:t>
            </w:r>
          </w:p>
        </w:tc>
        <w:tc>
          <w:tcPr>
            <w:tcW w:w="1687" w:type="dxa"/>
          </w:tcPr>
          <w:p>
            <w:pPr>
              <w:pStyle w:val="TableParagraph"/>
              <w:spacing w:before="31"/>
              <w:ind w:right="103"/>
              <w:jc w:val="right"/>
              <w:rPr>
                <w:sz w:val="20"/>
              </w:rPr>
            </w:pPr>
            <w:r>
              <w:rPr>
                <w:spacing w:val="-5"/>
                <w:sz w:val="20"/>
              </w:rPr>
              <w:t>148</w:t>
            </w:r>
          </w:p>
        </w:tc>
        <w:tc>
          <w:tcPr>
            <w:tcW w:w="1581" w:type="dxa"/>
            <w:shd w:val="clear" w:color="auto" w:fill="DDEBF6"/>
          </w:tcPr>
          <w:p>
            <w:pPr>
              <w:pStyle w:val="TableParagraph"/>
              <w:spacing w:before="31"/>
              <w:ind w:right="99"/>
              <w:jc w:val="right"/>
              <w:rPr>
                <w:b/>
                <w:sz w:val="20"/>
              </w:rPr>
            </w:pPr>
            <w:r>
              <w:rPr>
                <w:b/>
                <w:w w:val="99"/>
                <w:sz w:val="20"/>
              </w:rPr>
              <w:t>0</w:t>
            </w:r>
          </w:p>
        </w:tc>
        <w:tc>
          <w:tcPr>
            <w:tcW w:w="1872" w:type="dxa"/>
          </w:tcPr>
          <w:p>
            <w:pPr>
              <w:pStyle w:val="TableParagraph"/>
              <w:spacing w:before="31"/>
              <w:ind w:right="478"/>
              <w:jc w:val="right"/>
              <w:rPr>
                <w:sz w:val="20"/>
              </w:rPr>
            </w:pPr>
            <w:r>
              <w:rPr>
                <w:spacing w:val="-2"/>
                <w:sz w:val="20"/>
              </w:rPr>
              <w:t>(148)</w:t>
            </w:r>
          </w:p>
        </w:tc>
        <w:tc>
          <w:tcPr>
            <w:tcW w:w="993" w:type="dxa"/>
            <w:tcBorders>
              <w:right w:val="single" w:sz="4" w:space="0" w:color="000000"/>
            </w:tcBorders>
          </w:tcPr>
          <w:p>
            <w:pPr>
              <w:pStyle w:val="TableParagraph"/>
              <w:spacing w:before="31"/>
              <w:ind w:right="98"/>
              <w:jc w:val="right"/>
              <w:rPr>
                <w:sz w:val="20"/>
              </w:rPr>
            </w:pPr>
            <w:r>
              <w:rPr>
                <w:spacing w:val="-2"/>
                <w:sz w:val="20"/>
              </w:rPr>
              <w:t>(100.0%)</w:t>
            </w:r>
          </w:p>
        </w:tc>
      </w:tr>
      <w:tr>
        <w:trPr>
          <w:trHeight w:val="306" w:hRule="atLeast"/>
        </w:trPr>
        <w:tc>
          <w:tcPr>
            <w:tcW w:w="4322" w:type="dxa"/>
            <w:tcBorders>
              <w:left w:val="single" w:sz="4" w:space="0" w:color="000000"/>
            </w:tcBorders>
          </w:tcPr>
          <w:p>
            <w:pPr>
              <w:pStyle w:val="TableParagraph"/>
              <w:spacing w:before="35"/>
              <w:ind w:left="107"/>
              <w:rPr>
                <w:sz w:val="20"/>
              </w:rPr>
            </w:pPr>
            <w:r>
              <w:rPr>
                <w:sz w:val="20"/>
              </w:rPr>
              <w:t>Youth</w:t>
            </w:r>
            <w:r>
              <w:rPr>
                <w:spacing w:val="-7"/>
                <w:sz w:val="20"/>
              </w:rPr>
              <w:t> </w:t>
            </w:r>
            <w:r>
              <w:rPr>
                <w:sz w:val="20"/>
              </w:rPr>
              <w:t>and</w:t>
            </w:r>
            <w:r>
              <w:rPr>
                <w:spacing w:val="-7"/>
                <w:sz w:val="20"/>
              </w:rPr>
              <w:t> </w:t>
            </w:r>
            <w:r>
              <w:rPr>
                <w:sz w:val="20"/>
              </w:rPr>
              <w:t>Children</w:t>
            </w:r>
            <w:r>
              <w:rPr>
                <w:spacing w:val="-7"/>
                <w:sz w:val="20"/>
              </w:rPr>
              <w:t> </w:t>
            </w:r>
            <w:r>
              <w:rPr>
                <w:spacing w:val="-2"/>
                <w:sz w:val="20"/>
              </w:rPr>
              <w:t>Services</w:t>
            </w:r>
          </w:p>
        </w:tc>
        <w:tc>
          <w:tcPr>
            <w:tcW w:w="1687" w:type="dxa"/>
            <w:tcBorders>
              <w:bottom w:val="single" w:sz="8" w:space="0" w:color="000000"/>
            </w:tcBorders>
          </w:tcPr>
          <w:p>
            <w:pPr>
              <w:pStyle w:val="TableParagraph"/>
              <w:spacing w:before="35"/>
              <w:ind w:right="103"/>
              <w:jc w:val="right"/>
              <w:rPr>
                <w:sz w:val="20"/>
              </w:rPr>
            </w:pPr>
            <w:r>
              <w:rPr>
                <w:spacing w:val="-5"/>
                <w:sz w:val="20"/>
              </w:rPr>
              <w:t>383</w:t>
            </w:r>
          </w:p>
        </w:tc>
        <w:tc>
          <w:tcPr>
            <w:tcW w:w="1581" w:type="dxa"/>
            <w:tcBorders>
              <w:bottom w:val="single" w:sz="8" w:space="0" w:color="000000"/>
            </w:tcBorders>
            <w:shd w:val="clear" w:color="auto" w:fill="DDEBF6"/>
          </w:tcPr>
          <w:p>
            <w:pPr>
              <w:pStyle w:val="TableParagraph"/>
              <w:spacing w:before="35"/>
              <w:ind w:right="102"/>
              <w:jc w:val="right"/>
              <w:rPr>
                <w:b/>
                <w:sz w:val="20"/>
              </w:rPr>
            </w:pPr>
            <w:r>
              <w:rPr>
                <w:b/>
                <w:spacing w:val="-5"/>
                <w:sz w:val="20"/>
              </w:rPr>
              <w:t>190</w:t>
            </w:r>
          </w:p>
        </w:tc>
        <w:tc>
          <w:tcPr>
            <w:tcW w:w="1872" w:type="dxa"/>
            <w:tcBorders>
              <w:bottom w:val="single" w:sz="8" w:space="0" w:color="000000"/>
            </w:tcBorders>
          </w:tcPr>
          <w:p>
            <w:pPr>
              <w:pStyle w:val="TableParagraph"/>
              <w:spacing w:before="35"/>
              <w:ind w:right="478"/>
              <w:jc w:val="right"/>
              <w:rPr>
                <w:sz w:val="20"/>
              </w:rPr>
            </w:pPr>
            <w:r>
              <w:rPr>
                <w:spacing w:val="-2"/>
                <w:sz w:val="20"/>
              </w:rPr>
              <w:t>(193)</w:t>
            </w:r>
          </w:p>
        </w:tc>
        <w:tc>
          <w:tcPr>
            <w:tcW w:w="993" w:type="dxa"/>
            <w:tcBorders>
              <w:bottom w:val="single" w:sz="8" w:space="0" w:color="000000"/>
              <w:right w:val="single" w:sz="4" w:space="0" w:color="000000"/>
            </w:tcBorders>
          </w:tcPr>
          <w:p>
            <w:pPr>
              <w:pStyle w:val="TableParagraph"/>
              <w:spacing w:before="35"/>
              <w:ind w:right="98"/>
              <w:jc w:val="right"/>
              <w:rPr>
                <w:sz w:val="20"/>
              </w:rPr>
            </w:pPr>
            <w:r>
              <w:rPr>
                <w:spacing w:val="-2"/>
                <w:sz w:val="20"/>
              </w:rPr>
              <w:t>(50.4%)</w:t>
            </w:r>
          </w:p>
        </w:tc>
      </w:tr>
      <w:tr>
        <w:trPr>
          <w:trHeight w:val="315" w:hRule="atLeast"/>
        </w:trPr>
        <w:tc>
          <w:tcPr>
            <w:tcW w:w="4322" w:type="dxa"/>
            <w:tcBorders>
              <w:left w:val="single" w:sz="4" w:space="0" w:color="000000"/>
              <w:bottom w:val="single" w:sz="8" w:space="0" w:color="000000"/>
            </w:tcBorders>
          </w:tcPr>
          <w:p>
            <w:pPr>
              <w:pStyle w:val="TableParagraph"/>
              <w:spacing w:line="210" w:lineRule="exact" w:before="85"/>
              <w:ind w:left="107"/>
              <w:rPr>
                <w:b/>
                <w:i/>
                <w:sz w:val="20"/>
              </w:rPr>
            </w:pPr>
            <w:r>
              <w:rPr>
                <w:b/>
                <w:i/>
                <w:sz w:val="20"/>
              </w:rPr>
              <w:t>Total</w:t>
            </w:r>
            <w:r>
              <w:rPr>
                <w:b/>
                <w:i/>
                <w:spacing w:val="-11"/>
                <w:sz w:val="20"/>
              </w:rPr>
              <w:t> </w:t>
            </w:r>
            <w:r>
              <w:rPr>
                <w:b/>
                <w:i/>
                <w:sz w:val="20"/>
              </w:rPr>
              <w:t>non-recurrent</w:t>
            </w:r>
            <w:r>
              <w:rPr>
                <w:b/>
                <w:i/>
                <w:spacing w:val="-8"/>
                <w:sz w:val="20"/>
              </w:rPr>
              <w:t> </w:t>
            </w:r>
            <w:r>
              <w:rPr>
                <w:b/>
                <w:i/>
                <w:spacing w:val="-2"/>
                <w:sz w:val="20"/>
              </w:rPr>
              <w:t>grants</w:t>
            </w:r>
          </w:p>
        </w:tc>
        <w:tc>
          <w:tcPr>
            <w:tcW w:w="1687" w:type="dxa"/>
            <w:tcBorders>
              <w:top w:val="single" w:sz="8" w:space="0" w:color="000000"/>
              <w:bottom w:val="single" w:sz="8" w:space="0" w:color="000000"/>
            </w:tcBorders>
          </w:tcPr>
          <w:p>
            <w:pPr>
              <w:pStyle w:val="TableParagraph"/>
              <w:spacing w:before="42"/>
              <w:ind w:right="102"/>
              <w:jc w:val="right"/>
              <w:rPr>
                <w:b/>
                <w:sz w:val="20"/>
              </w:rPr>
            </w:pPr>
            <w:r>
              <w:rPr>
                <w:b/>
                <w:spacing w:val="-2"/>
                <w:sz w:val="20"/>
              </w:rPr>
              <w:t>1,736</w:t>
            </w:r>
          </w:p>
        </w:tc>
        <w:tc>
          <w:tcPr>
            <w:tcW w:w="1581" w:type="dxa"/>
            <w:tcBorders>
              <w:top w:val="single" w:sz="8" w:space="0" w:color="000000"/>
              <w:bottom w:val="single" w:sz="8" w:space="0" w:color="000000"/>
            </w:tcBorders>
            <w:shd w:val="clear" w:color="auto" w:fill="DDEBF6"/>
          </w:tcPr>
          <w:p>
            <w:pPr>
              <w:pStyle w:val="TableParagraph"/>
              <w:spacing w:before="42"/>
              <w:ind w:right="102"/>
              <w:jc w:val="right"/>
              <w:rPr>
                <w:b/>
                <w:sz w:val="20"/>
              </w:rPr>
            </w:pPr>
            <w:r>
              <w:rPr>
                <w:b/>
                <w:spacing w:val="-5"/>
                <w:sz w:val="20"/>
              </w:rPr>
              <w:t>412</w:t>
            </w:r>
          </w:p>
        </w:tc>
        <w:tc>
          <w:tcPr>
            <w:tcW w:w="1872" w:type="dxa"/>
            <w:tcBorders>
              <w:top w:val="single" w:sz="8" w:space="0" w:color="000000"/>
              <w:bottom w:val="single" w:sz="8" w:space="0" w:color="000000"/>
            </w:tcBorders>
          </w:tcPr>
          <w:p>
            <w:pPr>
              <w:pStyle w:val="TableParagraph"/>
              <w:spacing w:before="42"/>
              <w:ind w:right="477"/>
              <w:jc w:val="right"/>
              <w:rPr>
                <w:b/>
                <w:sz w:val="20"/>
              </w:rPr>
            </w:pPr>
            <w:r>
              <w:rPr>
                <w:b/>
                <w:spacing w:val="-2"/>
                <w:sz w:val="20"/>
              </w:rPr>
              <w:t>(1,324)</w:t>
            </w:r>
          </w:p>
        </w:tc>
        <w:tc>
          <w:tcPr>
            <w:tcW w:w="993" w:type="dxa"/>
            <w:tcBorders>
              <w:top w:val="single" w:sz="8" w:space="0" w:color="000000"/>
              <w:bottom w:val="single" w:sz="8" w:space="0" w:color="000000"/>
              <w:right w:val="single" w:sz="4" w:space="0" w:color="000000"/>
            </w:tcBorders>
          </w:tcPr>
          <w:p>
            <w:pPr>
              <w:pStyle w:val="TableParagraph"/>
              <w:spacing w:before="42"/>
              <w:ind w:right="98"/>
              <w:jc w:val="right"/>
              <w:rPr>
                <w:b/>
                <w:sz w:val="20"/>
              </w:rPr>
            </w:pPr>
            <w:r>
              <w:rPr>
                <w:b/>
                <w:spacing w:val="-2"/>
                <w:sz w:val="20"/>
              </w:rPr>
              <w:t>(76.3%)</w:t>
            </w:r>
          </w:p>
        </w:tc>
      </w:tr>
      <w:tr>
        <w:trPr>
          <w:trHeight w:val="316" w:hRule="atLeast"/>
        </w:trPr>
        <w:tc>
          <w:tcPr>
            <w:tcW w:w="4322" w:type="dxa"/>
            <w:tcBorders>
              <w:top w:val="single" w:sz="8" w:space="0" w:color="000000"/>
              <w:left w:val="single" w:sz="4" w:space="0" w:color="000000"/>
              <w:bottom w:val="single" w:sz="4" w:space="0" w:color="000000"/>
            </w:tcBorders>
          </w:tcPr>
          <w:p>
            <w:pPr>
              <w:pStyle w:val="TableParagraph"/>
              <w:spacing w:line="211" w:lineRule="exact" w:before="85"/>
              <w:ind w:left="107"/>
              <w:rPr>
                <w:b/>
                <w:sz w:val="20"/>
              </w:rPr>
            </w:pPr>
            <w:r>
              <w:rPr>
                <w:b/>
                <w:sz w:val="20"/>
              </w:rPr>
              <w:t>Total</w:t>
            </w:r>
            <w:r>
              <w:rPr>
                <w:b/>
                <w:spacing w:val="-10"/>
                <w:sz w:val="20"/>
              </w:rPr>
              <w:t> </w:t>
            </w:r>
            <w:r>
              <w:rPr>
                <w:b/>
                <w:sz w:val="20"/>
              </w:rPr>
              <w:t>Operating</w:t>
            </w:r>
            <w:r>
              <w:rPr>
                <w:b/>
                <w:spacing w:val="-8"/>
                <w:sz w:val="20"/>
              </w:rPr>
              <w:t> </w:t>
            </w:r>
            <w:r>
              <w:rPr>
                <w:b/>
                <w:spacing w:val="-2"/>
                <w:sz w:val="20"/>
              </w:rPr>
              <w:t>Grants</w:t>
            </w:r>
          </w:p>
        </w:tc>
        <w:tc>
          <w:tcPr>
            <w:tcW w:w="1687" w:type="dxa"/>
            <w:tcBorders>
              <w:top w:val="single" w:sz="8" w:space="0" w:color="000000"/>
              <w:bottom w:val="single" w:sz="4" w:space="0" w:color="000000"/>
            </w:tcBorders>
          </w:tcPr>
          <w:p>
            <w:pPr>
              <w:pStyle w:val="TableParagraph"/>
              <w:spacing w:before="42"/>
              <w:ind w:right="102"/>
              <w:jc w:val="right"/>
              <w:rPr>
                <w:b/>
                <w:sz w:val="20"/>
              </w:rPr>
            </w:pPr>
            <w:r>
              <w:rPr>
                <w:b/>
                <w:spacing w:val="-2"/>
                <w:sz w:val="20"/>
              </w:rPr>
              <w:t>7,837</w:t>
            </w:r>
          </w:p>
        </w:tc>
        <w:tc>
          <w:tcPr>
            <w:tcW w:w="1581" w:type="dxa"/>
            <w:tcBorders>
              <w:top w:val="single" w:sz="8" w:space="0" w:color="000000"/>
              <w:bottom w:val="single" w:sz="4" w:space="0" w:color="000000"/>
            </w:tcBorders>
            <w:shd w:val="clear" w:color="auto" w:fill="DDEBF6"/>
          </w:tcPr>
          <w:p>
            <w:pPr>
              <w:pStyle w:val="TableParagraph"/>
              <w:spacing w:before="42"/>
              <w:ind w:right="101"/>
              <w:jc w:val="right"/>
              <w:rPr>
                <w:b/>
                <w:sz w:val="20"/>
              </w:rPr>
            </w:pPr>
            <w:r>
              <w:rPr>
                <w:b/>
                <w:spacing w:val="-2"/>
                <w:sz w:val="20"/>
              </w:rPr>
              <w:t>9,029</w:t>
            </w:r>
          </w:p>
        </w:tc>
        <w:tc>
          <w:tcPr>
            <w:tcW w:w="1872" w:type="dxa"/>
            <w:tcBorders>
              <w:top w:val="single" w:sz="8" w:space="0" w:color="000000"/>
              <w:bottom w:val="single" w:sz="4" w:space="0" w:color="000000"/>
            </w:tcBorders>
          </w:tcPr>
          <w:p>
            <w:pPr>
              <w:pStyle w:val="TableParagraph"/>
              <w:spacing w:before="42"/>
              <w:ind w:right="475"/>
              <w:jc w:val="right"/>
              <w:rPr>
                <w:b/>
                <w:sz w:val="20"/>
              </w:rPr>
            </w:pPr>
            <w:r>
              <w:rPr>
                <w:b/>
                <w:spacing w:val="-2"/>
                <w:sz w:val="20"/>
              </w:rPr>
              <w:t>1,192</w:t>
            </w:r>
          </w:p>
        </w:tc>
        <w:tc>
          <w:tcPr>
            <w:tcW w:w="993" w:type="dxa"/>
            <w:tcBorders>
              <w:top w:val="single" w:sz="8" w:space="0" w:color="000000"/>
              <w:bottom w:val="single" w:sz="4" w:space="0" w:color="000000"/>
              <w:right w:val="single" w:sz="4" w:space="0" w:color="000000"/>
            </w:tcBorders>
          </w:tcPr>
          <w:p>
            <w:pPr>
              <w:pStyle w:val="TableParagraph"/>
              <w:spacing w:before="42"/>
              <w:ind w:right="94"/>
              <w:jc w:val="right"/>
              <w:rPr>
                <w:b/>
                <w:sz w:val="20"/>
              </w:rPr>
            </w:pPr>
            <w:r>
              <w:rPr>
                <w:b/>
                <w:spacing w:val="-2"/>
                <w:sz w:val="20"/>
              </w:rPr>
              <w:t>15.2%</w:t>
            </w:r>
          </w:p>
        </w:tc>
      </w:tr>
    </w:tbl>
    <w:p>
      <w:pPr>
        <w:spacing w:after="0"/>
        <w:jc w:val="right"/>
        <w:rPr>
          <w:sz w:val="20"/>
        </w:rPr>
        <w:sectPr>
          <w:pgSz w:w="11910" w:h="16840"/>
          <w:pgMar w:header="0" w:footer="426" w:top="620" w:bottom="740" w:left="460" w:right="160"/>
        </w:sectPr>
      </w:pPr>
    </w:p>
    <w:p>
      <w:pPr>
        <w:pStyle w:val="Heading6"/>
        <w:numPr>
          <w:ilvl w:val="3"/>
          <w:numId w:val="11"/>
        </w:numPr>
        <w:tabs>
          <w:tab w:pos="994" w:val="left" w:leader="none"/>
        </w:tabs>
        <w:spacing w:line="240" w:lineRule="auto" w:before="81" w:after="0"/>
        <w:ind w:left="993" w:right="0" w:hanging="734"/>
        <w:jc w:val="both"/>
        <w:rPr>
          <w:i/>
        </w:rPr>
      </w:pPr>
      <w:r>
        <w:rPr>
          <w:i/>
          <w:color w:val="4966AC"/>
        </w:rPr>
        <w:t>Grants</w:t>
      </w:r>
      <w:r>
        <w:rPr>
          <w:i/>
          <w:color w:val="4966AC"/>
          <w:spacing w:val="-4"/>
        </w:rPr>
        <w:t> </w:t>
      </w:r>
      <w:r>
        <w:rPr>
          <w:i/>
          <w:color w:val="4966AC"/>
        </w:rPr>
        <w:t>- </w:t>
      </w:r>
      <w:r>
        <w:rPr>
          <w:i/>
          <w:color w:val="4966AC"/>
          <w:spacing w:val="-2"/>
        </w:rPr>
        <w:t>capital</w:t>
      </w:r>
    </w:p>
    <w:p>
      <w:pPr>
        <w:pStyle w:val="BodyText"/>
        <w:spacing w:before="8"/>
        <w:rPr>
          <w:b/>
          <w:i/>
          <w:sz w:val="23"/>
        </w:rPr>
      </w:pPr>
    </w:p>
    <w:p>
      <w:pPr>
        <w:pStyle w:val="BodyText"/>
        <w:ind w:left="260" w:right="553"/>
        <w:jc w:val="both"/>
      </w:pPr>
      <w:r>
        <w:rPr/>
        <w:t>Capital grants (non-recurrent) include all monies received from State, Federal and community sources for the purposes of funding the capital works program. Overall, the level of capital grants has increased by 327.9% or $20.47 million compared to 2023/2024, specific funding in 2024/2025 is for large capital works project</w:t>
      </w:r>
      <w:r>
        <w:rPr>
          <w:spacing w:val="-2"/>
        </w:rPr>
        <w:t> </w:t>
      </w:r>
      <w:r>
        <w:rPr/>
        <w:t>including</w:t>
      </w:r>
      <w:r>
        <w:rPr>
          <w:spacing w:val="-4"/>
        </w:rPr>
        <w:t> </w:t>
      </w:r>
      <w:r>
        <w:rPr/>
        <w:t>Ringwood</w:t>
      </w:r>
      <w:r>
        <w:rPr>
          <w:spacing w:val="-3"/>
        </w:rPr>
        <w:t> </w:t>
      </w:r>
      <w:r>
        <w:rPr/>
        <w:t>Activity</w:t>
      </w:r>
      <w:r>
        <w:rPr>
          <w:spacing w:val="-6"/>
        </w:rPr>
        <w:t> </w:t>
      </w:r>
      <w:r>
        <w:rPr/>
        <w:t>Centre</w:t>
      </w:r>
      <w:r>
        <w:rPr>
          <w:spacing w:val="-3"/>
        </w:rPr>
        <w:t> </w:t>
      </w:r>
      <w:r>
        <w:rPr/>
        <w:t>Car</w:t>
      </w:r>
      <w:r>
        <w:rPr>
          <w:spacing w:val="-3"/>
        </w:rPr>
        <w:t> </w:t>
      </w:r>
      <w:r>
        <w:rPr/>
        <w:t>Park</w:t>
      </w:r>
      <w:r>
        <w:rPr>
          <w:spacing w:val="-4"/>
        </w:rPr>
        <w:t> </w:t>
      </w:r>
      <w:r>
        <w:rPr/>
        <w:t>$24.2</w:t>
      </w:r>
      <w:r>
        <w:rPr>
          <w:spacing w:val="-6"/>
        </w:rPr>
        <w:t> </w:t>
      </w:r>
      <w:r>
        <w:rPr/>
        <w:t>million</w:t>
      </w:r>
      <w:r>
        <w:rPr>
          <w:spacing w:val="-4"/>
        </w:rPr>
        <w:t> </w:t>
      </w:r>
      <w:r>
        <w:rPr/>
        <w:t>which</w:t>
      </w:r>
      <w:r>
        <w:rPr>
          <w:spacing w:val="-3"/>
        </w:rPr>
        <w:t> </w:t>
      </w:r>
      <w:r>
        <w:rPr/>
        <w:t>is</w:t>
      </w:r>
      <w:r>
        <w:rPr>
          <w:spacing w:val="-1"/>
        </w:rPr>
        <w:t> </w:t>
      </w:r>
      <w:r>
        <w:rPr/>
        <w:t>a</w:t>
      </w:r>
      <w:r>
        <w:rPr>
          <w:spacing w:val="-6"/>
        </w:rPr>
        <w:t> </w:t>
      </w:r>
      <w:r>
        <w:rPr/>
        <w:t>carried</w:t>
      </w:r>
      <w:r>
        <w:rPr>
          <w:spacing w:val="-5"/>
        </w:rPr>
        <w:t> </w:t>
      </w:r>
      <w:r>
        <w:rPr/>
        <w:t>forward</w:t>
      </w:r>
      <w:r>
        <w:rPr>
          <w:spacing w:val="-3"/>
        </w:rPr>
        <w:t> </w:t>
      </w:r>
      <w:r>
        <w:rPr/>
        <w:t>project.</w:t>
      </w:r>
      <w:r>
        <w:rPr>
          <w:spacing w:val="-3"/>
        </w:rPr>
        <w:t> </w:t>
      </w:r>
      <w:r>
        <w:rPr>
          <w:spacing w:val="-2"/>
        </w:rPr>
        <w:t>Section</w:t>
      </w:r>
    </w:p>
    <w:p>
      <w:pPr>
        <w:pStyle w:val="BodyText"/>
        <w:spacing w:before="1"/>
        <w:ind w:left="260" w:right="555"/>
        <w:jc w:val="both"/>
      </w:pPr>
      <w:r>
        <w:rPr/>
        <w:t>4.5 “Capital works program” includes an analysis of the grants and contributions expected to be received during the 2024/2025 year.</w:t>
      </w:r>
    </w:p>
    <w:p>
      <w:pPr>
        <w:pStyle w:val="BodyText"/>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53"/>
        <w:gridCol w:w="1585"/>
        <w:gridCol w:w="1500"/>
        <w:gridCol w:w="1762"/>
        <w:gridCol w:w="957"/>
      </w:tblGrid>
      <w:tr>
        <w:trPr>
          <w:trHeight w:val="1060" w:hRule="atLeast"/>
        </w:trPr>
        <w:tc>
          <w:tcPr>
            <w:tcW w:w="4653" w:type="dxa"/>
            <w:tcBorders>
              <w:top w:val="single" w:sz="4" w:space="0" w:color="000000"/>
              <w:left w:val="single" w:sz="4" w:space="0" w:color="000000"/>
            </w:tcBorders>
            <w:shd w:val="clear" w:color="auto" w:fill="5B9AD4"/>
          </w:tcPr>
          <w:p>
            <w:pPr>
              <w:pStyle w:val="TableParagraph"/>
              <w:spacing w:before="114"/>
              <w:ind w:left="1628" w:right="1634"/>
              <w:jc w:val="center"/>
              <w:rPr>
                <w:b/>
                <w:sz w:val="20"/>
              </w:rPr>
            </w:pPr>
            <w:r>
              <w:rPr>
                <w:b/>
                <w:color w:val="FFFFFF"/>
                <w:sz w:val="20"/>
              </w:rPr>
              <w:t>Capital</w:t>
            </w:r>
            <w:r>
              <w:rPr>
                <w:b/>
                <w:color w:val="FFFFFF"/>
                <w:spacing w:val="-10"/>
                <w:sz w:val="20"/>
              </w:rPr>
              <w:t> </w:t>
            </w:r>
            <w:r>
              <w:rPr>
                <w:b/>
                <w:color w:val="FFFFFF"/>
                <w:spacing w:val="-2"/>
                <w:sz w:val="20"/>
              </w:rPr>
              <w:t>Grants</w:t>
            </w:r>
          </w:p>
        </w:tc>
        <w:tc>
          <w:tcPr>
            <w:tcW w:w="1585" w:type="dxa"/>
            <w:tcBorders>
              <w:top w:val="single" w:sz="4" w:space="0" w:color="000000"/>
            </w:tcBorders>
            <w:shd w:val="clear" w:color="auto" w:fill="5B9AD4"/>
          </w:tcPr>
          <w:p>
            <w:pPr>
              <w:pStyle w:val="TableParagraph"/>
              <w:spacing w:line="256" w:lineRule="auto"/>
              <w:ind w:left="317" w:right="322" w:firstLine="3"/>
              <w:jc w:val="center"/>
              <w:rPr>
                <w:b/>
                <w:sz w:val="20"/>
              </w:rPr>
            </w:pPr>
            <w:r>
              <w:rPr>
                <w:b/>
                <w:color w:val="FFFFFF"/>
                <w:spacing w:val="-2"/>
                <w:sz w:val="20"/>
              </w:rPr>
              <w:t>Forecast Actual 2023/2024</w:t>
            </w:r>
          </w:p>
          <w:p>
            <w:pPr>
              <w:pStyle w:val="TableParagraph"/>
              <w:spacing w:before="55"/>
              <w:ind w:left="526" w:right="527"/>
              <w:jc w:val="center"/>
              <w:rPr>
                <w:b/>
                <w:sz w:val="20"/>
              </w:rPr>
            </w:pPr>
            <w:r>
              <w:rPr>
                <w:b/>
                <w:color w:val="FFFFFF"/>
                <w:spacing w:val="-2"/>
                <w:sz w:val="20"/>
              </w:rPr>
              <w:t>$’000</w:t>
            </w:r>
          </w:p>
        </w:tc>
        <w:tc>
          <w:tcPr>
            <w:tcW w:w="1500" w:type="dxa"/>
            <w:tcBorders>
              <w:top w:val="single" w:sz="4" w:space="0" w:color="000000"/>
            </w:tcBorders>
            <w:shd w:val="clear" w:color="auto" w:fill="5B9AD4"/>
          </w:tcPr>
          <w:p>
            <w:pPr>
              <w:pStyle w:val="TableParagraph"/>
              <w:spacing w:before="114"/>
              <w:ind w:left="267" w:right="260"/>
              <w:jc w:val="center"/>
              <w:rPr>
                <w:b/>
                <w:sz w:val="20"/>
              </w:rPr>
            </w:pPr>
            <w:r>
              <w:rPr>
                <w:b/>
                <w:color w:val="FFFFFF"/>
                <w:spacing w:val="-2"/>
                <w:sz w:val="20"/>
              </w:rPr>
              <w:t>Budget</w:t>
            </w:r>
          </w:p>
          <w:p>
            <w:pPr>
              <w:pStyle w:val="TableParagraph"/>
              <w:spacing w:before="150"/>
              <w:ind w:left="267" w:right="264"/>
              <w:jc w:val="center"/>
              <w:rPr>
                <w:b/>
                <w:sz w:val="20"/>
              </w:rPr>
            </w:pPr>
            <w:r>
              <w:rPr>
                <w:b/>
                <w:color w:val="FFFFFF"/>
                <w:spacing w:val="-2"/>
                <w:sz w:val="20"/>
              </w:rPr>
              <w:t>2024/2025</w:t>
            </w:r>
          </w:p>
          <w:p>
            <w:pPr>
              <w:pStyle w:val="TableParagraph"/>
              <w:spacing w:before="70"/>
              <w:ind w:left="267" w:right="260"/>
              <w:jc w:val="center"/>
              <w:rPr>
                <w:b/>
                <w:sz w:val="20"/>
              </w:rPr>
            </w:pPr>
            <w:r>
              <w:rPr>
                <w:b/>
                <w:color w:val="FFFFFF"/>
                <w:spacing w:val="-2"/>
                <w:sz w:val="20"/>
              </w:rPr>
              <w:t>$’000</w:t>
            </w:r>
          </w:p>
        </w:tc>
        <w:tc>
          <w:tcPr>
            <w:tcW w:w="1762" w:type="dxa"/>
            <w:tcBorders>
              <w:top w:val="single" w:sz="4" w:space="0" w:color="000000"/>
            </w:tcBorders>
            <w:shd w:val="clear" w:color="auto" w:fill="5B9AD4"/>
          </w:tcPr>
          <w:p>
            <w:pPr>
              <w:pStyle w:val="TableParagraph"/>
              <w:spacing w:before="114"/>
              <w:ind w:left="995"/>
              <w:rPr>
                <w:b/>
                <w:sz w:val="20"/>
              </w:rPr>
            </w:pPr>
            <w:r>
              <w:rPr>
                <w:b/>
                <w:color w:val="FFFFFF"/>
                <w:spacing w:val="-2"/>
                <w:sz w:val="20"/>
              </w:rPr>
              <w:t>Change</w:t>
            </w:r>
          </w:p>
          <w:p>
            <w:pPr>
              <w:pStyle w:val="TableParagraph"/>
              <w:rPr>
                <w:sz w:val="22"/>
              </w:rPr>
            </w:pPr>
          </w:p>
          <w:p>
            <w:pPr>
              <w:pStyle w:val="TableParagraph"/>
              <w:spacing w:before="197"/>
              <w:ind w:left="462"/>
              <w:rPr>
                <w:b/>
                <w:sz w:val="20"/>
              </w:rPr>
            </w:pPr>
            <w:r>
              <w:rPr>
                <w:b/>
                <w:color w:val="FFFFFF"/>
                <w:spacing w:val="-2"/>
                <w:sz w:val="20"/>
              </w:rPr>
              <w:t>$’000</w:t>
            </w:r>
          </w:p>
        </w:tc>
        <w:tc>
          <w:tcPr>
            <w:tcW w:w="957" w:type="dxa"/>
            <w:tcBorders>
              <w:top w:val="single" w:sz="4" w:space="0" w:color="000000"/>
              <w:right w:val="single" w:sz="4" w:space="0" w:color="000000"/>
            </w:tcBorders>
            <w:shd w:val="clear" w:color="auto" w:fill="5B9AD4"/>
          </w:tcPr>
          <w:p>
            <w:pPr>
              <w:pStyle w:val="TableParagraph"/>
              <w:rPr>
                <w:sz w:val="22"/>
              </w:rPr>
            </w:pPr>
          </w:p>
          <w:p>
            <w:pPr>
              <w:pStyle w:val="TableParagraph"/>
              <w:rPr>
                <w:sz w:val="22"/>
              </w:rPr>
            </w:pPr>
          </w:p>
          <w:p>
            <w:pPr>
              <w:pStyle w:val="TableParagraph"/>
              <w:rPr>
                <w:sz w:val="25"/>
              </w:rPr>
            </w:pPr>
          </w:p>
          <w:p>
            <w:pPr>
              <w:pStyle w:val="TableParagraph"/>
              <w:ind w:left="217"/>
              <w:rPr>
                <w:b/>
                <w:sz w:val="20"/>
              </w:rPr>
            </w:pPr>
            <w:r>
              <w:rPr>
                <w:b/>
                <w:color w:val="FFFFFF"/>
                <w:w w:val="99"/>
                <w:sz w:val="20"/>
              </w:rPr>
              <w:t>%</w:t>
            </w:r>
          </w:p>
        </w:tc>
      </w:tr>
      <w:tr>
        <w:trPr>
          <w:trHeight w:val="301" w:hRule="atLeast"/>
        </w:trPr>
        <w:tc>
          <w:tcPr>
            <w:tcW w:w="4653" w:type="dxa"/>
            <w:tcBorders>
              <w:left w:val="single" w:sz="4" w:space="0" w:color="000000"/>
            </w:tcBorders>
          </w:tcPr>
          <w:p>
            <w:pPr>
              <w:pStyle w:val="TableParagraph"/>
              <w:spacing w:before="33"/>
              <w:ind w:left="107"/>
              <w:rPr>
                <w:b/>
                <w:i/>
                <w:sz w:val="20"/>
              </w:rPr>
            </w:pPr>
            <w:r>
              <w:rPr>
                <w:b/>
                <w:i/>
                <w:sz w:val="20"/>
              </w:rPr>
              <w:t>Non-recurrent</w:t>
            </w:r>
            <w:r>
              <w:rPr>
                <w:b/>
                <w:i/>
                <w:spacing w:val="-8"/>
                <w:sz w:val="20"/>
              </w:rPr>
              <w:t> </w:t>
            </w:r>
            <w:r>
              <w:rPr>
                <w:b/>
                <w:i/>
                <w:sz w:val="20"/>
              </w:rPr>
              <w:t>-</w:t>
            </w:r>
            <w:r>
              <w:rPr>
                <w:b/>
                <w:i/>
                <w:spacing w:val="-10"/>
                <w:sz w:val="20"/>
              </w:rPr>
              <w:t> </w:t>
            </w:r>
            <w:r>
              <w:rPr>
                <w:b/>
                <w:i/>
                <w:sz w:val="20"/>
              </w:rPr>
              <w:t>Commonwealth</w:t>
            </w:r>
            <w:r>
              <w:rPr>
                <w:b/>
                <w:i/>
                <w:spacing w:val="-9"/>
                <w:sz w:val="20"/>
              </w:rPr>
              <w:t> </w:t>
            </w:r>
            <w:r>
              <w:rPr>
                <w:b/>
                <w:i/>
                <w:spacing w:val="-2"/>
                <w:sz w:val="20"/>
              </w:rPr>
              <w:t>Government</w:t>
            </w:r>
          </w:p>
        </w:tc>
        <w:tc>
          <w:tcPr>
            <w:tcW w:w="1585" w:type="dxa"/>
          </w:tcPr>
          <w:p>
            <w:pPr>
              <w:pStyle w:val="TableParagraph"/>
              <w:rPr>
                <w:rFonts w:ascii="Times New Roman"/>
                <w:sz w:val="20"/>
              </w:rPr>
            </w:pPr>
          </w:p>
        </w:tc>
        <w:tc>
          <w:tcPr>
            <w:tcW w:w="1500" w:type="dxa"/>
            <w:shd w:val="clear" w:color="auto" w:fill="DDEBF6"/>
          </w:tcPr>
          <w:p>
            <w:pPr>
              <w:pStyle w:val="TableParagraph"/>
              <w:rPr>
                <w:rFonts w:ascii="Times New Roman"/>
                <w:sz w:val="20"/>
              </w:rPr>
            </w:pPr>
          </w:p>
        </w:tc>
        <w:tc>
          <w:tcPr>
            <w:tcW w:w="1762" w:type="dxa"/>
          </w:tcPr>
          <w:p>
            <w:pPr>
              <w:pStyle w:val="TableParagraph"/>
              <w:rPr>
                <w:rFonts w:ascii="Times New Roman"/>
                <w:sz w:val="20"/>
              </w:rPr>
            </w:pPr>
          </w:p>
        </w:tc>
        <w:tc>
          <w:tcPr>
            <w:tcW w:w="957" w:type="dxa"/>
            <w:tcBorders>
              <w:right w:val="single" w:sz="4" w:space="0" w:color="000000"/>
            </w:tcBorders>
          </w:tcPr>
          <w:p>
            <w:pPr>
              <w:pStyle w:val="TableParagraph"/>
              <w:rPr>
                <w:rFonts w:ascii="Times New Roman"/>
                <w:sz w:val="20"/>
              </w:rPr>
            </w:pPr>
          </w:p>
        </w:tc>
      </w:tr>
      <w:tr>
        <w:trPr>
          <w:trHeight w:val="317" w:hRule="atLeast"/>
        </w:trPr>
        <w:tc>
          <w:tcPr>
            <w:tcW w:w="4653" w:type="dxa"/>
            <w:tcBorders>
              <w:left w:val="single" w:sz="4" w:space="0" w:color="000000"/>
            </w:tcBorders>
          </w:tcPr>
          <w:p>
            <w:pPr>
              <w:pStyle w:val="TableParagraph"/>
              <w:spacing w:before="67"/>
              <w:ind w:left="107"/>
              <w:rPr>
                <w:sz w:val="20"/>
              </w:rPr>
            </w:pPr>
            <w:r>
              <w:rPr>
                <w:spacing w:val="-2"/>
                <w:sz w:val="20"/>
              </w:rPr>
              <w:t>Buildings</w:t>
            </w:r>
          </w:p>
        </w:tc>
        <w:tc>
          <w:tcPr>
            <w:tcW w:w="1585" w:type="dxa"/>
          </w:tcPr>
          <w:p>
            <w:pPr>
              <w:pStyle w:val="TableParagraph"/>
              <w:spacing w:before="31"/>
              <w:ind w:right="98"/>
              <w:jc w:val="right"/>
              <w:rPr>
                <w:sz w:val="20"/>
              </w:rPr>
            </w:pPr>
            <w:r>
              <w:rPr>
                <w:w w:val="99"/>
                <w:sz w:val="20"/>
              </w:rPr>
              <w:t>2</w:t>
            </w:r>
          </w:p>
        </w:tc>
        <w:tc>
          <w:tcPr>
            <w:tcW w:w="1500" w:type="dxa"/>
            <w:shd w:val="clear" w:color="auto" w:fill="DDEBF6"/>
          </w:tcPr>
          <w:p>
            <w:pPr>
              <w:pStyle w:val="TableParagraph"/>
              <w:spacing w:before="31"/>
              <w:ind w:right="103"/>
              <w:jc w:val="right"/>
              <w:rPr>
                <w:sz w:val="20"/>
              </w:rPr>
            </w:pPr>
            <w:r>
              <w:rPr>
                <w:spacing w:val="-2"/>
                <w:sz w:val="20"/>
              </w:rPr>
              <w:t>2,000</w:t>
            </w:r>
          </w:p>
        </w:tc>
        <w:tc>
          <w:tcPr>
            <w:tcW w:w="1762" w:type="dxa"/>
          </w:tcPr>
          <w:p>
            <w:pPr>
              <w:pStyle w:val="TableParagraph"/>
              <w:spacing w:before="31"/>
              <w:ind w:right="444"/>
              <w:jc w:val="right"/>
              <w:rPr>
                <w:sz w:val="20"/>
              </w:rPr>
            </w:pPr>
            <w:r>
              <w:rPr>
                <w:spacing w:val="-2"/>
                <w:sz w:val="20"/>
              </w:rPr>
              <w:t>1,998</w:t>
            </w:r>
          </w:p>
        </w:tc>
        <w:tc>
          <w:tcPr>
            <w:tcW w:w="957" w:type="dxa"/>
            <w:tcBorders>
              <w:right w:val="single" w:sz="4" w:space="0" w:color="000000"/>
            </w:tcBorders>
          </w:tcPr>
          <w:p>
            <w:pPr>
              <w:pStyle w:val="TableParagraph"/>
              <w:spacing w:before="31"/>
              <w:ind w:right="101"/>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z w:val="20"/>
              </w:rPr>
              <w:t>Car</w:t>
            </w:r>
            <w:r>
              <w:rPr>
                <w:spacing w:val="-5"/>
                <w:sz w:val="20"/>
              </w:rPr>
              <w:t> </w:t>
            </w:r>
            <w:r>
              <w:rPr>
                <w:spacing w:val="-2"/>
                <w:sz w:val="20"/>
              </w:rPr>
              <w:t>parks</w:t>
            </w:r>
          </w:p>
        </w:tc>
        <w:tc>
          <w:tcPr>
            <w:tcW w:w="1585" w:type="dxa"/>
          </w:tcPr>
          <w:p>
            <w:pPr>
              <w:pStyle w:val="TableParagraph"/>
              <w:spacing w:before="13"/>
              <w:ind w:right="100"/>
              <w:jc w:val="right"/>
              <w:rPr>
                <w:sz w:val="20"/>
              </w:rPr>
            </w:pPr>
            <w:r>
              <w:rPr>
                <w:spacing w:val="-2"/>
                <w:sz w:val="20"/>
              </w:rPr>
              <w:t>4,152</w:t>
            </w:r>
          </w:p>
        </w:tc>
        <w:tc>
          <w:tcPr>
            <w:tcW w:w="1500" w:type="dxa"/>
            <w:shd w:val="clear" w:color="auto" w:fill="DDEBF6"/>
          </w:tcPr>
          <w:p>
            <w:pPr>
              <w:pStyle w:val="TableParagraph"/>
              <w:spacing w:before="13"/>
              <w:ind w:right="105"/>
              <w:jc w:val="right"/>
              <w:rPr>
                <w:sz w:val="20"/>
              </w:rPr>
            </w:pPr>
            <w:r>
              <w:rPr>
                <w:spacing w:val="-2"/>
                <w:sz w:val="20"/>
              </w:rPr>
              <w:t>24,200</w:t>
            </w:r>
          </w:p>
        </w:tc>
        <w:tc>
          <w:tcPr>
            <w:tcW w:w="1762" w:type="dxa"/>
          </w:tcPr>
          <w:p>
            <w:pPr>
              <w:pStyle w:val="TableParagraph"/>
              <w:spacing w:before="13"/>
              <w:ind w:right="445"/>
              <w:jc w:val="right"/>
              <w:rPr>
                <w:sz w:val="20"/>
              </w:rPr>
            </w:pPr>
            <w:r>
              <w:rPr>
                <w:spacing w:val="-2"/>
                <w:sz w:val="20"/>
              </w:rPr>
              <w:t>20,048</w:t>
            </w:r>
          </w:p>
        </w:tc>
        <w:tc>
          <w:tcPr>
            <w:tcW w:w="957" w:type="dxa"/>
            <w:tcBorders>
              <w:right w:val="single" w:sz="4" w:space="0" w:color="000000"/>
            </w:tcBorders>
          </w:tcPr>
          <w:p>
            <w:pPr>
              <w:pStyle w:val="TableParagraph"/>
              <w:spacing w:before="13"/>
              <w:ind w:right="101"/>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z w:val="20"/>
              </w:rPr>
              <w:t>Occupation</w:t>
            </w:r>
            <w:r>
              <w:rPr>
                <w:spacing w:val="-7"/>
                <w:sz w:val="20"/>
              </w:rPr>
              <w:t> </w:t>
            </w:r>
            <w:r>
              <w:rPr>
                <w:sz w:val="20"/>
              </w:rPr>
              <w:t>road</w:t>
            </w:r>
            <w:r>
              <w:rPr>
                <w:spacing w:val="-8"/>
                <w:sz w:val="20"/>
              </w:rPr>
              <w:t> </w:t>
            </w:r>
            <w:r>
              <w:rPr>
                <w:spacing w:val="-2"/>
                <w:sz w:val="20"/>
              </w:rPr>
              <w:t>reserve</w:t>
            </w:r>
          </w:p>
        </w:tc>
        <w:tc>
          <w:tcPr>
            <w:tcW w:w="1585" w:type="dxa"/>
          </w:tcPr>
          <w:p>
            <w:pPr>
              <w:pStyle w:val="TableParagraph"/>
              <w:spacing w:before="13"/>
              <w:ind w:right="101"/>
              <w:jc w:val="right"/>
              <w:rPr>
                <w:sz w:val="20"/>
              </w:rPr>
            </w:pPr>
            <w:r>
              <w:rPr>
                <w:spacing w:val="-5"/>
                <w:sz w:val="20"/>
              </w:rPr>
              <w:t>508</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6"/>
              <w:jc w:val="right"/>
              <w:rPr>
                <w:sz w:val="20"/>
              </w:rPr>
            </w:pPr>
            <w:r>
              <w:rPr>
                <w:spacing w:val="-2"/>
                <w:sz w:val="20"/>
              </w:rPr>
              <w:t>(508)</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z w:val="20"/>
              </w:rPr>
              <w:t>Recreational,</w:t>
            </w:r>
            <w:r>
              <w:rPr>
                <w:spacing w:val="-6"/>
                <w:sz w:val="20"/>
              </w:rPr>
              <w:t> </w:t>
            </w:r>
            <w:r>
              <w:rPr>
                <w:sz w:val="20"/>
              </w:rPr>
              <w:t>leisure</w:t>
            </w:r>
            <w:r>
              <w:rPr>
                <w:spacing w:val="-9"/>
                <w:sz w:val="20"/>
              </w:rPr>
              <w:t> </w:t>
            </w:r>
            <w:r>
              <w:rPr>
                <w:sz w:val="20"/>
              </w:rPr>
              <w:t>and</w:t>
            </w:r>
            <w:r>
              <w:rPr>
                <w:spacing w:val="-9"/>
                <w:sz w:val="20"/>
              </w:rPr>
              <w:t> </w:t>
            </w:r>
            <w:r>
              <w:rPr>
                <w:sz w:val="20"/>
              </w:rPr>
              <w:t>community</w:t>
            </w:r>
            <w:r>
              <w:rPr>
                <w:spacing w:val="-7"/>
                <w:sz w:val="20"/>
              </w:rPr>
              <w:t> </w:t>
            </w:r>
            <w:r>
              <w:rPr>
                <w:spacing w:val="-2"/>
                <w:sz w:val="20"/>
              </w:rPr>
              <w:t>facilities</w:t>
            </w:r>
          </w:p>
        </w:tc>
        <w:tc>
          <w:tcPr>
            <w:tcW w:w="1585" w:type="dxa"/>
          </w:tcPr>
          <w:p>
            <w:pPr>
              <w:pStyle w:val="TableParagraph"/>
              <w:spacing w:before="13"/>
              <w:ind w:right="101"/>
              <w:jc w:val="right"/>
              <w:rPr>
                <w:sz w:val="20"/>
              </w:rPr>
            </w:pPr>
            <w:r>
              <w:rPr>
                <w:spacing w:val="-5"/>
                <w:sz w:val="20"/>
              </w:rPr>
              <w:t>500</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6"/>
              <w:jc w:val="right"/>
              <w:rPr>
                <w:sz w:val="20"/>
              </w:rPr>
            </w:pPr>
            <w:r>
              <w:rPr>
                <w:spacing w:val="-2"/>
                <w:sz w:val="20"/>
              </w:rPr>
              <w:t>(500)</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450" w:hRule="atLeast"/>
        </w:trPr>
        <w:tc>
          <w:tcPr>
            <w:tcW w:w="4653" w:type="dxa"/>
            <w:tcBorders>
              <w:left w:val="single" w:sz="4" w:space="0" w:color="000000"/>
            </w:tcBorders>
          </w:tcPr>
          <w:p>
            <w:pPr>
              <w:pStyle w:val="TableParagraph"/>
              <w:spacing w:before="49"/>
              <w:ind w:left="107"/>
              <w:rPr>
                <w:sz w:val="20"/>
              </w:rPr>
            </w:pPr>
            <w:r>
              <w:rPr>
                <w:spacing w:val="-2"/>
                <w:sz w:val="20"/>
              </w:rPr>
              <w:t>Roads</w:t>
            </w:r>
          </w:p>
        </w:tc>
        <w:tc>
          <w:tcPr>
            <w:tcW w:w="1585" w:type="dxa"/>
          </w:tcPr>
          <w:p>
            <w:pPr>
              <w:pStyle w:val="TableParagraph"/>
              <w:spacing w:before="13"/>
              <w:ind w:right="101"/>
              <w:jc w:val="right"/>
              <w:rPr>
                <w:sz w:val="20"/>
              </w:rPr>
            </w:pPr>
            <w:r>
              <w:rPr>
                <w:spacing w:val="-5"/>
                <w:sz w:val="20"/>
              </w:rPr>
              <w:t>509</w:t>
            </w:r>
          </w:p>
        </w:tc>
        <w:tc>
          <w:tcPr>
            <w:tcW w:w="1500" w:type="dxa"/>
            <w:shd w:val="clear" w:color="auto" w:fill="DDEBF6"/>
          </w:tcPr>
          <w:p>
            <w:pPr>
              <w:pStyle w:val="TableParagraph"/>
              <w:spacing w:before="13"/>
              <w:ind w:right="104"/>
              <w:jc w:val="right"/>
              <w:rPr>
                <w:sz w:val="20"/>
              </w:rPr>
            </w:pPr>
            <w:r>
              <w:rPr>
                <w:spacing w:val="-5"/>
                <w:sz w:val="20"/>
              </w:rPr>
              <w:t>508</w:t>
            </w:r>
          </w:p>
        </w:tc>
        <w:tc>
          <w:tcPr>
            <w:tcW w:w="1762" w:type="dxa"/>
          </w:tcPr>
          <w:p>
            <w:pPr>
              <w:pStyle w:val="TableParagraph"/>
              <w:spacing w:before="13"/>
              <w:ind w:right="443"/>
              <w:jc w:val="right"/>
              <w:rPr>
                <w:sz w:val="20"/>
              </w:rPr>
            </w:pPr>
            <w:r>
              <w:rPr>
                <w:spacing w:val="-5"/>
                <w:sz w:val="20"/>
              </w:rPr>
              <w:t>(1)</w:t>
            </w:r>
          </w:p>
        </w:tc>
        <w:tc>
          <w:tcPr>
            <w:tcW w:w="957" w:type="dxa"/>
            <w:tcBorders>
              <w:right w:val="single" w:sz="4" w:space="0" w:color="000000"/>
            </w:tcBorders>
          </w:tcPr>
          <w:p>
            <w:pPr>
              <w:pStyle w:val="TableParagraph"/>
              <w:spacing w:before="13"/>
              <w:ind w:right="97"/>
              <w:jc w:val="right"/>
              <w:rPr>
                <w:sz w:val="20"/>
              </w:rPr>
            </w:pPr>
            <w:r>
              <w:rPr>
                <w:spacing w:val="-2"/>
                <w:sz w:val="20"/>
              </w:rPr>
              <w:t>(0.2%)</w:t>
            </w:r>
          </w:p>
        </w:tc>
      </w:tr>
      <w:tr>
        <w:trPr>
          <w:trHeight w:val="432" w:hRule="atLeast"/>
        </w:trPr>
        <w:tc>
          <w:tcPr>
            <w:tcW w:w="4653" w:type="dxa"/>
            <w:tcBorders>
              <w:left w:val="single" w:sz="4" w:space="0" w:color="000000"/>
            </w:tcBorders>
          </w:tcPr>
          <w:p>
            <w:pPr>
              <w:pStyle w:val="TableParagraph"/>
              <w:spacing w:before="163"/>
              <w:ind w:left="107"/>
              <w:rPr>
                <w:b/>
                <w:i/>
                <w:sz w:val="20"/>
              </w:rPr>
            </w:pPr>
            <w:r>
              <w:rPr>
                <w:b/>
                <w:i/>
                <w:sz w:val="20"/>
              </w:rPr>
              <w:t>Non-recurrent</w:t>
            </w:r>
            <w:r>
              <w:rPr>
                <w:b/>
                <w:i/>
                <w:spacing w:val="-6"/>
                <w:sz w:val="20"/>
              </w:rPr>
              <w:t> </w:t>
            </w:r>
            <w:r>
              <w:rPr>
                <w:b/>
                <w:i/>
                <w:sz w:val="20"/>
              </w:rPr>
              <w:t>-</w:t>
            </w:r>
            <w:r>
              <w:rPr>
                <w:b/>
                <w:i/>
                <w:spacing w:val="-7"/>
                <w:sz w:val="20"/>
              </w:rPr>
              <w:t> </w:t>
            </w:r>
            <w:r>
              <w:rPr>
                <w:b/>
                <w:i/>
                <w:sz w:val="20"/>
              </w:rPr>
              <w:t>State</w:t>
            </w:r>
            <w:r>
              <w:rPr>
                <w:b/>
                <w:i/>
                <w:spacing w:val="-7"/>
                <w:sz w:val="20"/>
              </w:rPr>
              <w:t> </w:t>
            </w:r>
            <w:r>
              <w:rPr>
                <w:b/>
                <w:i/>
                <w:spacing w:val="-2"/>
                <w:sz w:val="20"/>
              </w:rPr>
              <w:t>Government</w:t>
            </w:r>
          </w:p>
        </w:tc>
        <w:tc>
          <w:tcPr>
            <w:tcW w:w="1585" w:type="dxa"/>
          </w:tcPr>
          <w:p>
            <w:pPr>
              <w:pStyle w:val="TableParagraph"/>
              <w:rPr>
                <w:rFonts w:ascii="Times New Roman"/>
                <w:sz w:val="20"/>
              </w:rPr>
            </w:pPr>
          </w:p>
        </w:tc>
        <w:tc>
          <w:tcPr>
            <w:tcW w:w="1500" w:type="dxa"/>
            <w:shd w:val="clear" w:color="auto" w:fill="DDEBF6"/>
          </w:tcPr>
          <w:p>
            <w:pPr>
              <w:pStyle w:val="TableParagraph"/>
              <w:rPr>
                <w:rFonts w:ascii="Times New Roman"/>
                <w:sz w:val="20"/>
              </w:rPr>
            </w:pPr>
          </w:p>
        </w:tc>
        <w:tc>
          <w:tcPr>
            <w:tcW w:w="1762" w:type="dxa"/>
          </w:tcPr>
          <w:p>
            <w:pPr>
              <w:pStyle w:val="TableParagraph"/>
              <w:rPr>
                <w:rFonts w:ascii="Times New Roman"/>
                <w:sz w:val="20"/>
              </w:rPr>
            </w:pPr>
          </w:p>
        </w:tc>
        <w:tc>
          <w:tcPr>
            <w:tcW w:w="957" w:type="dxa"/>
            <w:tcBorders>
              <w:right w:val="single" w:sz="4" w:space="0" w:color="000000"/>
            </w:tcBorders>
          </w:tcPr>
          <w:p>
            <w:pPr>
              <w:pStyle w:val="TableParagraph"/>
              <w:rPr>
                <w:rFonts w:ascii="Times New Roman"/>
                <w:sz w:val="20"/>
              </w:rPr>
            </w:pPr>
          </w:p>
        </w:tc>
      </w:tr>
      <w:tr>
        <w:trPr>
          <w:trHeight w:val="317" w:hRule="atLeast"/>
        </w:trPr>
        <w:tc>
          <w:tcPr>
            <w:tcW w:w="4653" w:type="dxa"/>
            <w:tcBorders>
              <w:left w:val="single" w:sz="4" w:space="0" w:color="000000"/>
            </w:tcBorders>
          </w:tcPr>
          <w:p>
            <w:pPr>
              <w:pStyle w:val="TableParagraph"/>
              <w:spacing w:before="67"/>
              <w:ind w:left="107"/>
              <w:rPr>
                <w:sz w:val="20"/>
              </w:rPr>
            </w:pPr>
            <w:r>
              <w:rPr>
                <w:spacing w:val="-2"/>
                <w:sz w:val="20"/>
              </w:rPr>
              <w:t>Buildings</w:t>
            </w:r>
          </w:p>
        </w:tc>
        <w:tc>
          <w:tcPr>
            <w:tcW w:w="1585" w:type="dxa"/>
          </w:tcPr>
          <w:p>
            <w:pPr>
              <w:pStyle w:val="TableParagraph"/>
              <w:spacing w:before="31"/>
              <w:ind w:right="102"/>
              <w:jc w:val="right"/>
              <w:rPr>
                <w:sz w:val="20"/>
              </w:rPr>
            </w:pPr>
            <w:r>
              <w:rPr>
                <w:spacing w:val="-5"/>
                <w:sz w:val="20"/>
              </w:rPr>
              <w:t>50</w:t>
            </w:r>
          </w:p>
        </w:tc>
        <w:tc>
          <w:tcPr>
            <w:tcW w:w="1500" w:type="dxa"/>
            <w:shd w:val="clear" w:color="auto" w:fill="DDEBF6"/>
          </w:tcPr>
          <w:p>
            <w:pPr>
              <w:pStyle w:val="TableParagraph"/>
              <w:spacing w:before="31"/>
              <w:ind w:right="101"/>
              <w:jc w:val="right"/>
              <w:rPr>
                <w:sz w:val="20"/>
              </w:rPr>
            </w:pPr>
            <w:r>
              <w:rPr>
                <w:w w:val="99"/>
                <w:sz w:val="20"/>
              </w:rPr>
              <w:t>0</w:t>
            </w:r>
          </w:p>
        </w:tc>
        <w:tc>
          <w:tcPr>
            <w:tcW w:w="1762" w:type="dxa"/>
          </w:tcPr>
          <w:p>
            <w:pPr>
              <w:pStyle w:val="TableParagraph"/>
              <w:spacing w:before="31"/>
              <w:ind w:right="443"/>
              <w:jc w:val="right"/>
              <w:rPr>
                <w:sz w:val="20"/>
              </w:rPr>
            </w:pPr>
            <w:r>
              <w:rPr>
                <w:spacing w:val="-4"/>
                <w:sz w:val="20"/>
              </w:rPr>
              <w:t>(50)</w:t>
            </w:r>
          </w:p>
        </w:tc>
        <w:tc>
          <w:tcPr>
            <w:tcW w:w="957" w:type="dxa"/>
            <w:tcBorders>
              <w:right w:val="single" w:sz="4" w:space="0" w:color="000000"/>
            </w:tcBorders>
          </w:tcPr>
          <w:p>
            <w:pPr>
              <w:pStyle w:val="TableParagraph"/>
              <w:spacing w:before="31"/>
              <w:ind w:right="100"/>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z w:val="20"/>
              </w:rPr>
              <w:t>Commercial</w:t>
            </w:r>
            <w:r>
              <w:rPr>
                <w:spacing w:val="-13"/>
                <w:sz w:val="20"/>
              </w:rPr>
              <w:t> </w:t>
            </w:r>
            <w:r>
              <w:rPr>
                <w:spacing w:val="-2"/>
                <w:sz w:val="20"/>
              </w:rPr>
              <w:t>centres</w:t>
            </w:r>
          </w:p>
        </w:tc>
        <w:tc>
          <w:tcPr>
            <w:tcW w:w="1585" w:type="dxa"/>
          </w:tcPr>
          <w:p>
            <w:pPr>
              <w:pStyle w:val="TableParagraph"/>
              <w:spacing w:before="13"/>
              <w:ind w:right="101"/>
              <w:jc w:val="right"/>
              <w:rPr>
                <w:sz w:val="20"/>
              </w:rPr>
            </w:pPr>
            <w:r>
              <w:rPr>
                <w:spacing w:val="-5"/>
                <w:sz w:val="20"/>
              </w:rPr>
              <w:t>259</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6"/>
              <w:jc w:val="right"/>
              <w:rPr>
                <w:sz w:val="20"/>
              </w:rPr>
            </w:pPr>
            <w:r>
              <w:rPr>
                <w:spacing w:val="-2"/>
                <w:sz w:val="20"/>
              </w:rPr>
              <w:t>(259)</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pacing w:val="-2"/>
                <w:sz w:val="20"/>
              </w:rPr>
              <w:t>Drainage</w:t>
            </w:r>
          </w:p>
        </w:tc>
        <w:tc>
          <w:tcPr>
            <w:tcW w:w="1585" w:type="dxa"/>
          </w:tcPr>
          <w:p>
            <w:pPr>
              <w:pStyle w:val="TableParagraph"/>
              <w:spacing w:before="13"/>
              <w:ind w:right="101"/>
              <w:jc w:val="right"/>
              <w:rPr>
                <w:sz w:val="20"/>
              </w:rPr>
            </w:pPr>
            <w:r>
              <w:rPr>
                <w:spacing w:val="-5"/>
                <w:sz w:val="20"/>
              </w:rPr>
              <w:t>173</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6"/>
              <w:jc w:val="right"/>
              <w:rPr>
                <w:sz w:val="20"/>
              </w:rPr>
            </w:pPr>
            <w:r>
              <w:rPr>
                <w:spacing w:val="-2"/>
                <w:sz w:val="20"/>
              </w:rPr>
              <w:t>(173)</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300" w:hRule="atLeast"/>
        </w:trPr>
        <w:tc>
          <w:tcPr>
            <w:tcW w:w="4653" w:type="dxa"/>
            <w:tcBorders>
              <w:left w:val="single" w:sz="4" w:space="0" w:color="000000"/>
            </w:tcBorders>
          </w:tcPr>
          <w:p>
            <w:pPr>
              <w:pStyle w:val="TableParagraph"/>
              <w:spacing w:before="49"/>
              <w:ind w:left="107"/>
              <w:rPr>
                <w:sz w:val="20"/>
              </w:rPr>
            </w:pPr>
            <w:r>
              <w:rPr>
                <w:spacing w:val="-2"/>
                <w:sz w:val="20"/>
              </w:rPr>
              <w:t>Other</w:t>
            </w:r>
          </w:p>
        </w:tc>
        <w:tc>
          <w:tcPr>
            <w:tcW w:w="1585" w:type="dxa"/>
          </w:tcPr>
          <w:p>
            <w:pPr>
              <w:pStyle w:val="TableParagraph"/>
              <w:spacing w:before="13"/>
              <w:ind w:right="102"/>
              <w:jc w:val="right"/>
              <w:rPr>
                <w:sz w:val="20"/>
              </w:rPr>
            </w:pPr>
            <w:r>
              <w:rPr>
                <w:spacing w:val="-5"/>
                <w:sz w:val="20"/>
              </w:rPr>
              <w:t>22</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3"/>
              <w:jc w:val="right"/>
              <w:rPr>
                <w:sz w:val="20"/>
              </w:rPr>
            </w:pPr>
            <w:r>
              <w:rPr>
                <w:spacing w:val="-4"/>
                <w:sz w:val="20"/>
              </w:rPr>
              <w:t>(22)</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303" w:hRule="atLeast"/>
        </w:trPr>
        <w:tc>
          <w:tcPr>
            <w:tcW w:w="4653" w:type="dxa"/>
            <w:tcBorders>
              <w:left w:val="single" w:sz="4" w:space="0" w:color="000000"/>
            </w:tcBorders>
          </w:tcPr>
          <w:p>
            <w:pPr>
              <w:pStyle w:val="TableParagraph"/>
              <w:spacing w:before="49"/>
              <w:ind w:left="107"/>
              <w:rPr>
                <w:sz w:val="20"/>
              </w:rPr>
            </w:pPr>
            <w:r>
              <w:rPr>
                <w:sz w:val="20"/>
              </w:rPr>
              <w:t>Recreational,</w:t>
            </w:r>
            <w:r>
              <w:rPr>
                <w:spacing w:val="-6"/>
                <w:sz w:val="20"/>
              </w:rPr>
              <w:t> </w:t>
            </w:r>
            <w:r>
              <w:rPr>
                <w:sz w:val="20"/>
              </w:rPr>
              <w:t>leisure</w:t>
            </w:r>
            <w:r>
              <w:rPr>
                <w:spacing w:val="-9"/>
                <w:sz w:val="20"/>
              </w:rPr>
              <w:t> </w:t>
            </w:r>
            <w:r>
              <w:rPr>
                <w:sz w:val="20"/>
              </w:rPr>
              <w:t>and</w:t>
            </w:r>
            <w:r>
              <w:rPr>
                <w:spacing w:val="-9"/>
                <w:sz w:val="20"/>
              </w:rPr>
              <w:t> </w:t>
            </w:r>
            <w:r>
              <w:rPr>
                <w:sz w:val="20"/>
              </w:rPr>
              <w:t>community</w:t>
            </w:r>
            <w:r>
              <w:rPr>
                <w:spacing w:val="-7"/>
                <w:sz w:val="20"/>
              </w:rPr>
              <w:t> </w:t>
            </w:r>
            <w:r>
              <w:rPr>
                <w:spacing w:val="-2"/>
                <w:sz w:val="20"/>
              </w:rPr>
              <w:t>facilities</w:t>
            </w:r>
          </w:p>
        </w:tc>
        <w:tc>
          <w:tcPr>
            <w:tcW w:w="1585" w:type="dxa"/>
          </w:tcPr>
          <w:p>
            <w:pPr>
              <w:pStyle w:val="TableParagraph"/>
              <w:spacing w:before="13"/>
              <w:ind w:right="102"/>
              <w:jc w:val="right"/>
              <w:rPr>
                <w:sz w:val="20"/>
              </w:rPr>
            </w:pPr>
            <w:r>
              <w:rPr>
                <w:spacing w:val="-5"/>
                <w:sz w:val="20"/>
              </w:rPr>
              <w:t>68</w:t>
            </w:r>
          </w:p>
        </w:tc>
        <w:tc>
          <w:tcPr>
            <w:tcW w:w="1500" w:type="dxa"/>
            <w:shd w:val="clear" w:color="auto" w:fill="DDEBF6"/>
          </w:tcPr>
          <w:p>
            <w:pPr>
              <w:pStyle w:val="TableParagraph"/>
              <w:spacing w:before="13"/>
              <w:ind w:right="101"/>
              <w:jc w:val="right"/>
              <w:rPr>
                <w:sz w:val="20"/>
              </w:rPr>
            </w:pPr>
            <w:r>
              <w:rPr>
                <w:w w:val="99"/>
                <w:sz w:val="20"/>
              </w:rPr>
              <w:t>0</w:t>
            </w:r>
          </w:p>
        </w:tc>
        <w:tc>
          <w:tcPr>
            <w:tcW w:w="1762" w:type="dxa"/>
          </w:tcPr>
          <w:p>
            <w:pPr>
              <w:pStyle w:val="TableParagraph"/>
              <w:spacing w:before="13"/>
              <w:ind w:right="443"/>
              <w:jc w:val="right"/>
              <w:rPr>
                <w:sz w:val="20"/>
              </w:rPr>
            </w:pPr>
            <w:r>
              <w:rPr>
                <w:spacing w:val="-4"/>
                <w:sz w:val="20"/>
              </w:rPr>
              <w:t>(67)</w:t>
            </w:r>
          </w:p>
        </w:tc>
        <w:tc>
          <w:tcPr>
            <w:tcW w:w="957" w:type="dxa"/>
            <w:tcBorders>
              <w:right w:val="single" w:sz="4" w:space="0" w:color="000000"/>
            </w:tcBorders>
          </w:tcPr>
          <w:p>
            <w:pPr>
              <w:pStyle w:val="TableParagraph"/>
              <w:spacing w:before="13"/>
              <w:ind w:right="100"/>
              <w:jc w:val="right"/>
              <w:rPr>
                <w:sz w:val="20"/>
              </w:rPr>
            </w:pPr>
            <w:r>
              <w:rPr>
                <w:spacing w:val="-2"/>
                <w:sz w:val="20"/>
              </w:rPr>
              <w:t>(100.0%)</w:t>
            </w:r>
          </w:p>
        </w:tc>
      </w:tr>
      <w:tr>
        <w:trPr>
          <w:trHeight w:val="290" w:hRule="atLeast"/>
        </w:trPr>
        <w:tc>
          <w:tcPr>
            <w:tcW w:w="4653" w:type="dxa"/>
            <w:tcBorders>
              <w:left w:val="single" w:sz="4" w:space="0" w:color="000000"/>
              <w:bottom w:val="single" w:sz="8" w:space="0" w:color="000000"/>
            </w:tcBorders>
          </w:tcPr>
          <w:p>
            <w:pPr>
              <w:pStyle w:val="TableParagraph"/>
              <w:spacing w:before="17"/>
              <w:ind w:left="107"/>
              <w:rPr>
                <w:b/>
                <w:sz w:val="20"/>
              </w:rPr>
            </w:pPr>
            <w:r>
              <w:rPr>
                <w:b/>
                <w:sz w:val="20"/>
              </w:rPr>
              <w:t>Total</w:t>
            </w:r>
            <w:r>
              <w:rPr>
                <w:b/>
                <w:spacing w:val="-11"/>
                <w:sz w:val="20"/>
              </w:rPr>
              <w:t> </w:t>
            </w:r>
            <w:r>
              <w:rPr>
                <w:b/>
                <w:sz w:val="20"/>
              </w:rPr>
              <w:t>non-recurrent</w:t>
            </w:r>
            <w:r>
              <w:rPr>
                <w:b/>
                <w:spacing w:val="-8"/>
                <w:sz w:val="20"/>
              </w:rPr>
              <w:t> </w:t>
            </w:r>
            <w:r>
              <w:rPr>
                <w:b/>
                <w:spacing w:val="-2"/>
                <w:sz w:val="20"/>
              </w:rPr>
              <w:t>grants</w:t>
            </w:r>
          </w:p>
        </w:tc>
        <w:tc>
          <w:tcPr>
            <w:tcW w:w="1585" w:type="dxa"/>
            <w:tcBorders>
              <w:bottom w:val="single" w:sz="8" w:space="0" w:color="000000"/>
            </w:tcBorders>
          </w:tcPr>
          <w:p>
            <w:pPr>
              <w:pStyle w:val="TableParagraph"/>
              <w:spacing w:before="17"/>
              <w:ind w:right="100"/>
              <w:jc w:val="right"/>
              <w:rPr>
                <w:b/>
                <w:sz w:val="20"/>
              </w:rPr>
            </w:pPr>
            <w:r>
              <w:rPr>
                <w:b/>
                <w:spacing w:val="-2"/>
                <w:sz w:val="20"/>
              </w:rPr>
              <w:t>6,241</w:t>
            </w:r>
          </w:p>
        </w:tc>
        <w:tc>
          <w:tcPr>
            <w:tcW w:w="1500" w:type="dxa"/>
            <w:tcBorders>
              <w:bottom w:val="single" w:sz="8" w:space="0" w:color="000000"/>
            </w:tcBorders>
            <w:shd w:val="clear" w:color="auto" w:fill="DDEBF6"/>
          </w:tcPr>
          <w:p>
            <w:pPr>
              <w:pStyle w:val="TableParagraph"/>
              <w:spacing w:before="17"/>
              <w:ind w:right="105"/>
              <w:jc w:val="right"/>
              <w:rPr>
                <w:b/>
                <w:sz w:val="20"/>
              </w:rPr>
            </w:pPr>
            <w:r>
              <w:rPr>
                <w:b/>
                <w:spacing w:val="-2"/>
                <w:sz w:val="20"/>
              </w:rPr>
              <w:t>26,708</w:t>
            </w:r>
          </w:p>
        </w:tc>
        <w:tc>
          <w:tcPr>
            <w:tcW w:w="1762" w:type="dxa"/>
            <w:tcBorders>
              <w:bottom w:val="single" w:sz="8" w:space="0" w:color="000000"/>
            </w:tcBorders>
          </w:tcPr>
          <w:p>
            <w:pPr>
              <w:pStyle w:val="TableParagraph"/>
              <w:spacing w:before="17"/>
              <w:ind w:right="445"/>
              <w:jc w:val="right"/>
              <w:rPr>
                <w:b/>
                <w:sz w:val="20"/>
              </w:rPr>
            </w:pPr>
            <w:r>
              <w:rPr>
                <w:b/>
                <w:spacing w:val="-2"/>
                <w:sz w:val="20"/>
              </w:rPr>
              <w:t>20,466</w:t>
            </w:r>
          </w:p>
        </w:tc>
        <w:tc>
          <w:tcPr>
            <w:tcW w:w="957" w:type="dxa"/>
            <w:tcBorders>
              <w:bottom w:val="single" w:sz="8" w:space="0" w:color="000000"/>
              <w:right w:val="single" w:sz="4" w:space="0" w:color="000000"/>
            </w:tcBorders>
          </w:tcPr>
          <w:p>
            <w:pPr>
              <w:pStyle w:val="TableParagraph"/>
              <w:spacing w:before="17"/>
              <w:ind w:right="96"/>
              <w:jc w:val="right"/>
              <w:rPr>
                <w:b/>
                <w:sz w:val="20"/>
              </w:rPr>
            </w:pPr>
            <w:r>
              <w:rPr>
                <w:b/>
                <w:spacing w:val="-2"/>
                <w:sz w:val="20"/>
              </w:rPr>
              <w:t>327.9%</w:t>
            </w:r>
          </w:p>
        </w:tc>
      </w:tr>
      <w:tr>
        <w:trPr>
          <w:trHeight w:val="316" w:hRule="atLeast"/>
        </w:trPr>
        <w:tc>
          <w:tcPr>
            <w:tcW w:w="4653" w:type="dxa"/>
            <w:tcBorders>
              <w:top w:val="single" w:sz="8" w:space="0" w:color="000000"/>
              <w:left w:val="single" w:sz="4" w:space="0" w:color="000000"/>
              <w:bottom w:val="single" w:sz="4" w:space="0" w:color="000000"/>
            </w:tcBorders>
          </w:tcPr>
          <w:p>
            <w:pPr>
              <w:pStyle w:val="TableParagraph"/>
              <w:spacing w:before="42"/>
              <w:ind w:left="107"/>
              <w:rPr>
                <w:b/>
                <w:sz w:val="20"/>
              </w:rPr>
            </w:pPr>
            <w:r>
              <w:rPr>
                <w:b/>
                <w:sz w:val="20"/>
              </w:rPr>
              <w:t>Total</w:t>
            </w:r>
            <w:r>
              <w:rPr>
                <w:b/>
                <w:spacing w:val="-8"/>
                <w:sz w:val="20"/>
              </w:rPr>
              <w:t> </w:t>
            </w:r>
            <w:r>
              <w:rPr>
                <w:b/>
                <w:sz w:val="20"/>
              </w:rPr>
              <w:t>Capital</w:t>
            </w:r>
            <w:r>
              <w:rPr>
                <w:b/>
                <w:spacing w:val="-8"/>
                <w:sz w:val="20"/>
              </w:rPr>
              <w:t> </w:t>
            </w:r>
            <w:r>
              <w:rPr>
                <w:b/>
                <w:spacing w:val="-2"/>
                <w:sz w:val="20"/>
              </w:rPr>
              <w:t>Grants</w:t>
            </w:r>
          </w:p>
        </w:tc>
        <w:tc>
          <w:tcPr>
            <w:tcW w:w="1585" w:type="dxa"/>
            <w:tcBorders>
              <w:top w:val="single" w:sz="8" w:space="0" w:color="000000"/>
              <w:bottom w:val="single" w:sz="4" w:space="0" w:color="000000"/>
            </w:tcBorders>
          </w:tcPr>
          <w:p>
            <w:pPr>
              <w:pStyle w:val="TableParagraph"/>
              <w:spacing w:before="42"/>
              <w:ind w:right="100"/>
              <w:jc w:val="right"/>
              <w:rPr>
                <w:b/>
                <w:sz w:val="20"/>
              </w:rPr>
            </w:pPr>
            <w:r>
              <w:rPr>
                <w:b/>
                <w:spacing w:val="-2"/>
                <w:sz w:val="20"/>
              </w:rPr>
              <w:t>6,241</w:t>
            </w:r>
          </w:p>
        </w:tc>
        <w:tc>
          <w:tcPr>
            <w:tcW w:w="1500" w:type="dxa"/>
            <w:tcBorders>
              <w:top w:val="single" w:sz="8" w:space="0" w:color="000000"/>
              <w:bottom w:val="single" w:sz="4" w:space="0" w:color="000000"/>
            </w:tcBorders>
            <w:shd w:val="clear" w:color="auto" w:fill="DDEBF6"/>
          </w:tcPr>
          <w:p>
            <w:pPr>
              <w:pStyle w:val="TableParagraph"/>
              <w:spacing w:before="42"/>
              <w:ind w:right="105"/>
              <w:jc w:val="right"/>
              <w:rPr>
                <w:b/>
                <w:sz w:val="20"/>
              </w:rPr>
            </w:pPr>
            <w:r>
              <w:rPr>
                <w:b/>
                <w:spacing w:val="-2"/>
                <w:sz w:val="20"/>
              </w:rPr>
              <w:t>26,708</w:t>
            </w:r>
          </w:p>
        </w:tc>
        <w:tc>
          <w:tcPr>
            <w:tcW w:w="1762" w:type="dxa"/>
            <w:tcBorders>
              <w:top w:val="single" w:sz="8" w:space="0" w:color="000000"/>
              <w:bottom w:val="single" w:sz="4" w:space="0" w:color="000000"/>
            </w:tcBorders>
          </w:tcPr>
          <w:p>
            <w:pPr>
              <w:pStyle w:val="TableParagraph"/>
              <w:spacing w:before="42"/>
              <w:ind w:right="445"/>
              <w:jc w:val="right"/>
              <w:rPr>
                <w:b/>
                <w:sz w:val="20"/>
              </w:rPr>
            </w:pPr>
            <w:r>
              <w:rPr>
                <w:b/>
                <w:spacing w:val="-2"/>
                <w:sz w:val="20"/>
              </w:rPr>
              <w:t>20,466</w:t>
            </w:r>
          </w:p>
        </w:tc>
        <w:tc>
          <w:tcPr>
            <w:tcW w:w="957" w:type="dxa"/>
            <w:tcBorders>
              <w:top w:val="single" w:sz="8" w:space="0" w:color="000000"/>
              <w:bottom w:val="single" w:sz="4" w:space="0" w:color="000000"/>
              <w:right w:val="single" w:sz="4" w:space="0" w:color="000000"/>
            </w:tcBorders>
          </w:tcPr>
          <w:p>
            <w:pPr>
              <w:pStyle w:val="TableParagraph"/>
              <w:spacing w:before="42"/>
              <w:ind w:right="96"/>
              <w:jc w:val="right"/>
              <w:rPr>
                <w:b/>
                <w:sz w:val="20"/>
              </w:rPr>
            </w:pPr>
            <w:r>
              <w:rPr>
                <w:b/>
                <w:spacing w:val="-2"/>
                <w:sz w:val="20"/>
              </w:rPr>
              <w:t>327.9%</w:t>
            </w:r>
          </w:p>
        </w:tc>
      </w:tr>
    </w:tbl>
    <w:p>
      <w:pPr>
        <w:spacing w:after="0"/>
        <w:jc w:val="right"/>
        <w:rPr>
          <w:sz w:val="20"/>
        </w:rPr>
        <w:sectPr>
          <w:pgSz w:w="11910" w:h="16840"/>
          <w:pgMar w:header="0" w:footer="426" w:top="620" w:bottom="740" w:left="460" w:right="160"/>
        </w:sectPr>
      </w:pPr>
    </w:p>
    <w:p>
      <w:pPr>
        <w:pStyle w:val="Heading4"/>
        <w:numPr>
          <w:ilvl w:val="2"/>
          <w:numId w:val="11"/>
        </w:numPr>
        <w:tabs>
          <w:tab w:pos="862" w:val="left" w:leader="none"/>
        </w:tabs>
        <w:spacing w:line="240" w:lineRule="auto" w:before="82" w:after="0"/>
        <w:ind w:left="861" w:right="0" w:hanging="602"/>
        <w:jc w:val="left"/>
        <w:rPr>
          <w:color w:val="4966AC"/>
        </w:rPr>
      </w:pPr>
      <w:r>
        <w:rPr>
          <w:color w:val="4966AC"/>
          <w:spacing w:val="-2"/>
        </w:rPr>
        <w:t>Contributions</w:t>
      </w:r>
    </w:p>
    <w:p>
      <w:pPr>
        <w:pStyle w:val="BodyText"/>
        <w:spacing w:before="10"/>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10"/>
        <w:gridCol w:w="1764"/>
        <w:gridCol w:w="1478"/>
        <w:gridCol w:w="1790"/>
        <w:gridCol w:w="915"/>
      </w:tblGrid>
      <w:tr>
        <w:trPr>
          <w:trHeight w:val="914" w:hRule="atLeast"/>
        </w:trPr>
        <w:tc>
          <w:tcPr>
            <w:tcW w:w="6274" w:type="dxa"/>
            <w:gridSpan w:val="2"/>
            <w:tcBorders>
              <w:top w:val="single" w:sz="4" w:space="0" w:color="000000"/>
              <w:left w:val="single" w:sz="4" w:space="0" w:color="000000"/>
            </w:tcBorders>
            <w:shd w:val="clear" w:color="auto" w:fill="5B9AD4"/>
          </w:tcPr>
          <w:p>
            <w:pPr>
              <w:pStyle w:val="TableParagraph"/>
              <w:spacing w:line="364" w:lineRule="auto" w:before="92"/>
              <w:ind w:left="4715" w:right="194"/>
              <w:jc w:val="center"/>
              <w:rPr>
                <w:b/>
                <w:sz w:val="18"/>
              </w:rPr>
            </w:pPr>
            <w:r>
              <w:rPr>
                <w:b/>
                <w:color w:val="FFFFFF"/>
                <w:sz w:val="18"/>
              </w:rPr>
              <w:t>Forecast</w:t>
            </w:r>
            <w:r>
              <w:rPr>
                <w:b/>
                <w:color w:val="FFFFFF"/>
                <w:spacing w:val="-13"/>
                <w:sz w:val="18"/>
              </w:rPr>
              <w:t> </w:t>
            </w:r>
            <w:r>
              <w:rPr>
                <w:b/>
                <w:color w:val="FFFFFF"/>
                <w:sz w:val="18"/>
              </w:rPr>
              <w:t>Actual </w:t>
            </w:r>
            <w:r>
              <w:rPr>
                <w:b/>
                <w:color w:val="FFFFFF"/>
                <w:spacing w:val="-2"/>
                <w:sz w:val="18"/>
              </w:rPr>
              <w:t>2023/2024</w:t>
            </w:r>
          </w:p>
          <w:p>
            <w:pPr>
              <w:pStyle w:val="TableParagraph"/>
              <w:spacing w:line="172" w:lineRule="exact"/>
              <w:ind w:left="4712" w:right="194"/>
              <w:jc w:val="center"/>
              <w:rPr>
                <w:b/>
                <w:sz w:val="18"/>
              </w:rPr>
            </w:pPr>
            <w:r>
              <w:rPr>
                <w:b/>
                <w:color w:val="FFFFFF"/>
                <w:spacing w:val="-2"/>
                <w:sz w:val="18"/>
              </w:rPr>
              <w:t>$’000</w:t>
            </w:r>
          </w:p>
        </w:tc>
        <w:tc>
          <w:tcPr>
            <w:tcW w:w="1478" w:type="dxa"/>
            <w:tcBorders>
              <w:top w:val="single" w:sz="4" w:space="0" w:color="000000"/>
            </w:tcBorders>
            <w:shd w:val="clear" w:color="auto" w:fill="5B9AD4"/>
          </w:tcPr>
          <w:p>
            <w:pPr>
              <w:pStyle w:val="TableParagraph"/>
              <w:spacing w:line="364" w:lineRule="auto" w:before="92"/>
              <w:ind w:left="316" w:right="305" w:hanging="2"/>
              <w:jc w:val="center"/>
              <w:rPr>
                <w:b/>
                <w:sz w:val="18"/>
              </w:rPr>
            </w:pPr>
            <w:r>
              <w:rPr>
                <w:b/>
                <w:color w:val="FFFFFF"/>
                <w:spacing w:val="-2"/>
                <w:sz w:val="18"/>
              </w:rPr>
              <w:t>Budget 2024/2025</w:t>
            </w:r>
          </w:p>
          <w:p>
            <w:pPr>
              <w:pStyle w:val="TableParagraph"/>
              <w:spacing w:line="172" w:lineRule="exact"/>
              <w:ind w:left="501" w:right="495"/>
              <w:jc w:val="center"/>
              <w:rPr>
                <w:b/>
                <w:sz w:val="18"/>
              </w:rPr>
            </w:pPr>
            <w:r>
              <w:rPr>
                <w:b/>
                <w:color w:val="FFFFFF"/>
                <w:spacing w:val="-2"/>
                <w:sz w:val="18"/>
              </w:rPr>
              <w:t>$’000</w:t>
            </w:r>
          </w:p>
        </w:tc>
        <w:tc>
          <w:tcPr>
            <w:tcW w:w="1790" w:type="dxa"/>
            <w:tcBorders>
              <w:top w:val="single" w:sz="4" w:space="0" w:color="000000"/>
            </w:tcBorders>
            <w:shd w:val="clear" w:color="auto" w:fill="5B9AD4"/>
          </w:tcPr>
          <w:p>
            <w:pPr>
              <w:pStyle w:val="TableParagraph"/>
              <w:rPr>
                <w:b/>
                <w:sz w:val="20"/>
              </w:rPr>
            </w:pPr>
          </w:p>
          <w:p>
            <w:pPr>
              <w:pStyle w:val="TableParagraph"/>
              <w:spacing w:before="177"/>
              <w:ind w:left="1027"/>
              <w:rPr>
                <w:b/>
                <w:sz w:val="18"/>
              </w:rPr>
            </w:pPr>
            <w:r>
              <w:rPr>
                <w:b/>
                <w:color w:val="FFFFFF"/>
                <w:spacing w:val="-2"/>
                <w:sz w:val="18"/>
              </w:rPr>
              <w:t>Change</w:t>
            </w:r>
          </w:p>
          <w:p>
            <w:pPr>
              <w:pStyle w:val="TableParagraph"/>
              <w:spacing w:line="187" w:lineRule="exact" w:before="93"/>
              <w:ind w:left="456"/>
              <w:rPr>
                <w:b/>
                <w:sz w:val="18"/>
              </w:rPr>
            </w:pPr>
            <w:r>
              <w:rPr>
                <w:b/>
                <w:color w:val="FFFFFF"/>
                <w:spacing w:val="-2"/>
                <w:sz w:val="18"/>
              </w:rPr>
              <w:t>$’000</w:t>
            </w:r>
          </w:p>
        </w:tc>
        <w:tc>
          <w:tcPr>
            <w:tcW w:w="915"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spacing w:before="5"/>
              <w:rPr>
                <w:b/>
                <w:sz w:val="21"/>
              </w:rPr>
            </w:pPr>
          </w:p>
          <w:p>
            <w:pPr>
              <w:pStyle w:val="TableParagraph"/>
              <w:spacing w:line="187" w:lineRule="exact"/>
              <w:ind w:left="185"/>
              <w:rPr>
                <w:b/>
                <w:sz w:val="18"/>
              </w:rPr>
            </w:pPr>
            <w:r>
              <w:rPr>
                <w:b/>
                <w:color w:val="FFFFFF"/>
                <w:sz w:val="18"/>
              </w:rPr>
              <w:t>%</w:t>
            </w:r>
          </w:p>
        </w:tc>
      </w:tr>
      <w:tr>
        <w:trPr>
          <w:trHeight w:val="324" w:hRule="atLeast"/>
        </w:trPr>
        <w:tc>
          <w:tcPr>
            <w:tcW w:w="4510" w:type="dxa"/>
            <w:tcBorders>
              <w:left w:val="single" w:sz="4" w:space="0" w:color="000000"/>
            </w:tcBorders>
          </w:tcPr>
          <w:p>
            <w:pPr>
              <w:pStyle w:val="TableParagraph"/>
              <w:spacing w:before="69"/>
              <w:ind w:left="107"/>
              <w:rPr>
                <w:sz w:val="20"/>
              </w:rPr>
            </w:pPr>
            <w:r>
              <w:rPr>
                <w:sz w:val="20"/>
              </w:rPr>
              <w:t>Contributions</w:t>
            </w:r>
            <w:r>
              <w:rPr>
                <w:spacing w:val="-8"/>
                <w:sz w:val="20"/>
              </w:rPr>
              <w:t> </w:t>
            </w:r>
            <w:r>
              <w:rPr>
                <w:sz w:val="20"/>
              </w:rPr>
              <w:t>-</w:t>
            </w:r>
            <w:r>
              <w:rPr>
                <w:spacing w:val="-7"/>
                <w:sz w:val="20"/>
              </w:rPr>
              <w:t> </w:t>
            </w:r>
            <w:r>
              <w:rPr>
                <w:spacing w:val="-2"/>
                <w:sz w:val="20"/>
              </w:rPr>
              <w:t>Monetary</w:t>
            </w:r>
          </w:p>
        </w:tc>
        <w:tc>
          <w:tcPr>
            <w:tcW w:w="1764" w:type="dxa"/>
          </w:tcPr>
          <w:p>
            <w:pPr>
              <w:pStyle w:val="TableParagraph"/>
              <w:spacing w:before="35"/>
              <w:ind w:right="103"/>
              <w:jc w:val="right"/>
              <w:rPr>
                <w:sz w:val="20"/>
              </w:rPr>
            </w:pPr>
            <w:r>
              <w:rPr>
                <w:spacing w:val="-2"/>
                <w:sz w:val="20"/>
              </w:rPr>
              <w:t>6,944</w:t>
            </w:r>
          </w:p>
        </w:tc>
        <w:tc>
          <w:tcPr>
            <w:tcW w:w="1478" w:type="dxa"/>
            <w:shd w:val="clear" w:color="auto" w:fill="DDEBF6"/>
          </w:tcPr>
          <w:p>
            <w:pPr>
              <w:pStyle w:val="TableParagraph"/>
              <w:spacing w:before="35"/>
              <w:ind w:right="105"/>
              <w:jc w:val="right"/>
              <w:rPr>
                <w:b/>
                <w:sz w:val="20"/>
              </w:rPr>
            </w:pPr>
            <w:r>
              <w:rPr>
                <w:b/>
                <w:spacing w:val="-2"/>
                <w:sz w:val="20"/>
              </w:rPr>
              <w:t>7,471</w:t>
            </w:r>
          </w:p>
        </w:tc>
        <w:tc>
          <w:tcPr>
            <w:tcW w:w="1790" w:type="dxa"/>
          </w:tcPr>
          <w:p>
            <w:pPr>
              <w:pStyle w:val="TableParagraph"/>
              <w:spacing w:before="35"/>
              <w:ind w:right="537"/>
              <w:jc w:val="right"/>
              <w:rPr>
                <w:sz w:val="20"/>
              </w:rPr>
            </w:pPr>
            <w:r>
              <w:rPr>
                <w:spacing w:val="-5"/>
                <w:sz w:val="20"/>
              </w:rPr>
              <w:t>527</w:t>
            </w:r>
          </w:p>
        </w:tc>
        <w:tc>
          <w:tcPr>
            <w:tcW w:w="915" w:type="dxa"/>
            <w:tcBorders>
              <w:right w:val="single" w:sz="4" w:space="0" w:color="000000"/>
            </w:tcBorders>
          </w:tcPr>
          <w:p>
            <w:pPr>
              <w:pStyle w:val="TableParagraph"/>
              <w:spacing w:before="35"/>
              <w:ind w:right="99"/>
              <w:jc w:val="right"/>
              <w:rPr>
                <w:sz w:val="20"/>
              </w:rPr>
            </w:pPr>
            <w:r>
              <w:rPr>
                <w:spacing w:val="-4"/>
                <w:sz w:val="20"/>
              </w:rPr>
              <w:t>7.6%</w:t>
            </w:r>
          </w:p>
        </w:tc>
      </w:tr>
      <w:tr>
        <w:trPr>
          <w:trHeight w:val="291" w:hRule="atLeast"/>
        </w:trPr>
        <w:tc>
          <w:tcPr>
            <w:tcW w:w="4510" w:type="dxa"/>
            <w:tcBorders>
              <w:left w:val="single" w:sz="4" w:space="0" w:color="000000"/>
            </w:tcBorders>
          </w:tcPr>
          <w:p>
            <w:pPr>
              <w:pStyle w:val="TableParagraph"/>
              <w:spacing w:line="210" w:lineRule="exact" w:before="61"/>
              <w:ind w:left="107"/>
              <w:rPr>
                <w:sz w:val="20"/>
              </w:rPr>
            </w:pPr>
            <w:r>
              <w:rPr>
                <w:sz w:val="20"/>
              </w:rPr>
              <w:t>Contributions</w:t>
            </w:r>
            <w:r>
              <w:rPr>
                <w:spacing w:val="-8"/>
                <w:sz w:val="20"/>
              </w:rPr>
              <w:t> </w:t>
            </w:r>
            <w:r>
              <w:rPr>
                <w:sz w:val="20"/>
              </w:rPr>
              <w:t>-</w:t>
            </w:r>
            <w:r>
              <w:rPr>
                <w:spacing w:val="-7"/>
                <w:sz w:val="20"/>
              </w:rPr>
              <w:t> </w:t>
            </w:r>
            <w:r>
              <w:rPr>
                <w:sz w:val="20"/>
              </w:rPr>
              <w:t>Monetary</w:t>
            </w:r>
            <w:r>
              <w:rPr>
                <w:spacing w:val="-9"/>
                <w:sz w:val="20"/>
              </w:rPr>
              <w:t> </w:t>
            </w:r>
            <w:r>
              <w:rPr>
                <w:spacing w:val="-2"/>
                <w:sz w:val="20"/>
              </w:rPr>
              <w:t>(Capital)</w:t>
            </w:r>
          </w:p>
        </w:tc>
        <w:tc>
          <w:tcPr>
            <w:tcW w:w="1764" w:type="dxa"/>
            <w:tcBorders>
              <w:bottom w:val="single" w:sz="8" w:space="0" w:color="000000"/>
            </w:tcBorders>
          </w:tcPr>
          <w:p>
            <w:pPr>
              <w:pStyle w:val="TableParagraph"/>
              <w:spacing w:before="18"/>
              <w:ind w:right="104"/>
              <w:jc w:val="right"/>
              <w:rPr>
                <w:sz w:val="20"/>
              </w:rPr>
            </w:pPr>
            <w:r>
              <w:rPr>
                <w:spacing w:val="-5"/>
                <w:sz w:val="20"/>
              </w:rPr>
              <w:t>818</w:t>
            </w:r>
          </w:p>
        </w:tc>
        <w:tc>
          <w:tcPr>
            <w:tcW w:w="1478" w:type="dxa"/>
            <w:tcBorders>
              <w:bottom w:val="single" w:sz="8" w:space="0" w:color="000000"/>
            </w:tcBorders>
            <w:shd w:val="clear" w:color="auto" w:fill="DDEBF6"/>
          </w:tcPr>
          <w:p>
            <w:pPr>
              <w:pStyle w:val="TableParagraph"/>
              <w:spacing w:before="18"/>
              <w:ind w:right="106"/>
              <w:jc w:val="right"/>
              <w:rPr>
                <w:b/>
                <w:sz w:val="20"/>
              </w:rPr>
            </w:pPr>
            <w:r>
              <w:rPr>
                <w:b/>
                <w:spacing w:val="-5"/>
                <w:sz w:val="20"/>
              </w:rPr>
              <w:t>226</w:t>
            </w:r>
          </w:p>
        </w:tc>
        <w:tc>
          <w:tcPr>
            <w:tcW w:w="1790" w:type="dxa"/>
            <w:tcBorders>
              <w:bottom w:val="single" w:sz="8" w:space="0" w:color="000000"/>
            </w:tcBorders>
          </w:tcPr>
          <w:p>
            <w:pPr>
              <w:pStyle w:val="TableParagraph"/>
              <w:spacing w:before="18"/>
              <w:ind w:right="539"/>
              <w:jc w:val="right"/>
              <w:rPr>
                <w:sz w:val="20"/>
              </w:rPr>
            </w:pPr>
            <w:r>
              <w:rPr>
                <w:spacing w:val="-2"/>
                <w:sz w:val="20"/>
              </w:rPr>
              <w:t>(592)</w:t>
            </w:r>
          </w:p>
        </w:tc>
        <w:tc>
          <w:tcPr>
            <w:tcW w:w="915" w:type="dxa"/>
            <w:tcBorders>
              <w:bottom w:val="single" w:sz="8" w:space="0" w:color="000000"/>
              <w:right w:val="single" w:sz="4" w:space="0" w:color="000000"/>
            </w:tcBorders>
          </w:tcPr>
          <w:p>
            <w:pPr>
              <w:pStyle w:val="TableParagraph"/>
              <w:spacing w:before="18"/>
              <w:ind w:left="105"/>
              <w:rPr>
                <w:sz w:val="20"/>
              </w:rPr>
            </w:pPr>
            <w:r>
              <w:rPr>
                <w:spacing w:val="-2"/>
                <w:sz w:val="20"/>
              </w:rPr>
              <w:t>(72.4%)</w:t>
            </w:r>
          </w:p>
        </w:tc>
      </w:tr>
      <w:tr>
        <w:trPr>
          <w:trHeight w:val="313" w:hRule="atLeast"/>
        </w:trPr>
        <w:tc>
          <w:tcPr>
            <w:tcW w:w="4510" w:type="dxa"/>
            <w:tcBorders>
              <w:left w:val="single" w:sz="4" w:space="0" w:color="000000"/>
              <w:bottom w:val="single" w:sz="4" w:space="0" w:color="000000"/>
            </w:tcBorders>
          </w:tcPr>
          <w:p>
            <w:pPr>
              <w:pStyle w:val="TableParagraph"/>
              <w:spacing w:line="211" w:lineRule="exact" w:before="83"/>
              <w:ind w:left="107"/>
              <w:rPr>
                <w:b/>
                <w:sz w:val="20"/>
              </w:rPr>
            </w:pPr>
            <w:r>
              <w:rPr>
                <w:b/>
                <w:sz w:val="20"/>
              </w:rPr>
              <w:t>Total</w:t>
            </w:r>
            <w:r>
              <w:rPr>
                <w:b/>
                <w:spacing w:val="-6"/>
                <w:sz w:val="20"/>
              </w:rPr>
              <w:t> </w:t>
            </w:r>
            <w:r>
              <w:rPr>
                <w:b/>
                <w:spacing w:val="-2"/>
                <w:sz w:val="20"/>
              </w:rPr>
              <w:t>contributions</w:t>
            </w:r>
          </w:p>
        </w:tc>
        <w:tc>
          <w:tcPr>
            <w:tcW w:w="1764" w:type="dxa"/>
            <w:tcBorders>
              <w:top w:val="single" w:sz="8" w:space="0" w:color="000000"/>
              <w:bottom w:val="single" w:sz="4" w:space="0" w:color="000000"/>
            </w:tcBorders>
          </w:tcPr>
          <w:p>
            <w:pPr>
              <w:pStyle w:val="TableParagraph"/>
              <w:spacing w:before="42"/>
              <w:ind w:right="103"/>
              <w:jc w:val="right"/>
              <w:rPr>
                <w:b/>
                <w:sz w:val="20"/>
              </w:rPr>
            </w:pPr>
            <w:r>
              <w:rPr>
                <w:b/>
                <w:spacing w:val="-2"/>
                <w:sz w:val="20"/>
              </w:rPr>
              <w:t>7,762</w:t>
            </w:r>
          </w:p>
        </w:tc>
        <w:tc>
          <w:tcPr>
            <w:tcW w:w="1478" w:type="dxa"/>
            <w:tcBorders>
              <w:top w:val="single" w:sz="8" w:space="0" w:color="000000"/>
              <w:bottom w:val="single" w:sz="4" w:space="0" w:color="000000"/>
            </w:tcBorders>
            <w:shd w:val="clear" w:color="auto" w:fill="DDEBF6"/>
          </w:tcPr>
          <w:p>
            <w:pPr>
              <w:pStyle w:val="TableParagraph"/>
              <w:spacing w:before="42"/>
              <w:ind w:right="105"/>
              <w:jc w:val="right"/>
              <w:rPr>
                <w:b/>
                <w:sz w:val="20"/>
              </w:rPr>
            </w:pPr>
            <w:r>
              <w:rPr>
                <w:b/>
                <w:spacing w:val="-2"/>
                <w:sz w:val="20"/>
              </w:rPr>
              <w:t>7,697</w:t>
            </w:r>
          </w:p>
        </w:tc>
        <w:tc>
          <w:tcPr>
            <w:tcW w:w="1790" w:type="dxa"/>
            <w:tcBorders>
              <w:top w:val="single" w:sz="8" w:space="0" w:color="000000"/>
              <w:bottom w:val="single" w:sz="4" w:space="0" w:color="000000"/>
            </w:tcBorders>
          </w:tcPr>
          <w:p>
            <w:pPr>
              <w:pStyle w:val="TableParagraph"/>
              <w:spacing w:before="42"/>
              <w:ind w:right="536"/>
              <w:jc w:val="right"/>
              <w:rPr>
                <w:b/>
                <w:sz w:val="20"/>
              </w:rPr>
            </w:pPr>
            <w:r>
              <w:rPr>
                <w:b/>
                <w:spacing w:val="-4"/>
                <w:sz w:val="20"/>
              </w:rPr>
              <w:t>(65)</w:t>
            </w:r>
          </w:p>
        </w:tc>
        <w:tc>
          <w:tcPr>
            <w:tcW w:w="915" w:type="dxa"/>
            <w:tcBorders>
              <w:top w:val="single" w:sz="8" w:space="0" w:color="000000"/>
              <w:bottom w:val="single" w:sz="4" w:space="0" w:color="000000"/>
              <w:right w:val="single" w:sz="4" w:space="0" w:color="000000"/>
            </w:tcBorders>
          </w:tcPr>
          <w:p>
            <w:pPr>
              <w:pStyle w:val="TableParagraph"/>
              <w:spacing w:before="42"/>
              <w:ind w:right="96"/>
              <w:jc w:val="right"/>
              <w:rPr>
                <w:b/>
                <w:sz w:val="20"/>
              </w:rPr>
            </w:pPr>
            <w:r>
              <w:rPr>
                <w:b/>
                <w:spacing w:val="-2"/>
                <w:sz w:val="20"/>
              </w:rPr>
              <w:t>(0.8%)</w:t>
            </w:r>
          </w:p>
        </w:tc>
      </w:tr>
    </w:tbl>
    <w:p>
      <w:pPr>
        <w:pStyle w:val="BodyText"/>
        <w:spacing w:before="11"/>
        <w:rPr>
          <w:b/>
          <w:sz w:val="23"/>
        </w:rPr>
      </w:pPr>
    </w:p>
    <w:p>
      <w:pPr>
        <w:pStyle w:val="BodyText"/>
        <w:ind w:left="260" w:right="553"/>
        <w:jc w:val="both"/>
      </w:pPr>
      <w:r>
        <w:rPr/>
        <w:t>Contributions Monetary are projected to increase by $0.52 million or 7.6% compared to 2023/2024. Capital Contributions</w:t>
      </w:r>
      <w:r>
        <w:rPr>
          <w:spacing w:val="-4"/>
        </w:rPr>
        <w:t> </w:t>
      </w:r>
      <w:r>
        <w:rPr/>
        <w:t>are</w:t>
      </w:r>
      <w:r>
        <w:rPr>
          <w:spacing w:val="-3"/>
        </w:rPr>
        <w:t> </w:t>
      </w:r>
      <w:r>
        <w:rPr/>
        <w:t>projected</w:t>
      </w:r>
      <w:r>
        <w:rPr>
          <w:spacing w:val="-2"/>
        </w:rPr>
        <w:t> </w:t>
      </w:r>
      <w:r>
        <w:rPr/>
        <w:t>to</w:t>
      </w:r>
      <w:r>
        <w:rPr>
          <w:spacing w:val="-6"/>
        </w:rPr>
        <w:t> </w:t>
      </w:r>
      <w:r>
        <w:rPr/>
        <w:t>decrease</w:t>
      </w:r>
      <w:r>
        <w:rPr>
          <w:spacing w:val="-4"/>
        </w:rPr>
        <w:t> </w:t>
      </w:r>
      <w:r>
        <w:rPr/>
        <w:t>by</w:t>
      </w:r>
      <w:r>
        <w:rPr>
          <w:spacing w:val="-4"/>
        </w:rPr>
        <w:t> </w:t>
      </w:r>
      <w:r>
        <w:rPr/>
        <w:t>$0.59</w:t>
      </w:r>
      <w:r>
        <w:rPr>
          <w:spacing w:val="-8"/>
        </w:rPr>
        <w:t> </w:t>
      </w:r>
      <w:r>
        <w:rPr/>
        <w:t>million</w:t>
      </w:r>
      <w:r>
        <w:rPr>
          <w:spacing w:val="-1"/>
        </w:rPr>
        <w:t> </w:t>
      </w:r>
      <w:r>
        <w:rPr/>
        <w:t>or</w:t>
      </w:r>
      <w:r>
        <w:rPr>
          <w:spacing w:val="-2"/>
        </w:rPr>
        <w:t> </w:t>
      </w:r>
      <w:r>
        <w:rPr/>
        <w:t>72.4%</w:t>
      </w:r>
      <w:r>
        <w:rPr>
          <w:spacing w:val="-4"/>
        </w:rPr>
        <w:t> </w:t>
      </w:r>
      <w:r>
        <w:rPr/>
        <w:t>compared</w:t>
      </w:r>
      <w:r>
        <w:rPr>
          <w:spacing w:val="-1"/>
        </w:rPr>
        <w:t> </w:t>
      </w:r>
      <w:r>
        <w:rPr/>
        <w:t>to</w:t>
      </w:r>
      <w:r>
        <w:rPr>
          <w:spacing w:val="-4"/>
        </w:rPr>
        <w:t> </w:t>
      </w:r>
      <w:r>
        <w:rPr/>
        <w:t>2023/2024</w:t>
      </w:r>
      <w:r>
        <w:rPr>
          <w:spacing w:val="-4"/>
        </w:rPr>
        <w:t> </w:t>
      </w:r>
      <w:r>
        <w:rPr/>
        <w:t>due</w:t>
      </w:r>
      <w:r>
        <w:rPr>
          <w:spacing w:val="-4"/>
        </w:rPr>
        <w:t> </w:t>
      </w:r>
      <w:r>
        <w:rPr/>
        <w:t>to</w:t>
      </w:r>
      <w:r>
        <w:rPr>
          <w:spacing w:val="-6"/>
        </w:rPr>
        <w:t> </w:t>
      </w:r>
      <w:r>
        <w:rPr/>
        <w:t>numerous one-off contributions for Capital projects in 2023/2024.</w:t>
      </w:r>
    </w:p>
    <w:p>
      <w:pPr>
        <w:pStyle w:val="BodyText"/>
        <w:spacing w:before="1"/>
      </w:pPr>
    </w:p>
    <w:p>
      <w:pPr>
        <w:pStyle w:val="Heading4"/>
        <w:numPr>
          <w:ilvl w:val="2"/>
          <w:numId w:val="11"/>
        </w:numPr>
        <w:tabs>
          <w:tab w:pos="862" w:val="left" w:leader="none"/>
        </w:tabs>
        <w:spacing w:line="240" w:lineRule="auto" w:before="0" w:after="0"/>
        <w:ind w:left="861" w:right="0" w:hanging="602"/>
        <w:jc w:val="left"/>
        <w:rPr>
          <w:color w:val="4966AC"/>
        </w:rPr>
      </w:pPr>
      <w:r>
        <w:rPr>
          <w:color w:val="4966AC"/>
        </w:rPr>
        <w:t>Other </w:t>
      </w:r>
      <w:r>
        <w:rPr>
          <w:color w:val="4966AC"/>
          <w:spacing w:val="-2"/>
        </w:rPr>
        <w:t>income</w:t>
      </w:r>
    </w:p>
    <w:p>
      <w:pPr>
        <w:pStyle w:val="BodyText"/>
        <w:spacing w:before="11"/>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22"/>
        <w:gridCol w:w="1531"/>
        <w:gridCol w:w="1531"/>
        <w:gridCol w:w="1615"/>
        <w:gridCol w:w="857"/>
      </w:tblGrid>
      <w:tr>
        <w:trPr>
          <w:trHeight w:val="1079" w:hRule="atLeast"/>
        </w:trPr>
        <w:tc>
          <w:tcPr>
            <w:tcW w:w="6453" w:type="dxa"/>
            <w:gridSpan w:val="2"/>
            <w:tcBorders>
              <w:top w:val="single" w:sz="4" w:space="0" w:color="000000"/>
              <w:left w:val="single" w:sz="4" w:space="0" w:color="000000"/>
            </w:tcBorders>
            <w:shd w:val="clear" w:color="auto" w:fill="5B9AD4"/>
          </w:tcPr>
          <w:p>
            <w:pPr>
              <w:pStyle w:val="TableParagraph"/>
              <w:spacing w:before="66"/>
              <w:ind w:left="5253" w:right="319"/>
              <w:jc w:val="center"/>
              <w:rPr>
                <w:b/>
                <w:sz w:val="18"/>
              </w:rPr>
            </w:pPr>
            <w:r>
              <w:rPr>
                <w:b/>
                <w:color w:val="FFFFFF"/>
                <w:spacing w:val="-2"/>
                <w:sz w:val="18"/>
              </w:rPr>
              <w:t>Forecast Actual</w:t>
            </w:r>
          </w:p>
          <w:p>
            <w:pPr>
              <w:pStyle w:val="TableParagraph"/>
              <w:spacing w:before="92"/>
              <w:ind w:left="5253" w:right="321"/>
              <w:jc w:val="center"/>
              <w:rPr>
                <w:b/>
                <w:sz w:val="18"/>
              </w:rPr>
            </w:pPr>
            <w:r>
              <w:rPr>
                <w:b/>
                <w:color w:val="FFFFFF"/>
                <w:spacing w:val="-2"/>
                <w:sz w:val="18"/>
              </w:rPr>
              <w:t>2023/2024</w:t>
            </w:r>
          </w:p>
          <w:p>
            <w:pPr>
              <w:pStyle w:val="TableParagraph"/>
              <w:spacing w:line="187" w:lineRule="exact" w:before="93"/>
              <w:ind w:left="5250" w:right="321"/>
              <w:jc w:val="center"/>
              <w:rPr>
                <w:b/>
                <w:sz w:val="18"/>
              </w:rPr>
            </w:pPr>
            <w:r>
              <w:rPr>
                <w:b/>
                <w:color w:val="FFFFFF"/>
                <w:spacing w:val="-2"/>
                <w:sz w:val="18"/>
              </w:rPr>
              <w:t>$’000</w:t>
            </w:r>
          </w:p>
        </w:tc>
        <w:tc>
          <w:tcPr>
            <w:tcW w:w="1531" w:type="dxa"/>
            <w:tcBorders>
              <w:top w:val="single" w:sz="4" w:space="0" w:color="000000"/>
            </w:tcBorders>
            <w:shd w:val="clear" w:color="auto" w:fill="5B9AD4"/>
          </w:tcPr>
          <w:p>
            <w:pPr>
              <w:pStyle w:val="TableParagraph"/>
              <w:spacing w:before="8"/>
              <w:rPr>
                <w:b/>
                <w:sz w:val="23"/>
              </w:rPr>
            </w:pPr>
          </w:p>
          <w:p>
            <w:pPr>
              <w:pStyle w:val="TableParagraph"/>
              <w:spacing w:line="348" w:lineRule="auto"/>
              <w:ind w:left="343" w:right="330" w:firstLine="2"/>
              <w:jc w:val="center"/>
              <w:rPr>
                <w:b/>
                <w:sz w:val="18"/>
              </w:rPr>
            </w:pPr>
            <w:r>
              <w:rPr>
                <w:b/>
                <w:color w:val="FFFFFF"/>
                <w:spacing w:val="-2"/>
                <w:sz w:val="18"/>
              </w:rPr>
              <w:t>Budget 2024/2025</w:t>
            </w:r>
          </w:p>
          <w:p>
            <w:pPr>
              <w:pStyle w:val="TableParagraph"/>
              <w:spacing w:line="187" w:lineRule="exact"/>
              <w:ind w:left="531" w:right="519"/>
              <w:jc w:val="center"/>
              <w:rPr>
                <w:b/>
                <w:sz w:val="18"/>
              </w:rPr>
            </w:pPr>
            <w:r>
              <w:rPr>
                <w:b/>
                <w:color w:val="FFFFFF"/>
                <w:spacing w:val="-2"/>
                <w:sz w:val="18"/>
              </w:rPr>
              <w:t>$’000</w:t>
            </w:r>
          </w:p>
        </w:tc>
        <w:tc>
          <w:tcPr>
            <w:tcW w:w="1615" w:type="dxa"/>
            <w:tcBorders>
              <w:top w:val="single" w:sz="4" w:space="0" w:color="000000"/>
            </w:tcBorders>
            <w:shd w:val="clear" w:color="auto" w:fill="5B9AD4"/>
          </w:tcPr>
          <w:p>
            <w:pPr>
              <w:pStyle w:val="TableParagraph"/>
              <w:rPr>
                <w:b/>
                <w:sz w:val="20"/>
              </w:rPr>
            </w:pPr>
          </w:p>
          <w:p>
            <w:pPr>
              <w:pStyle w:val="TableParagraph"/>
              <w:spacing w:before="9"/>
              <w:rPr>
                <w:b/>
                <w:sz w:val="29"/>
              </w:rPr>
            </w:pPr>
          </w:p>
          <w:p>
            <w:pPr>
              <w:pStyle w:val="TableParagraph"/>
              <w:ind w:left="910"/>
              <w:rPr>
                <w:b/>
                <w:sz w:val="18"/>
              </w:rPr>
            </w:pPr>
            <w:r>
              <w:rPr>
                <w:b/>
                <w:color w:val="FFFFFF"/>
                <w:spacing w:val="-2"/>
                <w:sz w:val="18"/>
              </w:rPr>
              <w:t>Change</w:t>
            </w:r>
          </w:p>
          <w:p>
            <w:pPr>
              <w:pStyle w:val="TableParagraph"/>
              <w:spacing w:line="187" w:lineRule="exact" w:before="93"/>
              <w:ind w:left="382"/>
              <w:rPr>
                <w:b/>
                <w:sz w:val="18"/>
              </w:rPr>
            </w:pPr>
            <w:r>
              <w:rPr>
                <w:b/>
                <w:color w:val="FFFFFF"/>
                <w:spacing w:val="-2"/>
                <w:sz w:val="18"/>
              </w:rPr>
              <w:t>$’000</w:t>
            </w:r>
          </w:p>
        </w:tc>
        <w:tc>
          <w:tcPr>
            <w:tcW w:w="857"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10"/>
              <w:rPr>
                <w:b/>
                <w:sz w:val="15"/>
              </w:rPr>
            </w:pPr>
          </w:p>
          <w:p>
            <w:pPr>
              <w:pStyle w:val="TableParagraph"/>
              <w:spacing w:line="187" w:lineRule="exact"/>
              <w:ind w:left="142"/>
              <w:rPr>
                <w:b/>
                <w:sz w:val="18"/>
              </w:rPr>
            </w:pPr>
            <w:r>
              <w:rPr>
                <w:b/>
                <w:color w:val="FFFFFF"/>
                <w:sz w:val="18"/>
              </w:rPr>
              <w:t>%</w:t>
            </w:r>
          </w:p>
        </w:tc>
      </w:tr>
      <w:tr>
        <w:trPr>
          <w:trHeight w:val="319" w:hRule="atLeast"/>
        </w:trPr>
        <w:tc>
          <w:tcPr>
            <w:tcW w:w="4922" w:type="dxa"/>
            <w:tcBorders>
              <w:left w:val="single" w:sz="4" w:space="0" w:color="000000"/>
            </w:tcBorders>
          </w:tcPr>
          <w:p>
            <w:pPr>
              <w:pStyle w:val="TableParagraph"/>
              <w:spacing w:before="69"/>
              <w:ind w:left="107"/>
              <w:rPr>
                <w:sz w:val="20"/>
              </w:rPr>
            </w:pPr>
            <w:r>
              <w:rPr>
                <w:sz w:val="20"/>
              </w:rPr>
              <w:t>Interest</w:t>
            </w:r>
            <w:r>
              <w:rPr>
                <w:spacing w:val="-6"/>
                <w:sz w:val="20"/>
              </w:rPr>
              <w:t> </w:t>
            </w:r>
            <w:r>
              <w:rPr>
                <w:sz w:val="20"/>
              </w:rPr>
              <w:t>on</w:t>
            </w:r>
            <w:r>
              <w:rPr>
                <w:spacing w:val="-5"/>
                <w:sz w:val="20"/>
              </w:rPr>
              <w:t> </w:t>
            </w:r>
            <w:r>
              <w:rPr>
                <w:spacing w:val="-2"/>
                <w:sz w:val="20"/>
              </w:rPr>
              <w:t>investments</w:t>
            </w:r>
          </w:p>
        </w:tc>
        <w:tc>
          <w:tcPr>
            <w:tcW w:w="1531" w:type="dxa"/>
          </w:tcPr>
          <w:p>
            <w:pPr>
              <w:pStyle w:val="TableParagraph"/>
              <w:spacing w:before="33"/>
              <w:ind w:right="102"/>
              <w:jc w:val="right"/>
              <w:rPr>
                <w:sz w:val="20"/>
              </w:rPr>
            </w:pPr>
            <w:r>
              <w:rPr>
                <w:spacing w:val="-2"/>
                <w:sz w:val="20"/>
              </w:rPr>
              <w:t>3,701</w:t>
            </w:r>
          </w:p>
        </w:tc>
        <w:tc>
          <w:tcPr>
            <w:tcW w:w="1531" w:type="dxa"/>
            <w:shd w:val="clear" w:color="auto" w:fill="DDEBF6"/>
          </w:tcPr>
          <w:p>
            <w:pPr>
              <w:pStyle w:val="TableParagraph"/>
              <w:spacing w:before="33"/>
              <w:ind w:right="101"/>
              <w:jc w:val="right"/>
              <w:rPr>
                <w:b/>
                <w:sz w:val="20"/>
              </w:rPr>
            </w:pPr>
            <w:r>
              <w:rPr>
                <w:b/>
                <w:spacing w:val="-2"/>
                <w:sz w:val="20"/>
              </w:rPr>
              <w:t>3,308</w:t>
            </w:r>
          </w:p>
        </w:tc>
        <w:tc>
          <w:tcPr>
            <w:tcW w:w="1615" w:type="dxa"/>
          </w:tcPr>
          <w:p>
            <w:pPr>
              <w:pStyle w:val="TableParagraph"/>
              <w:spacing w:before="33"/>
              <w:ind w:right="514"/>
              <w:jc w:val="right"/>
              <w:rPr>
                <w:sz w:val="20"/>
              </w:rPr>
            </w:pPr>
            <w:r>
              <w:rPr>
                <w:spacing w:val="-2"/>
                <w:sz w:val="20"/>
              </w:rPr>
              <w:t>(393)</w:t>
            </w:r>
          </w:p>
        </w:tc>
        <w:tc>
          <w:tcPr>
            <w:tcW w:w="857" w:type="dxa"/>
            <w:tcBorders>
              <w:right w:val="single" w:sz="4" w:space="0" w:color="000000"/>
            </w:tcBorders>
          </w:tcPr>
          <w:p>
            <w:pPr>
              <w:pStyle w:val="TableParagraph"/>
              <w:spacing w:before="33"/>
              <w:ind w:left="48"/>
              <w:rPr>
                <w:sz w:val="20"/>
              </w:rPr>
            </w:pPr>
            <w:r>
              <w:rPr>
                <w:spacing w:val="-2"/>
                <w:sz w:val="20"/>
              </w:rPr>
              <w:t>(10.6%)</w:t>
            </w:r>
          </w:p>
        </w:tc>
      </w:tr>
      <w:tr>
        <w:trPr>
          <w:trHeight w:val="304" w:hRule="atLeast"/>
        </w:trPr>
        <w:tc>
          <w:tcPr>
            <w:tcW w:w="4922" w:type="dxa"/>
            <w:tcBorders>
              <w:left w:val="single" w:sz="4" w:space="0" w:color="000000"/>
            </w:tcBorders>
          </w:tcPr>
          <w:p>
            <w:pPr>
              <w:pStyle w:val="TableParagraph"/>
              <w:spacing w:before="49"/>
              <w:ind w:left="107"/>
              <w:rPr>
                <w:sz w:val="20"/>
              </w:rPr>
            </w:pPr>
            <w:r>
              <w:rPr>
                <w:spacing w:val="-2"/>
                <w:sz w:val="20"/>
              </w:rPr>
              <w:t>Other</w:t>
            </w:r>
          </w:p>
        </w:tc>
        <w:tc>
          <w:tcPr>
            <w:tcW w:w="1531" w:type="dxa"/>
          </w:tcPr>
          <w:p>
            <w:pPr>
              <w:pStyle w:val="TableParagraph"/>
              <w:spacing w:before="13"/>
              <w:ind w:right="103"/>
              <w:jc w:val="right"/>
              <w:rPr>
                <w:sz w:val="20"/>
              </w:rPr>
            </w:pPr>
            <w:r>
              <w:rPr>
                <w:spacing w:val="-5"/>
                <w:sz w:val="20"/>
              </w:rPr>
              <w:t>250</w:t>
            </w:r>
          </w:p>
        </w:tc>
        <w:tc>
          <w:tcPr>
            <w:tcW w:w="1531" w:type="dxa"/>
            <w:shd w:val="clear" w:color="auto" w:fill="DDEBF6"/>
          </w:tcPr>
          <w:p>
            <w:pPr>
              <w:pStyle w:val="TableParagraph"/>
              <w:spacing w:before="13"/>
              <w:ind w:right="103"/>
              <w:jc w:val="right"/>
              <w:rPr>
                <w:b/>
                <w:sz w:val="20"/>
              </w:rPr>
            </w:pPr>
            <w:r>
              <w:rPr>
                <w:b/>
                <w:spacing w:val="-5"/>
                <w:sz w:val="20"/>
              </w:rPr>
              <w:t>20</w:t>
            </w:r>
          </w:p>
        </w:tc>
        <w:tc>
          <w:tcPr>
            <w:tcW w:w="1615" w:type="dxa"/>
          </w:tcPr>
          <w:p>
            <w:pPr>
              <w:pStyle w:val="TableParagraph"/>
              <w:spacing w:before="13"/>
              <w:ind w:right="514"/>
              <w:jc w:val="right"/>
              <w:rPr>
                <w:sz w:val="20"/>
              </w:rPr>
            </w:pPr>
            <w:r>
              <w:rPr>
                <w:spacing w:val="-2"/>
                <w:sz w:val="20"/>
              </w:rPr>
              <w:t>(230)</w:t>
            </w:r>
          </w:p>
        </w:tc>
        <w:tc>
          <w:tcPr>
            <w:tcW w:w="857" w:type="dxa"/>
            <w:tcBorders>
              <w:right w:val="single" w:sz="4" w:space="0" w:color="000000"/>
            </w:tcBorders>
          </w:tcPr>
          <w:p>
            <w:pPr>
              <w:pStyle w:val="TableParagraph"/>
              <w:spacing w:before="13"/>
              <w:ind w:left="48"/>
              <w:rPr>
                <w:sz w:val="20"/>
              </w:rPr>
            </w:pPr>
            <w:r>
              <w:rPr>
                <w:spacing w:val="-2"/>
                <w:sz w:val="20"/>
              </w:rPr>
              <w:t>(92.0%)</w:t>
            </w:r>
          </w:p>
        </w:tc>
      </w:tr>
      <w:tr>
        <w:trPr>
          <w:trHeight w:val="289" w:hRule="atLeast"/>
        </w:trPr>
        <w:tc>
          <w:tcPr>
            <w:tcW w:w="4922" w:type="dxa"/>
            <w:tcBorders>
              <w:left w:val="single" w:sz="4" w:space="0" w:color="000000"/>
            </w:tcBorders>
          </w:tcPr>
          <w:p>
            <w:pPr>
              <w:pStyle w:val="TableParagraph"/>
              <w:spacing w:line="210" w:lineRule="exact" w:before="59"/>
              <w:ind w:left="107"/>
              <w:rPr>
                <w:sz w:val="20"/>
              </w:rPr>
            </w:pPr>
            <w:r>
              <w:rPr>
                <w:spacing w:val="-4"/>
                <w:sz w:val="20"/>
              </w:rPr>
              <w:t>Rent</w:t>
            </w:r>
          </w:p>
        </w:tc>
        <w:tc>
          <w:tcPr>
            <w:tcW w:w="1531" w:type="dxa"/>
            <w:tcBorders>
              <w:bottom w:val="single" w:sz="8" w:space="0" w:color="000000"/>
            </w:tcBorders>
          </w:tcPr>
          <w:p>
            <w:pPr>
              <w:pStyle w:val="TableParagraph"/>
              <w:spacing w:before="18"/>
              <w:ind w:right="103"/>
              <w:jc w:val="right"/>
              <w:rPr>
                <w:sz w:val="20"/>
              </w:rPr>
            </w:pPr>
            <w:r>
              <w:rPr>
                <w:spacing w:val="-5"/>
                <w:sz w:val="20"/>
              </w:rPr>
              <w:t>910</w:t>
            </w:r>
          </w:p>
        </w:tc>
        <w:tc>
          <w:tcPr>
            <w:tcW w:w="1531" w:type="dxa"/>
            <w:tcBorders>
              <w:bottom w:val="single" w:sz="8" w:space="0" w:color="000000"/>
            </w:tcBorders>
            <w:shd w:val="clear" w:color="auto" w:fill="DDEBF6"/>
          </w:tcPr>
          <w:p>
            <w:pPr>
              <w:pStyle w:val="TableParagraph"/>
              <w:spacing w:before="18"/>
              <w:ind w:right="101"/>
              <w:jc w:val="right"/>
              <w:rPr>
                <w:b/>
                <w:sz w:val="20"/>
              </w:rPr>
            </w:pPr>
            <w:r>
              <w:rPr>
                <w:b/>
                <w:spacing w:val="-2"/>
                <w:sz w:val="20"/>
              </w:rPr>
              <w:t>1,303</w:t>
            </w:r>
          </w:p>
        </w:tc>
        <w:tc>
          <w:tcPr>
            <w:tcW w:w="1615" w:type="dxa"/>
            <w:tcBorders>
              <w:bottom w:val="single" w:sz="8" w:space="0" w:color="000000"/>
            </w:tcBorders>
          </w:tcPr>
          <w:p>
            <w:pPr>
              <w:pStyle w:val="TableParagraph"/>
              <w:spacing w:before="18"/>
              <w:ind w:right="513"/>
              <w:jc w:val="right"/>
              <w:rPr>
                <w:sz w:val="20"/>
              </w:rPr>
            </w:pPr>
            <w:r>
              <w:rPr>
                <w:spacing w:val="-5"/>
                <w:sz w:val="20"/>
              </w:rPr>
              <w:t>393</w:t>
            </w:r>
          </w:p>
        </w:tc>
        <w:tc>
          <w:tcPr>
            <w:tcW w:w="857" w:type="dxa"/>
            <w:tcBorders>
              <w:bottom w:val="single" w:sz="8" w:space="0" w:color="000000"/>
              <w:right w:val="single" w:sz="4" w:space="0" w:color="000000"/>
            </w:tcBorders>
          </w:tcPr>
          <w:p>
            <w:pPr>
              <w:pStyle w:val="TableParagraph"/>
              <w:spacing w:before="18"/>
              <w:ind w:left="70"/>
              <w:rPr>
                <w:sz w:val="20"/>
              </w:rPr>
            </w:pPr>
            <w:r>
              <w:rPr>
                <w:spacing w:val="-2"/>
                <w:sz w:val="20"/>
              </w:rPr>
              <w:t>43.19%</w:t>
            </w:r>
          </w:p>
        </w:tc>
      </w:tr>
      <w:tr>
        <w:trPr>
          <w:trHeight w:val="316" w:hRule="atLeast"/>
        </w:trPr>
        <w:tc>
          <w:tcPr>
            <w:tcW w:w="4922" w:type="dxa"/>
            <w:tcBorders>
              <w:left w:val="single" w:sz="4" w:space="0" w:color="000000"/>
              <w:bottom w:val="single" w:sz="4" w:space="0" w:color="000000"/>
            </w:tcBorders>
          </w:tcPr>
          <w:p>
            <w:pPr>
              <w:pStyle w:val="TableParagraph"/>
              <w:spacing w:line="211" w:lineRule="exact" w:before="85"/>
              <w:ind w:left="107"/>
              <w:rPr>
                <w:b/>
                <w:sz w:val="20"/>
              </w:rPr>
            </w:pPr>
            <w:r>
              <w:rPr>
                <w:b/>
                <w:sz w:val="20"/>
              </w:rPr>
              <w:t>Total</w:t>
            </w:r>
            <w:r>
              <w:rPr>
                <w:b/>
                <w:spacing w:val="-6"/>
                <w:sz w:val="20"/>
              </w:rPr>
              <w:t> </w:t>
            </w:r>
            <w:r>
              <w:rPr>
                <w:b/>
                <w:sz w:val="20"/>
              </w:rPr>
              <w:t>other</w:t>
            </w:r>
            <w:r>
              <w:rPr>
                <w:b/>
                <w:spacing w:val="-5"/>
                <w:sz w:val="20"/>
              </w:rPr>
              <w:t> </w:t>
            </w:r>
            <w:r>
              <w:rPr>
                <w:b/>
                <w:spacing w:val="-2"/>
                <w:sz w:val="20"/>
              </w:rPr>
              <w:t>income</w:t>
            </w:r>
          </w:p>
        </w:tc>
        <w:tc>
          <w:tcPr>
            <w:tcW w:w="1531" w:type="dxa"/>
            <w:tcBorders>
              <w:top w:val="single" w:sz="8" w:space="0" w:color="000000"/>
              <w:bottom w:val="single" w:sz="4" w:space="0" w:color="000000"/>
            </w:tcBorders>
          </w:tcPr>
          <w:p>
            <w:pPr>
              <w:pStyle w:val="TableParagraph"/>
              <w:spacing w:before="42"/>
              <w:ind w:right="102"/>
              <w:jc w:val="right"/>
              <w:rPr>
                <w:b/>
                <w:sz w:val="20"/>
              </w:rPr>
            </w:pPr>
            <w:r>
              <w:rPr>
                <w:b/>
                <w:spacing w:val="-2"/>
                <w:sz w:val="20"/>
              </w:rPr>
              <w:t>4,861</w:t>
            </w:r>
          </w:p>
        </w:tc>
        <w:tc>
          <w:tcPr>
            <w:tcW w:w="1531" w:type="dxa"/>
            <w:tcBorders>
              <w:top w:val="single" w:sz="8" w:space="0" w:color="000000"/>
              <w:bottom w:val="single" w:sz="4" w:space="0" w:color="000000"/>
            </w:tcBorders>
            <w:shd w:val="clear" w:color="auto" w:fill="DDEBF6"/>
          </w:tcPr>
          <w:p>
            <w:pPr>
              <w:pStyle w:val="TableParagraph"/>
              <w:spacing w:before="42"/>
              <w:ind w:right="101"/>
              <w:jc w:val="right"/>
              <w:rPr>
                <w:b/>
                <w:sz w:val="20"/>
              </w:rPr>
            </w:pPr>
            <w:r>
              <w:rPr>
                <w:b/>
                <w:spacing w:val="-2"/>
                <w:sz w:val="20"/>
              </w:rPr>
              <w:t>4,631</w:t>
            </w:r>
          </w:p>
        </w:tc>
        <w:tc>
          <w:tcPr>
            <w:tcW w:w="1615" w:type="dxa"/>
            <w:tcBorders>
              <w:top w:val="single" w:sz="8" w:space="0" w:color="000000"/>
              <w:bottom w:val="single" w:sz="4" w:space="0" w:color="000000"/>
            </w:tcBorders>
          </w:tcPr>
          <w:p>
            <w:pPr>
              <w:pStyle w:val="TableParagraph"/>
              <w:spacing w:before="42"/>
              <w:ind w:right="514"/>
              <w:jc w:val="right"/>
              <w:rPr>
                <w:b/>
                <w:sz w:val="20"/>
              </w:rPr>
            </w:pPr>
            <w:r>
              <w:rPr>
                <w:b/>
                <w:spacing w:val="-2"/>
                <w:sz w:val="20"/>
              </w:rPr>
              <w:t>(230)</w:t>
            </w:r>
          </w:p>
        </w:tc>
        <w:tc>
          <w:tcPr>
            <w:tcW w:w="857" w:type="dxa"/>
            <w:tcBorders>
              <w:top w:val="single" w:sz="8" w:space="0" w:color="000000"/>
              <w:bottom w:val="single" w:sz="4" w:space="0" w:color="000000"/>
              <w:right w:val="single" w:sz="4" w:space="0" w:color="000000"/>
            </w:tcBorders>
          </w:tcPr>
          <w:p>
            <w:pPr>
              <w:pStyle w:val="TableParagraph"/>
              <w:spacing w:before="42"/>
              <w:ind w:left="161"/>
              <w:rPr>
                <w:b/>
                <w:sz w:val="20"/>
              </w:rPr>
            </w:pPr>
            <w:r>
              <w:rPr>
                <w:b/>
                <w:spacing w:val="-2"/>
                <w:sz w:val="20"/>
              </w:rPr>
              <w:t>(4.7%)</w:t>
            </w:r>
          </w:p>
        </w:tc>
      </w:tr>
    </w:tbl>
    <w:p>
      <w:pPr>
        <w:pStyle w:val="BodyText"/>
        <w:rPr>
          <w:b/>
          <w:sz w:val="24"/>
        </w:rPr>
      </w:pPr>
    </w:p>
    <w:p>
      <w:pPr>
        <w:pStyle w:val="BodyText"/>
        <w:ind w:left="260" w:right="553"/>
        <w:jc w:val="both"/>
      </w:pPr>
      <w:r>
        <w:rPr/>
        <w:t>Other income is projected to decrease by $0.23 million or 4.7% compared to 2023/2024.</w:t>
      </w:r>
      <w:r>
        <w:rPr>
          <w:spacing w:val="40"/>
        </w:rPr>
        <w:t> </w:t>
      </w:r>
      <w:r>
        <w:rPr/>
        <w:t>The 2023/24 forecast includes a Materials Recovery Facility rebate for the Container Deposit Scheme introduced by the State Government in November 2023.</w:t>
      </w:r>
    </w:p>
    <w:p>
      <w:pPr>
        <w:pStyle w:val="BodyText"/>
        <w:spacing w:before="10"/>
        <w:rPr>
          <w:sz w:val="21"/>
        </w:rPr>
      </w:pPr>
    </w:p>
    <w:p>
      <w:pPr>
        <w:pStyle w:val="Heading4"/>
        <w:numPr>
          <w:ilvl w:val="2"/>
          <w:numId w:val="11"/>
        </w:numPr>
        <w:tabs>
          <w:tab w:pos="862" w:val="left" w:leader="none"/>
        </w:tabs>
        <w:spacing w:line="240" w:lineRule="auto" w:before="0" w:after="0"/>
        <w:ind w:left="861" w:right="0" w:hanging="602"/>
        <w:jc w:val="left"/>
        <w:rPr>
          <w:color w:val="4966AC"/>
        </w:rPr>
      </w:pPr>
      <w:r>
        <w:rPr>
          <w:color w:val="4966AC"/>
        </w:rPr>
        <w:t>Employee</w:t>
      </w:r>
      <w:r>
        <w:rPr>
          <w:color w:val="4966AC"/>
          <w:spacing w:val="-1"/>
        </w:rPr>
        <w:t> </w:t>
      </w:r>
      <w:r>
        <w:rPr>
          <w:color w:val="4966AC"/>
          <w:spacing w:val="-4"/>
        </w:rPr>
        <w:t>costs</w:t>
      </w:r>
    </w:p>
    <w:p>
      <w:pPr>
        <w:pStyle w:val="BodyText"/>
        <w:spacing w:before="11"/>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38"/>
        <w:gridCol w:w="1833"/>
        <w:gridCol w:w="1833"/>
        <w:gridCol w:w="1728"/>
        <w:gridCol w:w="821"/>
      </w:tblGrid>
      <w:tr>
        <w:trPr>
          <w:trHeight w:val="902" w:hRule="atLeast"/>
        </w:trPr>
        <w:tc>
          <w:tcPr>
            <w:tcW w:w="6071" w:type="dxa"/>
            <w:gridSpan w:val="2"/>
            <w:tcBorders>
              <w:top w:val="single" w:sz="4" w:space="0" w:color="000000"/>
              <w:left w:val="single" w:sz="4" w:space="0" w:color="000000"/>
            </w:tcBorders>
            <w:shd w:val="clear" w:color="auto" w:fill="5B9AD4"/>
          </w:tcPr>
          <w:p>
            <w:pPr>
              <w:pStyle w:val="TableParagraph"/>
              <w:spacing w:line="348" w:lineRule="auto" w:before="92"/>
              <w:ind w:left="4478" w:right="228"/>
              <w:jc w:val="center"/>
              <w:rPr>
                <w:b/>
                <w:sz w:val="18"/>
              </w:rPr>
            </w:pPr>
            <w:r>
              <w:rPr>
                <w:b/>
                <w:color w:val="FFFFFF"/>
                <w:sz w:val="18"/>
              </w:rPr>
              <w:t>Forecast</w:t>
            </w:r>
            <w:r>
              <w:rPr>
                <w:b/>
                <w:color w:val="FFFFFF"/>
                <w:spacing w:val="-13"/>
                <w:sz w:val="18"/>
              </w:rPr>
              <w:t> </w:t>
            </w:r>
            <w:r>
              <w:rPr>
                <w:b/>
                <w:color w:val="FFFFFF"/>
                <w:sz w:val="18"/>
              </w:rPr>
              <w:t>Actual </w:t>
            </w:r>
            <w:r>
              <w:rPr>
                <w:b/>
                <w:color w:val="FFFFFF"/>
                <w:spacing w:val="-2"/>
                <w:sz w:val="18"/>
              </w:rPr>
              <w:t>2023/2024</w:t>
            </w:r>
          </w:p>
          <w:p>
            <w:pPr>
              <w:pStyle w:val="TableParagraph"/>
              <w:spacing w:line="189" w:lineRule="exact"/>
              <w:ind w:left="4478" w:right="228"/>
              <w:jc w:val="center"/>
              <w:rPr>
                <w:b/>
                <w:sz w:val="18"/>
              </w:rPr>
            </w:pPr>
            <w:r>
              <w:rPr>
                <w:b/>
                <w:color w:val="FFFFFF"/>
                <w:spacing w:val="-2"/>
                <w:sz w:val="18"/>
              </w:rPr>
              <w:t>$’000</w:t>
            </w:r>
          </w:p>
        </w:tc>
        <w:tc>
          <w:tcPr>
            <w:tcW w:w="1833" w:type="dxa"/>
            <w:tcBorders>
              <w:top w:val="single" w:sz="4" w:space="0" w:color="000000"/>
            </w:tcBorders>
            <w:shd w:val="clear" w:color="auto" w:fill="5B9AD4"/>
          </w:tcPr>
          <w:p>
            <w:pPr>
              <w:pStyle w:val="TableParagraph"/>
              <w:spacing w:line="348" w:lineRule="auto" w:before="92"/>
              <w:ind w:left="495" w:right="481" w:firstLine="2"/>
              <w:jc w:val="center"/>
              <w:rPr>
                <w:b/>
                <w:sz w:val="18"/>
              </w:rPr>
            </w:pPr>
            <w:r>
              <w:rPr>
                <w:b/>
                <w:color w:val="FFFFFF"/>
                <w:spacing w:val="-2"/>
                <w:sz w:val="18"/>
              </w:rPr>
              <w:t>Budget 2024/2025</w:t>
            </w:r>
          </w:p>
          <w:p>
            <w:pPr>
              <w:pStyle w:val="TableParagraph"/>
              <w:spacing w:line="189" w:lineRule="exact"/>
              <w:ind w:left="682" w:right="669"/>
              <w:jc w:val="center"/>
              <w:rPr>
                <w:b/>
                <w:sz w:val="18"/>
              </w:rPr>
            </w:pPr>
            <w:r>
              <w:rPr>
                <w:b/>
                <w:color w:val="FFFFFF"/>
                <w:spacing w:val="-2"/>
                <w:sz w:val="18"/>
              </w:rPr>
              <w:t>$’000</w:t>
            </w:r>
          </w:p>
        </w:tc>
        <w:tc>
          <w:tcPr>
            <w:tcW w:w="1728" w:type="dxa"/>
            <w:tcBorders>
              <w:top w:val="single" w:sz="4" w:space="0" w:color="000000"/>
            </w:tcBorders>
            <w:shd w:val="clear" w:color="auto" w:fill="5B9AD4"/>
          </w:tcPr>
          <w:p>
            <w:pPr>
              <w:pStyle w:val="TableParagraph"/>
              <w:rPr>
                <w:b/>
                <w:sz w:val="20"/>
              </w:rPr>
            </w:pPr>
          </w:p>
          <w:p>
            <w:pPr>
              <w:pStyle w:val="TableParagraph"/>
              <w:spacing w:before="162"/>
              <w:ind w:left="952"/>
              <w:rPr>
                <w:b/>
                <w:sz w:val="18"/>
              </w:rPr>
            </w:pPr>
            <w:r>
              <w:rPr>
                <w:b/>
                <w:color w:val="FFFFFF"/>
                <w:spacing w:val="-2"/>
                <w:sz w:val="18"/>
              </w:rPr>
              <w:t>Change</w:t>
            </w:r>
          </w:p>
          <w:p>
            <w:pPr>
              <w:pStyle w:val="TableParagraph"/>
              <w:spacing w:line="190" w:lineRule="exact" w:before="93"/>
              <w:ind w:left="436"/>
              <w:rPr>
                <w:b/>
                <w:sz w:val="18"/>
              </w:rPr>
            </w:pPr>
            <w:r>
              <w:rPr>
                <w:b/>
                <w:color w:val="FFFFFF"/>
                <w:spacing w:val="-2"/>
                <w:sz w:val="18"/>
              </w:rPr>
              <w:t>$’000</w:t>
            </w:r>
          </w:p>
        </w:tc>
        <w:tc>
          <w:tcPr>
            <w:tcW w:w="821"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spacing w:before="2"/>
              <w:rPr>
                <w:b/>
                <w:sz w:val="20"/>
              </w:rPr>
            </w:pPr>
          </w:p>
          <w:p>
            <w:pPr>
              <w:pStyle w:val="TableParagraph"/>
              <w:spacing w:line="190" w:lineRule="exact"/>
              <w:ind w:left="123"/>
              <w:rPr>
                <w:b/>
                <w:sz w:val="18"/>
              </w:rPr>
            </w:pPr>
            <w:r>
              <w:rPr>
                <w:b/>
                <w:color w:val="FFFFFF"/>
                <w:sz w:val="18"/>
              </w:rPr>
              <w:t>%</w:t>
            </w:r>
          </w:p>
        </w:tc>
      </w:tr>
      <w:tr>
        <w:trPr>
          <w:trHeight w:val="319" w:hRule="atLeast"/>
        </w:trPr>
        <w:tc>
          <w:tcPr>
            <w:tcW w:w="4238" w:type="dxa"/>
            <w:tcBorders>
              <w:left w:val="single" w:sz="4" w:space="0" w:color="000000"/>
            </w:tcBorders>
          </w:tcPr>
          <w:p>
            <w:pPr>
              <w:pStyle w:val="TableParagraph"/>
              <w:spacing w:before="69"/>
              <w:ind w:left="107"/>
              <w:rPr>
                <w:sz w:val="20"/>
              </w:rPr>
            </w:pPr>
            <w:r>
              <w:rPr>
                <w:sz w:val="20"/>
              </w:rPr>
              <w:t>Wages</w:t>
            </w:r>
            <w:r>
              <w:rPr>
                <w:spacing w:val="-5"/>
                <w:sz w:val="20"/>
              </w:rPr>
              <w:t> </w:t>
            </w:r>
            <w:r>
              <w:rPr>
                <w:sz w:val="20"/>
              </w:rPr>
              <w:t>and</w:t>
            </w:r>
            <w:r>
              <w:rPr>
                <w:spacing w:val="-7"/>
                <w:sz w:val="20"/>
              </w:rPr>
              <w:t> </w:t>
            </w:r>
            <w:r>
              <w:rPr>
                <w:spacing w:val="-2"/>
                <w:sz w:val="20"/>
              </w:rPr>
              <w:t>salaries</w:t>
            </w:r>
          </w:p>
        </w:tc>
        <w:tc>
          <w:tcPr>
            <w:tcW w:w="1833" w:type="dxa"/>
          </w:tcPr>
          <w:p>
            <w:pPr>
              <w:pStyle w:val="TableParagraph"/>
              <w:spacing w:before="33"/>
              <w:ind w:right="102"/>
              <w:jc w:val="right"/>
              <w:rPr>
                <w:sz w:val="20"/>
              </w:rPr>
            </w:pPr>
            <w:r>
              <w:rPr>
                <w:spacing w:val="-2"/>
                <w:sz w:val="20"/>
              </w:rPr>
              <w:t>52,336</w:t>
            </w:r>
          </w:p>
        </w:tc>
        <w:tc>
          <w:tcPr>
            <w:tcW w:w="1833" w:type="dxa"/>
            <w:shd w:val="clear" w:color="auto" w:fill="DDEBF6"/>
          </w:tcPr>
          <w:p>
            <w:pPr>
              <w:pStyle w:val="TableParagraph"/>
              <w:spacing w:before="33"/>
              <w:ind w:right="103"/>
              <w:jc w:val="right"/>
              <w:rPr>
                <w:b/>
                <w:sz w:val="20"/>
              </w:rPr>
            </w:pPr>
            <w:r>
              <w:rPr>
                <w:b/>
                <w:spacing w:val="-2"/>
                <w:sz w:val="20"/>
              </w:rPr>
              <w:t>54,489</w:t>
            </w:r>
          </w:p>
        </w:tc>
        <w:tc>
          <w:tcPr>
            <w:tcW w:w="1728" w:type="dxa"/>
          </w:tcPr>
          <w:p>
            <w:pPr>
              <w:pStyle w:val="TableParagraph"/>
              <w:spacing w:before="33"/>
              <w:ind w:right="516"/>
              <w:jc w:val="right"/>
              <w:rPr>
                <w:sz w:val="20"/>
              </w:rPr>
            </w:pPr>
            <w:r>
              <w:rPr>
                <w:spacing w:val="-2"/>
                <w:sz w:val="20"/>
              </w:rPr>
              <w:t>2,153</w:t>
            </w:r>
          </w:p>
        </w:tc>
        <w:tc>
          <w:tcPr>
            <w:tcW w:w="821" w:type="dxa"/>
            <w:tcBorders>
              <w:right w:val="single" w:sz="4" w:space="0" w:color="000000"/>
            </w:tcBorders>
          </w:tcPr>
          <w:p>
            <w:pPr>
              <w:pStyle w:val="TableParagraph"/>
              <w:spacing w:before="33"/>
              <w:ind w:right="95"/>
              <w:jc w:val="right"/>
              <w:rPr>
                <w:sz w:val="20"/>
              </w:rPr>
            </w:pPr>
            <w:r>
              <w:rPr>
                <w:spacing w:val="-4"/>
                <w:sz w:val="20"/>
              </w:rPr>
              <w:t>4.1%</w:t>
            </w:r>
          </w:p>
        </w:tc>
      </w:tr>
      <w:tr>
        <w:trPr>
          <w:trHeight w:val="300" w:hRule="atLeast"/>
        </w:trPr>
        <w:tc>
          <w:tcPr>
            <w:tcW w:w="4238" w:type="dxa"/>
            <w:tcBorders>
              <w:left w:val="single" w:sz="4" w:space="0" w:color="000000"/>
            </w:tcBorders>
          </w:tcPr>
          <w:p>
            <w:pPr>
              <w:pStyle w:val="TableParagraph"/>
              <w:spacing w:before="49"/>
              <w:ind w:left="107"/>
              <w:rPr>
                <w:sz w:val="20"/>
              </w:rPr>
            </w:pPr>
            <w:r>
              <w:rPr>
                <w:spacing w:val="-2"/>
                <w:sz w:val="20"/>
              </w:rPr>
              <w:t>Workcover</w:t>
            </w:r>
          </w:p>
        </w:tc>
        <w:tc>
          <w:tcPr>
            <w:tcW w:w="1833" w:type="dxa"/>
          </w:tcPr>
          <w:p>
            <w:pPr>
              <w:pStyle w:val="TableParagraph"/>
              <w:spacing w:before="13"/>
              <w:ind w:right="104"/>
              <w:jc w:val="right"/>
              <w:rPr>
                <w:sz w:val="20"/>
              </w:rPr>
            </w:pPr>
            <w:r>
              <w:rPr>
                <w:spacing w:val="-2"/>
                <w:sz w:val="20"/>
              </w:rPr>
              <w:t>(851)</w:t>
            </w:r>
          </w:p>
        </w:tc>
        <w:tc>
          <w:tcPr>
            <w:tcW w:w="1833" w:type="dxa"/>
            <w:shd w:val="clear" w:color="auto" w:fill="DDEBF6"/>
          </w:tcPr>
          <w:p>
            <w:pPr>
              <w:pStyle w:val="TableParagraph"/>
              <w:spacing w:before="13"/>
              <w:ind w:right="103"/>
              <w:jc w:val="right"/>
              <w:rPr>
                <w:b/>
                <w:sz w:val="20"/>
              </w:rPr>
            </w:pPr>
            <w:r>
              <w:rPr>
                <w:b/>
                <w:spacing w:val="-2"/>
                <w:sz w:val="20"/>
              </w:rPr>
              <w:t>(869)</w:t>
            </w:r>
          </w:p>
        </w:tc>
        <w:tc>
          <w:tcPr>
            <w:tcW w:w="1728" w:type="dxa"/>
          </w:tcPr>
          <w:p>
            <w:pPr>
              <w:pStyle w:val="TableParagraph"/>
              <w:spacing w:before="13"/>
              <w:ind w:right="515"/>
              <w:jc w:val="right"/>
              <w:rPr>
                <w:sz w:val="20"/>
              </w:rPr>
            </w:pPr>
            <w:r>
              <w:rPr>
                <w:spacing w:val="-4"/>
                <w:sz w:val="20"/>
              </w:rPr>
              <w:t>(18)</w:t>
            </w:r>
          </w:p>
        </w:tc>
        <w:tc>
          <w:tcPr>
            <w:tcW w:w="821" w:type="dxa"/>
            <w:tcBorders>
              <w:right w:val="single" w:sz="4" w:space="0" w:color="000000"/>
            </w:tcBorders>
          </w:tcPr>
          <w:p>
            <w:pPr>
              <w:pStyle w:val="TableParagraph"/>
              <w:spacing w:before="13"/>
              <w:ind w:right="95"/>
              <w:jc w:val="right"/>
              <w:rPr>
                <w:sz w:val="20"/>
              </w:rPr>
            </w:pPr>
            <w:r>
              <w:rPr>
                <w:spacing w:val="-4"/>
                <w:sz w:val="20"/>
              </w:rPr>
              <w:t>2.1%</w:t>
            </w:r>
          </w:p>
        </w:tc>
      </w:tr>
      <w:tr>
        <w:trPr>
          <w:trHeight w:val="300" w:hRule="atLeast"/>
        </w:trPr>
        <w:tc>
          <w:tcPr>
            <w:tcW w:w="4238" w:type="dxa"/>
            <w:tcBorders>
              <w:left w:val="single" w:sz="4" w:space="0" w:color="000000"/>
            </w:tcBorders>
          </w:tcPr>
          <w:p>
            <w:pPr>
              <w:pStyle w:val="TableParagraph"/>
              <w:spacing w:before="49"/>
              <w:ind w:left="107"/>
              <w:rPr>
                <w:sz w:val="20"/>
              </w:rPr>
            </w:pPr>
            <w:r>
              <w:rPr>
                <w:sz w:val="20"/>
              </w:rPr>
              <w:t>Casual</w:t>
            </w:r>
            <w:r>
              <w:rPr>
                <w:spacing w:val="-8"/>
                <w:sz w:val="20"/>
              </w:rPr>
              <w:t> </w:t>
            </w:r>
            <w:r>
              <w:rPr>
                <w:spacing w:val="-2"/>
                <w:sz w:val="20"/>
              </w:rPr>
              <w:t>staff</w:t>
            </w:r>
          </w:p>
        </w:tc>
        <w:tc>
          <w:tcPr>
            <w:tcW w:w="1833" w:type="dxa"/>
          </w:tcPr>
          <w:p>
            <w:pPr>
              <w:pStyle w:val="TableParagraph"/>
              <w:spacing w:before="13"/>
              <w:ind w:right="101"/>
              <w:jc w:val="right"/>
              <w:rPr>
                <w:sz w:val="20"/>
              </w:rPr>
            </w:pPr>
            <w:r>
              <w:rPr>
                <w:spacing w:val="-2"/>
                <w:sz w:val="20"/>
              </w:rPr>
              <w:t>9,183</w:t>
            </w:r>
          </w:p>
        </w:tc>
        <w:tc>
          <w:tcPr>
            <w:tcW w:w="1833" w:type="dxa"/>
            <w:shd w:val="clear" w:color="auto" w:fill="DDEBF6"/>
          </w:tcPr>
          <w:p>
            <w:pPr>
              <w:pStyle w:val="TableParagraph"/>
              <w:spacing w:before="13"/>
              <w:ind w:right="101"/>
              <w:jc w:val="right"/>
              <w:rPr>
                <w:b/>
                <w:sz w:val="20"/>
              </w:rPr>
            </w:pPr>
            <w:r>
              <w:rPr>
                <w:b/>
                <w:spacing w:val="-2"/>
                <w:sz w:val="20"/>
              </w:rPr>
              <w:t>9,685</w:t>
            </w:r>
          </w:p>
        </w:tc>
        <w:tc>
          <w:tcPr>
            <w:tcW w:w="1728" w:type="dxa"/>
          </w:tcPr>
          <w:p>
            <w:pPr>
              <w:pStyle w:val="TableParagraph"/>
              <w:spacing w:before="13"/>
              <w:ind w:right="517"/>
              <w:jc w:val="right"/>
              <w:rPr>
                <w:sz w:val="20"/>
              </w:rPr>
            </w:pPr>
            <w:r>
              <w:rPr>
                <w:spacing w:val="-5"/>
                <w:sz w:val="20"/>
              </w:rPr>
              <w:t>502</w:t>
            </w:r>
          </w:p>
        </w:tc>
        <w:tc>
          <w:tcPr>
            <w:tcW w:w="821" w:type="dxa"/>
            <w:tcBorders>
              <w:right w:val="single" w:sz="4" w:space="0" w:color="000000"/>
            </w:tcBorders>
          </w:tcPr>
          <w:p>
            <w:pPr>
              <w:pStyle w:val="TableParagraph"/>
              <w:spacing w:before="13"/>
              <w:ind w:right="95"/>
              <w:jc w:val="right"/>
              <w:rPr>
                <w:sz w:val="20"/>
              </w:rPr>
            </w:pPr>
            <w:r>
              <w:rPr>
                <w:spacing w:val="-4"/>
                <w:sz w:val="20"/>
              </w:rPr>
              <w:t>5.5%</w:t>
            </w:r>
          </w:p>
        </w:tc>
      </w:tr>
      <w:tr>
        <w:trPr>
          <w:trHeight w:val="303" w:hRule="atLeast"/>
        </w:trPr>
        <w:tc>
          <w:tcPr>
            <w:tcW w:w="4238" w:type="dxa"/>
            <w:tcBorders>
              <w:left w:val="single" w:sz="4" w:space="0" w:color="000000"/>
            </w:tcBorders>
          </w:tcPr>
          <w:p>
            <w:pPr>
              <w:pStyle w:val="TableParagraph"/>
              <w:spacing w:before="49"/>
              <w:ind w:left="107"/>
              <w:rPr>
                <w:sz w:val="20"/>
              </w:rPr>
            </w:pPr>
            <w:r>
              <w:rPr>
                <w:spacing w:val="-2"/>
                <w:sz w:val="20"/>
              </w:rPr>
              <w:t>Superannuation</w:t>
            </w:r>
          </w:p>
        </w:tc>
        <w:tc>
          <w:tcPr>
            <w:tcW w:w="1833" w:type="dxa"/>
          </w:tcPr>
          <w:p>
            <w:pPr>
              <w:pStyle w:val="TableParagraph"/>
              <w:spacing w:before="13"/>
              <w:ind w:right="101"/>
              <w:jc w:val="right"/>
              <w:rPr>
                <w:sz w:val="20"/>
              </w:rPr>
            </w:pPr>
            <w:r>
              <w:rPr>
                <w:spacing w:val="-2"/>
                <w:sz w:val="20"/>
              </w:rPr>
              <w:t>6,836</w:t>
            </w:r>
          </w:p>
        </w:tc>
        <w:tc>
          <w:tcPr>
            <w:tcW w:w="1833" w:type="dxa"/>
            <w:shd w:val="clear" w:color="auto" w:fill="DDEBF6"/>
          </w:tcPr>
          <w:p>
            <w:pPr>
              <w:pStyle w:val="TableParagraph"/>
              <w:spacing w:before="13"/>
              <w:ind w:right="101"/>
              <w:jc w:val="right"/>
              <w:rPr>
                <w:b/>
                <w:sz w:val="20"/>
              </w:rPr>
            </w:pPr>
            <w:r>
              <w:rPr>
                <w:b/>
                <w:spacing w:val="-2"/>
                <w:sz w:val="20"/>
              </w:rPr>
              <w:t>7,130</w:t>
            </w:r>
          </w:p>
        </w:tc>
        <w:tc>
          <w:tcPr>
            <w:tcW w:w="1728" w:type="dxa"/>
          </w:tcPr>
          <w:p>
            <w:pPr>
              <w:pStyle w:val="TableParagraph"/>
              <w:spacing w:before="13"/>
              <w:ind w:right="517"/>
              <w:jc w:val="right"/>
              <w:rPr>
                <w:sz w:val="20"/>
              </w:rPr>
            </w:pPr>
            <w:r>
              <w:rPr>
                <w:spacing w:val="-5"/>
                <w:sz w:val="20"/>
              </w:rPr>
              <w:t>294</w:t>
            </w:r>
          </w:p>
        </w:tc>
        <w:tc>
          <w:tcPr>
            <w:tcW w:w="821" w:type="dxa"/>
            <w:tcBorders>
              <w:right w:val="single" w:sz="4" w:space="0" w:color="000000"/>
            </w:tcBorders>
          </w:tcPr>
          <w:p>
            <w:pPr>
              <w:pStyle w:val="TableParagraph"/>
              <w:spacing w:before="13"/>
              <w:ind w:right="95"/>
              <w:jc w:val="right"/>
              <w:rPr>
                <w:sz w:val="20"/>
              </w:rPr>
            </w:pPr>
            <w:r>
              <w:rPr>
                <w:spacing w:val="-4"/>
                <w:sz w:val="20"/>
              </w:rPr>
              <w:t>4.3%</w:t>
            </w:r>
          </w:p>
        </w:tc>
      </w:tr>
      <w:tr>
        <w:trPr>
          <w:trHeight w:val="290" w:hRule="atLeast"/>
        </w:trPr>
        <w:tc>
          <w:tcPr>
            <w:tcW w:w="4238" w:type="dxa"/>
            <w:tcBorders>
              <w:left w:val="single" w:sz="4" w:space="0" w:color="000000"/>
            </w:tcBorders>
          </w:tcPr>
          <w:p>
            <w:pPr>
              <w:pStyle w:val="TableParagraph"/>
              <w:spacing w:line="210" w:lineRule="exact" w:before="60"/>
              <w:ind w:left="107"/>
              <w:rPr>
                <w:sz w:val="20"/>
              </w:rPr>
            </w:pPr>
            <w:r>
              <w:rPr>
                <w:sz w:val="20"/>
              </w:rPr>
              <w:t>Fringe</w:t>
            </w:r>
            <w:r>
              <w:rPr>
                <w:spacing w:val="-7"/>
                <w:sz w:val="20"/>
              </w:rPr>
              <w:t> </w:t>
            </w:r>
            <w:r>
              <w:rPr>
                <w:sz w:val="20"/>
              </w:rPr>
              <w:t>benefits</w:t>
            </w:r>
            <w:r>
              <w:rPr>
                <w:spacing w:val="-8"/>
                <w:sz w:val="20"/>
              </w:rPr>
              <w:t> </w:t>
            </w:r>
            <w:r>
              <w:rPr>
                <w:spacing w:val="-5"/>
                <w:sz w:val="20"/>
              </w:rPr>
              <w:t>tax</w:t>
            </w:r>
          </w:p>
        </w:tc>
        <w:tc>
          <w:tcPr>
            <w:tcW w:w="1833" w:type="dxa"/>
            <w:tcBorders>
              <w:bottom w:val="single" w:sz="8" w:space="0" w:color="000000"/>
            </w:tcBorders>
          </w:tcPr>
          <w:p>
            <w:pPr>
              <w:pStyle w:val="TableParagraph"/>
              <w:spacing w:before="17"/>
              <w:ind w:right="102"/>
              <w:jc w:val="right"/>
              <w:rPr>
                <w:sz w:val="20"/>
              </w:rPr>
            </w:pPr>
            <w:r>
              <w:rPr>
                <w:spacing w:val="-5"/>
                <w:sz w:val="20"/>
              </w:rPr>
              <w:t>479</w:t>
            </w:r>
          </w:p>
        </w:tc>
        <w:tc>
          <w:tcPr>
            <w:tcW w:w="1833" w:type="dxa"/>
            <w:tcBorders>
              <w:bottom w:val="single" w:sz="8" w:space="0" w:color="000000"/>
            </w:tcBorders>
            <w:shd w:val="clear" w:color="auto" w:fill="DDEBF6"/>
          </w:tcPr>
          <w:p>
            <w:pPr>
              <w:pStyle w:val="TableParagraph"/>
              <w:spacing w:before="17"/>
              <w:ind w:right="102"/>
              <w:jc w:val="right"/>
              <w:rPr>
                <w:b/>
                <w:sz w:val="20"/>
              </w:rPr>
            </w:pPr>
            <w:r>
              <w:rPr>
                <w:b/>
                <w:spacing w:val="-5"/>
                <w:sz w:val="20"/>
              </w:rPr>
              <w:t>497</w:t>
            </w:r>
          </w:p>
        </w:tc>
        <w:tc>
          <w:tcPr>
            <w:tcW w:w="1728" w:type="dxa"/>
            <w:tcBorders>
              <w:bottom w:val="single" w:sz="8" w:space="0" w:color="000000"/>
            </w:tcBorders>
          </w:tcPr>
          <w:p>
            <w:pPr>
              <w:pStyle w:val="TableParagraph"/>
              <w:spacing w:before="17"/>
              <w:ind w:right="517"/>
              <w:jc w:val="right"/>
              <w:rPr>
                <w:sz w:val="20"/>
              </w:rPr>
            </w:pPr>
            <w:r>
              <w:rPr>
                <w:spacing w:val="-5"/>
                <w:sz w:val="20"/>
              </w:rPr>
              <w:t>18</w:t>
            </w:r>
          </w:p>
        </w:tc>
        <w:tc>
          <w:tcPr>
            <w:tcW w:w="821" w:type="dxa"/>
            <w:tcBorders>
              <w:bottom w:val="single" w:sz="8" w:space="0" w:color="000000"/>
              <w:right w:val="single" w:sz="4" w:space="0" w:color="000000"/>
            </w:tcBorders>
          </w:tcPr>
          <w:p>
            <w:pPr>
              <w:pStyle w:val="TableParagraph"/>
              <w:spacing w:before="17"/>
              <w:ind w:right="95"/>
              <w:jc w:val="right"/>
              <w:rPr>
                <w:sz w:val="20"/>
              </w:rPr>
            </w:pPr>
            <w:r>
              <w:rPr>
                <w:spacing w:val="-4"/>
                <w:sz w:val="20"/>
              </w:rPr>
              <w:t>3.8%</w:t>
            </w:r>
          </w:p>
        </w:tc>
      </w:tr>
      <w:tr>
        <w:trPr>
          <w:trHeight w:val="316" w:hRule="atLeast"/>
        </w:trPr>
        <w:tc>
          <w:tcPr>
            <w:tcW w:w="4238" w:type="dxa"/>
            <w:tcBorders>
              <w:left w:val="single" w:sz="4" w:space="0" w:color="000000"/>
              <w:bottom w:val="single" w:sz="4" w:space="0" w:color="000000"/>
            </w:tcBorders>
          </w:tcPr>
          <w:p>
            <w:pPr>
              <w:pStyle w:val="TableParagraph"/>
              <w:spacing w:line="213" w:lineRule="exact" w:before="83"/>
              <w:ind w:left="107"/>
              <w:rPr>
                <w:b/>
                <w:sz w:val="20"/>
              </w:rPr>
            </w:pPr>
            <w:r>
              <w:rPr>
                <w:b/>
                <w:sz w:val="20"/>
              </w:rPr>
              <w:t>Total</w:t>
            </w:r>
            <w:r>
              <w:rPr>
                <w:b/>
                <w:spacing w:val="-10"/>
                <w:sz w:val="20"/>
              </w:rPr>
              <w:t> </w:t>
            </w:r>
            <w:r>
              <w:rPr>
                <w:b/>
                <w:sz w:val="20"/>
              </w:rPr>
              <w:t>employee</w:t>
            </w:r>
            <w:r>
              <w:rPr>
                <w:b/>
                <w:spacing w:val="-8"/>
                <w:sz w:val="20"/>
              </w:rPr>
              <w:t> </w:t>
            </w:r>
            <w:r>
              <w:rPr>
                <w:b/>
                <w:spacing w:val="-4"/>
                <w:sz w:val="20"/>
              </w:rPr>
              <w:t>costs</w:t>
            </w:r>
          </w:p>
        </w:tc>
        <w:tc>
          <w:tcPr>
            <w:tcW w:w="1833" w:type="dxa"/>
            <w:tcBorders>
              <w:top w:val="single" w:sz="8" w:space="0" w:color="000000"/>
              <w:bottom w:val="single" w:sz="4" w:space="0" w:color="000000"/>
            </w:tcBorders>
          </w:tcPr>
          <w:p>
            <w:pPr>
              <w:pStyle w:val="TableParagraph"/>
              <w:spacing w:before="42"/>
              <w:ind w:right="102"/>
              <w:jc w:val="right"/>
              <w:rPr>
                <w:b/>
                <w:sz w:val="20"/>
              </w:rPr>
            </w:pPr>
            <w:r>
              <w:rPr>
                <w:b/>
                <w:spacing w:val="-2"/>
                <w:sz w:val="20"/>
              </w:rPr>
              <w:t>67,983</w:t>
            </w:r>
          </w:p>
        </w:tc>
        <w:tc>
          <w:tcPr>
            <w:tcW w:w="1833" w:type="dxa"/>
            <w:tcBorders>
              <w:top w:val="single" w:sz="8" w:space="0" w:color="000000"/>
              <w:bottom w:val="single" w:sz="4" w:space="0" w:color="000000"/>
            </w:tcBorders>
            <w:shd w:val="clear" w:color="auto" w:fill="DDEBF6"/>
          </w:tcPr>
          <w:p>
            <w:pPr>
              <w:pStyle w:val="TableParagraph"/>
              <w:spacing w:before="42"/>
              <w:ind w:right="103"/>
              <w:jc w:val="right"/>
              <w:rPr>
                <w:b/>
                <w:sz w:val="20"/>
              </w:rPr>
            </w:pPr>
            <w:r>
              <w:rPr>
                <w:b/>
                <w:spacing w:val="-2"/>
                <w:sz w:val="20"/>
              </w:rPr>
              <w:t>70,932</w:t>
            </w:r>
          </w:p>
        </w:tc>
        <w:tc>
          <w:tcPr>
            <w:tcW w:w="1728" w:type="dxa"/>
            <w:tcBorders>
              <w:top w:val="single" w:sz="8" w:space="0" w:color="000000"/>
              <w:bottom w:val="single" w:sz="4" w:space="0" w:color="000000"/>
            </w:tcBorders>
          </w:tcPr>
          <w:p>
            <w:pPr>
              <w:pStyle w:val="TableParagraph"/>
              <w:spacing w:before="42"/>
              <w:ind w:right="516"/>
              <w:jc w:val="right"/>
              <w:rPr>
                <w:b/>
                <w:sz w:val="20"/>
              </w:rPr>
            </w:pPr>
            <w:r>
              <w:rPr>
                <w:b/>
                <w:spacing w:val="-2"/>
                <w:sz w:val="20"/>
              </w:rPr>
              <w:t>2,949</w:t>
            </w:r>
          </w:p>
        </w:tc>
        <w:tc>
          <w:tcPr>
            <w:tcW w:w="821" w:type="dxa"/>
            <w:tcBorders>
              <w:top w:val="single" w:sz="8" w:space="0" w:color="000000"/>
              <w:bottom w:val="single" w:sz="4" w:space="0" w:color="000000"/>
              <w:right w:val="single" w:sz="4" w:space="0" w:color="000000"/>
            </w:tcBorders>
          </w:tcPr>
          <w:p>
            <w:pPr>
              <w:pStyle w:val="TableParagraph"/>
              <w:spacing w:before="42"/>
              <w:ind w:right="92"/>
              <w:jc w:val="right"/>
              <w:rPr>
                <w:b/>
                <w:sz w:val="20"/>
              </w:rPr>
            </w:pPr>
            <w:r>
              <w:rPr>
                <w:b/>
                <w:spacing w:val="-4"/>
                <w:sz w:val="20"/>
              </w:rPr>
              <w:t>4.3%</w:t>
            </w:r>
          </w:p>
        </w:tc>
      </w:tr>
    </w:tbl>
    <w:p>
      <w:pPr>
        <w:pStyle w:val="BodyText"/>
        <w:spacing w:before="8"/>
        <w:rPr>
          <w:b/>
          <w:sz w:val="23"/>
        </w:rPr>
      </w:pPr>
    </w:p>
    <w:p>
      <w:pPr>
        <w:pStyle w:val="BodyText"/>
        <w:ind w:left="260"/>
      </w:pPr>
      <w:r>
        <w:rPr/>
        <w:t>Employee</w:t>
      </w:r>
      <w:r>
        <w:rPr>
          <w:spacing w:val="-2"/>
        </w:rPr>
        <w:t> </w:t>
      </w:r>
      <w:r>
        <w:rPr/>
        <w:t>costs include</w:t>
      </w:r>
      <w:r>
        <w:rPr>
          <w:spacing w:val="-4"/>
        </w:rPr>
        <w:t> </w:t>
      </w:r>
      <w:r>
        <w:rPr/>
        <w:t>all</w:t>
      </w:r>
      <w:r>
        <w:rPr>
          <w:spacing w:val="-2"/>
        </w:rPr>
        <w:t> </w:t>
      </w:r>
      <w:r>
        <w:rPr/>
        <w:t>labour</w:t>
      </w:r>
      <w:r>
        <w:rPr>
          <w:spacing w:val="-1"/>
        </w:rPr>
        <w:t> </w:t>
      </w:r>
      <w:r>
        <w:rPr/>
        <w:t>related</w:t>
      </w:r>
      <w:r>
        <w:rPr>
          <w:spacing w:val="-4"/>
        </w:rPr>
        <w:t> </w:t>
      </w:r>
      <w:r>
        <w:rPr/>
        <w:t>expenditure</w:t>
      </w:r>
      <w:r>
        <w:rPr>
          <w:spacing w:val="-1"/>
        </w:rPr>
        <w:t> </w:t>
      </w:r>
      <w:r>
        <w:rPr/>
        <w:t>such</w:t>
      </w:r>
      <w:r>
        <w:rPr>
          <w:spacing w:val="-1"/>
        </w:rPr>
        <w:t> </w:t>
      </w:r>
      <w:r>
        <w:rPr/>
        <w:t>as</w:t>
      </w:r>
      <w:r>
        <w:rPr>
          <w:spacing w:val="-4"/>
        </w:rPr>
        <w:t> </w:t>
      </w:r>
      <w:r>
        <w:rPr/>
        <w:t>wages</w:t>
      </w:r>
      <w:r>
        <w:rPr>
          <w:spacing w:val="-2"/>
        </w:rPr>
        <w:t> </w:t>
      </w:r>
      <w:r>
        <w:rPr/>
        <w:t>and</w:t>
      </w:r>
      <w:r>
        <w:rPr>
          <w:spacing w:val="-6"/>
        </w:rPr>
        <w:t> </w:t>
      </w:r>
      <w:r>
        <w:rPr/>
        <w:t>salaries</w:t>
      </w:r>
      <w:r>
        <w:rPr>
          <w:spacing w:val="-2"/>
        </w:rPr>
        <w:t> </w:t>
      </w:r>
      <w:r>
        <w:rPr/>
        <w:t>and</w:t>
      </w:r>
      <w:r>
        <w:rPr>
          <w:spacing w:val="-1"/>
        </w:rPr>
        <w:t> </w:t>
      </w:r>
      <w:r>
        <w:rPr/>
        <w:t>on-costs such</w:t>
      </w:r>
      <w:r>
        <w:rPr>
          <w:spacing w:val="-1"/>
        </w:rPr>
        <w:t> </w:t>
      </w:r>
      <w:r>
        <w:rPr/>
        <w:t>as allowances, leave entitlements, work cover and employer superannuation.</w:t>
      </w:r>
    </w:p>
    <w:p>
      <w:pPr>
        <w:pStyle w:val="BodyText"/>
        <w:spacing w:before="2"/>
      </w:pPr>
    </w:p>
    <w:p>
      <w:pPr>
        <w:pStyle w:val="BodyText"/>
        <w:ind w:left="260" w:right="555"/>
        <w:jc w:val="both"/>
      </w:pPr>
      <w:r>
        <w:rPr/>
        <w:t>Employee costs are forecast to increase by 4.3% or $2.95 million compared to 2023/2024. This increase relates mainly to employee costs being aligned with the Enterprise Bargaining Agreement (EBA) outcomes for</w:t>
      </w:r>
      <w:r>
        <w:rPr>
          <w:spacing w:val="-2"/>
        </w:rPr>
        <w:t> </w:t>
      </w:r>
      <w:r>
        <w:rPr/>
        <w:t>2024/2025;</w:t>
      </w:r>
      <w:r>
        <w:rPr>
          <w:spacing w:val="-4"/>
        </w:rPr>
        <w:t> </w:t>
      </w:r>
      <w:r>
        <w:rPr/>
        <w:t>together</w:t>
      </w:r>
      <w:r>
        <w:rPr>
          <w:spacing w:val="-3"/>
        </w:rPr>
        <w:t> </w:t>
      </w:r>
      <w:r>
        <w:rPr/>
        <w:t>with</w:t>
      </w:r>
      <w:r>
        <w:rPr>
          <w:spacing w:val="-4"/>
        </w:rPr>
        <w:t> </w:t>
      </w:r>
      <w:r>
        <w:rPr/>
        <w:t>projected</w:t>
      </w:r>
      <w:r>
        <w:rPr>
          <w:spacing w:val="-4"/>
        </w:rPr>
        <w:t> </w:t>
      </w:r>
      <w:r>
        <w:rPr/>
        <w:t>movement</w:t>
      </w:r>
      <w:r>
        <w:rPr>
          <w:spacing w:val="-3"/>
        </w:rPr>
        <w:t> </w:t>
      </w:r>
      <w:r>
        <w:rPr/>
        <w:t>of</w:t>
      </w:r>
      <w:r>
        <w:rPr>
          <w:spacing w:val="-1"/>
        </w:rPr>
        <w:t> </w:t>
      </w:r>
      <w:r>
        <w:rPr/>
        <w:t>employees</w:t>
      </w:r>
      <w:r>
        <w:rPr>
          <w:spacing w:val="-1"/>
        </w:rPr>
        <w:t> </w:t>
      </w:r>
      <w:r>
        <w:rPr/>
        <w:t>within</w:t>
      </w:r>
      <w:r>
        <w:rPr>
          <w:spacing w:val="-2"/>
        </w:rPr>
        <w:t> </w:t>
      </w:r>
      <w:r>
        <w:rPr/>
        <w:t>employment</w:t>
      </w:r>
      <w:r>
        <w:rPr>
          <w:spacing w:val="-1"/>
        </w:rPr>
        <w:t> </w:t>
      </w:r>
      <w:r>
        <w:rPr/>
        <w:t>bands;</w:t>
      </w:r>
      <w:r>
        <w:rPr>
          <w:spacing w:val="-1"/>
        </w:rPr>
        <w:t> </w:t>
      </w:r>
      <w:r>
        <w:rPr/>
        <w:t>0.5%</w:t>
      </w:r>
      <w:r>
        <w:rPr>
          <w:spacing w:val="-1"/>
        </w:rPr>
        <w:t> </w:t>
      </w:r>
      <w:r>
        <w:rPr/>
        <w:t>increase</w:t>
      </w:r>
      <w:r>
        <w:rPr>
          <w:spacing w:val="-3"/>
        </w:rPr>
        <w:t> </w:t>
      </w:r>
      <w:r>
        <w:rPr/>
        <w:t>in Superannuation Guarantee Contribution from the current rate of 11.00 % to 11.50% from 1 July 2024.</w:t>
      </w:r>
    </w:p>
    <w:p>
      <w:pPr>
        <w:spacing w:after="0"/>
        <w:jc w:val="both"/>
        <w:sectPr>
          <w:pgSz w:w="11910" w:h="16840"/>
          <w:pgMar w:header="0" w:footer="426" w:top="620" w:bottom="740" w:left="460" w:right="160"/>
        </w:sectPr>
      </w:pPr>
    </w:p>
    <w:p>
      <w:pPr>
        <w:pStyle w:val="Heading4"/>
        <w:numPr>
          <w:ilvl w:val="2"/>
          <w:numId w:val="11"/>
        </w:numPr>
        <w:tabs>
          <w:tab w:pos="862" w:val="left" w:leader="none"/>
        </w:tabs>
        <w:spacing w:line="240" w:lineRule="auto" w:before="82" w:after="0"/>
        <w:ind w:left="861" w:right="0" w:hanging="602"/>
        <w:jc w:val="left"/>
        <w:rPr>
          <w:color w:val="4966AC"/>
        </w:rPr>
      </w:pPr>
      <w:r>
        <w:rPr>
          <w:color w:val="4966AC"/>
        </w:rPr>
        <w:t>Materials</w:t>
      </w:r>
      <w:r>
        <w:rPr>
          <w:color w:val="4966AC"/>
          <w:spacing w:val="-2"/>
        </w:rPr>
        <w:t> </w:t>
      </w:r>
      <w:r>
        <w:rPr>
          <w:color w:val="4966AC"/>
        </w:rPr>
        <w:t>and</w:t>
      </w:r>
      <w:r>
        <w:rPr>
          <w:color w:val="4966AC"/>
          <w:spacing w:val="2"/>
        </w:rPr>
        <w:t> </w:t>
      </w:r>
      <w:r>
        <w:rPr>
          <w:color w:val="4966AC"/>
          <w:spacing w:val="-2"/>
        </w:rPr>
        <w:t>services</w:t>
      </w:r>
    </w:p>
    <w:p>
      <w:pPr>
        <w:pStyle w:val="BodyText"/>
        <w:spacing w:before="10"/>
        <w:rPr>
          <w:b/>
          <w:sz w:val="21"/>
        </w:rPr>
      </w:pPr>
    </w:p>
    <w:tbl>
      <w:tblPr>
        <w:tblW w:w="0" w:type="auto"/>
        <w:jc w:val="left"/>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52"/>
        <w:gridCol w:w="1327"/>
        <w:gridCol w:w="1329"/>
        <w:gridCol w:w="1836"/>
        <w:gridCol w:w="989"/>
      </w:tblGrid>
      <w:tr>
        <w:trPr>
          <w:trHeight w:val="1240" w:hRule="atLeast"/>
        </w:trPr>
        <w:tc>
          <w:tcPr>
            <w:tcW w:w="6379" w:type="dxa"/>
            <w:gridSpan w:val="2"/>
            <w:tcBorders>
              <w:top w:val="single" w:sz="4" w:space="0" w:color="000000"/>
              <w:left w:val="single" w:sz="4" w:space="0" w:color="000000"/>
            </w:tcBorders>
            <w:shd w:val="clear" w:color="auto" w:fill="5B9AD4"/>
          </w:tcPr>
          <w:p>
            <w:pPr>
              <w:pStyle w:val="TableParagraph"/>
              <w:spacing w:before="59"/>
              <w:ind w:left="5282" w:right="217"/>
              <w:jc w:val="center"/>
              <w:rPr>
                <w:b/>
                <w:sz w:val="18"/>
              </w:rPr>
            </w:pPr>
            <w:r>
              <w:rPr>
                <w:b/>
                <w:color w:val="FFFFFF"/>
                <w:spacing w:val="-2"/>
                <w:sz w:val="18"/>
              </w:rPr>
              <w:t>Forecast Actual</w:t>
            </w:r>
          </w:p>
          <w:p>
            <w:pPr>
              <w:pStyle w:val="TableParagraph"/>
              <w:spacing w:before="87"/>
              <w:ind w:left="5282" w:right="218"/>
              <w:jc w:val="center"/>
              <w:rPr>
                <w:b/>
                <w:sz w:val="18"/>
              </w:rPr>
            </w:pPr>
            <w:r>
              <w:rPr>
                <w:b/>
                <w:color w:val="FFFFFF"/>
                <w:spacing w:val="-2"/>
                <w:sz w:val="18"/>
              </w:rPr>
              <w:t>2023/2024</w:t>
            </w:r>
          </w:p>
          <w:p>
            <w:pPr>
              <w:pStyle w:val="TableParagraph"/>
              <w:spacing w:before="1"/>
              <w:rPr>
                <w:b/>
                <w:sz w:val="23"/>
              </w:rPr>
            </w:pPr>
          </w:p>
          <w:p>
            <w:pPr>
              <w:pStyle w:val="TableParagraph"/>
              <w:spacing w:line="187" w:lineRule="exact" w:before="1"/>
              <w:ind w:left="5279" w:right="218"/>
              <w:jc w:val="center"/>
              <w:rPr>
                <w:b/>
                <w:sz w:val="18"/>
              </w:rPr>
            </w:pPr>
            <w:r>
              <w:rPr>
                <w:b/>
                <w:color w:val="FFFFFF"/>
                <w:spacing w:val="-2"/>
                <w:sz w:val="18"/>
              </w:rPr>
              <w:t>$’000</w:t>
            </w:r>
          </w:p>
        </w:tc>
        <w:tc>
          <w:tcPr>
            <w:tcW w:w="1329" w:type="dxa"/>
            <w:tcBorders>
              <w:top w:val="single" w:sz="4" w:space="0" w:color="000000"/>
            </w:tcBorders>
            <w:shd w:val="clear" w:color="auto" w:fill="5B9AD4"/>
          </w:tcPr>
          <w:p>
            <w:pPr>
              <w:pStyle w:val="TableParagraph"/>
              <w:rPr>
                <w:b/>
                <w:sz w:val="23"/>
              </w:rPr>
            </w:pPr>
          </w:p>
          <w:p>
            <w:pPr>
              <w:pStyle w:val="TableParagraph"/>
              <w:spacing w:line="343" w:lineRule="auto" w:before="1"/>
              <w:ind w:left="242" w:right="229" w:hanging="3"/>
              <w:jc w:val="center"/>
              <w:rPr>
                <w:b/>
                <w:sz w:val="18"/>
              </w:rPr>
            </w:pPr>
            <w:r>
              <w:rPr>
                <w:b/>
                <w:color w:val="FFFFFF"/>
                <w:spacing w:val="-2"/>
                <w:sz w:val="18"/>
              </w:rPr>
              <w:t>Budget 2024/2025</w:t>
            </w:r>
          </w:p>
          <w:p>
            <w:pPr>
              <w:pStyle w:val="TableParagraph"/>
              <w:spacing w:line="187" w:lineRule="exact" w:before="176"/>
              <w:ind w:left="427" w:right="420"/>
              <w:jc w:val="center"/>
              <w:rPr>
                <w:b/>
                <w:sz w:val="18"/>
              </w:rPr>
            </w:pPr>
            <w:r>
              <w:rPr>
                <w:b/>
                <w:color w:val="FFFFFF"/>
                <w:spacing w:val="-2"/>
                <w:sz w:val="18"/>
              </w:rPr>
              <w:t>$’000</w:t>
            </w:r>
          </w:p>
        </w:tc>
        <w:tc>
          <w:tcPr>
            <w:tcW w:w="1836" w:type="dxa"/>
            <w:tcBorders>
              <w:top w:val="single" w:sz="4" w:space="0" w:color="000000"/>
            </w:tcBorders>
            <w:shd w:val="clear" w:color="auto" w:fill="5B9AD4"/>
          </w:tcPr>
          <w:p>
            <w:pPr>
              <w:pStyle w:val="TableParagraph"/>
              <w:rPr>
                <w:b/>
                <w:sz w:val="20"/>
              </w:rPr>
            </w:pPr>
          </w:p>
          <w:p>
            <w:pPr>
              <w:pStyle w:val="TableParagraph"/>
              <w:spacing w:before="8"/>
              <w:rPr>
                <w:b/>
                <w:sz w:val="28"/>
              </w:rPr>
            </w:pPr>
          </w:p>
          <w:p>
            <w:pPr>
              <w:pStyle w:val="TableParagraph"/>
              <w:ind w:left="1088"/>
              <w:rPr>
                <w:b/>
                <w:sz w:val="18"/>
              </w:rPr>
            </w:pPr>
            <w:r>
              <w:rPr>
                <w:b/>
                <w:color w:val="FFFFFF"/>
                <w:spacing w:val="-2"/>
                <w:sz w:val="18"/>
              </w:rPr>
              <w:t>Change</w:t>
            </w:r>
          </w:p>
          <w:p>
            <w:pPr>
              <w:pStyle w:val="TableParagraph"/>
              <w:spacing w:before="1"/>
              <w:rPr>
                <w:b/>
                <w:sz w:val="23"/>
              </w:rPr>
            </w:pPr>
          </w:p>
          <w:p>
            <w:pPr>
              <w:pStyle w:val="TableParagraph"/>
              <w:spacing w:line="187" w:lineRule="exact" w:before="1"/>
              <w:ind w:left="442"/>
              <w:rPr>
                <w:b/>
                <w:sz w:val="18"/>
              </w:rPr>
            </w:pPr>
            <w:r>
              <w:rPr>
                <w:b/>
                <w:color w:val="FFFFFF"/>
                <w:spacing w:val="-2"/>
                <w:sz w:val="18"/>
              </w:rPr>
              <w:t>$’000</w:t>
            </w:r>
          </w:p>
        </w:tc>
        <w:tc>
          <w:tcPr>
            <w:tcW w:w="989"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9"/>
              <w:rPr>
                <w:b/>
                <w:sz w:val="29"/>
              </w:rPr>
            </w:pPr>
          </w:p>
          <w:p>
            <w:pPr>
              <w:pStyle w:val="TableParagraph"/>
              <w:spacing w:line="187" w:lineRule="exact" w:before="1"/>
              <w:ind w:left="161"/>
              <w:rPr>
                <w:b/>
                <w:sz w:val="18"/>
              </w:rPr>
            </w:pPr>
            <w:r>
              <w:rPr>
                <w:b/>
                <w:color w:val="FFFFFF"/>
                <w:sz w:val="18"/>
              </w:rPr>
              <w:t>%</w:t>
            </w:r>
          </w:p>
        </w:tc>
      </w:tr>
      <w:tr>
        <w:trPr>
          <w:trHeight w:val="313" w:hRule="atLeast"/>
        </w:trPr>
        <w:tc>
          <w:tcPr>
            <w:tcW w:w="5052" w:type="dxa"/>
            <w:tcBorders>
              <w:left w:val="single" w:sz="4" w:space="0" w:color="000000"/>
            </w:tcBorders>
          </w:tcPr>
          <w:p>
            <w:pPr>
              <w:pStyle w:val="TableParagraph"/>
              <w:spacing w:line="229" w:lineRule="exact" w:before="64"/>
              <w:ind w:left="107"/>
              <w:rPr>
                <w:sz w:val="20"/>
              </w:rPr>
            </w:pPr>
            <w:r>
              <w:rPr>
                <w:sz w:val="20"/>
              </w:rPr>
              <w:t>Agency</w:t>
            </w:r>
            <w:r>
              <w:rPr>
                <w:spacing w:val="-8"/>
                <w:sz w:val="20"/>
              </w:rPr>
              <w:t> </w:t>
            </w:r>
            <w:r>
              <w:rPr>
                <w:spacing w:val="-2"/>
                <w:sz w:val="20"/>
              </w:rPr>
              <w:t>staff</w:t>
            </w:r>
          </w:p>
        </w:tc>
        <w:tc>
          <w:tcPr>
            <w:tcW w:w="1327" w:type="dxa"/>
          </w:tcPr>
          <w:p>
            <w:pPr>
              <w:pStyle w:val="TableParagraph"/>
              <w:spacing w:before="31"/>
              <w:ind w:right="103"/>
              <w:jc w:val="right"/>
              <w:rPr>
                <w:sz w:val="20"/>
              </w:rPr>
            </w:pPr>
            <w:r>
              <w:rPr>
                <w:spacing w:val="-5"/>
                <w:sz w:val="20"/>
              </w:rPr>
              <w:t>304</w:t>
            </w:r>
          </w:p>
        </w:tc>
        <w:tc>
          <w:tcPr>
            <w:tcW w:w="1329" w:type="dxa"/>
            <w:shd w:val="clear" w:color="auto" w:fill="DDEBF6"/>
          </w:tcPr>
          <w:p>
            <w:pPr>
              <w:pStyle w:val="TableParagraph"/>
              <w:spacing w:before="31"/>
              <w:ind w:right="105"/>
              <w:jc w:val="right"/>
              <w:rPr>
                <w:b/>
                <w:sz w:val="20"/>
              </w:rPr>
            </w:pPr>
            <w:r>
              <w:rPr>
                <w:b/>
                <w:spacing w:val="-5"/>
                <w:sz w:val="20"/>
              </w:rPr>
              <w:t>211</w:t>
            </w:r>
          </w:p>
        </w:tc>
        <w:tc>
          <w:tcPr>
            <w:tcW w:w="1836" w:type="dxa"/>
          </w:tcPr>
          <w:p>
            <w:pPr>
              <w:pStyle w:val="TableParagraph"/>
              <w:spacing w:before="31"/>
              <w:ind w:right="609"/>
              <w:jc w:val="right"/>
              <w:rPr>
                <w:sz w:val="20"/>
              </w:rPr>
            </w:pPr>
            <w:r>
              <w:rPr>
                <w:spacing w:val="-4"/>
                <w:sz w:val="20"/>
              </w:rPr>
              <w:t>(93)</w:t>
            </w:r>
          </w:p>
        </w:tc>
        <w:tc>
          <w:tcPr>
            <w:tcW w:w="989" w:type="dxa"/>
            <w:tcBorders>
              <w:right w:val="single" w:sz="4" w:space="0" w:color="000000"/>
            </w:tcBorders>
          </w:tcPr>
          <w:p>
            <w:pPr>
              <w:pStyle w:val="TableParagraph"/>
              <w:spacing w:before="31"/>
              <w:ind w:left="182"/>
              <w:rPr>
                <w:sz w:val="20"/>
              </w:rPr>
            </w:pPr>
            <w:r>
              <w:rPr>
                <w:spacing w:val="-2"/>
                <w:sz w:val="20"/>
              </w:rPr>
              <w:t>(30.6%)</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pacing w:val="-2"/>
                <w:sz w:val="20"/>
              </w:rPr>
              <w:t>Apprentices</w:t>
            </w:r>
          </w:p>
        </w:tc>
        <w:tc>
          <w:tcPr>
            <w:tcW w:w="1327" w:type="dxa"/>
          </w:tcPr>
          <w:p>
            <w:pPr>
              <w:pStyle w:val="TableParagraph"/>
              <w:spacing w:before="12"/>
              <w:ind w:right="103"/>
              <w:jc w:val="right"/>
              <w:rPr>
                <w:sz w:val="20"/>
              </w:rPr>
            </w:pPr>
            <w:r>
              <w:rPr>
                <w:spacing w:val="-5"/>
                <w:sz w:val="20"/>
              </w:rPr>
              <w:t>449</w:t>
            </w:r>
          </w:p>
        </w:tc>
        <w:tc>
          <w:tcPr>
            <w:tcW w:w="1329" w:type="dxa"/>
            <w:shd w:val="clear" w:color="auto" w:fill="DDEBF6"/>
          </w:tcPr>
          <w:p>
            <w:pPr>
              <w:pStyle w:val="TableParagraph"/>
              <w:spacing w:before="12"/>
              <w:ind w:right="105"/>
              <w:jc w:val="right"/>
              <w:rPr>
                <w:b/>
                <w:sz w:val="20"/>
              </w:rPr>
            </w:pPr>
            <w:r>
              <w:rPr>
                <w:b/>
                <w:spacing w:val="-5"/>
                <w:sz w:val="20"/>
              </w:rPr>
              <w:t>587</w:t>
            </w:r>
          </w:p>
        </w:tc>
        <w:tc>
          <w:tcPr>
            <w:tcW w:w="1836" w:type="dxa"/>
          </w:tcPr>
          <w:p>
            <w:pPr>
              <w:pStyle w:val="TableParagraph"/>
              <w:spacing w:before="12"/>
              <w:ind w:right="611"/>
              <w:jc w:val="right"/>
              <w:rPr>
                <w:sz w:val="20"/>
              </w:rPr>
            </w:pPr>
            <w:r>
              <w:rPr>
                <w:spacing w:val="-5"/>
                <w:sz w:val="20"/>
              </w:rPr>
              <w:t>138</w:t>
            </w:r>
          </w:p>
        </w:tc>
        <w:tc>
          <w:tcPr>
            <w:tcW w:w="989" w:type="dxa"/>
            <w:tcBorders>
              <w:right w:val="single" w:sz="4" w:space="0" w:color="000000"/>
            </w:tcBorders>
          </w:tcPr>
          <w:p>
            <w:pPr>
              <w:pStyle w:val="TableParagraph"/>
              <w:spacing w:before="12"/>
              <w:ind w:right="95"/>
              <w:jc w:val="right"/>
              <w:rPr>
                <w:sz w:val="20"/>
              </w:rPr>
            </w:pPr>
            <w:r>
              <w:rPr>
                <w:spacing w:val="-2"/>
                <w:sz w:val="20"/>
              </w:rPr>
              <w:t>30.7%</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Bank</w:t>
            </w:r>
            <w:r>
              <w:rPr>
                <w:spacing w:val="-8"/>
                <w:sz w:val="20"/>
              </w:rPr>
              <w:t> </w:t>
            </w:r>
            <w:r>
              <w:rPr>
                <w:spacing w:val="-2"/>
                <w:sz w:val="20"/>
              </w:rPr>
              <w:t>charges</w:t>
            </w:r>
          </w:p>
        </w:tc>
        <w:tc>
          <w:tcPr>
            <w:tcW w:w="1327" w:type="dxa"/>
          </w:tcPr>
          <w:p>
            <w:pPr>
              <w:pStyle w:val="TableParagraph"/>
              <w:spacing w:before="12"/>
              <w:ind w:right="103"/>
              <w:jc w:val="right"/>
              <w:rPr>
                <w:sz w:val="20"/>
              </w:rPr>
            </w:pPr>
            <w:r>
              <w:rPr>
                <w:spacing w:val="-5"/>
                <w:sz w:val="20"/>
              </w:rPr>
              <w:t>357</w:t>
            </w:r>
          </w:p>
        </w:tc>
        <w:tc>
          <w:tcPr>
            <w:tcW w:w="1329" w:type="dxa"/>
            <w:shd w:val="clear" w:color="auto" w:fill="DDEBF6"/>
          </w:tcPr>
          <w:p>
            <w:pPr>
              <w:pStyle w:val="TableParagraph"/>
              <w:spacing w:before="12"/>
              <w:ind w:right="105"/>
              <w:jc w:val="right"/>
              <w:rPr>
                <w:b/>
                <w:sz w:val="20"/>
              </w:rPr>
            </w:pPr>
            <w:r>
              <w:rPr>
                <w:b/>
                <w:spacing w:val="-5"/>
                <w:sz w:val="20"/>
              </w:rPr>
              <w:t>379</w:t>
            </w:r>
          </w:p>
        </w:tc>
        <w:tc>
          <w:tcPr>
            <w:tcW w:w="1836" w:type="dxa"/>
          </w:tcPr>
          <w:p>
            <w:pPr>
              <w:pStyle w:val="TableParagraph"/>
              <w:spacing w:before="12"/>
              <w:ind w:right="612"/>
              <w:jc w:val="right"/>
              <w:rPr>
                <w:sz w:val="20"/>
              </w:rPr>
            </w:pPr>
            <w:r>
              <w:rPr>
                <w:spacing w:val="-5"/>
                <w:sz w:val="20"/>
              </w:rPr>
              <w:t>22</w:t>
            </w:r>
          </w:p>
        </w:tc>
        <w:tc>
          <w:tcPr>
            <w:tcW w:w="989" w:type="dxa"/>
            <w:tcBorders>
              <w:right w:val="single" w:sz="4" w:space="0" w:color="000000"/>
            </w:tcBorders>
          </w:tcPr>
          <w:p>
            <w:pPr>
              <w:pStyle w:val="TableParagraph"/>
              <w:spacing w:before="12"/>
              <w:ind w:right="96"/>
              <w:jc w:val="right"/>
              <w:rPr>
                <w:sz w:val="20"/>
              </w:rPr>
            </w:pPr>
            <w:r>
              <w:rPr>
                <w:spacing w:val="-4"/>
                <w:sz w:val="20"/>
              </w:rPr>
              <w:t>6.2%</w:t>
            </w:r>
          </w:p>
        </w:tc>
      </w:tr>
      <w:tr>
        <w:trPr>
          <w:trHeight w:val="293" w:hRule="atLeast"/>
        </w:trPr>
        <w:tc>
          <w:tcPr>
            <w:tcW w:w="5052" w:type="dxa"/>
            <w:tcBorders>
              <w:left w:val="single" w:sz="4" w:space="0" w:color="000000"/>
            </w:tcBorders>
          </w:tcPr>
          <w:p>
            <w:pPr>
              <w:pStyle w:val="TableParagraph"/>
              <w:spacing w:before="43"/>
              <w:ind w:left="107"/>
              <w:rPr>
                <w:sz w:val="20"/>
              </w:rPr>
            </w:pPr>
            <w:r>
              <w:rPr>
                <w:spacing w:val="-2"/>
                <w:sz w:val="20"/>
              </w:rPr>
              <w:t>Cleaning</w:t>
            </w:r>
          </w:p>
        </w:tc>
        <w:tc>
          <w:tcPr>
            <w:tcW w:w="1327" w:type="dxa"/>
          </w:tcPr>
          <w:p>
            <w:pPr>
              <w:pStyle w:val="TableParagraph"/>
              <w:spacing w:before="12"/>
              <w:ind w:right="102"/>
              <w:jc w:val="right"/>
              <w:rPr>
                <w:sz w:val="20"/>
              </w:rPr>
            </w:pPr>
            <w:r>
              <w:rPr>
                <w:spacing w:val="-2"/>
                <w:sz w:val="20"/>
              </w:rPr>
              <w:t>1,289</w:t>
            </w:r>
          </w:p>
        </w:tc>
        <w:tc>
          <w:tcPr>
            <w:tcW w:w="1329" w:type="dxa"/>
            <w:shd w:val="clear" w:color="auto" w:fill="DDEBF6"/>
          </w:tcPr>
          <w:p>
            <w:pPr>
              <w:pStyle w:val="TableParagraph"/>
              <w:spacing w:before="12"/>
              <w:ind w:right="104"/>
              <w:jc w:val="right"/>
              <w:rPr>
                <w:b/>
                <w:sz w:val="20"/>
              </w:rPr>
            </w:pPr>
            <w:r>
              <w:rPr>
                <w:b/>
                <w:spacing w:val="-2"/>
                <w:sz w:val="20"/>
              </w:rPr>
              <w:t>1,260</w:t>
            </w:r>
          </w:p>
        </w:tc>
        <w:tc>
          <w:tcPr>
            <w:tcW w:w="1836" w:type="dxa"/>
          </w:tcPr>
          <w:p>
            <w:pPr>
              <w:pStyle w:val="TableParagraph"/>
              <w:spacing w:before="12"/>
              <w:ind w:right="609"/>
              <w:jc w:val="right"/>
              <w:rPr>
                <w:sz w:val="20"/>
              </w:rPr>
            </w:pPr>
            <w:r>
              <w:rPr>
                <w:spacing w:val="-4"/>
                <w:sz w:val="20"/>
              </w:rPr>
              <w:t>(29)</w:t>
            </w:r>
          </w:p>
        </w:tc>
        <w:tc>
          <w:tcPr>
            <w:tcW w:w="989" w:type="dxa"/>
            <w:tcBorders>
              <w:right w:val="single" w:sz="4" w:space="0" w:color="000000"/>
            </w:tcBorders>
          </w:tcPr>
          <w:p>
            <w:pPr>
              <w:pStyle w:val="TableParagraph"/>
              <w:spacing w:before="12"/>
              <w:ind w:right="94"/>
              <w:jc w:val="right"/>
              <w:rPr>
                <w:sz w:val="20"/>
              </w:rPr>
            </w:pPr>
            <w:r>
              <w:rPr>
                <w:spacing w:val="-2"/>
                <w:sz w:val="20"/>
              </w:rPr>
              <w:t>(2.2%)</w:t>
            </w:r>
          </w:p>
        </w:tc>
      </w:tr>
      <w:tr>
        <w:trPr>
          <w:trHeight w:val="295" w:hRule="atLeast"/>
        </w:trPr>
        <w:tc>
          <w:tcPr>
            <w:tcW w:w="5052" w:type="dxa"/>
            <w:tcBorders>
              <w:left w:val="single" w:sz="4" w:space="0" w:color="000000"/>
            </w:tcBorders>
          </w:tcPr>
          <w:p>
            <w:pPr>
              <w:pStyle w:val="TableParagraph"/>
              <w:spacing w:before="44"/>
              <w:ind w:left="107"/>
              <w:rPr>
                <w:sz w:val="20"/>
              </w:rPr>
            </w:pPr>
            <w:r>
              <w:rPr>
                <w:sz w:val="20"/>
              </w:rPr>
              <w:t>Communication,</w:t>
            </w:r>
            <w:r>
              <w:rPr>
                <w:spacing w:val="-7"/>
                <w:sz w:val="20"/>
              </w:rPr>
              <w:t> </w:t>
            </w:r>
            <w:r>
              <w:rPr>
                <w:sz w:val="20"/>
              </w:rPr>
              <w:t>postage</w:t>
            </w:r>
            <w:r>
              <w:rPr>
                <w:spacing w:val="-7"/>
                <w:sz w:val="20"/>
              </w:rPr>
              <w:t> </w:t>
            </w:r>
            <w:r>
              <w:rPr>
                <w:sz w:val="20"/>
              </w:rPr>
              <w:t>&amp;</w:t>
            </w:r>
            <w:r>
              <w:rPr>
                <w:spacing w:val="-8"/>
                <w:sz w:val="20"/>
              </w:rPr>
              <w:t> </w:t>
            </w:r>
            <w:r>
              <w:rPr>
                <w:spacing w:val="-2"/>
                <w:sz w:val="20"/>
              </w:rPr>
              <w:t>advertising</w:t>
            </w:r>
          </w:p>
        </w:tc>
        <w:tc>
          <w:tcPr>
            <w:tcW w:w="1327" w:type="dxa"/>
          </w:tcPr>
          <w:p>
            <w:pPr>
              <w:pStyle w:val="TableParagraph"/>
              <w:spacing w:before="13"/>
              <w:ind w:right="102"/>
              <w:jc w:val="right"/>
              <w:rPr>
                <w:sz w:val="20"/>
              </w:rPr>
            </w:pPr>
            <w:r>
              <w:rPr>
                <w:spacing w:val="-2"/>
                <w:sz w:val="20"/>
              </w:rPr>
              <w:t>1,137</w:t>
            </w:r>
          </w:p>
        </w:tc>
        <w:tc>
          <w:tcPr>
            <w:tcW w:w="1329" w:type="dxa"/>
            <w:shd w:val="clear" w:color="auto" w:fill="DDEBF6"/>
          </w:tcPr>
          <w:p>
            <w:pPr>
              <w:pStyle w:val="TableParagraph"/>
              <w:spacing w:before="13"/>
              <w:ind w:right="104"/>
              <w:jc w:val="right"/>
              <w:rPr>
                <w:b/>
                <w:sz w:val="20"/>
              </w:rPr>
            </w:pPr>
            <w:r>
              <w:rPr>
                <w:b/>
                <w:spacing w:val="-2"/>
                <w:sz w:val="20"/>
              </w:rPr>
              <w:t>1,304</w:t>
            </w:r>
          </w:p>
        </w:tc>
        <w:tc>
          <w:tcPr>
            <w:tcW w:w="1836" w:type="dxa"/>
          </w:tcPr>
          <w:p>
            <w:pPr>
              <w:pStyle w:val="TableParagraph"/>
              <w:spacing w:before="13"/>
              <w:ind w:right="611"/>
              <w:jc w:val="right"/>
              <w:rPr>
                <w:sz w:val="20"/>
              </w:rPr>
            </w:pPr>
            <w:r>
              <w:rPr>
                <w:spacing w:val="-5"/>
                <w:sz w:val="20"/>
              </w:rPr>
              <w:t>167</w:t>
            </w:r>
          </w:p>
        </w:tc>
        <w:tc>
          <w:tcPr>
            <w:tcW w:w="989" w:type="dxa"/>
            <w:tcBorders>
              <w:right w:val="single" w:sz="4" w:space="0" w:color="000000"/>
            </w:tcBorders>
          </w:tcPr>
          <w:p>
            <w:pPr>
              <w:pStyle w:val="TableParagraph"/>
              <w:spacing w:before="13"/>
              <w:ind w:right="95"/>
              <w:jc w:val="right"/>
              <w:rPr>
                <w:sz w:val="20"/>
              </w:rPr>
            </w:pPr>
            <w:r>
              <w:rPr>
                <w:spacing w:val="-2"/>
                <w:sz w:val="20"/>
              </w:rPr>
              <w:t>14.7%</w:t>
            </w:r>
          </w:p>
        </w:tc>
      </w:tr>
      <w:tr>
        <w:trPr>
          <w:trHeight w:val="295" w:hRule="atLeast"/>
        </w:trPr>
        <w:tc>
          <w:tcPr>
            <w:tcW w:w="5052" w:type="dxa"/>
            <w:tcBorders>
              <w:left w:val="single" w:sz="4" w:space="0" w:color="000000"/>
            </w:tcBorders>
          </w:tcPr>
          <w:p>
            <w:pPr>
              <w:pStyle w:val="TableParagraph"/>
              <w:spacing w:before="44"/>
              <w:ind w:left="107"/>
              <w:rPr>
                <w:sz w:val="20"/>
              </w:rPr>
            </w:pPr>
            <w:r>
              <w:rPr>
                <w:spacing w:val="-2"/>
                <w:sz w:val="20"/>
              </w:rPr>
              <w:t>Consultants</w:t>
            </w:r>
          </w:p>
        </w:tc>
        <w:tc>
          <w:tcPr>
            <w:tcW w:w="1327" w:type="dxa"/>
          </w:tcPr>
          <w:p>
            <w:pPr>
              <w:pStyle w:val="TableParagraph"/>
              <w:spacing w:before="13"/>
              <w:ind w:right="102"/>
              <w:jc w:val="right"/>
              <w:rPr>
                <w:sz w:val="20"/>
              </w:rPr>
            </w:pPr>
            <w:r>
              <w:rPr>
                <w:spacing w:val="-2"/>
                <w:sz w:val="20"/>
              </w:rPr>
              <w:t>1,572</w:t>
            </w:r>
          </w:p>
        </w:tc>
        <w:tc>
          <w:tcPr>
            <w:tcW w:w="1329" w:type="dxa"/>
            <w:shd w:val="clear" w:color="auto" w:fill="DDEBF6"/>
          </w:tcPr>
          <w:p>
            <w:pPr>
              <w:pStyle w:val="TableParagraph"/>
              <w:spacing w:before="13"/>
              <w:ind w:right="104"/>
              <w:jc w:val="right"/>
              <w:rPr>
                <w:b/>
                <w:sz w:val="20"/>
              </w:rPr>
            </w:pPr>
            <w:r>
              <w:rPr>
                <w:b/>
                <w:spacing w:val="-2"/>
                <w:sz w:val="20"/>
              </w:rPr>
              <w:t>1,331</w:t>
            </w:r>
          </w:p>
        </w:tc>
        <w:tc>
          <w:tcPr>
            <w:tcW w:w="1836" w:type="dxa"/>
          </w:tcPr>
          <w:p>
            <w:pPr>
              <w:pStyle w:val="TableParagraph"/>
              <w:spacing w:before="13"/>
              <w:ind w:right="613"/>
              <w:jc w:val="right"/>
              <w:rPr>
                <w:sz w:val="20"/>
              </w:rPr>
            </w:pPr>
            <w:r>
              <w:rPr>
                <w:spacing w:val="-2"/>
                <w:sz w:val="20"/>
              </w:rPr>
              <w:t>(241)</w:t>
            </w:r>
          </w:p>
        </w:tc>
        <w:tc>
          <w:tcPr>
            <w:tcW w:w="989" w:type="dxa"/>
            <w:tcBorders>
              <w:right w:val="single" w:sz="4" w:space="0" w:color="000000"/>
            </w:tcBorders>
          </w:tcPr>
          <w:p>
            <w:pPr>
              <w:pStyle w:val="TableParagraph"/>
              <w:spacing w:before="13"/>
              <w:ind w:left="182"/>
              <w:rPr>
                <w:sz w:val="20"/>
              </w:rPr>
            </w:pPr>
            <w:r>
              <w:rPr>
                <w:spacing w:val="-2"/>
                <w:sz w:val="20"/>
              </w:rPr>
              <w:t>(15.3%)</w:t>
            </w:r>
          </w:p>
        </w:tc>
      </w:tr>
      <w:tr>
        <w:trPr>
          <w:trHeight w:val="295" w:hRule="atLeast"/>
        </w:trPr>
        <w:tc>
          <w:tcPr>
            <w:tcW w:w="5052" w:type="dxa"/>
            <w:tcBorders>
              <w:left w:val="single" w:sz="4" w:space="0" w:color="000000"/>
            </w:tcBorders>
          </w:tcPr>
          <w:p>
            <w:pPr>
              <w:pStyle w:val="TableParagraph"/>
              <w:spacing w:before="44"/>
              <w:ind w:left="107"/>
              <w:rPr>
                <w:sz w:val="20"/>
              </w:rPr>
            </w:pPr>
            <w:r>
              <w:rPr>
                <w:sz w:val="20"/>
              </w:rPr>
              <w:t>Contract</w:t>
            </w:r>
            <w:r>
              <w:rPr>
                <w:spacing w:val="-7"/>
                <w:sz w:val="20"/>
              </w:rPr>
              <w:t> </w:t>
            </w:r>
            <w:r>
              <w:rPr>
                <w:sz w:val="20"/>
              </w:rPr>
              <w:t>payments</w:t>
            </w:r>
            <w:r>
              <w:rPr>
                <w:spacing w:val="-5"/>
                <w:sz w:val="20"/>
              </w:rPr>
              <w:t> </w:t>
            </w:r>
            <w:r>
              <w:rPr>
                <w:sz w:val="20"/>
              </w:rPr>
              <w:t>-</w:t>
            </w:r>
            <w:r>
              <w:rPr>
                <w:spacing w:val="-4"/>
                <w:sz w:val="20"/>
              </w:rPr>
              <w:t> </w:t>
            </w:r>
            <w:r>
              <w:rPr>
                <w:spacing w:val="-2"/>
                <w:sz w:val="20"/>
              </w:rPr>
              <w:t>Election</w:t>
            </w:r>
          </w:p>
        </w:tc>
        <w:tc>
          <w:tcPr>
            <w:tcW w:w="1327" w:type="dxa"/>
          </w:tcPr>
          <w:p>
            <w:pPr>
              <w:pStyle w:val="TableParagraph"/>
              <w:spacing w:before="13"/>
              <w:ind w:right="103"/>
              <w:jc w:val="right"/>
              <w:rPr>
                <w:sz w:val="20"/>
              </w:rPr>
            </w:pPr>
            <w:r>
              <w:rPr>
                <w:spacing w:val="-5"/>
                <w:sz w:val="20"/>
              </w:rPr>
              <w:t>16</w:t>
            </w:r>
          </w:p>
        </w:tc>
        <w:tc>
          <w:tcPr>
            <w:tcW w:w="1329" w:type="dxa"/>
            <w:shd w:val="clear" w:color="auto" w:fill="DDEBF6"/>
          </w:tcPr>
          <w:p>
            <w:pPr>
              <w:pStyle w:val="TableParagraph"/>
              <w:spacing w:before="13"/>
              <w:ind w:right="105"/>
              <w:jc w:val="right"/>
              <w:rPr>
                <w:b/>
                <w:sz w:val="20"/>
              </w:rPr>
            </w:pPr>
            <w:r>
              <w:rPr>
                <w:b/>
                <w:spacing w:val="-5"/>
                <w:sz w:val="20"/>
              </w:rPr>
              <w:t>709</w:t>
            </w:r>
          </w:p>
        </w:tc>
        <w:tc>
          <w:tcPr>
            <w:tcW w:w="1836" w:type="dxa"/>
          </w:tcPr>
          <w:p>
            <w:pPr>
              <w:pStyle w:val="TableParagraph"/>
              <w:spacing w:before="13"/>
              <w:ind w:right="611"/>
              <w:jc w:val="right"/>
              <w:rPr>
                <w:sz w:val="20"/>
              </w:rPr>
            </w:pPr>
            <w:r>
              <w:rPr>
                <w:spacing w:val="-5"/>
                <w:sz w:val="20"/>
              </w:rPr>
              <w:t>693</w:t>
            </w:r>
          </w:p>
        </w:tc>
        <w:tc>
          <w:tcPr>
            <w:tcW w:w="989" w:type="dxa"/>
            <w:tcBorders>
              <w:right w:val="single" w:sz="4" w:space="0" w:color="000000"/>
            </w:tcBorders>
          </w:tcPr>
          <w:p>
            <w:pPr>
              <w:pStyle w:val="TableParagraph"/>
              <w:spacing w:before="13"/>
              <w:ind w:left="94"/>
              <w:rPr>
                <w:sz w:val="20"/>
              </w:rPr>
            </w:pPr>
            <w:r>
              <w:rPr>
                <w:spacing w:val="-2"/>
                <w:sz w:val="20"/>
              </w:rPr>
              <w:t>4331.3%</w:t>
            </w:r>
          </w:p>
        </w:tc>
      </w:tr>
      <w:tr>
        <w:trPr>
          <w:trHeight w:val="290" w:hRule="atLeast"/>
        </w:trPr>
        <w:tc>
          <w:tcPr>
            <w:tcW w:w="5052" w:type="dxa"/>
            <w:tcBorders>
              <w:left w:val="single" w:sz="4" w:space="0" w:color="000000"/>
            </w:tcBorders>
          </w:tcPr>
          <w:p>
            <w:pPr>
              <w:pStyle w:val="TableParagraph"/>
              <w:spacing w:line="226" w:lineRule="exact" w:before="44"/>
              <w:ind w:left="107"/>
              <w:rPr>
                <w:sz w:val="20"/>
              </w:rPr>
            </w:pPr>
            <w:r>
              <w:rPr>
                <w:sz w:val="20"/>
              </w:rPr>
              <w:t>Contract</w:t>
            </w:r>
            <w:r>
              <w:rPr>
                <w:spacing w:val="-7"/>
                <w:sz w:val="20"/>
              </w:rPr>
              <w:t> </w:t>
            </w:r>
            <w:r>
              <w:rPr>
                <w:sz w:val="20"/>
              </w:rPr>
              <w:t>payments</w:t>
            </w:r>
            <w:r>
              <w:rPr>
                <w:spacing w:val="-5"/>
                <w:sz w:val="20"/>
              </w:rPr>
              <w:t> </w:t>
            </w:r>
            <w:r>
              <w:rPr>
                <w:sz w:val="20"/>
              </w:rPr>
              <w:t>-</w:t>
            </w:r>
            <w:r>
              <w:rPr>
                <w:spacing w:val="-4"/>
                <w:sz w:val="20"/>
              </w:rPr>
              <w:t> </w:t>
            </w:r>
            <w:r>
              <w:rPr>
                <w:spacing w:val="-2"/>
                <w:sz w:val="20"/>
              </w:rPr>
              <w:t>Operations</w:t>
            </w:r>
          </w:p>
        </w:tc>
        <w:tc>
          <w:tcPr>
            <w:tcW w:w="1327" w:type="dxa"/>
          </w:tcPr>
          <w:p>
            <w:pPr>
              <w:pStyle w:val="TableParagraph"/>
              <w:spacing w:before="13"/>
              <w:ind w:right="102"/>
              <w:jc w:val="right"/>
              <w:rPr>
                <w:sz w:val="20"/>
              </w:rPr>
            </w:pPr>
            <w:r>
              <w:rPr>
                <w:spacing w:val="-2"/>
                <w:sz w:val="20"/>
              </w:rPr>
              <w:t>5,116</w:t>
            </w:r>
          </w:p>
        </w:tc>
        <w:tc>
          <w:tcPr>
            <w:tcW w:w="1329" w:type="dxa"/>
            <w:shd w:val="clear" w:color="auto" w:fill="DDEBF6"/>
          </w:tcPr>
          <w:p>
            <w:pPr>
              <w:pStyle w:val="TableParagraph"/>
              <w:spacing w:before="13"/>
              <w:ind w:right="104"/>
              <w:jc w:val="right"/>
              <w:rPr>
                <w:b/>
                <w:sz w:val="20"/>
              </w:rPr>
            </w:pPr>
            <w:r>
              <w:rPr>
                <w:b/>
                <w:spacing w:val="-2"/>
                <w:sz w:val="20"/>
              </w:rPr>
              <w:t>5,488</w:t>
            </w:r>
          </w:p>
        </w:tc>
        <w:tc>
          <w:tcPr>
            <w:tcW w:w="1836" w:type="dxa"/>
          </w:tcPr>
          <w:p>
            <w:pPr>
              <w:pStyle w:val="TableParagraph"/>
              <w:spacing w:before="13"/>
              <w:ind w:right="611"/>
              <w:jc w:val="right"/>
              <w:rPr>
                <w:sz w:val="20"/>
              </w:rPr>
            </w:pPr>
            <w:r>
              <w:rPr>
                <w:spacing w:val="-5"/>
                <w:sz w:val="20"/>
              </w:rPr>
              <w:t>372</w:t>
            </w:r>
          </w:p>
        </w:tc>
        <w:tc>
          <w:tcPr>
            <w:tcW w:w="989" w:type="dxa"/>
            <w:tcBorders>
              <w:right w:val="single" w:sz="4" w:space="0" w:color="000000"/>
            </w:tcBorders>
          </w:tcPr>
          <w:p>
            <w:pPr>
              <w:pStyle w:val="TableParagraph"/>
              <w:spacing w:before="13"/>
              <w:ind w:right="96"/>
              <w:jc w:val="right"/>
              <w:rPr>
                <w:sz w:val="20"/>
              </w:rPr>
            </w:pPr>
            <w:r>
              <w:rPr>
                <w:spacing w:val="-4"/>
                <w:sz w:val="20"/>
              </w:rPr>
              <w:t>7.3%</w:t>
            </w:r>
          </w:p>
        </w:tc>
      </w:tr>
      <w:tr>
        <w:trPr>
          <w:trHeight w:val="281" w:hRule="atLeast"/>
        </w:trPr>
        <w:tc>
          <w:tcPr>
            <w:tcW w:w="5052" w:type="dxa"/>
            <w:tcBorders>
              <w:left w:val="single" w:sz="4" w:space="0" w:color="000000"/>
            </w:tcBorders>
          </w:tcPr>
          <w:p>
            <w:pPr>
              <w:pStyle w:val="TableParagraph"/>
              <w:spacing w:line="229" w:lineRule="exact" w:before="32"/>
              <w:ind w:left="107"/>
              <w:rPr>
                <w:sz w:val="20"/>
              </w:rPr>
            </w:pPr>
            <w:r>
              <w:rPr>
                <w:sz w:val="20"/>
              </w:rPr>
              <w:t>Contract</w:t>
            </w:r>
            <w:r>
              <w:rPr>
                <w:spacing w:val="-7"/>
                <w:sz w:val="20"/>
              </w:rPr>
              <w:t> </w:t>
            </w:r>
            <w:r>
              <w:rPr>
                <w:sz w:val="20"/>
              </w:rPr>
              <w:t>payments</w:t>
            </w:r>
            <w:r>
              <w:rPr>
                <w:spacing w:val="-5"/>
                <w:sz w:val="20"/>
              </w:rPr>
              <w:t> </w:t>
            </w:r>
            <w:r>
              <w:rPr>
                <w:sz w:val="20"/>
              </w:rPr>
              <w:t>-</w:t>
            </w:r>
            <w:r>
              <w:rPr>
                <w:spacing w:val="-4"/>
                <w:sz w:val="20"/>
              </w:rPr>
              <w:t> </w:t>
            </w:r>
            <w:r>
              <w:rPr>
                <w:spacing w:val="-2"/>
                <w:sz w:val="20"/>
              </w:rPr>
              <w:t>Valuations</w:t>
            </w:r>
          </w:p>
        </w:tc>
        <w:tc>
          <w:tcPr>
            <w:tcW w:w="1327" w:type="dxa"/>
          </w:tcPr>
          <w:p>
            <w:pPr>
              <w:pStyle w:val="TableParagraph"/>
              <w:spacing w:before="8"/>
              <w:ind w:right="103"/>
              <w:jc w:val="right"/>
              <w:rPr>
                <w:sz w:val="20"/>
              </w:rPr>
            </w:pPr>
            <w:r>
              <w:rPr>
                <w:spacing w:val="-5"/>
                <w:sz w:val="20"/>
              </w:rPr>
              <w:t>60</w:t>
            </w:r>
          </w:p>
        </w:tc>
        <w:tc>
          <w:tcPr>
            <w:tcW w:w="1329" w:type="dxa"/>
            <w:shd w:val="clear" w:color="auto" w:fill="DDEBF6"/>
          </w:tcPr>
          <w:p>
            <w:pPr>
              <w:pStyle w:val="TableParagraph"/>
              <w:spacing w:before="8"/>
              <w:ind w:right="105"/>
              <w:jc w:val="right"/>
              <w:rPr>
                <w:b/>
                <w:sz w:val="20"/>
              </w:rPr>
            </w:pPr>
            <w:r>
              <w:rPr>
                <w:b/>
                <w:spacing w:val="-5"/>
                <w:sz w:val="20"/>
              </w:rPr>
              <w:t>62</w:t>
            </w:r>
          </w:p>
        </w:tc>
        <w:tc>
          <w:tcPr>
            <w:tcW w:w="1836" w:type="dxa"/>
          </w:tcPr>
          <w:p>
            <w:pPr>
              <w:pStyle w:val="TableParagraph"/>
              <w:spacing w:before="8"/>
              <w:ind w:right="608"/>
              <w:jc w:val="right"/>
              <w:rPr>
                <w:sz w:val="20"/>
              </w:rPr>
            </w:pPr>
            <w:r>
              <w:rPr>
                <w:w w:val="99"/>
                <w:sz w:val="20"/>
              </w:rPr>
              <w:t>2</w:t>
            </w:r>
          </w:p>
        </w:tc>
        <w:tc>
          <w:tcPr>
            <w:tcW w:w="989" w:type="dxa"/>
            <w:tcBorders>
              <w:right w:val="single" w:sz="4" w:space="0" w:color="000000"/>
            </w:tcBorders>
          </w:tcPr>
          <w:p>
            <w:pPr>
              <w:pStyle w:val="TableParagraph"/>
              <w:spacing w:before="8"/>
              <w:ind w:right="96"/>
              <w:jc w:val="right"/>
              <w:rPr>
                <w:sz w:val="20"/>
              </w:rPr>
            </w:pPr>
            <w:r>
              <w:rPr>
                <w:spacing w:val="-4"/>
                <w:sz w:val="20"/>
              </w:rPr>
              <w:t>3.3%</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Contract</w:t>
            </w:r>
            <w:r>
              <w:rPr>
                <w:spacing w:val="-7"/>
                <w:sz w:val="20"/>
              </w:rPr>
              <w:t> </w:t>
            </w:r>
            <w:r>
              <w:rPr>
                <w:sz w:val="20"/>
              </w:rPr>
              <w:t>payments</w:t>
            </w:r>
            <w:r>
              <w:rPr>
                <w:spacing w:val="-5"/>
                <w:sz w:val="20"/>
              </w:rPr>
              <w:t> </w:t>
            </w:r>
            <w:r>
              <w:rPr>
                <w:sz w:val="20"/>
              </w:rPr>
              <w:t>-</w:t>
            </w:r>
            <w:r>
              <w:rPr>
                <w:spacing w:val="-4"/>
                <w:sz w:val="20"/>
              </w:rPr>
              <w:t> Waste</w:t>
            </w:r>
          </w:p>
        </w:tc>
        <w:tc>
          <w:tcPr>
            <w:tcW w:w="1327" w:type="dxa"/>
          </w:tcPr>
          <w:p>
            <w:pPr>
              <w:pStyle w:val="TableParagraph"/>
              <w:spacing w:before="12"/>
              <w:ind w:right="103"/>
              <w:jc w:val="right"/>
              <w:rPr>
                <w:sz w:val="20"/>
              </w:rPr>
            </w:pPr>
            <w:r>
              <w:rPr>
                <w:spacing w:val="-2"/>
                <w:sz w:val="20"/>
              </w:rPr>
              <w:t>15,512</w:t>
            </w:r>
          </w:p>
        </w:tc>
        <w:tc>
          <w:tcPr>
            <w:tcW w:w="1329" w:type="dxa"/>
            <w:shd w:val="clear" w:color="auto" w:fill="DDEBF6"/>
          </w:tcPr>
          <w:p>
            <w:pPr>
              <w:pStyle w:val="TableParagraph"/>
              <w:spacing w:before="12"/>
              <w:ind w:right="105"/>
              <w:jc w:val="right"/>
              <w:rPr>
                <w:b/>
                <w:sz w:val="20"/>
              </w:rPr>
            </w:pPr>
            <w:r>
              <w:rPr>
                <w:b/>
                <w:spacing w:val="-2"/>
                <w:sz w:val="20"/>
              </w:rPr>
              <w:t>17,003</w:t>
            </w:r>
          </w:p>
        </w:tc>
        <w:tc>
          <w:tcPr>
            <w:tcW w:w="1836" w:type="dxa"/>
          </w:tcPr>
          <w:p>
            <w:pPr>
              <w:pStyle w:val="TableParagraph"/>
              <w:spacing w:before="12"/>
              <w:ind w:right="610"/>
              <w:jc w:val="right"/>
              <w:rPr>
                <w:sz w:val="20"/>
              </w:rPr>
            </w:pPr>
            <w:r>
              <w:rPr>
                <w:spacing w:val="-2"/>
                <w:sz w:val="20"/>
              </w:rPr>
              <w:t>1,491</w:t>
            </w:r>
          </w:p>
        </w:tc>
        <w:tc>
          <w:tcPr>
            <w:tcW w:w="989" w:type="dxa"/>
            <w:tcBorders>
              <w:right w:val="single" w:sz="4" w:space="0" w:color="000000"/>
            </w:tcBorders>
          </w:tcPr>
          <w:p>
            <w:pPr>
              <w:pStyle w:val="TableParagraph"/>
              <w:spacing w:before="12"/>
              <w:ind w:right="96"/>
              <w:jc w:val="right"/>
              <w:rPr>
                <w:sz w:val="20"/>
              </w:rPr>
            </w:pPr>
            <w:r>
              <w:rPr>
                <w:spacing w:val="-4"/>
                <w:sz w:val="20"/>
              </w:rPr>
              <w:t>9.6%</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Contractors</w:t>
            </w:r>
            <w:r>
              <w:rPr>
                <w:spacing w:val="-9"/>
                <w:sz w:val="20"/>
              </w:rPr>
              <w:t> </w:t>
            </w:r>
            <w:r>
              <w:rPr>
                <w:sz w:val="20"/>
              </w:rPr>
              <w:t>-</w:t>
            </w:r>
            <w:r>
              <w:rPr>
                <w:spacing w:val="-5"/>
                <w:sz w:val="20"/>
              </w:rPr>
              <w:t> </w:t>
            </w:r>
            <w:r>
              <w:rPr>
                <w:spacing w:val="-2"/>
                <w:sz w:val="20"/>
              </w:rPr>
              <w:t>other</w:t>
            </w:r>
          </w:p>
        </w:tc>
        <w:tc>
          <w:tcPr>
            <w:tcW w:w="1327" w:type="dxa"/>
          </w:tcPr>
          <w:p>
            <w:pPr>
              <w:pStyle w:val="TableParagraph"/>
              <w:spacing w:before="12"/>
              <w:ind w:right="102"/>
              <w:jc w:val="right"/>
              <w:rPr>
                <w:sz w:val="20"/>
              </w:rPr>
            </w:pPr>
            <w:r>
              <w:rPr>
                <w:spacing w:val="-2"/>
                <w:sz w:val="20"/>
              </w:rPr>
              <w:t>6,477</w:t>
            </w:r>
          </w:p>
        </w:tc>
        <w:tc>
          <w:tcPr>
            <w:tcW w:w="1329" w:type="dxa"/>
            <w:shd w:val="clear" w:color="auto" w:fill="DDEBF6"/>
          </w:tcPr>
          <w:p>
            <w:pPr>
              <w:pStyle w:val="TableParagraph"/>
              <w:spacing w:before="12"/>
              <w:ind w:right="104"/>
              <w:jc w:val="right"/>
              <w:rPr>
                <w:b/>
                <w:sz w:val="20"/>
              </w:rPr>
            </w:pPr>
            <w:r>
              <w:rPr>
                <w:b/>
                <w:spacing w:val="-2"/>
                <w:sz w:val="20"/>
              </w:rPr>
              <w:t>6,121</w:t>
            </w:r>
          </w:p>
        </w:tc>
        <w:tc>
          <w:tcPr>
            <w:tcW w:w="1836" w:type="dxa"/>
          </w:tcPr>
          <w:p>
            <w:pPr>
              <w:pStyle w:val="TableParagraph"/>
              <w:spacing w:before="12"/>
              <w:ind w:right="613"/>
              <w:jc w:val="right"/>
              <w:rPr>
                <w:sz w:val="20"/>
              </w:rPr>
            </w:pPr>
            <w:r>
              <w:rPr>
                <w:spacing w:val="-2"/>
                <w:sz w:val="20"/>
              </w:rPr>
              <w:t>(356)</w:t>
            </w:r>
          </w:p>
        </w:tc>
        <w:tc>
          <w:tcPr>
            <w:tcW w:w="989" w:type="dxa"/>
            <w:tcBorders>
              <w:right w:val="single" w:sz="4" w:space="0" w:color="000000"/>
            </w:tcBorders>
          </w:tcPr>
          <w:p>
            <w:pPr>
              <w:pStyle w:val="TableParagraph"/>
              <w:spacing w:before="12"/>
              <w:ind w:right="94"/>
              <w:jc w:val="right"/>
              <w:rPr>
                <w:sz w:val="20"/>
              </w:rPr>
            </w:pPr>
            <w:r>
              <w:rPr>
                <w:spacing w:val="-2"/>
                <w:sz w:val="20"/>
              </w:rPr>
              <w:t>(5.5%)</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Cost</w:t>
            </w:r>
            <w:r>
              <w:rPr>
                <w:spacing w:val="-6"/>
                <w:sz w:val="20"/>
              </w:rPr>
              <w:t> </w:t>
            </w:r>
            <w:r>
              <w:rPr>
                <w:sz w:val="20"/>
              </w:rPr>
              <w:t>of</w:t>
            </w:r>
            <w:r>
              <w:rPr>
                <w:spacing w:val="-4"/>
                <w:sz w:val="20"/>
              </w:rPr>
              <w:t> </w:t>
            </w:r>
            <w:r>
              <w:rPr>
                <w:sz w:val="20"/>
              </w:rPr>
              <w:t>goods</w:t>
            </w:r>
            <w:r>
              <w:rPr>
                <w:spacing w:val="-4"/>
                <w:sz w:val="20"/>
              </w:rPr>
              <w:t> sold</w:t>
            </w:r>
          </w:p>
        </w:tc>
        <w:tc>
          <w:tcPr>
            <w:tcW w:w="1327" w:type="dxa"/>
          </w:tcPr>
          <w:p>
            <w:pPr>
              <w:pStyle w:val="TableParagraph"/>
              <w:spacing w:before="12"/>
              <w:ind w:right="102"/>
              <w:jc w:val="right"/>
              <w:rPr>
                <w:sz w:val="20"/>
              </w:rPr>
            </w:pPr>
            <w:r>
              <w:rPr>
                <w:spacing w:val="-2"/>
                <w:sz w:val="20"/>
              </w:rPr>
              <w:t>1,200</w:t>
            </w:r>
          </w:p>
        </w:tc>
        <w:tc>
          <w:tcPr>
            <w:tcW w:w="1329" w:type="dxa"/>
            <w:shd w:val="clear" w:color="auto" w:fill="DDEBF6"/>
          </w:tcPr>
          <w:p>
            <w:pPr>
              <w:pStyle w:val="TableParagraph"/>
              <w:spacing w:before="12"/>
              <w:ind w:right="104"/>
              <w:jc w:val="right"/>
              <w:rPr>
                <w:b/>
                <w:sz w:val="20"/>
              </w:rPr>
            </w:pPr>
            <w:r>
              <w:rPr>
                <w:b/>
                <w:spacing w:val="-2"/>
                <w:sz w:val="20"/>
              </w:rPr>
              <w:t>1,132</w:t>
            </w:r>
          </w:p>
        </w:tc>
        <w:tc>
          <w:tcPr>
            <w:tcW w:w="1836" w:type="dxa"/>
          </w:tcPr>
          <w:p>
            <w:pPr>
              <w:pStyle w:val="TableParagraph"/>
              <w:spacing w:before="12"/>
              <w:ind w:right="609"/>
              <w:jc w:val="right"/>
              <w:rPr>
                <w:sz w:val="20"/>
              </w:rPr>
            </w:pPr>
            <w:r>
              <w:rPr>
                <w:spacing w:val="-4"/>
                <w:sz w:val="20"/>
              </w:rPr>
              <w:t>(68)</w:t>
            </w:r>
          </w:p>
        </w:tc>
        <w:tc>
          <w:tcPr>
            <w:tcW w:w="989" w:type="dxa"/>
            <w:tcBorders>
              <w:right w:val="single" w:sz="4" w:space="0" w:color="000000"/>
            </w:tcBorders>
          </w:tcPr>
          <w:p>
            <w:pPr>
              <w:pStyle w:val="TableParagraph"/>
              <w:spacing w:before="12"/>
              <w:ind w:right="94"/>
              <w:jc w:val="right"/>
              <w:rPr>
                <w:sz w:val="20"/>
              </w:rPr>
            </w:pPr>
            <w:r>
              <w:rPr>
                <w:spacing w:val="-2"/>
                <w:sz w:val="20"/>
              </w:rPr>
              <w:t>(5.7%)</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Fire</w:t>
            </w:r>
            <w:r>
              <w:rPr>
                <w:spacing w:val="-7"/>
                <w:sz w:val="20"/>
              </w:rPr>
              <w:t> </w:t>
            </w:r>
            <w:r>
              <w:rPr>
                <w:sz w:val="20"/>
              </w:rPr>
              <w:t>services</w:t>
            </w:r>
            <w:r>
              <w:rPr>
                <w:spacing w:val="-4"/>
                <w:sz w:val="20"/>
              </w:rPr>
              <w:t> levy</w:t>
            </w:r>
          </w:p>
        </w:tc>
        <w:tc>
          <w:tcPr>
            <w:tcW w:w="1327" w:type="dxa"/>
          </w:tcPr>
          <w:p>
            <w:pPr>
              <w:pStyle w:val="TableParagraph"/>
              <w:spacing w:before="12"/>
              <w:ind w:right="103"/>
              <w:jc w:val="right"/>
              <w:rPr>
                <w:sz w:val="20"/>
              </w:rPr>
            </w:pPr>
            <w:r>
              <w:rPr>
                <w:spacing w:val="-5"/>
                <w:sz w:val="20"/>
              </w:rPr>
              <w:t>124</w:t>
            </w:r>
          </w:p>
        </w:tc>
        <w:tc>
          <w:tcPr>
            <w:tcW w:w="1329" w:type="dxa"/>
            <w:shd w:val="clear" w:color="auto" w:fill="DDEBF6"/>
          </w:tcPr>
          <w:p>
            <w:pPr>
              <w:pStyle w:val="TableParagraph"/>
              <w:spacing w:before="12"/>
              <w:ind w:right="105"/>
              <w:jc w:val="right"/>
              <w:rPr>
                <w:b/>
                <w:sz w:val="20"/>
              </w:rPr>
            </w:pPr>
            <w:r>
              <w:rPr>
                <w:b/>
                <w:spacing w:val="-5"/>
                <w:sz w:val="20"/>
              </w:rPr>
              <w:t>122</w:t>
            </w:r>
          </w:p>
        </w:tc>
        <w:tc>
          <w:tcPr>
            <w:tcW w:w="1836" w:type="dxa"/>
          </w:tcPr>
          <w:p>
            <w:pPr>
              <w:pStyle w:val="TableParagraph"/>
              <w:spacing w:before="12"/>
              <w:ind w:right="610"/>
              <w:jc w:val="right"/>
              <w:rPr>
                <w:sz w:val="20"/>
              </w:rPr>
            </w:pPr>
            <w:r>
              <w:rPr>
                <w:spacing w:val="-5"/>
                <w:sz w:val="20"/>
              </w:rPr>
              <w:t>(2)</w:t>
            </w:r>
          </w:p>
        </w:tc>
        <w:tc>
          <w:tcPr>
            <w:tcW w:w="989" w:type="dxa"/>
            <w:tcBorders>
              <w:right w:val="single" w:sz="4" w:space="0" w:color="000000"/>
            </w:tcBorders>
          </w:tcPr>
          <w:p>
            <w:pPr>
              <w:pStyle w:val="TableParagraph"/>
              <w:spacing w:before="12"/>
              <w:ind w:right="94"/>
              <w:jc w:val="right"/>
              <w:rPr>
                <w:sz w:val="20"/>
              </w:rPr>
            </w:pPr>
            <w:r>
              <w:rPr>
                <w:spacing w:val="-2"/>
                <w:sz w:val="20"/>
              </w:rPr>
              <w:t>(1.6%)</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Food</w:t>
            </w:r>
            <w:r>
              <w:rPr>
                <w:spacing w:val="-5"/>
                <w:sz w:val="20"/>
              </w:rPr>
              <w:t> </w:t>
            </w:r>
            <w:r>
              <w:rPr>
                <w:sz w:val="20"/>
              </w:rPr>
              <w:t>costs</w:t>
            </w:r>
            <w:r>
              <w:rPr>
                <w:spacing w:val="-4"/>
                <w:sz w:val="20"/>
              </w:rPr>
              <w:t> </w:t>
            </w:r>
            <w:r>
              <w:rPr>
                <w:sz w:val="20"/>
              </w:rPr>
              <w:t>-</w:t>
            </w:r>
            <w:r>
              <w:rPr>
                <w:spacing w:val="-2"/>
                <w:sz w:val="20"/>
              </w:rPr>
              <w:t> </w:t>
            </w:r>
            <w:r>
              <w:rPr>
                <w:sz w:val="20"/>
              </w:rPr>
              <w:t>meals</w:t>
            </w:r>
            <w:r>
              <w:rPr>
                <w:spacing w:val="-3"/>
                <w:sz w:val="20"/>
              </w:rPr>
              <w:t> </w:t>
            </w:r>
            <w:r>
              <w:rPr>
                <w:sz w:val="20"/>
              </w:rPr>
              <w:t>on</w:t>
            </w:r>
            <w:r>
              <w:rPr>
                <w:spacing w:val="-5"/>
                <w:sz w:val="20"/>
              </w:rPr>
              <w:t> </w:t>
            </w:r>
            <w:r>
              <w:rPr>
                <w:spacing w:val="-2"/>
                <w:sz w:val="20"/>
              </w:rPr>
              <w:t>wheels</w:t>
            </w:r>
          </w:p>
        </w:tc>
        <w:tc>
          <w:tcPr>
            <w:tcW w:w="1327" w:type="dxa"/>
          </w:tcPr>
          <w:p>
            <w:pPr>
              <w:pStyle w:val="TableParagraph"/>
              <w:spacing w:before="12"/>
              <w:ind w:right="103"/>
              <w:jc w:val="right"/>
              <w:rPr>
                <w:sz w:val="20"/>
              </w:rPr>
            </w:pPr>
            <w:r>
              <w:rPr>
                <w:spacing w:val="-5"/>
                <w:sz w:val="20"/>
              </w:rPr>
              <w:t>668</w:t>
            </w:r>
          </w:p>
        </w:tc>
        <w:tc>
          <w:tcPr>
            <w:tcW w:w="1329" w:type="dxa"/>
            <w:shd w:val="clear" w:color="auto" w:fill="DDEBF6"/>
          </w:tcPr>
          <w:p>
            <w:pPr>
              <w:pStyle w:val="TableParagraph"/>
              <w:spacing w:before="12"/>
              <w:ind w:right="105"/>
              <w:jc w:val="right"/>
              <w:rPr>
                <w:b/>
                <w:sz w:val="20"/>
              </w:rPr>
            </w:pPr>
            <w:r>
              <w:rPr>
                <w:b/>
                <w:spacing w:val="-5"/>
                <w:sz w:val="20"/>
              </w:rPr>
              <w:t>660</w:t>
            </w:r>
          </w:p>
        </w:tc>
        <w:tc>
          <w:tcPr>
            <w:tcW w:w="1836" w:type="dxa"/>
          </w:tcPr>
          <w:p>
            <w:pPr>
              <w:pStyle w:val="TableParagraph"/>
              <w:spacing w:before="12"/>
              <w:ind w:right="610"/>
              <w:jc w:val="right"/>
              <w:rPr>
                <w:sz w:val="20"/>
              </w:rPr>
            </w:pPr>
            <w:r>
              <w:rPr>
                <w:spacing w:val="-5"/>
                <w:sz w:val="20"/>
              </w:rPr>
              <w:t>(8)</w:t>
            </w:r>
          </w:p>
        </w:tc>
        <w:tc>
          <w:tcPr>
            <w:tcW w:w="989" w:type="dxa"/>
            <w:tcBorders>
              <w:right w:val="single" w:sz="4" w:space="0" w:color="000000"/>
            </w:tcBorders>
          </w:tcPr>
          <w:p>
            <w:pPr>
              <w:pStyle w:val="TableParagraph"/>
              <w:spacing w:before="12"/>
              <w:ind w:right="94"/>
              <w:jc w:val="right"/>
              <w:rPr>
                <w:sz w:val="20"/>
              </w:rPr>
            </w:pPr>
            <w:r>
              <w:rPr>
                <w:spacing w:val="-2"/>
                <w:sz w:val="20"/>
              </w:rPr>
              <w:t>(1.2%)</w:t>
            </w:r>
          </w:p>
        </w:tc>
      </w:tr>
      <w:tr>
        <w:trPr>
          <w:trHeight w:val="294" w:hRule="atLeast"/>
        </w:trPr>
        <w:tc>
          <w:tcPr>
            <w:tcW w:w="5052" w:type="dxa"/>
            <w:tcBorders>
              <w:left w:val="single" w:sz="4" w:space="0" w:color="000000"/>
            </w:tcBorders>
          </w:tcPr>
          <w:p>
            <w:pPr>
              <w:pStyle w:val="TableParagraph"/>
              <w:spacing w:before="43"/>
              <w:ind w:left="107"/>
              <w:rPr>
                <w:sz w:val="20"/>
              </w:rPr>
            </w:pPr>
            <w:r>
              <w:rPr>
                <w:sz w:val="20"/>
              </w:rPr>
              <w:t>Fuels,</w:t>
            </w:r>
            <w:r>
              <w:rPr>
                <w:spacing w:val="-6"/>
                <w:sz w:val="20"/>
              </w:rPr>
              <w:t> </w:t>
            </w:r>
            <w:r>
              <w:rPr>
                <w:sz w:val="20"/>
              </w:rPr>
              <w:t>oil,</w:t>
            </w:r>
            <w:r>
              <w:rPr>
                <w:spacing w:val="-5"/>
                <w:sz w:val="20"/>
              </w:rPr>
              <w:t> </w:t>
            </w:r>
            <w:r>
              <w:rPr>
                <w:sz w:val="20"/>
              </w:rPr>
              <w:t>registrations</w:t>
            </w:r>
            <w:r>
              <w:rPr>
                <w:spacing w:val="-4"/>
                <w:sz w:val="20"/>
              </w:rPr>
              <w:t> </w:t>
            </w:r>
            <w:r>
              <w:rPr>
                <w:sz w:val="20"/>
              </w:rPr>
              <w:t>&amp;</w:t>
            </w:r>
            <w:r>
              <w:rPr>
                <w:spacing w:val="-2"/>
                <w:sz w:val="20"/>
              </w:rPr>
              <w:t> </w:t>
            </w:r>
            <w:r>
              <w:rPr>
                <w:sz w:val="20"/>
              </w:rPr>
              <w:t>running</w:t>
            </w:r>
            <w:r>
              <w:rPr>
                <w:spacing w:val="-6"/>
                <w:sz w:val="20"/>
              </w:rPr>
              <w:t> </w:t>
            </w:r>
            <w:r>
              <w:rPr>
                <w:sz w:val="20"/>
              </w:rPr>
              <w:t>costs</w:t>
            </w:r>
            <w:r>
              <w:rPr>
                <w:spacing w:val="-5"/>
                <w:sz w:val="20"/>
              </w:rPr>
              <w:t> </w:t>
            </w:r>
            <w:r>
              <w:rPr>
                <w:sz w:val="20"/>
              </w:rPr>
              <w:t>-</w:t>
            </w:r>
            <w:r>
              <w:rPr>
                <w:spacing w:val="-3"/>
                <w:sz w:val="20"/>
              </w:rPr>
              <w:t> </w:t>
            </w:r>
            <w:r>
              <w:rPr>
                <w:sz w:val="20"/>
              </w:rPr>
              <w:t>plant</w:t>
            </w:r>
            <w:r>
              <w:rPr>
                <w:spacing w:val="-2"/>
                <w:sz w:val="20"/>
              </w:rPr>
              <w:t> </w:t>
            </w:r>
            <w:r>
              <w:rPr>
                <w:sz w:val="20"/>
              </w:rPr>
              <w:t>&amp;</w:t>
            </w:r>
            <w:r>
              <w:rPr>
                <w:spacing w:val="-6"/>
                <w:sz w:val="20"/>
              </w:rPr>
              <w:t> </w:t>
            </w:r>
            <w:r>
              <w:rPr>
                <w:spacing w:val="-2"/>
                <w:sz w:val="20"/>
              </w:rPr>
              <w:t>fleet</w:t>
            </w:r>
          </w:p>
        </w:tc>
        <w:tc>
          <w:tcPr>
            <w:tcW w:w="1327" w:type="dxa"/>
          </w:tcPr>
          <w:p>
            <w:pPr>
              <w:pStyle w:val="TableParagraph"/>
              <w:spacing w:before="12"/>
              <w:ind w:right="102"/>
              <w:jc w:val="right"/>
              <w:rPr>
                <w:sz w:val="20"/>
              </w:rPr>
            </w:pPr>
            <w:r>
              <w:rPr>
                <w:spacing w:val="-2"/>
                <w:sz w:val="20"/>
              </w:rPr>
              <w:t>1,338</w:t>
            </w:r>
          </w:p>
        </w:tc>
        <w:tc>
          <w:tcPr>
            <w:tcW w:w="1329" w:type="dxa"/>
            <w:shd w:val="clear" w:color="auto" w:fill="DDEBF6"/>
          </w:tcPr>
          <w:p>
            <w:pPr>
              <w:pStyle w:val="TableParagraph"/>
              <w:spacing w:before="12"/>
              <w:ind w:right="104"/>
              <w:jc w:val="right"/>
              <w:rPr>
                <w:b/>
                <w:sz w:val="20"/>
              </w:rPr>
            </w:pPr>
            <w:r>
              <w:rPr>
                <w:b/>
                <w:spacing w:val="-2"/>
                <w:sz w:val="20"/>
              </w:rPr>
              <w:t>1,445</w:t>
            </w:r>
          </w:p>
        </w:tc>
        <w:tc>
          <w:tcPr>
            <w:tcW w:w="1836" w:type="dxa"/>
          </w:tcPr>
          <w:p>
            <w:pPr>
              <w:pStyle w:val="TableParagraph"/>
              <w:spacing w:before="12"/>
              <w:ind w:right="611"/>
              <w:jc w:val="right"/>
              <w:rPr>
                <w:sz w:val="20"/>
              </w:rPr>
            </w:pPr>
            <w:r>
              <w:rPr>
                <w:spacing w:val="-5"/>
                <w:sz w:val="20"/>
              </w:rPr>
              <w:t>107</w:t>
            </w:r>
          </w:p>
        </w:tc>
        <w:tc>
          <w:tcPr>
            <w:tcW w:w="989" w:type="dxa"/>
            <w:tcBorders>
              <w:right w:val="single" w:sz="4" w:space="0" w:color="000000"/>
            </w:tcBorders>
          </w:tcPr>
          <w:p>
            <w:pPr>
              <w:pStyle w:val="TableParagraph"/>
              <w:spacing w:before="12"/>
              <w:ind w:right="96"/>
              <w:jc w:val="right"/>
              <w:rPr>
                <w:sz w:val="20"/>
              </w:rPr>
            </w:pPr>
            <w:r>
              <w:rPr>
                <w:spacing w:val="-4"/>
                <w:sz w:val="20"/>
              </w:rPr>
              <w:t>8.0%</w:t>
            </w:r>
          </w:p>
        </w:tc>
      </w:tr>
      <w:tr>
        <w:trPr>
          <w:trHeight w:val="295" w:hRule="atLeast"/>
        </w:trPr>
        <w:tc>
          <w:tcPr>
            <w:tcW w:w="5052" w:type="dxa"/>
            <w:tcBorders>
              <w:left w:val="single" w:sz="4" w:space="0" w:color="000000"/>
            </w:tcBorders>
          </w:tcPr>
          <w:p>
            <w:pPr>
              <w:pStyle w:val="TableParagraph"/>
              <w:spacing w:before="44"/>
              <w:ind w:left="107"/>
              <w:rPr>
                <w:sz w:val="20"/>
              </w:rPr>
            </w:pPr>
            <w:r>
              <w:rPr>
                <w:sz w:val="20"/>
              </w:rPr>
              <w:t>Grants</w:t>
            </w:r>
            <w:r>
              <w:rPr>
                <w:spacing w:val="-4"/>
                <w:sz w:val="20"/>
              </w:rPr>
              <w:t> </w:t>
            </w:r>
            <w:r>
              <w:rPr>
                <w:sz w:val="20"/>
              </w:rPr>
              <w:t>to</w:t>
            </w:r>
            <w:r>
              <w:rPr>
                <w:spacing w:val="-6"/>
                <w:sz w:val="20"/>
              </w:rPr>
              <w:t> </w:t>
            </w:r>
            <w:r>
              <w:rPr>
                <w:spacing w:val="-2"/>
                <w:sz w:val="20"/>
              </w:rPr>
              <w:t>community</w:t>
            </w:r>
          </w:p>
        </w:tc>
        <w:tc>
          <w:tcPr>
            <w:tcW w:w="1327" w:type="dxa"/>
          </w:tcPr>
          <w:p>
            <w:pPr>
              <w:pStyle w:val="TableParagraph"/>
              <w:spacing w:before="13"/>
              <w:ind w:right="103"/>
              <w:jc w:val="right"/>
              <w:rPr>
                <w:sz w:val="20"/>
              </w:rPr>
            </w:pPr>
            <w:r>
              <w:rPr>
                <w:spacing w:val="-5"/>
                <w:sz w:val="20"/>
              </w:rPr>
              <w:t>542</w:t>
            </w:r>
          </w:p>
        </w:tc>
        <w:tc>
          <w:tcPr>
            <w:tcW w:w="1329" w:type="dxa"/>
            <w:shd w:val="clear" w:color="auto" w:fill="DDEBF6"/>
          </w:tcPr>
          <w:p>
            <w:pPr>
              <w:pStyle w:val="TableParagraph"/>
              <w:spacing w:before="13"/>
              <w:ind w:right="105"/>
              <w:jc w:val="right"/>
              <w:rPr>
                <w:b/>
                <w:sz w:val="20"/>
              </w:rPr>
            </w:pPr>
            <w:r>
              <w:rPr>
                <w:b/>
                <w:spacing w:val="-5"/>
                <w:sz w:val="20"/>
              </w:rPr>
              <w:t>577</w:t>
            </w:r>
          </w:p>
        </w:tc>
        <w:tc>
          <w:tcPr>
            <w:tcW w:w="1836" w:type="dxa"/>
          </w:tcPr>
          <w:p>
            <w:pPr>
              <w:pStyle w:val="TableParagraph"/>
              <w:spacing w:before="13"/>
              <w:ind w:right="612"/>
              <w:jc w:val="right"/>
              <w:rPr>
                <w:sz w:val="20"/>
              </w:rPr>
            </w:pPr>
            <w:r>
              <w:rPr>
                <w:spacing w:val="-5"/>
                <w:sz w:val="20"/>
              </w:rPr>
              <w:t>35</w:t>
            </w:r>
          </w:p>
        </w:tc>
        <w:tc>
          <w:tcPr>
            <w:tcW w:w="989" w:type="dxa"/>
            <w:tcBorders>
              <w:right w:val="single" w:sz="4" w:space="0" w:color="000000"/>
            </w:tcBorders>
          </w:tcPr>
          <w:p>
            <w:pPr>
              <w:pStyle w:val="TableParagraph"/>
              <w:spacing w:before="13"/>
              <w:ind w:right="96"/>
              <w:jc w:val="right"/>
              <w:rPr>
                <w:sz w:val="20"/>
              </w:rPr>
            </w:pPr>
            <w:r>
              <w:rPr>
                <w:spacing w:val="-4"/>
                <w:sz w:val="20"/>
              </w:rPr>
              <w:t>6.5%</w:t>
            </w:r>
          </w:p>
        </w:tc>
      </w:tr>
      <w:tr>
        <w:trPr>
          <w:trHeight w:val="295" w:hRule="atLeast"/>
        </w:trPr>
        <w:tc>
          <w:tcPr>
            <w:tcW w:w="5052" w:type="dxa"/>
            <w:tcBorders>
              <w:left w:val="single" w:sz="4" w:space="0" w:color="000000"/>
            </w:tcBorders>
          </w:tcPr>
          <w:p>
            <w:pPr>
              <w:pStyle w:val="TableParagraph"/>
              <w:spacing w:before="44"/>
              <w:ind w:left="107"/>
              <w:rPr>
                <w:sz w:val="20"/>
              </w:rPr>
            </w:pPr>
            <w:r>
              <w:rPr>
                <w:spacing w:val="-2"/>
                <w:sz w:val="20"/>
              </w:rPr>
              <w:t>Insurance</w:t>
            </w:r>
          </w:p>
        </w:tc>
        <w:tc>
          <w:tcPr>
            <w:tcW w:w="1327" w:type="dxa"/>
          </w:tcPr>
          <w:p>
            <w:pPr>
              <w:pStyle w:val="TableParagraph"/>
              <w:spacing w:before="13"/>
              <w:ind w:right="102"/>
              <w:jc w:val="right"/>
              <w:rPr>
                <w:sz w:val="20"/>
              </w:rPr>
            </w:pPr>
            <w:r>
              <w:rPr>
                <w:spacing w:val="-2"/>
                <w:sz w:val="20"/>
              </w:rPr>
              <w:t>1,694</w:t>
            </w:r>
          </w:p>
        </w:tc>
        <w:tc>
          <w:tcPr>
            <w:tcW w:w="1329" w:type="dxa"/>
            <w:shd w:val="clear" w:color="auto" w:fill="DDEBF6"/>
          </w:tcPr>
          <w:p>
            <w:pPr>
              <w:pStyle w:val="TableParagraph"/>
              <w:spacing w:before="13"/>
              <w:ind w:right="104"/>
              <w:jc w:val="right"/>
              <w:rPr>
                <w:b/>
                <w:sz w:val="20"/>
              </w:rPr>
            </w:pPr>
            <w:r>
              <w:rPr>
                <w:b/>
                <w:spacing w:val="-2"/>
                <w:sz w:val="20"/>
              </w:rPr>
              <w:t>1,962</w:t>
            </w:r>
          </w:p>
        </w:tc>
        <w:tc>
          <w:tcPr>
            <w:tcW w:w="1836" w:type="dxa"/>
          </w:tcPr>
          <w:p>
            <w:pPr>
              <w:pStyle w:val="TableParagraph"/>
              <w:spacing w:before="13"/>
              <w:ind w:right="611"/>
              <w:jc w:val="right"/>
              <w:rPr>
                <w:sz w:val="20"/>
              </w:rPr>
            </w:pPr>
            <w:r>
              <w:rPr>
                <w:spacing w:val="-5"/>
                <w:sz w:val="20"/>
              </w:rPr>
              <w:t>268</w:t>
            </w:r>
          </w:p>
        </w:tc>
        <w:tc>
          <w:tcPr>
            <w:tcW w:w="989" w:type="dxa"/>
            <w:tcBorders>
              <w:right w:val="single" w:sz="4" w:space="0" w:color="000000"/>
            </w:tcBorders>
          </w:tcPr>
          <w:p>
            <w:pPr>
              <w:pStyle w:val="TableParagraph"/>
              <w:spacing w:before="13"/>
              <w:ind w:right="95"/>
              <w:jc w:val="right"/>
              <w:rPr>
                <w:sz w:val="20"/>
              </w:rPr>
            </w:pPr>
            <w:r>
              <w:rPr>
                <w:spacing w:val="-2"/>
                <w:sz w:val="20"/>
              </w:rPr>
              <w:t>15.8%</w:t>
            </w:r>
          </w:p>
        </w:tc>
      </w:tr>
      <w:tr>
        <w:trPr>
          <w:trHeight w:val="295" w:hRule="atLeast"/>
        </w:trPr>
        <w:tc>
          <w:tcPr>
            <w:tcW w:w="5052" w:type="dxa"/>
            <w:tcBorders>
              <w:left w:val="single" w:sz="4" w:space="0" w:color="000000"/>
            </w:tcBorders>
          </w:tcPr>
          <w:p>
            <w:pPr>
              <w:pStyle w:val="TableParagraph"/>
              <w:spacing w:before="44"/>
              <w:ind w:left="107"/>
              <w:rPr>
                <w:sz w:val="20"/>
              </w:rPr>
            </w:pPr>
            <w:r>
              <w:rPr>
                <w:sz w:val="20"/>
              </w:rPr>
              <w:t>Legal</w:t>
            </w:r>
            <w:r>
              <w:rPr>
                <w:spacing w:val="-8"/>
                <w:sz w:val="20"/>
              </w:rPr>
              <w:t> </w:t>
            </w:r>
            <w:r>
              <w:rPr>
                <w:spacing w:val="-4"/>
                <w:sz w:val="20"/>
              </w:rPr>
              <w:t>fees</w:t>
            </w:r>
          </w:p>
        </w:tc>
        <w:tc>
          <w:tcPr>
            <w:tcW w:w="1327" w:type="dxa"/>
          </w:tcPr>
          <w:p>
            <w:pPr>
              <w:pStyle w:val="TableParagraph"/>
              <w:spacing w:before="13"/>
              <w:ind w:right="103"/>
              <w:jc w:val="right"/>
              <w:rPr>
                <w:sz w:val="20"/>
              </w:rPr>
            </w:pPr>
            <w:r>
              <w:rPr>
                <w:spacing w:val="-5"/>
                <w:sz w:val="20"/>
              </w:rPr>
              <w:t>698</w:t>
            </w:r>
          </w:p>
        </w:tc>
        <w:tc>
          <w:tcPr>
            <w:tcW w:w="1329" w:type="dxa"/>
            <w:shd w:val="clear" w:color="auto" w:fill="DDEBF6"/>
          </w:tcPr>
          <w:p>
            <w:pPr>
              <w:pStyle w:val="TableParagraph"/>
              <w:spacing w:before="13"/>
              <w:ind w:right="105"/>
              <w:jc w:val="right"/>
              <w:rPr>
                <w:b/>
                <w:sz w:val="20"/>
              </w:rPr>
            </w:pPr>
            <w:r>
              <w:rPr>
                <w:b/>
                <w:spacing w:val="-5"/>
                <w:sz w:val="20"/>
              </w:rPr>
              <w:t>663</w:t>
            </w:r>
          </w:p>
        </w:tc>
        <w:tc>
          <w:tcPr>
            <w:tcW w:w="1836" w:type="dxa"/>
          </w:tcPr>
          <w:p>
            <w:pPr>
              <w:pStyle w:val="TableParagraph"/>
              <w:spacing w:before="13"/>
              <w:ind w:right="609"/>
              <w:jc w:val="right"/>
              <w:rPr>
                <w:sz w:val="20"/>
              </w:rPr>
            </w:pPr>
            <w:r>
              <w:rPr>
                <w:spacing w:val="-4"/>
                <w:sz w:val="20"/>
              </w:rPr>
              <w:t>(35)</w:t>
            </w:r>
          </w:p>
        </w:tc>
        <w:tc>
          <w:tcPr>
            <w:tcW w:w="989" w:type="dxa"/>
            <w:tcBorders>
              <w:right w:val="single" w:sz="4" w:space="0" w:color="000000"/>
            </w:tcBorders>
          </w:tcPr>
          <w:p>
            <w:pPr>
              <w:pStyle w:val="TableParagraph"/>
              <w:spacing w:before="13"/>
              <w:ind w:right="94"/>
              <w:jc w:val="right"/>
              <w:rPr>
                <w:sz w:val="20"/>
              </w:rPr>
            </w:pPr>
            <w:r>
              <w:rPr>
                <w:spacing w:val="-2"/>
                <w:sz w:val="20"/>
              </w:rPr>
              <w:t>(5.0%)</w:t>
            </w:r>
          </w:p>
        </w:tc>
      </w:tr>
      <w:tr>
        <w:trPr>
          <w:trHeight w:val="295" w:hRule="atLeast"/>
        </w:trPr>
        <w:tc>
          <w:tcPr>
            <w:tcW w:w="5052" w:type="dxa"/>
            <w:tcBorders>
              <w:left w:val="single" w:sz="4" w:space="0" w:color="000000"/>
            </w:tcBorders>
          </w:tcPr>
          <w:p>
            <w:pPr>
              <w:pStyle w:val="TableParagraph"/>
              <w:spacing w:before="44"/>
              <w:ind w:left="107"/>
              <w:rPr>
                <w:sz w:val="20"/>
              </w:rPr>
            </w:pPr>
            <w:r>
              <w:rPr>
                <w:sz w:val="20"/>
              </w:rPr>
              <w:t>Library</w:t>
            </w:r>
            <w:r>
              <w:rPr>
                <w:spacing w:val="-10"/>
                <w:sz w:val="20"/>
              </w:rPr>
              <w:t> </w:t>
            </w:r>
            <w:r>
              <w:rPr>
                <w:spacing w:val="-2"/>
                <w:sz w:val="20"/>
              </w:rPr>
              <w:t>contribution</w:t>
            </w:r>
          </w:p>
        </w:tc>
        <w:tc>
          <w:tcPr>
            <w:tcW w:w="1327" w:type="dxa"/>
          </w:tcPr>
          <w:p>
            <w:pPr>
              <w:pStyle w:val="TableParagraph"/>
              <w:spacing w:before="13"/>
              <w:ind w:right="102"/>
              <w:jc w:val="right"/>
              <w:rPr>
                <w:sz w:val="20"/>
              </w:rPr>
            </w:pPr>
            <w:r>
              <w:rPr>
                <w:spacing w:val="-2"/>
                <w:sz w:val="20"/>
              </w:rPr>
              <w:t>3,033</w:t>
            </w:r>
          </w:p>
        </w:tc>
        <w:tc>
          <w:tcPr>
            <w:tcW w:w="1329" w:type="dxa"/>
            <w:shd w:val="clear" w:color="auto" w:fill="DDEBF6"/>
          </w:tcPr>
          <w:p>
            <w:pPr>
              <w:pStyle w:val="TableParagraph"/>
              <w:spacing w:before="13"/>
              <w:ind w:right="104"/>
              <w:jc w:val="right"/>
              <w:rPr>
                <w:b/>
                <w:sz w:val="20"/>
              </w:rPr>
            </w:pPr>
            <w:r>
              <w:rPr>
                <w:b/>
                <w:spacing w:val="-2"/>
                <w:sz w:val="20"/>
              </w:rPr>
              <w:t>3,116</w:t>
            </w:r>
          </w:p>
        </w:tc>
        <w:tc>
          <w:tcPr>
            <w:tcW w:w="1836" w:type="dxa"/>
          </w:tcPr>
          <w:p>
            <w:pPr>
              <w:pStyle w:val="TableParagraph"/>
              <w:spacing w:before="13"/>
              <w:ind w:right="612"/>
              <w:jc w:val="right"/>
              <w:rPr>
                <w:sz w:val="20"/>
              </w:rPr>
            </w:pPr>
            <w:r>
              <w:rPr>
                <w:spacing w:val="-5"/>
                <w:sz w:val="20"/>
              </w:rPr>
              <w:t>83</w:t>
            </w:r>
          </w:p>
        </w:tc>
        <w:tc>
          <w:tcPr>
            <w:tcW w:w="989" w:type="dxa"/>
            <w:tcBorders>
              <w:right w:val="single" w:sz="4" w:space="0" w:color="000000"/>
            </w:tcBorders>
          </w:tcPr>
          <w:p>
            <w:pPr>
              <w:pStyle w:val="TableParagraph"/>
              <w:spacing w:before="13"/>
              <w:ind w:right="96"/>
              <w:jc w:val="right"/>
              <w:rPr>
                <w:sz w:val="20"/>
              </w:rPr>
            </w:pPr>
            <w:r>
              <w:rPr>
                <w:spacing w:val="-4"/>
                <w:sz w:val="20"/>
              </w:rPr>
              <w:t>2.7%</w:t>
            </w:r>
          </w:p>
        </w:tc>
      </w:tr>
      <w:tr>
        <w:trPr>
          <w:trHeight w:val="294" w:hRule="atLeast"/>
        </w:trPr>
        <w:tc>
          <w:tcPr>
            <w:tcW w:w="5052" w:type="dxa"/>
            <w:tcBorders>
              <w:left w:val="single" w:sz="4" w:space="0" w:color="000000"/>
            </w:tcBorders>
          </w:tcPr>
          <w:p>
            <w:pPr>
              <w:pStyle w:val="TableParagraph"/>
              <w:spacing w:line="229" w:lineRule="exact" w:before="44"/>
              <w:ind w:left="107"/>
              <w:rPr>
                <w:sz w:val="20"/>
              </w:rPr>
            </w:pPr>
            <w:r>
              <w:rPr>
                <w:sz w:val="20"/>
              </w:rPr>
              <w:t>Licence</w:t>
            </w:r>
            <w:r>
              <w:rPr>
                <w:spacing w:val="-7"/>
                <w:sz w:val="20"/>
              </w:rPr>
              <w:t> </w:t>
            </w:r>
            <w:r>
              <w:rPr>
                <w:spacing w:val="-4"/>
                <w:sz w:val="20"/>
              </w:rPr>
              <w:t>fees</w:t>
            </w:r>
          </w:p>
        </w:tc>
        <w:tc>
          <w:tcPr>
            <w:tcW w:w="1327" w:type="dxa"/>
          </w:tcPr>
          <w:p>
            <w:pPr>
              <w:pStyle w:val="TableParagraph"/>
              <w:spacing w:before="13"/>
              <w:ind w:right="103"/>
              <w:jc w:val="right"/>
              <w:rPr>
                <w:sz w:val="20"/>
              </w:rPr>
            </w:pPr>
            <w:r>
              <w:rPr>
                <w:spacing w:val="-5"/>
                <w:sz w:val="20"/>
              </w:rPr>
              <w:t>670</w:t>
            </w:r>
          </w:p>
        </w:tc>
        <w:tc>
          <w:tcPr>
            <w:tcW w:w="1329" w:type="dxa"/>
            <w:shd w:val="clear" w:color="auto" w:fill="DDEBF6"/>
          </w:tcPr>
          <w:p>
            <w:pPr>
              <w:pStyle w:val="TableParagraph"/>
              <w:spacing w:before="13"/>
              <w:ind w:right="104"/>
              <w:jc w:val="right"/>
              <w:rPr>
                <w:b/>
                <w:sz w:val="20"/>
              </w:rPr>
            </w:pPr>
            <w:r>
              <w:rPr>
                <w:b/>
                <w:spacing w:val="-2"/>
                <w:sz w:val="20"/>
              </w:rPr>
              <w:t>2,238</w:t>
            </w:r>
          </w:p>
        </w:tc>
        <w:tc>
          <w:tcPr>
            <w:tcW w:w="1836" w:type="dxa"/>
          </w:tcPr>
          <w:p>
            <w:pPr>
              <w:pStyle w:val="TableParagraph"/>
              <w:spacing w:before="13"/>
              <w:ind w:right="610"/>
              <w:jc w:val="right"/>
              <w:rPr>
                <w:sz w:val="20"/>
              </w:rPr>
            </w:pPr>
            <w:r>
              <w:rPr>
                <w:spacing w:val="-2"/>
                <w:sz w:val="20"/>
              </w:rPr>
              <w:t>1,568</w:t>
            </w:r>
          </w:p>
        </w:tc>
        <w:tc>
          <w:tcPr>
            <w:tcW w:w="989" w:type="dxa"/>
            <w:tcBorders>
              <w:right w:val="single" w:sz="4" w:space="0" w:color="000000"/>
            </w:tcBorders>
          </w:tcPr>
          <w:p>
            <w:pPr>
              <w:pStyle w:val="TableParagraph"/>
              <w:spacing w:before="13"/>
              <w:ind w:left="204"/>
              <w:rPr>
                <w:sz w:val="20"/>
              </w:rPr>
            </w:pPr>
            <w:r>
              <w:rPr>
                <w:spacing w:val="-2"/>
                <w:sz w:val="20"/>
              </w:rPr>
              <w:t>234.0%</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pacing w:val="-2"/>
                <w:sz w:val="20"/>
              </w:rPr>
              <w:t>Maintenance</w:t>
            </w:r>
          </w:p>
        </w:tc>
        <w:tc>
          <w:tcPr>
            <w:tcW w:w="1327" w:type="dxa"/>
          </w:tcPr>
          <w:p>
            <w:pPr>
              <w:pStyle w:val="TableParagraph"/>
              <w:spacing w:before="12"/>
              <w:ind w:right="102"/>
              <w:jc w:val="right"/>
              <w:rPr>
                <w:sz w:val="20"/>
              </w:rPr>
            </w:pPr>
            <w:r>
              <w:rPr>
                <w:spacing w:val="-2"/>
                <w:sz w:val="20"/>
              </w:rPr>
              <w:t>5,126</w:t>
            </w:r>
          </w:p>
        </w:tc>
        <w:tc>
          <w:tcPr>
            <w:tcW w:w="1329" w:type="dxa"/>
            <w:shd w:val="clear" w:color="auto" w:fill="DDEBF6"/>
          </w:tcPr>
          <w:p>
            <w:pPr>
              <w:pStyle w:val="TableParagraph"/>
              <w:spacing w:before="12"/>
              <w:ind w:right="104"/>
              <w:jc w:val="right"/>
              <w:rPr>
                <w:b/>
                <w:sz w:val="20"/>
              </w:rPr>
            </w:pPr>
            <w:r>
              <w:rPr>
                <w:b/>
                <w:spacing w:val="-2"/>
                <w:sz w:val="20"/>
              </w:rPr>
              <w:t>5,636</w:t>
            </w:r>
          </w:p>
        </w:tc>
        <w:tc>
          <w:tcPr>
            <w:tcW w:w="1836" w:type="dxa"/>
          </w:tcPr>
          <w:p>
            <w:pPr>
              <w:pStyle w:val="TableParagraph"/>
              <w:spacing w:before="12"/>
              <w:ind w:right="611"/>
              <w:jc w:val="right"/>
              <w:rPr>
                <w:sz w:val="20"/>
              </w:rPr>
            </w:pPr>
            <w:r>
              <w:rPr>
                <w:spacing w:val="-5"/>
                <w:sz w:val="20"/>
              </w:rPr>
              <w:t>510</w:t>
            </w:r>
          </w:p>
        </w:tc>
        <w:tc>
          <w:tcPr>
            <w:tcW w:w="989" w:type="dxa"/>
            <w:tcBorders>
              <w:right w:val="single" w:sz="4" w:space="0" w:color="000000"/>
            </w:tcBorders>
          </w:tcPr>
          <w:p>
            <w:pPr>
              <w:pStyle w:val="TableParagraph"/>
              <w:spacing w:before="12"/>
              <w:ind w:right="96"/>
              <w:jc w:val="right"/>
              <w:rPr>
                <w:sz w:val="20"/>
              </w:rPr>
            </w:pPr>
            <w:r>
              <w:rPr>
                <w:spacing w:val="-4"/>
                <w:sz w:val="20"/>
              </w:rPr>
              <w:t>9.9%</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Marketing</w:t>
            </w:r>
            <w:r>
              <w:rPr>
                <w:spacing w:val="-8"/>
                <w:sz w:val="20"/>
              </w:rPr>
              <w:t> </w:t>
            </w:r>
            <w:r>
              <w:rPr>
                <w:sz w:val="20"/>
              </w:rPr>
              <w:t>and</w:t>
            </w:r>
            <w:r>
              <w:rPr>
                <w:spacing w:val="-8"/>
                <w:sz w:val="20"/>
              </w:rPr>
              <w:t> </w:t>
            </w:r>
            <w:r>
              <w:rPr>
                <w:spacing w:val="-2"/>
                <w:sz w:val="20"/>
              </w:rPr>
              <w:t>promotion</w:t>
            </w:r>
          </w:p>
        </w:tc>
        <w:tc>
          <w:tcPr>
            <w:tcW w:w="1327" w:type="dxa"/>
          </w:tcPr>
          <w:p>
            <w:pPr>
              <w:pStyle w:val="TableParagraph"/>
              <w:spacing w:before="12"/>
              <w:ind w:right="103"/>
              <w:jc w:val="right"/>
              <w:rPr>
                <w:sz w:val="20"/>
              </w:rPr>
            </w:pPr>
            <w:r>
              <w:rPr>
                <w:spacing w:val="-5"/>
                <w:sz w:val="20"/>
              </w:rPr>
              <w:t>204</w:t>
            </w:r>
          </w:p>
        </w:tc>
        <w:tc>
          <w:tcPr>
            <w:tcW w:w="1329" w:type="dxa"/>
            <w:shd w:val="clear" w:color="auto" w:fill="DDEBF6"/>
          </w:tcPr>
          <w:p>
            <w:pPr>
              <w:pStyle w:val="TableParagraph"/>
              <w:spacing w:before="12"/>
              <w:ind w:right="105"/>
              <w:jc w:val="right"/>
              <w:rPr>
                <w:b/>
                <w:sz w:val="20"/>
              </w:rPr>
            </w:pPr>
            <w:r>
              <w:rPr>
                <w:b/>
                <w:spacing w:val="-5"/>
                <w:sz w:val="20"/>
              </w:rPr>
              <w:t>183</w:t>
            </w:r>
          </w:p>
        </w:tc>
        <w:tc>
          <w:tcPr>
            <w:tcW w:w="1836" w:type="dxa"/>
          </w:tcPr>
          <w:p>
            <w:pPr>
              <w:pStyle w:val="TableParagraph"/>
              <w:spacing w:before="12"/>
              <w:ind w:right="609"/>
              <w:jc w:val="right"/>
              <w:rPr>
                <w:sz w:val="20"/>
              </w:rPr>
            </w:pPr>
            <w:r>
              <w:rPr>
                <w:spacing w:val="-4"/>
                <w:sz w:val="20"/>
              </w:rPr>
              <w:t>(21)</w:t>
            </w:r>
          </w:p>
        </w:tc>
        <w:tc>
          <w:tcPr>
            <w:tcW w:w="989" w:type="dxa"/>
            <w:tcBorders>
              <w:right w:val="single" w:sz="4" w:space="0" w:color="000000"/>
            </w:tcBorders>
          </w:tcPr>
          <w:p>
            <w:pPr>
              <w:pStyle w:val="TableParagraph"/>
              <w:spacing w:before="12"/>
              <w:ind w:left="182"/>
              <w:rPr>
                <w:sz w:val="20"/>
              </w:rPr>
            </w:pPr>
            <w:r>
              <w:rPr>
                <w:spacing w:val="-2"/>
                <w:sz w:val="20"/>
              </w:rPr>
              <w:t>(10.3%)</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Materials</w:t>
            </w:r>
            <w:r>
              <w:rPr>
                <w:spacing w:val="-3"/>
                <w:sz w:val="20"/>
              </w:rPr>
              <w:t> </w:t>
            </w:r>
            <w:r>
              <w:rPr>
                <w:sz w:val="20"/>
              </w:rPr>
              <w:t>-</w:t>
            </w:r>
            <w:r>
              <w:rPr>
                <w:spacing w:val="-5"/>
                <w:sz w:val="20"/>
              </w:rPr>
              <w:t> </w:t>
            </w:r>
            <w:r>
              <w:rPr>
                <w:sz w:val="20"/>
              </w:rPr>
              <w:t>depot</w:t>
            </w:r>
            <w:r>
              <w:rPr>
                <w:spacing w:val="-5"/>
                <w:sz w:val="20"/>
              </w:rPr>
              <w:t> </w:t>
            </w:r>
            <w:r>
              <w:rPr>
                <w:sz w:val="20"/>
              </w:rPr>
              <w:t>&amp;</w:t>
            </w:r>
            <w:r>
              <w:rPr>
                <w:spacing w:val="-4"/>
                <w:sz w:val="20"/>
              </w:rPr>
              <w:t> </w:t>
            </w:r>
            <w:r>
              <w:rPr>
                <w:sz w:val="20"/>
              </w:rPr>
              <w:t>golf</w:t>
            </w:r>
            <w:r>
              <w:rPr>
                <w:spacing w:val="-6"/>
                <w:sz w:val="20"/>
              </w:rPr>
              <w:t> </w:t>
            </w:r>
            <w:r>
              <w:rPr>
                <w:spacing w:val="-2"/>
                <w:sz w:val="20"/>
              </w:rPr>
              <w:t>courses</w:t>
            </w:r>
          </w:p>
        </w:tc>
        <w:tc>
          <w:tcPr>
            <w:tcW w:w="1327" w:type="dxa"/>
          </w:tcPr>
          <w:p>
            <w:pPr>
              <w:pStyle w:val="TableParagraph"/>
              <w:spacing w:before="12"/>
              <w:ind w:right="102"/>
              <w:jc w:val="right"/>
              <w:rPr>
                <w:sz w:val="20"/>
              </w:rPr>
            </w:pPr>
            <w:r>
              <w:rPr>
                <w:spacing w:val="-2"/>
                <w:sz w:val="20"/>
              </w:rPr>
              <w:t>2,059</w:t>
            </w:r>
          </w:p>
        </w:tc>
        <w:tc>
          <w:tcPr>
            <w:tcW w:w="1329" w:type="dxa"/>
            <w:shd w:val="clear" w:color="auto" w:fill="DDEBF6"/>
          </w:tcPr>
          <w:p>
            <w:pPr>
              <w:pStyle w:val="TableParagraph"/>
              <w:spacing w:before="12"/>
              <w:ind w:right="104"/>
              <w:jc w:val="right"/>
              <w:rPr>
                <w:b/>
                <w:sz w:val="20"/>
              </w:rPr>
            </w:pPr>
            <w:r>
              <w:rPr>
                <w:b/>
                <w:spacing w:val="-2"/>
                <w:sz w:val="20"/>
              </w:rPr>
              <w:t>2,008</w:t>
            </w:r>
          </w:p>
        </w:tc>
        <w:tc>
          <w:tcPr>
            <w:tcW w:w="1836" w:type="dxa"/>
          </w:tcPr>
          <w:p>
            <w:pPr>
              <w:pStyle w:val="TableParagraph"/>
              <w:spacing w:before="12"/>
              <w:ind w:right="609"/>
              <w:jc w:val="right"/>
              <w:rPr>
                <w:sz w:val="20"/>
              </w:rPr>
            </w:pPr>
            <w:r>
              <w:rPr>
                <w:spacing w:val="-4"/>
                <w:sz w:val="20"/>
              </w:rPr>
              <w:t>(51)</w:t>
            </w:r>
          </w:p>
        </w:tc>
        <w:tc>
          <w:tcPr>
            <w:tcW w:w="989" w:type="dxa"/>
            <w:tcBorders>
              <w:right w:val="single" w:sz="4" w:space="0" w:color="000000"/>
            </w:tcBorders>
          </w:tcPr>
          <w:p>
            <w:pPr>
              <w:pStyle w:val="TableParagraph"/>
              <w:spacing w:before="12"/>
              <w:ind w:right="94"/>
              <w:jc w:val="right"/>
              <w:rPr>
                <w:sz w:val="20"/>
              </w:rPr>
            </w:pPr>
            <w:r>
              <w:rPr>
                <w:spacing w:val="-2"/>
                <w:sz w:val="20"/>
              </w:rPr>
              <w:t>(2.5%)</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pacing w:val="-2"/>
                <w:sz w:val="20"/>
              </w:rPr>
              <w:t>Memberships/subscriptions</w:t>
            </w:r>
          </w:p>
        </w:tc>
        <w:tc>
          <w:tcPr>
            <w:tcW w:w="1327" w:type="dxa"/>
          </w:tcPr>
          <w:p>
            <w:pPr>
              <w:pStyle w:val="TableParagraph"/>
              <w:spacing w:before="12"/>
              <w:ind w:right="103"/>
              <w:jc w:val="right"/>
              <w:rPr>
                <w:sz w:val="20"/>
              </w:rPr>
            </w:pPr>
            <w:r>
              <w:rPr>
                <w:spacing w:val="-5"/>
                <w:sz w:val="20"/>
              </w:rPr>
              <w:t>404</w:t>
            </w:r>
          </w:p>
        </w:tc>
        <w:tc>
          <w:tcPr>
            <w:tcW w:w="1329" w:type="dxa"/>
            <w:shd w:val="clear" w:color="auto" w:fill="DDEBF6"/>
          </w:tcPr>
          <w:p>
            <w:pPr>
              <w:pStyle w:val="TableParagraph"/>
              <w:spacing w:before="12"/>
              <w:ind w:right="105"/>
              <w:jc w:val="right"/>
              <w:rPr>
                <w:b/>
                <w:sz w:val="20"/>
              </w:rPr>
            </w:pPr>
            <w:r>
              <w:rPr>
                <w:b/>
                <w:spacing w:val="-5"/>
                <w:sz w:val="20"/>
              </w:rPr>
              <w:t>409</w:t>
            </w:r>
          </w:p>
        </w:tc>
        <w:tc>
          <w:tcPr>
            <w:tcW w:w="1836" w:type="dxa"/>
          </w:tcPr>
          <w:p>
            <w:pPr>
              <w:pStyle w:val="TableParagraph"/>
              <w:spacing w:before="12"/>
              <w:ind w:right="608"/>
              <w:jc w:val="right"/>
              <w:rPr>
                <w:sz w:val="20"/>
              </w:rPr>
            </w:pPr>
            <w:r>
              <w:rPr>
                <w:w w:val="99"/>
                <w:sz w:val="20"/>
              </w:rPr>
              <w:t>5</w:t>
            </w:r>
          </w:p>
        </w:tc>
        <w:tc>
          <w:tcPr>
            <w:tcW w:w="989" w:type="dxa"/>
            <w:tcBorders>
              <w:right w:val="single" w:sz="4" w:space="0" w:color="000000"/>
            </w:tcBorders>
          </w:tcPr>
          <w:p>
            <w:pPr>
              <w:pStyle w:val="TableParagraph"/>
              <w:spacing w:before="12"/>
              <w:ind w:right="96"/>
              <w:jc w:val="right"/>
              <w:rPr>
                <w:sz w:val="20"/>
              </w:rPr>
            </w:pPr>
            <w:r>
              <w:rPr>
                <w:spacing w:val="-4"/>
                <w:sz w:val="20"/>
              </w:rPr>
              <w:t>1.2%</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pacing w:val="-2"/>
                <w:sz w:val="20"/>
              </w:rPr>
              <w:t>Other</w:t>
            </w:r>
          </w:p>
        </w:tc>
        <w:tc>
          <w:tcPr>
            <w:tcW w:w="1327" w:type="dxa"/>
          </w:tcPr>
          <w:p>
            <w:pPr>
              <w:pStyle w:val="TableParagraph"/>
              <w:spacing w:before="12"/>
              <w:ind w:right="102"/>
              <w:jc w:val="right"/>
              <w:rPr>
                <w:sz w:val="20"/>
              </w:rPr>
            </w:pPr>
            <w:r>
              <w:rPr>
                <w:spacing w:val="-2"/>
                <w:sz w:val="20"/>
              </w:rPr>
              <w:t>5,377</w:t>
            </w:r>
          </w:p>
        </w:tc>
        <w:tc>
          <w:tcPr>
            <w:tcW w:w="1329" w:type="dxa"/>
            <w:shd w:val="clear" w:color="auto" w:fill="DDEBF6"/>
          </w:tcPr>
          <w:p>
            <w:pPr>
              <w:pStyle w:val="TableParagraph"/>
              <w:spacing w:before="12"/>
              <w:ind w:right="104"/>
              <w:jc w:val="right"/>
              <w:rPr>
                <w:b/>
                <w:sz w:val="20"/>
              </w:rPr>
            </w:pPr>
            <w:r>
              <w:rPr>
                <w:b/>
                <w:spacing w:val="-2"/>
                <w:sz w:val="20"/>
              </w:rPr>
              <w:t>5,507</w:t>
            </w:r>
          </w:p>
        </w:tc>
        <w:tc>
          <w:tcPr>
            <w:tcW w:w="1836" w:type="dxa"/>
          </w:tcPr>
          <w:p>
            <w:pPr>
              <w:pStyle w:val="TableParagraph"/>
              <w:spacing w:before="12"/>
              <w:ind w:right="611"/>
              <w:jc w:val="right"/>
              <w:rPr>
                <w:sz w:val="20"/>
              </w:rPr>
            </w:pPr>
            <w:r>
              <w:rPr>
                <w:spacing w:val="-5"/>
                <w:sz w:val="20"/>
              </w:rPr>
              <w:t>130</w:t>
            </w:r>
          </w:p>
        </w:tc>
        <w:tc>
          <w:tcPr>
            <w:tcW w:w="989" w:type="dxa"/>
            <w:tcBorders>
              <w:right w:val="single" w:sz="4" w:space="0" w:color="000000"/>
            </w:tcBorders>
          </w:tcPr>
          <w:p>
            <w:pPr>
              <w:pStyle w:val="TableParagraph"/>
              <w:spacing w:before="12"/>
              <w:ind w:right="96"/>
              <w:jc w:val="right"/>
              <w:rPr>
                <w:sz w:val="20"/>
              </w:rPr>
            </w:pPr>
            <w:r>
              <w:rPr>
                <w:spacing w:val="-4"/>
                <w:sz w:val="20"/>
              </w:rPr>
              <w:t>2.4%</w:t>
            </w:r>
          </w:p>
        </w:tc>
      </w:tr>
      <w:tr>
        <w:trPr>
          <w:trHeight w:val="295" w:hRule="atLeast"/>
        </w:trPr>
        <w:tc>
          <w:tcPr>
            <w:tcW w:w="5052" w:type="dxa"/>
            <w:tcBorders>
              <w:left w:val="single" w:sz="4" w:space="0" w:color="000000"/>
            </w:tcBorders>
          </w:tcPr>
          <w:p>
            <w:pPr>
              <w:pStyle w:val="TableParagraph"/>
              <w:spacing w:line="229" w:lineRule="exact" w:before="46"/>
              <w:ind w:left="107"/>
              <w:rPr>
                <w:sz w:val="20"/>
              </w:rPr>
            </w:pPr>
            <w:r>
              <w:rPr>
                <w:sz w:val="20"/>
              </w:rPr>
              <w:t>Printing</w:t>
            </w:r>
            <w:r>
              <w:rPr>
                <w:spacing w:val="-8"/>
                <w:sz w:val="20"/>
              </w:rPr>
              <w:t> </w:t>
            </w:r>
            <w:r>
              <w:rPr>
                <w:sz w:val="20"/>
              </w:rPr>
              <w:t>and</w:t>
            </w:r>
            <w:r>
              <w:rPr>
                <w:spacing w:val="-8"/>
                <w:sz w:val="20"/>
              </w:rPr>
              <w:t> </w:t>
            </w:r>
            <w:r>
              <w:rPr>
                <w:spacing w:val="-2"/>
                <w:sz w:val="20"/>
              </w:rPr>
              <w:t>stationary</w:t>
            </w:r>
          </w:p>
        </w:tc>
        <w:tc>
          <w:tcPr>
            <w:tcW w:w="1327" w:type="dxa"/>
          </w:tcPr>
          <w:p>
            <w:pPr>
              <w:pStyle w:val="TableParagraph"/>
              <w:spacing w:before="12"/>
              <w:ind w:right="103"/>
              <w:jc w:val="right"/>
              <w:rPr>
                <w:sz w:val="20"/>
              </w:rPr>
            </w:pPr>
            <w:r>
              <w:rPr>
                <w:spacing w:val="-5"/>
                <w:sz w:val="20"/>
              </w:rPr>
              <w:t>166</w:t>
            </w:r>
          </w:p>
        </w:tc>
        <w:tc>
          <w:tcPr>
            <w:tcW w:w="1329" w:type="dxa"/>
            <w:shd w:val="clear" w:color="auto" w:fill="DDEBF6"/>
          </w:tcPr>
          <w:p>
            <w:pPr>
              <w:pStyle w:val="TableParagraph"/>
              <w:spacing w:before="12"/>
              <w:ind w:right="105"/>
              <w:jc w:val="right"/>
              <w:rPr>
                <w:b/>
                <w:sz w:val="20"/>
              </w:rPr>
            </w:pPr>
            <w:r>
              <w:rPr>
                <w:b/>
                <w:spacing w:val="-5"/>
                <w:sz w:val="20"/>
              </w:rPr>
              <w:t>165</w:t>
            </w:r>
          </w:p>
        </w:tc>
        <w:tc>
          <w:tcPr>
            <w:tcW w:w="1836" w:type="dxa"/>
          </w:tcPr>
          <w:p>
            <w:pPr>
              <w:pStyle w:val="TableParagraph"/>
              <w:spacing w:before="12"/>
              <w:ind w:right="610"/>
              <w:jc w:val="right"/>
              <w:rPr>
                <w:sz w:val="20"/>
              </w:rPr>
            </w:pPr>
            <w:r>
              <w:rPr>
                <w:spacing w:val="-5"/>
                <w:sz w:val="20"/>
              </w:rPr>
              <w:t>(1)</w:t>
            </w:r>
          </w:p>
        </w:tc>
        <w:tc>
          <w:tcPr>
            <w:tcW w:w="989" w:type="dxa"/>
            <w:tcBorders>
              <w:right w:val="single" w:sz="4" w:space="0" w:color="000000"/>
            </w:tcBorders>
          </w:tcPr>
          <w:p>
            <w:pPr>
              <w:pStyle w:val="TableParagraph"/>
              <w:spacing w:before="12"/>
              <w:ind w:right="94"/>
              <w:jc w:val="right"/>
              <w:rPr>
                <w:sz w:val="20"/>
              </w:rPr>
            </w:pPr>
            <w:r>
              <w:rPr>
                <w:spacing w:val="-2"/>
                <w:sz w:val="20"/>
              </w:rPr>
              <w:t>(0.6%)</w:t>
            </w:r>
          </w:p>
        </w:tc>
      </w:tr>
      <w:tr>
        <w:trPr>
          <w:trHeight w:val="294" w:hRule="atLeast"/>
        </w:trPr>
        <w:tc>
          <w:tcPr>
            <w:tcW w:w="5052" w:type="dxa"/>
            <w:tcBorders>
              <w:left w:val="single" w:sz="4" w:space="0" w:color="000000"/>
            </w:tcBorders>
          </w:tcPr>
          <w:p>
            <w:pPr>
              <w:pStyle w:val="TableParagraph"/>
              <w:spacing w:before="43"/>
              <w:ind w:left="107"/>
              <w:rPr>
                <w:sz w:val="20"/>
              </w:rPr>
            </w:pPr>
            <w:r>
              <w:rPr>
                <w:spacing w:val="-2"/>
                <w:sz w:val="20"/>
              </w:rPr>
              <w:t>Security</w:t>
            </w:r>
          </w:p>
        </w:tc>
        <w:tc>
          <w:tcPr>
            <w:tcW w:w="1327" w:type="dxa"/>
          </w:tcPr>
          <w:p>
            <w:pPr>
              <w:pStyle w:val="TableParagraph"/>
              <w:spacing w:before="12"/>
              <w:ind w:right="103"/>
              <w:jc w:val="right"/>
              <w:rPr>
                <w:sz w:val="20"/>
              </w:rPr>
            </w:pPr>
            <w:r>
              <w:rPr>
                <w:spacing w:val="-5"/>
                <w:sz w:val="20"/>
              </w:rPr>
              <w:t>473</w:t>
            </w:r>
          </w:p>
        </w:tc>
        <w:tc>
          <w:tcPr>
            <w:tcW w:w="1329" w:type="dxa"/>
            <w:shd w:val="clear" w:color="auto" w:fill="DDEBF6"/>
          </w:tcPr>
          <w:p>
            <w:pPr>
              <w:pStyle w:val="TableParagraph"/>
              <w:spacing w:before="12"/>
              <w:ind w:right="105"/>
              <w:jc w:val="right"/>
              <w:rPr>
                <w:b/>
                <w:sz w:val="20"/>
              </w:rPr>
            </w:pPr>
            <w:r>
              <w:rPr>
                <w:b/>
                <w:spacing w:val="-5"/>
                <w:sz w:val="20"/>
              </w:rPr>
              <w:t>486</w:t>
            </w:r>
          </w:p>
        </w:tc>
        <w:tc>
          <w:tcPr>
            <w:tcW w:w="1836" w:type="dxa"/>
          </w:tcPr>
          <w:p>
            <w:pPr>
              <w:pStyle w:val="TableParagraph"/>
              <w:spacing w:before="12"/>
              <w:ind w:right="612"/>
              <w:jc w:val="right"/>
              <w:rPr>
                <w:sz w:val="20"/>
              </w:rPr>
            </w:pPr>
            <w:r>
              <w:rPr>
                <w:spacing w:val="-5"/>
                <w:sz w:val="20"/>
              </w:rPr>
              <w:t>13</w:t>
            </w:r>
          </w:p>
        </w:tc>
        <w:tc>
          <w:tcPr>
            <w:tcW w:w="989" w:type="dxa"/>
            <w:tcBorders>
              <w:right w:val="single" w:sz="4" w:space="0" w:color="000000"/>
            </w:tcBorders>
          </w:tcPr>
          <w:p>
            <w:pPr>
              <w:pStyle w:val="TableParagraph"/>
              <w:spacing w:before="12"/>
              <w:ind w:right="96"/>
              <w:jc w:val="right"/>
              <w:rPr>
                <w:sz w:val="20"/>
              </w:rPr>
            </w:pPr>
            <w:r>
              <w:rPr>
                <w:spacing w:val="-4"/>
                <w:sz w:val="20"/>
              </w:rPr>
              <w:t>2.7%</w:t>
            </w:r>
          </w:p>
        </w:tc>
      </w:tr>
      <w:tr>
        <w:trPr>
          <w:trHeight w:val="295" w:hRule="atLeast"/>
        </w:trPr>
        <w:tc>
          <w:tcPr>
            <w:tcW w:w="5052" w:type="dxa"/>
            <w:tcBorders>
              <w:left w:val="single" w:sz="4" w:space="0" w:color="000000"/>
            </w:tcBorders>
          </w:tcPr>
          <w:p>
            <w:pPr>
              <w:pStyle w:val="TableParagraph"/>
              <w:spacing w:before="44"/>
              <w:ind w:left="107"/>
              <w:rPr>
                <w:sz w:val="20"/>
              </w:rPr>
            </w:pPr>
            <w:r>
              <w:rPr>
                <w:spacing w:val="-2"/>
                <w:sz w:val="20"/>
              </w:rPr>
              <w:t>Training</w:t>
            </w:r>
          </w:p>
        </w:tc>
        <w:tc>
          <w:tcPr>
            <w:tcW w:w="1327" w:type="dxa"/>
          </w:tcPr>
          <w:p>
            <w:pPr>
              <w:pStyle w:val="TableParagraph"/>
              <w:spacing w:before="13"/>
              <w:ind w:right="103"/>
              <w:jc w:val="right"/>
              <w:rPr>
                <w:sz w:val="20"/>
              </w:rPr>
            </w:pPr>
            <w:r>
              <w:rPr>
                <w:spacing w:val="-5"/>
                <w:sz w:val="20"/>
              </w:rPr>
              <w:t>505</w:t>
            </w:r>
          </w:p>
        </w:tc>
        <w:tc>
          <w:tcPr>
            <w:tcW w:w="1329" w:type="dxa"/>
            <w:shd w:val="clear" w:color="auto" w:fill="DDEBF6"/>
          </w:tcPr>
          <w:p>
            <w:pPr>
              <w:pStyle w:val="TableParagraph"/>
              <w:spacing w:before="13"/>
              <w:ind w:right="105"/>
              <w:jc w:val="right"/>
              <w:rPr>
                <w:b/>
                <w:sz w:val="20"/>
              </w:rPr>
            </w:pPr>
            <w:r>
              <w:rPr>
                <w:b/>
                <w:spacing w:val="-5"/>
                <w:sz w:val="20"/>
              </w:rPr>
              <w:t>327</w:t>
            </w:r>
          </w:p>
        </w:tc>
        <w:tc>
          <w:tcPr>
            <w:tcW w:w="1836" w:type="dxa"/>
          </w:tcPr>
          <w:p>
            <w:pPr>
              <w:pStyle w:val="TableParagraph"/>
              <w:spacing w:before="13"/>
              <w:ind w:right="613"/>
              <w:jc w:val="right"/>
              <w:rPr>
                <w:sz w:val="20"/>
              </w:rPr>
            </w:pPr>
            <w:r>
              <w:rPr>
                <w:spacing w:val="-2"/>
                <w:sz w:val="20"/>
              </w:rPr>
              <w:t>(178)</w:t>
            </w:r>
          </w:p>
        </w:tc>
        <w:tc>
          <w:tcPr>
            <w:tcW w:w="989" w:type="dxa"/>
            <w:tcBorders>
              <w:right w:val="single" w:sz="4" w:space="0" w:color="000000"/>
            </w:tcBorders>
          </w:tcPr>
          <w:p>
            <w:pPr>
              <w:pStyle w:val="TableParagraph"/>
              <w:spacing w:before="13"/>
              <w:ind w:left="182"/>
              <w:rPr>
                <w:sz w:val="20"/>
              </w:rPr>
            </w:pPr>
            <w:r>
              <w:rPr>
                <w:spacing w:val="-2"/>
                <w:sz w:val="20"/>
              </w:rPr>
              <w:t>(35.2%)</w:t>
            </w:r>
          </w:p>
        </w:tc>
      </w:tr>
      <w:tr>
        <w:trPr>
          <w:trHeight w:val="298" w:hRule="atLeast"/>
        </w:trPr>
        <w:tc>
          <w:tcPr>
            <w:tcW w:w="5052" w:type="dxa"/>
            <w:tcBorders>
              <w:left w:val="single" w:sz="4" w:space="0" w:color="000000"/>
            </w:tcBorders>
          </w:tcPr>
          <w:p>
            <w:pPr>
              <w:pStyle w:val="TableParagraph"/>
              <w:spacing w:before="44"/>
              <w:ind w:left="107"/>
              <w:rPr>
                <w:sz w:val="20"/>
              </w:rPr>
            </w:pPr>
            <w:r>
              <w:rPr>
                <w:spacing w:val="-2"/>
                <w:sz w:val="20"/>
              </w:rPr>
              <w:t>Uniforms</w:t>
            </w:r>
          </w:p>
        </w:tc>
        <w:tc>
          <w:tcPr>
            <w:tcW w:w="1327" w:type="dxa"/>
          </w:tcPr>
          <w:p>
            <w:pPr>
              <w:pStyle w:val="TableParagraph"/>
              <w:spacing w:before="13"/>
              <w:ind w:right="103"/>
              <w:jc w:val="right"/>
              <w:rPr>
                <w:sz w:val="20"/>
              </w:rPr>
            </w:pPr>
            <w:r>
              <w:rPr>
                <w:spacing w:val="-5"/>
                <w:sz w:val="20"/>
              </w:rPr>
              <w:t>146</w:t>
            </w:r>
          </w:p>
        </w:tc>
        <w:tc>
          <w:tcPr>
            <w:tcW w:w="1329" w:type="dxa"/>
            <w:shd w:val="clear" w:color="auto" w:fill="DDEBF6"/>
          </w:tcPr>
          <w:p>
            <w:pPr>
              <w:pStyle w:val="TableParagraph"/>
              <w:spacing w:before="13"/>
              <w:ind w:right="105"/>
              <w:jc w:val="right"/>
              <w:rPr>
                <w:b/>
                <w:sz w:val="20"/>
              </w:rPr>
            </w:pPr>
            <w:r>
              <w:rPr>
                <w:b/>
                <w:spacing w:val="-5"/>
                <w:sz w:val="20"/>
              </w:rPr>
              <w:t>138</w:t>
            </w:r>
          </w:p>
        </w:tc>
        <w:tc>
          <w:tcPr>
            <w:tcW w:w="1836" w:type="dxa"/>
          </w:tcPr>
          <w:p>
            <w:pPr>
              <w:pStyle w:val="TableParagraph"/>
              <w:spacing w:before="13"/>
              <w:ind w:right="610"/>
              <w:jc w:val="right"/>
              <w:rPr>
                <w:sz w:val="20"/>
              </w:rPr>
            </w:pPr>
            <w:r>
              <w:rPr>
                <w:spacing w:val="-5"/>
                <w:sz w:val="20"/>
              </w:rPr>
              <w:t>(8)</w:t>
            </w:r>
          </w:p>
        </w:tc>
        <w:tc>
          <w:tcPr>
            <w:tcW w:w="989" w:type="dxa"/>
            <w:tcBorders>
              <w:right w:val="single" w:sz="4" w:space="0" w:color="000000"/>
            </w:tcBorders>
          </w:tcPr>
          <w:p>
            <w:pPr>
              <w:pStyle w:val="TableParagraph"/>
              <w:spacing w:before="13"/>
              <w:ind w:right="94"/>
              <w:jc w:val="right"/>
              <w:rPr>
                <w:sz w:val="20"/>
              </w:rPr>
            </w:pPr>
            <w:r>
              <w:rPr>
                <w:spacing w:val="-2"/>
                <w:sz w:val="20"/>
              </w:rPr>
              <w:t>(5.5%)</w:t>
            </w:r>
          </w:p>
        </w:tc>
      </w:tr>
      <w:tr>
        <w:trPr>
          <w:trHeight w:val="286" w:hRule="atLeast"/>
        </w:trPr>
        <w:tc>
          <w:tcPr>
            <w:tcW w:w="5052" w:type="dxa"/>
            <w:tcBorders>
              <w:left w:val="single" w:sz="4" w:space="0" w:color="000000"/>
            </w:tcBorders>
          </w:tcPr>
          <w:p>
            <w:pPr>
              <w:pStyle w:val="TableParagraph"/>
              <w:spacing w:line="211" w:lineRule="exact" w:before="55"/>
              <w:ind w:left="107"/>
              <w:rPr>
                <w:sz w:val="20"/>
              </w:rPr>
            </w:pPr>
            <w:r>
              <w:rPr>
                <w:spacing w:val="-2"/>
                <w:sz w:val="20"/>
              </w:rPr>
              <w:t>Utilities</w:t>
            </w:r>
          </w:p>
        </w:tc>
        <w:tc>
          <w:tcPr>
            <w:tcW w:w="1327" w:type="dxa"/>
            <w:tcBorders>
              <w:bottom w:val="single" w:sz="4" w:space="0" w:color="000000"/>
            </w:tcBorders>
          </w:tcPr>
          <w:p>
            <w:pPr>
              <w:pStyle w:val="TableParagraph"/>
              <w:spacing w:before="17"/>
              <w:ind w:right="102"/>
              <w:jc w:val="right"/>
              <w:rPr>
                <w:sz w:val="20"/>
              </w:rPr>
            </w:pPr>
            <w:r>
              <w:rPr>
                <w:spacing w:val="-2"/>
                <w:sz w:val="20"/>
              </w:rPr>
              <w:t>3,543</w:t>
            </w:r>
          </w:p>
        </w:tc>
        <w:tc>
          <w:tcPr>
            <w:tcW w:w="1329" w:type="dxa"/>
            <w:tcBorders>
              <w:bottom w:val="single" w:sz="4" w:space="0" w:color="000000"/>
            </w:tcBorders>
            <w:shd w:val="clear" w:color="auto" w:fill="DDEBF6"/>
          </w:tcPr>
          <w:p>
            <w:pPr>
              <w:pStyle w:val="TableParagraph"/>
              <w:spacing w:before="17"/>
              <w:ind w:right="104"/>
              <w:jc w:val="right"/>
              <w:rPr>
                <w:b/>
                <w:sz w:val="20"/>
              </w:rPr>
            </w:pPr>
            <w:r>
              <w:rPr>
                <w:b/>
                <w:spacing w:val="-2"/>
                <w:sz w:val="20"/>
              </w:rPr>
              <w:t>3,726</w:t>
            </w:r>
          </w:p>
        </w:tc>
        <w:tc>
          <w:tcPr>
            <w:tcW w:w="1836" w:type="dxa"/>
            <w:tcBorders>
              <w:bottom w:val="single" w:sz="4" w:space="0" w:color="000000"/>
            </w:tcBorders>
          </w:tcPr>
          <w:p>
            <w:pPr>
              <w:pStyle w:val="TableParagraph"/>
              <w:spacing w:before="17"/>
              <w:ind w:right="611"/>
              <w:jc w:val="right"/>
              <w:rPr>
                <w:sz w:val="20"/>
              </w:rPr>
            </w:pPr>
            <w:r>
              <w:rPr>
                <w:spacing w:val="-5"/>
                <w:sz w:val="20"/>
              </w:rPr>
              <w:t>183</w:t>
            </w:r>
          </w:p>
        </w:tc>
        <w:tc>
          <w:tcPr>
            <w:tcW w:w="989" w:type="dxa"/>
            <w:tcBorders>
              <w:bottom w:val="single" w:sz="4" w:space="0" w:color="000000"/>
              <w:right w:val="single" w:sz="4" w:space="0" w:color="000000"/>
            </w:tcBorders>
          </w:tcPr>
          <w:p>
            <w:pPr>
              <w:pStyle w:val="TableParagraph"/>
              <w:spacing w:before="17"/>
              <w:ind w:right="96"/>
              <w:jc w:val="right"/>
              <w:rPr>
                <w:sz w:val="20"/>
              </w:rPr>
            </w:pPr>
            <w:r>
              <w:rPr>
                <w:spacing w:val="-4"/>
                <w:sz w:val="20"/>
              </w:rPr>
              <w:t>5.2%</w:t>
            </w:r>
          </w:p>
        </w:tc>
      </w:tr>
      <w:tr>
        <w:trPr>
          <w:trHeight w:val="311" w:hRule="atLeast"/>
        </w:trPr>
        <w:tc>
          <w:tcPr>
            <w:tcW w:w="5052" w:type="dxa"/>
            <w:tcBorders>
              <w:left w:val="single" w:sz="4" w:space="0" w:color="000000"/>
              <w:bottom w:val="single" w:sz="4" w:space="0" w:color="000000"/>
            </w:tcBorders>
          </w:tcPr>
          <w:p>
            <w:pPr>
              <w:pStyle w:val="TableParagraph"/>
              <w:spacing w:line="211" w:lineRule="exact" w:before="81"/>
              <w:ind w:left="107"/>
              <w:rPr>
                <w:b/>
                <w:sz w:val="20"/>
              </w:rPr>
            </w:pPr>
            <w:r>
              <w:rPr>
                <w:b/>
                <w:sz w:val="20"/>
              </w:rPr>
              <w:t>Total</w:t>
            </w:r>
            <w:r>
              <w:rPr>
                <w:b/>
                <w:spacing w:val="-7"/>
                <w:sz w:val="20"/>
              </w:rPr>
              <w:t> </w:t>
            </w:r>
            <w:r>
              <w:rPr>
                <w:b/>
                <w:sz w:val="20"/>
              </w:rPr>
              <w:t>materials</w:t>
            </w:r>
            <w:r>
              <w:rPr>
                <w:b/>
                <w:spacing w:val="-6"/>
                <w:sz w:val="20"/>
              </w:rPr>
              <w:t> </w:t>
            </w:r>
            <w:r>
              <w:rPr>
                <w:b/>
                <w:sz w:val="20"/>
              </w:rPr>
              <w:t>and</w:t>
            </w:r>
            <w:r>
              <w:rPr>
                <w:b/>
                <w:spacing w:val="-6"/>
                <w:sz w:val="20"/>
              </w:rPr>
              <w:t> </w:t>
            </w:r>
            <w:r>
              <w:rPr>
                <w:b/>
                <w:spacing w:val="-2"/>
                <w:sz w:val="20"/>
              </w:rPr>
              <w:t>services</w:t>
            </w:r>
          </w:p>
        </w:tc>
        <w:tc>
          <w:tcPr>
            <w:tcW w:w="1327" w:type="dxa"/>
            <w:tcBorders>
              <w:top w:val="single" w:sz="4" w:space="0" w:color="000000"/>
              <w:bottom w:val="single" w:sz="4" w:space="0" w:color="000000"/>
            </w:tcBorders>
          </w:tcPr>
          <w:p>
            <w:pPr>
              <w:pStyle w:val="TableParagraph"/>
              <w:spacing w:before="40"/>
              <w:ind w:right="103"/>
              <w:jc w:val="right"/>
              <w:rPr>
                <w:b/>
                <w:sz w:val="20"/>
              </w:rPr>
            </w:pPr>
            <w:r>
              <w:rPr>
                <w:b/>
                <w:spacing w:val="-2"/>
                <w:sz w:val="20"/>
              </w:rPr>
              <w:t>60,259</w:t>
            </w:r>
          </w:p>
        </w:tc>
        <w:tc>
          <w:tcPr>
            <w:tcW w:w="1329" w:type="dxa"/>
            <w:tcBorders>
              <w:top w:val="single" w:sz="4" w:space="0" w:color="000000"/>
              <w:bottom w:val="single" w:sz="4" w:space="0" w:color="000000"/>
            </w:tcBorders>
            <w:shd w:val="clear" w:color="auto" w:fill="DDEBF6"/>
          </w:tcPr>
          <w:p>
            <w:pPr>
              <w:pStyle w:val="TableParagraph"/>
              <w:spacing w:before="40"/>
              <w:ind w:right="105"/>
              <w:jc w:val="right"/>
              <w:rPr>
                <w:b/>
                <w:sz w:val="20"/>
              </w:rPr>
            </w:pPr>
            <w:r>
              <w:rPr>
                <w:b/>
                <w:spacing w:val="-2"/>
                <w:sz w:val="20"/>
              </w:rPr>
              <w:t>64,955</w:t>
            </w:r>
          </w:p>
        </w:tc>
        <w:tc>
          <w:tcPr>
            <w:tcW w:w="1836" w:type="dxa"/>
            <w:tcBorders>
              <w:top w:val="single" w:sz="4" w:space="0" w:color="000000"/>
              <w:bottom w:val="single" w:sz="4" w:space="0" w:color="000000"/>
            </w:tcBorders>
          </w:tcPr>
          <w:p>
            <w:pPr>
              <w:pStyle w:val="TableParagraph"/>
              <w:spacing w:before="40"/>
              <w:ind w:right="610"/>
              <w:jc w:val="right"/>
              <w:rPr>
                <w:b/>
                <w:sz w:val="20"/>
              </w:rPr>
            </w:pPr>
            <w:r>
              <w:rPr>
                <w:b/>
                <w:spacing w:val="-2"/>
                <w:sz w:val="20"/>
              </w:rPr>
              <w:t>4,696</w:t>
            </w:r>
          </w:p>
        </w:tc>
        <w:tc>
          <w:tcPr>
            <w:tcW w:w="989" w:type="dxa"/>
            <w:tcBorders>
              <w:top w:val="single" w:sz="4" w:space="0" w:color="000000"/>
              <w:bottom w:val="single" w:sz="4" w:space="0" w:color="000000"/>
              <w:right w:val="single" w:sz="4" w:space="0" w:color="000000"/>
            </w:tcBorders>
          </w:tcPr>
          <w:p>
            <w:pPr>
              <w:pStyle w:val="TableParagraph"/>
              <w:spacing w:before="40"/>
              <w:ind w:right="93"/>
              <w:jc w:val="right"/>
              <w:rPr>
                <w:b/>
                <w:sz w:val="20"/>
              </w:rPr>
            </w:pPr>
            <w:r>
              <w:rPr>
                <w:b/>
                <w:spacing w:val="-4"/>
                <w:sz w:val="20"/>
              </w:rPr>
              <w:t>7.8%</w:t>
            </w:r>
          </w:p>
        </w:tc>
      </w:tr>
    </w:tbl>
    <w:p>
      <w:pPr>
        <w:pStyle w:val="BodyText"/>
        <w:spacing w:before="8"/>
        <w:rPr>
          <w:b/>
        </w:rPr>
      </w:pPr>
    </w:p>
    <w:p>
      <w:pPr>
        <w:pStyle w:val="BodyText"/>
        <w:ind w:left="260" w:right="551"/>
        <w:jc w:val="both"/>
      </w:pPr>
      <w:r>
        <w:rPr/>
        <w:t>Materials and services are forecast to increase by 7.8% or $4.70 million compared to 2023/2024. Materials and services include the purchases of consumables, payments to contractors for the provision of services, utility costs, annual contribution for the provision of library services to the Eastern Regional Libraries (this has increased 2.70% for the 2024/2025 year), contributions to community groups, software maintenance, insurances, advertising, motor vehicle running costs, fuel and registrations and other miscellaneous expenditure</w:t>
      </w:r>
      <w:r>
        <w:rPr>
          <w:spacing w:val="-10"/>
        </w:rPr>
        <w:t> </w:t>
      </w:r>
      <w:r>
        <w:rPr/>
        <w:t>items.</w:t>
      </w:r>
      <w:r>
        <w:rPr>
          <w:spacing w:val="-8"/>
        </w:rPr>
        <w:t> </w:t>
      </w:r>
      <w:r>
        <w:rPr/>
        <w:t>Utility</w:t>
      </w:r>
      <w:r>
        <w:rPr>
          <w:spacing w:val="-6"/>
        </w:rPr>
        <w:t> </w:t>
      </w:r>
      <w:r>
        <w:rPr/>
        <w:t>costs</w:t>
      </w:r>
      <w:r>
        <w:rPr>
          <w:spacing w:val="-6"/>
        </w:rPr>
        <w:t> </w:t>
      </w:r>
      <w:r>
        <w:rPr/>
        <w:t>relating</w:t>
      </w:r>
      <w:r>
        <w:rPr>
          <w:spacing w:val="-8"/>
        </w:rPr>
        <w:t> </w:t>
      </w:r>
      <w:r>
        <w:rPr/>
        <w:t>to</w:t>
      </w:r>
      <w:r>
        <w:rPr>
          <w:spacing w:val="-8"/>
        </w:rPr>
        <w:t> </w:t>
      </w:r>
      <w:r>
        <w:rPr/>
        <w:t>water,</w:t>
      </w:r>
      <w:r>
        <w:rPr>
          <w:spacing w:val="-8"/>
        </w:rPr>
        <w:t> </w:t>
      </w:r>
      <w:r>
        <w:rPr/>
        <w:t>gas</w:t>
      </w:r>
      <w:r>
        <w:rPr>
          <w:spacing w:val="-6"/>
        </w:rPr>
        <w:t> </w:t>
      </w:r>
      <w:r>
        <w:rPr/>
        <w:t>and</w:t>
      </w:r>
      <w:r>
        <w:rPr>
          <w:spacing w:val="-8"/>
        </w:rPr>
        <w:t> </w:t>
      </w:r>
      <w:r>
        <w:rPr/>
        <w:t>electricity</w:t>
      </w:r>
      <w:r>
        <w:rPr>
          <w:spacing w:val="-8"/>
        </w:rPr>
        <w:t> </w:t>
      </w:r>
      <w:r>
        <w:rPr/>
        <w:t>are</w:t>
      </w:r>
      <w:r>
        <w:rPr>
          <w:spacing w:val="-12"/>
        </w:rPr>
        <w:t> </w:t>
      </w:r>
      <w:r>
        <w:rPr/>
        <w:t>forecast</w:t>
      </w:r>
      <w:r>
        <w:rPr>
          <w:spacing w:val="-8"/>
        </w:rPr>
        <w:t> </w:t>
      </w:r>
      <w:r>
        <w:rPr/>
        <w:t>to</w:t>
      </w:r>
      <w:r>
        <w:rPr>
          <w:spacing w:val="-10"/>
        </w:rPr>
        <w:t> </w:t>
      </w:r>
      <w:r>
        <w:rPr/>
        <w:t>increase</w:t>
      </w:r>
      <w:r>
        <w:rPr>
          <w:spacing w:val="-10"/>
        </w:rPr>
        <w:t> </w:t>
      </w:r>
      <w:r>
        <w:rPr/>
        <w:t>by</w:t>
      </w:r>
      <w:r>
        <w:rPr>
          <w:spacing w:val="-8"/>
        </w:rPr>
        <w:t> </w:t>
      </w:r>
      <w:r>
        <w:rPr/>
        <w:t>5.2%</w:t>
      </w:r>
      <w:r>
        <w:rPr>
          <w:spacing w:val="-10"/>
        </w:rPr>
        <w:t> </w:t>
      </w:r>
      <w:r>
        <w:rPr/>
        <w:t>or</w:t>
      </w:r>
      <w:r>
        <w:rPr>
          <w:spacing w:val="-5"/>
        </w:rPr>
        <w:t> </w:t>
      </w:r>
      <w:r>
        <w:rPr/>
        <w:t>$0.18 million</w:t>
      </w:r>
      <w:r>
        <w:rPr>
          <w:spacing w:val="-10"/>
        </w:rPr>
        <w:t> </w:t>
      </w:r>
      <w:r>
        <w:rPr/>
        <w:t>compared</w:t>
      </w:r>
      <w:r>
        <w:rPr>
          <w:spacing w:val="-11"/>
        </w:rPr>
        <w:t> </w:t>
      </w:r>
      <w:r>
        <w:rPr/>
        <w:t>to</w:t>
      </w:r>
      <w:r>
        <w:rPr>
          <w:spacing w:val="-8"/>
        </w:rPr>
        <w:t> </w:t>
      </w:r>
      <w:r>
        <w:rPr/>
        <w:t>2023/2024</w:t>
      </w:r>
      <w:r>
        <w:rPr>
          <w:spacing w:val="-8"/>
        </w:rPr>
        <w:t> </w:t>
      </w:r>
      <w:r>
        <w:rPr/>
        <w:t>resulting</w:t>
      </w:r>
      <w:r>
        <w:rPr>
          <w:spacing w:val="-10"/>
        </w:rPr>
        <w:t> </w:t>
      </w:r>
      <w:r>
        <w:rPr/>
        <w:t>mainly</w:t>
      </w:r>
      <w:r>
        <w:rPr>
          <w:spacing w:val="-13"/>
        </w:rPr>
        <w:t> </w:t>
      </w:r>
      <w:r>
        <w:rPr/>
        <w:t>from</w:t>
      </w:r>
      <w:r>
        <w:rPr>
          <w:spacing w:val="-7"/>
        </w:rPr>
        <w:t> </w:t>
      </w:r>
      <w:r>
        <w:rPr/>
        <w:t>increased</w:t>
      </w:r>
      <w:r>
        <w:rPr>
          <w:spacing w:val="-10"/>
        </w:rPr>
        <w:t> </w:t>
      </w:r>
      <w:r>
        <w:rPr/>
        <w:t>prices</w:t>
      </w:r>
      <w:r>
        <w:rPr>
          <w:spacing w:val="-11"/>
        </w:rPr>
        <w:t> </w:t>
      </w:r>
      <w:r>
        <w:rPr/>
        <w:t>from</w:t>
      </w:r>
      <w:r>
        <w:rPr>
          <w:spacing w:val="-11"/>
        </w:rPr>
        <w:t> </w:t>
      </w:r>
      <w:r>
        <w:rPr/>
        <w:t>suppliers.</w:t>
      </w:r>
      <w:r>
        <w:rPr>
          <w:spacing w:val="-8"/>
        </w:rPr>
        <w:t> </w:t>
      </w:r>
      <w:r>
        <w:rPr/>
        <w:t>Contract</w:t>
      </w:r>
      <w:r>
        <w:rPr>
          <w:spacing w:val="-10"/>
        </w:rPr>
        <w:t> </w:t>
      </w:r>
      <w:r>
        <w:rPr/>
        <w:t>payments</w:t>
      </w:r>
      <w:r>
        <w:rPr>
          <w:spacing w:val="-6"/>
        </w:rPr>
        <w:t> </w:t>
      </w:r>
      <w:r>
        <w:rPr/>
        <w:t>are included as part of materials and services and are for the provision of services which have been tendered under</w:t>
      </w:r>
      <w:r>
        <w:rPr>
          <w:spacing w:val="-5"/>
        </w:rPr>
        <w:t> </w:t>
      </w:r>
      <w:r>
        <w:rPr/>
        <w:t>section</w:t>
      </w:r>
      <w:r>
        <w:rPr>
          <w:spacing w:val="-8"/>
        </w:rPr>
        <w:t> </w:t>
      </w:r>
      <w:r>
        <w:rPr/>
        <w:t>108</w:t>
      </w:r>
      <w:r>
        <w:rPr>
          <w:spacing w:val="-6"/>
        </w:rPr>
        <w:t> </w:t>
      </w:r>
      <w:r>
        <w:rPr/>
        <w:t>of</w:t>
      </w:r>
      <w:r>
        <w:rPr>
          <w:spacing w:val="-4"/>
        </w:rPr>
        <w:t> </w:t>
      </w:r>
      <w:r>
        <w:rPr/>
        <w:t>the</w:t>
      </w:r>
      <w:r>
        <w:rPr>
          <w:spacing w:val="-6"/>
        </w:rPr>
        <w:t> </w:t>
      </w:r>
      <w:r>
        <w:rPr/>
        <w:t>Local</w:t>
      </w:r>
      <w:r>
        <w:rPr>
          <w:spacing w:val="-4"/>
        </w:rPr>
        <w:t> </w:t>
      </w:r>
      <w:r>
        <w:rPr/>
        <w:t>Government</w:t>
      </w:r>
      <w:r>
        <w:rPr>
          <w:spacing w:val="-4"/>
        </w:rPr>
        <w:t> </w:t>
      </w:r>
      <w:r>
        <w:rPr/>
        <w:t>Act</w:t>
      </w:r>
      <w:r>
        <w:rPr>
          <w:spacing w:val="-2"/>
        </w:rPr>
        <w:t> </w:t>
      </w:r>
      <w:r>
        <w:rPr/>
        <w:t>2020</w:t>
      </w:r>
      <w:r>
        <w:rPr>
          <w:spacing w:val="-4"/>
        </w:rPr>
        <w:t> </w:t>
      </w:r>
      <w:r>
        <w:rPr/>
        <w:t>including</w:t>
      </w:r>
      <w:r>
        <w:rPr>
          <w:spacing w:val="-4"/>
        </w:rPr>
        <w:t> </w:t>
      </w:r>
      <w:r>
        <w:rPr/>
        <w:t>external</w:t>
      </w:r>
      <w:r>
        <w:rPr>
          <w:spacing w:val="-7"/>
        </w:rPr>
        <w:t> </w:t>
      </w:r>
      <w:r>
        <w:rPr/>
        <w:t>contracts</w:t>
      </w:r>
      <w:r>
        <w:rPr>
          <w:spacing w:val="-4"/>
        </w:rPr>
        <w:t> </w:t>
      </w:r>
      <w:r>
        <w:rPr/>
        <w:t>for</w:t>
      </w:r>
      <w:r>
        <w:rPr>
          <w:spacing w:val="-7"/>
        </w:rPr>
        <w:t> </w:t>
      </w:r>
      <w:r>
        <w:rPr/>
        <w:t>services</w:t>
      </w:r>
      <w:r>
        <w:rPr>
          <w:spacing w:val="-6"/>
        </w:rPr>
        <w:t> </w:t>
      </w:r>
      <w:r>
        <w:rPr/>
        <w:t>such</w:t>
      </w:r>
      <w:r>
        <w:rPr>
          <w:spacing w:val="-8"/>
        </w:rPr>
        <w:t> </w:t>
      </w:r>
      <w:r>
        <w:rPr/>
        <w:t>as</w:t>
      </w:r>
      <w:r>
        <w:rPr>
          <w:spacing w:val="-4"/>
        </w:rPr>
        <w:t> </w:t>
      </w:r>
      <w:r>
        <w:rPr/>
        <w:t>waste collection,</w:t>
      </w:r>
      <w:r>
        <w:rPr>
          <w:spacing w:val="-5"/>
        </w:rPr>
        <w:t> </w:t>
      </w:r>
      <w:r>
        <w:rPr/>
        <w:t>road</w:t>
      </w:r>
      <w:r>
        <w:rPr>
          <w:spacing w:val="-6"/>
        </w:rPr>
        <w:t> </w:t>
      </w:r>
      <w:r>
        <w:rPr/>
        <w:t>maintenance</w:t>
      </w:r>
      <w:r>
        <w:rPr>
          <w:spacing w:val="-5"/>
        </w:rPr>
        <w:t> </w:t>
      </w:r>
      <w:r>
        <w:rPr/>
        <w:t>and</w:t>
      </w:r>
      <w:r>
        <w:rPr>
          <w:spacing w:val="-6"/>
        </w:rPr>
        <w:t> </w:t>
      </w:r>
      <w:r>
        <w:rPr/>
        <w:t>street</w:t>
      </w:r>
      <w:r>
        <w:rPr>
          <w:spacing w:val="-7"/>
        </w:rPr>
        <w:t> </w:t>
      </w:r>
      <w:r>
        <w:rPr/>
        <w:t>tree</w:t>
      </w:r>
      <w:r>
        <w:rPr>
          <w:spacing w:val="-6"/>
        </w:rPr>
        <w:t> </w:t>
      </w:r>
      <w:r>
        <w:rPr/>
        <w:t>pruning.</w:t>
      </w:r>
      <w:r>
        <w:rPr>
          <w:spacing w:val="-5"/>
        </w:rPr>
        <w:t> </w:t>
      </w:r>
      <w:r>
        <w:rPr/>
        <w:t>In</w:t>
      </w:r>
      <w:r>
        <w:rPr>
          <w:spacing w:val="-6"/>
        </w:rPr>
        <w:t> </w:t>
      </w:r>
      <w:r>
        <w:rPr/>
        <w:t>2024/2025</w:t>
      </w:r>
      <w:r>
        <w:rPr>
          <w:spacing w:val="-6"/>
        </w:rPr>
        <w:t> </w:t>
      </w:r>
      <w:r>
        <w:rPr/>
        <w:t>this</w:t>
      </w:r>
      <w:r>
        <w:rPr>
          <w:spacing w:val="-7"/>
        </w:rPr>
        <w:t> </w:t>
      </w:r>
      <w:r>
        <w:rPr/>
        <w:t>also</w:t>
      </w:r>
      <w:r>
        <w:rPr>
          <w:spacing w:val="-6"/>
        </w:rPr>
        <w:t> </w:t>
      </w:r>
      <w:r>
        <w:rPr/>
        <w:t>includes</w:t>
      </w:r>
      <w:r>
        <w:rPr>
          <w:spacing w:val="-5"/>
        </w:rPr>
        <w:t> </w:t>
      </w:r>
      <w:r>
        <w:rPr/>
        <w:t>contractor</w:t>
      </w:r>
      <w:r>
        <w:rPr>
          <w:spacing w:val="-7"/>
        </w:rPr>
        <w:t> </w:t>
      </w:r>
      <w:r>
        <w:rPr/>
        <w:t>costs</w:t>
      </w:r>
      <w:r>
        <w:rPr>
          <w:spacing w:val="-5"/>
        </w:rPr>
        <w:t> </w:t>
      </w:r>
      <w:r>
        <w:rPr/>
        <w:t>for</w:t>
      </w:r>
      <w:r>
        <w:rPr>
          <w:spacing w:val="-8"/>
        </w:rPr>
        <w:t> </w:t>
      </w:r>
      <w:r>
        <w:rPr/>
        <w:t>the Council elections in October 2024.</w:t>
      </w:r>
    </w:p>
    <w:p>
      <w:pPr>
        <w:spacing w:after="0"/>
        <w:jc w:val="both"/>
        <w:sectPr>
          <w:pgSz w:w="11910" w:h="16840"/>
          <w:pgMar w:header="0" w:footer="426" w:top="620" w:bottom="740" w:left="460" w:right="160"/>
        </w:sectPr>
      </w:pPr>
    </w:p>
    <w:p>
      <w:pPr>
        <w:pStyle w:val="Heading4"/>
        <w:numPr>
          <w:ilvl w:val="2"/>
          <w:numId w:val="11"/>
        </w:numPr>
        <w:tabs>
          <w:tab w:pos="862" w:val="left" w:leader="none"/>
        </w:tabs>
        <w:spacing w:line="240" w:lineRule="auto" w:before="82" w:after="0"/>
        <w:ind w:left="861" w:right="0" w:hanging="602"/>
        <w:jc w:val="left"/>
        <w:rPr>
          <w:color w:val="4966AC"/>
        </w:rPr>
      </w:pPr>
      <w:r>
        <w:rPr>
          <w:color w:val="4966AC"/>
          <w:spacing w:val="-2"/>
        </w:rPr>
        <w:t>Depreciation</w:t>
      </w:r>
    </w:p>
    <w:p>
      <w:pPr>
        <w:pStyle w:val="BodyText"/>
        <w:spacing w:before="10"/>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64"/>
        <w:gridCol w:w="1574"/>
        <w:gridCol w:w="1574"/>
        <w:gridCol w:w="2090"/>
        <w:gridCol w:w="1054"/>
      </w:tblGrid>
      <w:tr>
        <w:trPr>
          <w:trHeight w:val="1079" w:hRule="atLeast"/>
        </w:trPr>
        <w:tc>
          <w:tcPr>
            <w:tcW w:w="5738" w:type="dxa"/>
            <w:gridSpan w:val="2"/>
            <w:tcBorders>
              <w:top w:val="single" w:sz="4" w:space="0" w:color="000000"/>
              <w:left w:val="single" w:sz="4" w:space="0" w:color="000000"/>
            </w:tcBorders>
            <w:shd w:val="clear" w:color="auto" w:fill="5B9AD4"/>
          </w:tcPr>
          <w:p>
            <w:pPr>
              <w:pStyle w:val="TableParagraph"/>
              <w:spacing w:before="66"/>
              <w:ind w:left="4517" w:right="341"/>
              <w:jc w:val="center"/>
              <w:rPr>
                <w:b/>
                <w:sz w:val="18"/>
              </w:rPr>
            </w:pPr>
            <w:r>
              <w:rPr>
                <w:b/>
                <w:color w:val="FFFFFF"/>
                <w:spacing w:val="-2"/>
                <w:sz w:val="18"/>
              </w:rPr>
              <w:t>Forecast Actual</w:t>
            </w:r>
          </w:p>
          <w:p>
            <w:pPr>
              <w:pStyle w:val="TableParagraph"/>
              <w:spacing w:before="92"/>
              <w:ind w:left="4517" w:right="343"/>
              <w:jc w:val="center"/>
              <w:rPr>
                <w:b/>
                <w:sz w:val="18"/>
              </w:rPr>
            </w:pPr>
            <w:r>
              <w:rPr>
                <w:b/>
                <w:color w:val="FFFFFF"/>
                <w:spacing w:val="-2"/>
                <w:sz w:val="18"/>
              </w:rPr>
              <w:t>2023/2024</w:t>
            </w:r>
          </w:p>
          <w:p>
            <w:pPr>
              <w:pStyle w:val="TableParagraph"/>
              <w:spacing w:line="187" w:lineRule="exact" w:before="93"/>
              <w:ind w:left="4517" w:right="342"/>
              <w:jc w:val="center"/>
              <w:rPr>
                <w:b/>
                <w:sz w:val="18"/>
              </w:rPr>
            </w:pPr>
            <w:r>
              <w:rPr>
                <w:b/>
                <w:color w:val="FFFFFF"/>
                <w:spacing w:val="-2"/>
                <w:sz w:val="18"/>
              </w:rPr>
              <w:t>$’000</w:t>
            </w:r>
          </w:p>
        </w:tc>
        <w:tc>
          <w:tcPr>
            <w:tcW w:w="1574" w:type="dxa"/>
            <w:tcBorders>
              <w:top w:val="single" w:sz="4" w:space="0" w:color="000000"/>
            </w:tcBorders>
            <w:shd w:val="clear" w:color="auto" w:fill="5B9AD4"/>
          </w:tcPr>
          <w:p>
            <w:pPr>
              <w:pStyle w:val="TableParagraph"/>
              <w:spacing w:before="8"/>
              <w:rPr>
                <w:b/>
                <w:sz w:val="23"/>
              </w:rPr>
            </w:pPr>
          </w:p>
          <w:p>
            <w:pPr>
              <w:pStyle w:val="TableParagraph"/>
              <w:spacing w:line="348" w:lineRule="auto"/>
              <w:ind w:left="365" w:right="352" w:firstLine="2"/>
              <w:jc w:val="center"/>
              <w:rPr>
                <w:b/>
                <w:sz w:val="18"/>
              </w:rPr>
            </w:pPr>
            <w:r>
              <w:rPr>
                <w:b/>
                <w:color w:val="FFFFFF"/>
                <w:spacing w:val="-2"/>
                <w:sz w:val="18"/>
              </w:rPr>
              <w:t>Budget 2024/2025</w:t>
            </w:r>
          </w:p>
          <w:p>
            <w:pPr>
              <w:pStyle w:val="TableParagraph"/>
              <w:spacing w:line="187" w:lineRule="exact"/>
              <w:ind w:left="552" w:right="540"/>
              <w:jc w:val="center"/>
              <w:rPr>
                <w:b/>
                <w:sz w:val="18"/>
              </w:rPr>
            </w:pPr>
            <w:r>
              <w:rPr>
                <w:b/>
                <w:color w:val="FFFFFF"/>
                <w:spacing w:val="-2"/>
                <w:sz w:val="18"/>
              </w:rPr>
              <w:t>$’000</w:t>
            </w:r>
          </w:p>
        </w:tc>
        <w:tc>
          <w:tcPr>
            <w:tcW w:w="2090" w:type="dxa"/>
            <w:tcBorders>
              <w:top w:val="single" w:sz="4" w:space="0" w:color="000000"/>
            </w:tcBorders>
            <w:shd w:val="clear" w:color="auto" w:fill="5B9AD4"/>
          </w:tcPr>
          <w:p>
            <w:pPr>
              <w:pStyle w:val="TableParagraph"/>
              <w:rPr>
                <w:b/>
                <w:sz w:val="20"/>
              </w:rPr>
            </w:pPr>
          </w:p>
          <w:p>
            <w:pPr>
              <w:pStyle w:val="TableParagraph"/>
              <w:spacing w:before="9"/>
              <w:rPr>
                <w:b/>
                <w:sz w:val="29"/>
              </w:rPr>
            </w:pPr>
          </w:p>
          <w:p>
            <w:pPr>
              <w:pStyle w:val="TableParagraph"/>
              <w:ind w:left="1246"/>
              <w:rPr>
                <w:b/>
                <w:sz w:val="18"/>
              </w:rPr>
            </w:pPr>
            <w:r>
              <w:rPr>
                <w:b/>
                <w:color w:val="FFFFFF"/>
                <w:spacing w:val="-2"/>
                <w:sz w:val="18"/>
              </w:rPr>
              <w:t>Change</w:t>
            </w:r>
          </w:p>
          <w:p>
            <w:pPr>
              <w:pStyle w:val="TableParagraph"/>
              <w:spacing w:line="187" w:lineRule="exact" w:before="93"/>
              <w:ind w:left="567"/>
              <w:rPr>
                <w:b/>
                <w:sz w:val="18"/>
              </w:rPr>
            </w:pPr>
            <w:r>
              <w:rPr>
                <w:b/>
                <w:color w:val="FFFFFF"/>
                <w:spacing w:val="-2"/>
                <w:sz w:val="18"/>
              </w:rPr>
              <w:t>$’000</w:t>
            </w:r>
          </w:p>
        </w:tc>
        <w:tc>
          <w:tcPr>
            <w:tcW w:w="1054"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10"/>
              <w:rPr>
                <w:b/>
                <w:sz w:val="15"/>
              </w:rPr>
            </w:pPr>
          </w:p>
          <w:p>
            <w:pPr>
              <w:pStyle w:val="TableParagraph"/>
              <w:spacing w:line="187" w:lineRule="exact"/>
              <w:ind w:left="188"/>
              <w:rPr>
                <w:b/>
                <w:sz w:val="18"/>
              </w:rPr>
            </w:pPr>
            <w:r>
              <w:rPr>
                <w:b/>
                <w:color w:val="FFFFFF"/>
                <w:sz w:val="18"/>
              </w:rPr>
              <w:t>%</w:t>
            </w:r>
          </w:p>
        </w:tc>
      </w:tr>
      <w:tr>
        <w:trPr>
          <w:trHeight w:val="304" w:hRule="atLeast"/>
        </w:trPr>
        <w:tc>
          <w:tcPr>
            <w:tcW w:w="4164" w:type="dxa"/>
            <w:tcBorders>
              <w:left w:val="single" w:sz="4" w:space="0" w:color="000000"/>
            </w:tcBorders>
          </w:tcPr>
          <w:p>
            <w:pPr>
              <w:pStyle w:val="TableParagraph"/>
              <w:spacing w:before="35"/>
              <w:ind w:left="107"/>
              <w:rPr>
                <w:sz w:val="20"/>
              </w:rPr>
            </w:pPr>
            <w:r>
              <w:rPr>
                <w:spacing w:val="-2"/>
                <w:sz w:val="20"/>
              </w:rPr>
              <w:t>Property</w:t>
            </w:r>
          </w:p>
        </w:tc>
        <w:tc>
          <w:tcPr>
            <w:tcW w:w="1574" w:type="dxa"/>
          </w:tcPr>
          <w:p>
            <w:pPr>
              <w:pStyle w:val="TableParagraph"/>
              <w:spacing w:before="35"/>
              <w:ind w:right="102"/>
              <w:jc w:val="right"/>
              <w:rPr>
                <w:sz w:val="20"/>
              </w:rPr>
            </w:pPr>
            <w:r>
              <w:rPr>
                <w:spacing w:val="-2"/>
                <w:sz w:val="20"/>
              </w:rPr>
              <w:t>12,478</w:t>
            </w:r>
          </w:p>
        </w:tc>
        <w:tc>
          <w:tcPr>
            <w:tcW w:w="1574" w:type="dxa"/>
            <w:shd w:val="clear" w:color="auto" w:fill="DDEBF6"/>
          </w:tcPr>
          <w:p>
            <w:pPr>
              <w:pStyle w:val="TableParagraph"/>
              <w:spacing w:before="35"/>
              <w:ind w:right="102"/>
              <w:jc w:val="right"/>
              <w:rPr>
                <w:b/>
                <w:sz w:val="20"/>
              </w:rPr>
            </w:pPr>
            <w:r>
              <w:rPr>
                <w:b/>
                <w:spacing w:val="-2"/>
                <w:sz w:val="20"/>
              </w:rPr>
              <w:t>12,052</w:t>
            </w:r>
          </w:p>
        </w:tc>
        <w:tc>
          <w:tcPr>
            <w:tcW w:w="2090" w:type="dxa"/>
          </w:tcPr>
          <w:p>
            <w:pPr>
              <w:pStyle w:val="TableParagraph"/>
              <w:spacing w:before="35"/>
              <w:ind w:right="620"/>
              <w:jc w:val="right"/>
              <w:rPr>
                <w:sz w:val="20"/>
              </w:rPr>
            </w:pPr>
            <w:r>
              <w:rPr>
                <w:spacing w:val="-2"/>
                <w:sz w:val="20"/>
              </w:rPr>
              <w:t>(426)</w:t>
            </w:r>
          </w:p>
        </w:tc>
        <w:tc>
          <w:tcPr>
            <w:tcW w:w="1054" w:type="dxa"/>
            <w:tcBorders>
              <w:right w:val="single" w:sz="4" w:space="0" w:color="000000"/>
            </w:tcBorders>
          </w:tcPr>
          <w:p>
            <w:pPr>
              <w:pStyle w:val="TableParagraph"/>
              <w:spacing w:before="35"/>
              <w:ind w:right="96"/>
              <w:jc w:val="right"/>
              <w:rPr>
                <w:sz w:val="20"/>
              </w:rPr>
            </w:pPr>
            <w:r>
              <w:rPr>
                <w:spacing w:val="-2"/>
                <w:sz w:val="20"/>
              </w:rPr>
              <w:t>(3.4%)</w:t>
            </w:r>
          </w:p>
        </w:tc>
      </w:tr>
      <w:tr>
        <w:trPr>
          <w:trHeight w:val="303" w:hRule="atLeast"/>
        </w:trPr>
        <w:tc>
          <w:tcPr>
            <w:tcW w:w="4164" w:type="dxa"/>
            <w:tcBorders>
              <w:left w:val="single" w:sz="4" w:space="0" w:color="000000"/>
            </w:tcBorders>
          </w:tcPr>
          <w:p>
            <w:pPr>
              <w:pStyle w:val="TableParagraph"/>
              <w:spacing w:before="31"/>
              <w:ind w:left="107"/>
              <w:rPr>
                <w:sz w:val="20"/>
              </w:rPr>
            </w:pPr>
            <w:r>
              <w:rPr>
                <w:sz w:val="20"/>
              </w:rPr>
              <w:t>Plant</w:t>
            </w:r>
            <w:r>
              <w:rPr>
                <w:spacing w:val="-3"/>
                <w:sz w:val="20"/>
              </w:rPr>
              <w:t> </w:t>
            </w:r>
            <w:r>
              <w:rPr>
                <w:sz w:val="20"/>
              </w:rPr>
              <w:t>&amp;</w:t>
            </w:r>
            <w:r>
              <w:rPr>
                <w:spacing w:val="-4"/>
                <w:sz w:val="20"/>
              </w:rPr>
              <w:t> </w:t>
            </w:r>
            <w:r>
              <w:rPr>
                <w:spacing w:val="-2"/>
                <w:sz w:val="20"/>
              </w:rPr>
              <w:t>equipment</w:t>
            </w:r>
          </w:p>
        </w:tc>
        <w:tc>
          <w:tcPr>
            <w:tcW w:w="1574" w:type="dxa"/>
          </w:tcPr>
          <w:p>
            <w:pPr>
              <w:pStyle w:val="TableParagraph"/>
              <w:spacing w:before="31"/>
              <w:ind w:right="102"/>
              <w:jc w:val="right"/>
              <w:rPr>
                <w:sz w:val="20"/>
              </w:rPr>
            </w:pPr>
            <w:r>
              <w:rPr>
                <w:spacing w:val="-2"/>
                <w:sz w:val="20"/>
              </w:rPr>
              <w:t>2,786</w:t>
            </w:r>
          </w:p>
        </w:tc>
        <w:tc>
          <w:tcPr>
            <w:tcW w:w="1574" w:type="dxa"/>
            <w:shd w:val="clear" w:color="auto" w:fill="DDEBF6"/>
          </w:tcPr>
          <w:p>
            <w:pPr>
              <w:pStyle w:val="TableParagraph"/>
              <w:spacing w:before="31"/>
              <w:ind w:right="101"/>
              <w:jc w:val="right"/>
              <w:rPr>
                <w:b/>
                <w:sz w:val="20"/>
              </w:rPr>
            </w:pPr>
            <w:r>
              <w:rPr>
                <w:b/>
                <w:spacing w:val="-2"/>
                <w:sz w:val="20"/>
              </w:rPr>
              <w:t>2,357</w:t>
            </w:r>
          </w:p>
        </w:tc>
        <w:tc>
          <w:tcPr>
            <w:tcW w:w="2090" w:type="dxa"/>
          </w:tcPr>
          <w:p>
            <w:pPr>
              <w:pStyle w:val="TableParagraph"/>
              <w:spacing w:before="31"/>
              <w:ind w:right="620"/>
              <w:jc w:val="right"/>
              <w:rPr>
                <w:sz w:val="20"/>
              </w:rPr>
            </w:pPr>
            <w:r>
              <w:rPr>
                <w:spacing w:val="-2"/>
                <w:sz w:val="20"/>
              </w:rPr>
              <w:t>(429)</w:t>
            </w:r>
          </w:p>
        </w:tc>
        <w:tc>
          <w:tcPr>
            <w:tcW w:w="1054" w:type="dxa"/>
            <w:tcBorders>
              <w:right w:val="single" w:sz="4" w:space="0" w:color="000000"/>
            </w:tcBorders>
          </w:tcPr>
          <w:p>
            <w:pPr>
              <w:pStyle w:val="TableParagraph"/>
              <w:spacing w:before="31"/>
              <w:ind w:right="99"/>
              <w:jc w:val="right"/>
              <w:rPr>
                <w:sz w:val="20"/>
              </w:rPr>
            </w:pPr>
            <w:r>
              <w:rPr>
                <w:spacing w:val="-2"/>
                <w:sz w:val="20"/>
              </w:rPr>
              <w:t>(15.4%)</w:t>
            </w:r>
          </w:p>
        </w:tc>
      </w:tr>
      <w:tr>
        <w:trPr>
          <w:trHeight w:val="306" w:hRule="atLeast"/>
        </w:trPr>
        <w:tc>
          <w:tcPr>
            <w:tcW w:w="4164" w:type="dxa"/>
            <w:tcBorders>
              <w:left w:val="single" w:sz="4" w:space="0" w:color="000000"/>
            </w:tcBorders>
          </w:tcPr>
          <w:p>
            <w:pPr>
              <w:pStyle w:val="TableParagraph"/>
              <w:spacing w:before="35"/>
              <w:ind w:left="107"/>
              <w:rPr>
                <w:sz w:val="20"/>
              </w:rPr>
            </w:pPr>
            <w:r>
              <w:rPr>
                <w:spacing w:val="-2"/>
                <w:sz w:val="20"/>
              </w:rPr>
              <w:t>Infrastructure</w:t>
            </w:r>
          </w:p>
        </w:tc>
        <w:tc>
          <w:tcPr>
            <w:tcW w:w="1574" w:type="dxa"/>
            <w:tcBorders>
              <w:bottom w:val="single" w:sz="8" w:space="0" w:color="000000"/>
            </w:tcBorders>
          </w:tcPr>
          <w:p>
            <w:pPr>
              <w:pStyle w:val="TableParagraph"/>
              <w:spacing w:before="35"/>
              <w:ind w:right="103"/>
              <w:jc w:val="right"/>
              <w:rPr>
                <w:sz w:val="20"/>
              </w:rPr>
            </w:pPr>
            <w:r>
              <w:rPr>
                <w:spacing w:val="-2"/>
                <w:sz w:val="20"/>
              </w:rPr>
              <w:t>13,903</w:t>
            </w:r>
          </w:p>
        </w:tc>
        <w:tc>
          <w:tcPr>
            <w:tcW w:w="1574" w:type="dxa"/>
            <w:tcBorders>
              <w:bottom w:val="single" w:sz="8" w:space="0" w:color="000000"/>
            </w:tcBorders>
            <w:shd w:val="clear" w:color="auto" w:fill="DDEBF6"/>
          </w:tcPr>
          <w:p>
            <w:pPr>
              <w:pStyle w:val="TableParagraph"/>
              <w:spacing w:before="35"/>
              <w:ind w:right="102"/>
              <w:jc w:val="right"/>
              <w:rPr>
                <w:b/>
                <w:sz w:val="20"/>
              </w:rPr>
            </w:pPr>
            <w:r>
              <w:rPr>
                <w:b/>
                <w:spacing w:val="-2"/>
                <w:sz w:val="20"/>
              </w:rPr>
              <w:t>16,033</w:t>
            </w:r>
          </w:p>
        </w:tc>
        <w:tc>
          <w:tcPr>
            <w:tcW w:w="2090" w:type="dxa"/>
            <w:tcBorders>
              <w:bottom w:val="single" w:sz="8" w:space="0" w:color="000000"/>
            </w:tcBorders>
          </w:tcPr>
          <w:p>
            <w:pPr>
              <w:pStyle w:val="TableParagraph"/>
              <w:spacing w:before="35"/>
              <w:ind w:right="617"/>
              <w:jc w:val="right"/>
              <w:rPr>
                <w:sz w:val="20"/>
              </w:rPr>
            </w:pPr>
            <w:r>
              <w:rPr>
                <w:spacing w:val="-2"/>
                <w:sz w:val="20"/>
              </w:rPr>
              <w:t>2,130</w:t>
            </w:r>
          </w:p>
        </w:tc>
        <w:tc>
          <w:tcPr>
            <w:tcW w:w="1054" w:type="dxa"/>
            <w:tcBorders>
              <w:bottom w:val="single" w:sz="8" w:space="0" w:color="000000"/>
              <w:right w:val="single" w:sz="4" w:space="0" w:color="000000"/>
            </w:tcBorders>
          </w:tcPr>
          <w:p>
            <w:pPr>
              <w:pStyle w:val="TableParagraph"/>
              <w:spacing w:before="35"/>
              <w:ind w:right="98"/>
              <w:jc w:val="right"/>
              <w:rPr>
                <w:sz w:val="20"/>
              </w:rPr>
            </w:pPr>
            <w:r>
              <w:rPr>
                <w:spacing w:val="-2"/>
                <w:sz w:val="20"/>
              </w:rPr>
              <w:t>15.3%</w:t>
            </w:r>
          </w:p>
        </w:tc>
      </w:tr>
      <w:tr>
        <w:trPr>
          <w:trHeight w:val="316" w:hRule="atLeast"/>
        </w:trPr>
        <w:tc>
          <w:tcPr>
            <w:tcW w:w="4164" w:type="dxa"/>
            <w:tcBorders>
              <w:left w:val="single" w:sz="4" w:space="0" w:color="000000"/>
              <w:bottom w:val="single" w:sz="4" w:space="0" w:color="000000"/>
            </w:tcBorders>
          </w:tcPr>
          <w:p>
            <w:pPr>
              <w:pStyle w:val="TableParagraph"/>
              <w:spacing w:before="42"/>
              <w:ind w:left="107"/>
              <w:rPr>
                <w:b/>
                <w:sz w:val="20"/>
              </w:rPr>
            </w:pPr>
            <w:r>
              <w:rPr>
                <w:b/>
                <w:sz w:val="20"/>
              </w:rPr>
              <w:t>Total</w:t>
            </w:r>
            <w:r>
              <w:rPr>
                <w:b/>
                <w:spacing w:val="-6"/>
                <w:sz w:val="20"/>
              </w:rPr>
              <w:t> </w:t>
            </w:r>
            <w:r>
              <w:rPr>
                <w:b/>
                <w:spacing w:val="-2"/>
                <w:sz w:val="20"/>
              </w:rPr>
              <w:t>depreciation</w:t>
            </w:r>
          </w:p>
        </w:tc>
        <w:tc>
          <w:tcPr>
            <w:tcW w:w="1574" w:type="dxa"/>
            <w:tcBorders>
              <w:top w:val="single" w:sz="8" w:space="0" w:color="000000"/>
              <w:bottom w:val="single" w:sz="4" w:space="0" w:color="000000"/>
            </w:tcBorders>
          </w:tcPr>
          <w:p>
            <w:pPr>
              <w:pStyle w:val="TableParagraph"/>
              <w:spacing w:before="42"/>
              <w:ind w:right="103"/>
              <w:jc w:val="right"/>
              <w:rPr>
                <w:b/>
                <w:sz w:val="20"/>
              </w:rPr>
            </w:pPr>
            <w:r>
              <w:rPr>
                <w:b/>
                <w:spacing w:val="-2"/>
                <w:sz w:val="20"/>
              </w:rPr>
              <w:t>29,167</w:t>
            </w:r>
          </w:p>
        </w:tc>
        <w:tc>
          <w:tcPr>
            <w:tcW w:w="1574" w:type="dxa"/>
            <w:tcBorders>
              <w:top w:val="single" w:sz="8" w:space="0" w:color="000000"/>
              <w:bottom w:val="single" w:sz="4" w:space="0" w:color="000000"/>
            </w:tcBorders>
            <w:shd w:val="clear" w:color="auto" w:fill="DDEBF6"/>
          </w:tcPr>
          <w:p>
            <w:pPr>
              <w:pStyle w:val="TableParagraph"/>
              <w:spacing w:before="42"/>
              <w:ind w:right="102"/>
              <w:jc w:val="right"/>
              <w:rPr>
                <w:b/>
                <w:sz w:val="20"/>
              </w:rPr>
            </w:pPr>
            <w:r>
              <w:rPr>
                <w:b/>
                <w:spacing w:val="-2"/>
                <w:sz w:val="20"/>
              </w:rPr>
              <w:t>30,442</w:t>
            </w:r>
          </w:p>
        </w:tc>
        <w:tc>
          <w:tcPr>
            <w:tcW w:w="2090" w:type="dxa"/>
            <w:tcBorders>
              <w:top w:val="single" w:sz="8" w:space="0" w:color="000000"/>
              <w:bottom w:val="single" w:sz="4" w:space="0" w:color="000000"/>
            </w:tcBorders>
          </w:tcPr>
          <w:p>
            <w:pPr>
              <w:pStyle w:val="TableParagraph"/>
              <w:spacing w:before="42"/>
              <w:ind w:right="617"/>
              <w:jc w:val="right"/>
              <w:rPr>
                <w:b/>
                <w:sz w:val="20"/>
              </w:rPr>
            </w:pPr>
            <w:r>
              <w:rPr>
                <w:b/>
                <w:spacing w:val="-2"/>
                <w:sz w:val="20"/>
              </w:rPr>
              <w:t>1,276</w:t>
            </w:r>
          </w:p>
        </w:tc>
        <w:tc>
          <w:tcPr>
            <w:tcW w:w="1054" w:type="dxa"/>
            <w:tcBorders>
              <w:top w:val="single" w:sz="8" w:space="0" w:color="000000"/>
              <w:bottom w:val="single" w:sz="4" w:space="0" w:color="000000"/>
              <w:right w:val="single" w:sz="4" w:space="0" w:color="000000"/>
            </w:tcBorders>
          </w:tcPr>
          <w:p>
            <w:pPr>
              <w:pStyle w:val="TableParagraph"/>
              <w:spacing w:before="42"/>
              <w:ind w:right="95"/>
              <w:jc w:val="right"/>
              <w:rPr>
                <w:b/>
                <w:sz w:val="20"/>
              </w:rPr>
            </w:pPr>
            <w:r>
              <w:rPr>
                <w:b/>
                <w:spacing w:val="-4"/>
                <w:sz w:val="20"/>
              </w:rPr>
              <w:t>4.4%</w:t>
            </w:r>
          </w:p>
        </w:tc>
      </w:tr>
    </w:tbl>
    <w:p>
      <w:pPr>
        <w:pStyle w:val="BodyText"/>
        <w:spacing w:before="10"/>
        <w:rPr>
          <w:b/>
          <w:sz w:val="23"/>
        </w:rPr>
      </w:pPr>
    </w:p>
    <w:p>
      <w:pPr>
        <w:pStyle w:val="BodyText"/>
        <w:ind w:left="260" w:right="555"/>
        <w:jc w:val="both"/>
      </w:pPr>
      <w:r>
        <w:rPr/>
        <w:t>Depreciation</w:t>
      </w:r>
      <w:r>
        <w:rPr>
          <w:spacing w:val="-6"/>
        </w:rPr>
        <w:t> </w:t>
      </w:r>
      <w:r>
        <w:rPr/>
        <w:t>is</w:t>
      </w:r>
      <w:r>
        <w:rPr>
          <w:spacing w:val="-8"/>
        </w:rPr>
        <w:t> </w:t>
      </w:r>
      <w:r>
        <w:rPr/>
        <w:t>an</w:t>
      </w:r>
      <w:r>
        <w:rPr>
          <w:spacing w:val="-8"/>
        </w:rPr>
        <w:t> </w:t>
      </w:r>
      <w:r>
        <w:rPr/>
        <w:t>accounting</w:t>
      </w:r>
      <w:r>
        <w:rPr>
          <w:spacing w:val="-10"/>
        </w:rPr>
        <w:t> </w:t>
      </w:r>
      <w:r>
        <w:rPr/>
        <w:t>measure</w:t>
      </w:r>
      <w:r>
        <w:rPr>
          <w:spacing w:val="-10"/>
        </w:rPr>
        <w:t> </w:t>
      </w:r>
      <w:r>
        <w:rPr/>
        <w:t>which</w:t>
      </w:r>
      <w:r>
        <w:rPr>
          <w:spacing w:val="-10"/>
        </w:rPr>
        <w:t> </w:t>
      </w:r>
      <w:r>
        <w:rPr/>
        <w:t>attempts</w:t>
      </w:r>
      <w:r>
        <w:rPr>
          <w:spacing w:val="-11"/>
        </w:rPr>
        <w:t> </w:t>
      </w:r>
      <w:r>
        <w:rPr/>
        <w:t>to</w:t>
      </w:r>
      <w:r>
        <w:rPr>
          <w:spacing w:val="-10"/>
        </w:rPr>
        <w:t> </w:t>
      </w:r>
      <w:r>
        <w:rPr/>
        <w:t>allocate</w:t>
      </w:r>
      <w:r>
        <w:rPr>
          <w:spacing w:val="-10"/>
        </w:rPr>
        <w:t> </w:t>
      </w:r>
      <w:r>
        <w:rPr/>
        <w:t>the</w:t>
      </w:r>
      <w:r>
        <w:rPr>
          <w:spacing w:val="-8"/>
        </w:rPr>
        <w:t> </w:t>
      </w:r>
      <w:r>
        <w:rPr/>
        <w:t>value</w:t>
      </w:r>
      <w:r>
        <w:rPr>
          <w:spacing w:val="-6"/>
        </w:rPr>
        <w:t> </w:t>
      </w:r>
      <w:r>
        <w:rPr/>
        <w:t>of</w:t>
      </w:r>
      <w:r>
        <w:rPr>
          <w:spacing w:val="-6"/>
        </w:rPr>
        <w:t> </w:t>
      </w:r>
      <w:r>
        <w:rPr/>
        <w:t>an</w:t>
      </w:r>
      <w:r>
        <w:rPr>
          <w:spacing w:val="-8"/>
        </w:rPr>
        <w:t> </w:t>
      </w:r>
      <w:r>
        <w:rPr/>
        <w:t>asset</w:t>
      </w:r>
      <w:r>
        <w:rPr>
          <w:spacing w:val="-8"/>
        </w:rPr>
        <w:t> </w:t>
      </w:r>
      <w:r>
        <w:rPr/>
        <w:t>over</w:t>
      </w:r>
      <w:r>
        <w:rPr>
          <w:spacing w:val="-8"/>
        </w:rPr>
        <w:t> </w:t>
      </w:r>
      <w:r>
        <w:rPr/>
        <w:t>its</w:t>
      </w:r>
      <w:r>
        <w:rPr>
          <w:spacing w:val="-6"/>
        </w:rPr>
        <w:t> </w:t>
      </w:r>
      <w:r>
        <w:rPr/>
        <w:t>useful</w:t>
      </w:r>
      <w:r>
        <w:rPr>
          <w:spacing w:val="-6"/>
        </w:rPr>
        <w:t> </w:t>
      </w:r>
      <w:r>
        <w:rPr/>
        <w:t>life</w:t>
      </w:r>
      <w:r>
        <w:rPr>
          <w:spacing w:val="-8"/>
        </w:rPr>
        <w:t> </w:t>
      </w:r>
      <w:r>
        <w:rPr/>
        <w:t>for Council’s property, plant and equipment including infrastructure assets such as roads and drains. The increase of 6.1% or $1.65 million for 2023/2024 is due mainly to the full year effect of depreciation on the 2022/2023 capital works program. Refer to section 4.5 Capital works program’ for a more detailed analysis of Council’s capital works program for the 2023/2024 year.</w:t>
      </w:r>
    </w:p>
    <w:p>
      <w:pPr>
        <w:pStyle w:val="BodyText"/>
        <w:spacing w:before="10"/>
        <w:rPr>
          <w:sz w:val="23"/>
        </w:rPr>
      </w:pPr>
    </w:p>
    <w:p>
      <w:pPr>
        <w:pStyle w:val="ListParagraph"/>
        <w:numPr>
          <w:ilvl w:val="2"/>
          <w:numId w:val="11"/>
        </w:numPr>
        <w:tabs>
          <w:tab w:pos="996" w:val="left" w:leader="none"/>
        </w:tabs>
        <w:spacing w:line="240" w:lineRule="auto" w:before="0" w:after="0"/>
        <w:ind w:left="995" w:right="0" w:hanging="736"/>
        <w:jc w:val="left"/>
        <w:rPr>
          <w:b/>
          <w:color w:val="4966AC"/>
          <w:sz w:val="24"/>
        </w:rPr>
      </w:pPr>
      <w:r>
        <w:rPr>
          <w:b/>
          <w:color w:val="4966AC"/>
          <w:sz w:val="24"/>
        </w:rPr>
        <w:t>Depreciation</w:t>
      </w:r>
      <w:r>
        <w:rPr>
          <w:b/>
          <w:color w:val="4966AC"/>
          <w:spacing w:val="-1"/>
          <w:sz w:val="24"/>
        </w:rPr>
        <w:t> </w:t>
      </w:r>
      <w:r>
        <w:rPr>
          <w:b/>
          <w:color w:val="4966AC"/>
          <w:sz w:val="24"/>
        </w:rPr>
        <w:t>-</w:t>
      </w:r>
      <w:r>
        <w:rPr>
          <w:b/>
          <w:color w:val="4966AC"/>
          <w:spacing w:val="-2"/>
          <w:sz w:val="24"/>
        </w:rPr>
        <w:t> </w:t>
      </w:r>
      <w:r>
        <w:rPr>
          <w:b/>
          <w:color w:val="4966AC"/>
          <w:sz w:val="24"/>
        </w:rPr>
        <w:t>right</w:t>
      </w:r>
      <w:r>
        <w:rPr>
          <w:b/>
          <w:color w:val="4966AC"/>
          <w:spacing w:val="-1"/>
          <w:sz w:val="24"/>
        </w:rPr>
        <w:t> </w:t>
      </w:r>
      <w:r>
        <w:rPr>
          <w:b/>
          <w:color w:val="4966AC"/>
          <w:sz w:val="24"/>
        </w:rPr>
        <w:t>of use </w:t>
      </w:r>
      <w:r>
        <w:rPr>
          <w:b/>
          <w:color w:val="4966AC"/>
          <w:spacing w:val="-2"/>
          <w:sz w:val="24"/>
        </w:rPr>
        <w:t>assets</w:t>
      </w:r>
    </w:p>
    <w:p>
      <w:pPr>
        <w:pStyle w:val="BodyText"/>
        <w:spacing w:before="10"/>
        <w:rPr>
          <w:b/>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73"/>
        <w:gridCol w:w="1373"/>
        <w:gridCol w:w="1373"/>
        <w:gridCol w:w="977"/>
        <w:gridCol w:w="861"/>
        <w:gridCol w:w="902"/>
      </w:tblGrid>
      <w:tr>
        <w:trPr>
          <w:trHeight w:val="1079" w:hRule="atLeast"/>
        </w:trPr>
        <w:tc>
          <w:tcPr>
            <w:tcW w:w="6346" w:type="dxa"/>
            <w:gridSpan w:val="2"/>
            <w:tcBorders>
              <w:top w:val="single" w:sz="4" w:space="0" w:color="000000"/>
              <w:left w:val="single" w:sz="4" w:space="0" w:color="000000"/>
            </w:tcBorders>
            <w:shd w:val="clear" w:color="auto" w:fill="5B9AD4"/>
          </w:tcPr>
          <w:p>
            <w:pPr>
              <w:pStyle w:val="TableParagraph"/>
              <w:spacing w:before="63"/>
              <w:ind w:left="5225" w:right="241"/>
              <w:jc w:val="center"/>
              <w:rPr>
                <w:b/>
                <w:sz w:val="18"/>
              </w:rPr>
            </w:pPr>
            <w:r>
              <w:rPr>
                <w:b/>
                <w:color w:val="FFFFFF"/>
                <w:spacing w:val="-2"/>
                <w:sz w:val="18"/>
              </w:rPr>
              <w:t>Forecast Actual</w:t>
            </w:r>
          </w:p>
          <w:p>
            <w:pPr>
              <w:pStyle w:val="TableParagraph"/>
              <w:spacing w:before="95"/>
              <w:ind w:left="5225" w:right="243"/>
              <w:jc w:val="center"/>
              <w:rPr>
                <w:b/>
                <w:sz w:val="18"/>
              </w:rPr>
            </w:pPr>
            <w:r>
              <w:rPr>
                <w:b/>
                <w:color w:val="FFFFFF"/>
                <w:spacing w:val="-2"/>
                <w:sz w:val="18"/>
              </w:rPr>
              <w:t>2023/2024</w:t>
            </w:r>
          </w:p>
          <w:p>
            <w:pPr>
              <w:pStyle w:val="TableParagraph"/>
              <w:spacing w:line="187" w:lineRule="exact" w:before="93"/>
              <w:ind w:left="5225" w:right="242"/>
              <w:jc w:val="center"/>
              <w:rPr>
                <w:b/>
                <w:sz w:val="18"/>
              </w:rPr>
            </w:pPr>
            <w:r>
              <w:rPr>
                <w:b/>
                <w:color w:val="FFFFFF"/>
                <w:spacing w:val="-2"/>
                <w:sz w:val="18"/>
              </w:rPr>
              <w:t>$’000</w:t>
            </w:r>
          </w:p>
        </w:tc>
        <w:tc>
          <w:tcPr>
            <w:tcW w:w="1373" w:type="dxa"/>
            <w:tcBorders>
              <w:top w:val="single" w:sz="4" w:space="0" w:color="000000"/>
            </w:tcBorders>
            <w:shd w:val="clear" w:color="auto" w:fill="5B9AD4"/>
          </w:tcPr>
          <w:p>
            <w:pPr>
              <w:pStyle w:val="TableParagraph"/>
              <w:spacing w:before="8"/>
              <w:rPr>
                <w:b/>
                <w:sz w:val="23"/>
              </w:rPr>
            </w:pPr>
          </w:p>
          <w:p>
            <w:pPr>
              <w:pStyle w:val="TableParagraph"/>
              <w:spacing w:line="348" w:lineRule="auto"/>
              <w:ind w:left="263" w:firstLine="117"/>
              <w:rPr>
                <w:b/>
                <w:sz w:val="18"/>
              </w:rPr>
            </w:pPr>
            <w:r>
              <w:rPr>
                <w:b/>
                <w:color w:val="FFFFFF"/>
                <w:spacing w:val="-2"/>
                <w:sz w:val="18"/>
              </w:rPr>
              <w:t>Budget 2024/2025</w:t>
            </w:r>
          </w:p>
          <w:p>
            <w:pPr>
              <w:pStyle w:val="TableParagraph"/>
              <w:spacing w:line="187" w:lineRule="exact"/>
              <w:ind w:left="465"/>
              <w:rPr>
                <w:b/>
                <w:sz w:val="18"/>
              </w:rPr>
            </w:pPr>
            <w:r>
              <w:rPr>
                <w:b/>
                <w:color w:val="FFFFFF"/>
                <w:spacing w:val="-2"/>
                <w:sz w:val="18"/>
              </w:rPr>
              <w:t>$’000</w:t>
            </w:r>
          </w:p>
        </w:tc>
        <w:tc>
          <w:tcPr>
            <w:tcW w:w="977" w:type="dxa"/>
            <w:tcBorders>
              <w:top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10"/>
              <w:rPr>
                <w:b/>
                <w:sz w:val="15"/>
              </w:rPr>
            </w:pPr>
          </w:p>
          <w:p>
            <w:pPr>
              <w:pStyle w:val="TableParagraph"/>
              <w:spacing w:line="187" w:lineRule="exact"/>
              <w:ind w:left="464"/>
              <w:rPr>
                <w:b/>
                <w:sz w:val="18"/>
              </w:rPr>
            </w:pPr>
            <w:r>
              <w:rPr>
                <w:b/>
                <w:color w:val="FFFFFF"/>
                <w:spacing w:val="-2"/>
                <w:sz w:val="18"/>
              </w:rPr>
              <w:t>$’000</w:t>
            </w:r>
          </w:p>
        </w:tc>
        <w:tc>
          <w:tcPr>
            <w:tcW w:w="861" w:type="dxa"/>
            <w:tcBorders>
              <w:top w:val="single" w:sz="4" w:space="0" w:color="000000"/>
            </w:tcBorders>
            <w:shd w:val="clear" w:color="auto" w:fill="5B9AD4"/>
          </w:tcPr>
          <w:p>
            <w:pPr>
              <w:pStyle w:val="TableParagraph"/>
              <w:rPr>
                <w:b/>
                <w:sz w:val="20"/>
              </w:rPr>
            </w:pPr>
          </w:p>
          <w:p>
            <w:pPr>
              <w:pStyle w:val="TableParagraph"/>
              <w:spacing w:before="9"/>
              <w:rPr>
                <w:b/>
                <w:sz w:val="29"/>
              </w:rPr>
            </w:pPr>
          </w:p>
          <w:p>
            <w:pPr>
              <w:pStyle w:val="TableParagraph"/>
              <w:ind w:left="66"/>
              <w:rPr>
                <w:b/>
                <w:sz w:val="18"/>
              </w:rPr>
            </w:pPr>
            <w:r>
              <w:rPr>
                <w:b/>
                <w:color w:val="FFFFFF"/>
                <w:spacing w:val="-2"/>
                <w:sz w:val="18"/>
              </w:rPr>
              <w:t>Change</w:t>
            </w:r>
          </w:p>
        </w:tc>
        <w:tc>
          <w:tcPr>
            <w:tcW w:w="902"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10"/>
              <w:rPr>
                <w:b/>
                <w:sz w:val="15"/>
              </w:rPr>
            </w:pPr>
          </w:p>
          <w:p>
            <w:pPr>
              <w:pStyle w:val="TableParagraph"/>
              <w:spacing w:line="187" w:lineRule="exact"/>
              <w:ind w:left="134"/>
              <w:rPr>
                <w:b/>
                <w:sz w:val="18"/>
              </w:rPr>
            </w:pPr>
            <w:r>
              <w:rPr>
                <w:b/>
                <w:color w:val="FFFFFF"/>
                <w:sz w:val="18"/>
              </w:rPr>
              <w:t>%</w:t>
            </w:r>
          </w:p>
        </w:tc>
      </w:tr>
      <w:tr>
        <w:trPr>
          <w:trHeight w:val="317" w:hRule="atLeast"/>
        </w:trPr>
        <w:tc>
          <w:tcPr>
            <w:tcW w:w="4973" w:type="dxa"/>
            <w:tcBorders>
              <w:left w:val="single" w:sz="4" w:space="0" w:color="000000"/>
            </w:tcBorders>
          </w:tcPr>
          <w:p>
            <w:pPr>
              <w:pStyle w:val="TableParagraph"/>
              <w:spacing w:before="40"/>
              <w:ind w:left="107"/>
              <w:rPr>
                <w:sz w:val="20"/>
              </w:rPr>
            </w:pPr>
            <w:r>
              <w:rPr>
                <w:sz w:val="20"/>
              </w:rPr>
              <w:t>IT</w:t>
            </w:r>
            <w:r>
              <w:rPr>
                <w:spacing w:val="-3"/>
                <w:sz w:val="20"/>
              </w:rPr>
              <w:t> </w:t>
            </w:r>
            <w:r>
              <w:rPr>
                <w:spacing w:val="-2"/>
                <w:sz w:val="20"/>
              </w:rPr>
              <w:t>Equipment</w:t>
            </w:r>
          </w:p>
        </w:tc>
        <w:tc>
          <w:tcPr>
            <w:tcW w:w="1373" w:type="dxa"/>
          </w:tcPr>
          <w:p>
            <w:pPr>
              <w:pStyle w:val="TableParagraph"/>
              <w:spacing w:before="40"/>
              <w:ind w:right="104"/>
              <w:jc w:val="right"/>
              <w:rPr>
                <w:sz w:val="20"/>
              </w:rPr>
            </w:pPr>
            <w:r>
              <w:rPr>
                <w:spacing w:val="-5"/>
                <w:sz w:val="20"/>
              </w:rPr>
              <w:t>747</w:t>
            </w:r>
          </w:p>
        </w:tc>
        <w:tc>
          <w:tcPr>
            <w:tcW w:w="1373" w:type="dxa"/>
            <w:shd w:val="clear" w:color="auto" w:fill="DDEBF6"/>
          </w:tcPr>
          <w:p>
            <w:pPr>
              <w:pStyle w:val="TableParagraph"/>
              <w:spacing w:before="40"/>
              <w:ind w:right="104"/>
              <w:jc w:val="right"/>
              <w:rPr>
                <w:b/>
                <w:sz w:val="20"/>
              </w:rPr>
            </w:pPr>
            <w:r>
              <w:rPr>
                <w:b/>
                <w:spacing w:val="-5"/>
                <w:sz w:val="20"/>
              </w:rPr>
              <w:t>747</w:t>
            </w:r>
          </w:p>
        </w:tc>
        <w:tc>
          <w:tcPr>
            <w:tcW w:w="1838" w:type="dxa"/>
            <w:gridSpan w:val="2"/>
          </w:tcPr>
          <w:p>
            <w:pPr>
              <w:pStyle w:val="TableParagraph"/>
              <w:spacing w:before="40"/>
              <w:ind w:left="1158"/>
              <w:rPr>
                <w:sz w:val="20"/>
              </w:rPr>
            </w:pPr>
            <w:r>
              <w:rPr>
                <w:w w:val="99"/>
                <w:sz w:val="20"/>
              </w:rPr>
              <w:t>0</w:t>
            </w:r>
          </w:p>
        </w:tc>
        <w:tc>
          <w:tcPr>
            <w:tcW w:w="902" w:type="dxa"/>
            <w:tcBorders>
              <w:right w:val="single" w:sz="4" w:space="0" w:color="000000"/>
            </w:tcBorders>
          </w:tcPr>
          <w:p>
            <w:pPr>
              <w:pStyle w:val="TableParagraph"/>
              <w:spacing w:before="40"/>
              <w:ind w:right="101"/>
              <w:jc w:val="right"/>
              <w:rPr>
                <w:sz w:val="20"/>
              </w:rPr>
            </w:pPr>
            <w:r>
              <w:rPr>
                <w:spacing w:val="-4"/>
                <w:sz w:val="20"/>
              </w:rPr>
              <w:t>0.0%</w:t>
            </w:r>
          </w:p>
        </w:tc>
      </w:tr>
      <w:tr>
        <w:trPr>
          <w:trHeight w:val="315" w:hRule="atLeast"/>
        </w:trPr>
        <w:tc>
          <w:tcPr>
            <w:tcW w:w="4973" w:type="dxa"/>
            <w:tcBorders>
              <w:left w:val="single" w:sz="4" w:space="0" w:color="000000"/>
            </w:tcBorders>
          </w:tcPr>
          <w:p>
            <w:pPr>
              <w:pStyle w:val="TableParagraph"/>
              <w:spacing w:before="40"/>
              <w:ind w:left="107"/>
              <w:rPr>
                <w:sz w:val="20"/>
              </w:rPr>
            </w:pPr>
            <w:r>
              <w:rPr>
                <w:spacing w:val="-4"/>
                <w:sz w:val="20"/>
              </w:rPr>
              <w:t>Land</w:t>
            </w:r>
          </w:p>
        </w:tc>
        <w:tc>
          <w:tcPr>
            <w:tcW w:w="1373" w:type="dxa"/>
          </w:tcPr>
          <w:p>
            <w:pPr>
              <w:pStyle w:val="TableParagraph"/>
              <w:spacing w:before="40"/>
              <w:ind w:right="101"/>
              <w:jc w:val="right"/>
              <w:rPr>
                <w:sz w:val="20"/>
              </w:rPr>
            </w:pPr>
            <w:r>
              <w:rPr>
                <w:w w:val="99"/>
                <w:sz w:val="20"/>
              </w:rPr>
              <w:t>5</w:t>
            </w:r>
          </w:p>
        </w:tc>
        <w:tc>
          <w:tcPr>
            <w:tcW w:w="1373" w:type="dxa"/>
            <w:shd w:val="clear" w:color="auto" w:fill="DDEBF6"/>
          </w:tcPr>
          <w:p>
            <w:pPr>
              <w:pStyle w:val="TableParagraph"/>
              <w:spacing w:before="40"/>
              <w:ind w:right="101"/>
              <w:jc w:val="right"/>
              <w:rPr>
                <w:b/>
                <w:sz w:val="20"/>
              </w:rPr>
            </w:pPr>
            <w:r>
              <w:rPr>
                <w:b/>
                <w:w w:val="99"/>
                <w:sz w:val="20"/>
              </w:rPr>
              <w:t>5</w:t>
            </w:r>
          </w:p>
        </w:tc>
        <w:tc>
          <w:tcPr>
            <w:tcW w:w="1838" w:type="dxa"/>
            <w:gridSpan w:val="2"/>
          </w:tcPr>
          <w:p>
            <w:pPr>
              <w:pStyle w:val="TableParagraph"/>
              <w:spacing w:before="40"/>
              <w:ind w:left="1158"/>
              <w:rPr>
                <w:sz w:val="20"/>
              </w:rPr>
            </w:pPr>
            <w:r>
              <w:rPr>
                <w:w w:val="99"/>
                <w:sz w:val="20"/>
              </w:rPr>
              <w:t>0</w:t>
            </w:r>
          </w:p>
        </w:tc>
        <w:tc>
          <w:tcPr>
            <w:tcW w:w="902" w:type="dxa"/>
            <w:tcBorders>
              <w:right w:val="single" w:sz="4" w:space="0" w:color="000000"/>
            </w:tcBorders>
          </w:tcPr>
          <w:p>
            <w:pPr>
              <w:pStyle w:val="TableParagraph"/>
              <w:spacing w:before="40"/>
              <w:ind w:right="101"/>
              <w:jc w:val="right"/>
              <w:rPr>
                <w:sz w:val="20"/>
              </w:rPr>
            </w:pPr>
            <w:r>
              <w:rPr>
                <w:spacing w:val="-4"/>
                <w:sz w:val="20"/>
              </w:rPr>
              <w:t>0.0%</w:t>
            </w:r>
          </w:p>
        </w:tc>
      </w:tr>
      <w:tr>
        <w:trPr>
          <w:trHeight w:val="314" w:hRule="atLeast"/>
        </w:trPr>
        <w:tc>
          <w:tcPr>
            <w:tcW w:w="4973" w:type="dxa"/>
            <w:tcBorders>
              <w:left w:val="single" w:sz="4" w:space="0" w:color="000000"/>
            </w:tcBorders>
          </w:tcPr>
          <w:p>
            <w:pPr>
              <w:pStyle w:val="TableParagraph"/>
              <w:spacing w:before="38"/>
              <w:ind w:left="107"/>
              <w:rPr>
                <w:sz w:val="20"/>
              </w:rPr>
            </w:pPr>
            <w:r>
              <w:rPr>
                <w:spacing w:val="-2"/>
                <w:sz w:val="20"/>
              </w:rPr>
              <w:t>Other</w:t>
            </w:r>
          </w:p>
        </w:tc>
        <w:tc>
          <w:tcPr>
            <w:tcW w:w="1373" w:type="dxa"/>
          </w:tcPr>
          <w:p>
            <w:pPr>
              <w:pStyle w:val="TableParagraph"/>
              <w:spacing w:before="38"/>
              <w:ind w:right="103"/>
              <w:jc w:val="right"/>
              <w:rPr>
                <w:sz w:val="20"/>
              </w:rPr>
            </w:pPr>
            <w:r>
              <w:rPr>
                <w:spacing w:val="-5"/>
                <w:sz w:val="20"/>
              </w:rPr>
              <w:t>228</w:t>
            </w:r>
          </w:p>
        </w:tc>
        <w:tc>
          <w:tcPr>
            <w:tcW w:w="1373" w:type="dxa"/>
            <w:shd w:val="clear" w:color="auto" w:fill="DDEBF6"/>
          </w:tcPr>
          <w:p>
            <w:pPr>
              <w:pStyle w:val="TableParagraph"/>
              <w:spacing w:before="38"/>
              <w:ind w:right="104"/>
              <w:jc w:val="right"/>
              <w:rPr>
                <w:b/>
                <w:sz w:val="20"/>
              </w:rPr>
            </w:pPr>
            <w:r>
              <w:rPr>
                <w:b/>
                <w:spacing w:val="-5"/>
                <w:sz w:val="20"/>
              </w:rPr>
              <w:t>234</w:t>
            </w:r>
          </w:p>
        </w:tc>
        <w:tc>
          <w:tcPr>
            <w:tcW w:w="1838" w:type="dxa"/>
            <w:gridSpan w:val="2"/>
          </w:tcPr>
          <w:p>
            <w:pPr>
              <w:pStyle w:val="TableParagraph"/>
              <w:spacing w:before="38"/>
              <w:ind w:left="1158"/>
              <w:rPr>
                <w:sz w:val="20"/>
              </w:rPr>
            </w:pPr>
            <w:r>
              <w:rPr>
                <w:w w:val="99"/>
                <w:sz w:val="20"/>
              </w:rPr>
              <w:t>6</w:t>
            </w:r>
          </w:p>
        </w:tc>
        <w:tc>
          <w:tcPr>
            <w:tcW w:w="902" w:type="dxa"/>
            <w:tcBorders>
              <w:right w:val="single" w:sz="4" w:space="0" w:color="000000"/>
            </w:tcBorders>
          </w:tcPr>
          <w:p>
            <w:pPr>
              <w:pStyle w:val="TableParagraph"/>
              <w:spacing w:before="38"/>
              <w:ind w:right="101"/>
              <w:jc w:val="right"/>
              <w:rPr>
                <w:sz w:val="20"/>
              </w:rPr>
            </w:pPr>
            <w:r>
              <w:rPr>
                <w:spacing w:val="-4"/>
                <w:sz w:val="20"/>
              </w:rPr>
              <w:t>2.6%</w:t>
            </w:r>
          </w:p>
        </w:tc>
      </w:tr>
      <w:tr>
        <w:trPr>
          <w:trHeight w:val="314" w:hRule="atLeast"/>
        </w:trPr>
        <w:tc>
          <w:tcPr>
            <w:tcW w:w="4973" w:type="dxa"/>
            <w:tcBorders>
              <w:left w:val="single" w:sz="4" w:space="0" w:color="000000"/>
            </w:tcBorders>
          </w:tcPr>
          <w:p>
            <w:pPr>
              <w:pStyle w:val="TableParagraph"/>
              <w:spacing w:before="38"/>
              <w:ind w:left="107"/>
              <w:rPr>
                <w:sz w:val="20"/>
              </w:rPr>
            </w:pPr>
            <w:r>
              <w:rPr>
                <w:spacing w:val="-2"/>
                <w:sz w:val="20"/>
              </w:rPr>
              <w:t>Photocopiers</w:t>
            </w:r>
          </w:p>
        </w:tc>
        <w:tc>
          <w:tcPr>
            <w:tcW w:w="1373" w:type="dxa"/>
          </w:tcPr>
          <w:p>
            <w:pPr>
              <w:pStyle w:val="TableParagraph"/>
              <w:spacing w:before="38"/>
              <w:ind w:right="103"/>
              <w:jc w:val="right"/>
              <w:rPr>
                <w:sz w:val="20"/>
              </w:rPr>
            </w:pPr>
            <w:r>
              <w:rPr>
                <w:spacing w:val="-5"/>
                <w:sz w:val="20"/>
              </w:rPr>
              <w:t>50</w:t>
            </w:r>
          </w:p>
        </w:tc>
        <w:tc>
          <w:tcPr>
            <w:tcW w:w="1373" w:type="dxa"/>
            <w:shd w:val="clear" w:color="auto" w:fill="DDEBF6"/>
          </w:tcPr>
          <w:p>
            <w:pPr>
              <w:pStyle w:val="TableParagraph"/>
              <w:spacing w:before="38"/>
              <w:ind w:right="104"/>
              <w:jc w:val="right"/>
              <w:rPr>
                <w:b/>
                <w:sz w:val="20"/>
              </w:rPr>
            </w:pPr>
            <w:r>
              <w:rPr>
                <w:b/>
                <w:spacing w:val="-5"/>
                <w:sz w:val="20"/>
              </w:rPr>
              <w:t>50</w:t>
            </w:r>
          </w:p>
        </w:tc>
        <w:tc>
          <w:tcPr>
            <w:tcW w:w="1838" w:type="dxa"/>
            <w:gridSpan w:val="2"/>
          </w:tcPr>
          <w:p>
            <w:pPr>
              <w:pStyle w:val="TableParagraph"/>
              <w:spacing w:before="38"/>
              <w:ind w:left="1158"/>
              <w:rPr>
                <w:sz w:val="20"/>
              </w:rPr>
            </w:pPr>
            <w:r>
              <w:rPr>
                <w:w w:val="99"/>
                <w:sz w:val="20"/>
              </w:rPr>
              <w:t>0</w:t>
            </w:r>
          </w:p>
        </w:tc>
        <w:tc>
          <w:tcPr>
            <w:tcW w:w="902" w:type="dxa"/>
            <w:tcBorders>
              <w:right w:val="single" w:sz="4" w:space="0" w:color="000000"/>
            </w:tcBorders>
          </w:tcPr>
          <w:p>
            <w:pPr>
              <w:pStyle w:val="TableParagraph"/>
              <w:spacing w:before="38"/>
              <w:ind w:right="101"/>
              <w:jc w:val="right"/>
              <w:rPr>
                <w:sz w:val="20"/>
              </w:rPr>
            </w:pPr>
            <w:r>
              <w:rPr>
                <w:spacing w:val="-4"/>
                <w:sz w:val="20"/>
              </w:rPr>
              <w:t>0.0%</w:t>
            </w:r>
          </w:p>
        </w:tc>
      </w:tr>
      <w:tr>
        <w:trPr>
          <w:trHeight w:val="312" w:hRule="atLeast"/>
        </w:trPr>
        <w:tc>
          <w:tcPr>
            <w:tcW w:w="4973" w:type="dxa"/>
            <w:tcBorders>
              <w:left w:val="single" w:sz="4" w:space="0" w:color="000000"/>
            </w:tcBorders>
          </w:tcPr>
          <w:p>
            <w:pPr>
              <w:pStyle w:val="TableParagraph"/>
              <w:spacing w:before="38"/>
              <w:ind w:left="107"/>
              <w:rPr>
                <w:sz w:val="20"/>
              </w:rPr>
            </w:pPr>
            <w:r>
              <w:rPr>
                <w:spacing w:val="-2"/>
                <w:sz w:val="20"/>
              </w:rPr>
              <w:t>Trucks</w:t>
            </w:r>
          </w:p>
        </w:tc>
        <w:tc>
          <w:tcPr>
            <w:tcW w:w="1373" w:type="dxa"/>
            <w:tcBorders>
              <w:bottom w:val="single" w:sz="8" w:space="0" w:color="000000"/>
            </w:tcBorders>
          </w:tcPr>
          <w:p>
            <w:pPr>
              <w:pStyle w:val="TableParagraph"/>
              <w:spacing w:before="38"/>
              <w:ind w:right="103"/>
              <w:jc w:val="right"/>
              <w:rPr>
                <w:sz w:val="20"/>
              </w:rPr>
            </w:pPr>
            <w:r>
              <w:rPr>
                <w:spacing w:val="-5"/>
                <w:sz w:val="20"/>
              </w:rPr>
              <w:t>493</w:t>
            </w:r>
          </w:p>
        </w:tc>
        <w:tc>
          <w:tcPr>
            <w:tcW w:w="1373" w:type="dxa"/>
            <w:tcBorders>
              <w:bottom w:val="single" w:sz="8" w:space="0" w:color="000000"/>
            </w:tcBorders>
            <w:shd w:val="clear" w:color="auto" w:fill="DDEBF6"/>
          </w:tcPr>
          <w:p>
            <w:pPr>
              <w:pStyle w:val="TableParagraph"/>
              <w:spacing w:before="38"/>
              <w:ind w:right="104"/>
              <w:jc w:val="right"/>
              <w:rPr>
                <w:b/>
                <w:sz w:val="20"/>
              </w:rPr>
            </w:pPr>
            <w:r>
              <w:rPr>
                <w:b/>
                <w:spacing w:val="-5"/>
                <w:sz w:val="20"/>
              </w:rPr>
              <w:t>493</w:t>
            </w:r>
          </w:p>
        </w:tc>
        <w:tc>
          <w:tcPr>
            <w:tcW w:w="1838" w:type="dxa"/>
            <w:gridSpan w:val="2"/>
            <w:tcBorders>
              <w:bottom w:val="single" w:sz="8" w:space="0" w:color="000000"/>
            </w:tcBorders>
          </w:tcPr>
          <w:p>
            <w:pPr>
              <w:pStyle w:val="TableParagraph"/>
              <w:spacing w:before="38"/>
              <w:ind w:left="1158"/>
              <w:rPr>
                <w:sz w:val="20"/>
              </w:rPr>
            </w:pPr>
            <w:r>
              <w:rPr>
                <w:w w:val="99"/>
                <w:sz w:val="20"/>
              </w:rPr>
              <w:t>0</w:t>
            </w:r>
          </w:p>
        </w:tc>
        <w:tc>
          <w:tcPr>
            <w:tcW w:w="902" w:type="dxa"/>
            <w:tcBorders>
              <w:bottom w:val="single" w:sz="8" w:space="0" w:color="000000"/>
              <w:right w:val="single" w:sz="4" w:space="0" w:color="000000"/>
            </w:tcBorders>
          </w:tcPr>
          <w:p>
            <w:pPr>
              <w:pStyle w:val="TableParagraph"/>
              <w:spacing w:before="38"/>
              <w:ind w:right="101"/>
              <w:jc w:val="right"/>
              <w:rPr>
                <w:sz w:val="20"/>
              </w:rPr>
            </w:pPr>
            <w:r>
              <w:rPr>
                <w:spacing w:val="-4"/>
                <w:sz w:val="20"/>
              </w:rPr>
              <w:t>0.0%</w:t>
            </w:r>
          </w:p>
        </w:tc>
      </w:tr>
      <w:tr>
        <w:trPr>
          <w:trHeight w:val="316" w:hRule="atLeast"/>
        </w:trPr>
        <w:tc>
          <w:tcPr>
            <w:tcW w:w="4973" w:type="dxa"/>
            <w:tcBorders>
              <w:left w:val="single" w:sz="4" w:space="0" w:color="000000"/>
              <w:bottom w:val="single" w:sz="4" w:space="0" w:color="000000"/>
            </w:tcBorders>
          </w:tcPr>
          <w:p>
            <w:pPr>
              <w:pStyle w:val="TableParagraph"/>
              <w:spacing w:before="42"/>
              <w:ind w:left="107"/>
              <w:rPr>
                <w:b/>
                <w:sz w:val="20"/>
              </w:rPr>
            </w:pPr>
            <w:r>
              <w:rPr>
                <w:b/>
                <w:sz w:val="20"/>
              </w:rPr>
              <w:t>Total</w:t>
            </w:r>
            <w:r>
              <w:rPr>
                <w:b/>
                <w:spacing w:val="-6"/>
                <w:sz w:val="20"/>
              </w:rPr>
              <w:t> </w:t>
            </w:r>
            <w:r>
              <w:rPr>
                <w:b/>
                <w:sz w:val="20"/>
              </w:rPr>
              <w:t>Depreciation</w:t>
            </w:r>
            <w:r>
              <w:rPr>
                <w:b/>
                <w:spacing w:val="-5"/>
                <w:sz w:val="20"/>
              </w:rPr>
              <w:t> </w:t>
            </w:r>
            <w:r>
              <w:rPr>
                <w:b/>
                <w:sz w:val="20"/>
              </w:rPr>
              <w:t>-</w:t>
            </w:r>
            <w:r>
              <w:rPr>
                <w:b/>
                <w:spacing w:val="-3"/>
                <w:sz w:val="20"/>
              </w:rPr>
              <w:t> </w:t>
            </w:r>
            <w:r>
              <w:rPr>
                <w:b/>
                <w:sz w:val="20"/>
              </w:rPr>
              <w:t>right</w:t>
            </w:r>
            <w:r>
              <w:rPr>
                <w:b/>
                <w:spacing w:val="-4"/>
                <w:sz w:val="20"/>
              </w:rPr>
              <w:t> </w:t>
            </w:r>
            <w:r>
              <w:rPr>
                <w:b/>
                <w:sz w:val="20"/>
              </w:rPr>
              <w:t>of</w:t>
            </w:r>
            <w:r>
              <w:rPr>
                <w:b/>
                <w:spacing w:val="-4"/>
                <w:sz w:val="20"/>
              </w:rPr>
              <w:t> </w:t>
            </w:r>
            <w:r>
              <w:rPr>
                <w:b/>
                <w:sz w:val="20"/>
              </w:rPr>
              <w:t>use</w:t>
            </w:r>
            <w:r>
              <w:rPr>
                <w:b/>
                <w:spacing w:val="-7"/>
                <w:sz w:val="20"/>
              </w:rPr>
              <w:t> </w:t>
            </w:r>
            <w:r>
              <w:rPr>
                <w:b/>
                <w:spacing w:val="-2"/>
                <w:sz w:val="20"/>
              </w:rPr>
              <w:t>assets</w:t>
            </w:r>
          </w:p>
        </w:tc>
        <w:tc>
          <w:tcPr>
            <w:tcW w:w="1373" w:type="dxa"/>
            <w:tcBorders>
              <w:top w:val="single" w:sz="8" w:space="0" w:color="000000"/>
              <w:bottom w:val="single" w:sz="4" w:space="0" w:color="000000"/>
            </w:tcBorders>
          </w:tcPr>
          <w:p>
            <w:pPr>
              <w:pStyle w:val="TableParagraph"/>
              <w:spacing w:before="42"/>
              <w:ind w:right="103"/>
              <w:jc w:val="right"/>
              <w:rPr>
                <w:b/>
                <w:sz w:val="20"/>
              </w:rPr>
            </w:pPr>
            <w:r>
              <w:rPr>
                <w:b/>
                <w:spacing w:val="-2"/>
                <w:sz w:val="20"/>
              </w:rPr>
              <w:t>1,523</w:t>
            </w:r>
          </w:p>
        </w:tc>
        <w:tc>
          <w:tcPr>
            <w:tcW w:w="1373" w:type="dxa"/>
            <w:tcBorders>
              <w:top w:val="single" w:sz="8" w:space="0" w:color="000000"/>
              <w:bottom w:val="single" w:sz="4" w:space="0" w:color="000000"/>
            </w:tcBorders>
            <w:shd w:val="clear" w:color="auto" w:fill="DDEBF6"/>
          </w:tcPr>
          <w:p>
            <w:pPr>
              <w:pStyle w:val="TableParagraph"/>
              <w:spacing w:before="42"/>
              <w:ind w:right="103"/>
              <w:jc w:val="right"/>
              <w:rPr>
                <w:b/>
                <w:sz w:val="20"/>
              </w:rPr>
            </w:pPr>
            <w:r>
              <w:rPr>
                <w:b/>
                <w:spacing w:val="-2"/>
                <w:sz w:val="20"/>
              </w:rPr>
              <w:t>1,529</w:t>
            </w:r>
          </w:p>
        </w:tc>
        <w:tc>
          <w:tcPr>
            <w:tcW w:w="1838" w:type="dxa"/>
            <w:gridSpan w:val="2"/>
            <w:tcBorders>
              <w:top w:val="single" w:sz="8" w:space="0" w:color="000000"/>
              <w:bottom w:val="single" w:sz="4" w:space="0" w:color="000000"/>
            </w:tcBorders>
          </w:tcPr>
          <w:p>
            <w:pPr>
              <w:pStyle w:val="TableParagraph"/>
              <w:spacing w:before="42"/>
              <w:ind w:left="1158"/>
              <w:rPr>
                <w:b/>
                <w:sz w:val="20"/>
              </w:rPr>
            </w:pPr>
            <w:r>
              <w:rPr>
                <w:b/>
                <w:w w:val="99"/>
                <w:sz w:val="20"/>
              </w:rPr>
              <w:t>6</w:t>
            </w:r>
          </w:p>
        </w:tc>
        <w:tc>
          <w:tcPr>
            <w:tcW w:w="902" w:type="dxa"/>
            <w:tcBorders>
              <w:top w:val="single" w:sz="8" w:space="0" w:color="000000"/>
              <w:bottom w:val="single" w:sz="4" w:space="0" w:color="000000"/>
              <w:right w:val="single" w:sz="4" w:space="0" w:color="000000"/>
            </w:tcBorders>
          </w:tcPr>
          <w:p>
            <w:pPr>
              <w:pStyle w:val="TableParagraph"/>
              <w:spacing w:before="42"/>
              <w:ind w:right="98"/>
              <w:jc w:val="right"/>
              <w:rPr>
                <w:b/>
                <w:sz w:val="20"/>
              </w:rPr>
            </w:pPr>
            <w:r>
              <w:rPr>
                <w:b/>
                <w:spacing w:val="-4"/>
                <w:sz w:val="20"/>
              </w:rPr>
              <w:t>0.4%</w:t>
            </w:r>
          </w:p>
        </w:tc>
      </w:tr>
    </w:tbl>
    <w:p>
      <w:pPr>
        <w:pStyle w:val="BodyText"/>
        <w:rPr>
          <w:b/>
          <w:sz w:val="26"/>
        </w:rPr>
      </w:pPr>
    </w:p>
    <w:p>
      <w:pPr>
        <w:pStyle w:val="BodyText"/>
        <w:spacing w:before="7"/>
        <w:rPr>
          <w:b/>
          <w:sz w:val="21"/>
        </w:rPr>
      </w:pPr>
    </w:p>
    <w:p>
      <w:pPr>
        <w:pStyle w:val="ListParagraph"/>
        <w:numPr>
          <w:ilvl w:val="2"/>
          <w:numId w:val="11"/>
        </w:numPr>
        <w:tabs>
          <w:tab w:pos="996" w:val="left" w:leader="none"/>
        </w:tabs>
        <w:spacing w:line="240" w:lineRule="auto" w:before="0" w:after="0"/>
        <w:ind w:left="995" w:right="0" w:hanging="736"/>
        <w:jc w:val="left"/>
        <w:rPr>
          <w:b/>
          <w:color w:val="4966AC"/>
          <w:sz w:val="24"/>
        </w:rPr>
      </w:pPr>
      <w:r>
        <w:rPr>
          <w:b/>
          <w:color w:val="4966AC"/>
          <w:sz w:val="24"/>
        </w:rPr>
        <w:t>Other</w:t>
      </w:r>
      <w:r>
        <w:rPr>
          <w:b/>
          <w:color w:val="4966AC"/>
          <w:spacing w:val="-1"/>
          <w:sz w:val="24"/>
        </w:rPr>
        <w:t> </w:t>
      </w:r>
      <w:r>
        <w:rPr>
          <w:b/>
          <w:color w:val="4966AC"/>
          <w:spacing w:val="-2"/>
          <w:sz w:val="24"/>
        </w:rPr>
        <w:t>expenses</w:t>
      </w:r>
    </w:p>
    <w:p>
      <w:pPr>
        <w:pStyle w:val="BodyText"/>
        <w:spacing w:before="9"/>
        <w:rPr>
          <w:b/>
          <w:sz w:val="23"/>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73"/>
        <w:gridCol w:w="1234"/>
        <w:gridCol w:w="1217"/>
        <w:gridCol w:w="1615"/>
        <w:gridCol w:w="819"/>
      </w:tblGrid>
      <w:tr>
        <w:trPr>
          <w:trHeight w:val="1079" w:hRule="atLeast"/>
        </w:trPr>
        <w:tc>
          <w:tcPr>
            <w:tcW w:w="6807" w:type="dxa"/>
            <w:gridSpan w:val="2"/>
            <w:tcBorders>
              <w:top w:val="single" w:sz="4" w:space="0" w:color="000000"/>
              <w:left w:val="single" w:sz="4" w:space="0" w:color="000000"/>
            </w:tcBorders>
            <w:shd w:val="clear" w:color="auto" w:fill="5B9AD4"/>
          </w:tcPr>
          <w:p>
            <w:pPr>
              <w:pStyle w:val="TableParagraph"/>
              <w:spacing w:before="32"/>
              <w:ind w:left="5755" w:right="172"/>
              <w:jc w:val="center"/>
              <w:rPr>
                <w:b/>
                <w:sz w:val="18"/>
              </w:rPr>
            </w:pPr>
            <w:r>
              <w:rPr>
                <w:b/>
                <w:color w:val="FFFFFF"/>
                <w:spacing w:val="-2"/>
                <w:sz w:val="18"/>
              </w:rPr>
              <w:t>Forecast Actual</w:t>
            </w:r>
          </w:p>
          <w:p>
            <w:pPr>
              <w:pStyle w:val="TableParagraph"/>
              <w:spacing w:before="126"/>
              <w:ind w:left="5755" w:right="174"/>
              <w:jc w:val="center"/>
              <w:rPr>
                <w:b/>
                <w:sz w:val="18"/>
              </w:rPr>
            </w:pPr>
            <w:r>
              <w:rPr>
                <w:b/>
                <w:color w:val="FFFFFF"/>
                <w:spacing w:val="-2"/>
                <w:sz w:val="18"/>
              </w:rPr>
              <w:t>2023/2024</w:t>
            </w:r>
          </w:p>
          <w:p>
            <w:pPr>
              <w:pStyle w:val="TableParagraph"/>
              <w:spacing w:before="48"/>
              <w:ind w:left="5755" w:right="172"/>
              <w:jc w:val="center"/>
              <w:rPr>
                <w:b/>
                <w:sz w:val="18"/>
              </w:rPr>
            </w:pPr>
            <w:r>
              <w:rPr>
                <w:b/>
                <w:color w:val="FFFFFF"/>
                <w:spacing w:val="-2"/>
                <w:sz w:val="18"/>
              </w:rPr>
              <w:t>$’000</w:t>
            </w:r>
          </w:p>
        </w:tc>
        <w:tc>
          <w:tcPr>
            <w:tcW w:w="1217" w:type="dxa"/>
            <w:tcBorders>
              <w:top w:val="single" w:sz="4" w:space="0" w:color="000000"/>
            </w:tcBorders>
            <w:shd w:val="clear" w:color="auto" w:fill="5B9AD4"/>
          </w:tcPr>
          <w:p>
            <w:pPr>
              <w:pStyle w:val="TableParagraph"/>
              <w:spacing w:before="135"/>
              <w:ind w:left="175" w:right="167"/>
              <w:jc w:val="center"/>
              <w:rPr>
                <w:b/>
                <w:sz w:val="18"/>
              </w:rPr>
            </w:pPr>
            <w:r>
              <w:rPr>
                <w:b/>
                <w:color w:val="FFFFFF"/>
                <w:spacing w:val="-2"/>
                <w:sz w:val="18"/>
              </w:rPr>
              <w:t>Budget</w:t>
            </w:r>
          </w:p>
          <w:p>
            <w:pPr>
              <w:pStyle w:val="TableParagraph"/>
              <w:rPr>
                <w:b/>
                <w:sz w:val="20"/>
              </w:rPr>
            </w:pPr>
          </w:p>
          <w:p>
            <w:pPr>
              <w:pStyle w:val="TableParagraph"/>
              <w:ind w:left="177" w:right="167"/>
              <w:jc w:val="center"/>
              <w:rPr>
                <w:b/>
                <w:sz w:val="18"/>
              </w:rPr>
            </w:pPr>
            <w:r>
              <w:rPr>
                <w:b/>
                <w:color w:val="FFFFFF"/>
                <w:spacing w:val="-2"/>
                <w:sz w:val="18"/>
              </w:rPr>
              <w:t>2024/2025</w:t>
            </w:r>
          </w:p>
          <w:p>
            <w:pPr>
              <w:pStyle w:val="TableParagraph"/>
              <w:spacing w:before="48"/>
              <w:ind w:left="174" w:right="167"/>
              <w:jc w:val="center"/>
              <w:rPr>
                <w:b/>
                <w:sz w:val="18"/>
              </w:rPr>
            </w:pPr>
            <w:r>
              <w:rPr>
                <w:b/>
                <w:color w:val="FFFFFF"/>
                <w:spacing w:val="-2"/>
                <w:sz w:val="18"/>
              </w:rPr>
              <w:t>$’000</w:t>
            </w:r>
          </w:p>
        </w:tc>
        <w:tc>
          <w:tcPr>
            <w:tcW w:w="1615" w:type="dxa"/>
            <w:tcBorders>
              <w:top w:val="single" w:sz="4" w:space="0" w:color="000000"/>
            </w:tcBorders>
            <w:shd w:val="clear" w:color="auto" w:fill="5B9AD4"/>
          </w:tcPr>
          <w:p>
            <w:pPr>
              <w:pStyle w:val="TableParagraph"/>
              <w:spacing w:before="10"/>
              <w:rPr>
                <w:b/>
                <w:sz w:val="24"/>
              </w:rPr>
            </w:pPr>
          </w:p>
          <w:p>
            <w:pPr>
              <w:pStyle w:val="TableParagraph"/>
              <w:spacing w:before="1"/>
              <w:ind w:left="889"/>
              <w:rPr>
                <w:b/>
                <w:sz w:val="18"/>
              </w:rPr>
            </w:pPr>
            <w:r>
              <w:rPr>
                <w:b/>
                <w:color w:val="FFFFFF"/>
                <w:spacing w:val="-2"/>
                <w:sz w:val="18"/>
              </w:rPr>
              <w:t>Change</w:t>
            </w:r>
          </w:p>
          <w:p>
            <w:pPr>
              <w:pStyle w:val="TableParagraph"/>
              <w:spacing w:before="11"/>
              <w:rPr>
                <w:b/>
                <w:sz w:val="28"/>
              </w:rPr>
            </w:pPr>
          </w:p>
          <w:p>
            <w:pPr>
              <w:pStyle w:val="TableParagraph"/>
              <w:ind w:left="323"/>
              <w:rPr>
                <w:b/>
                <w:sz w:val="18"/>
              </w:rPr>
            </w:pPr>
            <w:r>
              <w:rPr>
                <w:b/>
                <w:color w:val="FFFFFF"/>
                <w:spacing w:val="-2"/>
                <w:sz w:val="18"/>
              </w:rPr>
              <w:t>$’000</w:t>
            </w:r>
          </w:p>
        </w:tc>
        <w:tc>
          <w:tcPr>
            <w:tcW w:w="819" w:type="dxa"/>
            <w:tcBorders>
              <w:top w:val="single" w:sz="4" w:space="0" w:color="000000"/>
              <w:right w:val="single" w:sz="4" w:space="0" w:color="000000"/>
            </w:tcBorders>
            <w:shd w:val="clear" w:color="auto" w:fill="5B9AD4"/>
          </w:tcPr>
          <w:p>
            <w:pPr>
              <w:pStyle w:val="TableParagraph"/>
              <w:rPr>
                <w:b/>
                <w:sz w:val="20"/>
              </w:rPr>
            </w:pPr>
          </w:p>
          <w:p>
            <w:pPr>
              <w:pStyle w:val="TableParagraph"/>
              <w:rPr>
                <w:b/>
                <w:sz w:val="20"/>
              </w:rPr>
            </w:pPr>
          </w:p>
          <w:p>
            <w:pPr>
              <w:pStyle w:val="TableParagraph"/>
              <w:rPr>
                <w:b/>
                <w:sz w:val="20"/>
              </w:rPr>
            </w:pPr>
          </w:p>
          <w:p>
            <w:pPr>
              <w:pStyle w:val="TableParagraph"/>
              <w:spacing w:before="137"/>
              <w:ind w:left="66"/>
              <w:rPr>
                <w:b/>
                <w:sz w:val="18"/>
              </w:rPr>
            </w:pPr>
            <w:r>
              <w:rPr>
                <w:b/>
                <w:color w:val="FFFFFF"/>
                <w:sz w:val="18"/>
              </w:rPr>
              <w:t>%</w:t>
            </w:r>
          </w:p>
        </w:tc>
      </w:tr>
      <w:tr>
        <w:trPr>
          <w:trHeight w:val="637" w:hRule="atLeast"/>
        </w:trPr>
        <w:tc>
          <w:tcPr>
            <w:tcW w:w="5573" w:type="dxa"/>
            <w:tcBorders>
              <w:left w:val="single" w:sz="4" w:space="0" w:color="000000"/>
            </w:tcBorders>
          </w:tcPr>
          <w:p>
            <w:pPr>
              <w:pStyle w:val="TableParagraph"/>
              <w:spacing w:before="81"/>
              <w:ind w:left="107"/>
              <w:rPr>
                <w:sz w:val="20"/>
              </w:rPr>
            </w:pPr>
            <w:r>
              <w:rPr>
                <w:sz w:val="20"/>
              </w:rPr>
              <w:t>Auditor's</w:t>
            </w:r>
            <w:r>
              <w:rPr>
                <w:spacing w:val="40"/>
                <w:sz w:val="20"/>
              </w:rPr>
              <w:t> </w:t>
            </w:r>
            <w:r>
              <w:rPr>
                <w:sz w:val="20"/>
              </w:rPr>
              <w:t>remuneration</w:t>
            </w:r>
            <w:r>
              <w:rPr>
                <w:spacing w:val="75"/>
                <w:sz w:val="20"/>
              </w:rPr>
              <w:t> </w:t>
            </w:r>
            <w:r>
              <w:rPr>
                <w:sz w:val="20"/>
              </w:rPr>
              <w:t>-</w:t>
            </w:r>
            <w:r>
              <w:rPr>
                <w:spacing w:val="77"/>
                <w:sz w:val="20"/>
              </w:rPr>
              <w:t> </w:t>
            </w:r>
            <w:r>
              <w:rPr>
                <w:sz w:val="20"/>
              </w:rPr>
              <w:t>VAGO</w:t>
            </w:r>
            <w:r>
              <w:rPr>
                <w:spacing w:val="40"/>
                <w:sz w:val="20"/>
              </w:rPr>
              <w:t> </w:t>
            </w:r>
            <w:r>
              <w:rPr>
                <w:sz w:val="20"/>
              </w:rPr>
              <w:t>-</w:t>
            </w:r>
            <w:r>
              <w:rPr>
                <w:spacing w:val="76"/>
                <w:sz w:val="20"/>
              </w:rPr>
              <w:t> </w:t>
            </w:r>
            <w:r>
              <w:rPr>
                <w:sz w:val="20"/>
              </w:rPr>
              <w:t>audit</w:t>
            </w:r>
            <w:r>
              <w:rPr>
                <w:spacing w:val="40"/>
                <w:sz w:val="20"/>
              </w:rPr>
              <w:t> </w:t>
            </w:r>
            <w:r>
              <w:rPr>
                <w:sz w:val="20"/>
              </w:rPr>
              <w:t>of</w:t>
            </w:r>
            <w:r>
              <w:rPr>
                <w:spacing w:val="76"/>
                <w:sz w:val="20"/>
              </w:rPr>
              <w:t> </w:t>
            </w:r>
            <w:r>
              <w:rPr>
                <w:sz w:val="20"/>
              </w:rPr>
              <w:t>the</w:t>
            </w:r>
            <w:r>
              <w:rPr>
                <w:spacing w:val="75"/>
                <w:sz w:val="20"/>
              </w:rPr>
              <w:t> </w:t>
            </w:r>
            <w:r>
              <w:rPr>
                <w:sz w:val="20"/>
              </w:rPr>
              <w:t>financial statements, performance statement and grant acquittals</w:t>
            </w:r>
          </w:p>
        </w:tc>
        <w:tc>
          <w:tcPr>
            <w:tcW w:w="1234" w:type="dxa"/>
          </w:tcPr>
          <w:p>
            <w:pPr>
              <w:pStyle w:val="TableParagraph"/>
              <w:spacing w:before="196"/>
              <w:ind w:right="104"/>
              <w:jc w:val="right"/>
              <w:rPr>
                <w:sz w:val="20"/>
              </w:rPr>
            </w:pPr>
            <w:r>
              <w:rPr>
                <w:spacing w:val="-5"/>
                <w:sz w:val="20"/>
              </w:rPr>
              <w:t>72</w:t>
            </w:r>
          </w:p>
        </w:tc>
        <w:tc>
          <w:tcPr>
            <w:tcW w:w="1217" w:type="dxa"/>
            <w:shd w:val="clear" w:color="auto" w:fill="DDEBF6"/>
          </w:tcPr>
          <w:p>
            <w:pPr>
              <w:pStyle w:val="TableParagraph"/>
              <w:spacing w:before="196"/>
              <w:ind w:right="104"/>
              <w:jc w:val="right"/>
              <w:rPr>
                <w:b/>
                <w:sz w:val="20"/>
              </w:rPr>
            </w:pPr>
            <w:r>
              <w:rPr>
                <w:b/>
                <w:spacing w:val="-5"/>
                <w:sz w:val="20"/>
              </w:rPr>
              <w:t>78</w:t>
            </w:r>
          </w:p>
        </w:tc>
        <w:tc>
          <w:tcPr>
            <w:tcW w:w="1615" w:type="dxa"/>
          </w:tcPr>
          <w:p>
            <w:pPr>
              <w:pStyle w:val="TableParagraph"/>
              <w:spacing w:before="196"/>
              <w:ind w:left="244"/>
              <w:jc w:val="center"/>
              <w:rPr>
                <w:sz w:val="20"/>
              </w:rPr>
            </w:pPr>
            <w:r>
              <w:rPr>
                <w:w w:val="99"/>
                <w:sz w:val="20"/>
              </w:rPr>
              <w:t>6</w:t>
            </w:r>
          </w:p>
        </w:tc>
        <w:tc>
          <w:tcPr>
            <w:tcW w:w="819" w:type="dxa"/>
            <w:tcBorders>
              <w:right w:val="single" w:sz="4" w:space="0" w:color="000000"/>
            </w:tcBorders>
          </w:tcPr>
          <w:p>
            <w:pPr>
              <w:pStyle w:val="TableParagraph"/>
              <w:spacing w:before="196"/>
              <w:ind w:right="98"/>
              <w:jc w:val="right"/>
              <w:rPr>
                <w:sz w:val="20"/>
              </w:rPr>
            </w:pPr>
            <w:r>
              <w:rPr>
                <w:spacing w:val="-4"/>
                <w:sz w:val="20"/>
              </w:rPr>
              <w:t>8.3%</w:t>
            </w:r>
          </w:p>
        </w:tc>
      </w:tr>
      <w:tr>
        <w:trPr>
          <w:trHeight w:val="425" w:hRule="atLeast"/>
        </w:trPr>
        <w:tc>
          <w:tcPr>
            <w:tcW w:w="5573" w:type="dxa"/>
            <w:tcBorders>
              <w:left w:val="single" w:sz="4" w:space="0" w:color="000000"/>
            </w:tcBorders>
          </w:tcPr>
          <w:p>
            <w:pPr>
              <w:pStyle w:val="TableParagraph"/>
              <w:spacing w:before="89"/>
              <w:ind w:left="107"/>
              <w:rPr>
                <w:sz w:val="20"/>
              </w:rPr>
            </w:pPr>
            <w:r>
              <w:rPr>
                <w:sz w:val="20"/>
              </w:rPr>
              <w:t>Auditor's</w:t>
            </w:r>
            <w:r>
              <w:rPr>
                <w:spacing w:val="-8"/>
                <w:sz w:val="20"/>
              </w:rPr>
              <w:t> </w:t>
            </w:r>
            <w:r>
              <w:rPr>
                <w:sz w:val="20"/>
              </w:rPr>
              <w:t>remuneration</w:t>
            </w:r>
            <w:r>
              <w:rPr>
                <w:spacing w:val="-9"/>
                <w:sz w:val="20"/>
              </w:rPr>
              <w:t> </w:t>
            </w:r>
            <w:r>
              <w:rPr>
                <w:sz w:val="20"/>
              </w:rPr>
              <w:t>-</w:t>
            </w:r>
            <w:r>
              <w:rPr>
                <w:spacing w:val="-7"/>
                <w:sz w:val="20"/>
              </w:rPr>
              <w:t> </w:t>
            </w:r>
            <w:r>
              <w:rPr>
                <w:spacing w:val="-4"/>
                <w:sz w:val="20"/>
              </w:rPr>
              <w:t>Other</w:t>
            </w:r>
          </w:p>
        </w:tc>
        <w:tc>
          <w:tcPr>
            <w:tcW w:w="1234" w:type="dxa"/>
          </w:tcPr>
          <w:p>
            <w:pPr>
              <w:pStyle w:val="TableParagraph"/>
              <w:spacing w:before="89"/>
              <w:ind w:right="104"/>
              <w:jc w:val="right"/>
              <w:rPr>
                <w:sz w:val="20"/>
              </w:rPr>
            </w:pPr>
            <w:r>
              <w:rPr>
                <w:spacing w:val="-5"/>
                <w:sz w:val="20"/>
              </w:rPr>
              <w:t>78</w:t>
            </w:r>
          </w:p>
        </w:tc>
        <w:tc>
          <w:tcPr>
            <w:tcW w:w="1217" w:type="dxa"/>
            <w:shd w:val="clear" w:color="auto" w:fill="DDEBF6"/>
          </w:tcPr>
          <w:p>
            <w:pPr>
              <w:pStyle w:val="TableParagraph"/>
              <w:spacing w:before="89"/>
              <w:ind w:right="104"/>
              <w:jc w:val="right"/>
              <w:rPr>
                <w:b/>
                <w:sz w:val="20"/>
              </w:rPr>
            </w:pPr>
            <w:r>
              <w:rPr>
                <w:b/>
                <w:spacing w:val="-5"/>
                <w:sz w:val="20"/>
              </w:rPr>
              <w:t>153</w:t>
            </w:r>
          </w:p>
        </w:tc>
        <w:tc>
          <w:tcPr>
            <w:tcW w:w="1615" w:type="dxa"/>
          </w:tcPr>
          <w:p>
            <w:pPr>
              <w:pStyle w:val="TableParagraph"/>
              <w:spacing w:before="89"/>
              <w:ind w:left="638" w:right="503"/>
              <w:jc w:val="center"/>
              <w:rPr>
                <w:sz w:val="20"/>
              </w:rPr>
            </w:pPr>
            <w:r>
              <w:rPr>
                <w:spacing w:val="-5"/>
                <w:sz w:val="20"/>
              </w:rPr>
              <w:t>75</w:t>
            </w:r>
          </w:p>
        </w:tc>
        <w:tc>
          <w:tcPr>
            <w:tcW w:w="819" w:type="dxa"/>
            <w:tcBorders>
              <w:right w:val="single" w:sz="4" w:space="0" w:color="000000"/>
            </w:tcBorders>
          </w:tcPr>
          <w:p>
            <w:pPr>
              <w:pStyle w:val="TableParagraph"/>
              <w:spacing w:before="89"/>
              <w:ind w:right="97"/>
              <w:jc w:val="right"/>
              <w:rPr>
                <w:sz w:val="20"/>
              </w:rPr>
            </w:pPr>
            <w:r>
              <w:rPr>
                <w:spacing w:val="-2"/>
                <w:sz w:val="20"/>
              </w:rPr>
              <w:t>96.2%</w:t>
            </w:r>
          </w:p>
        </w:tc>
      </w:tr>
      <w:tr>
        <w:trPr>
          <w:trHeight w:val="406" w:hRule="atLeast"/>
        </w:trPr>
        <w:tc>
          <w:tcPr>
            <w:tcW w:w="5573" w:type="dxa"/>
            <w:tcBorders>
              <w:left w:val="single" w:sz="4" w:space="0" w:color="000000"/>
            </w:tcBorders>
          </w:tcPr>
          <w:p>
            <w:pPr>
              <w:pStyle w:val="TableParagraph"/>
              <w:spacing w:before="100"/>
              <w:ind w:left="107"/>
              <w:rPr>
                <w:sz w:val="20"/>
              </w:rPr>
            </w:pPr>
            <w:r>
              <w:rPr>
                <w:sz w:val="20"/>
              </w:rPr>
              <w:t>Councillors'</w:t>
            </w:r>
            <w:r>
              <w:rPr>
                <w:spacing w:val="-11"/>
                <w:sz w:val="20"/>
              </w:rPr>
              <w:t> </w:t>
            </w:r>
            <w:r>
              <w:rPr>
                <w:spacing w:val="-2"/>
                <w:sz w:val="20"/>
              </w:rPr>
              <w:t>allowances</w:t>
            </w:r>
          </w:p>
        </w:tc>
        <w:tc>
          <w:tcPr>
            <w:tcW w:w="1234" w:type="dxa"/>
          </w:tcPr>
          <w:p>
            <w:pPr>
              <w:pStyle w:val="TableParagraph"/>
              <w:spacing w:before="100"/>
              <w:ind w:right="103"/>
              <w:jc w:val="right"/>
              <w:rPr>
                <w:sz w:val="20"/>
              </w:rPr>
            </w:pPr>
            <w:r>
              <w:rPr>
                <w:spacing w:val="-5"/>
                <w:sz w:val="20"/>
              </w:rPr>
              <w:t>368</w:t>
            </w:r>
          </w:p>
        </w:tc>
        <w:tc>
          <w:tcPr>
            <w:tcW w:w="1217" w:type="dxa"/>
            <w:shd w:val="clear" w:color="auto" w:fill="DDEBF6"/>
          </w:tcPr>
          <w:p>
            <w:pPr>
              <w:pStyle w:val="TableParagraph"/>
              <w:spacing w:before="100"/>
              <w:ind w:right="104"/>
              <w:jc w:val="right"/>
              <w:rPr>
                <w:b/>
                <w:sz w:val="20"/>
              </w:rPr>
            </w:pPr>
            <w:r>
              <w:rPr>
                <w:b/>
                <w:spacing w:val="-5"/>
                <w:sz w:val="20"/>
              </w:rPr>
              <w:t>394</w:t>
            </w:r>
          </w:p>
        </w:tc>
        <w:tc>
          <w:tcPr>
            <w:tcW w:w="1615" w:type="dxa"/>
          </w:tcPr>
          <w:p>
            <w:pPr>
              <w:pStyle w:val="TableParagraph"/>
              <w:spacing w:before="100"/>
              <w:ind w:left="638" w:right="503"/>
              <w:jc w:val="center"/>
              <w:rPr>
                <w:sz w:val="20"/>
              </w:rPr>
            </w:pPr>
            <w:r>
              <w:rPr>
                <w:spacing w:val="-5"/>
                <w:sz w:val="20"/>
              </w:rPr>
              <w:t>26</w:t>
            </w:r>
          </w:p>
        </w:tc>
        <w:tc>
          <w:tcPr>
            <w:tcW w:w="819" w:type="dxa"/>
            <w:tcBorders>
              <w:right w:val="single" w:sz="4" w:space="0" w:color="000000"/>
            </w:tcBorders>
          </w:tcPr>
          <w:p>
            <w:pPr>
              <w:pStyle w:val="TableParagraph"/>
              <w:spacing w:before="100"/>
              <w:ind w:right="98"/>
              <w:jc w:val="right"/>
              <w:rPr>
                <w:sz w:val="20"/>
              </w:rPr>
            </w:pPr>
            <w:r>
              <w:rPr>
                <w:spacing w:val="-4"/>
                <w:sz w:val="20"/>
              </w:rPr>
              <w:t>7.1%</w:t>
            </w:r>
          </w:p>
        </w:tc>
      </w:tr>
      <w:tr>
        <w:trPr>
          <w:trHeight w:val="343" w:hRule="atLeast"/>
        </w:trPr>
        <w:tc>
          <w:tcPr>
            <w:tcW w:w="5573" w:type="dxa"/>
            <w:tcBorders>
              <w:left w:val="single" w:sz="4" w:space="0" w:color="000000"/>
            </w:tcBorders>
          </w:tcPr>
          <w:p>
            <w:pPr>
              <w:pStyle w:val="TableParagraph"/>
              <w:spacing w:before="70"/>
              <w:ind w:left="107"/>
              <w:rPr>
                <w:sz w:val="20"/>
              </w:rPr>
            </w:pPr>
            <w:r>
              <w:rPr>
                <w:sz w:val="20"/>
              </w:rPr>
              <w:t>Operating</w:t>
            </w:r>
            <w:r>
              <w:rPr>
                <w:spacing w:val="-7"/>
                <w:sz w:val="20"/>
              </w:rPr>
              <w:t> </w:t>
            </w:r>
            <w:r>
              <w:rPr>
                <w:sz w:val="20"/>
              </w:rPr>
              <w:t>lease</w:t>
            </w:r>
            <w:r>
              <w:rPr>
                <w:spacing w:val="-8"/>
                <w:sz w:val="20"/>
              </w:rPr>
              <w:t> </w:t>
            </w:r>
            <w:r>
              <w:rPr>
                <w:spacing w:val="-2"/>
                <w:sz w:val="20"/>
              </w:rPr>
              <w:t>rentals</w:t>
            </w:r>
          </w:p>
        </w:tc>
        <w:tc>
          <w:tcPr>
            <w:tcW w:w="1234" w:type="dxa"/>
            <w:tcBorders>
              <w:bottom w:val="single" w:sz="8" w:space="0" w:color="000000"/>
            </w:tcBorders>
          </w:tcPr>
          <w:p>
            <w:pPr>
              <w:pStyle w:val="TableParagraph"/>
              <w:spacing w:before="70"/>
              <w:ind w:right="104"/>
              <w:jc w:val="right"/>
              <w:rPr>
                <w:sz w:val="20"/>
              </w:rPr>
            </w:pPr>
            <w:r>
              <w:rPr>
                <w:spacing w:val="-5"/>
                <w:sz w:val="20"/>
              </w:rPr>
              <w:t>134</w:t>
            </w:r>
          </w:p>
        </w:tc>
        <w:tc>
          <w:tcPr>
            <w:tcW w:w="1217" w:type="dxa"/>
            <w:tcBorders>
              <w:bottom w:val="single" w:sz="8" w:space="0" w:color="000000"/>
            </w:tcBorders>
            <w:shd w:val="clear" w:color="auto" w:fill="DDEBF6"/>
          </w:tcPr>
          <w:p>
            <w:pPr>
              <w:pStyle w:val="TableParagraph"/>
              <w:spacing w:before="70"/>
              <w:ind w:right="104"/>
              <w:jc w:val="right"/>
              <w:rPr>
                <w:b/>
                <w:sz w:val="20"/>
              </w:rPr>
            </w:pPr>
            <w:r>
              <w:rPr>
                <w:b/>
                <w:spacing w:val="-5"/>
                <w:sz w:val="20"/>
              </w:rPr>
              <w:t>185</w:t>
            </w:r>
          </w:p>
        </w:tc>
        <w:tc>
          <w:tcPr>
            <w:tcW w:w="1615" w:type="dxa"/>
            <w:tcBorders>
              <w:bottom w:val="single" w:sz="8" w:space="0" w:color="000000"/>
            </w:tcBorders>
          </w:tcPr>
          <w:p>
            <w:pPr>
              <w:pStyle w:val="TableParagraph"/>
              <w:spacing w:before="70"/>
              <w:ind w:left="638" w:right="508"/>
              <w:jc w:val="center"/>
              <w:rPr>
                <w:sz w:val="20"/>
              </w:rPr>
            </w:pPr>
            <w:r>
              <w:rPr>
                <w:spacing w:val="-5"/>
                <w:sz w:val="20"/>
              </w:rPr>
              <w:t>51</w:t>
            </w:r>
          </w:p>
        </w:tc>
        <w:tc>
          <w:tcPr>
            <w:tcW w:w="819" w:type="dxa"/>
            <w:tcBorders>
              <w:bottom w:val="single" w:sz="8" w:space="0" w:color="000000"/>
              <w:right w:val="single" w:sz="4" w:space="0" w:color="000000"/>
            </w:tcBorders>
          </w:tcPr>
          <w:p>
            <w:pPr>
              <w:pStyle w:val="TableParagraph"/>
              <w:spacing w:before="70"/>
              <w:ind w:right="98"/>
              <w:jc w:val="right"/>
              <w:rPr>
                <w:sz w:val="20"/>
              </w:rPr>
            </w:pPr>
            <w:r>
              <w:rPr>
                <w:spacing w:val="-4"/>
                <w:sz w:val="20"/>
              </w:rPr>
              <w:t>38.1%</w:t>
            </w:r>
          </w:p>
        </w:tc>
      </w:tr>
      <w:tr>
        <w:trPr>
          <w:trHeight w:val="313" w:hRule="atLeast"/>
        </w:trPr>
        <w:tc>
          <w:tcPr>
            <w:tcW w:w="5573" w:type="dxa"/>
            <w:tcBorders>
              <w:left w:val="single" w:sz="4" w:space="0" w:color="000000"/>
              <w:bottom w:val="single" w:sz="4" w:space="0" w:color="000000"/>
            </w:tcBorders>
          </w:tcPr>
          <w:p>
            <w:pPr>
              <w:pStyle w:val="TableParagraph"/>
              <w:spacing w:before="42"/>
              <w:ind w:left="107"/>
              <w:rPr>
                <w:b/>
                <w:sz w:val="20"/>
              </w:rPr>
            </w:pPr>
            <w:r>
              <w:rPr>
                <w:b/>
                <w:sz w:val="20"/>
              </w:rPr>
              <w:t>Total</w:t>
            </w:r>
            <w:r>
              <w:rPr>
                <w:b/>
                <w:spacing w:val="-6"/>
                <w:sz w:val="20"/>
              </w:rPr>
              <w:t> </w:t>
            </w:r>
            <w:r>
              <w:rPr>
                <w:b/>
                <w:sz w:val="20"/>
              </w:rPr>
              <w:t>other</w:t>
            </w:r>
            <w:r>
              <w:rPr>
                <w:b/>
                <w:spacing w:val="-6"/>
                <w:sz w:val="20"/>
              </w:rPr>
              <w:t> </w:t>
            </w:r>
            <w:r>
              <w:rPr>
                <w:b/>
                <w:spacing w:val="-2"/>
                <w:sz w:val="20"/>
              </w:rPr>
              <w:t>expenses</w:t>
            </w:r>
          </w:p>
        </w:tc>
        <w:tc>
          <w:tcPr>
            <w:tcW w:w="1234" w:type="dxa"/>
            <w:tcBorders>
              <w:top w:val="single" w:sz="8" w:space="0" w:color="000000"/>
              <w:bottom w:val="single" w:sz="4" w:space="0" w:color="000000"/>
            </w:tcBorders>
          </w:tcPr>
          <w:p>
            <w:pPr>
              <w:pStyle w:val="TableParagraph"/>
              <w:spacing w:before="42"/>
              <w:ind w:right="104"/>
              <w:jc w:val="right"/>
              <w:rPr>
                <w:b/>
                <w:sz w:val="20"/>
              </w:rPr>
            </w:pPr>
            <w:r>
              <w:rPr>
                <w:b/>
                <w:spacing w:val="-5"/>
                <w:sz w:val="20"/>
              </w:rPr>
              <w:t>652</w:t>
            </w:r>
          </w:p>
        </w:tc>
        <w:tc>
          <w:tcPr>
            <w:tcW w:w="1217" w:type="dxa"/>
            <w:tcBorders>
              <w:top w:val="single" w:sz="8" w:space="0" w:color="000000"/>
              <w:bottom w:val="single" w:sz="4" w:space="0" w:color="000000"/>
            </w:tcBorders>
            <w:shd w:val="clear" w:color="auto" w:fill="DDEBF6"/>
          </w:tcPr>
          <w:p>
            <w:pPr>
              <w:pStyle w:val="TableParagraph"/>
              <w:spacing w:before="42"/>
              <w:ind w:right="104"/>
              <w:jc w:val="right"/>
              <w:rPr>
                <w:b/>
                <w:sz w:val="20"/>
              </w:rPr>
            </w:pPr>
            <w:r>
              <w:rPr>
                <w:b/>
                <w:spacing w:val="-5"/>
                <w:sz w:val="20"/>
              </w:rPr>
              <w:t>810</w:t>
            </w:r>
          </w:p>
        </w:tc>
        <w:tc>
          <w:tcPr>
            <w:tcW w:w="1615" w:type="dxa"/>
            <w:tcBorders>
              <w:top w:val="single" w:sz="8" w:space="0" w:color="000000"/>
              <w:bottom w:val="single" w:sz="4" w:space="0" w:color="000000"/>
            </w:tcBorders>
          </w:tcPr>
          <w:p>
            <w:pPr>
              <w:pStyle w:val="TableParagraph"/>
              <w:spacing w:before="42"/>
              <w:ind w:left="633" w:right="613"/>
              <w:jc w:val="center"/>
              <w:rPr>
                <w:b/>
                <w:sz w:val="20"/>
              </w:rPr>
            </w:pPr>
            <w:r>
              <w:rPr>
                <w:b/>
                <w:spacing w:val="-5"/>
                <w:sz w:val="20"/>
              </w:rPr>
              <w:t>158</w:t>
            </w:r>
          </w:p>
        </w:tc>
        <w:tc>
          <w:tcPr>
            <w:tcW w:w="819" w:type="dxa"/>
            <w:tcBorders>
              <w:top w:val="single" w:sz="8" w:space="0" w:color="000000"/>
              <w:bottom w:val="single" w:sz="4" w:space="0" w:color="000000"/>
              <w:right w:val="single" w:sz="4" w:space="0" w:color="000000"/>
            </w:tcBorders>
          </w:tcPr>
          <w:p>
            <w:pPr>
              <w:pStyle w:val="TableParagraph"/>
              <w:spacing w:before="42"/>
              <w:ind w:right="94"/>
              <w:jc w:val="right"/>
              <w:rPr>
                <w:b/>
                <w:sz w:val="20"/>
              </w:rPr>
            </w:pPr>
            <w:r>
              <w:rPr>
                <w:b/>
                <w:spacing w:val="-2"/>
                <w:sz w:val="20"/>
              </w:rPr>
              <w:t>24.2%</w:t>
            </w:r>
          </w:p>
        </w:tc>
      </w:tr>
    </w:tbl>
    <w:p>
      <w:pPr>
        <w:spacing w:after="0"/>
        <w:jc w:val="right"/>
        <w:rPr>
          <w:sz w:val="20"/>
        </w:rPr>
        <w:sectPr>
          <w:pgSz w:w="11910" w:h="16840"/>
          <w:pgMar w:header="0" w:footer="426" w:top="620" w:bottom="740" w:left="460" w:right="160"/>
        </w:sectPr>
      </w:pPr>
    </w:p>
    <w:p>
      <w:pPr>
        <w:pStyle w:val="Heading2"/>
        <w:numPr>
          <w:ilvl w:val="1"/>
          <w:numId w:val="21"/>
        </w:numPr>
        <w:tabs>
          <w:tab w:pos="729" w:val="left" w:leader="none"/>
        </w:tabs>
        <w:spacing w:line="240" w:lineRule="auto" w:before="63" w:after="0"/>
        <w:ind w:left="728" w:right="0" w:hanging="469"/>
        <w:jc w:val="left"/>
      </w:pPr>
      <w:r>
        <w:rPr>
          <w:color w:val="4966AC"/>
        </w:rPr>
        <w:t>Balance</w:t>
      </w:r>
      <w:r>
        <w:rPr>
          <w:color w:val="4966AC"/>
          <w:spacing w:val="-5"/>
        </w:rPr>
        <w:t> </w:t>
      </w:r>
      <w:r>
        <w:rPr>
          <w:color w:val="4966AC"/>
          <w:spacing w:val="-2"/>
        </w:rPr>
        <w:t>Sheet</w:t>
      </w:r>
    </w:p>
    <w:p>
      <w:pPr>
        <w:pStyle w:val="BodyText"/>
        <w:spacing w:before="7"/>
        <w:rPr>
          <w:b/>
          <w:sz w:val="23"/>
        </w:rPr>
      </w:pPr>
    </w:p>
    <w:p>
      <w:pPr>
        <w:pStyle w:val="BodyText"/>
        <w:ind w:left="260" w:right="565"/>
        <w:jc w:val="both"/>
      </w:pPr>
      <w:r>
        <w:rPr/>
        <w:t>This</w:t>
      </w:r>
      <w:r>
        <w:rPr>
          <w:spacing w:val="-3"/>
        </w:rPr>
        <w:t> </w:t>
      </w:r>
      <w:r>
        <w:rPr/>
        <w:t>section</w:t>
      </w:r>
      <w:r>
        <w:rPr>
          <w:spacing w:val="-1"/>
        </w:rPr>
        <w:t> </w:t>
      </w:r>
      <w:r>
        <w:rPr/>
        <w:t>analyses</w:t>
      </w:r>
      <w:r>
        <w:rPr>
          <w:spacing w:val="-5"/>
        </w:rPr>
        <w:t> </w:t>
      </w:r>
      <w:r>
        <w:rPr/>
        <w:t>the</w:t>
      </w:r>
      <w:r>
        <w:rPr>
          <w:spacing w:val="-2"/>
        </w:rPr>
        <w:t> </w:t>
      </w:r>
      <w:r>
        <w:rPr/>
        <w:t>movements</w:t>
      </w:r>
      <w:r>
        <w:rPr>
          <w:spacing w:val="-3"/>
        </w:rPr>
        <w:t> </w:t>
      </w:r>
      <w:r>
        <w:rPr/>
        <w:t>in</w:t>
      </w:r>
      <w:r>
        <w:rPr>
          <w:spacing w:val="-5"/>
        </w:rPr>
        <w:t> </w:t>
      </w:r>
      <w:r>
        <w:rPr/>
        <w:t>assets,</w:t>
      </w:r>
      <w:r>
        <w:rPr>
          <w:spacing w:val="-3"/>
        </w:rPr>
        <w:t> </w:t>
      </w:r>
      <w:r>
        <w:rPr/>
        <w:t>liabilities,</w:t>
      </w:r>
      <w:r>
        <w:rPr>
          <w:spacing w:val="-1"/>
        </w:rPr>
        <w:t> </w:t>
      </w:r>
      <w:r>
        <w:rPr/>
        <w:t>and</w:t>
      </w:r>
      <w:r>
        <w:rPr>
          <w:spacing w:val="-3"/>
        </w:rPr>
        <w:t> </w:t>
      </w:r>
      <w:r>
        <w:rPr/>
        <w:t>equity</w:t>
      </w:r>
      <w:r>
        <w:rPr>
          <w:spacing w:val="-3"/>
        </w:rPr>
        <w:t> </w:t>
      </w:r>
      <w:r>
        <w:rPr/>
        <w:t>between</w:t>
      </w:r>
      <w:r>
        <w:rPr>
          <w:spacing w:val="-3"/>
        </w:rPr>
        <w:t> </w:t>
      </w:r>
      <w:r>
        <w:rPr/>
        <w:t>2023/2024</w:t>
      </w:r>
      <w:r>
        <w:rPr>
          <w:spacing w:val="-5"/>
        </w:rPr>
        <w:t> </w:t>
      </w:r>
      <w:r>
        <w:rPr/>
        <w:t>and</w:t>
      </w:r>
      <w:r>
        <w:rPr>
          <w:spacing w:val="-3"/>
        </w:rPr>
        <w:t> </w:t>
      </w:r>
      <w:r>
        <w:rPr/>
        <w:t>2024/2025.</w:t>
      </w:r>
      <w:r>
        <w:rPr>
          <w:spacing w:val="-2"/>
        </w:rPr>
        <w:t> </w:t>
      </w:r>
      <w:r>
        <w:rPr/>
        <w:t>It also considers a number of key performance indicators.</w:t>
      </w:r>
    </w:p>
    <w:p>
      <w:pPr>
        <w:pStyle w:val="BodyText"/>
        <w:spacing w:before="6"/>
        <w:rPr>
          <w:sz w:val="25"/>
        </w:rPr>
      </w:pPr>
    </w:p>
    <w:p>
      <w:pPr>
        <w:pStyle w:val="Heading4"/>
        <w:numPr>
          <w:ilvl w:val="2"/>
          <w:numId w:val="21"/>
        </w:numPr>
        <w:tabs>
          <w:tab w:pos="862" w:val="left" w:leader="none"/>
        </w:tabs>
        <w:spacing w:line="240" w:lineRule="auto" w:before="0" w:after="0"/>
        <w:ind w:left="861" w:right="0" w:hanging="602"/>
        <w:jc w:val="left"/>
      </w:pPr>
      <w:r>
        <w:rPr>
          <w:color w:val="4966AC"/>
          <w:spacing w:val="-2"/>
        </w:rPr>
        <w:t>Assets</w:t>
      </w:r>
    </w:p>
    <w:p>
      <w:pPr>
        <w:pStyle w:val="BodyText"/>
        <w:spacing w:before="9"/>
        <w:rPr>
          <w:b/>
          <w:sz w:val="23"/>
        </w:rPr>
      </w:pPr>
    </w:p>
    <w:p>
      <w:pPr>
        <w:pStyle w:val="BodyText"/>
        <w:ind w:left="260" w:right="555"/>
        <w:jc w:val="both"/>
      </w:pPr>
      <w:r>
        <w:rPr/>
        <w:t>Cash and cash equivalents include cash and investments such as cash held in the bank and in petty cash and</w:t>
      </w:r>
      <w:r>
        <w:rPr>
          <w:spacing w:val="-4"/>
        </w:rPr>
        <w:t> </w:t>
      </w:r>
      <w:r>
        <w:rPr/>
        <w:t>the</w:t>
      </w:r>
      <w:r>
        <w:rPr>
          <w:spacing w:val="-8"/>
        </w:rPr>
        <w:t> </w:t>
      </w:r>
      <w:r>
        <w:rPr/>
        <w:t>value</w:t>
      </w:r>
      <w:r>
        <w:rPr>
          <w:spacing w:val="-4"/>
        </w:rPr>
        <w:t> </w:t>
      </w:r>
      <w:r>
        <w:rPr/>
        <w:t>of</w:t>
      </w:r>
      <w:r>
        <w:rPr>
          <w:spacing w:val="-6"/>
        </w:rPr>
        <w:t> </w:t>
      </w:r>
      <w:r>
        <w:rPr/>
        <w:t>investments</w:t>
      </w:r>
      <w:r>
        <w:rPr>
          <w:spacing w:val="-2"/>
        </w:rPr>
        <w:t> </w:t>
      </w:r>
      <w:r>
        <w:rPr/>
        <w:t>in</w:t>
      </w:r>
      <w:r>
        <w:rPr>
          <w:spacing w:val="-5"/>
        </w:rPr>
        <w:t> </w:t>
      </w:r>
      <w:r>
        <w:rPr/>
        <w:t>deposits</w:t>
      </w:r>
      <w:r>
        <w:rPr>
          <w:spacing w:val="-2"/>
        </w:rPr>
        <w:t> </w:t>
      </w:r>
      <w:r>
        <w:rPr/>
        <w:t>or</w:t>
      </w:r>
      <w:r>
        <w:rPr>
          <w:spacing w:val="-2"/>
        </w:rPr>
        <w:t> </w:t>
      </w:r>
      <w:r>
        <w:rPr/>
        <w:t>other</w:t>
      </w:r>
      <w:r>
        <w:rPr>
          <w:spacing w:val="-6"/>
        </w:rPr>
        <w:t> </w:t>
      </w:r>
      <w:r>
        <w:rPr/>
        <w:t>highly</w:t>
      </w:r>
      <w:r>
        <w:rPr>
          <w:spacing w:val="-4"/>
        </w:rPr>
        <w:t> </w:t>
      </w:r>
      <w:r>
        <w:rPr/>
        <w:t>liquid</w:t>
      </w:r>
      <w:r>
        <w:rPr>
          <w:spacing w:val="-5"/>
        </w:rPr>
        <w:t> </w:t>
      </w:r>
      <w:r>
        <w:rPr/>
        <w:t>investments</w:t>
      </w:r>
      <w:r>
        <w:rPr>
          <w:spacing w:val="-8"/>
        </w:rPr>
        <w:t> </w:t>
      </w:r>
      <w:r>
        <w:rPr/>
        <w:t>with</w:t>
      </w:r>
      <w:r>
        <w:rPr>
          <w:spacing w:val="-4"/>
        </w:rPr>
        <w:t> </w:t>
      </w:r>
      <w:r>
        <w:rPr/>
        <w:t>short</w:t>
      </w:r>
      <w:r>
        <w:rPr>
          <w:spacing w:val="-6"/>
        </w:rPr>
        <w:t> </w:t>
      </w:r>
      <w:r>
        <w:rPr/>
        <w:t>term</w:t>
      </w:r>
      <w:r>
        <w:rPr>
          <w:spacing w:val="-6"/>
        </w:rPr>
        <w:t> </w:t>
      </w:r>
      <w:r>
        <w:rPr/>
        <w:t>maturities</w:t>
      </w:r>
      <w:r>
        <w:rPr>
          <w:spacing w:val="-6"/>
        </w:rPr>
        <w:t> </w:t>
      </w:r>
      <w:r>
        <w:rPr/>
        <w:t>of</w:t>
      </w:r>
      <w:r>
        <w:rPr>
          <w:spacing w:val="-4"/>
        </w:rPr>
        <w:t> </w:t>
      </w:r>
      <w:r>
        <w:rPr/>
        <w:t>three months or less.</w:t>
      </w:r>
    </w:p>
    <w:p>
      <w:pPr>
        <w:pStyle w:val="BodyText"/>
        <w:spacing w:before="10"/>
        <w:rPr>
          <w:sz w:val="21"/>
        </w:rPr>
      </w:pPr>
    </w:p>
    <w:p>
      <w:pPr>
        <w:pStyle w:val="BodyText"/>
        <w:ind w:left="260" w:right="554"/>
        <w:jc w:val="both"/>
      </w:pPr>
      <w:r>
        <w:rPr/>
        <w:t>These balances are projected to decrease by $13.01 million during the year in line with the rise and fall of Council’s operations.</w:t>
      </w:r>
    </w:p>
    <w:p>
      <w:pPr>
        <w:pStyle w:val="BodyText"/>
        <w:spacing w:before="11"/>
        <w:rPr>
          <w:sz w:val="21"/>
        </w:rPr>
      </w:pPr>
    </w:p>
    <w:p>
      <w:pPr>
        <w:pStyle w:val="BodyText"/>
        <w:ind w:left="260" w:right="556"/>
        <w:jc w:val="both"/>
      </w:pPr>
      <w:r>
        <w:rPr/>
        <w:t>Trade and other receivables are monies owed to Council by ratepayers and others. Minimal change is expected in the level of debtors in the budget.</w:t>
      </w:r>
    </w:p>
    <w:p>
      <w:pPr>
        <w:pStyle w:val="BodyText"/>
        <w:spacing w:before="2"/>
      </w:pPr>
    </w:p>
    <w:p>
      <w:pPr>
        <w:pStyle w:val="BodyText"/>
        <w:ind w:left="260" w:right="552"/>
        <w:jc w:val="both"/>
      </w:pPr>
      <w:r>
        <w:rPr/>
        <w:t>Other financial assets include the value of investments held in deposits with a maturity greater than three months at the time of initial investment. These balances are projected to decrease by $8.75 million in 2024/2025 aligned to the timing of funds required to fund major capital projects.</w:t>
      </w:r>
    </w:p>
    <w:p>
      <w:pPr>
        <w:pStyle w:val="BodyText"/>
        <w:spacing w:before="10"/>
        <w:rPr>
          <w:sz w:val="21"/>
        </w:rPr>
      </w:pPr>
    </w:p>
    <w:p>
      <w:pPr>
        <w:pStyle w:val="BodyText"/>
        <w:ind w:left="260" w:right="551"/>
        <w:jc w:val="both"/>
      </w:pPr>
      <w:r>
        <w:rPr/>
        <w:t>Other assets include items such as prepayments for expenses that Council has paid in advance of service delivery</w:t>
      </w:r>
      <w:r>
        <w:rPr>
          <w:spacing w:val="-5"/>
        </w:rPr>
        <w:t> </w:t>
      </w:r>
      <w:r>
        <w:rPr/>
        <w:t>and</w:t>
      </w:r>
      <w:r>
        <w:rPr>
          <w:spacing w:val="-5"/>
        </w:rPr>
        <w:t> </w:t>
      </w:r>
      <w:r>
        <w:rPr/>
        <w:t>inventories</w:t>
      </w:r>
      <w:r>
        <w:rPr>
          <w:spacing w:val="-6"/>
        </w:rPr>
        <w:t> </w:t>
      </w:r>
      <w:r>
        <w:rPr/>
        <w:t>or</w:t>
      </w:r>
      <w:r>
        <w:rPr>
          <w:spacing w:val="-3"/>
        </w:rPr>
        <w:t> </w:t>
      </w:r>
      <w:r>
        <w:rPr/>
        <w:t>stocks</w:t>
      </w:r>
      <w:r>
        <w:rPr>
          <w:spacing w:val="-5"/>
        </w:rPr>
        <w:t> </w:t>
      </w:r>
      <w:r>
        <w:rPr/>
        <w:t>held</w:t>
      </w:r>
      <w:r>
        <w:rPr>
          <w:spacing w:val="-8"/>
        </w:rPr>
        <w:t> </w:t>
      </w:r>
      <w:r>
        <w:rPr/>
        <w:t>for</w:t>
      </w:r>
      <w:r>
        <w:rPr>
          <w:spacing w:val="-5"/>
        </w:rPr>
        <w:t> </w:t>
      </w:r>
      <w:r>
        <w:rPr/>
        <w:t>sale</w:t>
      </w:r>
      <w:r>
        <w:rPr>
          <w:spacing w:val="-5"/>
        </w:rPr>
        <w:t> </w:t>
      </w:r>
      <w:r>
        <w:rPr/>
        <w:t>or</w:t>
      </w:r>
      <w:r>
        <w:rPr>
          <w:spacing w:val="-6"/>
        </w:rPr>
        <w:t> </w:t>
      </w:r>
      <w:r>
        <w:rPr/>
        <w:t>consumption</w:t>
      </w:r>
      <w:r>
        <w:rPr>
          <w:spacing w:val="-5"/>
        </w:rPr>
        <w:t> </w:t>
      </w:r>
      <w:r>
        <w:rPr/>
        <w:t>in</w:t>
      </w:r>
      <w:r>
        <w:rPr>
          <w:spacing w:val="-8"/>
        </w:rPr>
        <w:t> </w:t>
      </w:r>
      <w:r>
        <w:rPr/>
        <w:t>Council’s</w:t>
      </w:r>
      <w:r>
        <w:rPr>
          <w:spacing w:val="-5"/>
        </w:rPr>
        <w:t> </w:t>
      </w:r>
      <w:r>
        <w:rPr/>
        <w:t>services</w:t>
      </w:r>
      <w:r>
        <w:rPr>
          <w:spacing w:val="-5"/>
        </w:rPr>
        <w:t> </w:t>
      </w:r>
      <w:r>
        <w:rPr/>
        <w:t>and</w:t>
      </w:r>
      <w:r>
        <w:rPr>
          <w:spacing w:val="-6"/>
        </w:rPr>
        <w:t> </w:t>
      </w:r>
      <w:r>
        <w:rPr/>
        <w:t>other</w:t>
      </w:r>
      <w:r>
        <w:rPr>
          <w:spacing w:val="-6"/>
        </w:rPr>
        <w:t> </w:t>
      </w:r>
      <w:r>
        <w:rPr/>
        <w:t>revenues</w:t>
      </w:r>
      <w:r>
        <w:rPr>
          <w:spacing w:val="-3"/>
        </w:rPr>
        <w:t> </w:t>
      </w:r>
      <w:r>
        <w:rPr/>
        <w:t>due to be received in the next 12 months.</w:t>
      </w:r>
    </w:p>
    <w:p>
      <w:pPr>
        <w:pStyle w:val="BodyText"/>
      </w:pPr>
    </w:p>
    <w:p>
      <w:pPr>
        <w:pStyle w:val="BodyText"/>
        <w:spacing w:before="1"/>
        <w:ind w:left="260" w:right="552"/>
        <w:jc w:val="both"/>
      </w:pPr>
      <w:r>
        <w:rPr/>
        <w:t>Property,</w:t>
      </w:r>
      <w:r>
        <w:rPr>
          <w:spacing w:val="-10"/>
        </w:rPr>
        <w:t> </w:t>
      </w:r>
      <w:r>
        <w:rPr/>
        <w:t>infrastructure,</w:t>
      </w:r>
      <w:r>
        <w:rPr>
          <w:spacing w:val="-12"/>
        </w:rPr>
        <w:t> </w:t>
      </w:r>
      <w:r>
        <w:rPr/>
        <w:t>plant,</w:t>
      </w:r>
      <w:r>
        <w:rPr>
          <w:spacing w:val="-6"/>
        </w:rPr>
        <w:t> </w:t>
      </w:r>
      <w:r>
        <w:rPr/>
        <w:t>and</w:t>
      </w:r>
      <w:r>
        <w:rPr>
          <w:spacing w:val="-10"/>
        </w:rPr>
        <w:t> </w:t>
      </w:r>
      <w:r>
        <w:rPr/>
        <w:t>equipment</w:t>
      </w:r>
      <w:r>
        <w:rPr>
          <w:spacing w:val="-6"/>
        </w:rPr>
        <w:t> </w:t>
      </w:r>
      <w:r>
        <w:rPr/>
        <w:t>is</w:t>
      </w:r>
      <w:r>
        <w:rPr>
          <w:spacing w:val="-11"/>
        </w:rPr>
        <w:t> </w:t>
      </w:r>
      <w:r>
        <w:rPr/>
        <w:t>the</w:t>
      </w:r>
      <w:r>
        <w:rPr>
          <w:spacing w:val="-8"/>
        </w:rPr>
        <w:t> </w:t>
      </w:r>
      <w:r>
        <w:rPr/>
        <w:t>largest</w:t>
      </w:r>
      <w:r>
        <w:rPr>
          <w:spacing w:val="-10"/>
        </w:rPr>
        <w:t> </w:t>
      </w:r>
      <w:r>
        <w:rPr/>
        <w:t>component</w:t>
      </w:r>
      <w:r>
        <w:rPr>
          <w:spacing w:val="-8"/>
        </w:rPr>
        <w:t> </w:t>
      </w:r>
      <w:r>
        <w:rPr/>
        <w:t>of</w:t>
      </w:r>
      <w:r>
        <w:rPr>
          <w:spacing w:val="-12"/>
        </w:rPr>
        <w:t> </w:t>
      </w:r>
      <w:r>
        <w:rPr/>
        <w:t>Council’s</w:t>
      </w:r>
      <w:r>
        <w:rPr>
          <w:spacing w:val="-8"/>
        </w:rPr>
        <w:t> </w:t>
      </w:r>
      <w:r>
        <w:rPr/>
        <w:t>worth</w:t>
      </w:r>
      <w:r>
        <w:rPr>
          <w:spacing w:val="-8"/>
        </w:rPr>
        <w:t> </w:t>
      </w:r>
      <w:r>
        <w:rPr/>
        <w:t>and</w:t>
      </w:r>
      <w:r>
        <w:rPr>
          <w:spacing w:val="-12"/>
        </w:rPr>
        <w:t> </w:t>
      </w:r>
      <w:r>
        <w:rPr/>
        <w:t>represents</w:t>
      </w:r>
      <w:r>
        <w:rPr>
          <w:spacing w:val="-11"/>
        </w:rPr>
        <w:t> </w:t>
      </w:r>
      <w:r>
        <w:rPr/>
        <w:t>the value</w:t>
      </w:r>
      <w:r>
        <w:rPr>
          <w:spacing w:val="-12"/>
        </w:rPr>
        <w:t> </w:t>
      </w:r>
      <w:r>
        <w:rPr/>
        <w:t>of</w:t>
      </w:r>
      <w:r>
        <w:rPr>
          <w:spacing w:val="-11"/>
        </w:rPr>
        <w:t> </w:t>
      </w:r>
      <w:r>
        <w:rPr/>
        <w:t>all</w:t>
      </w:r>
      <w:r>
        <w:rPr>
          <w:spacing w:val="-16"/>
        </w:rPr>
        <w:t> </w:t>
      </w:r>
      <w:r>
        <w:rPr/>
        <w:t>the</w:t>
      </w:r>
      <w:r>
        <w:rPr>
          <w:spacing w:val="-11"/>
        </w:rPr>
        <w:t> </w:t>
      </w:r>
      <w:r>
        <w:rPr/>
        <w:t>land,</w:t>
      </w:r>
      <w:r>
        <w:rPr>
          <w:spacing w:val="-9"/>
        </w:rPr>
        <w:t> </w:t>
      </w:r>
      <w:r>
        <w:rPr/>
        <w:t>buildings,</w:t>
      </w:r>
      <w:r>
        <w:rPr>
          <w:spacing w:val="-11"/>
        </w:rPr>
        <w:t> </w:t>
      </w:r>
      <w:r>
        <w:rPr/>
        <w:t>roads,</w:t>
      </w:r>
      <w:r>
        <w:rPr>
          <w:spacing w:val="-12"/>
        </w:rPr>
        <w:t> </w:t>
      </w:r>
      <w:r>
        <w:rPr/>
        <w:t>vehicles,</w:t>
      </w:r>
      <w:r>
        <w:rPr>
          <w:spacing w:val="-9"/>
        </w:rPr>
        <w:t> </w:t>
      </w:r>
      <w:r>
        <w:rPr/>
        <w:t>equipment,</w:t>
      </w:r>
      <w:r>
        <w:rPr>
          <w:spacing w:val="-11"/>
        </w:rPr>
        <w:t> </w:t>
      </w:r>
      <w:r>
        <w:rPr/>
        <w:t>etc.</w:t>
      </w:r>
      <w:r>
        <w:rPr>
          <w:spacing w:val="-12"/>
        </w:rPr>
        <w:t> </w:t>
      </w:r>
      <w:r>
        <w:rPr/>
        <w:t>which</w:t>
      </w:r>
      <w:r>
        <w:rPr>
          <w:spacing w:val="-11"/>
        </w:rPr>
        <w:t> </w:t>
      </w:r>
      <w:r>
        <w:rPr/>
        <w:t>has</w:t>
      </w:r>
      <w:r>
        <w:rPr>
          <w:spacing w:val="-13"/>
        </w:rPr>
        <w:t> </w:t>
      </w:r>
      <w:r>
        <w:rPr/>
        <w:t>been</w:t>
      </w:r>
      <w:r>
        <w:rPr>
          <w:spacing w:val="-11"/>
        </w:rPr>
        <w:t> </w:t>
      </w:r>
      <w:r>
        <w:rPr/>
        <w:t>built</w:t>
      </w:r>
      <w:r>
        <w:rPr>
          <w:spacing w:val="-9"/>
        </w:rPr>
        <w:t> </w:t>
      </w:r>
      <w:r>
        <w:rPr/>
        <w:t>up</w:t>
      </w:r>
      <w:r>
        <w:rPr>
          <w:spacing w:val="-12"/>
        </w:rPr>
        <w:t> </w:t>
      </w:r>
      <w:r>
        <w:rPr/>
        <w:t>by</w:t>
      </w:r>
      <w:r>
        <w:rPr>
          <w:spacing w:val="-11"/>
        </w:rPr>
        <w:t> </w:t>
      </w:r>
      <w:r>
        <w:rPr/>
        <w:t>Council</w:t>
      </w:r>
      <w:r>
        <w:rPr>
          <w:spacing w:val="-13"/>
        </w:rPr>
        <w:t> </w:t>
      </w:r>
      <w:r>
        <w:rPr/>
        <w:t>over</w:t>
      </w:r>
      <w:r>
        <w:rPr>
          <w:spacing w:val="-13"/>
        </w:rPr>
        <w:t> </w:t>
      </w:r>
      <w:r>
        <w:rPr/>
        <w:t>many years. The net increase in this balance is attributable to the net result of the capital works program $65.49 million,</w:t>
      </w:r>
      <w:r>
        <w:rPr>
          <w:spacing w:val="-12"/>
        </w:rPr>
        <w:t> </w:t>
      </w:r>
      <w:r>
        <w:rPr/>
        <w:t>new</w:t>
      </w:r>
      <w:r>
        <w:rPr>
          <w:spacing w:val="-13"/>
        </w:rPr>
        <w:t> </w:t>
      </w:r>
      <w:r>
        <w:rPr/>
        <w:t>assets</w:t>
      </w:r>
      <w:r>
        <w:rPr>
          <w:spacing w:val="-15"/>
        </w:rPr>
        <w:t> </w:t>
      </w:r>
      <w:r>
        <w:rPr/>
        <w:t>($30.61</w:t>
      </w:r>
      <w:r>
        <w:rPr>
          <w:spacing w:val="-13"/>
        </w:rPr>
        <w:t> </w:t>
      </w:r>
      <w:r>
        <w:rPr/>
        <w:t>million);</w:t>
      </w:r>
      <w:r>
        <w:rPr>
          <w:spacing w:val="-13"/>
        </w:rPr>
        <w:t> </w:t>
      </w:r>
      <w:r>
        <w:rPr/>
        <w:t>depreciation</w:t>
      </w:r>
      <w:r>
        <w:rPr>
          <w:spacing w:val="-15"/>
        </w:rPr>
        <w:t> </w:t>
      </w:r>
      <w:r>
        <w:rPr/>
        <w:t>of</w:t>
      </w:r>
      <w:r>
        <w:rPr>
          <w:spacing w:val="-12"/>
        </w:rPr>
        <w:t> </w:t>
      </w:r>
      <w:r>
        <w:rPr/>
        <w:t>assets</w:t>
      </w:r>
      <w:r>
        <w:rPr>
          <w:spacing w:val="-16"/>
        </w:rPr>
        <w:t> </w:t>
      </w:r>
      <w:r>
        <w:rPr/>
        <w:t>($30.44</w:t>
      </w:r>
      <w:r>
        <w:rPr>
          <w:spacing w:val="-14"/>
        </w:rPr>
        <w:t> </w:t>
      </w:r>
      <w:r>
        <w:rPr/>
        <w:t>million);</w:t>
      </w:r>
      <w:r>
        <w:rPr>
          <w:spacing w:val="-13"/>
        </w:rPr>
        <w:t> </w:t>
      </w:r>
      <w:r>
        <w:rPr/>
        <w:t>and</w:t>
      </w:r>
      <w:r>
        <w:rPr>
          <w:spacing w:val="-15"/>
        </w:rPr>
        <w:t> </w:t>
      </w:r>
      <w:r>
        <w:rPr/>
        <w:t>the</w:t>
      </w:r>
      <w:r>
        <w:rPr>
          <w:spacing w:val="-13"/>
        </w:rPr>
        <w:t> </w:t>
      </w:r>
      <w:r>
        <w:rPr/>
        <w:t>net</w:t>
      </w:r>
      <w:r>
        <w:rPr>
          <w:spacing w:val="-13"/>
        </w:rPr>
        <w:t> </w:t>
      </w:r>
      <w:r>
        <w:rPr/>
        <w:t>gain</w:t>
      </w:r>
      <w:r>
        <w:rPr>
          <w:spacing w:val="-14"/>
        </w:rPr>
        <w:t> </w:t>
      </w:r>
      <w:r>
        <w:rPr/>
        <w:t>of</w:t>
      </w:r>
      <w:r>
        <w:rPr>
          <w:spacing w:val="-13"/>
        </w:rPr>
        <w:t> </w:t>
      </w:r>
      <w:r>
        <w:rPr/>
        <w:t>property,</w:t>
      </w:r>
      <w:r>
        <w:rPr>
          <w:spacing w:val="-13"/>
        </w:rPr>
        <w:t> </w:t>
      </w:r>
      <w:r>
        <w:rPr/>
        <w:t>plant and equipment ($0.77 million).</w:t>
      </w:r>
    </w:p>
    <w:p>
      <w:pPr>
        <w:pStyle w:val="BodyText"/>
        <w:spacing w:before="10"/>
        <w:rPr>
          <w:sz w:val="21"/>
        </w:rPr>
      </w:pPr>
    </w:p>
    <w:p>
      <w:pPr>
        <w:pStyle w:val="Heading4"/>
        <w:numPr>
          <w:ilvl w:val="2"/>
          <w:numId w:val="21"/>
        </w:numPr>
        <w:tabs>
          <w:tab w:pos="862" w:val="left" w:leader="none"/>
        </w:tabs>
        <w:spacing w:line="240" w:lineRule="auto" w:before="1" w:after="0"/>
        <w:ind w:left="861" w:right="0" w:hanging="602"/>
        <w:jc w:val="left"/>
      </w:pPr>
      <w:r>
        <w:rPr>
          <w:color w:val="4966AC"/>
          <w:spacing w:val="-2"/>
        </w:rPr>
        <w:t>Liabilities</w:t>
      </w:r>
    </w:p>
    <w:p>
      <w:pPr>
        <w:pStyle w:val="BodyText"/>
        <w:rPr>
          <w:b/>
        </w:rPr>
      </w:pPr>
    </w:p>
    <w:p>
      <w:pPr>
        <w:pStyle w:val="BodyText"/>
        <w:spacing w:before="1"/>
        <w:ind w:left="260" w:right="551"/>
        <w:jc w:val="both"/>
      </w:pPr>
      <w:r>
        <w:rPr/>
        <w:t>‘Trade and other payables’ are those to whom Council owes money as of 30 June. These liabilities are budgeted to increase which is consistent with 2024/2025 increased levels of expenditure on materials and services relating to capital projects.</w:t>
      </w:r>
    </w:p>
    <w:p>
      <w:pPr>
        <w:pStyle w:val="BodyText"/>
        <w:spacing w:before="9"/>
        <w:rPr>
          <w:sz w:val="21"/>
        </w:rPr>
      </w:pPr>
    </w:p>
    <w:p>
      <w:pPr>
        <w:pStyle w:val="BodyText"/>
        <w:spacing w:before="1"/>
        <w:ind w:left="260" w:right="553"/>
        <w:jc w:val="both"/>
      </w:pPr>
      <w:r>
        <w:rPr/>
        <w:t>Provisions include accrued long service leave, annual leave, annual leave loading and time in lieu to employees. These employee entitlements are only expected to increase marginally in line with EBA </w:t>
      </w:r>
      <w:r>
        <w:rPr>
          <w:spacing w:val="-2"/>
        </w:rPr>
        <w:t>outcomes.</w:t>
      </w:r>
    </w:p>
    <w:p>
      <w:pPr>
        <w:pStyle w:val="BodyText"/>
        <w:spacing w:before="1"/>
      </w:pPr>
    </w:p>
    <w:p>
      <w:pPr>
        <w:pStyle w:val="Heading4"/>
        <w:numPr>
          <w:ilvl w:val="2"/>
          <w:numId w:val="21"/>
        </w:numPr>
        <w:tabs>
          <w:tab w:pos="862" w:val="left" w:leader="none"/>
        </w:tabs>
        <w:spacing w:line="240" w:lineRule="auto" w:before="0" w:after="0"/>
        <w:ind w:left="861" w:right="0" w:hanging="602"/>
        <w:jc w:val="left"/>
      </w:pPr>
      <w:r>
        <w:rPr>
          <w:color w:val="4966AC"/>
          <w:spacing w:val="-2"/>
        </w:rPr>
        <w:t>Borrowings</w:t>
      </w:r>
    </w:p>
    <w:p>
      <w:pPr>
        <w:pStyle w:val="BodyText"/>
        <w:spacing w:before="8"/>
        <w:rPr>
          <w:b/>
          <w:sz w:val="23"/>
        </w:rPr>
      </w:pPr>
    </w:p>
    <w:p>
      <w:pPr>
        <w:pStyle w:val="BodyText"/>
        <w:spacing w:line="252" w:lineRule="exact" w:before="1"/>
        <w:ind w:left="260"/>
        <w:jc w:val="both"/>
      </w:pPr>
      <w:r>
        <w:rPr/>
        <w:t>Interest-bearing</w:t>
      </w:r>
      <w:r>
        <w:rPr>
          <w:spacing w:val="-6"/>
        </w:rPr>
        <w:t> </w:t>
      </w:r>
      <w:r>
        <w:rPr/>
        <w:t>liabilities are</w:t>
      </w:r>
      <w:r>
        <w:rPr>
          <w:spacing w:val="-7"/>
        </w:rPr>
        <w:t> </w:t>
      </w:r>
      <w:r>
        <w:rPr/>
        <w:t>loans</w:t>
      </w:r>
      <w:r>
        <w:rPr>
          <w:spacing w:val="-6"/>
        </w:rPr>
        <w:t> </w:t>
      </w:r>
      <w:r>
        <w:rPr/>
        <w:t>or</w:t>
      </w:r>
      <w:r>
        <w:rPr>
          <w:spacing w:val="-4"/>
        </w:rPr>
        <w:t> </w:t>
      </w:r>
      <w:r>
        <w:rPr/>
        <w:t>borrowings</w:t>
      </w:r>
      <w:r>
        <w:rPr>
          <w:spacing w:val="-6"/>
        </w:rPr>
        <w:t> </w:t>
      </w:r>
      <w:r>
        <w:rPr/>
        <w:t>of</w:t>
      </w:r>
      <w:r>
        <w:rPr>
          <w:spacing w:val="-2"/>
        </w:rPr>
        <w:t> </w:t>
      </w:r>
      <w:r>
        <w:rPr/>
        <w:t>Council.</w:t>
      </w:r>
      <w:r>
        <w:rPr>
          <w:spacing w:val="-6"/>
        </w:rPr>
        <w:t> </w:t>
      </w:r>
      <w:r>
        <w:rPr/>
        <w:t>Council</w:t>
      </w:r>
      <w:r>
        <w:rPr>
          <w:spacing w:val="-4"/>
        </w:rPr>
        <w:t> </w:t>
      </w:r>
      <w:r>
        <w:rPr/>
        <w:t>borrowed</w:t>
      </w:r>
      <w:r>
        <w:rPr>
          <w:spacing w:val="-4"/>
        </w:rPr>
        <w:t> </w:t>
      </w:r>
      <w:r>
        <w:rPr/>
        <w:t>$24.2</w:t>
      </w:r>
      <w:r>
        <w:rPr>
          <w:spacing w:val="-10"/>
        </w:rPr>
        <w:t> </w:t>
      </w:r>
      <w:r>
        <w:rPr/>
        <w:t>million</w:t>
      </w:r>
      <w:r>
        <w:rPr>
          <w:spacing w:val="-4"/>
        </w:rPr>
        <w:t> </w:t>
      </w:r>
      <w:r>
        <w:rPr/>
        <w:t>in</w:t>
      </w:r>
      <w:r>
        <w:rPr>
          <w:spacing w:val="-4"/>
        </w:rPr>
        <w:t> </w:t>
      </w:r>
      <w:r>
        <w:rPr/>
        <w:t>2014/15</w:t>
      </w:r>
      <w:r>
        <w:rPr>
          <w:spacing w:val="-5"/>
        </w:rPr>
        <w:t> and</w:t>
      </w:r>
    </w:p>
    <w:p>
      <w:pPr>
        <w:pStyle w:val="BodyText"/>
        <w:spacing w:line="252" w:lineRule="exact"/>
        <w:ind w:left="260"/>
        <w:jc w:val="both"/>
      </w:pPr>
      <w:r>
        <w:rPr/>
        <w:t>$10.0</w:t>
      </w:r>
      <w:r>
        <w:rPr>
          <w:spacing w:val="-4"/>
        </w:rPr>
        <w:t> </w:t>
      </w:r>
      <w:r>
        <w:rPr/>
        <w:t>million</w:t>
      </w:r>
      <w:r>
        <w:rPr>
          <w:spacing w:val="-2"/>
        </w:rPr>
        <w:t> </w:t>
      </w:r>
      <w:r>
        <w:rPr/>
        <w:t>in</w:t>
      </w:r>
      <w:r>
        <w:rPr>
          <w:spacing w:val="-3"/>
        </w:rPr>
        <w:t> </w:t>
      </w:r>
      <w:r>
        <w:rPr>
          <w:spacing w:val="-2"/>
        </w:rPr>
        <w:t>2021/2022</w:t>
      </w:r>
      <w:r>
        <w:rPr>
          <w:color w:val="FF0000"/>
          <w:spacing w:val="-2"/>
        </w:rPr>
        <w:t>.</w:t>
      </w:r>
    </w:p>
    <w:p>
      <w:pPr>
        <w:pStyle w:val="BodyText"/>
      </w:pPr>
    </w:p>
    <w:p>
      <w:pPr>
        <w:pStyle w:val="BodyText"/>
        <w:ind w:left="260" w:right="554"/>
        <w:jc w:val="both"/>
      </w:pPr>
      <w:r>
        <w:rPr/>
        <w:t>In 2014/2015 Council constructed a new regional aquatic and leisure centre in Ringwood known as Aquanation. The facility was opened in August 2015, with borrowings to fund a portion of this project. The total</w:t>
      </w:r>
      <w:r>
        <w:rPr>
          <w:spacing w:val="-7"/>
        </w:rPr>
        <w:t> </w:t>
      </w:r>
      <w:r>
        <w:rPr/>
        <w:t>cost</w:t>
      </w:r>
      <w:r>
        <w:rPr>
          <w:spacing w:val="-7"/>
        </w:rPr>
        <w:t> </w:t>
      </w:r>
      <w:r>
        <w:rPr/>
        <w:t>was</w:t>
      </w:r>
      <w:r>
        <w:rPr>
          <w:spacing w:val="-7"/>
        </w:rPr>
        <w:t> </w:t>
      </w:r>
      <w:r>
        <w:rPr/>
        <w:t>$52.2</w:t>
      </w:r>
      <w:r>
        <w:rPr>
          <w:spacing w:val="-9"/>
        </w:rPr>
        <w:t> </w:t>
      </w:r>
      <w:r>
        <w:rPr/>
        <w:t>million</w:t>
      </w:r>
      <w:r>
        <w:rPr>
          <w:spacing w:val="-7"/>
        </w:rPr>
        <w:t> </w:t>
      </w:r>
      <w:r>
        <w:rPr/>
        <w:t>and</w:t>
      </w:r>
      <w:r>
        <w:rPr>
          <w:spacing w:val="-7"/>
        </w:rPr>
        <w:t> </w:t>
      </w:r>
      <w:r>
        <w:rPr/>
        <w:t>has</w:t>
      </w:r>
      <w:r>
        <w:rPr>
          <w:spacing w:val="-5"/>
        </w:rPr>
        <w:t> </w:t>
      </w:r>
      <w:r>
        <w:rPr/>
        <w:t>been</w:t>
      </w:r>
      <w:r>
        <w:rPr>
          <w:spacing w:val="-11"/>
        </w:rPr>
        <w:t> </w:t>
      </w:r>
      <w:r>
        <w:rPr/>
        <w:t>funded</w:t>
      </w:r>
      <w:r>
        <w:rPr>
          <w:spacing w:val="-11"/>
        </w:rPr>
        <w:t> </w:t>
      </w:r>
      <w:r>
        <w:rPr/>
        <w:t>by</w:t>
      </w:r>
      <w:r>
        <w:rPr>
          <w:spacing w:val="-5"/>
        </w:rPr>
        <w:t> </w:t>
      </w:r>
      <w:r>
        <w:rPr/>
        <w:t>Federal</w:t>
      </w:r>
      <w:r>
        <w:rPr>
          <w:spacing w:val="-8"/>
        </w:rPr>
        <w:t> </w:t>
      </w:r>
      <w:r>
        <w:rPr/>
        <w:t>and</w:t>
      </w:r>
      <w:r>
        <w:rPr>
          <w:spacing w:val="-7"/>
        </w:rPr>
        <w:t> </w:t>
      </w:r>
      <w:r>
        <w:rPr/>
        <w:t>State</w:t>
      </w:r>
      <w:r>
        <w:rPr>
          <w:spacing w:val="-11"/>
        </w:rPr>
        <w:t> </w:t>
      </w:r>
      <w:r>
        <w:rPr/>
        <w:t>Government</w:t>
      </w:r>
      <w:r>
        <w:rPr>
          <w:spacing w:val="-7"/>
        </w:rPr>
        <w:t> </w:t>
      </w:r>
      <w:r>
        <w:rPr/>
        <w:t>grants</w:t>
      </w:r>
      <w:r>
        <w:rPr>
          <w:spacing w:val="-7"/>
        </w:rPr>
        <w:t> </w:t>
      </w:r>
      <w:r>
        <w:rPr/>
        <w:t>to</w:t>
      </w:r>
      <w:r>
        <w:rPr>
          <w:spacing w:val="-9"/>
        </w:rPr>
        <w:t> </w:t>
      </w:r>
      <w:r>
        <w:rPr/>
        <w:t>a</w:t>
      </w:r>
      <w:r>
        <w:rPr>
          <w:spacing w:val="-7"/>
        </w:rPr>
        <w:t> </w:t>
      </w:r>
      <w:r>
        <w:rPr/>
        <w:t>total</w:t>
      </w:r>
      <w:r>
        <w:rPr>
          <w:spacing w:val="-6"/>
        </w:rPr>
        <w:t> </w:t>
      </w:r>
      <w:r>
        <w:rPr/>
        <w:t>of</w:t>
      </w:r>
      <w:r>
        <w:rPr>
          <w:spacing w:val="-7"/>
        </w:rPr>
        <w:t> </w:t>
      </w:r>
      <w:r>
        <w:rPr/>
        <w:t>$13.0 million. The remaining funding came from a combination of loan borrowings by Council ($24.2 million), budgeted capital expenditure, public open space contributions and cash reserves.</w:t>
      </w:r>
    </w:p>
    <w:p>
      <w:pPr>
        <w:pStyle w:val="BodyText"/>
        <w:spacing w:before="10"/>
        <w:rPr>
          <w:sz w:val="21"/>
        </w:rPr>
      </w:pPr>
    </w:p>
    <w:p>
      <w:pPr>
        <w:pStyle w:val="BodyText"/>
        <w:ind w:left="260" w:right="553"/>
        <w:jc w:val="both"/>
      </w:pPr>
      <w:r>
        <w:rPr/>
        <w:t>Council</w:t>
      </w:r>
      <w:r>
        <w:rPr>
          <w:spacing w:val="-16"/>
        </w:rPr>
        <w:t> </w:t>
      </w:r>
      <w:r>
        <w:rPr/>
        <w:t>market</w:t>
      </w:r>
      <w:r>
        <w:rPr>
          <w:spacing w:val="-15"/>
        </w:rPr>
        <w:t> </w:t>
      </w:r>
      <w:r>
        <w:rPr/>
        <w:t>tendered</w:t>
      </w:r>
      <w:r>
        <w:rPr>
          <w:spacing w:val="-15"/>
        </w:rPr>
        <w:t> </w:t>
      </w:r>
      <w:r>
        <w:rPr/>
        <w:t>for</w:t>
      </w:r>
      <w:r>
        <w:rPr>
          <w:spacing w:val="-16"/>
        </w:rPr>
        <w:t> </w:t>
      </w:r>
      <w:r>
        <w:rPr/>
        <w:t>the</w:t>
      </w:r>
      <w:r>
        <w:rPr>
          <w:spacing w:val="-15"/>
        </w:rPr>
        <w:t> </w:t>
      </w:r>
      <w:r>
        <w:rPr/>
        <w:t>provision</w:t>
      </w:r>
      <w:r>
        <w:rPr>
          <w:spacing w:val="-15"/>
        </w:rPr>
        <w:t> </w:t>
      </w:r>
      <w:r>
        <w:rPr/>
        <w:t>of</w:t>
      </w:r>
      <w:r>
        <w:rPr>
          <w:spacing w:val="-15"/>
        </w:rPr>
        <w:t> </w:t>
      </w:r>
      <w:r>
        <w:rPr/>
        <w:t>the</w:t>
      </w:r>
      <w:r>
        <w:rPr>
          <w:spacing w:val="-16"/>
        </w:rPr>
        <w:t> </w:t>
      </w:r>
      <w:r>
        <w:rPr/>
        <w:t>loan</w:t>
      </w:r>
      <w:r>
        <w:rPr>
          <w:spacing w:val="-15"/>
        </w:rPr>
        <w:t> </w:t>
      </w:r>
      <w:r>
        <w:rPr/>
        <w:t>in</w:t>
      </w:r>
      <w:r>
        <w:rPr>
          <w:spacing w:val="-15"/>
        </w:rPr>
        <w:t> </w:t>
      </w:r>
      <w:r>
        <w:rPr/>
        <w:t>August</w:t>
      </w:r>
      <w:r>
        <w:rPr>
          <w:spacing w:val="-16"/>
        </w:rPr>
        <w:t> </w:t>
      </w:r>
      <w:r>
        <w:rPr/>
        <w:t>2014</w:t>
      </w:r>
      <w:r>
        <w:rPr>
          <w:spacing w:val="-15"/>
        </w:rPr>
        <w:t> </w:t>
      </w:r>
      <w:r>
        <w:rPr/>
        <w:t>and</w:t>
      </w:r>
      <w:r>
        <w:rPr>
          <w:spacing w:val="-15"/>
        </w:rPr>
        <w:t> </w:t>
      </w:r>
      <w:r>
        <w:rPr/>
        <w:t>the</w:t>
      </w:r>
      <w:r>
        <w:rPr>
          <w:spacing w:val="-15"/>
        </w:rPr>
        <w:t> </w:t>
      </w:r>
      <w:r>
        <w:rPr/>
        <w:t>loan</w:t>
      </w:r>
      <w:r>
        <w:rPr>
          <w:spacing w:val="-16"/>
        </w:rPr>
        <w:t> </w:t>
      </w:r>
      <w:r>
        <w:rPr/>
        <w:t>was</w:t>
      </w:r>
      <w:r>
        <w:rPr>
          <w:spacing w:val="-15"/>
        </w:rPr>
        <w:t> </w:t>
      </w:r>
      <w:r>
        <w:rPr/>
        <w:t>drawdown</w:t>
      </w:r>
      <w:r>
        <w:rPr>
          <w:spacing w:val="-15"/>
        </w:rPr>
        <w:t> </w:t>
      </w:r>
      <w:r>
        <w:rPr/>
        <w:t>in</w:t>
      </w:r>
      <w:r>
        <w:rPr>
          <w:spacing w:val="-16"/>
        </w:rPr>
        <w:t> </w:t>
      </w:r>
      <w:r>
        <w:rPr/>
        <w:t>November 2014 with repayment of principal and interest over 15 years and at a fixed rate for the term of the loan of 4.91% interest per annum.</w:t>
      </w:r>
    </w:p>
    <w:p>
      <w:pPr>
        <w:pStyle w:val="BodyText"/>
        <w:spacing w:before="1"/>
      </w:pPr>
    </w:p>
    <w:p>
      <w:pPr>
        <w:pStyle w:val="BodyText"/>
        <w:ind w:left="260" w:right="557"/>
        <w:jc w:val="both"/>
      </w:pPr>
      <w:r>
        <w:rPr/>
        <w:t>In 2021/2022 Council borrowed $10 million with a fixed rate of 3.635% to partly fund capital projects that generate income from commercial activities.</w:t>
      </w:r>
    </w:p>
    <w:p>
      <w:pPr>
        <w:spacing w:after="0"/>
        <w:jc w:val="both"/>
        <w:sectPr>
          <w:pgSz w:w="11910" w:h="16840"/>
          <w:pgMar w:header="0" w:footer="426" w:top="640" w:bottom="740" w:left="460" w:right="160"/>
        </w:sectPr>
      </w:pPr>
    </w:p>
    <w:p>
      <w:pPr>
        <w:pStyle w:val="BodyText"/>
        <w:spacing w:line="480" w:lineRule="auto" w:before="81"/>
        <w:ind w:left="260" w:right="445"/>
      </w:pPr>
      <w:r>
        <w:rPr/>
        <w:t>The</w:t>
      </w:r>
      <w:r>
        <w:rPr>
          <w:spacing w:val="-2"/>
        </w:rPr>
        <w:t> </w:t>
      </w:r>
      <w:r>
        <w:rPr/>
        <w:t>budget</w:t>
      </w:r>
      <w:r>
        <w:rPr>
          <w:spacing w:val="-1"/>
        </w:rPr>
        <w:t> </w:t>
      </w:r>
      <w:r>
        <w:rPr/>
        <w:t>for</w:t>
      </w:r>
      <w:r>
        <w:rPr>
          <w:spacing w:val="-1"/>
        </w:rPr>
        <w:t> </w:t>
      </w:r>
      <w:r>
        <w:rPr/>
        <w:t>2024/2025</w:t>
      </w:r>
      <w:r>
        <w:rPr>
          <w:spacing w:val="-2"/>
        </w:rPr>
        <w:t> </w:t>
      </w:r>
      <w:r>
        <w:rPr/>
        <w:t>provides</w:t>
      </w:r>
      <w:r>
        <w:rPr>
          <w:spacing w:val="-2"/>
        </w:rPr>
        <w:t> </w:t>
      </w:r>
      <w:r>
        <w:rPr/>
        <w:t>for</w:t>
      </w:r>
      <w:r>
        <w:rPr>
          <w:spacing w:val="-2"/>
        </w:rPr>
        <w:t> </w:t>
      </w:r>
      <w:r>
        <w:rPr/>
        <w:t>repayment</w:t>
      </w:r>
      <w:r>
        <w:rPr>
          <w:spacing w:val="-2"/>
        </w:rPr>
        <w:t> </w:t>
      </w:r>
      <w:r>
        <w:rPr/>
        <w:t>of</w:t>
      </w:r>
      <w:r>
        <w:rPr>
          <w:spacing w:val="-1"/>
        </w:rPr>
        <w:t> </w:t>
      </w:r>
      <w:r>
        <w:rPr/>
        <w:t>loan</w:t>
      </w:r>
      <w:r>
        <w:rPr>
          <w:spacing w:val="-1"/>
        </w:rPr>
        <w:t> </w:t>
      </w:r>
      <w:r>
        <w:rPr/>
        <w:t>principal</w:t>
      </w:r>
      <w:r>
        <w:rPr>
          <w:spacing w:val="-2"/>
        </w:rPr>
        <w:t> </w:t>
      </w:r>
      <w:r>
        <w:rPr/>
        <w:t>and</w:t>
      </w:r>
      <w:r>
        <w:rPr>
          <w:spacing w:val="-4"/>
        </w:rPr>
        <w:t> </w:t>
      </w:r>
      <w:r>
        <w:rPr/>
        <w:t>interest</w:t>
      </w:r>
      <w:r>
        <w:rPr>
          <w:spacing w:val="-4"/>
        </w:rPr>
        <w:t> </w:t>
      </w:r>
      <w:r>
        <w:rPr/>
        <w:t>per</w:t>
      </w:r>
      <w:r>
        <w:rPr>
          <w:spacing w:val="-2"/>
        </w:rPr>
        <w:t> </w:t>
      </w:r>
      <w:r>
        <w:rPr/>
        <w:t>the</w:t>
      </w:r>
      <w:r>
        <w:rPr>
          <w:spacing w:val="-4"/>
        </w:rPr>
        <w:t> </w:t>
      </w:r>
      <w:r>
        <w:rPr/>
        <w:t>agreed</w:t>
      </w:r>
      <w:r>
        <w:rPr>
          <w:spacing w:val="-4"/>
        </w:rPr>
        <w:t> </w:t>
      </w:r>
      <w:r>
        <w:rPr/>
        <w:t>schedules. The table below shows information on borrowings specifically required by the Regulations.</w:t>
      </w:r>
    </w:p>
    <w:tbl>
      <w:tblPr>
        <w:tblW w:w="0" w:type="auto"/>
        <w:jc w:val="left"/>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06"/>
        <w:gridCol w:w="1675"/>
        <w:gridCol w:w="1675"/>
      </w:tblGrid>
      <w:tr>
        <w:trPr>
          <w:trHeight w:val="599" w:hRule="atLeast"/>
        </w:trPr>
        <w:tc>
          <w:tcPr>
            <w:tcW w:w="7106" w:type="dxa"/>
            <w:tcBorders>
              <w:bottom w:val="nil"/>
            </w:tcBorders>
            <w:shd w:val="clear" w:color="auto" w:fill="5B9AD4"/>
          </w:tcPr>
          <w:p>
            <w:pPr>
              <w:pStyle w:val="TableParagraph"/>
              <w:rPr>
                <w:rFonts w:ascii="Times New Roman"/>
                <w:sz w:val="20"/>
              </w:rPr>
            </w:pPr>
          </w:p>
        </w:tc>
        <w:tc>
          <w:tcPr>
            <w:tcW w:w="3350" w:type="dxa"/>
            <w:gridSpan w:val="2"/>
            <w:tcBorders>
              <w:bottom w:val="nil"/>
            </w:tcBorders>
            <w:shd w:val="clear" w:color="auto" w:fill="5B9AD4"/>
          </w:tcPr>
          <w:p>
            <w:pPr>
              <w:pStyle w:val="TableParagraph"/>
              <w:tabs>
                <w:tab w:pos="1685" w:val="left" w:leader="none"/>
              </w:tabs>
              <w:spacing w:before="84"/>
              <w:ind w:left="10"/>
              <w:jc w:val="center"/>
              <w:rPr>
                <w:b/>
                <w:sz w:val="18"/>
              </w:rPr>
            </w:pPr>
            <w:r>
              <w:rPr>
                <w:b/>
                <w:color w:val="FFFFFF"/>
                <w:spacing w:val="-2"/>
                <w:sz w:val="18"/>
              </w:rPr>
              <w:t>2023/2024</w:t>
            </w:r>
            <w:r>
              <w:rPr>
                <w:b/>
                <w:color w:val="FFFFFF"/>
                <w:sz w:val="18"/>
              </w:rPr>
              <w:tab/>
            </w:r>
            <w:r>
              <w:rPr>
                <w:b/>
                <w:color w:val="FFFFFF"/>
                <w:spacing w:val="-2"/>
                <w:sz w:val="18"/>
              </w:rPr>
              <w:t>2024/2025</w:t>
            </w:r>
          </w:p>
          <w:p>
            <w:pPr>
              <w:pStyle w:val="TableParagraph"/>
              <w:tabs>
                <w:tab w:pos="1685" w:val="left" w:leader="none"/>
              </w:tabs>
              <w:spacing w:before="45"/>
              <w:ind w:left="10"/>
              <w:jc w:val="center"/>
              <w:rPr>
                <w:b/>
                <w:sz w:val="18"/>
              </w:rPr>
            </w:pPr>
            <w:r>
              <w:rPr>
                <w:b/>
                <w:color w:val="FFFFFF"/>
                <w:spacing w:val="-10"/>
                <w:sz w:val="18"/>
              </w:rPr>
              <w:t>$</w:t>
            </w:r>
            <w:r>
              <w:rPr>
                <w:b/>
                <w:color w:val="FFFFFF"/>
                <w:sz w:val="18"/>
              </w:rPr>
              <w:tab/>
            </w:r>
            <w:r>
              <w:rPr>
                <w:b/>
                <w:color w:val="FFFFFF"/>
                <w:spacing w:val="-10"/>
                <w:sz w:val="18"/>
              </w:rPr>
              <w:t>$</w:t>
            </w:r>
          </w:p>
        </w:tc>
      </w:tr>
      <w:tr>
        <w:trPr>
          <w:trHeight w:val="320" w:hRule="atLeast"/>
        </w:trPr>
        <w:tc>
          <w:tcPr>
            <w:tcW w:w="7106" w:type="dxa"/>
            <w:tcBorders>
              <w:top w:val="nil"/>
              <w:bottom w:val="nil"/>
            </w:tcBorders>
          </w:tcPr>
          <w:p>
            <w:pPr>
              <w:pStyle w:val="TableParagraph"/>
              <w:spacing w:before="61"/>
              <w:ind w:left="107"/>
              <w:rPr>
                <w:sz w:val="20"/>
              </w:rPr>
            </w:pPr>
            <w:r>
              <w:rPr>
                <w:sz w:val="20"/>
              </w:rPr>
              <w:t>Amount</w:t>
            </w:r>
            <w:r>
              <w:rPr>
                <w:spacing w:val="-3"/>
                <w:sz w:val="20"/>
              </w:rPr>
              <w:t> </w:t>
            </w:r>
            <w:r>
              <w:rPr>
                <w:sz w:val="20"/>
              </w:rPr>
              <w:t>borrowed</w:t>
            </w:r>
            <w:r>
              <w:rPr>
                <w:spacing w:val="-6"/>
                <w:sz w:val="20"/>
              </w:rPr>
              <w:t> </w:t>
            </w:r>
            <w:r>
              <w:rPr>
                <w:sz w:val="20"/>
              </w:rPr>
              <w:t>as</w:t>
            </w:r>
            <w:r>
              <w:rPr>
                <w:spacing w:val="-3"/>
                <w:sz w:val="20"/>
              </w:rPr>
              <w:t> </w:t>
            </w:r>
            <w:r>
              <w:rPr>
                <w:sz w:val="20"/>
              </w:rPr>
              <w:t>of</w:t>
            </w:r>
            <w:r>
              <w:rPr>
                <w:spacing w:val="-7"/>
                <w:sz w:val="20"/>
              </w:rPr>
              <w:t> </w:t>
            </w:r>
            <w:r>
              <w:rPr>
                <w:sz w:val="20"/>
              </w:rPr>
              <w:t>30 June</w:t>
            </w:r>
            <w:r>
              <w:rPr>
                <w:spacing w:val="-5"/>
                <w:sz w:val="20"/>
              </w:rPr>
              <w:t> </w:t>
            </w:r>
            <w:r>
              <w:rPr>
                <w:sz w:val="20"/>
              </w:rPr>
              <w:t>of</w:t>
            </w:r>
            <w:r>
              <w:rPr>
                <w:spacing w:val="-3"/>
                <w:sz w:val="20"/>
              </w:rPr>
              <w:t> </w:t>
            </w:r>
            <w:r>
              <w:rPr>
                <w:sz w:val="20"/>
              </w:rPr>
              <w:t>the</w:t>
            </w:r>
            <w:r>
              <w:rPr>
                <w:spacing w:val="-4"/>
                <w:sz w:val="20"/>
              </w:rPr>
              <w:t> </w:t>
            </w:r>
            <w:r>
              <w:rPr>
                <w:sz w:val="20"/>
              </w:rPr>
              <w:t>prior</w:t>
            </w:r>
            <w:r>
              <w:rPr>
                <w:spacing w:val="-4"/>
                <w:sz w:val="20"/>
              </w:rPr>
              <w:t> year</w:t>
            </w:r>
          </w:p>
        </w:tc>
        <w:tc>
          <w:tcPr>
            <w:tcW w:w="1675" w:type="dxa"/>
            <w:tcBorders>
              <w:top w:val="nil"/>
              <w:bottom w:val="nil"/>
              <w:right w:val="nil"/>
            </w:tcBorders>
          </w:tcPr>
          <w:p>
            <w:pPr>
              <w:pStyle w:val="TableParagraph"/>
              <w:spacing w:before="27"/>
              <w:ind w:right="98"/>
              <w:jc w:val="right"/>
              <w:rPr>
                <w:sz w:val="20"/>
              </w:rPr>
            </w:pPr>
            <w:r>
              <w:rPr>
                <w:spacing w:val="-2"/>
                <w:sz w:val="20"/>
              </w:rPr>
              <w:t>21,562</w:t>
            </w:r>
          </w:p>
        </w:tc>
        <w:tc>
          <w:tcPr>
            <w:tcW w:w="1675" w:type="dxa"/>
            <w:tcBorders>
              <w:top w:val="nil"/>
              <w:left w:val="nil"/>
              <w:bottom w:val="nil"/>
            </w:tcBorders>
            <w:shd w:val="clear" w:color="auto" w:fill="DDEBF6"/>
          </w:tcPr>
          <w:p>
            <w:pPr>
              <w:pStyle w:val="TableParagraph"/>
              <w:spacing w:before="27"/>
              <w:ind w:right="98"/>
              <w:jc w:val="right"/>
              <w:rPr>
                <w:b/>
                <w:sz w:val="20"/>
              </w:rPr>
            </w:pPr>
            <w:r>
              <w:rPr>
                <w:b/>
                <w:spacing w:val="-2"/>
                <w:sz w:val="20"/>
              </w:rPr>
              <w:t>18,726</w:t>
            </w:r>
          </w:p>
        </w:tc>
      </w:tr>
      <w:tr>
        <w:trPr>
          <w:trHeight w:val="303" w:hRule="atLeast"/>
        </w:trPr>
        <w:tc>
          <w:tcPr>
            <w:tcW w:w="7106" w:type="dxa"/>
            <w:tcBorders>
              <w:top w:val="nil"/>
              <w:bottom w:val="nil"/>
            </w:tcBorders>
          </w:tcPr>
          <w:p>
            <w:pPr>
              <w:pStyle w:val="TableParagraph"/>
              <w:spacing w:before="40"/>
              <w:ind w:left="107"/>
              <w:rPr>
                <w:sz w:val="20"/>
              </w:rPr>
            </w:pPr>
            <w:r>
              <w:rPr>
                <w:sz w:val="20"/>
              </w:rPr>
              <w:t>Amount</w:t>
            </w:r>
            <w:r>
              <w:rPr>
                <w:spacing w:val="-4"/>
                <w:sz w:val="20"/>
              </w:rPr>
              <w:t> </w:t>
            </w:r>
            <w:r>
              <w:rPr>
                <w:sz w:val="20"/>
              </w:rPr>
              <w:t>proposed</w:t>
            </w:r>
            <w:r>
              <w:rPr>
                <w:spacing w:val="-7"/>
                <w:sz w:val="20"/>
              </w:rPr>
              <w:t> </w:t>
            </w:r>
            <w:r>
              <w:rPr>
                <w:sz w:val="20"/>
              </w:rPr>
              <w:t>to</w:t>
            </w:r>
            <w:r>
              <w:rPr>
                <w:spacing w:val="-7"/>
                <w:sz w:val="20"/>
              </w:rPr>
              <w:t> </w:t>
            </w:r>
            <w:r>
              <w:rPr>
                <w:sz w:val="20"/>
              </w:rPr>
              <w:t>be</w:t>
            </w:r>
            <w:r>
              <w:rPr>
                <w:spacing w:val="-4"/>
                <w:sz w:val="20"/>
              </w:rPr>
              <w:t> </w:t>
            </w:r>
            <w:r>
              <w:rPr>
                <w:spacing w:val="-2"/>
                <w:sz w:val="20"/>
              </w:rPr>
              <w:t>borrowed</w:t>
            </w:r>
          </w:p>
        </w:tc>
        <w:tc>
          <w:tcPr>
            <w:tcW w:w="1675" w:type="dxa"/>
            <w:tcBorders>
              <w:top w:val="nil"/>
              <w:bottom w:val="nil"/>
              <w:right w:val="nil"/>
            </w:tcBorders>
          </w:tcPr>
          <w:p>
            <w:pPr>
              <w:pStyle w:val="TableParagraph"/>
              <w:spacing w:before="6"/>
              <w:ind w:right="97"/>
              <w:jc w:val="right"/>
              <w:rPr>
                <w:sz w:val="20"/>
              </w:rPr>
            </w:pPr>
            <w:r>
              <w:rPr>
                <w:w w:val="99"/>
                <w:sz w:val="20"/>
              </w:rPr>
              <w:t>-</w:t>
            </w:r>
          </w:p>
        </w:tc>
        <w:tc>
          <w:tcPr>
            <w:tcW w:w="1675" w:type="dxa"/>
            <w:tcBorders>
              <w:top w:val="nil"/>
              <w:left w:val="nil"/>
              <w:bottom w:val="nil"/>
            </w:tcBorders>
            <w:shd w:val="clear" w:color="auto" w:fill="DDEBF6"/>
          </w:tcPr>
          <w:p>
            <w:pPr>
              <w:pStyle w:val="TableParagraph"/>
              <w:spacing w:before="6"/>
              <w:ind w:right="96"/>
              <w:jc w:val="right"/>
              <w:rPr>
                <w:b/>
                <w:sz w:val="20"/>
              </w:rPr>
            </w:pPr>
            <w:r>
              <w:rPr>
                <w:b/>
                <w:w w:val="99"/>
                <w:sz w:val="20"/>
              </w:rPr>
              <w:t>-</w:t>
            </w:r>
          </w:p>
        </w:tc>
      </w:tr>
      <w:tr>
        <w:trPr>
          <w:trHeight w:val="289" w:hRule="atLeast"/>
        </w:trPr>
        <w:tc>
          <w:tcPr>
            <w:tcW w:w="7106" w:type="dxa"/>
            <w:tcBorders>
              <w:top w:val="nil"/>
              <w:bottom w:val="nil"/>
            </w:tcBorders>
          </w:tcPr>
          <w:p>
            <w:pPr>
              <w:pStyle w:val="TableParagraph"/>
              <w:spacing w:line="219" w:lineRule="exact" w:before="51"/>
              <w:ind w:left="107"/>
              <w:rPr>
                <w:sz w:val="20"/>
              </w:rPr>
            </w:pPr>
            <w:r>
              <w:rPr>
                <w:sz w:val="20"/>
              </w:rPr>
              <w:t>Amount</w:t>
            </w:r>
            <w:r>
              <w:rPr>
                <w:spacing w:val="-4"/>
                <w:sz w:val="20"/>
              </w:rPr>
              <w:t> </w:t>
            </w:r>
            <w:r>
              <w:rPr>
                <w:sz w:val="20"/>
              </w:rPr>
              <w:t>projected</w:t>
            </w:r>
            <w:r>
              <w:rPr>
                <w:spacing w:val="-3"/>
                <w:sz w:val="20"/>
              </w:rPr>
              <w:t> </w:t>
            </w:r>
            <w:r>
              <w:rPr>
                <w:sz w:val="20"/>
              </w:rPr>
              <w:t>to</w:t>
            </w:r>
            <w:r>
              <w:rPr>
                <w:spacing w:val="-7"/>
                <w:sz w:val="20"/>
              </w:rPr>
              <w:t> </w:t>
            </w:r>
            <w:r>
              <w:rPr>
                <w:sz w:val="20"/>
              </w:rPr>
              <w:t>be</w:t>
            </w:r>
            <w:r>
              <w:rPr>
                <w:spacing w:val="-8"/>
                <w:sz w:val="20"/>
              </w:rPr>
              <w:t> </w:t>
            </w:r>
            <w:r>
              <w:rPr>
                <w:spacing w:val="-2"/>
                <w:sz w:val="20"/>
              </w:rPr>
              <w:t>redeemed</w:t>
            </w:r>
          </w:p>
        </w:tc>
        <w:tc>
          <w:tcPr>
            <w:tcW w:w="1675" w:type="dxa"/>
            <w:tcBorders>
              <w:top w:val="nil"/>
              <w:bottom w:val="single" w:sz="8" w:space="0" w:color="000000"/>
              <w:right w:val="nil"/>
            </w:tcBorders>
          </w:tcPr>
          <w:p>
            <w:pPr>
              <w:pStyle w:val="TableParagraph"/>
              <w:spacing w:before="10"/>
              <w:ind w:right="99"/>
              <w:jc w:val="right"/>
              <w:rPr>
                <w:sz w:val="20"/>
              </w:rPr>
            </w:pPr>
            <w:r>
              <w:rPr>
                <w:spacing w:val="-2"/>
                <w:sz w:val="20"/>
              </w:rPr>
              <w:t>(2,836)</w:t>
            </w:r>
          </w:p>
        </w:tc>
        <w:tc>
          <w:tcPr>
            <w:tcW w:w="1675" w:type="dxa"/>
            <w:tcBorders>
              <w:top w:val="nil"/>
              <w:left w:val="nil"/>
              <w:bottom w:val="single" w:sz="8" w:space="0" w:color="000000"/>
            </w:tcBorders>
            <w:shd w:val="clear" w:color="auto" w:fill="DDEBF6"/>
          </w:tcPr>
          <w:p>
            <w:pPr>
              <w:pStyle w:val="TableParagraph"/>
              <w:spacing w:before="10"/>
              <w:ind w:right="98"/>
              <w:jc w:val="right"/>
              <w:rPr>
                <w:b/>
                <w:sz w:val="20"/>
              </w:rPr>
            </w:pPr>
            <w:r>
              <w:rPr>
                <w:b/>
                <w:spacing w:val="-2"/>
                <w:sz w:val="20"/>
              </w:rPr>
              <w:t>(2,962)</w:t>
            </w:r>
          </w:p>
        </w:tc>
      </w:tr>
      <w:tr>
        <w:trPr>
          <w:trHeight w:val="316" w:hRule="atLeast"/>
        </w:trPr>
        <w:tc>
          <w:tcPr>
            <w:tcW w:w="7106" w:type="dxa"/>
            <w:tcBorders>
              <w:top w:val="nil"/>
            </w:tcBorders>
          </w:tcPr>
          <w:p>
            <w:pPr>
              <w:pStyle w:val="TableParagraph"/>
              <w:spacing w:line="219" w:lineRule="exact" w:before="77"/>
              <w:ind w:left="107"/>
              <w:rPr>
                <w:b/>
                <w:sz w:val="20"/>
              </w:rPr>
            </w:pPr>
            <w:r>
              <w:rPr>
                <w:b/>
                <w:sz w:val="20"/>
              </w:rPr>
              <w:t>Amount</w:t>
            </w:r>
            <w:r>
              <w:rPr>
                <w:b/>
                <w:spacing w:val="-6"/>
                <w:sz w:val="20"/>
              </w:rPr>
              <w:t> </w:t>
            </w:r>
            <w:r>
              <w:rPr>
                <w:b/>
                <w:sz w:val="20"/>
              </w:rPr>
              <w:t>of</w:t>
            </w:r>
            <w:r>
              <w:rPr>
                <w:b/>
                <w:spacing w:val="-4"/>
                <w:sz w:val="20"/>
              </w:rPr>
              <w:t> </w:t>
            </w:r>
            <w:r>
              <w:rPr>
                <w:b/>
                <w:sz w:val="20"/>
              </w:rPr>
              <w:t>borrowings</w:t>
            </w:r>
            <w:r>
              <w:rPr>
                <w:b/>
                <w:spacing w:val="-6"/>
                <w:sz w:val="20"/>
              </w:rPr>
              <w:t> </w:t>
            </w:r>
            <w:r>
              <w:rPr>
                <w:b/>
                <w:sz w:val="20"/>
              </w:rPr>
              <w:t>as</w:t>
            </w:r>
            <w:r>
              <w:rPr>
                <w:b/>
                <w:spacing w:val="-3"/>
                <w:sz w:val="20"/>
              </w:rPr>
              <w:t> </w:t>
            </w:r>
            <w:r>
              <w:rPr>
                <w:b/>
                <w:sz w:val="20"/>
              </w:rPr>
              <w:t>of</w:t>
            </w:r>
            <w:r>
              <w:rPr>
                <w:b/>
                <w:spacing w:val="-3"/>
                <w:sz w:val="20"/>
              </w:rPr>
              <w:t> </w:t>
            </w:r>
            <w:r>
              <w:rPr>
                <w:b/>
                <w:sz w:val="20"/>
              </w:rPr>
              <w:t>30</w:t>
            </w:r>
            <w:r>
              <w:rPr>
                <w:b/>
                <w:spacing w:val="-6"/>
                <w:sz w:val="20"/>
              </w:rPr>
              <w:t> </w:t>
            </w:r>
            <w:r>
              <w:rPr>
                <w:b/>
                <w:spacing w:val="-4"/>
                <w:sz w:val="20"/>
              </w:rPr>
              <w:t>June</w:t>
            </w:r>
          </w:p>
        </w:tc>
        <w:tc>
          <w:tcPr>
            <w:tcW w:w="1675" w:type="dxa"/>
            <w:tcBorders>
              <w:top w:val="single" w:sz="8" w:space="0" w:color="000000"/>
              <w:right w:val="nil"/>
            </w:tcBorders>
          </w:tcPr>
          <w:p>
            <w:pPr>
              <w:pStyle w:val="TableParagraph"/>
              <w:spacing w:before="34"/>
              <w:ind w:right="98"/>
              <w:jc w:val="right"/>
              <w:rPr>
                <w:b/>
                <w:sz w:val="20"/>
              </w:rPr>
            </w:pPr>
            <w:r>
              <w:rPr>
                <w:b/>
                <w:spacing w:val="-2"/>
                <w:sz w:val="20"/>
              </w:rPr>
              <w:t>18,726</w:t>
            </w:r>
          </w:p>
        </w:tc>
        <w:tc>
          <w:tcPr>
            <w:tcW w:w="1675" w:type="dxa"/>
            <w:tcBorders>
              <w:top w:val="single" w:sz="8" w:space="0" w:color="000000"/>
              <w:left w:val="nil"/>
            </w:tcBorders>
            <w:shd w:val="clear" w:color="auto" w:fill="DDEBF6"/>
          </w:tcPr>
          <w:p>
            <w:pPr>
              <w:pStyle w:val="TableParagraph"/>
              <w:spacing w:before="34"/>
              <w:ind w:right="98"/>
              <w:jc w:val="right"/>
              <w:rPr>
                <w:b/>
                <w:sz w:val="20"/>
              </w:rPr>
            </w:pPr>
            <w:r>
              <w:rPr>
                <w:b/>
                <w:spacing w:val="-2"/>
                <w:sz w:val="20"/>
              </w:rPr>
              <w:t>15,764</w:t>
            </w:r>
          </w:p>
        </w:tc>
      </w:tr>
    </w:tbl>
    <w:p>
      <w:pPr>
        <w:spacing w:after="0"/>
        <w:jc w:val="right"/>
        <w:rPr>
          <w:sz w:val="20"/>
        </w:rPr>
        <w:sectPr>
          <w:pgSz w:w="11910" w:h="16840"/>
          <w:pgMar w:header="0" w:footer="426" w:top="620" w:bottom="740" w:left="460" w:right="160"/>
        </w:sectPr>
      </w:pPr>
    </w:p>
    <w:p>
      <w:pPr>
        <w:pStyle w:val="Heading4"/>
        <w:numPr>
          <w:ilvl w:val="2"/>
          <w:numId w:val="21"/>
        </w:numPr>
        <w:tabs>
          <w:tab w:pos="862" w:val="left" w:leader="none"/>
        </w:tabs>
        <w:spacing w:line="240" w:lineRule="auto" w:before="82" w:after="0"/>
        <w:ind w:left="861" w:right="0" w:hanging="602"/>
        <w:jc w:val="left"/>
      </w:pPr>
      <w:r>
        <w:rPr>
          <w:color w:val="4966AC"/>
        </w:rPr>
        <w:t>Leases by</w:t>
      </w:r>
      <w:r>
        <w:rPr>
          <w:color w:val="4966AC"/>
          <w:spacing w:val="-2"/>
        </w:rPr>
        <w:t> category</w:t>
      </w:r>
    </w:p>
    <w:p>
      <w:pPr>
        <w:pStyle w:val="BodyText"/>
        <w:spacing w:before="8"/>
        <w:rPr>
          <w:b/>
          <w:sz w:val="23"/>
        </w:rPr>
      </w:pPr>
    </w:p>
    <w:p>
      <w:pPr>
        <w:pStyle w:val="BodyText"/>
        <w:ind w:left="260" w:right="557"/>
        <w:jc w:val="both"/>
      </w:pPr>
      <w:r>
        <w:rPr/>
        <w:t>As a result of the introduction of AASB 16 Leases, right-of-use assets and lease liabilities have been recognised as outlined in the table below.</w:t>
      </w:r>
    </w:p>
    <w:p>
      <w:pPr>
        <w:pStyle w:val="BodyText"/>
        <w:spacing w:before="2"/>
        <w:rPr>
          <w:sz w:val="21"/>
        </w:rPr>
      </w:pPr>
    </w:p>
    <w:tbl>
      <w:tblPr>
        <w:tblW w:w="0" w:type="auto"/>
        <w:jc w:val="left"/>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02"/>
        <w:gridCol w:w="1927"/>
        <w:gridCol w:w="1927"/>
      </w:tblGrid>
      <w:tr>
        <w:trPr>
          <w:trHeight w:val="899" w:hRule="atLeast"/>
        </w:trPr>
        <w:tc>
          <w:tcPr>
            <w:tcW w:w="10456" w:type="dxa"/>
            <w:gridSpan w:val="3"/>
            <w:tcBorders>
              <w:top w:val="single" w:sz="4" w:space="0" w:color="000000"/>
              <w:left w:val="single" w:sz="4" w:space="0" w:color="000000"/>
              <w:right w:val="single" w:sz="4" w:space="0" w:color="000000"/>
            </w:tcBorders>
            <w:shd w:val="clear" w:color="auto" w:fill="5B9AD4"/>
          </w:tcPr>
          <w:p>
            <w:pPr>
              <w:pStyle w:val="TableParagraph"/>
              <w:tabs>
                <w:tab w:pos="9066" w:val="left" w:leader="none"/>
                <w:tab w:pos="9182" w:val="left" w:leader="none"/>
              </w:tabs>
              <w:spacing w:line="348" w:lineRule="auto" w:before="92"/>
              <w:ind w:left="7137" w:right="522" w:hanging="250"/>
              <w:rPr>
                <w:b/>
                <w:sz w:val="18"/>
              </w:rPr>
            </w:pPr>
            <w:r>
              <w:rPr>
                <w:b/>
                <w:color w:val="FFFFFF"/>
                <w:sz w:val="18"/>
              </w:rPr>
              <w:t>Forecast Actual</w:t>
              <w:tab/>
              <w:tab/>
            </w:r>
            <w:r>
              <w:rPr>
                <w:b/>
                <w:color w:val="FFFFFF"/>
                <w:spacing w:val="-2"/>
                <w:sz w:val="18"/>
              </w:rPr>
              <w:t>Budget 2023/2024</w:t>
            </w:r>
            <w:r>
              <w:rPr>
                <w:b/>
                <w:color w:val="FFFFFF"/>
                <w:sz w:val="18"/>
              </w:rPr>
              <w:tab/>
            </w:r>
            <w:r>
              <w:rPr>
                <w:b/>
                <w:color w:val="FFFFFF"/>
                <w:spacing w:val="-2"/>
                <w:sz w:val="18"/>
              </w:rPr>
              <w:t>2024/2025</w:t>
            </w:r>
          </w:p>
          <w:p>
            <w:pPr>
              <w:pStyle w:val="TableParagraph"/>
              <w:tabs>
                <w:tab w:pos="9441" w:val="left" w:leader="none"/>
              </w:tabs>
              <w:spacing w:line="187" w:lineRule="exact"/>
              <w:ind w:left="7511"/>
              <w:rPr>
                <w:b/>
                <w:sz w:val="18"/>
              </w:rPr>
            </w:pPr>
            <w:r>
              <w:rPr>
                <w:b/>
                <w:color w:val="FFFFFF"/>
                <w:spacing w:val="-10"/>
                <w:sz w:val="18"/>
              </w:rPr>
              <w:t>$</w:t>
            </w:r>
            <w:r>
              <w:rPr>
                <w:b/>
                <w:color w:val="FFFFFF"/>
                <w:sz w:val="18"/>
              </w:rPr>
              <w:tab/>
            </w:r>
            <w:r>
              <w:rPr>
                <w:b/>
                <w:color w:val="FFFFFF"/>
                <w:spacing w:val="-10"/>
                <w:sz w:val="18"/>
              </w:rPr>
              <w:t>$</w:t>
            </w:r>
          </w:p>
        </w:tc>
      </w:tr>
      <w:tr>
        <w:trPr>
          <w:trHeight w:val="337" w:hRule="atLeast"/>
        </w:trPr>
        <w:tc>
          <w:tcPr>
            <w:tcW w:w="6602" w:type="dxa"/>
            <w:tcBorders>
              <w:left w:val="single" w:sz="4" w:space="0" w:color="000000"/>
            </w:tcBorders>
          </w:tcPr>
          <w:p>
            <w:pPr>
              <w:pStyle w:val="TableParagraph"/>
              <w:spacing w:before="69"/>
              <w:ind w:left="107"/>
              <w:rPr>
                <w:b/>
                <w:sz w:val="20"/>
              </w:rPr>
            </w:pPr>
            <w:r>
              <w:rPr>
                <w:b/>
                <w:sz w:val="20"/>
              </w:rPr>
              <w:t>Right-of-use</w:t>
            </w:r>
            <w:r>
              <w:rPr>
                <w:b/>
                <w:spacing w:val="-11"/>
                <w:sz w:val="20"/>
              </w:rPr>
              <w:t> </w:t>
            </w:r>
            <w:r>
              <w:rPr>
                <w:b/>
                <w:spacing w:val="-2"/>
                <w:sz w:val="20"/>
              </w:rPr>
              <w:t>assets</w:t>
            </w:r>
          </w:p>
        </w:tc>
        <w:tc>
          <w:tcPr>
            <w:tcW w:w="1927" w:type="dxa"/>
          </w:tcPr>
          <w:p>
            <w:pPr>
              <w:pStyle w:val="TableParagraph"/>
              <w:rPr>
                <w:rFonts w:ascii="Times New Roman"/>
                <w:sz w:val="20"/>
              </w:rPr>
            </w:pPr>
          </w:p>
        </w:tc>
        <w:tc>
          <w:tcPr>
            <w:tcW w:w="1927" w:type="dxa"/>
            <w:tcBorders>
              <w:right w:val="single" w:sz="4" w:space="0" w:color="000000"/>
            </w:tcBorders>
            <w:shd w:val="clear" w:color="auto" w:fill="DDEBF6"/>
          </w:tcPr>
          <w:p>
            <w:pPr>
              <w:pStyle w:val="TableParagraph"/>
              <w:rPr>
                <w:rFonts w:ascii="Times New Roman"/>
                <w:sz w:val="20"/>
              </w:rPr>
            </w:pPr>
          </w:p>
        </w:tc>
      </w:tr>
      <w:tr>
        <w:trPr>
          <w:trHeight w:val="300" w:hRule="atLeast"/>
        </w:trPr>
        <w:tc>
          <w:tcPr>
            <w:tcW w:w="6602" w:type="dxa"/>
            <w:tcBorders>
              <w:left w:val="single" w:sz="4" w:space="0" w:color="000000"/>
            </w:tcBorders>
          </w:tcPr>
          <w:p>
            <w:pPr>
              <w:pStyle w:val="TableParagraph"/>
              <w:spacing w:before="31"/>
              <w:ind w:left="107"/>
              <w:rPr>
                <w:b/>
                <w:sz w:val="20"/>
              </w:rPr>
            </w:pPr>
            <w:r>
              <w:rPr>
                <w:b/>
                <w:sz w:val="20"/>
              </w:rPr>
              <w:t>Current</w:t>
            </w:r>
            <w:r>
              <w:rPr>
                <w:b/>
                <w:spacing w:val="-11"/>
                <w:sz w:val="20"/>
              </w:rPr>
              <w:t> </w:t>
            </w:r>
            <w:r>
              <w:rPr>
                <w:b/>
                <w:sz w:val="20"/>
              </w:rPr>
              <w:t>Right-of-use</w:t>
            </w:r>
            <w:r>
              <w:rPr>
                <w:b/>
                <w:spacing w:val="-10"/>
                <w:sz w:val="20"/>
              </w:rPr>
              <w:t> </w:t>
            </w:r>
            <w:r>
              <w:rPr>
                <w:b/>
                <w:spacing w:val="-2"/>
                <w:sz w:val="20"/>
              </w:rPr>
              <w:t>assets</w:t>
            </w:r>
          </w:p>
        </w:tc>
        <w:tc>
          <w:tcPr>
            <w:tcW w:w="1927" w:type="dxa"/>
          </w:tcPr>
          <w:p>
            <w:pPr>
              <w:pStyle w:val="TableParagraph"/>
              <w:rPr>
                <w:rFonts w:ascii="Times New Roman"/>
                <w:sz w:val="20"/>
              </w:rPr>
            </w:pPr>
          </w:p>
        </w:tc>
        <w:tc>
          <w:tcPr>
            <w:tcW w:w="1927" w:type="dxa"/>
            <w:tcBorders>
              <w:right w:val="single" w:sz="4" w:space="0" w:color="000000"/>
            </w:tcBorders>
            <w:shd w:val="clear" w:color="auto" w:fill="DDEBF6"/>
          </w:tcPr>
          <w:p>
            <w:pPr>
              <w:pStyle w:val="TableParagraph"/>
              <w:rPr>
                <w:rFonts w:ascii="Times New Roman"/>
                <w:sz w:val="20"/>
              </w:rPr>
            </w:pPr>
          </w:p>
        </w:tc>
      </w:tr>
      <w:tr>
        <w:trPr>
          <w:trHeight w:val="262" w:hRule="atLeast"/>
        </w:trPr>
        <w:tc>
          <w:tcPr>
            <w:tcW w:w="6602" w:type="dxa"/>
            <w:tcBorders>
              <w:left w:val="single" w:sz="4" w:space="0" w:color="000000"/>
            </w:tcBorders>
          </w:tcPr>
          <w:p>
            <w:pPr>
              <w:pStyle w:val="TableParagraph"/>
              <w:spacing w:line="211" w:lineRule="exact" w:before="31"/>
              <w:ind w:left="307"/>
              <w:rPr>
                <w:sz w:val="20"/>
              </w:rPr>
            </w:pPr>
            <w:r>
              <w:rPr>
                <w:sz w:val="20"/>
              </w:rPr>
              <w:t>Plant</w:t>
            </w:r>
            <w:r>
              <w:rPr>
                <w:spacing w:val="-6"/>
                <w:sz w:val="20"/>
              </w:rPr>
              <w:t> </w:t>
            </w:r>
            <w:r>
              <w:rPr>
                <w:sz w:val="20"/>
              </w:rPr>
              <w:t>and</w:t>
            </w:r>
            <w:r>
              <w:rPr>
                <w:spacing w:val="-3"/>
                <w:sz w:val="20"/>
              </w:rPr>
              <w:t> </w:t>
            </w:r>
            <w:r>
              <w:rPr>
                <w:spacing w:val="-2"/>
                <w:sz w:val="20"/>
              </w:rPr>
              <w:t>equipment</w:t>
            </w:r>
          </w:p>
        </w:tc>
        <w:tc>
          <w:tcPr>
            <w:tcW w:w="1927" w:type="dxa"/>
            <w:tcBorders>
              <w:bottom w:val="single" w:sz="4" w:space="0" w:color="000000"/>
            </w:tcBorders>
          </w:tcPr>
          <w:p>
            <w:pPr>
              <w:pStyle w:val="TableParagraph"/>
              <w:spacing w:line="211" w:lineRule="exact" w:before="31"/>
              <w:ind w:right="104"/>
              <w:jc w:val="right"/>
              <w:rPr>
                <w:sz w:val="20"/>
              </w:rPr>
            </w:pPr>
            <w:r>
              <w:rPr>
                <w:w w:val="99"/>
                <w:sz w:val="20"/>
              </w:rPr>
              <w:t>-</w:t>
            </w:r>
          </w:p>
        </w:tc>
        <w:tc>
          <w:tcPr>
            <w:tcW w:w="1927" w:type="dxa"/>
            <w:tcBorders>
              <w:bottom w:val="single" w:sz="4" w:space="0" w:color="000000"/>
              <w:right w:val="single" w:sz="4" w:space="0" w:color="000000"/>
            </w:tcBorders>
            <w:shd w:val="clear" w:color="auto" w:fill="DDEBF6"/>
          </w:tcPr>
          <w:p>
            <w:pPr>
              <w:pStyle w:val="TableParagraph"/>
              <w:spacing w:line="211" w:lineRule="exact" w:before="31"/>
              <w:ind w:right="96"/>
              <w:jc w:val="right"/>
              <w:rPr>
                <w:b/>
                <w:sz w:val="20"/>
              </w:rPr>
            </w:pPr>
            <w:r>
              <w:rPr>
                <w:b/>
                <w:w w:val="99"/>
                <w:sz w:val="20"/>
              </w:rPr>
              <w:t>-</w:t>
            </w:r>
          </w:p>
        </w:tc>
      </w:tr>
      <w:tr>
        <w:trPr>
          <w:trHeight w:val="339" w:hRule="atLeast"/>
        </w:trPr>
        <w:tc>
          <w:tcPr>
            <w:tcW w:w="6602" w:type="dxa"/>
            <w:tcBorders>
              <w:left w:val="single" w:sz="4" w:space="0" w:color="000000"/>
            </w:tcBorders>
          </w:tcPr>
          <w:p>
            <w:pPr>
              <w:pStyle w:val="TableParagraph"/>
              <w:spacing w:before="71"/>
              <w:ind w:left="107"/>
              <w:rPr>
                <w:b/>
                <w:sz w:val="20"/>
              </w:rPr>
            </w:pPr>
            <w:r>
              <w:rPr>
                <w:b/>
                <w:sz w:val="20"/>
              </w:rPr>
              <w:t>Total</w:t>
            </w:r>
            <w:r>
              <w:rPr>
                <w:b/>
                <w:spacing w:val="-8"/>
                <w:sz w:val="20"/>
              </w:rPr>
              <w:t> </w:t>
            </w:r>
            <w:r>
              <w:rPr>
                <w:b/>
                <w:sz w:val="20"/>
              </w:rPr>
              <w:t>Current</w:t>
            </w:r>
            <w:r>
              <w:rPr>
                <w:b/>
                <w:spacing w:val="-8"/>
                <w:sz w:val="20"/>
              </w:rPr>
              <w:t> </w:t>
            </w:r>
            <w:r>
              <w:rPr>
                <w:b/>
                <w:sz w:val="20"/>
              </w:rPr>
              <w:t>Right-of-use</w:t>
            </w:r>
            <w:r>
              <w:rPr>
                <w:b/>
                <w:spacing w:val="-8"/>
                <w:sz w:val="20"/>
              </w:rPr>
              <w:t> </w:t>
            </w:r>
            <w:r>
              <w:rPr>
                <w:b/>
                <w:spacing w:val="-2"/>
                <w:sz w:val="20"/>
              </w:rPr>
              <w:t>assets</w:t>
            </w:r>
          </w:p>
        </w:tc>
        <w:tc>
          <w:tcPr>
            <w:tcW w:w="1927" w:type="dxa"/>
            <w:tcBorders>
              <w:top w:val="single" w:sz="4" w:space="0" w:color="000000"/>
            </w:tcBorders>
          </w:tcPr>
          <w:p>
            <w:pPr>
              <w:pStyle w:val="TableParagraph"/>
              <w:spacing w:before="71"/>
              <w:ind w:right="103"/>
              <w:jc w:val="right"/>
              <w:rPr>
                <w:sz w:val="20"/>
              </w:rPr>
            </w:pPr>
            <w:r>
              <w:rPr>
                <w:w w:val="99"/>
                <w:sz w:val="20"/>
              </w:rPr>
              <w:t>-</w:t>
            </w:r>
          </w:p>
        </w:tc>
        <w:tc>
          <w:tcPr>
            <w:tcW w:w="1927" w:type="dxa"/>
            <w:tcBorders>
              <w:top w:val="single" w:sz="4" w:space="0" w:color="000000"/>
              <w:right w:val="single" w:sz="4" w:space="0" w:color="000000"/>
            </w:tcBorders>
            <w:shd w:val="clear" w:color="auto" w:fill="DDEBF6"/>
          </w:tcPr>
          <w:p>
            <w:pPr>
              <w:pStyle w:val="TableParagraph"/>
              <w:spacing w:before="71"/>
              <w:ind w:right="96"/>
              <w:jc w:val="right"/>
              <w:rPr>
                <w:b/>
                <w:sz w:val="20"/>
              </w:rPr>
            </w:pPr>
            <w:r>
              <w:rPr>
                <w:b/>
                <w:w w:val="99"/>
                <w:sz w:val="20"/>
              </w:rPr>
              <w:t>-</w:t>
            </w:r>
          </w:p>
        </w:tc>
      </w:tr>
      <w:tr>
        <w:trPr>
          <w:trHeight w:val="300" w:hRule="atLeast"/>
        </w:trPr>
        <w:tc>
          <w:tcPr>
            <w:tcW w:w="6602" w:type="dxa"/>
            <w:tcBorders>
              <w:left w:val="single" w:sz="4" w:space="0" w:color="000000"/>
            </w:tcBorders>
          </w:tcPr>
          <w:p>
            <w:pPr>
              <w:pStyle w:val="TableParagraph"/>
              <w:spacing w:before="31"/>
              <w:ind w:left="107"/>
              <w:rPr>
                <w:b/>
                <w:sz w:val="20"/>
              </w:rPr>
            </w:pPr>
            <w:r>
              <w:rPr>
                <w:b/>
                <w:sz w:val="20"/>
              </w:rPr>
              <w:t>Non-Current</w:t>
            </w:r>
            <w:r>
              <w:rPr>
                <w:b/>
                <w:spacing w:val="-13"/>
                <w:sz w:val="20"/>
              </w:rPr>
              <w:t> </w:t>
            </w:r>
            <w:r>
              <w:rPr>
                <w:b/>
                <w:sz w:val="20"/>
              </w:rPr>
              <w:t>Right-of-use</w:t>
            </w:r>
            <w:r>
              <w:rPr>
                <w:b/>
                <w:spacing w:val="-10"/>
                <w:sz w:val="20"/>
              </w:rPr>
              <w:t> </w:t>
            </w:r>
            <w:r>
              <w:rPr>
                <w:b/>
                <w:spacing w:val="-2"/>
                <w:sz w:val="20"/>
              </w:rPr>
              <w:t>assets</w:t>
            </w:r>
          </w:p>
        </w:tc>
        <w:tc>
          <w:tcPr>
            <w:tcW w:w="1927" w:type="dxa"/>
          </w:tcPr>
          <w:p>
            <w:pPr>
              <w:pStyle w:val="TableParagraph"/>
              <w:rPr>
                <w:rFonts w:ascii="Times New Roman"/>
                <w:sz w:val="20"/>
              </w:rPr>
            </w:pPr>
          </w:p>
        </w:tc>
        <w:tc>
          <w:tcPr>
            <w:tcW w:w="1927" w:type="dxa"/>
            <w:tcBorders>
              <w:right w:val="single" w:sz="4" w:space="0" w:color="000000"/>
            </w:tcBorders>
            <w:shd w:val="clear" w:color="auto" w:fill="DDEBF6"/>
          </w:tcPr>
          <w:p>
            <w:pPr>
              <w:pStyle w:val="TableParagraph"/>
              <w:rPr>
                <w:rFonts w:ascii="Times New Roman"/>
                <w:sz w:val="20"/>
              </w:rPr>
            </w:pPr>
          </w:p>
        </w:tc>
      </w:tr>
      <w:tr>
        <w:trPr>
          <w:trHeight w:val="262" w:hRule="atLeast"/>
        </w:trPr>
        <w:tc>
          <w:tcPr>
            <w:tcW w:w="6602" w:type="dxa"/>
            <w:tcBorders>
              <w:left w:val="single" w:sz="4" w:space="0" w:color="000000"/>
            </w:tcBorders>
          </w:tcPr>
          <w:p>
            <w:pPr>
              <w:pStyle w:val="TableParagraph"/>
              <w:spacing w:line="211" w:lineRule="exact" w:before="31"/>
              <w:ind w:left="307"/>
              <w:rPr>
                <w:sz w:val="20"/>
              </w:rPr>
            </w:pPr>
            <w:r>
              <w:rPr>
                <w:sz w:val="20"/>
              </w:rPr>
              <w:t>Plant</w:t>
            </w:r>
            <w:r>
              <w:rPr>
                <w:spacing w:val="-6"/>
                <w:sz w:val="20"/>
              </w:rPr>
              <w:t> </w:t>
            </w:r>
            <w:r>
              <w:rPr>
                <w:sz w:val="20"/>
              </w:rPr>
              <w:t>and</w:t>
            </w:r>
            <w:r>
              <w:rPr>
                <w:spacing w:val="-3"/>
                <w:sz w:val="20"/>
              </w:rPr>
              <w:t> </w:t>
            </w:r>
            <w:r>
              <w:rPr>
                <w:spacing w:val="-2"/>
                <w:sz w:val="20"/>
              </w:rPr>
              <w:t>equipment</w:t>
            </w:r>
          </w:p>
        </w:tc>
        <w:tc>
          <w:tcPr>
            <w:tcW w:w="1927" w:type="dxa"/>
            <w:tcBorders>
              <w:bottom w:val="single" w:sz="4" w:space="0" w:color="000000"/>
            </w:tcBorders>
          </w:tcPr>
          <w:p>
            <w:pPr>
              <w:pStyle w:val="TableParagraph"/>
              <w:spacing w:line="211" w:lineRule="exact" w:before="31"/>
              <w:ind w:right="102"/>
              <w:jc w:val="right"/>
              <w:rPr>
                <w:sz w:val="20"/>
              </w:rPr>
            </w:pPr>
            <w:r>
              <w:rPr>
                <w:spacing w:val="-2"/>
                <w:sz w:val="20"/>
              </w:rPr>
              <w:t>1,987</w:t>
            </w:r>
          </w:p>
        </w:tc>
        <w:tc>
          <w:tcPr>
            <w:tcW w:w="1927" w:type="dxa"/>
            <w:tcBorders>
              <w:bottom w:val="single" w:sz="4" w:space="0" w:color="000000"/>
              <w:right w:val="single" w:sz="4" w:space="0" w:color="000000"/>
            </w:tcBorders>
            <w:shd w:val="clear" w:color="auto" w:fill="DDEBF6"/>
          </w:tcPr>
          <w:p>
            <w:pPr>
              <w:pStyle w:val="TableParagraph"/>
              <w:spacing w:line="211" w:lineRule="exact" w:before="31"/>
              <w:ind w:right="95"/>
              <w:jc w:val="right"/>
              <w:rPr>
                <w:b/>
                <w:sz w:val="20"/>
              </w:rPr>
            </w:pPr>
            <w:r>
              <w:rPr>
                <w:b/>
                <w:spacing w:val="-2"/>
                <w:sz w:val="20"/>
              </w:rPr>
              <w:t>6,333</w:t>
            </w:r>
          </w:p>
        </w:tc>
      </w:tr>
      <w:tr>
        <w:trPr>
          <w:trHeight w:val="299" w:hRule="atLeast"/>
        </w:trPr>
        <w:tc>
          <w:tcPr>
            <w:tcW w:w="6602" w:type="dxa"/>
            <w:tcBorders>
              <w:left w:val="single" w:sz="4" w:space="0" w:color="000000"/>
            </w:tcBorders>
          </w:tcPr>
          <w:p>
            <w:pPr>
              <w:pStyle w:val="TableParagraph"/>
              <w:spacing w:line="211" w:lineRule="exact" w:before="69"/>
              <w:ind w:left="107"/>
              <w:rPr>
                <w:b/>
                <w:sz w:val="20"/>
              </w:rPr>
            </w:pPr>
            <w:r>
              <w:rPr>
                <w:b/>
                <w:sz w:val="20"/>
              </w:rPr>
              <w:t>Total</w:t>
            </w:r>
            <w:r>
              <w:rPr>
                <w:b/>
                <w:spacing w:val="-10"/>
                <w:sz w:val="20"/>
              </w:rPr>
              <w:t> </w:t>
            </w:r>
            <w:r>
              <w:rPr>
                <w:b/>
                <w:sz w:val="20"/>
              </w:rPr>
              <w:t>Non-Current</w:t>
            </w:r>
            <w:r>
              <w:rPr>
                <w:b/>
                <w:spacing w:val="-9"/>
                <w:sz w:val="20"/>
              </w:rPr>
              <w:t> </w:t>
            </w:r>
            <w:r>
              <w:rPr>
                <w:b/>
                <w:sz w:val="20"/>
              </w:rPr>
              <w:t>Right-of-use</w:t>
            </w:r>
            <w:r>
              <w:rPr>
                <w:b/>
                <w:spacing w:val="-10"/>
                <w:sz w:val="20"/>
              </w:rPr>
              <w:t> </w:t>
            </w:r>
            <w:r>
              <w:rPr>
                <w:b/>
                <w:spacing w:val="-2"/>
                <w:sz w:val="20"/>
              </w:rPr>
              <w:t>assets</w:t>
            </w:r>
          </w:p>
        </w:tc>
        <w:tc>
          <w:tcPr>
            <w:tcW w:w="1927" w:type="dxa"/>
            <w:tcBorders>
              <w:top w:val="single" w:sz="4" w:space="0" w:color="000000"/>
              <w:bottom w:val="single" w:sz="4" w:space="0" w:color="000000"/>
            </w:tcBorders>
          </w:tcPr>
          <w:p>
            <w:pPr>
              <w:pStyle w:val="TableParagraph"/>
              <w:spacing w:line="211" w:lineRule="exact" w:before="69"/>
              <w:ind w:right="102"/>
              <w:jc w:val="right"/>
              <w:rPr>
                <w:sz w:val="20"/>
              </w:rPr>
            </w:pPr>
            <w:r>
              <w:rPr>
                <w:spacing w:val="-2"/>
                <w:sz w:val="20"/>
              </w:rPr>
              <w:t>1,987</w:t>
            </w:r>
          </w:p>
        </w:tc>
        <w:tc>
          <w:tcPr>
            <w:tcW w:w="1927" w:type="dxa"/>
            <w:tcBorders>
              <w:top w:val="single" w:sz="4" w:space="0" w:color="000000"/>
              <w:bottom w:val="single" w:sz="4" w:space="0" w:color="000000"/>
              <w:right w:val="single" w:sz="4" w:space="0" w:color="000000"/>
            </w:tcBorders>
            <w:shd w:val="clear" w:color="auto" w:fill="DDEBF6"/>
          </w:tcPr>
          <w:p>
            <w:pPr>
              <w:pStyle w:val="TableParagraph"/>
              <w:spacing w:line="211" w:lineRule="exact" w:before="69"/>
              <w:ind w:right="95"/>
              <w:jc w:val="right"/>
              <w:rPr>
                <w:b/>
                <w:sz w:val="20"/>
              </w:rPr>
            </w:pPr>
            <w:r>
              <w:rPr>
                <w:b/>
                <w:spacing w:val="-2"/>
                <w:sz w:val="20"/>
              </w:rPr>
              <w:t>6,333</w:t>
            </w:r>
          </w:p>
        </w:tc>
      </w:tr>
      <w:tr>
        <w:trPr>
          <w:trHeight w:val="313" w:hRule="atLeast"/>
        </w:trPr>
        <w:tc>
          <w:tcPr>
            <w:tcW w:w="6602" w:type="dxa"/>
            <w:tcBorders>
              <w:left w:val="single" w:sz="4" w:space="0" w:color="000000"/>
            </w:tcBorders>
          </w:tcPr>
          <w:p>
            <w:pPr>
              <w:pStyle w:val="TableParagraph"/>
              <w:spacing w:line="210" w:lineRule="exact" w:before="83"/>
              <w:ind w:left="107"/>
              <w:rPr>
                <w:b/>
                <w:sz w:val="20"/>
              </w:rPr>
            </w:pPr>
            <w:r>
              <w:rPr>
                <w:b/>
                <w:sz w:val="20"/>
              </w:rPr>
              <w:t>Total</w:t>
            </w:r>
            <w:r>
              <w:rPr>
                <w:b/>
                <w:spacing w:val="-9"/>
                <w:sz w:val="20"/>
              </w:rPr>
              <w:t> </w:t>
            </w:r>
            <w:r>
              <w:rPr>
                <w:b/>
                <w:sz w:val="20"/>
              </w:rPr>
              <w:t>right-of-use</w:t>
            </w:r>
            <w:r>
              <w:rPr>
                <w:b/>
                <w:spacing w:val="-8"/>
                <w:sz w:val="20"/>
              </w:rPr>
              <w:t> </w:t>
            </w:r>
            <w:r>
              <w:rPr>
                <w:b/>
                <w:spacing w:val="-2"/>
                <w:sz w:val="20"/>
              </w:rPr>
              <w:t>assets</w:t>
            </w:r>
          </w:p>
        </w:tc>
        <w:tc>
          <w:tcPr>
            <w:tcW w:w="1927" w:type="dxa"/>
            <w:tcBorders>
              <w:top w:val="single" w:sz="4" w:space="0" w:color="000000"/>
              <w:bottom w:val="single" w:sz="8" w:space="0" w:color="000000"/>
            </w:tcBorders>
          </w:tcPr>
          <w:p>
            <w:pPr>
              <w:pStyle w:val="TableParagraph"/>
              <w:spacing w:line="210" w:lineRule="exact" w:before="83"/>
              <w:ind w:right="102"/>
              <w:jc w:val="right"/>
              <w:rPr>
                <w:sz w:val="20"/>
              </w:rPr>
            </w:pPr>
            <w:r>
              <w:rPr>
                <w:spacing w:val="-2"/>
                <w:sz w:val="20"/>
              </w:rPr>
              <w:t>1,987</w:t>
            </w:r>
          </w:p>
        </w:tc>
        <w:tc>
          <w:tcPr>
            <w:tcW w:w="1927" w:type="dxa"/>
            <w:tcBorders>
              <w:top w:val="single" w:sz="4" w:space="0" w:color="000000"/>
              <w:bottom w:val="single" w:sz="8" w:space="0" w:color="000000"/>
              <w:right w:val="single" w:sz="4" w:space="0" w:color="000000"/>
            </w:tcBorders>
            <w:shd w:val="clear" w:color="auto" w:fill="DDEBF6"/>
          </w:tcPr>
          <w:p>
            <w:pPr>
              <w:pStyle w:val="TableParagraph"/>
              <w:spacing w:line="210" w:lineRule="exact" w:before="83"/>
              <w:ind w:right="95"/>
              <w:jc w:val="right"/>
              <w:rPr>
                <w:b/>
                <w:sz w:val="20"/>
              </w:rPr>
            </w:pPr>
            <w:r>
              <w:rPr>
                <w:b/>
                <w:spacing w:val="-2"/>
                <w:sz w:val="20"/>
              </w:rPr>
              <w:t>6,333</w:t>
            </w:r>
          </w:p>
        </w:tc>
      </w:tr>
      <w:tr>
        <w:trPr>
          <w:trHeight w:val="639" w:hRule="atLeast"/>
        </w:trPr>
        <w:tc>
          <w:tcPr>
            <w:tcW w:w="6602" w:type="dxa"/>
            <w:tcBorders>
              <w:left w:val="single" w:sz="4" w:space="0" w:color="000000"/>
            </w:tcBorders>
          </w:tcPr>
          <w:p>
            <w:pPr>
              <w:pStyle w:val="TableParagraph"/>
              <w:spacing w:before="3"/>
              <w:rPr>
                <w:sz w:val="32"/>
              </w:rPr>
            </w:pPr>
          </w:p>
          <w:p>
            <w:pPr>
              <w:pStyle w:val="TableParagraph"/>
              <w:ind w:left="107"/>
              <w:rPr>
                <w:b/>
                <w:sz w:val="20"/>
              </w:rPr>
            </w:pPr>
            <w:r>
              <w:rPr>
                <w:b/>
                <w:sz w:val="20"/>
              </w:rPr>
              <w:t>Lease</w:t>
            </w:r>
            <w:r>
              <w:rPr>
                <w:b/>
                <w:spacing w:val="-6"/>
                <w:sz w:val="20"/>
              </w:rPr>
              <w:t> </w:t>
            </w:r>
            <w:r>
              <w:rPr>
                <w:b/>
                <w:spacing w:val="-2"/>
                <w:sz w:val="20"/>
              </w:rPr>
              <w:t>liabilities</w:t>
            </w:r>
          </w:p>
        </w:tc>
        <w:tc>
          <w:tcPr>
            <w:tcW w:w="1927" w:type="dxa"/>
            <w:tcBorders>
              <w:top w:val="single" w:sz="8" w:space="0" w:color="000000"/>
            </w:tcBorders>
          </w:tcPr>
          <w:p>
            <w:pPr>
              <w:pStyle w:val="TableParagraph"/>
              <w:rPr>
                <w:rFonts w:ascii="Times New Roman"/>
                <w:sz w:val="20"/>
              </w:rPr>
            </w:pPr>
          </w:p>
        </w:tc>
        <w:tc>
          <w:tcPr>
            <w:tcW w:w="1927" w:type="dxa"/>
            <w:tcBorders>
              <w:top w:val="single" w:sz="8" w:space="0" w:color="000000"/>
              <w:right w:val="single" w:sz="4" w:space="0" w:color="000000"/>
            </w:tcBorders>
            <w:shd w:val="clear" w:color="auto" w:fill="DDEBF6"/>
          </w:tcPr>
          <w:p>
            <w:pPr>
              <w:pStyle w:val="TableParagraph"/>
              <w:rPr>
                <w:rFonts w:ascii="Times New Roman"/>
                <w:sz w:val="20"/>
              </w:rPr>
            </w:pPr>
          </w:p>
        </w:tc>
      </w:tr>
      <w:tr>
        <w:trPr>
          <w:trHeight w:val="282" w:hRule="atLeast"/>
        </w:trPr>
        <w:tc>
          <w:tcPr>
            <w:tcW w:w="6602" w:type="dxa"/>
            <w:tcBorders>
              <w:left w:val="single" w:sz="4" w:space="0" w:color="000000"/>
            </w:tcBorders>
          </w:tcPr>
          <w:p>
            <w:pPr>
              <w:pStyle w:val="TableParagraph"/>
              <w:spacing w:before="31"/>
              <w:ind w:left="107"/>
              <w:rPr>
                <w:b/>
                <w:sz w:val="20"/>
              </w:rPr>
            </w:pPr>
            <w:r>
              <w:rPr>
                <w:b/>
                <w:sz w:val="20"/>
              </w:rPr>
              <w:t>Current</w:t>
            </w:r>
            <w:r>
              <w:rPr>
                <w:b/>
                <w:spacing w:val="-8"/>
                <w:sz w:val="20"/>
              </w:rPr>
              <w:t> </w:t>
            </w:r>
            <w:r>
              <w:rPr>
                <w:b/>
                <w:sz w:val="20"/>
              </w:rPr>
              <w:t>lease</w:t>
            </w:r>
            <w:r>
              <w:rPr>
                <w:b/>
                <w:spacing w:val="-8"/>
                <w:sz w:val="20"/>
              </w:rPr>
              <w:t> </w:t>
            </w:r>
            <w:r>
              <w:rPr>
                <w:b/>
                <w:spacing w:val="-2"/>
                <w:sz w:val="20"/>
              </w:rPr>
              <w:t>Liabilities</w:t>
            </w:r>
          </w:p>
        </w:tc>
        <w:tc>
          <w:tcPr>
            <w:tcW w:w="1927" w:type="dxa"/>
          </w:tcPr>
          <w:p>
            <w:pPr>
              <w:pStyle w:val="TableParagraph"/>
              <w:rPr>
                <w:rFonts w:ascii="Times New Roman"/>
                <w:sz w:val="20"/>
              </w:rPr>
            </w:pPr>
          </w:p>
        </w:tc>
        <w:tc>
          <w:tcPr>
            <w:tcW w:w="1927" w:type="dxa"/>
            <w:tcBorders>
              <w:right w:val="single" w:sz="4" w:space="0" w:color="000000"/>
            </w:tcBorders>
            <w:shd w:val="clear" w:color="auto" w:fill="DDEBF6"/>
          </w:tcPr>
          <w:p>
            <w:pPr>
              <w:pStyle w:val="TableParagraph"/>
              <w:rPr>
                <w:rFonts w:ascii="Times New Roman"/>
                <w:sz w:val="20"/>
              </w:rPr>
            </w:pPr>
          </w:p>
        </w:tc>
      </w:tr>
      <w:tr>
        <w:trPr>
          <w:trHeight w:val="303" w:hRule="atLeast"/>
        </w:trPr>
        <w:tc>
          <w:tcPr>
            <w:tcW w:w="6602" w:type="dxa"/>
            <w:tcBorders>
              <w:left w:val="single" w:sz="4" w:space="0" w:color="000000"/>
            </w:tcBorders>
          </w:tcPr>
          <w:p>
            <w:pPr>
              <w:pStyle w:val="TableParagraph"/>
              <w:spacing w:before="49"/>
              <w:ind w:left="307"/>
              <w:rPr>
                <w:sz w:val="20"/>
              </w:rPr>
            </w:pPr>
            <w:r>
              <w:rPr>
                <w:sz w:val="20"/>
              </w:rPr>
              <w:t>Plant</w:t>
            </w:r>
            <w:r>
              <w:rPr>
                <w:spacing w:val="-6"/>
                <w:sz w:val="20"/>
              </w:rPr>
              <w:t> </w:t>
            </w:r>
            <w:r>
              <w:rPr>
                <w:sz w:val="20"/>
              </w:rPr>
              <w:t>and</w:t>
            </w:r>
            <w:r>
              <w:rPr>
                <w:spacing w:val="-3"/>
                <w:sz w:val="20"/>
              </w:rPr>
              <w:t> </w:t>
            </w:r>
            <w:r>
              <w:rPr>
                <w:spacing w:val="-2"/>
                <w:sz w:val="20"/>
              </w:rPr>
              <w:t>equipment</w:t>
            </w:r>
          </w:p>
        </w:tc>
        <w:tc>
          <w:tcPr>
            <w:tcW w:w="1927" w:type="dxa"/>
          </w:tcPr>
          <w:p>
            <w:pPr>
              <w:pStyle w:val="TableParagraph"/>
              <w:spacing w:before="13"/>
              <w:ind w:right="104"/>
              <w:jc w:val="right"/>
              <w:rPr>
                <w:sz w:val="20"/>
              </w:rPr>
            </w:pPr>
            <w:r>
              <w:rPr>
                <w:spacing w:val="-2"/>
                <w:sz w:val="20"/>
              </w:rPr>
              <w:t>1,277</w:t>
            </w:r>
          </w:p>
        </w:tc>
        <w:tc>
          <w:tcPr>
            <w:tcW w:w="1927" w:type="dxa"/>
            <w:tcBorders>
              <w:right w:val="single" w:sz="4" w:space="0" w:color="000000"/>
            </w:tcBorders>
            <w:shd w:val="clear" w:color="auto" w:fill="DDEBF6"/>
          </w:tcPr>
          <w:p>
            <w:pPr>
              <w:pStyle w:val="TableParagraph"/>
              <w:spacing w:before="13"/>
              <w:ind w:right="95"/>
              <w:jc w:val="right"/>
              <w:rPr>
                <w:b/>
                <w:sz w:val="20"/>
              </w:rPr>
            </w:pPr>
            <w:r>
              <w:rPr>
                <w:b/>
                <w:spacing w:val="-2"/>
                <w:sz w:val="20"/>
              </w:rPr>
              <w:t>1,921</w:t>
            </w:r>
          </w:p>
        </w:tc>
      </w:tr>
      <w:tr>
        <w:trPr>
          <w:trHeight w:val="290" w:hRule="atLeast"/>
        </w:trPr>
        <w:tc>
          <w:tcPr>
            <w:tcW w:w="6602" w:type="dxa"/>
            <w:tcBorders>
              <w:left w:val="single" w:sz="4" w:space="0" w:color="000000"/>
            </w:tcBorders>
          </w:tcPr>
          <w:p>
            <w:pPr>
              <w:pStyle w:val="TableParagraph"/>
              <w:spacing w:line="210" w:lineRule="exact" w:before="60"/>
              <w:ind w:left="309"/>
              <w:rPr>
                <w:b/>
                <w:sz w:val="20"/>
              </w:rPr>
            </w:pPr>
            <w:r>
              <w:rPr>
                <w:b/>
                <w:sz w:val="20"/>
              </w:rPr>
              <w:t>Total</w:t>
            </w:r>
            <w:r>
              <w:rPr>
                <w:b/>
                <w:spacing w:val="-8"/>
                <w:sz w:val="20"/>
              </w:rPr>
              <w:t> </w:t>
            </w:r>
            <w:r>
              <w:rPr>
                <w:b/>
                <w:sz w:val="20"/>
              </w:rPr>
              <w:t>current</w:t>
            </w:r>
            <w:r>
              <w:rPr>
                <w:b/>
                <w:spacing w:val="-7"/>
                <w:sz w:val="20"/>
              </w:rPr>
              <w:t> </w:t>
            </w:r>
            <w:r>
              <w:rPr>
                <w:b/>
                <w:sz w:val="20"/>
              </w:rPr>
              <w:t>lease</w:t>
            </w:r>
            <w:r>
              <w:rPr>
                <w:b/>
                <w:spacing w:val="-8"/>
                <w:sz w:val="20"/>
              </w:rPr>
              <w:t> </w:t>
            </w:r>
            <w:r>
              <w:rPr>
                <w:b/>
                <w:spacing w:val="-2"/>
                <w:sz w:val="20"/>
              </w:rPr>
              <w:t>liabilities</w:t>
            </w:r>
          </w:p>
        </w:tc>
        <w:tc>
          <w:tcPr>
            <w:tcW w:w="1927" w:type="dxa"/>
            <w:tcBorders>
              <w:bottom w:val="single" w:sz="8" w:space="0" w:color="000000"/>
            </w:tcBorders>
          </w:tcPr>
          <w:p>
            <w:pPr>
              <w:pStyle w:val="TableParagraph"/>
              <w:spacing w:before="17"/>
              <w:ind w:right="102"/>
              <w:jc w:val="right"/>
              <w:rPr>
                <w:sz w:val="20"/>
              </w:rPr>
            </w:pPr>
            <w:r>
              <w:rPr>
                <w:spacing w:val="-2"/>
                <w:sz w:val="20"/>
              </w:rPr>
              <w:t>1,277</w:t>
            </w:r>
          </w:p>
        </w:tc>
        <w:tc>
          <w:tcPr>
            <w:tcW w:w="1927" w:type="dxa"/>
            <w:tcBorders>
              <w:bottom w:val="single" w:sz="8" w:space="0" w:color="000000"/>
              <w:right w:val="single" w:sz="4" w:space="0" w:color="000000"/>
            </w:tcBorders>
            <w:shd w:val="clear" w:color="auto" w:fill="DDEBF6"/>
          </w:tcPr>
          <w:p>
            <w:pPr>
              <w:pStyle w:val="TableParagraph"/>
              <w:spacing w:before="17"/>
              <w:ind w:right="95"/>
              <w:jc w:val="right"/>
              <w:rPr>
                <w:b/>
                <w:sz w:val="20"/>
              </w:rPr>
            </w:pPr>
            <w:r>
              <w:rPr>
                <w:b/>
                <w:spacing w:val="-2"/>
                <w:sz w:val="20"/>
              </w:rPr>
              <w:t>1,921</w:t>
            </w:r>
          </w:p>
        </w:tc>
      </w:tr>
      <w:tr>
        <w:trPr>
          <w:trHeight w:val="320" w:hRule="atLeast"/>
        </w:trPr>
        <w:tc>
          <w:tcPr>
            <w:tcW w:w="6602" w:type="dxa"/>
            <w:tcBorders>
              <w:left w:val="single" w:sz="4" w:space="0" w:color="000000"/>
            </w:tcBorders>
          </w:tcPr>
          <w:p>
            <w:pPr>
              <w:pStyle w:val="TableParagraph"/>
              <w:spacing w:before="69"/>
              <w:ind w:left="107"/>
              <w:rPr>
                <w:b/>
                <w:sz w:val="20"/>
              </w:rPr>
            </w:pPr>
            <w:r>
              <w:rPr>
                <w:b/>
                <w:sz w:val="20"/>
              </w:rPr>
              <w:t>Non-current</w:t>
            </w:r>
            <w:r>
              <w:rPr>
                <w:b/>
                <w:spacing w:val="-10"/>
                <w:sz w:val="20"/>
              </w:rPr>
              <w:t> </w:t>
            </w:r>
            <w:r>
              <w:rPr>
                <w:b/>
                <w:sz w:val="20"/>
              </w:rPr>
              <w:t>lease</w:t>
            </w:r>
            <w:r>
              <w:rPr>
                <w:b/>
                <w:spacing w:val="-10"/>
                <w:sz w:val="20"/>
              </w:rPr>
              <w:t> </w:t>
            </w:r>
            <w:r>
              <w:rPr>
                <w:b/>
                <w:spacing w:val="-2"/>
                <w:sz w:val="20"/>
              </w:rPr>
              <w:t>liabilities</w:t>
            </w:r>
          </w:p>
        </w:tc>
        <w:tc>
          <w:tcPr>
            <w:tcW w:w="1927" w:type="dxa"/>
            <w:tcBorders>
              <w:top w:val="single" w:sz="8" w:space="0" w:color="000000"/>
            </w:tcBorders>
          </w:tcPr>
          <w:p>
            <w:pPr>
              <w:pStyle w:val="TableParagraph"/>
              <w:rPr>
                <w:rFonts w:ascii="Times New Roman"/>
                <w:sz w:val="20"/>
              </w:rPr>
            </w:pPr>
          </w:p>
        </w:tc>
        <w:tc>
          <w:tcPr>
            <w:tcW w:w="1927" w:type="dxa"/>
            <w:tcBorders>
              <w:top w:val="single" w:sz="8" w:space="0" w:color="000000"/>
              <w:right w:val="single" w:sz="4" w:space="0" w:color="000000"/>
            </w:tcBorders>
            <w:shd w:val="clear" w:color="auto" w:fill="DDEBF6"/>
          </w:tcPr>
          <w:p>
            <w:pPr>
              <w:pStyle w:val="TableParagraph"/>
              <w:rPr>
                <w:rFonts w:ascii="Times New Roman"/>
                <w:sz w:val="20"/>
              </w:rPr>
            </w:pPr>
          </w:p>
        </w:tc>
      </w:tr>
      <w:tr>
        <w:trPr>
          <w:trHeight w:val="303" w:hRule="atLeast"/>
        </w:trPr>
        <w:tc>
          <w:tcPr>
            <w:tcW w:w="6602" w:type="dxa"/>
            <w:tcBorders>
              <w:left w:val="single" w:sz="4" w:space="0" w:color="000000"/>
            </w:tcBorders>
          </w:tcPr>
          <w:p>
            <w:pPr>
              <w:pStyle w:val="TableParagraph"/>
              <w:spacing w:before="48"/>
              <w:ind w:left="307"/>
              <w:rPr>
                <w:sz w:val="20"/>
              </w:rPr>
            </w:pPr>
            <w:r>
              <w:rPr>
                <w:sz w:val="20"/>
              </w:rPr>
              <w:t>Plant</w:t>
            </w:r>
            <w:r>
              <w:rPr>
                <w:spacing w:val="-6"/>
                <w:sz w:val="20"/>
              </w:rPr>
              <w:t> </w:t>
            </w:r>
            <w:r>
              <w:rPr>
                <w:sz w:val="20"/>
              </w:rPr>
              <w:t>and</w:t>
            </w:r>
            <w:r>
              <w:rPr>
                <w:spacing w:val="-3"/>
                <w:sz w:val="20"/>
              </w:rPr>
              <w:t> </w:t>
            </w:r>
            <w:r>
              <w:rPr>
                <w:spacing w:val="-2"/>
                <w:sz w:val="20"/>
              </w:rPr>
              <w:t>equipment</w:t>
            </w:r>
          </w:p>
        </w:tc>
        <w:tc>
          <w:tcPr>
            <w:tcW w:w="1927" w:type="dxa"/>
          </w:tcPr>
          <w:p>
            <w:pPr>
              <w:pStyle w:val="TableParagraph"/>
              <w:spacing w:before="14"/>
              <w:ind w:right="102"/>
              <w:jc w:val="right"/>
              <w:rPr>
                <w:sz w:val="20"/>
              </w:rPr>
            </w:pPr>
            <w:r>
              <w:rPr>
                <w:spacing w:val="-2"/>
                <w:sz w:val="20"/>
              </w:rPr>
              <w:t>1,488</w:t>
            </w:r>
          </w:p>
        </w:tc>
        <w:tc>
          <w:tcPr>
            <w:tcW w:w="1927" w:type="dxa"/>
            <w:tcBorders>
              <w:right w:val="single" w:sz="4" w:space="0" w:color="000000"/>
            </w:tcBorders>
            <w:shd w:val="clear" w:color="auto" w:fill="DDEBF6"/>
          </w:tcPr>
          <w:p>
            <w:pPr>
              <w:pStyle w:val="TableParagraph"/>
              <w:spacing w:before="14"/>
              <w:ind w:right="95"/>
              <w:jc w:val="right"/>
              <w:rPr>
                <w:b/>
                <w:sz w:val="20"/>
              </w:rPr>
            </w:pPr>
            <w:r>
              <w:rPr>
                <w:b/>
                <w:spacing w:val="-2"/>
                <w:sz w:val="20"/>
              </w:rPr>
              <w:t>5,502</w:t>
            </w:r>
          </w:p>
        </w:tc>
      </w:tr>
      <w:tr>
        <w:trPr>
          <w:trHeight w:val="289" w:hRule="atLeast"/>
        </w:trPr>
        <w:tc>
          <w:tcPr>
            <w:tcW w:w="6602" w:type="dxa"/>
            <w:tcBorders>
              <w:left w:val="single" w:sz="4" w:space="0" w:color="000000"/>
            </w:tcBorders>
          </w:tcPr>
          <w:p>
            <w:pPr>
              <w:pStyle w:val="TableParagraph"/>
              <w:spacing w:line="210" w:lineRule="exact" w:before="59"/>
              <w:ind w:left="309"/>
              <w:rPr>
                <w:b/>
                <w:sz w:val="20"/>
              </w:rPr>
            </w:pPr>
            <w:r>
              <w:rPr>
                <w:b/>
                <w:sz w:val="20"/>
              </w:rPr>
              <w:t>Total</w:t>
            </w:r>
            <w:r>
              <w:rPr>
                <w:b/>
                <w:spacing w:val="-11"/>
                <w:sz w:val="20"/>
              </w:rPr>
              <w:t> </w:t>
            </w:r>
            <w:r>
              <w:rPr>
                <w:b/>
                <w:sz w:val="20"/>
              </w:rPr>
              <w:t>non-current</w:t>
            </w:r>
            <w:r>
              <w:rPr>
                <w:b/>
                <w:spacing w:val="-9"/>
                <w:sz w:val="20"/>
              </w:rPr>
              <w:t> </w:t>
            </w:r>
            <w:r>
              <w:rPr>
                <w:b/>
                <w:sz w:val="20"/>
              </w:rPr>
              <w:t>lease</w:t>
            </w:r>
            <w:r>
              <w:rPr>
                <w:b/>
                <w:spacing w:val="-9"/>
                <w:sz w:val="20"/>
              </w:rPr>
              <w:t> </w:t>
            </w:r>
            <w:r>
              <w:rPr>
                <w:b/>
                <w:spacing w:val="-2"/>
                <w:sz w:val="20"/>
              </w:rPr>
              <w:t>liabilities</w:t>
            </w:r>
          </w:p>
        </w:tc>
        <w:tc>
          <w:tcPr>
            <w:tcW w:w="1927" w:type="dxa"/>
            <w:tcBorders>
              <w:bottom w:val="single" w:sz="8" w:space="0" w:color="000000"/>
            </w:tcBorders>
          </w:tcPr>
          <w:p>
            <w:pPr>
              <w:pStyle w:val="TableParagraph"/>
              <w:spacing w:before="18"/>
              <w:ind w:right="102"/>
              <w:jc w:val="right"/>
              <w:rPr>
                <w:sz w:val="20"/>
              </w:rPr>
            </w:pPr>
            <w:r>
              <w:rPr>
                <w:spacing w:val="-2"/>
                <w:sz w:val="20"/>
              </w:rPr>
              <w:t>1,488</w:t>
            </w:r>
          </w:p>
        </w:tc>
        <w:tc>
          <w:tcPr>
            <w:tcW w:w="1927" w:type="dxa"/>
            <w:tcBorders>
              <w:bottom w:val="single" w:sz="8" w:space="0" w:color="000000"/>
              <w:right w:val="single" w:sz="4" w:space="0" w:color="000000"/>
            </w:tcBorders>
            <w:shd w:val="clear" w:color="auto" w:fill="DDEBF6"/>
          </w:tcPr>
          <w:p>
            <w:pPr>
              <w:pStyle w:val="TableParagraph"/>
              <w:spacing w:before="18"/>
              <w:ind w:right="95"/>
              <w:jc w:val="right"/>
              <w:rPr>
                <w:b/>
                <w:sz w:val="20"/>
              </w:rPr>
            </w:pPr>
            <w:r>
              <w:rPr>
                <w:b/>
                <w:spacing w:val="-2"/>
                <w:sz w:val="20"/>
              </w:rPr>
              <w:t>5,502</w:t>
            </w:r>
          </w:p>
        </w:tc>
      </w:tr>
      <w:tr>
        <w:trPr>
          <w:trHeight w:val="316" w:hRule="atLeast"/>
        </w:trPr>
        <w:tc>
          <w:tcPr>
            <w:tcW w:w="6602" w:type="dxa"/>
            <w:tcBorders>
              <w:left w:val="single" w:sz="4" w:space="0" w:color="000000"/>
              <w:bottom w:val="single" w:sz="4" w:space="0" w:color="000000"/>
            </w:tcBorders>
          </w:tcPr>
          <w:p>
            <w:pPr>
              <w:pStyle w:val="TableParagraph"/>
              <w:spacing w:line="211" w:lineRule="exact" w:before="85"/>
              <w:ind w:left="107"/>
              <w:rPr>
                <w:b/>
                <w:sz w:val="20"/>
              </w:rPr>
            </w:pPr>
            <w:r>
              <w:rPr>
                <w:b/>
                <w:sz w:val="20"/>
              </w:rPr>
              <w:t>Total</w:t>
            </w:r>
            <w:r>
              <w:rPr>
                <w:b/>
                <w:spacing w:val="-6"/>
                <w:sz w:val="20"/>
              </w:rPr>
              <w:t> </w:t>
            </w:r>
            <w:r>
              <w:rPr>
                <w:b/>
                <w:sz w:val="20"/>
              </w:rPr>
              <w:t>lease</w:t>
            </w:r>
            <w:r>
              <w:rPr>
                <w:b/>
                <w:spacing w:val="-7"/>
                <w:sz w:val="20"/>
              </w:rPr>
              <w:t> </w:t>
            </w:r>
            <w:r>
              <w:rPr>
                <w:b/>
                <w:spacing w:val="-2"/>
                <w:sz w:val="20"/>
              </w:rPr>
              <w:t>liabilities</w:t>
            </w:r>
          </w:p>
        </w:tc>
        <w:tc>
          <w:tcPr>
            <w:tcW w:w="1927" w:type="dxa"/>
            <w:tcBorders>
              <w:top w:val="single" w:sz="8" w:space="0" w:color="000000"/>
              <w:bottom w:val="single" w:sz="4" w:space="0" w:color="000000"/>
            </w:tcBorders>
          </w:tcPr>
          <w:p>
            <w:pPr>
              <w:pStyle w:val="TableParagraph"/>
              <w:spacing w:before="42"/>
              <w:ind w:right="102"/>
              <w:jc w:val="right"/>
              <w:rPr>
                <w:sz w:val="20"/>
              </w:rPr>
            </w:pPr>
            <w:r>
              <w:rPr>
                <w:spacing w:val="-2"/>
                <w:sz w:val="20"/>
              </w:rPr>
              <w:t>2,765</w:t>
            </w:r>
          </w:p>
        </w:tc>
        <w:tc>
          <w:tcPr>
            <w:tcW w:w="1927" w:type="dxa"/>
            <w:tcBorders>
              <w:top w:val="single" w:sz="8" w:space="0" w:color="000000"/>
              <w:bottom w:val="single" w:sz="4" w:space="0" w:color="000000"/>
              <w:right w:val="single" w:sz="4" w:space="0" w:color="000000"/>
            </w:tcBorders>
            <w:shd w:val="clear" w:color="auto" w:fill="DDEBF6"/>
          </w:tcPr>
          <w:p>
            <w:pPr>
              <w:pStyle w:val="TableParagraph"/>
              <w:spacing w:before="42"/>
              <w:ind w:right="95"/>
              <w:jc w:val="right"/>
              <w:rPr>
                <w:b/>
                <w:sz w:val="20"/>
              </w:rPr>
            </w:pPr>
            <w:r>
              <w:rPr>
                <w:b/>
                <w:spacing w:val="-2"/>
                <w:sz w:val="20"/>
              </w:rPr>
              <w:t>7,423</w:t>
            </w:r>
          </w:p>
        </w:tc>
      </w:tr>
    </w:tbl>
    <w:p>
      <w:pPr>
        <w:pStyle w:val="BodyText"/>
        <w:rPr>
          <w:sz w:val="24"/>
        </w:rPr>
      </w:pPr>
    </w:p>
    <w:p>
      <w:pPr>
        <w:pStyle w:val="BodyText"/>
        <w:spacing w:before="7"/>
        <w:rPr>
          <w:sz w:val="20"/>
        </w:rPr>
      </w:pPr>
    </w:p>
    <w:p>
      <w:pPr>
        <w:pStyle w:val="BodyText"/>
        <w:spacing w:before="1"/>
        <w:ind w:left="260" w:right="554"/>
        <w:jc w:val="both"/>
      </w:pPr>
      <w:r>
        <w:rPr/>
        <w:t>Where the interest rate applicable to a lease is not expressed in the lease agreement, Council applies the average incremental borrowing rate in the calculation of lease liabilities. The current incremental borrowing rate is 4.91%</w:t>
      </w:r>
    </w:p>
    <w:p>
      <w:pPr>
        <w:spacing w:after="0"/>
        <w:jc w:val="both"/>
        <w:sectPr>
          <w:pgSz w:w="11910" w:h="16840"/>
          <w:pgMar w:header="0" w:footer="426" w:top="620" w:bottom="740" w:left="460" w:right="160"/>
        </w:sectPr>
      </w:pPr>
    </w:p>
    <w:p>
      <w:pPr>
        <w:pStyle w:val="Heading2"/>
        <w:numPr>
          <w:ilvl w:val="1"/>
          <w:numId w:val="21"/>
        </w:numPr>
        <w:tabs>
          <w:tab w:pos="729" w:val="left" w:leader="none"/>
        </w:tabs>
        <w:spacing w:line="240" w:lineRule="auto" w:before="63" w:after="0"/>
        <w:ind w:left="728" w:right="0" w:hanging="469"/>
        <w:jc w:val="left"/>
      </w:pPr>
      <w:r>
        <w:rPr>
          <w:color w:val="4966AC"/>
        </w:rPr>
        <w:t>Statement</w:t>
      </w:r>
      <w:r>
        <w:rPr>
          <w:color w:val="4966AC"/>
          <w:spacing w:val="-8"/>
        </w:rPr>
        <w:t> </w:t>
      </w:r>
      <w:r>
        <w:rPr>
          <w:color w:val="4966AC"/>
        </w:rPr>
        <w:t>of</w:t>
      </w:r>
      <w:r>
        <w:rPr>
          <w:color w:val="4966AC"/>
          <w:spacing w:val="-1"/>
        </w:rPr>
        <w:t> </w:t>
      </w:r>
      <w:r>
        <w:rPr>
          <w:color w:val="4966AC"/>
        </w:rPr>
        <w:t>changes</w:t>
      </w:r>
      <w:r>
        <w:rPr>
          <w:color w:val="4966AC"/>
          <w:spacing w:val="-4"/>
        </w:rPr>
        <w:t> </w:t>
      </w:r>
      <w:r>
        <w:rPr>
          <w:color w:val="4966AC"/>
        </w:rPr>
        <w:t>in</w:t>
      </w:r>
      <w:r>
        <w:rPr>
          <w:color w:val="4966AC"/>
          <w:spacing w:val="-1"/>
        </w:rPr>
        <w:t> </w:t>
      </w:r>
      <w:r>
        <w:rPr>
          <w:color w:val="4966AC"/>
          <w:spacing w:val="-2"/>
        </w:rPr>
        <w:t>Equity</w:t>
      </w:r>
    </w:p>
    <w:p>
      <w:pPr>
        <w:pStyle w:val="Heading4"/>
        <w:numPr>
          <w:ilvl w:val="2"/>
          <w:numId w:val="21"/>
        </w:numPr>
        <w:tabs>
          <w:tab w:pos="862" w:val="left" w:leader="none"/>
        </w:tabs>
        <w:spacing w:line="240" w:lineRule="auto" w:before="253" w:after="0"/>
        <w:ind w:left="861" w:right="0" w:hanging="602"/>
        <w:jc w:val="left"/>
      </w:pPr>
      <w:r>
        <w:rPr>
          <w:color w:val="4966AC"/>
          <w:spacing w:val="-2"/>
        </w:rPr>
        <w:t>Reserves</w:t>
      </w:r>
    </w:p>
    <w:p>
      <w:pPr>
        <w:pStyle w:val="BodyText"/>
        <w:spacing w:before="10"/>
        <w:rPr>
          <w:b/>
          <w:sz w:val="21"/>
        </w:rPr>
      </w:pPr>
    </w:p>
    <w:p>
      <w:pPr>
        <w:pStyle w:val="BodyText"/>
        <w:spacing w:line="276" w:lineRule="auto"/>
        <w:ind w:left="260" w:right="555"/>
        <w:jc w:val="both"/>
      </w:pPr>
      <w:r>
        <w:rPr/>
        <w:t>Council</w:t>
      </w:r>
      <w:r>
        <w:rPr>
          <w:spacing w:val="-7"/>
        </w:rPr>
        <w:t> </w:t>
      </w:r>
      <w:r>
        <w:rPr/>
        <w:t>maintains</w:t>
      </w:r>
      <w:r>
        <w:rPr>
          <w:spacing w:val="-6"/>
        </w:rPr>
        <w:t> </w:t>
      </w:r>
      <w:r>
        <w:rPr/>
        <w:t>general</w:t>
      </w:r>
      <w:r>
        <w:rPr>
          <w:spacing w:val="-7"/>
        </w:rPr>
        <w:t> </w:t>
      </w:r>
      <w:r>
        <w:rPr/>
        <w:t>reserves</w:t>
      </w:r>
      <w:r>
        <w:rPr>
          <w:spacing w:val="-6"/>
        </w:rPr>
        <w:t> </w:t>
      </w:r>
      <w:r>
        <w:rPr/>
        <w:t>to</w:t>
      </w:r>
      <w:r>
        <w:rPr>
          <w:spacing w:val="-10"/>
        </w:rPr>
        <w:t> </w:t>
      </w:r>
      <w:r>
        <w:rPr/>
        <w:t>record</w:t>
      </w:r>
      <w:r>
        <w:rPr>
          <w:spacing w:val="-8"/>
        </w:rPr>
        <w:t> </w:t>
      </w:r>
      <w:r>
        <w:rPr/>
        <w:t>funds</w:t>
      </w:r>
      <w:r>
        <w:rPr>
          <w:spacing w:val="-6"/>
        </w:rPr>
        <w:t> </w:t>
      </w:r>
      <w:r>
        <w:rPr/>
        <w:t>set</w:t>
      </w:r>
      <w:r>
        <w:rPr>
          <w:spacing w:val="-8"/>
        </w:rPr>
        <w:t> </w:t>
      </w:r>
      <w:r>
        <w:rPr/>
        <w:t>aside</w:t>
      </w:r>
      <w:r>
        <w:rPr>
          <w:spacing w:val="-5"/>
        </w:rPr>
        <w:t> </w:t>
      </w:r>
      <w:r>
        <w:rPr/>
        <w:t>for</w:t>
      </w:r>
      <w:r>
        <w:rPr>
          <w:spacing w:val="-7"/>
        </w:rPr>
        <w:t> </w:t>
      </w:r>
      <w:r>
        <w:rPr/>
        <w:t>future</w:t>
      </w:r>
      <w:r>
        <w:rPr>
          <w:spacing w:val="-8"/>
        </w:rPr>
        <w:t> </w:t>
      </w:r>
      <w:r>
        <w:rPr/>
        <w:t>possible</w:t>
      </w:r>
      <w:r>
        <w:rPr>
          <w:spacing w:val="-8"/>
        </w:rPr>
        <w:t> </w:t>
      </w:r>
      <w:r>
        <w:rPr/>
        <w:t>contingencies</w:t>
      </w:r>
      <w:r>
        <w:rPr>
          <w:spacing w:val="-6"/>
        </w:rPr>
        <w:t> </w:t>
      </w:r>
      <w:r>
        <w:rPr/>
        <w:t>e.g.</w:t>
      </w:r>
      <w:r>
        <w:rPr>
          <w:spacing w:val="-8"/>
        </w:rPr>
        <w:t> </w:t>
      </w:r>
      <w:r>
        <w:rPr/>
        <w:t>unfunded superannuation call, unplanned capital expenditure transferred to and from the accumulated surplus.</w:t>
      </w:r>
    </w:p>
    <w:p>
      <w:pPr>
        <w:pStyle w:val="BodyText"/>
        <w:spacing w:before="4"/>
        <w:rPr>
          <w:sz w:val="25"/>
        </w:rPr>
      </w:pPr>
    </w:p>
    <w:p>
      <w:pPr>
        <w:pStyle w:val="Heading4"/>
        <w:numPr>
          <w:ilvl w:val="2"/>
          <w:numId w:val="21"/>
        </w:numPr>
        <w:tabs>
          <w:tab w:pos="862" w:val="left" w:leader="none"/>
        </w:tabs>
        <w:spacing w:line="240" w:lineRule="auto" w:before="1" w:after="0"/>
        <w:ind w:left="861" w:right="0" w:hanging="602"/>
        <w:jc w:val="left"/>
      </w:pPr>
      <w:r>
        <w:rPr>
          <w:color w:val="4966AC"/>
          <w:spacing w:val="-2"/>
        </w:rPr>
        <w:t>Equity</w:t>
      </w:r>
    </w:p>
    <w:p>
      <w:pPr>
        <w:pStyle w:val="BodyText"/>
        <w:spacing w:before="10"/>
        <w:rPr>
          <w:b/>
          <w:sz w:val="21"/>
        </w:rPr>
      </w:pPr>
    </w:p>
    <w:p>
      <w:pPr>
        <w:pStyle w:val="BodyText"/>
        <w:spacing w:line="252" w:lineRule="exact"/>
        <w:ind w:left="260"/>
        <w:jc w:val="both"/>
      </w:pPr>
      <w:r>
        <w:rPr/>
        <w:t>Total</w:t>
      </w:r>
      <w:r>
        <w:rPr>
          <w:spacing w:val="-5"/>
        </w:rPr>
        <w:t> </w:t>
      </w:r>
      <w:r>
        <w:rPr/>
        <w:t>equity</w:t>
      </w:r>
      <w:r>
        <w:rPr>
          <w:spacing w:val="-5"/>
        </w:rPr>
        <w:t> </w:t>
      </w:r>
      <w:r>
        <w:rPr/>
        <w:t>always</w:t>
      </w:r>
      <w:r>
        <w:rPr>
          <w:spacing w:val="-1"/>
        </w:rPr>
        <w:t> </w:t>
      </w:r>
      <w:r>
        <w:rPr/>
        <w:t>equals</w:t>
      </w:r>
      <w:r>
        <w:rPr>
          <w:spacing w:val="-1"/>
        </w:rPr>
        <w:t> </w:t>
      </w:r>
      <w:r>
        <w:rPr/>
        <w:t>net</w:t>
      </w:r>
      <w:r>
        <w:rPr>
          <w:spacing w:val="-1"/>
        </w:rPr>
        <w:t> </w:t>
      </w:r>
      <w:r>
        <w:rPr/>
        <w:t>assets</w:t>
      </w:r>
      <w:r>
        <w:rPr>
          <w:spacing w:val="-4"/>
        </w:rPr>
        <w:t> </w:t>
      </w:r>
      <w:r>
        <w:rPr/>
        <w:t>and</w:t>
      </w:r>
      <w:r>
        <w:rPr>
          <w:spacing w:val="-4"/>
        </w:rPr>
        <w:t> </w:t>
      </w:r>
      <w:r>
        <w:rPr/>
        <w:t>is</w:t>
      </w:r>
      <w:r>
        <w:rPr>
          <w:spacing w:val="-3"/>
        </w:rPr>
        <w:t> </w:t>
      </w:r>
      <w:r>
        <w:rPr/>
        <w:t>made</w:t>
      </w:r>
      <w:r>
        <w:rPr>
          <w:spacing w:val="-2"/>
        </w:rPr>
        <w:t> </w:t>
      </w:r>
      <w:r>
        <w:rPr/>
        <w:t>up</w:t>
      </w:r>
      <w:r>
        <w:rPr>
          <w:spacing w:val="-3"/>
        </w:rPr>
        <w:t> </w:t>
      </w:r>
      <w:r>
        <w:rPr/>
        <w:t>of</w:t>
      </w:r>
      <w:r>
        <w:rPr>
          <w:spacing w:val="-3"/>
        </w:rPr>
        <w:t> </w:t>
      </w:r>
      <w:r>
        <w:rPr/>
        <w:t>the</w:t>
      </w:r>
      <w:r>
        <w:rPr>
          <w:spacing w:val="-5"/>
        </w:rPr>
        <w:t> </w:t>
      </w:r>
      <w:r>
        <w:rPr/>
        <w:t>following</w:t>
      </w:r>
      <w:r>
        <w:rPr>
          <w:spacing w:val="-1"/>
        </w:rPr>
        <w:t> </w:t>
      </w:r>
      <w:r>
        <w:rPr>
          <w:spacing w:val="-2"/>
        </w:rPr>
        <w:t>components:</w:t>
      </w:r>
    </w:p>
    <w:p>
      <w:pPr>
        <w:pStyle w:val="ListParagraph"/>
        <w:numPr>
          <w:ilvl w:val="0"/>
          <w:numId w:val="14"/>
        </w:numPr>
        <w:tabs>
          <w:tab w:pos="827" w:val="left" w:leader="none"/>
        </w:tabs>
        <w:spacing w:line="273" w:lineRule="auto" w:before="0" w:after="0"/>
        <w:ind w:left="826" w:right="556" w:hanging="567"/>
        <w:jc w:val="both"/>
        <w:rPr>
          <w:sz w:val="22"/>
        </w:rPr>
      </w:pPr>
      <w:r>
        <w:rPr>
          <w:sz w:val="22"/>
        </w:rPr>
        <w:t>Asset revaluation reserve which represents the difference between the previously recorded value of assets and their current valuations.</w:t>
      </w:r>
    </w:p>
    <w:p>
      <w:pPr>
        <w:pStyle w:val="ListParagraph"/>
        <w:numPr>
          <w:ilvl w:val="0"/>
          <w:numId w:val="14"/>
        </w:numPr>
        <w:tabs>
          <w:tab w:pos="827" w:val="left" w:leader="none"/>
        </w:tabs>
        <w:spacing w:line="273" w:lineRule="auto" w:before="1" w:after="0"/>
        <w:ind w:left="826" w:right="555" w:hanging="567"/>
        <w:jc w:val="both"/>
        <w:rPr>
          <w:sz w:val="22"/>
        </w:rPr>
      </w:pPr>
      <w:r>
        <w:rPr>
          <w:sz w:val="22"/>
        </w:rPr>
        <w:t>Accumulated surplus which is the value of all net assets less Reserves that have accumulated over time.</w:t>
      </w:r>
      <w:r>
        <w:rPr>
          <w:spacing w:val="40"/>
          <w:sz w:val="22"/>
        </w:rPr>
        <w:t> </w:t>
      </w:r>
      <w:r>
        <w:rPr>
          <w:sz w:val="22"/>
        </w:rPr>
        <w:t>The increase in accumulated surplus of $30.13 million results directly from the surplus for the </w:t>
      </w:r>
      <w:r>
        <w:rPr>
          <w:spacing w:val="-2"/>
          <w:sz w:val="22"/>
        </w:rPr>
        <w:t>year.</w:t>
      </w:r>
    </w:p>
    <w:p>
      <w:pPr>
        <w:pStyle w:val="BodyText"/>
        <w:spacing w:before="8"/>
        <w:rPr>
          <w:sz w:val="25"/>
        </w:rPr>
      </w:pPr>
    </w:p>
    <w:p>
      <w:pPr>
        <w:pStyle w:val="Heading2"/>
        <w:numPr>
          <w:ilvl w:val="1"/>
          <w:numId w:val="21"/>
        </w:numPr>
        <w:tabs>
          <w:tab w:pos="729" w:val="left" w:leader="none"/>
        </w:tabs>
        <w:spacing w:line="240" w:lineRule="auto" w:before="1" w:after="0"/>
        <w:ind w:left="728" w:right="0" w:hanging="469"/>
        <w:jc w:val="left"/>
      </w:pPr>
      <w:r>
        <w:rPr>
          <w:color w:val="4966AC"/>
        </w:rPr>
        <w:t>Statement</w:t>
      </w:r>
      <w:r>
        <w:rPr>
          <w:color w:val="4966AC"/>
          <w:spacing w:val="-7"/>
        </w:rPr>
        <w:t> </w:t>
      </w:r>
      <w:r>
        <w:rPr>
          <w:color w:val="4966AC"/>
        </w:rPr>
        <w:t>of</w:t>
      </w:r>
      <w:r>
        <w:rPr>
          <w:color w:val="4966AC"/>
          <w:spacing w:val="-3"/>
        </w:rPr>
        <w:t> </w:t>
      </w:r>
      <w:r>
        <w:rPr>
          <w:color w:val="4966AC"/>
        </w:rPr>
        <w:t>Cash</w:t>
      </w:r>
      <w:r>
        <w:rPr>
          <w:color w:val="4966AC"/>
          <w:spacing w:val="-1"/>
        </w:rPr>
        <w:t> </w:t>
      </w:r>
      <w:r>
        <w:rPr>
          <w:color w:val="4966AC"/>
          <w:spacing w:val="-4"/>
        </w:rPr>
        <w:t>Flows</w:t>
      </w:r>
    </w:p>
    <w:p>
      <w:pPr>
        <w:pStyle w:val="BodyText"/>
        <w:spacing w:before="7"/>
        <w:rPr>
          <w:b/>
          <w:sz w:val="23"/>
        </w:rPr>
      </w:pPr>
    </w:p>
    <w:p>
      <w:pPr>
        <w:pStyle w:val="BodyText"/>
        <w:spacing w:line="242" w:lineRule="auto"/>
        <w:ind w:left="260" w:right="553"/>
        <w:jc w:val="both"/>
      </w:pPr>
      <w:r>
        <w:rPr/>
        <w:t>This</w:t>
      </w:r>
      <w:r>
        <w:rPr>
          <w:spacing w:val="-16"/>
        </w:rPr>
        <w:t> </w:t>
      </w:r>
      <w:r>
        <w:rPr/>
        <w:t>section</w:t>
      </w:r>
      <w:r>
        <w:rPr>
          <w:spacing w:val="-15"/>
        </w:rPr>
        <w:t> </w:t>
      </w:r>
      <w:r>
        <w:rPr/>
        <w:t>analyses</w:t>
      </w:r>
      <w:r>
        <w:rPr>
          <w:spacing w:val="-15"/>
        </w:rPr>
        <w:t> </w:t>
      </w:r>
      <w:r>
        <w:rPr/>
        <w:t>the</w:t>
      </w:r>
      <w:r>
        <w:rPr>
          <w:spacing w:val="-16"/>
        </w:rPr>
        <w:t> </w:t>
      </w:r>
      <w:r>
        <w:rPr/>
        <w:t>expected</w:t>
      </w:r>
      <w:r>
        <w:rPr>
          <w:spacing w:val="-15"/>
        </w:rPr>
        <w:t> </w:t>
      </w:r>
      <w:r>
        <w:rPr/>
        <w:t>cashflows</w:t>
      </w:r>
      <w:r>
        <w:rPr>
          <w:spacing w:val="-15"/>
        </w:rPr>
        <w:t> </w:t>
      </w:r>
      <w:r>
        <w:rPr/>
        <w:t>from</w:t>
      </w:r>
      <w:r>
        <w:rPr>
          <w:spacing w:val="-15"/>
        </w:rPr>
        <w:t> </w:t>
      </w:r>
      <w:r>
        <w:rPr/>
        <w:t>the</w:t>
      </w:r>
      <w:r>
        <w:rPr>
          <w:spacing w:val="-16"/>
        </w:rPr>
        <w:t> </w:t>
      </w:r>
      <w:r>
        <w:rPr/>
        <w:t>operating,</w:t>
      </w:r>
      <w:r>
        <w:rPr>
          <w:spacing w:val="-15"/>
        </w:rPr>
        <w:t> </w:t>
      </w:r>
      <w:r>
        <w:rPr/>
        <w:t>investing,</w:t>
      </w:r>
      <w:r>
        <w:rPr>
          <w:spacing w:val="-15"/>
        </w:rPr>
        <w:t> </w:t>
      </w:r>
      <w:r>
        <w:rPr/>
        <w:t>and</w:t>
      </w:r>
      <w:r>
        <w:rPr>
          <w:spacing w:val="-16"/>
        </w:rPr>
        <w:t> </w:t>
      </w:r>
      <w:r>
        <w:rPr/>
        <w:t>financing</w:t>
      </w:r>
      <w:r>
        <w:rPr>
          <w:spacing w:val="-15"/>
        </w:rPr>
        <w:t> </w:t>
      </w:r>
      <w:r>
        <w:rPr/>
        <w:t>activities</w:t>
      </w:r>
      <w:r>
        <w:rPr>
          <w:spacing w:val="-15"/>
        </w:rPr>
        <w:t> </w:t>
      </w:r>
      <w:r>
        <w:rPr/>
        <w:t>of</w:t>
      </w:r>
      <w:r>
        <w:rPr>
          <w:spacing w:val="-15"/>
        </w:rPr>
        <w:t> </w:t>
      </w:r>
      <w:r>
        <w:rPr/>
        <w:t>Council for</w:t>
      </w:r>
      <w:r>
        <w:rPr>
          <w:spacing w:val="-16"/>
        </w:rPr>
        <w:t> </w:t>
      </w:r>
      <w:r>
        <w:rPr/>
        <w:t>the</w:t>
      </w:r>
      <w:r>
        <w:rPr>
          <w:spacing w:val="-15"/>
        </w:rPr>
        <w:t> </w:t>
      </w:r>
      <w:r>
        <w:rPr/>
        <w:t>2024</w:t>
      </w:r>
      <w:r>
        <w:rPr>
          <w:rFonts w:ascii="Times New Roman" w:hAnsi="Times New Roman"/>
        </w:rPr>
        <w:t>‐</w:t>
      </w:r>
      <w:r>
        <w:rPr/>
        <w:t>25</w:t>
      </w:r>
      <w:r>
        <w:rPr>
          <w:spacing w:val="-14"/>
        </w:rPr>
        <w:t> </w:t>
      </w:r>
      <w:r>
        <w:rPr/>
        <w:t>year.</w:t>
      </w:r>
      <w:r>
        <w:rPr>
          <w:spacing w:val="-14"/>
        </w:rPr>
        <w:t> </w:t>
      </w:r>
      <w:r>
        <w:rPr/>
        <w:t>Budgeting</w:t>
      </w:r>
      <w:r>
        <w:rPr>
          <w:spacing w:val="-13"/>
        </w:rPr>
        <w:t> </w:t>
      </w:r>
      <w:r>
        <w:rPr/>
        <w:t>cash</w:t>
      </w:r>
      <w:r>
        <w:rPr>
          <w:spacing w:val="-15"/>
        </w:rPr>
        <w:t> </w:t>
      </w:r>
      <w:r>
        <w:rPr/>
        <w:t>flows</w:t>
      </w:r>
      <w:r>
        <w:rPr>
          <w:spacing w:val="-16"/>
        </w:rPr>
        <w:t> </w:t>
      </w:r>
      <w:r>
        <w:rPr/>
        <w:t>for</w:t>
      </w:r>
      <w:r>
        <w:rPr>
          <w:spacing w:val="-10"/>
        </w:rPr>
        <w:t> </w:t>
      </w:r>
      <w:r>
        <w:rPr/>
        <w:t>Council</w:t>
      </w:r>
      <w:r>
        <w:rPr>
          <w:spacing w:val="-14"/>
        </w:rPr>
        <w:t> </w:t>
      </w:r>
      <w:r>
        <w:rPr/>
        <w:t>is</w:t>
      </w:r>
      <w:r>
        <w:rPr>
          <w:spacing w:val="-14"/>
        </w:rPr>
        <w:t> </w:t>
      </w:r>
      <w:r>
        <w:rPr/>
        <w:t>a</w:t>
      </w:r>
      <w:r>
        <w:rPr>
          <w:spacing w:val="-13"/>
        </w:rPr>
        <w:t> </w:t>
      </w:r>
      <w:r>
        <w:rPr/>
        <w:t>key</w:t>
      </w:r>
      <w:r>
        <w:rPr>
          <w:spacing w:val="-14"/>
        </w:rPr>
        <w:t> </w:t>
      </w:r>
      <w:r>
        <w:rPr/>
        <w:t>factor</w:t>
      </w:r>
      <w:r>
        <w:rPr>
          <w:spacing w:val="-14"/>
        </w:rPr>
        <w:t> </w:t>
      </w:r>
      <w:r>
        <w:rPr/>
        <w:t>in</w:t>
      </w:r>
      <w:r>
        <w:rPr>
          <w:spacing w:val="-13"/>
        </w:rPr>
        <w:t> </w:t>
      </w:r>
      <w:r>
        <w:rPr/>
        <w:t>setting</w:t>
      </w:r>
      <w:r>
        <w:rPr>
          <w:spacing w:val="-13"/>
        </w:rPr>
        <w:t> </w:t>
      </w:r>
      <w:r>
        <w:rPr/>
        <w:t>the</w:t>
      </w:r>
      <w:r>
        <w:rPr>
          <w:spacing w:val="-15"/>
        </w:rPr>
        <w:t> </w:t>
      </w:r>
      <w:r>
        <w:rPr/>
        <w:t>level</w:t>
      </w:r>
      <w:r>
        <w:rPr>
          <w:spacing w:val="-14"/>
        </w:rPr>
        <w:t> </w:t>
      </w:r>
      <w:r>
        <w:rPr/>
        <w:t>of</w:t>
      </w:r>
      <w:r>
        <w:rPr>
          <w:spacing w:val="-14"/>
        </w:rPr>
        <w:t> </w:t>
      </w:r>
      <w:r>
        <w:rPr/>
        <w:t>rates</w:t>
      </w:r>
      <w:r>
        <w:rPr>
          <w:spacing w:val="-14"/>
        </w:rPr>
        <w:t> </w:t>
      </w:r>
      <w:r>
        <w:rPr/>
        <w:t>and</w:t>
      </w:r>
      <w:r>
        <w:rPr>
          <w:spacing w:val="-16"/>
        </w:rPr>
        <w:t> </w:t>
      </w:r>
      <w:r>
        <w:rPr/>
        <w:t>providing a</w:t>
      </w:r>
      <w:r>
        <w:rPr>
          <w:spacing w:val="-7"/>
        </w:rPr>
        <w:t> </w:t>
      </w:r>
      <w:r>
        <w:rPr/>
        <w:t>guide</w:t>
      </w:r>
      <w:r>
        <w:rPr>
          <w:spacing w:val="-5"/>
        </w:rPr>
        <w:t> </w:t>
      </w:r>
      <w:r>
        <w:rPr/>
        <w:t>to</w:t>
      </w:r>
      <w:r>
        <w:rPr>
          <w:spacing w:val="-7"/>
        </w:rPr>
        <w:t> </w:t>
      </w:r>
      <w:r>
        <w:rPr/>
        <w:t>the</w:t>
      </w:r>
      <w:r>
        <w:rPr>
          <w:spacing w:val="-3"/>
        </w:rPr>
        <w:t> </w:t>
      </w:r>
      <w:r>
        <w:rPr/>
        <w:t>level</w:t>
      </w:r>
      <w:r>
        <w:rPr>
          <w:spacing w:val="-5"/>
        </w:rPr>
        <w:t> </w:t>
      </w:r>
      <w:r>
        <w:rPr/>
        <w:t>of</w:t>
      </w:r>
      <w:r>
        <w:rPr>
          <w:spacing w:val="-3"/>
        </w:rPr>
        <w:t> </w:t>
      </w:r>
      <w:r>
        <w:rPr/>
        <w:t>capital</w:t>
      </w:r>
      <w:r>
        <w:rPr>
          <w:spacing w:val="-5"/>
        </w:rPr>
        <w:t> </w:t>
      </w:r>
      <w:r>
        <w:rPr/>
        <w:t>expenditure</w:t>
      </w:r>
      <w:r>
        <w:rPr>
          <w:spacing w:val="-6"/>
        </w:rPr>
        <w:t> </w:t>
      </w:r>
      <w:r>
        <w:rPr/>
        <w:t>that</w:t>
      </w:r>
      <w:r>
        <w:rPr>
          <w:spacing w:val="-2"/>
        </w:rPr>
        <w:t> </w:t>
      </w:r>
      <w:r>
        <w:rPr/>
        <w:t>can</w:t>
      </w:r>
      <w:r>
        <w:rPr>
          <w:spacing w:val="-6"/>
        </w:rPr>
        <w:t> </w:t>
      </w:r>
      <w:r>
        <w:rPr/>
        <w:t>be</w:t>
      </w:r>
      <w:r>
        <w:rPr>
          <w:spacing w:val="-4"/>
        </w:rPr>
        <w:t> </w:t>
      </w:r>
      <w:r>
        <w:rPr/>
        <w:t>sustained</w:t>
      </w:r>
      <w:r>
        <w:rPr>
          <w:spacing w:val="-5"/>
        </w:rPr>
        <w:t> </w:t>
      </w:r>
      <w:r>
        <w:rPr/>
        <w:t>with</w:t>
      </w:r>
      <w:r>
        <w:rPr>
          <w:spacing w:val="-5"/>
        </w:rPr>
        <w:t> </w:t>
      </w:r>
      <w:r>
        <w:rPr/>
        <w:t>or</w:t>
      </w:r>
      <w:r>
        <w:rPr>
          <w:spacing w:val="-3"/>
        </w:rPr>
        <w:t> </w:t>
      </w:r>
      <w:r>
        <w:rPr/>
        <w:t>without</w:t>
      </w:r>
      <w:r>
        <w:rPr>
          <w:spacing w:val="-3"/>
        </w:rPr>
        <w:t> </w:t>
      </w:r>
      <w:r>
        <w:rPr/>
        <w:t>using</w:t>
      </w:r>
      <w:r>
        <w:rPr>
          <w:spacing w:val="-6"/>
        </w:rPr>
        <w:t> </w:t>
      </w:r>
      <w:r>
        <w:rPr/>
        <w:t>existing</w:t>
      </w:r>
      <w:r>
        <w:rPr>
          <w:spacing w:val="-5"/>
        </w:rPr>
        <w:t> </w:t>
      </w:r>
      <w:r>
        <w:rPr/>
        <w:t>cash</w:t>
      </w:r>
      <w:r>
        <w:rPr>
          <w:spacing w:val="-10"/>
        </w:rPr>
        <w:t> </w:t>
      </w:r>
      <w:r>
        <w:rPr>
          <w:spacing w:val="-2"/>
        </w:rPr>
        <w:t>reserves.</w:t>
      </w:r>
    </w:p>
    <w:p>
      <w:pPr>
        <w:pStyle w:val="BodyText"/>
        <w:spacing w:before="8"/>
        <w:rPr>
          <w:sz w:val="21"/>
        </w:rPr>
      </w:pPr>
    </w:p>
    <w:p>
      <w:pPr>
        <w:pStyle w:val="BodyText"/>
        <w:spacing w:before="1"/>
        <w:ind w:left="260"/>
        <w:jc w:val="both"/>
      </w:pPr>
      <w:r>
        <w:rPr/>
        <w:t>The</w:t>
      </w:r>
      <w:r>
        <w:rPr>
          <w:spacing w:val="-2"/>
        </w:rPr>
        <w:t> </w:t>
      </w:r>
      <w:r>
        <w:rPr/>
        <w:t>analysis</w:t>
      </w:r>
      <w:r>
        <w:rPr>
          <w:spacing w:val="-2"/>
        </w:rPr>
        <w:t> </w:t>
      </w:r>
      <w:r>
        <w:rPr/>
        <w:t>is</w:t>
      </w:r>
      <w:r>
        <w:rPr>
          <w:spacing w:val="-2"/>
        </w:rPr>
        <w:t> </w:t>
      </w:r>
      <w:r>
        <w:rPr/>
        <w:t>based</w:t>
      </w:r>
      <w:r>
        <w:rPr>
          <w:spacing w:val="-2"/>
        </w:rPr>
        <w:t> </w:t>
      </w:r>
      <w:r>
        <w:rPr/>
        <w:t>on</w:t>
      </w:r>
      <w:r>
        <w:rPr>
          <w:spacing w:val="-3"/>
        </w:rPr>
        <w:t> </w:t>
      </w:r>
      <w:r>
        <w:rPr/>
        <w:t>three</w:t>
      </w:r>
      <w:r>
        <w:rPr>
          <w:spacing w:val="-4"/>
        </w:rPr>
        <w:t> </w:t>
      </w:r>
      <w:r>
        <w:rPr/>
        <w:t>main</w:t>
      </w:r>
      <w:r>
        <w:rPr>
          <w:spacing w:val="-3"/>
        </w:rPr>
        <w:t> </w:t>
      </w:r>
      <w:r>
        <w:rPr/>
        <w:t>categories</w:t>
      </w:r>
      <w:r>
        <w:rPr>
          <w:spacing w:val="-4"/>
        </w:rPr>
        <w:t> </w:t>
      </w:r>
      <w:r>
        <w:rPr/>
        <w:t>of</w:t>
      </w:r>
      <w:r>
        <w:rPr>
          <w:spacing w:val="-1"/>
        </w:rPr>
        <w:t> </w:t>
      </w:r>
      <w:r>
        <w:rPr/>
        <w:t>cash</w:t>
      </w:r>
      <w:r>
        <w:rPr>
          <w:spacing w:val="-3"/>
        </w:rPr>
        <w:t> </w:t>
      </w:r>
      <w:r>
        <w:rPr>
          <w:spacing w:val="-2"/>
        </w:rPr>
        <w:t>flows:</w:t>
      </w:r>
    </w:p>
    <w:p>
      <w:pPr>
        <w:pStyle w:val="ListParagraph"/>
        <w:numPr>
          <w:ilvl w:val="0"/>
          <w:numId w:val="14"/>
        </w:numPr>
        <w:tabs>
          <w:tab w:pos="827" w:val="left" w:leader="none"/>
        </w:tabs>
        <w:spacing w:line="237" w:lineRule="auto" w:before="3" w:after="0"/>
        <w:ind w:left="826" w:right="556" w:hanging="567"/>
        <w:jc w:val="both"/>
        <w:rPr>
          <w:sz w:val="22"/>
        </w:rPr>
      </w:pPr>
      <w:r>
        <w:rPr>
          <w:b/>
          <w:color w:val="4966AC"/>
          <w:sz w:val="22"/>
        </w:rPr>
        <w:t>Operating</w:t>
      </w:r>
      <w:r>
        <w:rPr>
          <w:b/>
          <w:color w:val="4966AC"/>
          <w:spacing w:val="-5"/>
          <w:sz w:val="22"/>
        </w:rPr>
        <w:t> </w:t>
      </w:r>
      <w:r>
        <w:rPr>
          <w:b/>
          <w:color w:val="4966AC"/>
          <w:sz w:val="22"/>
        </w:rPr>
        <w:t>activities</w:t>
      </w:r>
      <w:r>
        <w:rPr>
          <w:b/>
          <w:color w:val="4966AC"/>
          <w:spacing w:val="-8"/>
          <w:sz w:val="22"/>
        </w:rPr>
        <w:t> </w:t>
      </w:r>
      <w:r>
        <w:rPr>
          <w:color w:val="003366"/>
          <w:sz w:val="22"/>
        </w:rPr>
        <w:t>-</w:t>
      </w:r>
      <w:r>
        <w:rPr>
          <w:color w:val="003366"/>
          <w:spacing w:val="-4"/>
          <w:sz w:val="22"/>
        </w:rPr>
        <w:t> </w:t>
      </w:r>
      <w:r>
        <w:rPr>
          <w:sz w:val="22"/>
        </w:rPr>
        <w:t>Refers</w:t>
      </w:r>
      <w:r>
        <w:rPr>
          <w:spacing w:val="-7"/>
          <w:sz w:val="22"/>
        </w:rPr>
        <w:t> </w:t>
      </w:r>
      <w:r>
        <w:rPr>
          <w:sz w:val="22"/>
        </w:rPr>
        <w:t>to</w:t>
      </w:r>
      <w:r>
        <w:rPr>
          <w:spacing w:val="-7"/>
          <w:sz w:val="22"/>
        </w:rPr>
        <w:t> </w:t>
      </w:r>
      <w:r>
        <w:rPr>
          <w:sz w:val="22"/>
        </w:rPr>
        <w:t>the</w:t>
      </w:r>
      <w:r>
        <w:rPr>
          <w:spacing w:val="-4"/>
          <w:sz w:val="22"/>
        </w:rPr>
        <w:t> </w:t>
      </w:r>
      <w:r>
        <w:rPr>
          <w:sz w:val="22"/>
        </w:rPr>
        <w:t>cash</w:t>
      </w:r>
      <w:r>
        <w:rPr>
          <w:spacing w:val="-9"/>
          <w:sz w:val="22"/>
        </w:rPr>
        <w:t> </w:t>
      </w:r>
      <w:r>
        <w:rPr>
          <w:sz w:val="22"/>
        </w:rPr>
        <w:t>generated</w:t>
      </w:r>
      <w:r>
        <w:rPr>
          <w:spacing w:val="-5"/>
          <w:sz w:val="22"/>
        </w:rPr>
        <w:t> </w:t>
      </w:r>
      <w:r>
        <w:rPr>
          <w:sz w:val="22"/>
        </w:rPr>
        <w:t>or</w:t>
      </w:r>
      <w:r>
        <w:rPr>
          <w:spacing w:val="-4"/>
          <w:sz w:val="22"/>
        </w:rPr>
        <w:t> </w:t>
      </w:r>
      <w:r>
        <w:rPr>
          <w:sz w:val="22"/>
        </w:rPr>
        <w:t>used</w:t>
      </w:r>
      <w:r>
        <w:rPr>
          <w:spacing w:val="-7"/>
          <w:sz w:val="22"/>
        </w:rPr>
        <w:t> </w:t>
      </w:r>
      <w:r>
        <w:rPr>
          <w:sz w:val="22"/>
        </w:rPr>
        <w:t>in</w:t>
      </w:r>
      <w:r>
        <w:rPr>
          <w:spacing w:val="-9"/>
          <w:sz w:val="22"/>
        </w:rPr>
        <w:t> </w:t>
      </w:r>
      <w:r>
        <w:rPr>
          <w:sz w:val="22"/>
        </w:rPr>
        <w:t>the</w:t>
      </w:r>
      <w:r>
        <w:rPr>
          <w:spacing w:val="-5"/>
          <w:sz w:val="22"/>
        </w:rPr>
        <w:t> </w:t>
      </w:r>
      <w:r>
        <w:rPr>
          <w:sz w:val="22"/>
        </w:rPr>
        <w:t>normal</w:t>
      </w:r>
      <w:r>
        <w:rPr>
          <w:spacing w:val="-7"/>
          <w:sz w:val="22"/>
        </w:rPr>
        <w:t> </w:t>
      </w:r>
      <w:r>
        <w:rPr>
          <w:sz w:val="22"/>
        </w:rPr>
        <w:t>service</w:t>
      </w:r>
      <w:r>
        <w:rPr>
          <w:spacing w:val="-5"/>
          <w:sz w:val="22"/>
        </w:rPr>
        <w:t> </w:t>
      </w:r>
      <w:r>
        <w:rPr>
          <w:sz w:val="22"/>
        </w:rPr>
        <w:t>delivery</w:t>
      </w:r>
      <w:r>
        <w:rPr>
          <w:spacing w:val="-7"/>
          <w:sz w:val="22"/>
        </w:rPr>
        <w:t> </w:t>
      </w:r>
      <w:r>
        <w:rPr>
          <w:sz w:val="22"/>
        </w:rPr>
        <w:t>functions</w:t>
      </w:r>
      <w:r>
        <w:rPr>
          <w:spacing w:val="-7"/>
          <w:sz w:val="22"/>
        </w:rPr>
        <w:t> </w:t>
      </w:r>
      <w:r>
        <w:rPr>
          <w:sz w:val="22"/>
        </w:rPr>
        <w:t>of Council. Cash remaining after paying for the provision of services to the community may be available for investment in capital works, or repayment of debt.</w:t>
      </w:r>
    </w:p>
    <w:p>
      <w:pPr>
        <w:pStyle w:val="ListParagraph"/>
        <w:numPr>
          <w:ilvl w:val="0"/>
          <w:numId w:val="14"/>
        </w:numPr>
        <w:tabs>
          <w:tab w:pos="827" w:val="left" w:leader="none"/>
        </w:tabs>
        <w:spacing w:line="237" w:lineRule="auto" w:before="5" w:after="0"/>
        <w:ind w:left="826" w:right="555" w:hanging="567"/>
        <w:jc w:val="both"/>
        <w:rPr>
          <w:sz w:val="22"/>
        </w:rPr>
      </w:pPr>
      <w:r>
        <w:rPr>
          <w:b/>
          <w:color w:val="4966AC"/>
          <w:sz w:val="22"/>
        </w:rPr>
        <w:t>Investing</w:t>
      </w:r>
      <w:r>
        <w:rPr>
          <w:b/>
          <w:color w:val="4966AC"/>
          <w:spacing w:val="-16"/>
          <w:sz w:val="22"/>
        </w:rPr>
        <w:t> </w:t>
      </w:r>
      <w:r>
        <w:rPr>
          <w:b/>
          <w:color w:val="4966AC"/>
          <w:sz w:val="22"/>
        </w:rPr>
        <w:t>activities</w:t>
      </w:r>
      <w:r>
        <w:rPr>
          <w:b/>
          <w:color w:val="4966AC"/>
          <w:spacing w:val="-15"/>
          <w:sz w:val="22"/>
        </w:rPr>
        <w:t> </w:t>
      </w:r>
      <w:r>
        <w:rPr>
          <w:color w:val="003366"/>
          <w:sz w:val="22"/>
        </w:rPr>
        <w:t>-</w:t>
      </w:r>
      <w:r>
        <w:rPr>
          <w:color w:val="003366"/>
          <w:spacing w:val="-15"/>
          <w:sz w:val="22"/>
        </w:rPr>
        <w:t> </w:t>
      </w:r>
      <w:r>
        <w:rPr>
          <w:sz w:val="22"/>
        </w:rPr>
        <w:t>Refers</w:t>
      </w:r>
      <w:r>
        <w:rPr>
          <w:spacing w:val="-16"/>
          <w:sz w:val="22"/>
        </w:rPr>
        <w:t> </w:t>
      </w:r>
      <w:r>
        <w:rPr>
          <w:sz w:val="22"/>
        </w:rPr>
        <w:t>to</w:t>
      </w:r>
      <w:r>
        <w:rPr>
          <w:spacing w:val="-15"/>
          <w:sz w:val="22"/>
        </w:rPr>
        <w:t> </w:t>
      </w:r>
      <w:r>
        <w:rPr>
          <w:sz w:val="22"/>
        </w:rPr>
        <w:t>cash</w:t>
      </w:r>
      <w:r>
        <w:rPr>
          <w:spacing w:val="-15"/>
          <w:sz w:val="22"/>
        </w:rPr>
        <w:t> </w:t>
      </w:r>
      <w:r>
        <w:rPr>
          <w:sz w:val="22"/>
        </w:rPr>
        <w:t>generated</w:t>
      </w:r>
      <w:r>
        <w:rPr>
          <w:spacing w:val="-15"/>
          <w:sz w:val="22"/>
        </w:rPr>
        <w:t> </w:t>
      </w:r>
      <w:r>
        <w:rPr>
          <w:sz w:val="22"/>
        </w:rPr>
        <w:t>or</w:t>
      </w:r>
      <w:r>
        <w:rPr>
          <w:spacing w:val="-16"/>
          <w:sz w:val="22"/>
        </w:rPr>
        <w:t> </w:t>
      </w:r>
      <w:r>
        <w:rPr>
          <w:sz w:val="22"/>
        </w:rPr>
        <w:t>used</w:t>
      </w:r>
      <w:r>
        <w:rPr>
          <w:spacing w:val="-15"/>
          <w:sz w:val="22"/>
        </w:rPr>
        <w:t> </w:t>
      </w:r>
      <w:r>
        <w:rPr>
          <w:sz w:val="22"/>
        </w:rPr>
        <w:t>in</w:t>
      </w:r>
      <w:r>
        <w:rPr>
          <w:spacing w:val="-15"/>
          <w:sz w:val="22"/>
        </w:rPr>
        <w:t> </w:t>
      </w:r>
      <w:r>
        <w:rPr>
          <w:sz w:val="22"/>
        </w:rPr>
        <w:t>the</w:t>
      </w:r>
      <w:r>
        <w:rPr>
          <w:spacing w:val="-16"/>
          <w:sz w:val="22"/>
        </w:rPr>
        <w:t> </w:t>
      </w:r>
      <w:r>
        <w:rPr>
          <w:sz w:val="22"/>
        </w:rPr>
        <w:t>enhancement</w:t>
      </w:r>
      <w:r>
        <w:rPr>
          <w:spacing w:val="-15"/>
          <w:sz w:val="22"/>
        </w:rPr>
        <w:t> </w:t>
      </w:r>
      <w:r>
        <w:rPr>
          <w:sz w:val="22"/>
        </w:rPr>
        <w:t>or</w:t>
      </w:r>
      <w:r>
        <w:rPr>
          <w:spacing w:val="-15"/>
          <w:sz w:val="22"/>
        </w:rPr>
        <w:t> </w:t>
      </w:r>
      <w:r>
        <w:rPr>
          <w:sz w:val="22"/>
        </w:rPr>
        <w:t>creation</w:t>
      </w:r>
      <w:r>
        <w:rPr>
          <w:spacing w:val="-15"/>
          <w:sz w:val="22"/>
        </w:rPr>
        <w:t> </w:t>
      </w:r>
      <w:r>
        <w:rPr>
          <w:sz w:val="22"/>
        </w:rPr>
        <w:t>of</w:t>
      </w:r>
      <w:r>
        <w:rPr>
          <w:spacing w:val="-16"/>
          <w:sz w:val="22"/>
        </w:rPr>
        <w:t> </w:t>
      </w:r>
      <w:r>
        <w:rPr>
          <w:sz w:val="22"/>
        </w:rPr>
        <w:t>infrastructure and</w:t>
      </w:r>
      <w:r>
        <w:rPr>
          <w:spacing w:val="-16"/>
          <w:sz w:val="22"/>
        </w:rPr>
        <w:t> </w:t>
      </w:r>
      <w:r>
        <w:rPr>
          <w:sz w:val="22"/>
        </w:rPr>
        <w:t>other</w:t>
      </w:r>
      <w:r>
        <w:rPr>
          <w:spacing w:val="-13"/>
          <w:sz w:val="22"/>
        </w:rPr>
        <w:t> </w:t>
      </w:r>
      <w:r>
        <w:rPr>
          <w:sz w:val="22"/>
        </w:rPr>
        <w:t>assets.</w:t>
      </w:r>
      <w:r>
        <w:rPr>
          <w:spacing w:val="-13"/>
          <w:sz w:val="22"/>
        </w:rPr>
        <w:t> </w:t>
      </w:r>
      <w:r>
        <w:rPr>
          <w:sz w:val="22"/>
        </w:rPr>
        <w:t>These</w:t>
      </w:r>
      <w:r>
        <w:rPr>
          <w:spacing w:val="-16"/>
          <w:sz w:val="22"/>
        </w:rPr>
        <w:t> </w:t>
      </w:r>
      <w:r>
        <w:rPr>
          <w:sz w:val="22"/>
        </w:rPr>
        <w:t>activities</w:t>
      </w:r>
      <w:r>
        <w:rPr>
          <w:spacing w:val="-13"/>
          <w:sz w:val="22"/>
        </w:rPr>
        <w:t> </w:t>
      </w:r>
      <w:r>
        <w:rPr>
          <w:sz w:val="22"/>
        </w:rPr>
        <w:t>also</w:t>
      </w:r>
      <w:r>
        <w:rPr>
          <w:spacing w:val="-14"/>
          <w:sz w:val="22"/>
        </w:rPr>
        <w:t> </w:t>
      </w:r>
      <w:r>
        <w:rPr>
          <w:sz w:val="22"/>
        </w:rPr>
        <w:t>include</w:t>
      </w:r>
      <w:r>
        <w:rPr>
          <w:spacing w:val="-16"/>
          <w:sz w:val="22"/>
        </w:rPr>
        <w:t> </w:t>
      </w:r>
      <w:r>
        <w:rPr>
          <w:sz w:val="22"/>
        </w:rPr>
        <w:t>the</w:t>
      </w:r>
      <w:r>
        <w:rPr>
          <w:spacing w:val="-15"/>
          <w:sz w:val="22"/>
        </w:rPr>
        <w:t> </w:t>
      </w:r>
      <w:r>
        <w:rPr>
          <w:sz w:val="22"/>
        </w:rPr>
        <w:t>acquisition</w:t>
      </w:r>
      <w:r>
        <w:rPr>
          <w:spacing w:val="-13"/>
          <w:sz w:val="22"/>
        </w:rPr>
        <w:t> </w:t>
      </w:r>
      <w:r>
        <w:rPr>
          <w:sz w:val="22"/>
        </w:rPr>
        <w:t>and</w:t>
      </w:r>
      <w:r>
        <w:rPr>
          <w:spacing w:val="-14"/>
          <w:sz w:val="22"/>
        </w:rPr>
        <w:t> </w:t>
      </w:r>
      <w:r>
        <w:rPr>
          <w:sz w:val="22"/>
        </w:rPr>
        <w:t>sale</w:t>
      </w:r>
      <w:r>
        <w:rPr>
          <w:spacing w:val="-15"/>
          <w:sz w:val="22"/>
        </w:rPr>
        <w:t> </w:t>
      </w:r>
      <w:r>
        <w:rPr>
          <w:sz w:val="22"/>
        </w:rPr>
        <w:t>of</w:t>
      </w:r>
      <w:r>
        <w:rPr>
          <w:spacing w:val="-11"/>
          <w:sz w:val="22"/>
        </w:rPr>
        <w:t> </w:t>
      </w:r>
      <w:r>
        <w:rPr>
          <w:sz w:val="22"/>
        </w:rPr>
        <w:t>other</w:t>
      </w:r>
      <w:r>
        <w:rPr>
          <w:spacing w:val="-12"/>
          <w:sz w:val="22"/>
        </w:rPr>
        <w:t> </w:t>
      </w:r>
      <w:r>
        <w:rPr>
          <w:sz w:val="22"/>
        </w:rPr>
        <w:t>assets</w:t>
      </w:r>
      <w:r>
        <w:rPr>
          <w:spacing w:val="-16"/>
          <w:sz w:val="22"/>
        </w:rPr>
        <w:t> </w:t>
      </w:r>
      <w:r>
        <w:rPr>
          <w:sz w:val="22"/>
        </w:rPr>
        <w:t>such</w:t>
      </w:r>
      <w:r>
        <w:rPr>
          <w:spacing w:val="-13"/>
          <w:sz w:val="22"/>
        </w:rPr>
        <w:t> </w:t>
      </w:r>
      <w:r>
        <w:rPr>
          <w:sz w:val="22"/>
        </w:rPr>
        <w:t>as</w:t>
      </w:r>
      <w:r>
        <w:rPr>
          <w:spacing w:val="-16"/>
          <w:sz w:val="22"/>
        </w:rPr>
        <w:t> </w:t>
      </w:r>
      <w:r>
        <w:rPr>
          <w:sz w:val="22"/>
        </w:rPr>
        <w:t>vehicles, property and equipment.</w:t>
      </w:r>
    </w:p>
    <w:p>
      <w:pPr>
        <w:pStyle w:val="ListParagraph"/>
        <w:numPr>
          <w:ilvl w:val="0"/>
          <w:numId w:val="14"/>
        </w:numPr>
        <w:tabs>
          <w:tab w:pos="827" w:val="left" w:leader="none"/>
        </w:tabs>
        <w:spacing w:line="276" w:lineRule="auto" w:before="3" w:after="0"/>
        <w:ind w:left="826" w:right="554" w:hanging="567"/>
        <w:jc w:val="both"/>
        <w:rPr>
          <w:sz w:val="22"/>
        </w:rPr>
      </w:pPr>
      <w:r>
        <w:rPr>
          <w:b/>
          <w:color w:val="4966AC"/>
          <w:sz w:val="22"/>
        </w:rPr>
        <w:t>Financing activities </w:t>
      </w:r>
      <w:r>
        <w:rPr>
          <w:sz w:val="22"/>
        </w:rPr>
        <w:t>- Refers to cash generated or used in the financing of Council functions and include borrowings from financial institutions and the repayments of borrowings. These activities also include repayment of the principal component of loan repayments for the year.</w:t>
      </w:r>
    </w:p>
    <w:p>
      <w:pPr>
        <w:pStyle w:val="Heading4"/>
        <w:numPr>
          <w:ilvl w:val="2"/>
          <w:numId w:val="21"/>
        </w:numPr>
        <w:tabs>
          <w:tab w:pos="862" w:val="left" w:leader="none"/>
        </w:tabs>
        <w:spacing w:line="240" w:lineRule="auto" w:before="196" w:after="0"/>
        <w:ind w:left="861" w:right="0" w:hanging="602"/>
        <w:jc w:val="left"/>
      </w:pPr>
      <w:r>
        <w:rPr>
          <w:color w:val="4966AC"/>
        </w:rPr>
        <w:t>Net</w:t>
      </w:r>
      <w:r>
        <w:rPr>
          <w:color w:val="4966AC"/>
          <w:spacing w:val="-3"/>
        </w:rPr>
        <w:t> </w:t>
      </w:r>
      <w:r>
        <w:rPr>
          <w:color w:val="4966AC"/>
        </w:rPr>
        <w:t>cash flows</w:t>
      </w:r>
      <w:r>
        <w:rPr>
          <w:color w:val="4966AC"/>
          <w:spacing w:val="-1"/>
        </w:rPr>
        <w:t> </w:t>
      </w:r>
      <w:r>
        <w:rPr>
          <w:color w:val="4966AC"/>
        </w:rPr>
        <w:t>provided by/used</w:t>
      </w:r>
      <w:r>
        <w:rPr>
          <w:color w:val="4966AC"/>
          <w:spacing w:val="1"/>
        </w:rPr>
        <w:t> </w:t>
      </w:r>
      <w:r>
        <w:rPr>
          <w:color w:val="4966AC"/>
        </w:rPr>
        <w:t>in</w:t>
      </w:r>
      <w:r>
        <w:rPr>
          <w:color w:val="4966AC"/>
          <w:spacing w:val="-5"/>
        </w:rPr>
        <w:t> </w:t>
      </w:r>
      <w:r>
        <w:rPr>
          <w:color w:val="4966AC"/>
        </w:rPr>
        <w:t>operating </w:t>
      </w:r>
      <w:r>
        <w:rPr>
          <w:color w:val="4966AC"/>
          <w:spacing w:val="-2"/>
        </w:rPr>
        <w:t>activities.</w:t>
      </w:r>
    </w:p>
    <w:p>
      <w:pPr>
        <w:pStyle w:val="BodyText"/>
        <w:spacing w:before="10"/>
        <w:rPr>
          <w:b/>
          <w:sz w:val="21"/>
        </w:rPr>
      </w:pPr>
    </w:p>
    <w:p>
      <w:pPr>
        <w:pStyle w:val="BodyText"/>
        <w:ind w:left="260" w:right="555"/>
        <w:jc w:val="both"/>
      </w:pPr>
      <w:r>
        <w:rPr/>
        <w:t>The net increase in cash inflows from operating activities of $10.23 million is mainly due to: $5.21 million increase in user fees; $2.73 million increase in rates and charges; and $2.24 million increase in operating grants. Offsetting these cash increase is a $2.98 million increase in employee costs.</w:t>
      </w:r>
    </w:p>
    <w:p>
      <w:pPr>
        <w:pStyle w:val="BodyText"/>
        <w:spacing w:before="1"/>
      </w:pPr>
    </w:p>
    <w:p>
      <w:pPr>
        <w:pStyle w:val="Heading4"/>
        <w:numPr>
          <w:ilvl w:val="2"/>
          <w:numId w:val="21"/>
        </w:numPr>
        <w:tabs>
          <w:tab w:pos="862" w:val="left" w:leader="none"/>
        </w:tabs>
        <w:spacing w:line="240" w:lineRule="auto" w:before="1" w:after="0"/>
        <w:ind w:left="861" w:right="0" w:hanging="602"/>
        <w:jc w:val="left"/>
      </w:pPr>
      <w:r>
        <w:rPr>
          <w:color w:val="4966AC"/>
        </w:rPr>
        <w:t>Net</w:t>
      </w:r>
      <w:r>
        <w:rPr>
          <w:color w:val="4966AC"/>
          <w:spacing w:val="-3"/>
        </w:rPr>
        <w:t> </w:t>
      </w:r>
      <w:r>
        <w:rPr>
          <w:color w:val="4966AC"/>
        </w:rPr>
        <w:t>cash flows provided</w:t>
      </w:r>
      <w:r>
        <w:rPr>
          <w:color w:val="4966AC"/>
          <w:spacing w:val="-1"/>
        </w:rPr>
        <w:t> </w:t>
      </w:r>
      <w:r>
        <w:rPr>
          <w:color w:val="4966AC"/>
        </w:rPr>
        <w:t>by/used</w:t>
      </w:r>
      <w:r>
        <w:rPr>
          <w:color w:val="4966AC"/>
          <w:spacing w:val="2"/>
        </w:rPr>
        <w:t> </w:t>
      </w:r>
      <w:r>
        <w:rPr>
          <w:color w:val="4966AC"/>
        </w:rPr>
        <w:t>in</w:t>
      </w:r>
      <w:r>
        <w:rPr>
          <w:color w:val="4966AC"/>
          <w:spacing w:val="-3"/>
        </w:rPr>
        <w:t> </w:t>
      </w:r>
      <w:r>
        <w:rPr>
          <w:color w:val="4966AC"/>
        </w:rPr>
        <w:t>investing </w:t>
      </w:r>
      <w:r>
        <w:rPr>
          <w:color w:val="4966AC"/>
          <w:spacing w:val="-2"/>
        </w:rPr>
        <w:t>activities.</w:t>
      </w:r>
    </w:p>
    <w:p>
      <w:pPr>
        <w:pStyle w:val="BodyText"/>
        <w:spacing w:before="9"/>
        <w:rPr>
          <w:b/>
          <w:sz w:val="21"/>
        </w:rPr>
      </w:pPr>
    </w:p>
    <w:p>
      <w:pPr>
        <w:pStyle w:val="BodyText"/>
        <w:spacing w:before="1"/>
        <w:ind w:left="260" w:right="554"/>
        <w:jc w:val="both"/>
      </w:pPr>
      <w:r>
        <w:rPr/>
        <w:t>Net</w:t>
      </w:r>
      <w:r>
        <w:rPr>
          <w:spacing w:val="-5"/>
        </w:rPr>
        <w:t> </w:t>
      </w:r>
      <w:r>
        <w:rPr/>
        <w:t>cash</w:t>
      </w:r>
      <w:r>
        <w:rPr>
          <w:spacing w:val="-10"/>
        </w:rPr>
        <w:t> </w:t>
      </w:r>
      <w:r>
        <w:rPr/>
        <w:t>outflow</w:t>
      </w:r>
      <w:r>
        <w:rPr>
          <w:spacing w:val="-7"/>
        </w:rPr>
        <w:t> </w:t>
      </w:r>
      <w:r>
        <w:rPr/>
        <w:t>of</w:t>
      </w:r>
      <w:r>
        <w:rPr>
          <w:spacing w:val="-8"/>
        </w:rPr>
        <w:t> </w:t>
      </w:r>
      <w:r>
        <w:rPr/>
        <w:t>investing</w:t>
      </w:r>
      <w:r>
        <w:rPr>
          <w:spacing w:val="-7"/>
        </w:rPr>
        <w:t> </w:t>
      </w:r>
      <w:r>
        <w:rPr/>
        <w:t>activities</w:t>
      </w:r>
      <w:r>
        <w:rPr>
          <w:spacing w:val="-8"/>
        </w:rPr>
        <w:t> </w:t>
      </w:r>
      <w:r>
        <w:rPr/>
        <w:t>is</w:t>
      </w:r>
      <w:r>
        <w:rPr>
          <w:spacing w:val="-8"/>
        </w:rPr>
        <w:t> </w:t>
      </w:r>
      <w:r>
        <w:rPr/>
        <w:t>expected</w:t>
      </w:r>
      <w:r>
        <w:rPr>
          <w:spacing w:val="-8"/>
        </w:rPr>
        <w:t> </w:t>
      </w:r>
      <w:r>
        <w:rPr/>
        <w:t>to</w:t>
      </w:r>
      <w:r>
        <w:rPr>
          <w:spacing w:val="-8"/>
        </w:rPr>
        <w:t> </w:t>
      </w:r>
      <w:r>
        <w:rPr/>
        <w:t>decrease</w:t>
      </w:r>
      <w:r>
        <w:rPr>
          <w:spacing w:val="-8"/>
        </w:rPr>
        <w:t> </w:t>
      </w:r>
      <w:r>
        <w:rPr/>
        <w:t>by</w:t>
      </w:r>
      <w:r>
        <w:rPr>
          <w:spacing w:val="-8"/>
        </w:rPr>
        <w:t> </w:t>
      </w:r>
      <w:r>
        <w:rPr/>
        <w:t>$14.11</w:t>
      </w:r>
      <w:r>
        <w:rPr>
          <w:spacing w:val="-12"/>
        </w:rPr>
        <w:t> </w:t>
      </w:r>
      <w:r>
        <w:rPr/>
        <w:t>million</w:t>
      </w:r>
      <w:r>
        <w:rPr>
          <w:spacing w:val="-8"/>
        </w:rPr>
        <w:t> </w:t>
      </w:r>
      <w:r>
        <w:rPr/>
        <w:t>due</w:t>
      </w:r>
      <w:r>
        <w:rPr>
          <w:spacing w:val="-7"/>
        </w:rPr>
        <w:t> </w:t>
      </w:r>
      <w:r>
        <w:rPr/>
        <w:t>to</w:t>
      </w:r>
      <w:r>
        <w:rPr>
          <w:spacing w:val="-8"/>
        </w:rPr>
        <w:t> </w:t>
      </w:r>
      <w:r>
        <w:rPr/>
        <w:t>repayment</w:t>
      </w:r>
      <w:r>
        <w:rPr>
          <w:spacing w:val="-8"/>
        </w:rPr>
        <w:t> </w:t>
      </w:r>
      <w:r>
        <w:rPr/>
        <w:t>of</w:t>
      </w:r>
      <w:r>
        <w:rPr>
          <w:spacing w:val="-7"/>
        </w:rPr>
        <w:t> </w:t>
      </w:r>
      <w:r>
        <w:rPr/>
        <w:t>Capital Federal grant, Section 4.5 of this budget report provides more detail on the capital works program.</w:t>
      </w:r>
    </w:p>
    <w:p>
      <w:pPr>
        <w:pStyle w:val="BodyText"/>
        <w:spacing w:before="2"/>
      </w:pPr>
    </w:p>
    <w:p>
      <w:pPr>
        <w:pStyle w:val="Heading4"/>
        <w:numPr>
          <w:ilvl w:val="2"/>
          <w:numId w:val="21"/>
        </w:numPr>
        <w:tabs>
          <w:tab w:pos="862" w:val="left" w:leader="none"/>
        </w:tabs>
        <w:spacing w:line="240" w:lineRule="auto" w:before="0" w:after="0"/>
        <w:ind w:left="861" w:right="0" w:hanging="602"/>
        <w:jc w:val="left"/>
      </w:pPr>
      <w:r>
        <w:rPr>
          <w:color w:val="4966AC"/>
        </w:rPr>
        <w:t>Net</w:t>
      </w:r>
      <w:r>
        <w:rPr>
          <w:color w:val="4966AC"/>
          <w:spacing w:val="-2"/>
        </w:rPr>
        <w:t> </w:t>
      </w:r>
      <w:r>
        <w:rPr>
          <w:color w:val="4966AC"/>
        </w:rPr>
        <w:t>cash flows provided by/used</w:t>
      </w:r>
      <w:r>
        <w:rPr>
          <w:color w:val="4966AC"/>
          <w:spacing w:val="2"/>
        </w:rPr>
        <w:t> </w:t>
      </w:r>
      <w:r>
        <w:rPr>
          <w:color w:val="4966AC"/>
        </w:rPr>
        <w:t>in</w:t>
      </w:r>
      <w:r>
        <w:rPr>
          <w:color w:val="4966AC"/>
          <w:spacing w:val="-3"/>
        </w:rPr>
        <w:t> </w:t>
      </w:r>
      <w:r>
        <w:rPr>
          <w:color w:val="4966AC"/>
        </w:rPr>
        <w:t>financing</w:t>
      </w:r>
      <w:r>
        <w:rPr>
          <w:color w:val="4966AC"/>
          <w:spacing w:val="-2"/>
        </w:rPr>
        <w:t> activities.</w:t>
      </w:r>
    </w:p>
    <w:p>
      <w:pPr>
        <w:pStyle w:val="BodyText"/>
        <w:spacing w:before="10"/>
        <w:rPr>
          <w:b/>
          <w:sz w:val="21"/>
        </w:rPr>
      </w:pPr>
    </w:p>
    <w:p>
      <w:pPr>
        <w:pStyle w:val="BodyText"/>
        <w:ind w:left="260" w:right="555"/>
        <w:jc w:val="both"/>
      </w:pPr>
      <w:r>
        <w:rPr/>
        <w:t>The payments for financing activities represents repayment of borrowings</w:t>
      </w:r>
      <w:r>
        <w:rPr>
          <w:spacing w:val="-2"/>
        </w:rPr>
        <w:t> </w:t>
      </w:r>
      <w:r>
        <w:rPr/>
        <w:t>both principal and interest for the existing loan for Aquanation and Capital projects in 2024/2025. (Refer 4.2.3).</w:t>
      </w:r>
    </w:p>
    <w:p>
      <w:pPr>
        <w:spacing w:after="0"/>
        <w:jc w:val="both"/>
        <w:sectPr>
          <w:pgSz w:w="11910" w:h="16840"/>
          <w:pgMar w:header="0" w:footer="426" w:top="640" w:bottom="740" w:left="460" w:right="160"/>
        </w:sectPr>
      </w:pPr>
    </w:p>
    <w:p>
      <w:pPr>
        <w:pStyle w:val="Heading2"/>
        <w:numPr>
          <w:ilvl w:val="1"/>
          <w:numId w:val="21"/>
        </w:numPr>
        <w:tabs>
          <w:tab w:pos="589" w:val="left" w:leader="none"/>
        </w:tabs>
        <w:spacing w:line="240" w:lineRule="auto" w:before="75" w:after="0"/>
        <w:ind w:left="588" w:right="0" w:hanging="469"/>
        <w:jc w:val="left"/>
      </w:pPr>
      <w:r>
        <w:rPr>
          <w:color w:val="4966AC"/>
        </w:rPr>
        <w:t>Capital</w:t>
      </w:r>
      <w:r>
        <w:rPr>
          <w:color w:val="4966AC"/>
          <w:spacing w:val="-5"/>
        </w:rPr>
        <w:t> </w:t>
      </w:r>
      <w:r>
        <w:rPr>
          <w:color w:val="4966AC"/>
        </w:rPr>
        <w:t>works</w:t>
      </w:r>
      <w:r>
        <w:rPr>
          <w:color w:val="4966AC"/>
          <w:spacing w:val="-6"/>
        </w:rPr>
        <w:t> </w:t>
      </w:r>
      <w:r>
        <w:rPr>
          <w:color w:val="4966AC"/>
          <w:spacing w:val="-2"/>
        </w:rPr>
        <w:t>program</w:t>
      </w:r>
    </w:p>
    <w:p>
      <w:pPr>
        <w:pStyle w:val="Heading4"/>
        <w:numPr>
          <w:ilvl w:val="2"/>
          <w:numId w:val="21"/>
        </w:numPr>
        <w:tabs>
          <w:tab w:pos="722" w:val="left" w:leader="none"/>
        </w:tabs>
        <w:spacing w:line="240" w:lineRule="auto" w:before="253" w:after="0"/>
        <w:ind w:left="721" w:right="0" w:hanging="602"/>
        <w:jc w:val="left"/>
      </w:pPr>
      <w:r>
        <w:rPr>
          <w:color w:val="4966AC"/>
          <w:spacing w:val="-2"/>
        </w:rPr>
        <w:t>Summary</w:t>
      </w:r>
    </w:p>
    <w:p>
      <w:pPr>
        <w:pStyle w:val="BodyText"/>
        <w:spacing w:before="10"/>
        <w:rPr>
          <w:b/>
          <w:sz w:val="21"/>
        </w:rPr>
      </w:pPr>
    </w:p>
    <w:p>
      <w:pPr>
        <w:pStyle w:val="BodyText"/>
        <w:ind w:left="120"/>
      </w:pPr>
      <w:r>
        <w:rPr/>
        <w:t>This</w:t>
      </w:r>
      <w:r>
        <w:rPr>
          <w:spacing w:val="-5"/>
        </w:rPr>
        <w:t> </w:t>
      </w:r>
      <w:r>
        <w:rPr/>
        <w:t>section</w:t>
      </w:r>
      <w:r>
        <w:rPr>
          <w:spacing w:val="-2"/>
        </w:rPr>
        <w:t> </w:t>
      </w:r>
      <w:r>
        <w:rPr/>
        <w:t>presents</w:t>
      </w:r>
      <w:r>
        <w:rPr>
          <w:spacing w:val="-1"/>
        </w:rPr>
        <w:t> </w:t>
      </w:r>
      <w:r>
        <w:rPr/>
        <w:t>a</w:t>
      </w:r>
      <w:r>
        <w:rPr>
          <w:spacing w:val="-6"/>
        </w:rPr>
        <w:t> </w:t>
      </w:r>
      <w:r>
        <w:rPr/>
        <w:t>listing</w:t>
      </w:r>
      <w:r>
        <w:rPr>
          <w:spacing w:val="-3"/>
        </w:rPr>
        <w:t> </w:t>
      </w:r>
      <w:r>
        <w:rPr/>
        <w:t>of</w:t>
      </w:r>
      <w:r>
        <w:rPr>
          <w:spacing w:val="-3"/>
        </w:rPr>
        <w:t> </w:t>
      </w:r>
      <w:r>
        <w:rPr/>
        <w:t>the</w:t>
      </w:r>
      <w:r>
        <w:rPr>
          <w:spacing w:val="-3"/>
        </w:rPr>
        <w:t> </w:t>
      </w:r>
      <w:r>
        <w:rPr/>
        <w:t>capital</w:t>
      </w:r>
      <w:r>
        <w:rPr>
          <w:spacing w:val="-6"/>
        </w:rPr>
        <w:t> </w:t>
      </w:r>
      <w:r>
        <w:rPr/>
        <w:t>works</w:t>
      </w:r>
      <w:r>
        <w:rPr>
          <w:spacing w:val="-5"/>
        </w:rPr>
        <w:t> </w:t>
      </w:r>
      <w:r>
        <w:rPr/>
        <w:t>projects</w:t>
      </w:r>
      <w:r>
        <w:rPr>
          <w:spacing w:val="-5"/>
        </w:rPr>
        <w:t> </w:t>
      </w:r>
      <w:r>
        <w:rPr/>
        <w:t>that</w:t>
      </w:r>
      <w:r>
        <w:rPr>
          <w:spacing w:val="-3"/>
        </w:rPr>
        <w:t> </w:t>
      </w:r>
      <w:r>
        <w:rPr/>
        <w:t>will</w:t>
      </w:r>
      <w:r>
        <w:rPr>
          <w:spacing w:val="-3"/>
        </w:rPr>
        <w:t> </w:t>
      </w:r>
      <w:r>
        <w:rPr/>
        <w:t>be</w:t>
      </w:r>
      <w:r>
        <w:rPr>
          <w:spacing w:val="-2"/>
        </w:rPr>
        <w:t> </w:t>
      </w:r>
      <w:r>
        <w:rPr/>
        <w:t>undertaken</w:t>
      </w:r>
      <w:r>
        <w:rPr>
          <w:spacing w:val="-4"/>
        </w:rPr>
        <w:t> </w:t>
      </w:r>
      <w:r>
        <w:rPr/>
        <w:t>for</w:t>
      </w:r>
      <w:r>
        <w:rPr>
          <w:spacing w:val="-5"/>
        </w:rPr>
        <w:t> </w:t>
      </w:r>
      <w:r>
        <w:rPr/>
        <w:t>the</w:t>
      </w:r>
      <w:r>
        <w:rPr>
          <w:spacing w:val="-3"/>
        </w:rPr>
        <w:t> </w:t>
      </w:r>
      <w:r>
        <w:rPr/>
        <w:t>2024/2025</w:t>
      </w:r>
      <w:r>
        <w:rPr>
          <w:spacing w:val="-3"/>
        </w:rPr>
        <w:t> </w:t>
      </w:r>
      <w:r>
        <w:rPr/>
        <w:t>year,</w:t>
      </w:r>
      <w:r>
        <w:rPr>
          <w:spacing w:val="-2"/>
        </w:rPr>
        <w:t> </w:t>
      </w:r>
      <w:r>
        <w:rPr/>
        <w:t>classified</w:t>
      </w:r>
      <w:r>
        <w:rPr>
          <w:spacing w:val="-3"/>
        </w:rPr>
        <w:t> </w:t>
      </w:r>
      <w:r>
        <w:rPr/>
        <w:t>by</w:t>
      </w:r>
      <w:r>
        <w:rPr>
          <w:spacing w:val="-1"/>
        </w:rPr>
        <w:t> </w:t>
      </w:r>
      <w:r>
        <w:rPr/>
        <w:t>expenditure</w:t>
      </w:r>
      <w:r>
        <w:rPr>
          <w:spacing w:val="-5"/>
        </w:rPr>
        <w:t> </w:t>
      </w:r>
      <w:r>
        <w:rPr/>
        <w:t>type</w:t>
      </w:r>
      <w:r>
        <w:rPr>
          <w:spacing w:val="-5"/>
        </w:rPr>
        <w:t> </w:t>
      </w:r>
      <w:r>
        <w:rPr/>
        <w:t>and</w:t>
      </w:r>
      <w:r>
        <w:rPr>
          <w:spacing w:val="-5"/>
        </w:rPr>
        <w:t> </w:t>
      </w:r>
      <w:r>
        <w:rPr/>
        <w:t>funding</w:t>
      </w:r>
      <w:r>
        <w:rPr>
          <w:spacing w:val="-2"/>
        </w:rPr>
        <w:t> source.</w:t>
      </w:r>
    </w:p>
    <w:p>
      <w:pPr>
        <w:pStyle w:val="BodyText"/>
        <w:rPr>
          <w:sz w:val="20"/>
        </w:rPr>
      </w:pPr>
    </w:p>
    <w:p>
      <w:pPr>
        <w:pStyle w:val="BodyText"/>
        <w:spacing w:before="11"/>
        <w:rPr>
          <w:sz w:val="23"/>
        </w:rPr>
      </w:pPr>
    </w:p>
    <w:tbl>
      <w:tblPr>
        <w:tblW w:w="0" w:type="auto"/>
        <w:jc w:val="left"/>
        <w:tblInd w:w="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42"/>
        <w:gridCol w:w="1860"/>
        <w:gridCol w:w="1482"/>
        <w:gridCol w:w="1307"/>
        <w:gridCol w:w="1140"/>
      </w:tblGrid>
      <w:tr>
        <w:trPr>
          <w:trHeight w:val="1079" w:hRule="atLeast"/>
        </w:trPr>
        <w:tc>
          <w:tcPr>
            <w:tcW w:w="5402" w:type="dxa"/>
            <w:gridSpan w:val="2"/>
            <w:tcBorders>
              <w:top w:val="single" w:sz="4" w:space="0" w:color="000000"/>
              <w:left w:val="single" w:sz="4" w:space="0" w:color="000000"/>
            </w:tcBorders>
            <w:shd w:val="clear" w:color="auto" w:fill="5B9AD4"/>
          </w:tcPr>
          <w:p>
            <w:pPr>
              <w:pStyle w:val="TableParagraph"/>
              <w:spacing w:before="135"/>
              <w:ind w:left="3700" w:right="320"/>
              <w:jc w:val="center"/>
              <w:rPr>
                <w:b/>
                <w:sz w:val="18"/>
              </w:rPr>
            </w:pPr>
            <w:r>
              <w:rPr>
                <w:b/>
                <w:color w:val="FFFFFF"/>
                <w:sz w:val="18"/>
              </w:rPr>
              <w:t>Forecast</w:t>
            </w:r>
            <w:r>
              <w:rPr>
                <w:b/>
                <w:color w:val="FFFFFF"/>
                <w:spacing w:val="-2"/>
                <w:sz w:val="18"/>
              </w:rPr>
              <w:t> Actual</w:t>
            </w:r>
          </w:p>
          <w:p>
            <w:pPr>
              <w:pStyle w:val="TableParagraph"/>
              <w:spacing w:before="1"/>
              <w:rPr>
                <w:sz w:val="16"/>
              </w:rPr>
            </w:pPr>
          </w:p>
          <w:p>
            <w:pPr>
              <w:pStyle w:val="TableParagraph"/>
              <w:ind w:left="3700" w:right="320"/>
              <w:jc w:val="center"/>
              <w:rPr>
                <w:b/>
                <w:sz w:val="18"/>
              </w:rPr>
            </w:pPr>
            <w:r>
              <w:rPr>
                <w:b/>
                <w:color w:val="FFFFFF"/>
                <w:spacing w:val="-2"/>
                <w:sz w:val="18"/>
              </w:rPr>
              <w:t>2023/24</w:t>
            </w:r>
          </w:p>
          <w:p>
            <w:pPr>
              <w:pStyle w:val="TableParagraph"/>
              <w:spacing w:before="93"/>
              <w:ind w:left="3700" w:right="317"/>
              <w:jc w:val="center"/>
              <w:rPr>
                <w:b/>
                <w:sz w:val="18"/>
              </w:rPr>
            </w:pPr>
            <w:r>
              <w:rPr>
                <w:b/>
                <w:color w:val="FFFFFF"/>
                <w:spacing w:val="-2"/>
                <w:sz w:val="18"/>
              </w:rPr>
              <w:t>$’000</w:t>
            </w:r>
          </w:p>
        </w:tc>
        <w:tc>
          <w:tcPr>
            <w:tcW w:w="1482" w:type="dxa"/>
            <w:tcBorders>
              <w:top w:val="single" w:sz="4" w:space="0" w:color="000000"/>
            </w:tcBorders>
            <w:shd w:val="clear" w:color="auto" w:fill="5B9AD4"/>
          </w:tcPr>
          <w:p>
            <w:pPr>
              <w:pStyle w:val="TableParagraph"/>
              <w:spacing w:before="135"/>
              <w:ind w:left="274" w:right="526"/>
              <w:jc w:val="center"/>
              <w:rPr>
                <w:b/>
                <w:sz w:val="18"/>
              </w:rPr>
            </w:pPr>
            <w:r>
              <w:rPr>
                <w:b/>
                <w:color w:val="FFFFFF"/>
                <w:spacing w:val="-2"/>
                <w:sz w:val="18"/>
              </w:rPr>
              <w:t>Budget</w:t>
            </w:r>
          </w:p>
          <w:p>
            <w:pPr>
              <w:pStyle w:val="TableParagraph"/>
              <w:spacing w:before="1"/>
              <w:rPr>
                <w:sz w:val="16"/>
              </w:rPr>
            </w:pPr>
          </w:p>
          <w:p>
            <w:pPr>
              <w:pStyle w:val="TableParagraph"/>
              <w:ind w:left="274" w:right="530"/>
              <w:jc w:val="center"/>
              <w:rPr>
                <w:b/>
                <w:sz w:val="18"/>
              </w:rPr>
            </w:pPr>
            <w:r>
              <w:rPr>
                <w:b/>
                <w:color w:val="FFFFFF"/>
                <w:spacing w:val="-2"/>
                <w:sz w:val="18"/>
              </w:rPr>
              <w:t>2024/25</w:t>
            </w:r>
          </w:p>
          <w:p>
            <w:pPr>
              <w:pStyle w:val="TableParagraph"/>
              <w:spacing w:before="93"/>
              <w:ind w:left="274" w:right="527"/>
              <w:jc w:val="center"/>
              <w:rPr>
                <w:b/>
                <w:sz w:val="18"/>
              </w:rPr>
            </w:pPr>
            <w:r>
              <w:rPr>
                <w:b/>
                <w:color w:val="FFFFFF"/>
                <w:spacing w:val="-2"/>
                <w:sz w:val="18"/>
              </w:rPr>
              <w:t>$’000</w:t>
            </w:r>
          </w:p>
        </w:tc>
        <w:tc>
          <w:tcPr>
            <w:tcW w:w="1307" w:type="dxa"/>
            <w:tcBorders>
              <w:top w:val="single" w:sz="4" w:space="0" w:color="000000"/>
            </w:tcBorders>
            <w:shd w:val="clear" w:color="auto" w:fill="5B9AD4"/>
          </w:tcPr>
          <w:p>
            <w:pPr>
              <w:pStyle w:val="TableParagraph"/>
              <w:spacing w:before="10"/>
              <w:rPr>
                <w:sz w:val="24"/>
              </w:rPr>
            </w:pPr>
          </w:p>
          <w:p>
            <w:pPr>
              <w:pStyle w:val="TableParagraph"/>
              <w:spacing w:before="1"/>
              <w:ind w:left="124" w:right="341"/>
              <w:jc w:val="center"/>
              <w:rPr>
                <w:b/>
                <w:sz w:val="18"/>
              </w:rPr>
            </w:pPr>
            <w:r>
              <w:rPr>
                <w:b/>
                <w:color w:val="FFFFFF"/>
                <w:spacing w:val="-2"/>
                <w:sz w:val="18"/>
              </w:rPr>
              <w:t>Change</w:t>
            </w:r>
          </w:p>
          <w:p>
            <w:pPr>
              <w:pStyle w:val="TableParagraph"/>
              <w:spacing w:before="11"/>
              <w:rPr>
                <w:sz w:val="28"/>
              </w:rPr>
            </w:pPr>
          </w:p>
          <w:p>
            <w:pPr>
              <w:pStyle w:val="TableParagraph"/>
              <w:ind w:left="124" w:right="339"/>
              <w:jc w:val="center"/>
              <w:rPr>
                <w:b/>
                <w:sz w:val="18"/>
              </w:rPr>
            </w:pPr>
            <w:r>
              <w:rPr>
                <w:b/>
                <w:color w:val="FFFFFF"/>
                <w:spacing w:val="-2"/>
                <w:sz w:val="18"/>
              </w:rPr>
              <w:t>$’000</w:t>
            </w:r>
          </w:p>
        </w:tc>
        <w:tc>
          <w:tcPr>
            <w:tcW w:w="1140" w:type="dxa"/>
            <w:tcBorders>
              <w:top w:val="single" w:sz="4" w:space="0" w:color="000000"/>
              <w:right w:val="single" w:sz="4" w:space="0" w:color="000000"/>
            </w:tcBorders>
            <w:shd w:val="clear" w:color="auto" w:fill="5B9AD4"/>
          </w:tcPr>
          <w:p>
            <w:pPr>
              <w:pStyle w:val="TableParagraph"/>
              <w:rPr>
                <w:sz w:val="20"/>
              </w:rPr>
            </w:pPr>
          </w:p>
          <w:p>
            <w:pPr>
              <w:pStyle w:val="TableParagraph"/>
              <w:spacing w:before="10"/>
              <w:rPr>
                <w:sz w:val="17"/>
              </w:rPr>
            </w:pPr>
          </w:p>
          <w:p>
            <w:pPr>
              <w:pStyle w:val="TableParagraph"/>
              <w:ind w:right="123"/>
              <w:jc w:val="center"/>
              <w:rPr>
                <w:b/>
                <w:sz w:val="18"/>
              </w:rPr>
            </w:pPr>
            <w:r>
              <w:rPr>
                <w:b/>
                <w:color w:val="FFFFFF"/>
                <w:sz w:val="18"/>
              </w:rPr>
              <w:t>%</w:t>
            </w:r>
          </w:p>
        </w:tc>
      </w:tr>
      <w:tr>
        <w:trPr>
          <w:trHeight w:val="304" w:hRule="atLeast"/>
        </w:trPr>
        <w:tc>
          <w:tcPr>
            <w:tcW w:w="3542" w:type="dxa"/>
            <w:tcBorders>
              <w:left w:val="single" w:sz="4" w:space="0" w:color="000000"/>
            </w:tcBorders>
          </w:tcPr>
          <w:p>
            <w:pPr>
              <w:pStyle w:val="TableParagraph"/>
              <w:spacing w:before="35"/>
              <w:ind w:left="107"/>
              <w:rPr>
                <w:sz w:val="20"/>
              </w:rPr>
            </w:pPr>
            <w:r>
              <w:rPr>
                <w:spacing w:val="-2"/>
                <w:sz w:val="20"/>
              </w:rPr>
              <w:t>Property</w:t>
            </w:r>
          </w:p>
        </w:tc>
        <w:tc>
          <w:tcPr>
            <w:tcW w:w="1860" w:type="dxa"/>
          </w:tcPr>
          <w:p>
            <w:pPr>
              <w:pStyle w:val="TableParagraph"/>
              <w:spacing w:before="35"/>
              <w:ind w:right="273"/>
              <w:jc w:val="right"/>
              <w:rPr>
                <w:sz w:val="20"/>
              </w:rPr>
            </w:pPr>
            <w:r>
              <w:rPr>
                <w:spacing w:val="-2"/>
                <w:sz w:val="20"/>
              </w:rPr>
              <w:t>16,265</w:t>
            </w:r>
          </w:p>
        </w:tc>
        <w:tc>
          <w:tcPr>
            <w:tcW w:w="1482" w:type="dxa"/>
          </w:tcPr>
          <w:p>
            <w:pPr>
              <w:pStyle w:val="TableParagraph"/>
              <w:spacing w:before="35"/>
              <w:ind w:right="200"/>
              <w:jc w:val="right"/>
              <w:rPr>
                <w:b/>
                <w:sz w:val="20"/>
              </w:rPr>
            </w:pPr>
            <w:r>
              <w:rPr>
                <w:b/>
                <w:spacing w:val="-2"/>
                <w:sz w:val="20"/>
              </w:rPr>
              <w:t>43,736</w:t>
            </w:r>
          </w:p>
        </w:tc>
        <w:tc>
          <w:tcPr>
            <w:tcW w:w="1307" w:type="dxa"/>
          </w:tcPr>
          <w:p>
            <w:pPr>
              <w:pStyle w:val="TableParagraph"/>
              <w:spacing w:before="35"/>
              <w:ind w:right="235"/>
              <w:jc w:val="right"/>
              <w:rPr>
                <w:sz w:val="20"/>
              </w:rPr>
            </w:pPr>
            <w:r>
              <w:rPr>
                <w:spacing w:val="-2"/>
                <w:sz w:val="20"/>
              </w:rPr>
              <w:t>27,471</w:t>
            </w:r>
          </w:p>
        </w:tc>
        <w:tc>
          <w:tcPr>
            <w:tcW w:w="1140" w:type="dxa"/>
            <w:tcBorders>
              <w:right w:val="single" w:sz="4" w:space="0" w:color="000000"/>
            </w:tcBorders>
          </w:tcPr>
          <w:p>
            <w:pPr>
              <w:pStyle w:val="TableParagraph"/>
              <w:spacing w:before="35"/>
              <w:ind w:right="96"/>
              <w:jc w:val="right"/>
              <w:rPr>
                <w:b/>
                <w:sz w:val="20"/>
              </w:rPr>
            </w:pPr>
            <w:r>
              <w:rPr>
                <w:b/>
                <w:spacing w:val="-2"/>
                <w:sz w:val="20"/>
              </w:rPr>
              <w:t>168.90%</w:t>
            </w:r>
          </w:p>
        </w:tc>
      </w:tr>
      <w:tr>
        <w:trPr>
          <w:trHeight w:val="303" w:hRule="atLeast"/>
        </w:trPr>
        <w:tc>
          <w:tcPr>
            <w:tcW w:w="3542" w:type="dxa"/>
            <w:tcBorders>
              <w:left w:val="single" w:sz="4" w:space="0" w:color="000000"/>
            </w:tcBorders>
          </w:tcPr>
          <w:p>
            <w:pPr>
              <w:pStyle w:val="TableParagraph"/>
              <w:spacing w:before="31"/>
              <w:ind w:left="107"/>
              <w:rPr>
                <w:sz w:val="20"/>
              </w:rPr>
            </w:pPr>
            <w:r>
              <w:rPr>
                <w:sz w:val="20"/>
              </w:rPr>
              <w:t>Plant</w:t>
            </w:r>
            <w:r>
              <w:rPr>
                <w:spacing w:val="-6"/>
                <w:sz w:val="20"/>
              </w:rPr>
              <w:t> </w:t>
            </w:r>
            <w:r>
              <w:rPr>
                <w:sz w:val="20"/>
              </w:rPr>
              <w:t>and</w:t>
            </w:r>
            <w:r>
              <w:rPr>
                <w:spacing w:val="-3"/>
                <w:sz w:val="20"/>
              </w:rPr>
              <w:t> </w:t>
            </w:r>
            <w:r>
              <w:rPr>
                <w:spacing w:val="-2"/>
                <w:sz w:val="20"/>
              </w:rPr>
              <w:t>equipment</w:t>
            </w:r>
          </w:p>
        </w:tc>
        <w:tc>
          <w:tcPr>
            <w:tcW w:w="1860" w:type="dxa"/>
          </w:tcPr>
          <w:p>
            <w:pPr>
              <w:pStyle w:val="TableParagraph"/>
              <w:spacing w:before="31"/>
              <w:ind w:right="273"/>
              <w:jc w:val="right"/>
              <w:rPr>
                <w:sz w:val="20"/>
              </w:rPr>
            </w:pPr>
            <w:r>
              <w:rPr>
                <w:spacing w:val="-2"/>
                <w:sz w:val="20"/>
              </w:rPr>
              <w:t>4,089</w:t>
            </w:r>
          </w:p>
        </w:tc>
        <w:tc>
          <w:tcPr>
            <w:tcW w:w="1482" w:type="dxa"/>
          </w:tcPr>
          <w:p>
            <w:pPr>
              <w:pStyle w:val="TableParagraph"/>
              <w:spacing w:before="31"/>
              <w:ind w:right="202"/>
              <w:jc w:val="right"/>
              <w:rPr>
                <w:b/>
                <w:sz w:val="20"/>
              </w:rPr>
            </w:pPr>
            <w:r>
              <w:rPr>
                <w:b/>
                <w:spacing w:val="-2"/>
                <w:sz w:val="20"/>
              </w:rPr>
              <w:t>3,985</w:t>
            </w:r>
          </w:p>
        </w:tc>
        <w:tc>
          <w:tcPr>
            <w:tcW w:w="1307" w:type="dxa"/>
          </w:tcPr>
          <w:p>
            <w:pPr>
              <w:pStyle w:val="TableParagraph"/>
              <w:spacing w:before="31"/>
              <w:ind w:right="237"/>
              <w:jc w:val="right"/>
              <w:rPr>
                <w:sz w:val="20"/>
              </w:rPr>
            </w:pPr>
            <w:r>
              <w:rPr>
                <w:spacing w:val="-2"/>
                <w:sz w:val="20"/>
              </w:rPr>
              <w:t>(104)</w:t>
            </w:r>
          </w:p>
        </w:tc>
        <w:tc>
          <w:tcPr>
            <w:tcW w:w="1140" w:type="dxa"/>
            <w:tcBorders>
              <w:right w:val="single" w:sz="4" w:space="0" w:color="000000"/>
            </w:tcBorders>
          </w:tcPr>
          <w:p>
            <w:pPr>
              <w:pStyle w:val="TableParagraph"/>
              <w:spacing w:before="31"/>
              <w:ind w:right="96"/>
              <w:jc w:val="right"/>
              <w:rPr>
                <w:b/>
                <w:sz w:val="20"/>
              </w:rPr>
            </w:pPr>
            <w:r>
              <w:rPr>
                <w:b/>
                <w:spacing w:val="-2"/>
                <w:sz w:val="20"/>
              </w:rPr>
              <w:t>(2.5%)</w:t>
            </w:r>
          </w:p>
        </w:tc>
      </w:tr>
      <w:tr>
        <w:trPr>
          <w:trHeight w:val="308" w:hRule="atLeast"/>
        </w:trPr>
        <w:tc>
          <w:tcPr>
            <w:tcW w:w="3542" w:type="dxa"/>
            <w:tcBorders>
              <w:left w:val="single" w:sz="4" w:space="0" w:color="000000"/>
            </w:tcBorders>
          </w:tcPr>
          <w:p>
            <w:pPr>
              <w:pStyle w:val="TableParagraph"/>
              <w:spacing w:before="35"/>
              <w:ind w:left="107"/>
              <w:rPr>
                <w:sz w:val="20"/>
              </w:rPr>
            </w:pPr>
            <w:r>
              <w:rPr>
                <w:spacing w:val="-2"/>
                <w:sz w:val="20"/>
              </w:rPr>
              <w:t>Infrastructure</w:t>
            </w:r>
          </w:p>
        </w:tc>
        <w:tc>
          <w:tcPr>
            <w:tcW w:w="1860" w:type="dxa"/>
            <w:tcBorders>
              <w:bottom w:val="single" w:sz="8" w:space="0" w:color="000000"/>
            </w:tcBorders>
          </w:tcPr>
          <w:p>
            <w:pPr>
              <w:pStyle w:val="TableParagraph"/>
              <w:spacing w:before="35"/>
              <w:ind w:right="273"/>
              <w:jc w:val="right"/>
              <w:rPr>
                <w:sz w:val="20"/>
              </w:rPr>
            </w:pPr>
            <w:r>
              <w:rPr>
                <w:spacing w:val="-2"/>
                <w:sz w:val="20"/>
              </w:rPr>
              <w:t>19,287</w:t>
            </w:r>
          </w:p>
        </w:tc>
        <w:tc>
          <w:tcPr>
            <w:tcW w:w="1482" w:type="dxa"/>
            <w:tcBorders>
              <w:bottom w:val="single" w:sz="8" w:space="0" w:color="000000"/>
            </w:tcBorders>
          </w:tcPr>
          <w:p>
            <w:pPr>
              <w:pStyle w:val="TableParagraph"/>
              <w:spacing w:before="35"/>
              <w:ind w:right="200"/>
              <w:jc w:val="right"/>
              <w:rPr>
                <w:b/>
                <w:sz w:val="20"/>
              </w:rPr>
            </w:pPr>
            <w:r>
              <w:rPr>
                <w:b/>
                <w:spacing w:val="-2"/>
                <w:sz w:val="20"/>
              </w:rPr>
              <w:t>17,764</w:t>
            </w:r>
          </w:p>
        </w:tc>
        <w:tc>
          <w:tcPr>
            <w:tcW w:w="1307" w:type="dxa"/>
            <w:tcBorders>
              <w:bottom w:val="single" w:sz="8" w:space="0" w:color="000000"/>
            </w:tcBorders>
          </w:tcPr>
          <w:p>
            <w:pPr>
              <w:pStyle w:val="TableParagraph"/>
              <w:spacing w:before="35"/>
              <w:ind w:right="236"/>
              <w:jc w:val="right"/>
              <w:rPr>
                <w:sz w:val="20"/>
              </w:rPr>
            </w:pPr>
            <w:r>
              <w:rPr>
                <w:spacing w:val="-2"/>
                <w:sz w:val="20"/>
              </w:rPr>
              <w:t>(1,523)</w:t>
            </w:r>
          </w:p>
        </w:tc>
        <w:tc>
          <w:tcPr>
            <w:tcW w:w="1140" w:type="dxa"/>
            <w:tcBorders>
              <w:bottom w:val="single" w:sz="8" w:space="0" w:color="000000"/>
              <w:right w:val="single" w:sz="4" w:space="0" w:color="000000"/>
            </w:tcBorders>
          </w:tcPr>
          <w:p>
            <w:pPr>
              <w:pStyle w:val="TableParagraph"/>
              <w:spacing w:before="35"/>
              <w:ind w:right="96"/>
              <w:jc w:val="right"/>
              <w:rPr>
                <w:b/>
                <w:sz w:val="20"/>
              </w:rPr>
            </w:pPr>
            <w:r>
              <w:rPr>
                <w:b/>
                <w:spacing w:val="-2"/>
                <w:sz w:val="20"/>
              </w:rPr>
              <w:t>(7.9%)</w:t>
            </w:r>
          </w:p>
        </w:tc>
      </w:tr>
      <w:tr>
        <w:trPr>
          <w:trHeight w:val="313" w:hRule="atLeast"/>
        </w:trPr>
        <w:tc>
          <w:tcPr>
            <w:tcW w:w="3542" w:type="dxa"/>
            <w:tcBorders>
              <w:left w:val="single" w:sz="4" w:space="0" w:color="000000"/>
              <w:bottom w:val="single" w:sz="4" w:space="0" w:color="000000"/>
            </w:tcBorders>
          </w:tcPr>
          <w:p>
            <w:pPr>
              <w:pStyle w:val="TableParagraph"/>
              <w:spacing w:before="40"/>
              <w:ind w:left="107"/>
              <w:rPr>
                <w:b/>
                <w:sz w:val="20"/>
              </w:rPr>
            </w:pPr>
            <w:r>
              <w:rPr>
                <w:b/>
                <w:spacing w:val="-2"/>
                <w:sz w:val="20"/>
              </w:rPr>
              <w:t>Total</w:t>
            </w:r>
          </w:p>
        </w:tc>
        <w:tc>
          <w:tcPr>
            <w:tcW w:w="1860" w:type="dxa"/>
            <w:tcBorders>
              <w:top w:val="single" w:sz="8" w:space="0" w:color="000000"/>
              <w:bottom w:val="single" w:sz="4" w:space="0" w:color="000000"/>
            </w:tcBorders>
          </w:tcPr>
          <w:p>
            <w:pPr>
              <w:pStyle w:val="TableParagraph"/>
              <w:spacing w:before="40"/>
              <w:ind w:right="274"/>
              <w:jc w:val="right"/>
              <w:rPr>
                <w:sz w:val="20"/>
              </w:rPr>
            </w:pPr>
            <w:r>
              <w:rPr>
                <w:spacing w:val="-2"/>
                <w:sz w:val="20"/>
              </w:rPr>
              <w:t>39,641</w:t>
            </w:r>
          </w:p>
        </w:tc>
        <w:tc>
          <w:tcPr>
            <w:tcW w:w="1482" w:type="dxa"/>
            <w:tcBorders>
              <w:top w:val="single" w:sz="8" w:space="0" w:color="000000"/>
              <w:bottom w:val="single" w:sz="4" w:space="0" w:color="000000"/>
            </w:tcBorders>
          </w:tcPr>
          <w:p>
            <w:pPr>
              <w:pStyle w:val="TableParagraph"/>
              <w:spacing w:before="40"/>
              <w:ind w:right="200"/>
              <w:jc w:val="right"/>
              <w:rPr>
                <w:b/>
                <w:sz w:val="20"/>
              </w:rPr>
            </w:pPr>
            <w:r>
              <w:rPr>
                <w:b/>
                <w:spacing w:val="-2"/>
                <w:sz w:val="20"/>
              </w:rPr>
              <w:t>65,485</w:t>
            </w:r>
          </w:p>
        </w:tc>
        <w:tc>
          <w:tcPr>
            <w:tcW w:w="1307" w:type="dxa"/>
            <w:tcBorders>
              <w:top w:val="single" w:sz="8" w:space="0" w:color="000000"/>
              <w:bottom w:val="single" w:sz="4" w:space="0" w:color="000000"/>
            </w:tcBorders>
          </w:tcPr>
          <w:p>
            <w:pPr>
              <w:pStyle w:val="TableParagraph"/>
              <w:spacing w:before="40"/>
              <w:ind w:right="235"/>
              <w:jc w:val="right"/>
              <w:rPr>
                <w:sz w:val="20"/>
              </w:rPr>
            </w:pPr>
            <w:r>
              <w:rPr>
                <w:spacing w:val="-2"/>
                <w:sz w:val="20"/>
              </w:rPr>
              <w:t>25,844</w:t>
            </w:r>
          </w:p>
        </w:tc>
        <w:tc>
          <w:tcPr>
            <w:tcW w:w="1140" w:type="dxa"/>
            <w:tcBorders>
              <w:top w:val="single" w:sz="8" w:space="0" w:color="000000"/>
              <w:bottom w:val="single" w:sz="4" w:space="0" w:color="000000"/>
              <w:right w:val="single" w:sz="4" w:space="0" w:color="000000"/>
            </w:tcBorders>
          </w:tcPr>
          <w:p>
            <w:pPr>
              <w:pStyle w:val="TableParagraph"/>
              <w:spacing w:before="40"/>
              <w:ind w:right="98"/>
              <w:jc w:val="right"/>
              <w:rPr>
                <w:b/>
                <w:sz w:val="20"/>
              </w:rPr>
            </w:pPr>
            <w:r>
              <w:rPr>
                <w:b/>
                <w:spacing w:val="-2"/>
                <w:sz w:val="20"/>
              </w:rPr>
              <w:t>65.19%</w:t>
            </w:r>
          </w:p>
        </w:tc>
      </w:tr>
    </w:tbl>
    <w:p>
      <w:pPr>
        <w:pStyle w:val="BodyText"/>
        <w:rPr>
          <w:sz w:val="20"/>
        </w:rPr>
      </w:pPr>
    </w:p>
    <w:p>
      <w:pPr>
        <w:pStyle w:val="BodyText"/>
        <w:spacing w:before="4" w:after="1"/>
        <w:rPr>
          <w:sz w:val="23"/>
        </w:rPr>
      </w:pPr>
    </w:p>
    <w:tbl>
      <w:tblPr>
        <w:tblW w:w="0" w:type="auto"/>
        <w:jc w:val="left"/>
        <w:tblInd w:w="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26"/>
        <w:gridCol w:w="1801"/>
        <w:gridCol w:w="1391"/>
        <w:gridCol w:w="1586"/>
        <w:gridCol w:w="1067"/>
        <w:gridCol w:w="1148"/>
        <w:gridCol w:w="1813"/>
        <w:gridCol w:w="1360"/>
        <w:gridCol w:w="1121"/>
      </w:tblGrid>
      <w:tr>
        <w:trPr>
          <w:trHeight w:val="1051" w:hRule="atLeast"/>
        </w:trPr>
        <w:tc>
          <w:tcPr>
            <w:tcW w:w="4827" w:type="dxa"/>
            <w:gridSpan w:val="2"/>
            <w:tcBorders>
              <w:top w:val="single" w:sz="4" w:space="0" w:color="000000"/>
              <w:left w:val="single" w:sz="4" w:space="0" w:color="000000"/>
              <w:right w:val="single" w:sz="8" w:space="0" w:color="000000"/>
            </w:tcBorders>
            <w:shd w:val="clear" w:color="auto" w:fill="5B9AD4"/>
          </w:tcPr>
          <w:p>
            <w:pPr>
              <w:pStyle w:val="TableParagraph"/>
              <w:rPr>
                <w:sz w:val="20"/>
              </w:rPr>
            </w:pPr>
          </w:p>
          <w:p>
            <w:pPr>
              <w:pStyle w:val="TableParagraph"/>
              <w:spacing w:before="3"/>
              <w:rPr>
                <w:sz w:val="27"/>
              </w:rPr>
            </w:pPr>
          </w:p>
          <w:p>
            <w:pPr>
              <w:pStyle w:val="TableParagraph"/>
              <w:ind w:left="3613" w:right="111"/>
              <w:jc w:val="center"/>
              <w:rPr>
                <w:b/>
                <w:sz w:val="18"/>
              </w:rPr>
            </w:pPr>
            <w:r>
              <w:rPr>
                <w:b/>
                <w:color w:val="FFFFFF"/>
                <w:sz w:val="18"/>
              </w:rPr>
              <w:t>Project</w:t>
            </w:r>
            <w:r>
              <w:rPr>
                <w:b/>
                <w:color w:val="FFFFFF"/>
                <w:spacing w:val="2"/>
                <w:sz w:val="18"/>
              </w:rPr>
              <w:t> </w:t>
            </w:r>
            <w:r>
              <w:rPr>
                <w:b/>
                <w:color w:val="FFFFFF"/>
                <w:spacing w:val="-4"/>
                <w:sz w:val="18"/>
              </w:rPr>
              <w:t>Cost</w:t>
            </w:r>
          </w:p>
          <w:p>
            <w:pPr>
              <w:pStyle w:val="TableParagraph"/>
              <w:spacing w:line="164" w:lineRule="exact" w:before="117"/>
              <w:ind w:left="3610" w:right="111"/>
              <w:jc w:val="center"/>
              <w:rPr>
                <w:b/>
                <w:sz w:val="16"/>
              </w:rPr>
            </w:pPr>
            <w:r>
              <w:rPr>
                <w:b/>
                <w:color w:val="FFFFFF"/>
                <w:spacing w:val="-2"/>
                <w:sz w:val="16"/>
              </w:rPr>
              <w:t>$’000</w:t>
            </w:r>
          </w:p>
        </w:tc>
        <w:tc>
          <w:tcPr>
            <w:tcW w:w="1391" w:type="dxa"/>
            <w:tcBorders>
              <w:top w:val="single" w:sz="4" w:space="0" w:color="000000"/>
              <w:left w:val="single" w:sz="8" w:space="0" w:color="000000"/>
            </w:tcBorders>
            <w:shd w:val="clear" w:color="auto" w:fill="5B9AD4"/>
          </w:tcPr>
          <w:p>
            <w:pPr>
              <w:pStyle w:val="TableParagraph"/>
              <w:rPr>
                <w:sz w:val="18"/>
              </w:rPr>
            </w:pPr>
          </w:p>
          <w:p>
            <w:pPr>
              <w:pStyle w:val="TableParagraph"/>
              <w:rPr>
                <w:sz w:val="18"/>
              </w:rPr>
            </w:pPr>
          </w:p>
          <w:p>
            <w:pPr>
              <w:pStyle w:val="TableParagraph"/>
              <w:spacing w:before="153"/>
              <w:ind w:left="451" w:right="498"/>
              <w:jc w:val="center"/>
              <w:rPr>
                <w:b/>
                <w:sz w:val="16"/>
              </w:rPr>
            </w:pPr>
            <w:r>
              <w:rPr>
                <w:b/>
                <w:color w:val="FFFFFF"/>
                <w:spacing w:val="-5"/>
                <w:sz w:val="16"/>
              </w:rPr>
              <w:t>New</w:t>
            </w:r>
          </w:p>
          <w:p>
            <w:pPr>
              <w:pStyle w:val="TableParagraph"/>
              <w:spacing w:line="164" w:lineRule="exact" w:before="116"/>
              <w:ind w:left="451" w:right="499"/>
              <w:jc w:val="center"/>
              <w:rPr>
                <w:b/>
                <w:sz w:val="16"/>
              </w:rPr>
            </w:pPr>
            <w:r>
              <w:rPr>
                <w:b/>
                <w:color w:val="FFFFFF"/>
                <w:spacing w:val="-2"/>
                <w:sz w:val="16"/>
              </w:rPr>
              <w:t>$’000</w:t>
            </w:r>
          </w:p>
        </w:tc>
        <w:tc>
          <w:tcPr>
            <w:tcW w:w="2653" w:type="dxa"/>
            <w:gridSpan w:val="2"/>
            <w:tcBorders>
              <w:top w:val="single" w:sz="4" w:space="0" w:color="000000"/>
            </w:tcBorders>
            <w:shd w:val="clear" w:color="auto" w:fill="5B9AD4"/>
          </w:tcPr>
          <w:p>
            <w:pPr>
              <w:pStyle w:val="TableParagraph"/>
              <w:spacing w:before="92"/>
              <w:ind w:right="401"/>
              <w:jc w:val="right"/>
              <w:rPr>
                <w:b/>
                <w:sz w:val="18"/>
              </w:rPr>
            </w:pPr>
            <w:r>
              <w:rPr>
                <w:b/>
                <w:color w:val="FFFFFF"/>
                <w:sz w:val="18"/>
              </w:rPr>
              <w:t>Asset</w:t>
            </w:r>
            <w:r>
              <w:rPr>
                <w:b/>
                <w:color w:val="FFFFFF"/>
                <w:spacing w:val="-2"/>
                <w:sz w:val="18"/>
              </w:rPr>
              <w:t> </w:t>
            </w:r>
            <w:r>
              <w:rPr>
                <w:b/>
                <w:color w:val="FFFFFF"/>
                <w:sz w:val="18"/>
              </w:rPr>
              <w:t>expenditure</w:t>
            </w:r>
            <w:r>
              <w:rPr>
                <w:b/>
                <w:color w:val="FFFFFF"/>
                <w:spacing w:val="1"/>
                <w:sz w:val="18"/>
              </w:rPr>
              <w:t> </w:t>
            </w:r>
            <w:r>
              <w:rPr>
                <w:b/>
                <w:color w:val="FFFFFF"/>
                <w:spacing w:val="-2"/>
                <w:sz w:val="18"/>
              </w:rPr>
              <w:t>types</w:t>
            </w:r>
          </w:p>
          <w:p>
            <w:pPr>
              <w:pStyle w:val="TableParagraph"/>
              <w:spacing w:before="3"/>
              <w:rPr>
                <w:sz w:val="23"/>
              </w:rPr>
            </w:pPr>
          </w:p>
          <w:p>
            <w:pPr>
              <w:pStyle w:val="TableParagraph"/>
              <w:tabs>
                <w:tab w:pos="1334" w:val="left" w:leader="none"/>
              </w:tabs>
              <w:spacing w:before="1"/>
              <w:ind w:right="375"/>
              <w:jc w:val="right"/>
              <w:rPr>
                <w:b/>
                <w:sz w:val="16"/>
              </w:rPr>
            </w:pPr>
            <w:r>
              <w:rPr>
                <w:b/>
                <w:color w:val="FFFFFF"/>
                <w:spacing w:val="-2"/>
                <w:sz w:val="16"/>
              </w:rPr>
              <w:t>Renewal</w:t>
            </w:r>
            <w:r>
              <w:rPr>
                <w:b/>
                <w:color w:val="FFFFFF"/>
                <w:sz w:val="16"/>
              </w:rPr>
              <w:tab/>
            </w:r>
            <w:r>
              <w:rPr>
                <w:b/>
                <w:color w:val="FFFFFF"/>
                <w:spacing w:val="-2"/>
                <w:sz w:val="16"/>
              </w:rPr>
              <w:t>Upgrade</w:t>
            </w:r>
          </w:p>
          <w:p>
            <w:pPr>
              <w:pStyle w:val="TableParagraph"/>
              <w:tabs>
                <w:tab w:pos="1747" w:val="left" w:leader="none"/>
              </w:tabs>
              <w:spacing w:line="164" w:lineRule="exact" w:before="116"/>
              <w:ind w:left="413"/>
              <w:rPr>
                <w:b/>
                <w:sz w:val="16"/>
              </w:rPr>
            </w:pPr>
            <w:r>
              <w:rPr>
                <w:b/>
                <w:color w:val="FFFFFF"/>
                <w:spacing w:val="-2"/>
                <w:sz w:val="16"/>
              </w:rPr>
              <w:t>$’000</w:t>
            </w:r>
            <w:r>
              <w:rPr>
                <w:b/>
                <w:color w:val="FFFFFF"/>
                <w:sz w:val="16"/>
              </w:rPr>
              <w:tab/>
            </w:r>
            <w:r>
              <w:rPr>
                <w:b/>
                <w:color w:val="FFFFFF"/>
                <w:spacing w:val="-4"/>
                <w:sz w:val="16"/>
              </w:rPr>
              <w:t>$’000</w:t>
            </w:r>
          </w:p>
        </w:tc>
        <w:tc>
          <w:tcPr>
            <w:tcW w:w="1148" w:type="dxa"/>
            <w:tcBorders>
              <w:top w:val="single" w:sz="4" w:space="0" w:color="000000"/>
              <w:right w:val="single" w:sz="8" w:space="0" w:color="000000"/>
            </w:tcBorders>
            <w:shd w:val="clear" w:color="auto" w:fill="5B9AD4"/>
          </w:tcPr>
          <w:p>
            <w:pPr>
              <w:pStyle w:val="TableParagraph"/>
              <w:rPr>
                <w:sz w:val="18"/>
              </w:rPr>
            </w:pPr>
          </w:p>
          <w:p>
            <w:pPr>
              <w:pStyle w:val="TableParagraph"/>
              <w:rPr>
                <w:sz w:val="18"/>
              </w:rPr>
            </w:pPr>
          </w:p>
          <w:p>
            <w:pPr>
              <w:pStyle w:val="TableParagraph"/>
              <w:spacing w:before="153"/>
              <w:ind w:left="139" w:right="167"/>
              <w:jc w:val="center"/>
              <w:rPr>
                <w:b/>
                <w:sz w:val="16"/>
              </w:rPr>
            </w:pPr>
            <w:r>
              <w:rPr>
                <w:b/>
                <w:color w:val="FFFFFF"/>
                <w:spacing w:val="-2"/>
                <w:sz w:val="16"/>
              </w:rPr>
              <w:t>Expansion</w:t>
            </w:r>
          </w:p>
          <w:p>
            <w:pPr>
              <w:pStyle w:val="TableParagraph"/>
              <w:spacing w:line="164" w:lineRule="exact" w:before="116"/>
              <w:ind w:left="137" w:right="167"/>
              <w:jc w:val="center"/>
              <w:rPr>
                <w:b/>
                <w:sz w:val="16"/>
              </w:rPr>
            </w:pPr>
            <w:r>
              <w:rPr>
                <w:b/>
                <w:color w:val="FFFFFF"/>
                <w:spacing w:val="-2"/>
                <w:sz w:val="16"/>
              </w:rPr>
              <w:t>$’000</w:t>
            </w:r>
          </w:p>
        </w:tc>
        <w:tc>
          <w:tcPr>
            <w:tcW w:w="4294" w:type="dxa"/>
            <w:gridSpan w:val="3"/>
            <w:tcBorders>
              <w:top w:val="single" w:sz="4" w:space="0" w:color="000000"/>
              <w:left w:val="single" w:sz="8" w:space="0" w:color="000000"/>
              <w:right w:val="single" w:sz="4" w:space="0" w:color="000000"/>
            </w:tcBorders>
            <w:shd w:val="clear" w:color="auto" w:fill="5B9AD4"/>
          </w:tcPr>
          <w:p>
            <w:pPr>
              <w:pStyle w:val="TableParagraph"/>
              <w:spacing w:before="92"/>
              <w:ind w:left="859"/>
              <w:rPr>
                <w:b/>
                <w:sz w:val="18"/>
              </w:rPr>
            </w:pPr>
            <w:r>
              <w:rPr>
                <w:b/>
                <w:color w:val="FFFFFF"/>
                <w:sz w:val="18"/>
              </w:rPr>
              <w:t>Summary of Funding</w:t>
            </w:r>
            <w:r>
              <w:rPr>
                <w:b/>
                <w:color w:val="FFFFFF"/>
                <w:spacing w:val="1"/>
                <w:sz w:val="18"/>
              </w:rPr>
              <w:t> </w:t>
            </w:r>
            <w:r>
              <w:rPr>
                <w:b/>
                <w:color w:val="FFFFFF"/>
                <w:spacing w:val="-2"/>
                <w:sz w:val="18"/>
              </w:rPr>
              <w:t>Sources</w:t>
            </w:r>
          </w:p>
          <w:p>
            <w:pPr>
              <w:pStyle w:val="TableParagraph"/>
              <w:spacing w:before="3"/>
              <w:rPr>
                <w:sz w:val="23"/>
              </w:rPr>
            </w:pPr>
          </w:p>
          <w:p>
            <w:pPr>
              <w:pStyle w:val="TableParagraph"/>
              <w:tabs>
                <w:tab w:pos="1855" w:val="left" w:leader="none"/>
                <w:tab w:pos="3079" w:val="left" w:leader="none"/>
              </w:tabs>
              <w:spacing w:before="1"/>
              <w:ind w:left="466"/>
              <w:rPr>
                <w:b/>
                <w:sz w:val="16"/>
              </w:rPr>
            </w:pPr>
            <w:r>
              <w:rPr>
                <w:b/>
                <w:color w:val="FFFFFF"/>
                <w:spacing w:val="-2"/>
                <w:sz w:val="16"/>
              </w:rPr>
              <w:t>Grants</w:t>
            </w:r>
            <w:r>
              <w:rPr>
                <w:b/>
                <w:color w:val="FFFFFF"/>
                <w:sz w:val="16"/>
              </w:rPr>
              <w:tab/>
            </w:r>
            <w:r>
              <w:rPr>
                <w:b/>
                <w:color w:val="FFFFFF"/>
                <w:spacing w:val="-2"/>
                <w:sz w:val="16"/>
              </w:rPr>
              <w:t>Contrib.</w:t>
            </w:r>
            <w:r>
              <w:rPr>
                <w:b/>
                <w:color w:val="FFFFFF"/>
                <w:sz w:val="16"/>
              </w:rPr>
              <w:tab/>
              <w:t>Council</w:t>
            </w:r>
            <w:r>
              <w:rPr>
                <w:b/>
                <w:color w:val="FFFFFF"/>
                <w:spacing w:val="-1"/>
                <w:sz w:val="16"/>
              </w:rPr>
              <w:t> </w:t>
            </w:r>
            <w:r>
              <w:rPr>
                <w:b/>
                <w:color w:val="FFFFFF"/>
                <w:spacing w:val="-4"/>
                <w:sz w:val="16"/>
              </w:rPr>
              <w:t>cash</w:t>
            </w:r>
          </w:p>
          <w:p>
            <w:pPr>
              <w:pStyle w:val="TableParagraph"/>
              <w:tabs>
                <w:tab w:pos="1963" w:val="left" w:leader="none"/>
                <w:tab w:pos="3382" w:val="left" w:leader="none"/>
              </w:tabs>
              <w:spacing w:line="164" w:lineRule="exact" w:before="116"/>
              <w:ind w:left="523"/>
              <w:rPr>
                <w:b/>
                <w:sz w:val="16"/>
              </w:rPr>
            </w:pPr>
            <w:r>
              <w:rPr>
                <w:b/>
                <w:color w:val="FFFFFF"/>
                <w:spacing w:val="-2"/>
                <w:sz w:val="16"/>
              </w:rPr>
              <w:t>$’000</w:t>
            </w:r>
            <w:r>
              <w:rPr>
                <w:b/>
                <w:color w:val="FFFFFF"/>
                <w:sz w:val="16"/>
              </w:rPr>
              <w:tab/>
            </w:r>
            <w:r>
              <w:rPr>
                <w:b/>
                <w:color w:val="FFFFFF"/>
                <w:spacing w:val="-4"/>
                <w:sz w:val="16"/>
              </w:rPr>
              <w:t>$’000</w:t>
            </w:r>
            <w:r>
              <w:rPr>
                <w:b/>
                <w:color w:val="FFFFFF"/>
                <w:sz w:val="16"/>
              </w:rPr>
              <w:tab/>
            </w:r>
            <w:r>
              <w:rPr>
                <w:b/>
                <w:color w:val="FFFFFF"/>
                <w:spacing w:val="-4"/>
                <w:sz w:val="16"/>
              </w:rPr>
              <w:t>$'000</w:t>
            </w:r>
          </w:p>
        </w:tc>
      </w:tr>
      <w:tr>
        <w:trPr>
          <w:trHeight w:val="620" w:hRule="atLeast"/>
        </w:trPr>
        <w:tc>
          <w:tcPr>
            <w:tcW w:w="3026" w:type="dxa"/>
            <w:tcBorders>
              <w:left w:val="single" w:sz="4" w:space="0" w:color="000000"/>
            </w:tcBorders>
          </w:tcPr>
          <w:p>
            <w:pPr>
              <w:pStyle w:val="TableParagraph"/>
              <w:spacing w:before="1"/>
              <w:rPr>
                <w:sz w:val="32"/>
              </w:rPr>
            </w:pPr>
          </w:p>
          <w:p>
            <w:pPr>
              <w:pStyle w:val="TableParagraph"/>
              <w:ind w:left="107"/>
              <w:rPr>
                <w:sz w:val="20"/>
              </w:rPr>
            </w:pPr>
            <w:r>
              <w:rPr>
                <w:spacing w:val="-2"/>
                <w:sz w:val="20"/>
              </w:rPr>
              <w:t>Property</w:t>
            </w:r>
          </w:p>
        </w:tc>
        <w:tc>
          <w:tcPr>
            <w:tcW w:w="1801" w:type="dxa"/>
            <w:tcBorders>
              <w:right w:val="single" w:sz="8" w:space="0" w:color="000000"/>
            </w:tcBorders>
          </w:tcPr>
          <w:p>
            <w:pPr>
              <w:pStyle w:val="TableParagraph"/>
              <w:spacing w:before="1"/>
              <w:rPr>
                <w:sz w:val="32"/>
              </w:rPr>
            </w:pPr>
          </w:p>
          <w:p>
            <w:pPr>
              <w:pStyle w:val="TableParagraph"/>
              <w:ind w:right="91"/>
              <w:jc w:val="right"/>
              <w:rPr>
                <w:b/>
                <w:sz w:val="20"/>
              </w:rPr>
            </w:pPr>
            <w:r>
              <w:rPr>
                <w:b/>
                <w:spacing w:val="-2"/>
                <w:sz w:val="20"/>
              </w:rPr>
              <w:t>43,736</w:t>
            </w:r>
          </w:p>
        </w:tc>
        <w:tc>
          <w:tcPr>
            <w:tcW w:w="1391" w:type="dxa"/>
            <w:tcBorders>
              <w:left w:val="single" w:sz="8" w:space="0" w:color="000000"/>
            </w:tcBorders>
          </w:tcPr>
          <w:p>
            <w:pPr>
              <w:pStyle w:val="TableParagraph"/>
              <w:spacing w:before="1"/>
              <w:rPr>
                <w:sz w:val="32"/>
              </w:rPr>
            </w:pPr>
          </w:p>
          <w:p>
            <w:pPr>
              <w:pStyle w:val="TableParagraph"/>
              <w:ind w:right="148"/>
              <w:jc w:val="right"/>
              <w:rPr>
                <w:sz w:val="20"/>
              </w:rPr>
            </w:pPr>
            <w:r>
              <w:rPr>
                <w:spacing w:val="-2"/>
                <w:sz w:val="20"/>
              </w:rPr>
              <w:t>27,700</w:t>
            </w:r>
          </w:p>
        </w:tc>
        <w:tc>
          <w:tcPr>
            <w:tcW w:w="1586" w:type="dxa"/>
          </w:tcPr>
          <w:p>
            <w:pPr>
              <w:pStyle w:val="TableParagraph"/>
              <w:spacing w:before="1"/>
              <w:rPr>
                <w:sz w:val="32"/>
              </w:rPr>
            </w:pPr>
          </w:p>
          <w:p>
            <w:pPr>
              <w:pStyle w:val="TableParagraph"/>
              <w:ind w:right="412"/>
              <w:jc w:val="right"/>
              <w:rPr>
                <w:sz w:val="20"/>
              </w:rPr>
            </w:pPr>
            <w:r>
              <w:rPr>
                <w:spacing w:val="-2"/>
                <w:sz w:val="20"/>
              </w:rPr>
              <w:t>12,455</w:t>
            </w:r>
          </w:p>
        </w:tc>
        <w:tc>
          <w:tcPr>
            <w:tcW w:w="1067" w:type="dxa"/>
          </w:tcPr>
          <w:p>
            <w:pPr>
              <w:pStyle w:val="TableParagraph"/>
              <w:spacing w:before="1"/>
              <w:rPr>
                <w:sz w:val="32"/>
              </w:rPr>
            </w:pPr>
          </w:p>
          <w:p>
            <w:pPr>
              <w:pStyle w:val="TableParagraph"/>
              <w:ind w:right="144"/>
              <w:jc w:val="right"/>
              <w:rPr>
                <w:sz w:val="20"/>
              </w:rPr>
            </w:pPr>
            <w:r>
              <w:rPr>
                <w:spacing w:val="-2"/>
                <w:sz w:val="20"/>
              </w:rPr>
              <w:t>3,581</w:t>
            </w:r>
          </w:p>
        </w:tc>
        <w:tc>
          <w:tcPr>
            <w:tcW w:w="1148" w:type="dxa"/>
            <w:tcBorders>
              <w:right w:val="single" w:sz="8" w:space="0" w:color="000000"/>
            </w:tcBorders>
          </w:tcPr>
          <w:p>
            <w:pPr>
              <w:pStyle w:val="TableParagraph"/>
              <w:spacing w:before="1"/>
              <w:rPr>
                <w:sz w:val="32"/>
              </w:rPr>
            </w:pPr>
          </w:p>
          <w:p>
            <w:pPr>
              <w:pStyle w:val="TableParagraph"/>
              <w:ind w:right="94"/>
              <w:jc w:val="right"/>
              <w:rPr>
                <w:sz w:val="20"/>
              </w:rPr>
            </w:pPr>
            <w:r>
              <w:rPr>
                <w:w w:val="99"/>
                <w:sz w:val="20"/>
              </w:rPr>
              <w:t>-</w:t>
            </w:r>
          </w:p>
        </w:tc>
        <w:tc>
          <w:tcPr>
            <w:tcW w:w="1813" w:type="dxa"/>
            <w:tcBorders>
              <w:left w:val="single" w:sz="8" w:space="0" w:color="000000"/>
            </w:tcBorders>
          </w:tcPr>
          <w:p>
            <w:pPr>
              <w:pStyle w:val="TableParagraph"/>
              <w:spacing w:before="1"/>
              <w:rPr>
                <w:sz w:val="32"/>
              </w:rPr>
            </w:pPr>
          </w:p>
          <w:p>
            <w:pPr>
              <w:pStyle w:val="TableParagraph"/>
              <w:ind w:right="444"/>
              <w:jc w:val="right"/>
              <w:rPr>
                <w:sz w:val="20"/>
              </w:rPr>
            </w:pPr>
            <w:r>
              <w:rPr>
                <w:spacing w:val="-2"/>
                <w:sz w:val="20"/>
              </w:rPr>
              <w:t>26,200</w:t>
            </w:r>
          </w:p>
        </w:tc>
        <w:tc>
          <w:tcPr>
            <w:tcW w:w="1360" w:type="dxa"/>
          </w:tcPr>
          <w:p>
            <w:pPr>
              <w:pStyle w:val="TableParagraph"/>
              <w:spacing w:before="2"/>
              <w:rPr>
                <w:sz w:val="29"/>
              </w:rPr>
            </w:pPr>
          </w:p>
          <w:p>
            <w:pPr>
              <w:pStyle w:val="TableParagraph"/>
              <w:ind w:right="400"/>
              <w:jc w:val="right"/>
              <w:rPr>
                <w:sz w:val="20"/>
              </w:rPr>
            </w:pPr>
            <w:r>
              <w:rPr>
                <w:spacing w:val="-2"/>
                <w:sz w:val="20"/>
              </w:rPr>
              <w:t>1,190</w:t>
            </w:r>
          </w:p>
        </w:tc>
        <w:tc>
          <w:tcPr>
            <w:tcW w:w="1121" w:type="dxa"/>
            <w:tcBorders>
              <w:right w:val="single" w:sz="4" w:space="0" w:color="000000"/>
            </w:tcBorders>
          </w:tcPr>
          <w:p>
            <w:pPr>
              <w:pStyle w:val="TableParagraph"/>
              <w:spacing w:before="2"/>
              <w:rPr>
                <w:sz w:val="29"/>
              </w:rPr>
            </w:pPr>
          </w:p>
          <w:p>
            <w:pPr>
              <w:pStyle w:val="TableParagraph"/>
              <w:ind w:right="98"/>
              <w:jc w:val="right"/>
              <w:rPr>
                <w:sz w:val="20"/>
              </w:rPr>
            </w:pPr>
            <w:r>
              <w:rPr>
                <w:spacing w:val="-2"/>
                <w:sz w:val="20"/>
              </w:rPr>
              <w:t>16,346</w:t>
            </w:r>
          </w:p>
        </w:tc>
      </w:tr>
      <w:tr>
        <w:trPr>
          <w:trHeight w:val="303" w:hRule="atLeast"/>
        </w:trPr>
        <w:tc>
          <w:tcPr>
            <w:tcW w:w="3026" w:type="dxa"/>
            <w:tcBorders>
              <w:left w:val="single" w:sz="4" w:space="0" w:color="000000"/>
            </w:tcBorders>
          </w:tcPr>
          <w:p>
            <w:pPr>
              <w:pStyle w:val="TableParagraph"/>
              <w:spacing w:before="48"/>
              <w:ind w:left="107"/>
              <w:rPr>
                <w:sz w:val="20"/>
              </w:rPr>
            </w:pPr>
            <w:r>
              <w:rPr>
                <w:sz w:val="20"/>
              </w:rPr>
              <w:t>Plant</w:t>
            </w:r>
            <w:r>
              <w:rPr>
                <w:spacing w:val="-6"/>
                <w:sz w:val="20"/>
              </w:rPr>
              <w:t> </w:t>
            </w:r>
            <w:r>
              <w:rPr>
                <w:sz w:val="20"/>
              </w:rPr>
              <w:t>and</w:t>
            </w:r>
            <w:r>
              <w:rPr>
                <w:spacing w:val="-3"/>
                <w:sz w:val="20"/>
              </w:rPr>
              <w:t> </w:t>
            </w:r>
            <w:r>
              <w:rPr>
                <w:spacing w:val="-2"/>
                <w:sz w:val="20"/>
              </w:rPr>
              <w:t>equipment</w:t>
            </w:r>
          </w:p>
        </w:tc>
        <w:tc>
          <w:tcPr>
            <w:tcW w:w="1801" w:type="dxa"/>
            <w:tcBorders>
              <w:right w:val="single" w:sz="8" w:space="0" w:color="000000"/>
            </w:tcBorders>
          </w:tcPr>
          <w:p>
            <w:pPr>
              <w:pStyle w:val="TableParagraph"/>
              <w:spacing w:before="48"/>
              <w:ind w:right="91"/>
              <w:jc w:val="right"/>
              <w:rPr>
                <w:b/>
                <w:sz w:val="20"/>
              </w:rPr>
            </w:pPr>
            <w:r>
              <w:rPr>
                <w:b/>
                <w:spacing w:val="-2"/>
                <w:sz w:val="20"/>
              </w:rPr>
              <w:t>3,985</w:t>
            </w:r>
          </w:p>
        </w:tc>
        <w:tc>
          <w:tcPr>
            <w:tcW w:w="1391" w:type="dxa"/>
            <w:tcBorders>
              <w:left w:val="single" w:sz="8" w:space="0" w:color="000000"/>
            </w:tcBorders>
          </w:tcPr>
          <w:p>
            <w:pPr>
              <w:pStyle w:val="TableParagraph"/>
              <w:spacing w:before="48"/>
              <w:ind w:right="150"/>
              <w:jc w:val="right"/>
              <w:rPr>
                <w:sz w:val="20"/>
              </w:rPr>
            </w:pPr>
            <w:r>
              <w:rPr>
                <w:spacing w:val="-5"/>
                <w:sz w:val="20"/>
              </w:rPr>
              <w:t>227</w:t>
            </w:r>
          </w:p>
        </w:tc>
        <w:tc>
          <w:tcPr>
            <w:tcW w:w="1586" w:type="dxa"/>
          </w:tcPr>
          <w:p>
            <w:pPr>
              <w:pStyle w:val="TableParagraph"/>
              <w:spacing w:before="48"/>
              <w:ind w:right="411"/>
              <w:jc w:val="right"/>
              <w:rPr>
                <w:sz w:val="20"/>
              </w:rPr>
            </w:pPr>
            <w:r>
              <w:rPr>
                <w:spacing w:val="-2"/>
                <w:sz w:val="20"/>
              </w:rPr>
              <w:t>3,613</w:t>
            </w:r>
          </w:p>
        </w:tc>
        <w:tc>
          <w:tcPr>
            <w:tcW w:w="1067" w:type="dxa"/>
          </w:tcPr>
          <w:p>
            <w:pPr>
              <w:pStyle w:val="TableParagraph"/>
              <w:spacing w:before="48"/>
              <w:ind w:right="145"/>
              <w:jc w:val="right"/>
              <w:rPr>
                <w:sz w:val="20"/>
              </w:rPr>
            </w:pPr>
            <w:r>
              <w:rPr>
                <w:spacing w:val="-5"/>
                <w:sz w:val="20"/>
              </w:rPr>
              <w:t>146</w:t>
            </w:r>
          </w:p>
        </w:tc>
        <w:tc>
          <w:tcPr>
            <w:tcW w:w="1148" w:type="dxa"/>
            <w:tcBorders>
              <w:right w:val="single" w:sz="8" w:space="0" w:color="000000"/>
            </w:tcBorders>
          </w:tcPr>
          <w:p>
            <w:pPr>
              <w:pStyle w:val="TableParagraph"/>
              <w:spacing w:before="48"/>
              <w:ind w:right="93"/>
              <w:jc w:val="right"/>
              <w:rPr>
                <w:sz w:val="20"/>
              </w:rPr>
            </w:pPr>
            <w:r>
              <w:rPr>
                <w:w w:val="99"/>
                <w:sz w:val="20"/>
              </w:rPr>
              <w:t>-</w:t>
            </w:r>
          </w:p>
        </w:tc>
        <w:tc>
          <w:tcPr>
            <w:tcW w:w="1813" w:type="dxa"/>
            <w:tcBorders>
              <w:left w:val="single" w:sz="8" w:space="0" w:color="000000"/>
            </w:tcBorders>
          </w:tcPr>
          <w:p>
            <w:pPr>
              <w:pStyle w:val="TableParagraph"/>
              <w:spacing w:before="48"/>
              <w:ind w:right="442"/>
              <w:jc w:val="right"/>
              <w:rPr>
                <w:sz w:val="20"/>
              </w:rPr>
            </w:pPr>
            <w:r>
              <w:rPr>
                <w:w w:val="99"/>
                <w:sz w:val="20"/>
              </w:rPr>
              <w:t>-</w:t>
            </w:r>
          </w:p>
        </w:tc>
        <w:tc>
          <w:tcPr>
            <w:tcW w:w="1360" w:type="dxa"/>
          </w:tcPr>
          <w:p>
            <w:pPr>
              <w:pStyle w:val="TableParagraph"/>
              <w:spacing w:before="14"/>
              <w:ind w:right="397"/>
              <w:jc w:val="right"/>
              <w:rPr>
                <w:sz w:val="20"/>
              </w:rPr>
            </w:pPr>
            <w:r>
              <w:rPr>
                <w:spacing w:val="-5"/>
                <w:sz w:val="20"/>
              </w:rPr>
              <w:t>808</w:t>
            </w:r>
          </w:p>
        </w:tc>
        <w:tc>
          <w:tcPr>
            <w:tcW w:w="1121" w:type="dxa"/>
            <w:tcBorders>
              <w:right w:val="single" w:sz="4" w:space="0" w:color="000000"/>
            </w:tcBorders>
          </w:tcPr>
          <w:p>
            <w:pPr>
              <w:pStyle w:val="TableParagraph"/>
              <w:spacing w:before="14"/>
              <w:ind w:right="98"/>
              <w:jc w:val="right"/>
              <w:rPr>
                <w:sz w:val="20"/>
              </w:rPr>
            </w:pPr>
            <w:r>
              <w:rPr>
                <w:spacing w:val="-2"/>
                <w:sz w:val="20"/>
              </w:rPr>
              <w:t>3,177</w:t>
            </w:r>
          </w:p>
        </w:tc>
      </w:tr>
      <w:tr>
        <w:trPr>
          <w:trHeight w:val="289" w:hRule="atLeast"/>
        </w:trPr>
        <w:tc>
          <w:tcPr>
            <w:tcW w:w="3026" w:type="dxa"/>
            <w:tcBorders>
              <w:left w:val="single" w:sz="4" w:space="0" w:color="000000"/>
              <w:bottom w:val="single" w:sz="8" w:space="0" w:color="000000"/>
            </w:tcBorders>
          </w:tcPr>
          <w:p>
            <w:pPr>
              <w:pStyle w:val="TableParagraph"/>
              <w:spacing w:line="210" w:lineRule="exact" w:before="59"/>
              <w:ind w:left="107"/>
              <w:rPr>
                <w:sz w:val="20"/>
              </w:rPr>
            </w:pPr>
            <w:r>
              <w:rPr>
                <w:spacing w:val="-2"/>
                <w:sz w:val="20"/>
              </w:rPr>
              <w:t>Infrastructure</w:t>
            </w:r>
          </w:p>
        </w:tc>
        <w:tc>
          <w:tcPr>
            <w:tcW w:w="1801" w:type="dxa"/>
            <w:tcBorders>
              <w:bottom w:val="single" w:sz="8" w:space="0" w:color="000000"/>
              <w:right w:val="single" w:sz="8" w:space="0" w:color="000000"/>
            </w:tcBorders>
          </w:tcPr>
          <w:p>
            <w:pPr>
              <w:pStyle w:val="TableParagraph"/>
              <w:spacing w:line="210" w:lineRule="exact" w:before="59"/>
              <w:ind w:right="91"/>
              <w:jc w:val="right"/>
              <w:rPr>
                <w:b/>
                <w:sz w:val="20"/>
              </w:rPr>
            </w:pPr>
            <w:r>
              <w:rPr>
                <w:b/>
                <w:spacing w:val="-2"/>
                <w:sz w:val="20"/>
              </w:rPr>
              <w:t>17,764</w:t>
            </w:r>
          </w:p>
        </w:tc>
        <w:tc>
          <w:tcPr>
            <w:tcW w:w="1391" w:type="dxa"/>
            <w:tcBorders>
              <w:left w:val="single" w:sz="8" w:space="0" w:color="000000"/>
              <w:bottom w:val="single" w:sz="8" w:space="0" w:color="000000"/>
            </w:tcBorders>
          </w:tcPr>
          <w:p>
            <w:pPr>
              <w:pStyle w:val="TableParagraph"/>
              <w:spacing w:line="210" w:lineRule="exact" w:before="59"/>
              <w:ind w:right="151"/>
              <w:jc w:val="right"/>
              <w:rPr>
                <w:sz w:val="20"/>
              </w:rPr>
            </w:pPr>
            <w:r>
              <w:rPr>
                <w:spacing w:val="-2"/>
                <w:sz w:val="20"/>
              </w:rPr>
              <w:t>2,684</w:t>
            </w:r>
          </w:p>
        </w:tc>
        <w:tc>
          <w:tcPr>
            <w:tcW w:w="1586" w:type="dxa"/>
            <w:tcBorders>
              <w:bottom w:val="single" w:sz="8" w:space="0" w:color="000000"/>
            </w:tcBorders>
          </w:tcPr>
          <w:p>
            <w:pPr>
              <w:pStyle w:val="TableParagraph"/>
              <w:spacing w:line="210" w:lineRule="exact" w:before="59"/>
              <w:ind w:right="412"/>
              <w:jc w:val="right"/>
              <w:rPr>
                <w:sz w:val="20"/>
              </w:rPr>
            </w:pPr>
            <w:r>
              <w:rPr>
                <w:spacing w:val="-2"/>
                <w:sz w:val="20"/>
              </w:rPr>
              <w:t>12,250</w:t>
            </w:r>
          </w:p>
        </w:tc>
        <w:tc>
          <w:tcPr>
            <w:tcW w:w="1067" w:type="dxa"/>
            <w:tcBorders>
              <w:bottom w:val="single" w:sz="8" w:space="0" w:color="000000"/>
            </w:tcBorders>
          </w:tcPr>
          <w:p>
            <w:pPr>
              <w:pStyle w:val="TableParagraph"/>
              <w:spacing w:line="210" w:lineRule="exact" w:before="59"/>
              <w:ind w:right="144"/>
              <w:jc w:val="right"/>
              <w:rPr>
                <w:sz w:val="20"/>
              </w:rPr>
            </w:pPr>
            <w:r>
              <w:rPr>
                <w:spacing w:val="-2"/>
                <w:sz w:val="20"/>
              </w:rPr>
              <w:t>2,830</w:t>
            </w:r>
          </w:p>
        </w:tc>
        <w:tc>
          <w:tcPr>
            <w:tcW w:w="1148" w:type="dxa"/>
            <w:tcBorders>
              <w:bottom w:val="single" w:sz="8" w:space="0" w:color="000000"/>
              <w:right w:val="single" w:sz="8" w:space="0" w:color="000000"/>
            </w:tcBorders>
          </w:tcPr>
          <w:p>
            <w:pPr>
              <w:pStyle w:val="TableParagraph"/>
              <w:spacing w:line="210" w:lineRule="exact" w:before="59"/>
              <w:ind w:right="93"/>
              <w:jc w:val="right"/>
              <w:rPr>
                <w:sz w:val="20"/>
              </w:rPr>
            </w:pPr>
            <w:r>
              <w:rPr>
                <w:w w:val="99"/>
                <w:sz w:val="20"/>
              </w:rPr>
              <w:t>-</w:t>
            </w:r>
          </w:p>
        </w:tc>
        <w:tc>
          <w:tcPr>
            <w:tcW w:w="1813" w:type="dxa"/>
            <w:tcBorders>
              <w:left w:val="single" w:sz="8" w:space="0" w:color="000000"/>
              <w:bottom w:val="single" w:sz="8" w:space="0" w:color="000000"/>
            </w:tcBorders>
          </w:tcPr>
          <w:p>
            <w:pPr>
              <w:pStyle w:val="TableParagraph"/>
              <w:spacing w:line="210" w:lineRule="exact" w:before="59"/>
              <w:ind w:right="444"/>
              <w:jc w:val="right"/>
              <w:rPr>
                <w:sz w:val="20"/>
              </w:rPr>
            </w:pPr>
            <w:r>
              <w:rPr>
                <w:spacing w:val="-5"/>
                <w:sz w:val="20"/>
              </w:rPr>
              <w:t>508</w:t>
            </w:r>
          </w:p>
        </w:tc>
        <w:tc>
          <w:tcPr>
            <w:tcW w:w="1360" w:type="dxa"/>
            <w:tcBorders>
              <w:bottom w:val="single" w:sz="8" w:space="0" w:color="000000"/>
            </w:tcBorders>
          </w:tcPr>
          <w:p>
            <w:pPr>
              <w:pStyle w:val="TableParagraph"/>
              <w:spacing w:before="18"/>
              <w:ind w:right="397"/>
              <w:jc w:val="right"/>
              <w:rPr>
                <w:sz w:val="20"/>
              </w:rPr>
            </w:pPr>
            <w:r>
              <w:rPr>
                <w:spacing w:val="-5"/>
                <w:sz w:val="20"/>
              </w:rPr>
              <w:t>36</w:t>
            </w:r>
          </w:p>
        </w:tc>
        <w:tc>
          <w:tcPr>
            <w:tcW w:w="1121" w:type="dxa"/>
            <w:tcBorders>
              <w:bottom w:val="single" w:sz="8" w:space="0" w:color="000000"/>
              <w:right w:val="single" w:sz="4" w:space="0" w:color="000000"/>
            </w:tcBorders>
          </w:tcPr>
          <w:p>
            <w:pPr>
              <w:pStyle w:val="TableParagraph"/>
              <w:spacing w:before="18"/>
              <w:ind w:right="98"/>
              <w:jc w:val="right"/>
              <w:rPr>
                <w:sz w:val="20"/>
              </w:rPr>
            </w:pPr>
            <w:r>
              <w:rPr>
                <w:spacing w:val="-2"/>
                <w:sz w:val="20"/>
              </w:rPr>
              <w:t>17,220</w:t>
            </w:r>
          </w:p>
        </w:tc>
      </w:tr>
      <w:tr>
        <w:trPr>
          <w:trHeight w:val="316" w:hRule="atLeast"/>
        </w:trPr>
        <w:tc>
          <w:tcPr>
            <w:tcW w:w="3026" w:type="dxa"/>
            <w:tcBorders>
              <w:top w:val="single" w:sz="8" w:space="0" w:color="000000"/>
              <w:left w:val="single" w:sz="4" w:space="0" w:color="000000"/>
              <w:bottom w:val="single" w:sz="4" w:space="0" w:color="000000"/>
            </w:tcBorders>
          </w:tcPr>
          <w:p>
            <w:pPr>
              <w:pStyle w:val="TableParagraph"/>
              <w:spacing w:line="211" w:lineRule="exact" w:before="85"/>
              <w:ind w:left="107"/>
              <w:rPr>
                <w:b/>
                <w:sz w:val="20"/>
              </w:rPr>
            </w:pPr>
            <w:r>
              <w:rPr>
                <w:b/>
                <w:spacing w:val="-2"/>
                <w:sz w:val="20"/>
              </w:rPr>
              <w:t>Total</w:t>
            </w:r>
          </w:p>
        </w:tc>
        <w:tc>
          <w:tcPr>
            <w:tcW w:w="1801" w:type="dxa"/>
            <w:tcBorders>
              <w:top w:val="single" w:sz="8" w:space="0" w:color="000000"/>
              <w:bottom w:val="single" w:sz="4" w:space="0" w:color="000000"/>
              <w:right w:val="single" w:sz="8" w:space="0" w:color="000000"/>
            </w:tcBorders>
          </w:tcPr>
          <w:p>
            <w:pPr>
              <w:pStyle w:val="TableParagraph"/>
              <w:spacing w:line="211" w:lineRule="exact" w:before="85"/>
              <w:ind w:right="91"/>
              <w:jc w:val="right"/>
              <w:rPr>
                <w:b/>
                <w:sz w:val="20"/>
              </w:rPr>
            </w:pPr>
            <w:r>
              <w:rPr>
                <w:b/>
                <w:spacing w:val="-2"/>
                <w:sz w:val="20"/>
              </w:rPr>
              <w:t>65,485</w:t>
            </w:r>
          </w:p>
        </w:tc>
        <w:tc>
          <w:tcPr>
            <w:tcW w:w="1391" w:type="dxa"/>
            <w:tcBorders>
              <w:top w:val="single" w:sz="8" w:space="0" w:color="000000"/>
              <w:left w:val="single" w:sz="8" w:space="0" w:color="000000"/>
              <w:bottom w:val="single" w:sz="4" w:space="0" w:color="000000"/>
            </w:tcBorders>
          </w:tcPr>
          <w:p>
            <w:pPr>
              <w:pStyle w:val="TableParagraph"/>
              <w:spacing w:line="211" w:lineRule="exact" w:before="85"/>
              <w:ind w:right="150"/>
              <w:jc w:val="right"/>
              <w:rPr>
                <w:sz w:val="20"/>
              </w:rPr>
            </w:pPr>
            <w:r>
              <w:rPr>
                <w:spacing w:val="-2"/>
                <w:sz w:val="20"/>
              </w:rPr>
              <w:t>30,611</w:t>
            </w:r>
          </w:p>
        </w:tc>
        <w:tc>
          <w:tcPr>
            <w:tcW w:w="1586" w:type="dxa"/>
            <w:tcBorders>
              <w:top w:val="single" w:sz="8" w:space="0" w:color="000000"/>
              <w:bottom w:val="single" w:sz="4" w:space="0" w:color="000000"/>
            </w:tcBorders>
          </w:tcPr>
          <w:p>
            <w:pPr>
              <w:pStyle w:val="TableParagraph"/>
              <w:spacing w:line="211" w:lineRule="exact" w:before="85"/>
              <w:ind w:right="412"/>
              <w:jc w:val="right"/>
              <w:rPr>
                <w:sz w:val="20"/>
              </w:rPr>
            </w:pPr>
            <w:r>
              <w:rPr>
                <w:spacing w:val="-2"/>
                <w:sz w:val="20"/>
              </w:rPr>
              <w:t>28,318</w:t>
            </w:r>
          </w:p>
        </w:tc>
        <w:tc>
          <w:tcPr>
            <w:tcW w:w="1067" w:type="dxa"/>
            <w:tcBorders>
              <w:top w:val="single" w:sz="8" w:space="0" w:color="000000"/>
              <w:bottom w:val="single" w:sz="4" w:space="0" w:color="000000"/>
            </w:tcBorders>
          </w:tcPr>
          <w:p>
            <w:pPr>
              <w:pStyle w:val="TableParagraph"/>
              <w:spacing w:line="211" w:lineRule="exact" w:before="85"/>
              <w:ind w:right="144"/>
              <w:jc w:val="right"/>
              <w:rPr>
                <w:sz w:val="20"/>
              </w:rPr>
            </w:pPr>
            <w:r>
              <w:rPr>
                <w:spacing w:val="-2"/>
                <w:sz w:val="20"/>
              </w:rPr>
              <w:t>6,556</w:t>
            </w:r>
          </w:p>
        </w:tc>
        <w:tc>
          <w:tcPr>
            <w:tcW w:w="1148" w:type="dxa"/>
            <w:tcBorders>
              <w:top w:val="single" w:sz="8" w:space="0" w:color="000000"/>
              <w:bottom w:val="single" w:sz="4" w:space="0" w:color="000000"/>
              <w:right w:val="single" w:sz="8" w:space="0" w:color="000000"/>
            </w:tcBorders>
          </w:tcPr>
          <w:p>
            <w:pPr>
              <w:pStyle w:val="TableParagraph"/>
              <w:spacing w:line="211" w:lineRule="exact" w:before="85"/>
              <w:ind w:right="93"/>
              <w:jc w:val="right"/>
              <w:rPr>
                <w:sz w:val="20"/>
              </w:rPr>
            </w:pPr>
            <w:r>
              <w:rPr>
                <w:w w:val="99"/>
                <w:sz w:val="20"/>
              </w:rPr>
              <w:t>-</w:t>
            </w:r>
          </w:p>
        </w:tc>
        <w:tc>
          <w:tcPr>
            <w:tcW w:w="1813" w:type="dxa"/>
            <w:tcBorders>
              <w:top w:val="single" w:sz="8" w:space="0" w:color="000000"/>
              <w:left w:val="single" w:sz="8" w:space="0" w:color="000000"/>
              <w:bottom w:val="single" w:sz="4" w:space="0" w:color="000000"/>
            </w:tcBorders>
          </w:tcPr>
          <w:p>
            <w:pPr>
              <w:pStyle w:val="TableParagraph"/>
              <w:spacing w:line="211" w:lineRule="exact" w:before="85"/>
              <w:ind w:right="444"/>
              <w:jc w:val="right"/>
              <w:rPr>
                <w:sz w:val="20"/>
              </w:rPr>
            </w:pPr>
            <w:r>
              <w:rPr>
                <w:spacing w:val="-2"/>
                <w:sz w:val="20"/>
              </w:rPr>
              <w:t>26,708</w:t>
            </w:r>
          </w:p>
        </w:tc>
        <w:tc>
          <w:tcPr>
            <w:tcW w:w="1360" w:type="dxa"/>
            <w:tcBorders>
              <w:top w:val="single" w:sz="8" w:space="0" w:color="000000"/>
              <w:bottom w:val="single" w:sz="4" w:space="0" w:color="000000"/>
            </w:tcBorders>
          </w:tcPr>
          <w:p>
            <w:pPr>
              <w:pStyle w:val="TableParagraph"/>
              <w:spacing w:before="42"/>
              <w:ind w:right="400"/>
              <w:jc w:val="right"/>
              <w:rPr>
                <w:sz w:val="20"/>
              </w:rPr>
            </w:pPr>
            <w:r>
              <w:rPr>
                <w:spacing w:val="-2"/>
                <w:sz w:val="20"/>
              </w:rPr>
              <w:t>2,034</w:t>
            </w:r>
          </w:p>
        </w:tc>
        <w:tc>
          <w:tcPr>
            <w:tcW w:w="1121" w:type="dxa"/>
            <w:tcBorders>
              <w:top w:val="single" w:sz="8" w:space="0" w:color="000000"/>
              <w:bottom w:val="single" w:sz="4" w:space="0" w:color="000000"/>
              <w:right w:val="single" w:sz="4" w:space="0" w:color="000000"/>
            </w:tcBorders>
          </w:tcPr>
          <w:p>
            <w:pPr>
              <w:pStyle w:val="TableParagraph"/>
              <w:spacing w:before="42"/>
              <w:ind w:right="98"/>
              <w:jc w:val="right"/>
              <w:rPr>
                <w:sz w:val="20"/>
              </w:rPr>
            </w:pPr>
            <w:r>
              <w:rPr>
                <w:spacing w:val="-2"/>
                <w:sz w:val="20"/>
              </w:rPr>
              <w:t>36,743</w:t>
            </w:r>
          </w:p>
        </w:tc>
      </w:tr>
    </w:tbl>
    <w:p>
      <w:pPr>
        <w:pStyle w:val="BodyText"/>
        <w:rPr>
          <w:sz w:val="20"/>
        </w:rPr>
      </w:pPr>
    </w:p>
    <w:p>
      <w:pPr>
        <w:pStyle w:val="BodyText"/>
        <w:spacing w:before="4"/>
        <w:rPr>
          <w:sz w:val="23"/>
        </w:rPr>
      </w:pPr>
    </w:p>
    <w:p>
      <w:pPr>
        <w:pStyle w:val="BodyText"/>
        <w:ind w:left="120"/>
      </w:pPr>
      <w:r>
        <w:rPr/>
        <w:t>These</w:t>
      </w:r>
      <w:r>
        <w:rPr>
          <w:spacing w:val="30"/>
        </w:rPr>
        <w:t> </w:t>
      </w:r>
      <w:r>
        <w:rPr/>
        <w:t>following</w:t>
      </w:r>
      <w:r>
        <w:rPr>
          <w:spacing w:val="32"/>
        </w:rPr>
        <w:t> </w:t>
      </w:r>
      <w:r>
        <w:rPr/>
        <w:t>sections</w:t>
      </w:r>
      <w:r>
        <w:rPr>
          <w:spacing w:val="33"/>
        </w:rPr>
        <w:t> </w:t>
      </w:r>
      <w:r>
        <w:rPr/>
        <w:t>present</w:t>
      </w:r>
      <w:r>
        <w:rPr>
          <w:spacing w:val="29"/>
        </w:rPr>
        <w:t> </w:t>
      </w:r>
      <w:r>
        <w:rPr/>
        <w:t>the</w:t>
      </w:r>
      <w:r>
        <w:rPr>
          <w:spacing w:val="30"/>
        </w:rPr>
        <w:t> </w:t>
      </w:r>
      <w:r>
        <w:rPr/>
        <w:t>four-year</w:t>
      </w:r>
      <w:r>
        <w:rPr>
          <w:spacing w:val="29"/>
        </w:rPr>
        <w:t> </w:t>
      </w:r>
      <w:r>
        <w:rPr/>
        <w:t>capital</w:t>
      </w:r>
      <w:r>
        <w:rPr>
          <w:spacing w:val="31"/>
        </w:rPr>
        <w:t> </w:t>
      </w:r>
      <w:r>
        <w:rPr/>
        <w:t>expenditure</w:t>
      </w:r>
      <w:r>
        <w:rPr>
          <w:spacing w:val="30"/>
        </w:rPr>
        <w:t> </w:t>
      </w:r>
      <w:r>
        <w:rPr/>
        <w:t>program</w:t>
      </w:r>
      <w:r>
        <w:rPr>
          <w:spacing w:val="29"/>
        </w:rPr>
        <w:t> </w:t>
      </w:r>
      <w:r>
        <w:rPr/>
        <w:t>for</w:t>
      </w:r>
      <w:r>
        <w:rPr>
          <w:spacing w:val="29"/>
        </w:rPr>
        <w:t> </w:t>
      </w:r>
      <w:r>
        <w:rPr/>
        <w:t>the</w:t>
      </w:r>
      <w:r>
        <w:rPr>
          <w:spacing w:val="30"/>
        </w:rPr>
        <w:t> </w:t>
      </w:r>
      <w:r>
        <w:rPr/>
        <w:t>period</w:t>
      </w:r>
      <w:r>
        <w:rPr>
          <w:spacing w:val="30"/>
        </w:rPr>
        <w:t> </w:t>
      </w:r>
      <w:r>
        <w:rPr/>
        <w:t>2024/2025</w:t>
      </w:r>
      <w:r>
        <w:rPr>
          <w:spacing w:val="30"/>
        </w:rPr>
        <w:t> </w:t>
      </w:r>
      <w:r>
        <w:rPr/>
        <w:t>to</w:t>
      </w:r>
      <w:r>
        <w:rPr>
          <w:spacing w:val="28"/>
        </w:rPr>
        <w:t> </w:t>
      </w:r>
      <w:r>
        <w:rPr/>
        <w:t>2027/28.</w:t>
      </w:r>
      <w:r>
        <w:rPr>
          <w:spacing w:val="32"/>
        </w:rPr>
        <w:t> </w:t>
      </w:r>
      <w:r>
        <w:rPr/>
        <w:t>Council</w:t>
      </w:r>
      <w:r>
        <w:rPr>
          <w:spacing w:val="31"/>
        </w:rPr>
        <w:t> </w:t>
      </w:r>
      <w:r>
        <w:rPr/>
        <w:t>has</w:t>
      </w:r>
      <w:r>
        <w:rPr>
          <w:spacing w:val="29"/>
        </w:rPr>
        <w:t> </w:t>
      </w:r>
      <w:r>
        <w:rPr/>
        <w:t>already</w:t>
      </w:r>
      <w:r>
        <w:rPr>
          <w:spacing w:val="31"/>
        </w:rPr>
        <w:t> </w:t>
      </w:r>
      <w:r>
        <w:rPr/>
        <w:t>made</w:t>
      </w:r>
      <w:r>
        <w:rPr>
          <w:spacing w:val="30"/>
        </w:rPr>
        <w:t> </w:t>
      </w:r>
      <w:r>
        <w:rPr/>
        <w:t>prior</w:t>
      </w:r>
      <w:r>
        <w:rPr>
          <w:spacing w:val="33"/>
        </w:rPr>
        <w:t> </w:t>
      </w:r>
      <w:r>
        <w:rPr/>
        <w:t>budget commitments to a number of projects to ensure timely completion consistent with expectations.</w:t>
      </w:r>
    </w:p>
    <w:p>
      <w:pPr>
        <w:pStyle w:val="BodyText"/>
        <w:spacing w:before="2"/>
      </w:pPr>
    </w:p>
    <w:p>
      <w:pPr>
        <w:pStyle w:val="BodyText"/>
        <w:ind w:left="120" w:right="242"/>
      </w:pPr>
      <w:r>
        <w:rPr/>
        <w:t>The</w:t>
      </w:r>
      <w:r>
        <w:rPr>
          <w:spacing w:val="15"/>
        </w:rPr>
        <w:t> </w:t>
      </w:r>
      <w:r>
        <w:rPr/>
        <w:t>capital projects are grouped</w:t>
      </w:r>
      <w:r>
        <w:rPr>
          <w:spacing w:val="15"/>
        </w:rPr>
        <w:t> </w:t>
      </w:r>
      <w:r>
        <w:rPr/>
        <w:t>by</w:t>
      </w:r>
      <w:r>
        <w:rPr>
          <w:spacing w:val="15"/>
        </w:rPr>
        <w:t> </w:t>
      </w:r>
      <w:r>
        <w:rPr/>
        <w:t>class</w:t>
      </w:r>
      <w:r>
        <w:rPr>
          <w:spacing w:val="15"/>
        </w:rPr>
        <w:t> </w:t>
      </w:r>
      <w:r>
        <w:rPr/>
        <w:t>and</w:t>
      </w:r>
      <w:r>
        <w:rPr>
          <w:spacing w:val="15"/>
        </w:rPr>
        <w:t> </w:t>
      </w:r>
      <w:r>
        <w:rPr/>
        <w:t>include</w:t>
      </w:r>
      <w:r>
        <w:rPr>
          <w:spacing w:val="15"/>
        </w:rPr>
        <w:t> </w:t>
      </w:r>
      <w:r>
        <w:rPr/>
        <w:t>detail of</w:t>
      </w:r>
      <w:r>
        <w:rPr>
          <w:spacing w:val="15"/>
        </w:rPr>
        <w:t> </w:t>
      </w:r>
      <w:r>
        <w:rPr/>
        <w:t>both</w:t>
      </w:r>
      <w:r>
        <w:rPr>
          <w:spacing w:val="15"/>
        </w:rPr>
        <w:t> </w:t>
      </w:r>
      <w:r>
        <w:rPr/>
        <w:t>Council and</w:t>
      </w:r>
      <w:r>
        <w:rPr>
          <w:spacing w:val="15"/>
        </w:rPr>
        <w:t> </w:t>
      </w:r>
      <w:r>
        <w:rPr/>
        <w:t>Other contributions</w:t>
      </w:r>
      <w:r>
        <w:rPr>
          <w:spacing w:val="15"/>
        </w:rPr>
        <w:t> </w:t>
      </w:r>
      <w:r>
        <w:rPr/>
        <w:t>to</w:t>
      </w:r>
      <w:r>
        <w:rPr>
          <w:spacing w:val="15"/>
        </w:rPr>
        <w:t> </w:t>
      </w:r>
      <w:r>
        <w:rPr/>
        <w:t>individual projects.</w:t>
      </w:r>
      <w:r>
        <w:rPr>
          <w:spacing w:val="15"/>
        </w:rPr>
        <w:t> </w:t>
      </w:r>
      <w:r>
        <w:rPr/>
        <w:t>Further</w:t>
      </w:r>
      <w:r>
        <w:rPr>
          <w:spacing w:val="14"/>
        </w:rPr>
        <w:t> </w:t>
      </w:r>
      <w:r>
        <w:rPr/>
        <w:t>detail is also</w:t>
      </w:r>
      <w:r>
        <w:rPr>
          <w:spacing w:val="13"/>
        </w:rPr>
        <w:t> </w:t>
      </w:r>
      <w:r>
        <w:rPr/>
        <w:t>provided</w:t>
      </w:r>
      <w:r>
        <w:rPr>
          <w:spacing w:val="15"/>
        </w:rPr>
        <w:t> </w:t>
      </w:r>
      <w:r>
        <w:rPr/>
        <w:t>on asset renewal, new assets, asset upgrade and asset expansion projects.</w:t>
      </w:r>
    </w:p>
    <w:p>
      <w:pPr>
        <w:spacing w:after="0"/>
        <w:sectPr>
          <w:footerReference w:type="default" r:id="rId37"/>
          <w:pgSz w:w="16840" w:h="11910" w:orient="landscape"/>
          <w:pgMar w:footer="546" w:header="0" w:top="640" w:bottom="740" w:left="600" w:right="120"/>
        </w:sectPr>
      </w:pPr>
    </w:p>
    <w:p>
      <w:pPr>
        <w:pStyle w:val="ListParagraph"/>
        <w:numPr>
          <w:ilvl w:val="2"/>
          <w:numId w:val="21"/>
        </w:numPr>
        <w:tabs>
          <w:tab w:pos="722" w:val="left" w:leader="none"/>
        </w:tabs>
        <w:spacing w:line="240" w:lineRule="auto" w:before="74" w:after="0"/>
        <w:ind w:left="721" w:right="0" w:hanging="602"/>
        <w:jc w:val="left"/>
        <w:rPr>
          <w:b/>
          <w:sz w:val="24"/>
        </w:rPr>
      </w:pPr>
      <w:r>
        <w:rPr>
          <w:b/>
          <w:color w:val="4966AC"/>
          <w:sz w:val="24"/>
        </w:rPr>
        <w:t>Summary of</w:t>
      </w:r>
      <w:r>
        <w:rPr>
          <w:b/>
          <w:color w:val="4966AC"/>
          <w:spacing w:val="-2"/>
          <w:sz w:val="24"/>
        </w:rPr>
        <w:t> </w:t>
      </w:r>
      <w:r>
        <w:rPr>
          <w:b/>
          <w:color w:val="4966AC"/>
          <w:sz w:val="24"/>
        </w:rPr>
        <w:t>Planned Capital Works</w:t>
      </w:r>
      <w:r>
        <w:rPr>
          <w:b/>
          <w:color w:val="4966AC"/>
          <w:spacing w:val="-4"/>
          <w:sz w:val="24"/>
        </w:rPr>
        <w:t> </w:t>
      </w:r>
      <w:r>
        <w:rPr>
          <w:b/>
          <w:color w:val="4966AC"/>
          <w:spacing w:val="-2"/>
          <w:sz w:val="24"/>
        </w:rPr>
        <w:t>Expenditure</w:t>
      </w:r>
    </w:p>
    <w:p>
      <w:pPr>
        <w:pStyle w:val="BodyText"/>
        <w:spacing w:before="10"/>
        <w:rPr>
          <w:b/>
          <w:sz w:val="21"/>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2"/>
        <w:gridCol w:w="1169"/>
        <w:gridCol w:w="1966"/>
        <w:gridCol w:w="1060"/>
        <w:gridCol w:w="1581"/>
        <w:gridCol w:w="1038"/>
        <w:gridCol w:w="1625"/>
        <w:gridCol w:w="1594"/>
      </w:tblGrid>
      <w:tr>
        <w:trPr>
          <w:trHeight w:val="871" w:hRule="atLeast"/>
        </w:trPr>
        <w:tc>
          <w:tcPr>
            <w:tcW w:w="14735" w:type="dxa"/>
            <w:gridSpan w:val="8"/>
            <w:tcBorders>
              <w:top w:val="single" w:sz="4" w:space="0" w:color="000000"/>
              <w:left w:val="single" w:sz="4" w:space="0" w:color="000000"/>
              <w:right w:val="single" w:sz="4" w:space="0" w:color="000000"/>
            </w:tcBorders>
          </w:tcPr>
          <w:p>
            <w:pPr>
              <w:pStyle w:val="TableParagraph"/>
              <w:spacing w:before="2"/>
              <w:ind w:left="107"/>
              <w:rPr>
                <w:b/>
                <w:sz w:val="24"/>
              </w:rPr>
            </w:pPr>
            <w:r>
              <w:rPr>
                <w:b/>
                <w:sz w:val="24"/>
              </w:rPr>
              <w:t>Summary of</w:t>
            </w:r>
            <w:r>
              <w:rPr>
                <w:b/>
                <w:spacing w:val="-1"/>
                <w:sz w:val="24"/>
              </w:rPr>
              <w:t> </w:t>
            </w:r>
            <w:r>
              <w:rPr>
                <w:b/>
                <w:sz w:val="24"/>
              </w:rPr>
              <w:t>Planned Capital</w:t>
            </w:r>
            <w:r>
              <w:rPr>
                <w:b/>
                <w:spacing w:val="1"/>
                <w:sz w:val="24"/>
              </w:rPr>
              <w:t> </w:t>
            </w:r>
            <w:r>
              <w:rPr>
                <w:b/>
                <w:sz w:val="24"/>
              </w:rPr>
              <w:t>Works</w:t>
            </w:r>
            <w:r>
              <w:rPr>
                <w:b/>
                <w:spacing w:val="-1"/>
                <w:sz w:val="24"/>
              </w:rPr>
              <w:t> </w:t>
            </w:r>
            <w:r>
              <w:rPr>
                <w:b/>
                <w:spacing w:val="-2"/>
                <w:sz w:val="24"/>
              </w:rPr>
              <w:t>Expenditure</w:t>
            </w:r>
          </w:p>
          <w:p>
            <w:pPr>
              <w:pStyle w:val="TableParagraph"/>
              <w:spacing w:before="38"/>
              <w:ind w:left="107"/>
              <w:rPr>
                <w:sz w:val="22"/>
              </w:rPr>
            </w:pPr>
            <w:r>
              <w:rPr>
                <w:sz w:val="22"/>
              </w:rPr>
              <w:t>For</w:t>
            </w:r>
            <w:r>
              <w:rPr>
                <w:spacing w:val="-2"/>
                <w:sz w:val="22"/>
              </w:rPr>
              <w:t> </w:t>
            </w:r>
            <w:r>
              <w:rPr>
                <w:sz w:val="22"/>
              </w:rPr>
              <w:t>the</w:t>
            </w:r>
            <w:r>
              <w:rPr>
                <w:spacing w:val="-4"/>
                <w:sz w:val="22"/>
              </w:rPr>
              <w:t> </w:t>
            </w:r>
            <w:r>
              <w:rPr>
                <w:sz w:val="22"/>
              </w:rPr>
              <w:t>four</w:t>
            </w:r>
            <w:r>
              <w:rPr>
                <w:spacing w:val="-4"/>
                <w:sz w:val="22"/>
              </w:rPr>
              <w:t> </w:t>
            </w:r>
            <w:r>
              <w:rPr>
                <w:sz w:val="22"/>
              </w:rPr>
              <w:t>years</w:t>
            </w:r>
            <w:r>
              <w:rPr>
                <w:spacing w:val="-1"/>
                <w:sz w:val="22"/>
              </w:rPr>
              <w:t> </w:t>
            </w:r>
            <w:r>
              <w:rPr>
                <w:sz w:val="22"/>
              </w:rPr>
              <w:t>ended</w:t>
            </w:r>
            <w:r>
              <w:rPr>
                <w:spacing w:val="-4"/>
                <w:sz w:val="22"/>
              </w:rPr>
              <w:t> </w:t>
            </w:r>
            <w:r>
              <w:rPr>
                <w:sz w:val="22"/>
              </w:rPr>
              <w:t>30 June</w:t>
            </w:r>
            <w:r>
              <w:rPr>
                <w:spacing w:val="-3"/>
                <w:sz w:val="22"/>
              </w:rPr>
              <w:t> </w:t>
            </w:r>
            <w:r>
              <w:rPr>
                <w:spacing w:val="-4"/>
                <w:sz w:val="22"/>
              </w:rPr>
              <w:t>2028</w:t>
            </w:r>
          </w:p>
        </w:tc>
      </w:tr>
      <w:tr>
        <w:trPr>
          <w:trHeight w:val="254" w:hRule="atLeast"/>
        </w:trPr>
        <w:tc>
          <w:tcPr>
            <w:tcW w:w="14735" w:type="dxa"/>
            <w:gridSpan w:val="8"/>
            <w:tcBorders>
              <w:left w:val="single" w:sz="4" w:space="0" w:color="000000"/>
              <w:right w:val="single" w:sz="4" w:space="0" w:color="000000"/>
            </w:tcBorders>
            <w:shd w:val="clear" w:color="auto" w:fill="629CD1"/>
          </w:tcPr>
          <w:p>
            <w:pPr>
              <w:pStyle w:val="TableParagraph"/>
              <w:tabs>
                <w:tab w:pos="10994" w:val="left" w:leader="none"/>
              </w:tabs>
              <w:spacing w:line="223" w:lineRule="exact" w:before="11"/>
              <w:ind w:left="5601"/>
              <w:rPr>
                <w:b/>
                <w:sz w:val="20"/>
              </w:rPr>
            </w:pPr>
            <w:r>
              <w:rPr>
                <w:b/>
                <w:color w:val="FFFFFF"/>
                <w:sz w:val="20"/>
              </w:rPr>
              <w:t>Asset</w:t>
            </w:r>
            <w:r>
              <w:rPr>
                <w:b/>
                <w:color w:val="FFFFFF"/>
                <w:spacing w:val="-10"/>
                <w:sz w:val="20"/>
              </w:rPr>
              <w:t> </w:t>
            </w:r>
            <w:r>
              <w:rPr>
                <w:b/>
                <w:color w:val="FFFFFF"/>
                <w:sz w:val="20"/>
              </w:rPr>
              <w:t>Expenditure</w:t>
            </w:r>
            <w:r>
              <w:rPr>
                <w:b/>
                <w:color w:val="FFFFFF"/>
                <w:spacing w:val="-11"/>
                <w:sz w:val="20"/>
              </w:rPr>
              <w:t> </w:t>
            </w:r>
            <w:r>
              <w:rPr>
                <w:b/>
                <w:color w:val="FFFFFF"/>
                <w:spacing w:val="-4"/>
                <w:sz w:val="20"/>
              </w:rPr>
              <w:t>Types</w:t>
            </w:r>
            <w:r>
              <w:rPr>
                <w:b/>
                <w:color w:val="FFFFFF"/>
                <w:sz w:val="20"/>
              </w:rPr>
              <w:tab/>
              <w:t>Funding</w:t>
            </w:r>
            <w:r>
              <w:rPr>
                <w:b/>
                <w:color w:val="FFFFFF"/>
                <w:spacing w:val="-8"/>
                <w:sz w:val="20"/>
              </w:rPr>
              <w:t> </w:t>
            </w:r>
            <w:r>
              <w:rPr>
                <w:b/>
                <w:color w:val="FFFFFF"/>
                <w:spacing w:val="-2"/>
                <w:sz w:val="20"/>
              </w:rPr>
              <w:t>Sources</w:t>
            </w:r>
          </w:p>
        </w:tc>
      </w:tr>
      <w:tr>
        <w:trPr>
          <w:trHeight w:val="258" w:hRule="atLeast"/>
        </w:trPr>
        <w:tc>
          <w:tcPr>
            <w:tcW w:w="4702" w:type="dxa"/>
            <w:tcBorders>
              <w:left w:val="single" w:sz="4" w:space="0" w:color="000000"/>
            </w:tcBorders>
            <w:shd w:val="clear" w:color="auto" w:fill="629CD1"/>
          </w:tcPr>
          <w:p>
            <w:pPr>
              <w:pStyle w:val="TableParagraph"/>
              <w:spacing w:line="227" w:lineRule="exact" w:before="11"/>
              <w:ind w:left="107"/>
              <w:rPr>
                <w:b/>
                <w:sz w:val="20"/>
              </w:rPr>
            </w:pPr>
            <w:r>
              <w:rPr>
                <w:b/>
                <w:color w:val="FFFFFF"/>
                <w:spacing w:val="-2"/>
                <w:sz w:val="20"/>
              </w:rPr>
              <w:t>2024/25</w:t>
            </w:r>
          </w:p>
        </w:tc>
        <w:tc>
          <w:tcPr>
            <w:tcW w:w="1169" w:type="dxa"/>
            <w:shd w:val="clear" w:color="auto" w:fill="629CD1"/>
          </w:tcPr>
          <w:p>
            <w:pPr>
              <w:pStyle w:val="TableParagraph"/>
              <w:spacing w:line="227" w:lineRule="exact" w:before="11"/>
              <w:ind w:right="180"/>
              <w:jc w:val="right"/>
              <w:rPr>
                <w:b/>
                <w:sz w:val="20"/>
              </w:rPr>
            </w:pPr>
            <w:r>
              <w:rPr>
                <w:b/>
                <w:color w:val="FFFFFF"/>
                <w:spacing w:val="-2"/>
                <w:sz w:val="20"/>
              </w:rPr>
              <w:t>Total</w:t>
            </w:r>
          </w:p>
        </w:tc>
        <w:tc>
          <w:tcPr>
            <w:tcW w:w="1966" w:type="dxa"/>
            <w:shd w:val="clear" w:color="auto" w:fill="629CD1"/>
          </w:tcPr>
          <w:p>
            <w:pPr>
              <w:pStyle w:val="TableParagraph"/>
              <w:tabs>
                <w:tab w:pos="626" w:val="left" w:leader="none"/>
              </w:tabs>
              <w:spacing w:line="227" w:lineRule="exact" w:before="11"/>
              <w:ind w:right="138"/>
              <w:jc w:val="right"/>
              <w:rPr>
                <w:b/>
                <w:sz w:val="20"/>
              </w:rPr>
            </w:pPr>
            <w:r>
              <w:rPr>
                <w:b/>
                <w:color w:val="FFFFFF"/>
                <w:spacing w:val="-5"/>
                <w:sz w:val="20"/>
              </w:rPr>
              <w:t>New</w:t>
            </w:r>
            <w:r>
              <w:rPr>
                <w:b/>
                <w:color w:val="FFFFFF"/>
                <w:sz w:val="20"/>
              </w:rPr>
              <w:tab/>
            </w:r>
            <w:r>
              <w:rPr>
                <w:b/>
                <w:color w:val="FFFFFF"/>
                <w:spacing w:val="-2"/>
                <w:sz w:val="20"/>
              </w:rPr>
              <w:t>Renewal</w:t>
            </w:r>
          </w:p>
        </w:tc>
        <w:tc>
          <w:tcPr>
            <w:tcW w:w="1060" w:type="dxa"/>
            <w:tcBorders>
              <w:right w:val="single" w:sz="4" w:space="0" w:color="000000"/>
            </w:tcBorders>
            <w:shd w:val="clear" w:color="auto" w:fill="629CD1"/>
          </w:tcPr>
          <w:p>
            <w:pPr>
              <w:pStyle w:val="TableParagraph"/>
              <w:spacing w:line="227" w:lineRule="exact" w:before="11"/>
              <w:ind w:right="100"/>
              <w:jc w:val="right"/>
              <w:rPr>
                <w:b/>
                <w:sz w:val="20"/>
              </w:rPr>
            </w:pPr>
            <w:r>
              <w:rPr>
                <w:b/>
                <w:color w:val="FFFFFF"/>
                <w:spacing w:val="-2"/>
                <w:sz w:val="20"/>
              </w:rPr>
              <w:t>Upgrade</w:t>
            </w:r>
          </w:p>
        </w:tc>
        <w:tc>
          <w:tcPr>
            <w:tcW w:w="1581" w:type="dxa"/>
            <w:tcBorders>
              <w:left w:val="single" w:sz="4" w:space="0" w:color="000000"/>
            </w:tcBorders>
            <w:shd w:val="clear" w:color="auto" w:fill="629CD1"/>
          </w:tcPr>
          <w:p>
            <w:pPr>
              <w:pStyle w:val="TableParagraph"/>
              <w:spacing w:line="227" w:lineRule="exact" w:before="11"/>
              <w:ind w:right="275"/>
              <w:jc w:val="right"/>
              <w:rPr>
                <w:b/>
                <w:sz w:val="20"/>
              </w:rPr>
            </w:pPr>
            <w:r>
              <w:rPr>
                <w:b/>
                <w:color w:val="FFFFFF"/>
                <w:spacing w:val="-2"/>
                <w:sz w:val="20"/>
              </w:rPr>
              <w:t>Total</w:t>
            </w:r>
          </w:p>
        </w:tc>
        <w:tc>
          <w:tcPr>
            <w:tcW w:w="1038" w:type="dxa"/>
            <w:shd w:val="clear" w:color="auto" w:fill="629CD1"/>
          </w:tcPr>
          <w:p>
            <w:pPr>
              <w:pStyle w:val="TableParagraph"/>
              <w:spacing w:line="227" w:lineRule="exact" w:before="11"/>
              <w:ind w:right="106"/>
              <w:jc w:val="right"/>
              <w:rPr>
                <w:b/>
                <w:sz w:val="20"/>
              </w:rPr>
            </w:pPr>
            <w:r>
              <w:rPr>
                <w:b/>
                <w:color w:val="FFFFFF"/>
                <w:spacing w:val="-2"/>
                <w:sz w:val="20"/>
              </w:rPr>
              <w:t>Grants</w:t>
            </w:r>
          </w:p>
        </w:tc>
        <w:tc>
          <w:tcPr>
            <w:tcW w:w="1625" w:type="dxa"/>
            <w:shd w:val="clear" w:color="auto" w:fill="629CD1"/>
          </w:tcPr>
          <w:p>
            <w:pPr>
              <w:pStyle w:val="TableParagraph"/>
              <w:spacing w:line="227" w:lineRule="exact" w:before="11"/>
              <w:ind w:right="202"/>
              <w:jc w:val="right"/>
              <w:rPr>
                <w:b/>
                <w:sz w:val="20"/>
              </w:rPr>
            </w:pPr>
            <w:r>
              <w:rPr>
                <w:b/>
                <w:color w:val="FFFFFF"/>
                <w:spacing w:val="-2"/>
                <w:sz w:val="20"/>
              </w:rPr>
              <w:t>Contributions</w:t>
            </w:r>
          </w:p>
        </w:tc>
        <w:tc>
          <w:tcPr>
            <w:tcW w:w="1594" w:type="dxa"/>
            <w:tcBorders>
              <w:right w:val="single" w:sz="4" w:space="0" w:color="000000"/>
            </w:tcBorders>
            <w:shd w:val="clear" w:color="auto" w:fill="629CD1"/>
          </w:tcPr>
          <w:p>
            <w:pPr>
              <w:pStyle w:val="TableParagraph"/>
              <w:spacing w:line="227" w:lineRule="exact" w:before="11"/>
              <w:ind w:right="103"/>
              <w:jc w:val="right"/>
              <w:rPr>
                <w:b/>
                <w:sz w:val="20"/>
              </w:rPr>
            </w:pPr>
            <w:r>
              <w:rPr>
                <w:b/>
                <w:color w:val="FFFFFF"/>
                <w:sz w:val="20"/>
              </w:rPr>
              <w:t>Council</w:t>
            </w:r>
            <w:r>
              <w:rPr>
                <w:b/>
                <w:color w:val="FFFFFF"/>
                <w:spacing w:val="-8"/>
                <w:sz w:val="20"/>
              </w:rPr>
              <w:t> </w:t>
            </w:r>
            <w:r>
              <w:rPr>
                <w:b/>
                <w:color w:val="FFFFFF"/>
                <w:spacing w:val="-4"/>
                <w:sz w:val="20"/>
              </w:rPr>
              <w:t>Cash</w:t>
            </w:r>
          </w:p>
        </w:tc>
      </w:tr>
      <w:tr>
        <w:trPr>
          <w:trHeight w:val="252" w:hRule="atLeast"/>
        </w:trPr>
        <w:tc>
          <w:tcPr>
            <w:tcW w:w="4702" w:type="dxa"/>
            <w:tcBorders>
              <w:left w:val="single" w:sz="4" w:space="0" w:color="000000"/>
            </w:tcBorders>
            <w:shd w:val="clear" w:color="auto" w:fill="629CD1"/>
          </w:tcPr>
          <w:p>
            <w:pPr>
              <w:pStyle w:val="TableParagraph"/>
              <w:rPr>
                <w:rFonts w:ascii="Times New Roman"/>
                <w:sz w:val="18"/>
              </w:rPr>
            </w:pPr>
          </w:p>
        </w:tc>
        <w:tc>
          <w:tcPr>
            <w:tcW w:w="1169" w:type="dxa"/>
            <w:shd w:val="clear" w:color="auto" w:fill="629CD1"/>
          </w:tcPr>
          <w:p>
            <w:pPr>
              <w:pStyle w:val="TableParagraph"/>
              <w:spacing w:line="223" w:lineRule="exact" w:before="10"/>
              <w:ind w:right="183"/>
              <w:jc w:val="right"/>
              <w:rPr>
                <w:b/>
                <w:sz w:val="20"/>
              </w:rPr>
            </w:pPr>
            <w:r>
              <w:rPr>
                <w:b/>
                <w:color w:val="FFFFFF"/>
                <w:spacing w:val="-2"/>
                <w:sz w:val="20"/>
              </w:rPr>
              <w:t>$'000</w:t>
            </w:r>
          </w:p>
        </w:tc>
        <w:tc>
          <w:tcPr>
            <w:tcW w:w="1966" w:type="dxa"/>
            <w:shd w:val="clear" w:color="auto" w:fill="629CD1"/>
          </w:tcPr>
          <w:p>
            <w:pPr>
              <w:pStyle w:val="TableParagraph"/>
              <w:tabs>
                <w:tab w:pos="1027" w:val="left" w:leader="none"/>
              </w:tabs>
              <w:spacing w:line="223" w:lineRule="exact" w:before="10"/>
              <w:ind w:right="138"/>
              <w:jc w:val="right"/>
              <w:rPr>
                <w:b/>
                <w:sz w:val="20"/>
              </w:rPr>
            </w:pPr>
            <w:r>
              <w:rPr>
                <w:b/>
                <w:color w:val="FFFFFF"/>
                <w:spacing w:val="-2"/>
                <w:sz w:val="20"/>
              </w:rPr>
              <w:t>$'000</w:t>
            </w:r>
            <w:r>
              <w:rPr>
                <w:b/>
                <w:color w:val="FFFFFF"/>
                <w:sz w:val="20"/>
              </w:rPr>
              <w:tab/>
            </w:r>
            <w:r>
              <w:rPr>
                <w:b/>
                <w:color w:val="FFFFFF"/>
                <w:spacing w:val="-4"/>
                <w:sz w:val="20"/>
              </w:rPr>
              <w:t>$'000</w:t>
            </w:r>
          </w:p>
        </w:tc>
        <w:tc>
          <w:tcPr>
            <w:tcW w:w="1060" w:type="dxa"/>
            <w:tcBorders>
              <w:right w:val="single" w:sz="4" w:space="0" w:color="000000"/>
            </w:tcBorders>
            <w:shd w:val="clear" w:color="auto" w:fill="629CD1"/>
          </w:tcPr>
          <w:p>
            <w:pPr>
              <w:pStyle w:val="TableParagraph"/>
              <w:spacing w:line="223" w:lineRule="exact" w:before="10"/>
              <w:ind w:right="101"/>
              <w:jc w:val="right"/>
              <w:rPr>
                <w:b/>
                <w:sz w:val="20"/>
              </w:rPr>
            </w:pPr>
            <w:r>
              <w:rPr>
                <w:b/>
                <w:color w:val="FFFFFF"/>
                <w:spacing w:val="-2"/>
                <w:sz w:val="20"/>
              </w:rPr>
              <w:t>$'000</w:t>
            </w:r>
          </w:p>
        </w:tc>
        <w:tc>
          <w:tcPr>
            <w:tcW w:w="1581" w:type="dxa"/>
            <w:tcBorders>
              <w:left w:val="single" w:sz="4" w:space="0" w:color="000000"/>
            </w:tcBorders>
            <w:shd w:val="clear" w:color="auto" w:fill="629CD1"/>
          </w:tcPr>
          <w:p>
            <w:pPr>
              <w:pStyle w:val="TableParagraph"/>
              <w:spacing w:line="223" w:lineRule="exact" w:before="10"/>
              <w:ind w:right="278"/>
              <w:jc w:val="right"/>
              <w:rPr>
                <w:b/>
                <w:sz w:val="20"/>
              </w:rPr>
            </w:pPr>
            <w:r>
              <w:rPr>
                <w:b/>
                <w:color w:val="FFFFFF"/>
                <w:spacing w:val="-2"/>
                <w:sz w:val="20"/>
              </w:rPr>
              <w:t>$'000</w:t>
            </w:r>
          </w:p>
        </w:tc>
        <w:tc>
          <w:tcPr>
            <w:tcW w:w="1038" w:type="dxa"/>
            <w:shd w:val="clear" w:color="auto" w:fill="629CD1"/>
          </w:tcPr>
          <w:p>
            <w:pPr>
              <w:pStyle w:val="TableParagraph"/>
              <w:spacing w:line="223" w:lineRule="exact" w:before="10"/>
              <w:ind w:right="107"/>
              <w:jc w:val="right"/>
              <w:rPr>
                <w:b/>
                <w:sz w:val="20"/>
              </w:rPr>
            </w:pPr>
            <w:r>
              <w:rPr>
                <w:b/>
                <w:color w:val="FFFFFF"/>
                <w:spacing w:val="-2"/>
                <w:sz w:val="20"/>
              </w:rPr>
              <w:t>$'000</w:t>
            </w:r>
          </w:p>
        </w:tc>
        <w:tc>
          <w:tcPr>
            <w:tcW w:w="1625" w:type="dxa"/>
            <w:shd w:val="clear" w:color="auto" w:fill="629CD1"/>
          </w:tcPr>
          <w:p>
            <w:pPr>
              <w:pStyle w:val="TableParagraph"/>
              <w:spacing w:line="223" w:lineRule="exact" w:before="10"/>
              <w:ind w:right="205"/>
              <w:jc w:val="right"/>
              <w:rPr>
                <w:b/>
                <w:sz w:val="20"/>
              </w:rPr>
            </w:pPr>
            <w:r>
              <w:rPr>
                <w:b/>
                <w:color w:val="FFFFFF"/>
                <w:spacing w:val="-2"/>
                <w:sz w:val="20"/>
              </w:rPr>
              <w:t>$'000</w:t>
            </w:r>
          </w:p>
        </w:tc>
        <w:tc>
          <w:tcPr>
            <w:tcW w:w="1594" w:type="dxa"/>
            <w:tcBorders>
              <w:right w:val="single" w:sz="4" w:space="0" w:color="000000"/>
            </w:tcBorders>
            <w:shd w:val="clear" w:color="auto" w:fill="629CD1"/>
          </w:tcPr>
          <w:p>
            <w:pPr>
              <w:pStyle w:val="TableParagraph"/>
              <w:spacing w:line="223" w:lineRule="exact" w:before="10"/>
              <w:ind w:right="102"/>
              <w:jc w:val="right"/>
              <w:rPr>
                <w:b/>
                <w:sz w:val="20"/>
              </w:rPr>
            </w:pPr>
            <w:r>
              <w:rPr>
                <w:b/>
                <w:color w:val="FFFFFF"/>
                <w:spacing w:val="-2"/>
                <w:sz w:val="20"/>
              </w:rPr>
              <w:t>$'000</w:t>
            </w:r>
          </w:p>
        </w:tc>
      </w:tr>
      <w:tr>
        <w:trPr>
          <w:trHeight w:val="524" w:hRule="atLeast"/>
        </w:trPr>
        <w:tc>
          <w:tcPr>
            <w:tcW w:w="4702" w:type="dxa"/>
            <w:tcBorders>
              <w:left w:val="single" w:sz="4" w:space="0" w:color="000000"/>
            </w:tcBorders>
          </w:tcPr>
          <w:p>
            <w:pPr>
              <w:pStyle w:val="TableParagraph"/>
              <w:spacing w:before="2"/>
              <w:rPr>
                <w:b/>
                <w:sz w:val="24"/>
              </w:rPr>
            </w:pPr>
          </w:p>
          <w:p>
            <w:pPr>
              <w:pStyle w:val="TableParagraph"/>
              <w:spacing w:line="227" w:lineRule="exact"/>
              <w:ind w:left="107"/>
              <w:rPr>
                <w:b/>
                <w:sz w:val="20"/>
              </w:rPr>
            </w:pPr>
            <w:r>
              <w:rPr>
                <w:b/>
                <w:spacing w:val="-2"/>
                <w:sz w:val="20"/>
              </w:rPr>
              <w:t>Property</w:t>
            </w:r>
          </w:p>
        </w:tc>
        <w:tc>
          <w:tcPr>
            <w:tcW w:w="1169" w:type="dxa"/>
          </w:tcPr>
          <w:p>
            <w:pPr>
              <w:pStyle w:val="TableParagraph"/>
              <w:rPr>
                <w:rFonts w:ascii="Times New Roman"/>
                <w:sz w:val="20"/>
              </w:rPr>
            </w:pPr>
          </w:p>
        </w:tc>
        <w:tc>
          <w:tcPr>
            <w:tcW w:w="1966" w:type="dxa"/>
          </w:tcPr>
          <w:p>
            <w:pPr>
              <w:pStyle w:val="TableParagraph"/>
              <w:rPr>
                <w:rFonts w:ascii="Times New Roman"/>
                <w:sz w:val="20"/>
              </w:rPr>
            </w:pPr>
          </w:p>
        </w:tc>
        <w:tc>
          <w:tcPr>
            <w:tcW w:w="1060" w:type="dxa"/>
            <w:tcBorders>
              <w:right w:val="single" w:sz="4" w:space="0" w:color="000000"/>
            </w:tcBorders>
          </w:tcPr>
          <w:p>
            <w:pPr>
              <w:pStyle w:val="TableParagraph"/>
              <w:rPr>
                <w:rFonts w:ascii="Times New Roman"/>
                <w:sz w:val="20"/>
              </w:rPr>
            </w:pPr>
          </w:p>
        </w:tc>
        <w:tc>
          <w:tcPr>
            <w:tcW w:w="1581" w:type="dxa"/>
            <w:tcBorders>
              <w:left w:val="single" w:sz="4" w:space="0" w:color="000000"/>
            </w:tcBorders>
          </w:tcPr>
          <w:p>
            <w:pPr>
              <w:pStyle w:val="TableParagraph"/>
              <w:rPr>
                <w:rFonts w:ascii="Times New Roman"/>
                <w:sz w:val="20"/>
              </w:rPr>
            </w:pPr>
          </w:p>
        </w:tc>
        <w:tc>
          <w:tcPr>
            <w:tcW w:w="1038" w:type="dxa"/>
          </w:tcPr>
          <w:p>
            <w:pPr>
              <w:pStyle w:val="TableParagraph"/>
              <w:rPr>
                <w:rFonts w:ascii="Times New Roman"/>
                <w:sz w:val="20"/>
              </w:rPr>
            </w:pPr>
          </w:p>
        </w:tc>
        <w:tc>
          <w:tcPr>
            <w:tcW w:w="1625" w:type="dxa"/>
          </w:tcPr>
          <w:p>
            <w:pPr>
              <w:pStyle w:val="TableParagraph"/>
              <w:rPr>
                <w:rFonts w:ascii="Times New Roman"/>
                <w:sz w:val="20"/>
              </w:rPr>
            </w:pPr>
          </w:p>
        </w:tc>
        <w:tc>
          <w:tcPr>
            <w:tcW w:w="1594" w:type="dxa"/>
            <w:tcBorders>
              <w:right w:val="single" w:sz="4" w:space="0" w:color="000000"/>
            </w:tcBorders>
          </w:tcPr>
          <w:p>
            <w:pPr>
              <w:pStyle w:val="TableParagraph"/>
              <w:rPr>
                <w:rFonts w:ascii="Times New Roman"/>
                <w:sz w:val="20"/>
              </w:rPr>
            </w:pPr>
          </w:p>
        </w:tc>
      </w:tr>
      <w:tr>
        <w:trPr>
          <w:trHeight w:val="255" w:hRule="atLeast"/>
        </w:trPr>
        <w:tc>
          <w:tcPr>
            <w:tcW w:w="4702" w:type="dxa"/>
            <w:tcBorders>
              <w:left w:val="single" w:sz="4" w:space="0" w:color="000000"/>
            </w:tcBorders>
          </w:tcPr>
          <w:p>
            <w:pPr>
              <w:pStyle w:val="TableParagraph"/>
              <w:spacing w:line="226" w:lineRule="exact" w:before="10"/>
              <w:ind w:left="107"/>
              <w:rPr>
                <w:sz w:val="20"/>
              </w:rPr>
            </w:pPr>
            <w:r>
              <w:rPr>
                <w:spacing w:val="-4"/>
                <w:sz w:val="20"/>
              </w:rPr>
              <w:t>Land</w:t>
            </w:r>
          </w:p>
        </w:tc>
        <w:tc>
          <w:tcPr>
            <w:tcW w:w="1169" w:type="dxa"/>
          </w:tcPr>
          <w:p>
            <w:pPr>
              <w:pStyle w:val="TableParagraph"/>
              <w:spacing w:line="226" w:lineRule="exact" w:before="10"/>
              <w:ind w:right="181"/>
              <w:jc w:val="right"/>
              <w:rPr>
                <w:sz w:val="20"/>
              </w:rPr>
            </w:pPr>
            <w:r>
              <w:rPr>
                <w:w w:val="99"/>
                <w:sz w:val="20"/>
              </w:rPr>
              <w:t>0</w:t>
            </w:r>
          </w:p>
        </w:tc>
        <w:tc>
          <w:tcPr>
            <w:tcW w:w="1966" w:type="dxa"/>
          </w:tcPr>
          <w:p>
            <w:pPr>
              <w:pStyle w:val="TableParagraph"/>
              <w:tabs>
                <w:tab w:pos="1027" w:val="left" w:leader="none"/>
              </w:tabs>
              <w:spacing w:line="226" w:lineRule="exact" w:before="10"/>
              <w:ind w:right="135"/>
              <w:jc w:val="right"/>
              <w:rPr>
                <w:sz w:val="20"/>
              </w:rPr>
            </w:pPr>
            <w:r>
              <w:rPr>
                <w:spacing w:val="-10"/>
                <w:sz w:val="20"/>
              </w:rPr>
              <w:t>0</w:t>
            </w:r>
            <w:r>
              <w:rPr>
                <w:sz w:val="20"/>
              </w:rPr>
              <w:tab/>
            </w:r>
            <w:r>
              <w:rPr>
                <w:spacing w:val="-10"/>
                <w:sz w:val="20"/>
              </w:rPr>
              <w:t>0</w:t>
            </w:r>
          </w:p>
        </w:tc>
        <w:tc>
          <w:tcPr>
            <w:tcW w:w="1060" w:type="dxa"/>
            <w:tcBorders>
              <w:right w:val="single" w:sz="4" w:space="0" w:color="000000"/>
            </w:tcBorders>
          </w:tcPr>
          <w:p>
            <w:pPr>
              <w:pStyle w:val="TableParagraph"/>
              <w:spacing w:line="226" w:lineRule="exact" w:before="10"/>
              <w:ind w:right="98"/>
              <w:jc w:val="right"/>
              <w:rPr>
                <w:sz w:val="20"/>
              </w:rPr>
            </w:pPr>
            <w:r>
              <w:rPr>
                <w:w w:val="99"/>
                <w:sz w:val="20"/>
              </w:rPr>
              <w:t>0</w:t>
            </w:r>
          </w:p>
        </w:tc>
        <w:tc>
          <w:tcPr>
            <w:tcW w:w="1581" w:type="dxa"/>
            <w:tcBorders>
              <w:left w:val="single" w:sz="4" w:space="0" w:color="000000"/>
            </w:tcBorders>
          </w:tcPr>
          <w:p>
            <w:pPr>
              <w:pStyle w:val="TableParagraph"/>
              <w:spacing w:line="226" w:lineRule="exact" w:before="10"/>
              <w:ind w:right="275"/>
              <w:jc w:val="right"/>
              <w:rPr>
                <w:sz w:val="20"/>
              </w:rPr>
            </w:pPr>
            <w:r>
              <w:rPr>
                <w:w w:val="99"/>
                <w:sz w:val="20"/>
              </w:rPr>
              <w:t>0</w:t>
            </w:r>
          </w:p>
        </w:tc>
        <w:tc>
          <w:tcPr>
            <w:tcW w:w="1038" w:type="dxa"/>
          </w:tcPr>
          <w:p>
            <w:pPr>
              <w:pStyle w:val="TableParagraph"/>
              <w:spacing w:line="226" w:lineRule="exact" w:before="10"/>
              <w:ind w:right="104"/>
              <w:jc w:val="right"/>
              <w:rPr>
                <w:sz w:val="20"/>
              </w:rPr>
            </w:pPr>
            <w:r>
              <w:rPr>
                <w:w w:val="99"/>
                <w:sz w:val="20"/>
              </w:rPr>
              <w:t>0</w:t>
            </w:r>
          </w:p>
        </w:tc>
        <w:tc>
          <w:tcPr>
            <w:tcW w:w="1625" w:type="dxa"/>
          </w:tcPr>
          <w:p>
            <w:pPr>
              <w:pStyle w:val="TableParagraph"/>
              <w:spacing w:line="226" w:lineRule="exact" w:before="10"/>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10"/>
              <w:ind w:right="99"/>
              <w:jc w:val="right"/>
              <w:rPr>
                <w:sz w:val="20"/>
              </w:rPr>
            </w:pPr>
            <w:r>
              <w:rPr>
                <w:w w:val="99"/>
                <w:sz w:val="20"/>
              </w:rPr>
              <w:t>0</w:t>
            </w:r>
          </w:p>
        </w:tc>
      </w:tr>
      <w:tr>
        <w:trPr>
          <w:trHeight w:val="239" w:hRule="atLeast"/>
        </w:trPr>
        <w:tc>
          <w:tcPr>
            <w:tcW w:w="4702" w:type="dxa"/>
            <w:tcBorders>
              <w:left w:val="single" w:sz="4" w:space="0" w:color="000000"/>
            </w:tcBorders>
          </w:tcPr>
          <w:p>
            <w:pPr>
              <w:pStyle w:val="TableParagraph"/>
              <w:spacing w:line="211" w:lineRule="exact" w:before="8"/>
              <w:ind w:left="107"/>
              <w:rPr>
                <w:sz w:val="20"/>
              </w:rPr>
            </w:pPr>
            <w:r>
              <w:rPr>
                <w:sz w:val="20"/>
              </w:rPr>
              <w:t>Land</w:t>
            </w:r>
            <w:r>
              <w:rPr>
                <w:spacing w:val="-7"/>
                <w:sz w:val="20"/>
              </w:rPr>
              <w:t> </w:t>
            </w:r>
            <w:r>
              <w:rPr>
                <w:spacing w:val="-2"/>
                <w:sz w:val="20"/>
              </w:rPr>
              <w:t>improvements</w:t>
            </w:r>
          </w:p>
        </w:tc>
        <w:tc>
          <w:tcPr>
            <w:tcW w:w="1169" w:type="dxa"/>
            <w:tcBorders>
              <w:bottom w:val="single" w:sz="4" w:space="0" w:color="000000"/>
            </w:tcBorders>
          </w:tcPr>
          <w:p>
            <w:pPr>
              <w:pStyle w:val="TableParagraph"/>
              <w:spacing w:line="211" w:lineRule="exact" w:before="8"/>
              <w:ind w:right="179"/>
              <w:jc w:val="right"/>
              <w:rPr>
                <w:sz w:val="20"/>
              </w:rPr>
            </w:pPr>
            <w:r>
              <w:rPr>
                <w:w w:val="99"/>
                <w:sz w:val="20"/>
              </w:rPr>
              <w:t>0</w:t>
            </w:r>
          </w:p>
        </w:tc>
        <w:tc>
          <w:tcPr>
            <w:tcW w:w="1966" w:type="dxa"/>
            <w:tcBorders>
              <w:bottom w:val="single" w:sz="4" w:space="0" w:color="000000"/>
            </w:tcBorders>
          </w:tcPr>
          <w:p>
            <w:pPr>
              <w:pStyle w:val="TableParagraph"/>
              <w:tabs>
                <w:tab w:pos="1027" w:val="left" w:leader="none"/>
              </w:tabs>
              <w:spacing w:line="211" w:lineRule="exact" w:before="8"/>
              <w:ind w:right="135"/>
              <w:jc w:val="right"/>
              <w:rPr>
                <w:sz w:val="20"/>
              </w:rPr>
            </w:pPr>
            <w:r>
              <w:rPr>
                <w:spacing w:val="-10"/>
                <w:sz w:val="20"/>
              </w:rPr>
              <w:t>0</w:t>
            </w:r>
            <w:r>
              <w:rPr>
                <w:sz w:val="20"/>
              </w:rPr>
              <w:tab/>
            </w:r>
            <w:r>
              <w:rPr>
                <w:spacing w:val="-10"/>
                <w:sz w:val="20"/>
              </w:rPr>
              <w:t>0</w:t>
            </w:r>
          </w:p>
        </w:tc>
        <w:tc>
          <w:tcPr>
            <w:tcW w:w="1060" w:type="dxa"/>
            <w:tcBorders>
              <w:bottom w:val="single" w:sz="4" w:space="0" w:color="000000"/>
              <w:right w:val="single" w:sz="4" w:space="0" w:color="000000"/>
            </w:tcBorders>
          </w:tcPr>
          <w:p>
            <w:pPr>
              <w:pStyle w:val="TableParagraph"/>
              <w:spacing w:line="211" w:lineRule="exact" w:before="8"/>
              <w:ind w:right="98"/>
              <w:jc w:val="right"/>
              <w:rPr>
                <w:sz w:val="20"/>
              </w:rPr>
            </w:pPr>
            <w:r>
              <w:rPr>
                <w:w w:val="99"/>
                <w:sz w:val="20"/>
              </w:rPr>
              <w:t>0</w:t>
            </w:r>
          </w:p>
        </w:tc>
        <w:tc>
          <w:tcPr>
            <w:tcW w:w="1581" w:type="dxa"/>
            <w:tcBorders>
              <w:left w:val="single" w:sz="4" w:space="0" w:color="000000"/>
              <w:bottom w:val="single" w:sz="4" w:space="0" w:color="000000"/>
            </w:tcBorders>
          </w:tcPr>
          <w:p>
            <w:pPr>
              <w:pStyle w:val="TableParagraph"/>
              <w:spacing w:line="211" w:lineRule="exact" w:before="8"/>
              <w:ind w:right="275"/>
              <w:jc w:val="right"/>
              <w:rPr>
                <w:sz w:val="20"/>
              </w:rPr>
            </w:pPr>
            <w:r>
              <w:rPr>
                <w:w w:val="99"/>
                <w:sz w:val="20"/>
              </w:rPr>
              <w:t>0</w:t>
            </w:r>
          </w:p>
        </w:tc>
        <w:tc>
          <w:tcPr>
            <w:tcW w:w="1038" w:type="dxa"/>
            <w:tcBorders>
              <w:bottom w:val="single" w:sz="4" w:space="0" w:color="000000"/>
            </w:tcBorders>
          </w:tcPr>
          <w:p>
            <w:pPr>
              <w:pStyle w:val="TableParagraph"/>
              <w:spacing w:line="211" w:lineRule="exact" w:before="8"/>
              <w:ind w:right="104"/>
              <w:jc w:val="right"/>
              <w:rPr>
                <w:sz w:val="20"/>
              </w:rPr>
            </w:pPr>
            <w:r>
              <w:rPr>
                <w:w w:val="99"/>
                <w:sz w:val="20"/>
              </w:rPr>
              <w:t>0</w:t>
            </w:r>
          </w:p>
        </w:tc>
        <w:tc>
          <w:tcPr>
            <w:tcW w:w="1625" w:type="dxa"/>
            <w:tcBorders>
              <w:bottom w:val="single" w:sz="4" w:space="0" w:color="000000"/>
            </w:tcBorders>
          </w:tcPr>
          <w:p>
            <w:pPr>
              <w:pStyle w:val="TableParagraph"/>
              <w:spacing w:line="211" w:lineRule="exact" w:before="8"/>
              <w:ind w:right="202"/>
              <w:jc w:val="right"/>
              <w:rPr>
                <w:sz w:val="20"/>
              </w:rPr>
            </w:pPr>
            <w:r>
              <w:rPr>
                <w:w w:val="99"/>
                <w:sz w:val="20"/>
              </w:rPr>
              <w:t>0</w:t>
            </w:r>
          </w:p>
        </w:tc>
        <w:tc>
          <w:tcPr>
            <w:tcW w:w="1594" w:type="dxa"/>
            <w:tcBorders>
              <w:bottom w:val="single" w:sz="4" w:space="0" w:color="000000"/>
              <w:right w:val="single" w:sz="4" w:space="0" w:color="000000"/>
            </w:tcBorders>
          </w:tcPr>
          <w:p>
            <w:pPr>
              <w:pStyle w:val="TableParagraph"/>
              <w:spacing w:line="211" w:lineRule="exact" w:before="8"/>
              <w:ind w:right="99"/>
              <w:jc w:val="right"/>
              <w:rPr>
                <w:sz w:val="20"/>
              </w:rPr>
            </w:pPr>
            <w:r>
              <w:rPr>
                <w:w w:val="99"/>
                <w:sz w:val="20"/>
              </w:rPr>
              <w:t>0</w:t>
            </w:r>
          </w:p>
        </w:tc>
      </w:tr>
      <w:tr>
        <w:trPr>
          <w:trHeight w:val="254" w:hRule="atLeast"/>
        </w:trPr>
        <w:tc>
          <w:tcPr>
            <w:tcW w:w="4702"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4"/>
                <w:sz w:val="20"/>
              </w:rPr>
              <w:t>Land</w:t>
            </w:r>
          </w:p>
        </w:tc>
        <w:tc>
          <w:tcPr>
            <w:tcW w:w="1169" w:type="dxa"/>
            <w:tcBorders>
              <w:top w:val="single" w:sz="4" w:space="0" w:color="000000"/>
              <w:bottom w:val="single" w:sz="4" w:space="0" w:color="000000"/>
            </w:tcBorders>
          </w:tcPr>
          <w:p>
            <w:pPr>
              <w:pStyle w:val="TableParagraph"/>
              <w:spacing w:line="211" w:lineRule="exact" w:before="23"/>
              <w:ind w:right="180"/>
              <w:jc w:val="right"/>
              <w:rPr>
                <w:sz w:val="20"/>
              </w:rPr>
            </w:pPr>
            <w:r>
              <w:rPr>
                <w:w w:val="99"/>
                <w:sz w:val="20"/>
              </w:rPr>
              <w:t>0</w:t>
            </w:r>
          </w:p>
        </w:tc>
        <w:tc>
          <w:tcPr>
            <w:tcW w:w="1966" w:type="dxa"/>
            <w:tcBorders>
              <w:top w:val="single" w:sz="4" w:space="0" w:color="000000"/>
              <w:bottom w:val="single" w:sz="4" w:space="0" w:color="000000"/>
            </w:tcBorders>
          </w:tcPr>
          <w:p>
            <w:pPr>
              <w:pStyle w:val="TableParagraph"/>
              <w:tabs>
                <w:tab w:pos="1027" w:val="left" w:leader="none"/>
              </w:tabs>
              <w:spacing w:line="211" w:lineRule="exact" w:before="23"/>
              <w:ind w:right="135"/>
              <w:jc w:val="right"/>
              <w:rPr>
                <w:sz w:val="20"/>
              </w:rPr>
            </w:pPr>
            <w:r>
              <w:rPr>
                <w:spacing w:val="-10"/>
                <w:sz w:val="20"/>
              </w:rPr>
              <w:t>0</w:t>
            </w:r>
            <w:r>
              <w:rPr>
                <w:sz w:val="20"/>
              </w:rPr>
              <w:tab/>
            </w:r>
            <w:r>
              <w:rPr>
                <w:spacing w:val="-10"/>
                <w:sz w:val="20"/>
              </w:rPr>
              <w:t>0</w:t>
            </w:r>
          </w:p>
        </w:tc>
        <w:tc>
          <w:tcPr>
            <w:tcW w:w="1060" w:type="dxa"/>
            <w:tcBorders>
              <w:top w:val="single" w:sz="4" w:space="0" w:color="000000"/>
              <w:bottom w:val="single" w:sz="4" w:space="0" w:color="000000"/>
              <w:right w:val="single" w:sz="4" w:space="0" w:color="000000"/>
            </w:tcBorders>
          </w:tcPr>
          <w:p>
            <w:pPr>
              <w:pStyle w:val="TableParagraph"/>
              <w:spacing w:line="211" w:lineRule="exact" w:before="23"/>
              <w:ind w:right="98"/>
              <w:jc w:val="right"/>
              <w:rPr>
                <w:sz w:val="20"/>
              </w:rPr>
            </w:pPr>
            <w:r>
              <w:rPr>
                <w:w w:val="99"/>
                <w:sz w:val="20"/>
              </w:rPr>
              <w:t>0</w:t>
            </w:r>
          </w:p>
        </w:tc>
        <w:tc>
          <w:tcPr>
            <w:tcW w:w="1581" w:type="dxa"/>
            <w:tcBorders>
              <w:top w:val="single" w:sz="4" w:space="0" w:color="000000"/>
              <w:left w:val="single" w:sz="4" w:space="0" w:color="000000"/>
              <w:bottom w:val="single" w:sz="4" w:space="0" w:color="000000"/>
            </w:tcBorders>
          </w:tcPr>
          <w:p>
            <w:pPr>
              <w:pStyle w:val="TableParagraph"/>
              <w:spacing w:line="211" w:lineRule="exact" w:before="23"/>
              <w:ind w:right="275"/>
              <w:jc w:val="right"/>
              <w:rPr>
                <w:sz w:val="20"/>
              </w:rPr>
            </w:pPr>
            <w:r>
              <w:rPr>
                <w:w w:val="99"/>
                <w:sz w:val="20"/>
              </w:rPr>
              <w:t>0</w:t>
            </w:r>
          </w:p>
        </w:tc>
        <w:tc>
          <w:tcPr>
            <w:tcW w:w="1038" w:type="dxa"/>
            <w:tcBorders>
              <w:top w:val="single" w:sz="4" w:space="0" w:color="000000"/>
              <w:bottom w:val="single" w:sz="4" w:space="0" w:color="000000"/>
            </w:tcBorders>
          </w:tcPr>
          <w:p>
            <w:pPr>
              <w:pStyle w:val="TableParagraph"/>
              <w:spacing w:line="211" w:lineRule="exact" w:before="23"/>
              <w:ind w:right="104"/>
              <w:jc w:val="right"/>
              <w:rPr>
                <w:sz w:val="20"/>
              </w:rPr>
            </w:pPr>
            <w:r>
              <w:rPr>
                <w:w w:val="99"/>
                <w:sz w:val="20"/>
              </w:rPr>
              <w:t>0</w:t>
            </w:r>
          </w:p>
        </w:tc>
        <w:tc>
          <w:tcPr>
            <w:tcW w:w="1625" w:type="dxa"/>
            <w:tcBorders>
              <w:top w:val="single" w:sz="4" w:space="0" w:color="000000"/>
              <w:bottom w:val="single" w:sz="4" w:space="0" w:color="000000"/>
            </w:tcBorders>
          </w:tcPr>
          <w:p>
            <w:pPr>
              <w:pStyle w:val="TableParagraph"/>
              <w:spacing w:line="211" w:lineRule="exact" w:before="23"/>
              <w:ind w:right="202"/>
              <w:jc w:val="right"/>
              <w:rPr>
                <w:sz w:val="20"/>
              </w:rPr>
            </w:pPr>
            <w:r>
              <w:rPr>
                <w:w w:val="99"/>
                <w:sz w:val="20"/>
              </w:rPr>
              <w:t>0</w:t>
            </w:r>
          </w:p>
        </w:tc>
        <w:tc>
          <w:tcPr>
            <w:tcW w:w="1594" w:type="dxa"/>
            <w:tcBorders>
              <w:top w:val="single" w:sz="4" w:space="0" w:color="000000"/>
              <w:bottom w:val="single" w:sz="4" w:space="0" w:color="000000"/>
              <w:right w:val="single" w:sz="4" w:space="0" w:color="000000"/>
            </w:tcBorders>
          </w:tcPr>
          <w:p>
            <w:pPr>
              <w:pStyle w:val="TableParagraph"/>
              <w:spacing w:line="211" w:lineRule="exact" w:before="23"/>
              <w:ind w:right="99"/>
              <w:jc w:val="right"/>
              <w:rPr>
                <w:sz w:val="20"/>
              </w:rPr>
            </w:pPr>
            <w:r>
              <w:rPr>
                <w:w w:val="99"/>
                <w:sz w:val="20"/>
              </w:rPr>
              <w:t>0</w:t>
            </w:r>
          </w:p>
        </w:tc>
      </w:tr>
      <w:tr>
        <w:trPr>
          <w:trHeight w:val="256" w:hRule="atLeast"/>
        </w:trPr>
        <w:tc>
          <w:tcPr>
            <w:tcW w:w="4702" w:type="dxa"/>
            <w:tcBorders>
              <w:left w:val="single" w:sz="4" w:space="0" w:color="000000"/>
            </w:tcBorders>
          </w:tcPr>
          <w:p>
            <w:pPr>
              <w:pStyle w:val="TableParagraph"/>
              <w:spacing w:line="211" w:lineRule="exact" w:before="26"/>
              <w:ind w:left="107"/>
              <w:rPr>
                <w:sz w:val="20"/>
              </w:rPr>
            </w:pPr>
            <w:r>
              <w:rPr>
                <w:spacing w:val="-2"/>
                <w:sz w:val="20"/>
              </w:rPr>
              <w:t>Buildings</w:t>
            </w:r>
          </w:p>
        </w:tc>
        <w:tc>
          <w:tcPr>
            <w:tcW w:w="1169" w:type="dxa"/>
            <w:tcBorders>
              <w:top w:val="single" w:sz="4" w:space="0" w:color="000000"/>
              <w:bottom w:val="single" w:sz="4" w:space="0" w:color="000000"/>
            </w:tcBorders>
          </w:tcPr>
          <w:p>
            <w:pPr>
              <w:pStyle w:val="TableParagraph"/>
              <w:spacing w:line="211" w:lineRule="exact" w:before="26"/>
              <w:ind w:right="183"/>
              <w:jc w:val="right"/>
              <w:rPr>
                <w:sz w:val="20"/>
              </w:rPr>
            </w:pPr>
            <w:r>
              <w:rPr>
                <w:spacing w:val="-2"/>
                <w:sz w:val="20"/>
              </w:rPr>
              <w:t>43,736</w:t>
            </w:r>
          </w:p>
        </w:tc>
        <w:tc>
          <w:tcPr>
            <w:tcW w:w="1966" w:type="dxa"/>
            <w:tcBorders>
              <w:top w:val="single" w:sz="4" w:space="0" w:color="000000"/>
              <w:bottom w:val="single" w:sz="4" w:space="0" w:color="000000"/>
            </w:tcBorders>
          </w:tcPr>
          <w:p>
            <w:pPr>
              <w:pStyle w:val="TableParagraph"/>
              <w:tabs>
                <w:tab w:pos="1027" w:val="left" w:leader="none"/>
              </w:tabs>
              <w:spacing w:line="211" w:lineRule="exact" w:before="26"/>
              <w:ind w:right="138"/>
              <w:jc w:val="right"/>
              <w:rPr>
                <w:sz w:val="20"/>
              </w:rPr>
            </w:pPr>
            <w:r>
              <w:rPr>
                <w:spacing w:val="-2"/>
                <w:sz w:val="20"/>
              </w:rPr>
              <w:t>27,700</w:t>
            </w:r>
            <w:r>
              <w:rPr>
                <w:sz w:val="20"/>
              </w:rPr>
              <w:tab/>
            </w:r>
            <w:r>
              <w:rPr>
                <w:spacing w:val="-2"/>
                <w:sz w:val="20"/>
              </w:rPr>
              <w:t>12,455</w:t>
            </w:r>
          </w:p>
        </w:tc>
        <w:tc>
          <w:tcPr>
            <w:tcW w:w="1060" w:type="dxa"/>
            <w:tcBorders>
              <w:top w:val="single" w:sz="4" w:space="0" w:color="000000"/>
              <w:bottom w:val="single" w:sz="4" w:space="0" w:color="000000"/>
            </w:tcBorders>
          </w:tcPr>
          <w:p>
            <w:pPr>
              <w:pStyle w:val="TableParagraph"/>
              <w:spacing w:line="211" w:lineRule="exact" w:before="26"/>
              <w:ind w:right="105"/>
              <w:jc w:val="right"/>
              <w:rPr>
                <w:sz w:val="20"/>
              </w:rPr>
            </w:pPr>
            <w:r>
              <w:rPr>
                <w:spacing w:val="-2"/>
                <w:sz w:val="20"/>
              </w:rPr>
              <w:t>3,581</w:t>
            </w:r>
          </w:p>
        </w:tc>
        <w:tc>
          <w:tcPr>
            <w:tcW w:w="1581" w:type="dxa"/>
            <w:tcBorders>
              <w:top w:val="single" w:sz="4" w:space="0" w:color="000000"/>
              <w:bottom w:val="single" w:sz="4" w:space="0" w:color="000000"/>
            </w:tcBorders>
          </w:tcPr>
          <w:p>
            <w:pPr>
              <w:pStyle w:val="TableParagraph"/>
              <w:spacing w:line="211" w:lineRule="exact" w:before="26"/>
              <w:ind w:right="283"/>
              <w:jc w:val="right"/>
              <w:rPr>
                <w:sz w:val="20"/>
              </w:rPr>
            </w:pPr>
            <w:r>
              <w:rPr>
                <w:spacing w:val="-2"/>
                <w:sz w:val="20"/>
              </w:rPr>
              <w:t>43,736</w:t>
            </w:r>
          </w:p>
        </w:tc>
        <w:tc>
          <w:tcPr>
            <w:tcW w:w="1038" w:type="dxa"/>
            <w:tcBorders>
              <w:top w:val="single" w:sz="4" w:space="0" w:color="000000"/>
              <w:bottom w:val="single" w:sz="4" w:space="0" w:color="000000"/>
            </w:tcBorders>
          </w:tcPr>
          <w:p>
            <w:pPr>
              <w:pStyle w:val="TableParagraph"/>
              <w:spacing w:line="211" w:lineRule="exact" w:before="26"/>
              <w:ind w:right="106"/>
              <w:jc w:val="right"/>
              <w:rPr>
                <w:sz w:val="20"/>
              </w:rPr>
            </w:pPr>
            <w:r>
              <w:rPr>
                <w:spacing w:val="-2"/>
                <w:sz w:val="20"/>
              </w:rPr>
              <w:t>26,200</w:t>
            </w:r>
          </w:p>
        </w:tc>
        <w:tc>
          <w:tcPr>
            <w:tcW w:w="1625" w:type="dxa"/>
            <w:tcBorders>
              <w:top w:val="single" w:sz="4" w:space="0" w:color="000000"/>
              <w:bottom w:val="single" w:sz="4" w:space="0" w:color="000000"/>
            </w:tcBorders>
          </w:tcPr>
          <w:p>
            <w:pPr>
              <w:pStyle w:val="TableParagraph"/>
              <w:spacing w:line="211" w:lineRule="exact" w:before="26"/>
              <w:ind w:right="204"/>
              <w:jc w:val="right"/>
              <w:rPr>
                <w:sz w:val="20"/>
              </w:rPr>
            </w:pPr>
            <w:r>
              <w:rPr>
                <w:spacing w:val="-2"/>
                <w:sz w:val="20"/>
              </w:rPr>
              <w:t>1,190</w:t>
            </w:r>
          </w:p>
        </w:tc>
        <w:tc>
          <w:tcPr>
            <w:tcW w:w="1594" w:type="dxa"/>
            <w:tcBorders>
              <w:top w:val="single" w:sz="4" w:space="0" w:color="000000"/>
              <w:bottom w:val="single" w:sz="4" w:space="0" w:color="000000"/>
              <w:right w:val="single" w:sz="4" w:space="0" w:color="000000"/>
            </w:tcBorders>
          </w:tcPr>
          <w:p>
            <w:pPr>
              <w:pStyle w:val="TableParagraph"/>
              <w:spacing w:line="211" w:lineRule="exact" w:before="26"/>
              <w:ind w:right="102"/>
              <w:jc w:val="right"/>
              <w:rPr>
                <w:sz w:val="20"/>
              </w:rPr>
            </w:pPr>
            <w:r>
              <w:rPr>
                <w:spacing w:val="-2"/>
                <w:sz w:val="20"/>
              </w:rPr>
              <w:t>16,346</w:t>
            </w:r>
          </w:p>
        </w:tc>
      </w:tr>
      <w:tr>
        <w:trPr>
          <w:trHeight w:val="254" w:hRule="atLeast"/>
        </w:trPr>
        <w:tc>
          <w:tcPr>
            <w:tcW w:w="4702"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Buildings</w:t>
            </w:r>
          </w:p>
        </w:tc>
        <w:tc>
          <w:tcPr>
            <w:tcW w:w="1169" w:type="dxa"/>
            <w:tcBorders>
              <w:top w:val="single" w:sz="4" w:space="0" w:color="000000"/>
              <w:bottom w:val="single" w:sz="4" w:space="0" w:color="000000"/>
            </w:tcBorders>
          </w:tcPr>
          <w:p>
            <w:pPr>
              <w:pStyle w:val="TableParagraph"/>
              <w:spacing w:line="211" w:lineRule="exact" w:before="23"/>
              <w:ind w:right="183"/>
              <w:jc w:val="right"/>
              <w:rPr>
                <w:sz w:val="20"/>
              </w:rPr>
            </w:pPr>
            <w:r>
              <w:rPr>
                <w:spacing w:val="-2"/>
                <w:sz w:val="20"/>
              </w:rPr>
              <w:t>43,736</w:t>
            </w:r>
          </w:p>
        </w:tc>
        <w:tc>
          <w:tcPr>
            <w:tcW w:w="1966" w:type="dxa"/>
            <w:tcBorders>
              <w:top w:val="single" w:sz="4" w:space="0" w:color="000000"/>
              <w:bottom w:val="single" w:sz="4" w:space="0" w:color="000000"/>
            </w:tcBorders>
          </w:tcPr>
          <w:p>
            <w:pPr>
              <w:pStyle w:val="TableParagraph"/>
              <w:tabs>
                <w:tab w:pos="1027" w:val="left" w:leader="none"/>
              </w:tabs>
              <w:spacing w:line="211" w:lineRule="exact" w:before="23"/>
              <w:ind w:right="138"/>
              <w:jc w:val="right"/>
              <w:rPr>
                <w:sz w:val="20"/>
              </w:rPr>
            </w:pPr>
            <w:r>
              <w:rPr>
                <w:spacing w:val="-2"/>
                <w:sz w:val="20"/>
              </w:rPr>
              <w:t>27,700</w:t>
            </w:r>
            <w:r>
              <w:rPr>
                <w:sz w:val="20"/>
              </w:rPr>
              <w:tab/>
            </w:r>
            <w:r>
              <w:rPr>
                <w:spacing w:val="-2"/>
                <w:sz w:val="20"/>
              </w:rPr>
              <w:t>12,455</w:t>
            </w:r>
          </w:p>
        </w:tc>
        <w:tc>
          <w:tcPr>
            <w:tcW w:w="1060"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sz w:val="20"/>
              </w:rPr>
            </w:pPr>
            <w:r>
              <w:rPr>
                <w:spacing w:val="-2"/>
                <w:sz w:val="20"/>
              </w:rPr>
              <w:t>3,581</w:t>
            </w:r>
          </w:p>
        </w:tc>
        <w:tc>
          <w:tcPr>
            <w:tcW w:w="1581" w:type="dxa"/>
            <w:tcBorders>
              <w:top w:val="single" w:sz="4" w:space="0" w:color="000000"/>
              <w:left w:val="single" w:sz="4" w:space="0" w:color="000000"/>
              <w:bottom w:val="single" w:sz="4" w:space="0" w:color="000000"/>
            </w:tcBorders>
          </w:tcPr>
          <w:p>
            <w:pPr>
              <w:pStyle w:val="TableParagraph"/>
              <w:spacing w:line="211" w:lineRule="exact" w:before="23"/>
              <w:ind w:right="278"/>
              <w:jc w:val="right"/>
              <w:rPr>
                <w:sz w:val="20"/>
              </w:rPr>
            </w:pPr>
            <w:r>
              <w:rPr>
                <w:spacing w:val="-2"/>
                <w:sz w:val="20"/>
              </w:rPr>
              <w:t>43,736</w:t>
            </w:r>
          </w:p>
        </w:tc>
        <w:tc>
          <w:tcPr>
            <w:tcW w:w="1038" w:type="dxa"/>
            <w:tcBorders>
              <w:top w:val="single" w:sz="4" w:space="0" w:color="000000"/>
              <w:bottom w:val="single" w:sz="4" w:space="0" w:color="000000"/>
            </w:tcBorders>
          </w:tcPr>
          <w:p>
            <w:pPr>
              <w:pStyle w:val="TableParagraph"/>
              <w:spacing w:line="211" w:lineRule="exact" w:before="23"/>
              <w:ind w:right="106"/>
              <w:jc w:val="right"/>
              <w:rPr>
                <w:sz w:val="20"/>
              </w:rPr>
            </w:pPr>
            <w:r>
              <w:rPr>
                <w:spacing w:val="-2"/>
                <w:sz w:val="20"/>
              </w:rPr>
              <w:t>26,200</w:t>
            </w:r>
          </w:p>
        </w:tc>
        <w:tc>
          <w:tcPr>
            <w:tcW w:w="1625" w:type="dxa"/>
            <w:tcBorders>
              <w:top w:val="single" w:sz="4" w:space="0" w:color="000000"/>
              <w:bottom w:val="single" w:sz="4" w:space="0" w:color="000000"/>
            </w:tcBorders>
          </w:tcPr>
          <w:p>
            <w:pPr>
              <w:pStyle w:val="TableParagraph"/>
              <w:spacing w:line="211" w:lineRule="exact" w:before="23"/>
              <w:ind w:right="204"/>
              <w:jc w:val="right"/>
              <w:rPr>
                <w:sz w:val="20"/>
              </w:rPr>
            </w:pPr>
            <w:r>
              <w:rPr>
                <w:spacing w:val="-2"/>
                <w:sz w:val="20"/>
              </w:rPr>
              <w:t>1,190</w:t>
            </w:r>
          </w:p>
        </w:tc>
        <w:tc>
          <w:tcPr>
            <w:tcW w:w="1594" w:type="dxa"/>
            <w:tcBorders>
              <w:top w:val="single" w:sz="4" w:space="0" w:color="000000"/>
              <w:bottom w:val="single" w:sz="4" w:space="0" w:color="000000"/>
              <w:right w:val="single" w:sz="4" w:space="0" w:color="000000"/>
            </w:tcBorders>
          </w:tcPr>
          <w:p>
            <w:pPr>
              <w:pStyle w:val="TableParagraph"/>
              <w:spacing w:line="211" w:lineRule="exact" w:before="23"/>
              <w:ind w:right="102"/>
              <w:jc w:val="right"/>
              <w:rPr>
                <w:sz w:val="20"/>
              </w:rPr>
            </w:pPr>
            <w:r>
              <w:rPr>
                <w:spacing w:val="-2"/>
                <w:sz w:val="20"/>
              </w:rPr>
              <w:t>16,346</w:t>
            </w:r>
          </w:p>
        </w:tc>
      </w:tr>
      <w:tr>
        <w:trPr>
          <w:trHeight w:val="253" w:hRule="atLeast"/>
        </w:trPr>
        <w:tc>
          <w:tcPr>
            <w:tcW w:w="4702"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Property</w:t>
            </w:r>
          </w:p>
        </w:tc>
        <w:tc>
          <w:tcPr>
            <w:tcW w:w="1169" w:type="dxa"/>
            <w:tcBorders>
              <w:top w:val="single" w:sz="4" w:space="0" w:color="000000"/>
              <w:bottom w:val="single" w:sz="4" w:space="0" w:color="000000"/>
            </w:tcBorders>
          </w:tcPr>
          <w:p>
            <w:pPr>
              <w:pStyle w:val="TableParagraph"/>
              <w:spacing w:line="211" w:lineRule="exact" w:before="23"/>
              <w:ind w:right="183"/>
              <w:jc w:val="right"/>
              <w:rPr>
                <w:b/>
                <w:sz w:val="20"/>
              </w:rPr>
            </w:pPr>
            <w:r>
              <w:rPr>
                <w:b/>
                <w:spacing w:val="-2"/>
                <w:sz w:val="20"/>
              </w:rPr>
              <w:t>43,736</w:t>
            </w:r>
          </w:p>
        </w:tc>
        <w:tc>
          <w:tcPr>
            <w:tcW w:w="1966" w:type="dxa"/>
            <w:tcBorders>
              <w:top w:val="single" w:sz="4" w:space="0" w:color="000000"/>
              <w:bottom w:val="single" w:sz="4" w:space="0" w:color="000000"/>
            </w:tcBorders>
          </w:tcPr>
          <w:p>
            <w:pPr>
              <w:pStyle w:val="TableParagraph"/>
              <w:tabs>
                <w:tab w:pos="1027" w:val="left" w:leader="none"/>
              </w:tabs>
              <w:spacing w:line="211" w:lineRule="exact" w:before="23"/>
              <w:ind w:right="138"/>
              <w:jc w:val="right"/>
              <w:rPr>
                <w:b/>
                <w:sz w:val="20"/>
              </w:rPr>
            </w:pPr>
            <w:r>
              <w:rPr>
                <w:b/>
                <w:spacing w:val="-2"/>
                <w:sz w:val="20"/>
              </w:rPr>
              <w:t>27,700</w:t>
            </w:r>
            <w:r>
              <w:rPr>
                <w:b/>
                <w:sz w:val="20"/>
              </w:rPr>
              <w:tab/>
            </w:r>
            <w:r>
              <w:rPr>
                <w:b/>
                <w:spacing w:val="-2"/>
                <w:sz w:val="20"/>
              </w:rPr>
              <w:t>12,455</w:t>
            </w:r>
          </w:p>
        </w:tc>
        <w:tc>
          <w:tcPr>
            <w:tcW w:w="1060"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b/>
                <w:sz w:val="20"/>
              </w:rPr>
            </w:pPr>
            <w:r>
              <w:rPr>
                <w:b/>
                <w:spacing w:val="-2"/>
                <w:sz w:val="20"/>
              </w:rPr>
              <w:t>3,581</w:t>
            </w:r>
          </w:p>
        </w:tc>
        <w:tc>
          <w:tcPr>
            <w:tcW w:w="1581" w:type="dxa"/>
            <w:tcBorders>
              <w:top w:val="single" w:sz="4" w:space="0" w:color="000000"/>
              <w:left w:val="single" w:sz="4" w:space="0" w:color="000000"/>
              <w:bottom w:val="single" w:sz="4" w:space="0" w:color="000000"/>
            </w:tcBorders>
          </w:tcPr>
          <w:p>
            <w:pPr>
              <w:pStyle w:val="TableParagraph"/>
              <w:spacing w:line="211" w:lineRule="exact" w:before="23"/>
              <w:ind w:right="278"/>
              <w:jc w:val="right"/>
              <w:rPr>
                <w:b/>
                <w:sz w:val="20"/>
              </w:rPr>
            </w:pPr>
            <w:r>
              <w:rPr>
                <w:b/>
                <w:spacing w:val="-2"/>
                <w:sz w:val="20"/>
              </w:rPr>
              <w:t>43,736</w:t>
            </w:r>
          </w:p>
        </w:tc>
        <w:tc>
          <w:tcPr>
            <w:tcW w:w="1038" w:type="dxa"/>
            <w:tcBorders>
              <w:top w:val="single" w:sz="4" w:space="0" w:color="000000"/>
              <w:bottom w:val="single" w:sz="4" w:space="0" w:color="000000"/>
            </w:tcBorders>
          </w:tcPr>
          <w:p>
            <w:pPr>
              <w:pStyle w:val="TableParagraph"/>
              <w:spacing w:line="211" w:lineRule="exact" w:before="23"/>
              <w:ind w:right="106"/>
              <w:jc w:val="right"/>
              <w:rPr>
                <w:b/>
                <w:sz w:val="20"/>
              </w:rPr>
            </w:pPr>
            <w:r>
              <w:rPr>
                <w:b/>
                <w:spacing w:val="-2"/>
                <w:sz w:val="20"/>
              </w:rPr>
              <w:t>26,200</w:t>
            </w:r>
          </w:p>
        </w:tc>
        <w:tc>
          <w:tcPr>
            <w:tcW w:w="1625" w:type="dxa"/>
            <w:tcBorders>
              <w:top w:val="single" w:sz="4" w:space="0" w:color="000000"/>
              <w:bottom w:val="single" w:sz="4" w:space="0" w:color="000000"/>
            </w:tcBorders>
          </w:tcPr>
          <w:p>
            <w:pPr>
              <w:pStyle w:val="TableParagraph"/>
              <w:spacing w:line="211" w:lineRule="exact" w:before="23"/>
              <w:ind w:right="204"/>
              <w:jc w:val="right"/>
              <w:rPr>
                <w:b/>
                <w:sz w:val="20"/>
              </w:rPr>
            </w:pPr>
            <w:r>
              <w:rPr>
                <w:b/>
                <w:spacing w:val="-2"/>
                <w:sz w:val="20"/>
              </w:rPr>
              <w:t>1,190</w:t>
            </w:r>
          </w:p>
        </w:tc>
        <w:tc>
          <w:tcPr>
            <w:tcW w:w="1594"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b/>
                <w:sz w:val="20"/>
              </w:rPr>
            </w:pPr>
            <w:r>
              <w:rPr>
                <w:b/>
                <w:spacing w:val="-2"/>
                <w:sz w:val="20"/>
              </w:rPr>
              <w:t>16,346</w:t>
            </w:r>
          </w:p>
        </w:tc>
      </w:tr>
      <w:tr>
        <w:trPr>
          <w:trHeight w:val="525" w:hRule="atLeast"/>
        </w:trPr>
        <w:tc>
          <w:tcPr>
            <w:tcW w:w="4702" w:type="dxa"/>
            <w:tcBorders>
              <w:left w:val="single" w:sz="4" w:space="0" w:color="000000"/>
            </w:tcBorders>
          </w:tcPr>
          <w:p>
            <w:pPr>
              <w:pStyle w:val="TableParagraph"/>
              <w:spacing w:before="4"/>
              <w:rPr>
                <w:b/>
                <w:sz w:val="24"/>
              </w:rPr>
            </w:pPr>
          </w:p>
          <w:p>
            <w:pPr>
              <w:pStyle w:val="TableParagraph"/>
              <w:spacing w:line="226" w:lineRule="exact"/>
              <w:ind w:left="107"/>
              <w:rPr>
                <w:b/>
                <w:sz w:val="20"/>
              </w:rPr>
            </w:pPr>
            <w:r>
              <w:rPr>
                <w:b/>
                <w:sz w:val="20"/>
              </w:rPr>
              <w:t>Plant</w:t>
            </w:r>
            <w:r>
              <w:rPr>
                <w:b/>
                <w:spacing w:val="-5"/>
                <w:sz w:val="20"/>
              </w:rPr>
              <w:t> </w:t>
            </w:r>
            <w:r>
              <w:rPr>
                <w:b/>
                <w:sz w:val="20"/>
              </w:rPr>
              <w:t>and</w:t>
            </w:r>
            <w:r>
              <w:rPr>
                <w:b/>
                <w:spacing w:val="-4"/>
                <w:sz w:val="20"/>
              </w:rPr>
              <w:t> </w:t>
            </w:r>
            <w:r>
              <w:rPr>
                <w:b/>
                <w:spacing w:val="-2"/>
                <w:sz w:val="20"/>
              </w:rPr>
              <w:t>Equipment</w:t>
            </w:r>
          </w:p>
        </w:tc>
        <w:tc>
          <w:tcPr>
            <w:tcW w:w="1169" w:type="dxa"/>
            <w:tcBorders>
              <w:top w:val="single" w:sz="4" w:space="0" w:color="000000"/>
            </w:tcBorders>
          </w:tcPr>
          <w:p>
            <w:pPr>
              <w:pStyle w:val="TableParagraph"/>
              <w:rPr>
                <w:rFonts w:ascii="Times New Roman"/>
                <w:sz w:val="20"/>
              </w:rPr>
            </w:pPr>
          </w:p>
        </w:tc>
        <w:tc>
          <w:tcPr>
            <w:tcW w:w="1966" w:type="dxa"/>
            <w:tcBorders>
              <w:top w:val="single" w:sz="4" w:space="0" w:color="000000"/>
            </w:tcBorders>
          </w:tcPr>
          <w:p>
            <w:pPr>
              <w:pStyle w:val="TableParagraph"/>
              <w:rPr>
                <w:rFonts w:ascii="Times New Roman"/>
                <w:sz w:val="20"/>
              </w:rPr>
            </w:pPr>
          </w:p>
        </w:tc>
        <w:tc>
          <w:tcPr>
            <w:tcW w:w="1060" w:type="dxa"/>
            <w:tcBorders>
              <w:top w:val="single" w:sz="4" w:space="0" w:color="000000"/>
              <w:right w:val="single" w:sz="4" w:space="0" w:color="000000"/>
            </w:tcBorders>
          </w:tcPr>
          <w:p>
            <w:pPr>
              <w:pStyle w:val="TableParagraph"/>
              <w:rPr>
                <w:rFonts w:ascii="Times New Roman"/>
                <w:sz w:val="20"/>
              </w:rPr>
            </w:pPr>
          </w:p>
        </w:tc>
        <w:tc>
          <w:tcPr>
            <w:tcW w:w="1581" w:type="dxa"/>
            <w:tcBorders>
              <w:top w:val="single" w:sz="4" w:space="0" w:color="000000"/>
              <w:left w:val="single" w:sz="4" w:space="0" w:color="000000"/>
            </w:tcBorders>
          </w:tcPr>
          <w:p>
            <w:pPr>
              <w:pStyle w:val="TableParagraph"/>
              <w:rPr>
                <w:rFonts w:ascii="Times New Roman"/>
                <w:sz w:val="20"/>
              </w:rPr>
            </w:pPr>
          </w:p>
        </w:tc>
        <w:tc>
          <w:tcPr>
            <w:tcW w:w="1038" w:type="dxa"/>
            <w:tcBorders>
              <w:top w:val="single" w:sz="4" w:space="0" w:color="000000"/>
            </w:tcBorders>
          </w:tcPr>
          <w:p>
            <w:pPr>
              <w:pStyle w:val="TableParagraph"/>
              <w:rPr>
                <w:rFonts w:ascii="Times New Roman"/>
                <w:sz w:val="20"/>
              </w:rPr>
            </w:pPr>
          </w:p>
        </w:tc>
        <w:tc>
          <w:tcPr>
            <w:tcW w:w="1625" w:type="dxa"/>
            <w:tcBorders>
              <w:top w:val="single" w:sz="4" w:space="0" w:color="000000"/>
            </w:tcBorders>
          </w:tcPr>
          <w:p>
            <w:pPr>
              <w:pStyle w:val="TableParagraph"/>
              <w:rPr>
                <w:rFonts w:ascii="Times New Roman"/>
                <w:sz w:val="20"/>
              </w:rPr>
            </w:pPr>
          </w:p>
        </w:tc>
        <w:tc>
          <w:tcPr>
            <w:tcW w:w="1594" w:type="dxa"/>
            <w:tcBorders>
              <w:top w:val="single" w:sz="4" w:space="0" w:color="000000"/>
              <w:right w:val="single" w:sz="4" w:space="0" w:color="000000"/>
            </w:tcBorders>
          </w:tcPr>
          <w:p>
            <w:pPr>
              <w:pStyle w:val="TableParagraph"/>
              <w:rPr>
                <w:rFonts w:ascii="Times New Roman"/>
                <w:sz w:val="20"/>
              </w:rPr>
            </w:pPr>
          </w:p>
        </w:tc>
      </w:tr>
      <w:tr>
        <w:trPr>
          <w:trHeight w:val="255" w:hRule="atLeast"/>
        </w:trPr>
        <w:tc>
          <w:tcPr>
            <w:tcW w:w="4702" w:type="dxa"/>
            <w:tcBorders>
              <w:left w:val="single" w:sz="4" w:space="0" w:color="000000"/>
            </w:tcBorders>
          </w:tcPr>
          <w:p>
            <w:pPr>
              <w:pStyle w:val="TableParagraph"/>
              <w:spacing w:line="227" w:lineRule="exact" w:before="8"/>
              <w:ind w:left="107"/>
              <w:rPr>
                <w:sz w:val="20"/>
              </w:rPr>
            </w:pPr>
            <w:r>
              <w:rPr>
                <w:sz w:val="20"/>
              </w:rPr>
              <w:t>Plant,</w:t>
            </w:r>
            <w:r>
              <w:rPr>
                <w:spacing w:val="-4"/>
                <w:sz w:val="20"/>
              </w:rPr>
              <w:t> </w:t>
            </w:r>
            <w:r>
              <w:rPr>
                <w:sz w:val="20"/>
              </w:rPr>
              <w:t>machinery,</w:t>
            </w:r>
            <w:r>
              <w:rPr>
                <w:spacing w:val="-8"/>
                <w:sz w:val="20"/>
              </w:rPr>
              <w:t> </w:t>
            </w:r>
            <w:r>
              <w:rPr>
                <w:sz w:val="20"/>
              </w:rPr>
              <w:t>and</w:t>
            </w:r>
            <w:r>
              <w:rPr>
                <w:spacing w:val="-4"/>
                <w:sz w:val="20"/>
              </w:rPr>
              <w:t> </w:t>
            </w:r>
            <w:r>
              <w:rPr>
                <w:spacing w:val="-2"/>
                <w:sz w:val="20"/>
              </w:rPr>
              <w:t>equipment</w:t>
            </w:r>
          </w:p>
        </w:tc>
        <w:tc>
          <w:tcPr>
            <w:tcW w:w="1169" w:type="dxa"/>
          </w:tcPr>
          <w:p>
            <w:pPr>
              <w:pStyle w:val="TableParagraph"/>
              <w:spacing w:line="227" w:lineRule="exact" w:before="8"/>
              <w:ind w:right="182"/>
              <w:jc w:val="right"/>
              <w:rPr>
                <w:sz w:val="20"/>
              </w:rPr>
            </w:pPr>
            <w:r>
              <w:rPr>
                <w:spacing w:val="-2"/>
                <w:sz w:val="20"/>
              </w:rPr>
              <w:t>2,637</w:t>
            </w:r>
          </w:p>
        </w:tc>
        <w:tc>
          <w:tcPr>
            <w:tcW w:w="1966" w:type="dxa"/>
          </w:tcPr>
          <w:p>
            <w:pPr>
              <w:pStyle w:val="TableParagraph"/>
              <w:tabs>
                <w:tab w:pos="635" w:val="left" w:leader="none"/>
              </w:tabs>
              <w:spacing w:line="227" w:lineRule="exact" w:before="8"/>
              <w:ind w:right="137"/>
              <w:jc w:val="right"/>
              <w:rPr>
                <w:sz w:val="20"/>
              </w:rPr>
            </w:pPr>
            <w:r>
              <w:rPr>
                <w:spacing w:val="-10"/>
                <w:sz w:val="20"/>
              </w:rPr>
              <w:t>0</w:t>
            </w:r>
            <w:r>
              <w:rPr>
                <w:sz w:val="20"/>
              </w:rPr>
              <w:tab/>
            </w:r>
            <w:r>
              <w:rPr>
                <w:spacing w:val="-2"/>
                <w:sz w:val="20"/>
              </w:rPr>
              <w:t>2,637</w:t>
            </w:r>
          </w:p>
        </w:tc>
        <w:tc>
          <w:tcPr>
            <w:tcW w:w="1060" w:type="dxa"/>
            <w:tcBorders>
              <w:right w:val="single" w:sz="4" w:space="0" w:color="000000"/>
            </w:tcBorders>
          </w:tcPr>
          <w:p>
            <w:pPr>
              <w:pStyle w:val="TableParagraph"/>
              <w:spacing w:line="227" w:lineRule="exact" w:before="8"/>
              <w:ind w:right="97"/>
              <w:jc w:val="right"/>
              <w:rPr>
                <w:sz w:val="20"/>
              </w:rPr>
            </w:pPr>
            <w:r>
              <w:rPr>
                <w:w w:val="99"/>
                <w:sz w:val="20"/>
              </w:rPr>
              <w:t>0</w:t>
            </w:r>
          </w:p>
        </w:tc>
        <w:tc>
          <w:tcPr>
            <w:tcW w:w="1581" w:type="dxa"/>
            <w:tcBorders>
              <w:left w:val="single" w:sz="4" w:space="0" w:color="000000"/>
            </w:tcBorders>
          </w:tcPr>
          <w:p>
            <w:pPr>
              <w:pStyle w:val="TableParagraph"/>
              <w:spacing w:line="227" w:lineRule="exact" w:before="8"/>
              <w:ind w:right="277"/>
              <w:jc w:val="right"/>
              <w:rPr>
                <w:sz w:val="20"/>
              </w:rPr>
            </w:pPr>
            <w:r>
              <w:rPr>
                <w:spacing w:val="-2"/>
                <w:sz w:val="20"/>
              </w:rPr>
              <w:t>2,637</w:t>
            </w:r>
          </w:p>
        </w:tc>
        <w:tc>
          <w:tcPr>
            <w:tcW w:w="1038" w:type="dxa"/>
          </w:tcPr>
          <w:p>
            <w:pPr>
              <w:pStyle w:val="TableParagraph"/>
              <w:spacing w:line="227" w:lineRule="exact" w:before="8"/>
              <w:ind w:right="104"/>
              <w:jc w:val="right"/>
              <w:rPr>
                <w:sz w:val="20"/>
              </w:rPr>
            </w:pPr>
            <w:r>
              <w:rPr>
                <w:w w:val="99"/>
                <w:sz w:val="20"/>
              </w:rPr>
              <w:t>0</w:t>
            </w:r>
          </w:p>
        </w:tc>
        <w:tc>
          <w:tcPr>
            <w:tcW w:w="1625" w:type="dxa"/>
          </w:tcPr>
          <w:p>
            <w:pPr>
              <w:pStyle w:val="TableParagraph"/>
              <w:spacing w:line="227" w:lineRule="exact" w:before="8"/>
              <w:ind w:right="205"/>
              <w:jc w:val="right"/>
              <w:rPr>
                <w:sz w:val="20"/>
              </w:rPr>
            </w:pPr>
            <w:r>
              <w:rPr>
                <w:spacing w:val="-5"/>
                <w:sz w:val="20"/>
              </w:rPr>
              <w:t>808</w:t>
            </w:r>
          </w:p>
        </w:tc>
        <w:tc>
          <w:tcPr>
            <w:tcW w:w="1594" w:type="dxa"/>
            <w:tcBorders>
              <w:right w:val="single" w:sz="4" w:space="0" w:color="000000"/>
            </w:tcBorders>
          </w:tcPr>
          <w:p>
            <w:pPr>
              <w:pStyle w:val="TableParagraph"/>
              <w:spacing w:line="227" w:lineRule="exact" w:before="8"/>
              <w:ind w:right="101"/>
              <w:jc w:val="right"/>
              <w:rPr>
                <w:sz w:val="20"/>
              </w:rPr>
            </w:pPr>
            <w:r>
              <w:rPr>
                <w:spacing w:val="-2"/>
                <w:sz w:val="20"/>
              </w:rPr>
              <w:t>1,829</w:t>
            </w:r>
          </w:p>
        </w:tc>
      </w:tr>
      <w:tr>
        <w:trPr>
          <w:trHeight w:val="255" w:hRule="atLeast"/>
        </w:trPr>
        <w:tc>
          <w:tcPr>
            <w:tcW w:w="4702" w:type="dxa"/>
            <w:tcBorders>
              <w:left w:val="single" w:sz="4" w:space="0" w:color="000000"/>
            </w:tcBorders>
          </w:tcPr>
          <w:p>
            <w:pPr>
              <w:pStyle w:val="TableParagraph"/>
              <w:spacing w:line="226" w:lineRule="exact" w:before="10"/>
              <w:ind w:left="107"/>
              <w:rPr>
                <w:sz w:val="20"/>
              </w:rPr>
            </w:pPr>
            <w:r>
              <w:rPr>
                <w:sz w:val="20"/>
              </w:rPr>
              <w:t>Fixtures,</w:t>
            </w:r>
            <w:r>
              <w:rPr>
                <w:spacing w:val="-7"/>
                <w:sz w:val="20"/>
              </w:rPr>
              <w:t> </w:t>
            </w:r>
            <w:r>
              <w:rPr>
                <w:sz w:val="20"/>
              </w:rPr>
              <w:t>fittings,</w:t>
            </w:r>
            <w:r>
              <w:rPr>
                <w:spacing w:val="-6"/>
                <w:sz w:val="20"/>
              </w:rPr>
              <w:t> </w:t>
            </w:r>
            <w:r>
              <w:rPr>
                <w:sz w:val="20"/>
              </w:rPr>
              <w:t>and</w:t>
            </w:r>
            <w:r>
              <w:rPr>
                <w:spacing w:val="-7"/>
                <w:sz w:val="20"/>
              </w:rPr>
              <w:t> </w:t>
            </w:r>
            <w:r>
              <w:rPr>
                <w:spacing w:val="-2"/>
                <w:sz w:val="20"/>
              </w:rPr>
              <w:t>furniture</w:t>
            </w:r>
          </w:p>
        </w:tc>
        <w:tc>
          <w:tcPr>
            <w:tcW w:w="1169" w:type="dxa"/>
          </w:tcPr>
          <w:p>
            <w:pPr>
              <w:pStyle w:val="TableParagraph"/>
              <w:spacing w:line="226" w:lineRule="exact" w:before="10"/>
              <w:ind w:right="183"/>
              <w:jc w:val="right"/>
              <w:rPr>
                <w:sz w:val="20"/>
              </w:rPr>
            </w:pPr>
            <w:r>
              <w:rPr>
                <w:spacing w:val="-5"/>
                <w:sz w:val="20"/>
              </w:rPr>
              <w:t>832</w:t>
            </w:r>
          </w:p>
        </w:tc>
        <w:tc>
          <w:tcPr>
            <w:tcW w:w="1966" w:type="dxa"/>
          </w:tcPr>
          <w:p>
            <w:pPr>
              <w:pStyle w:val="TableParagraph"/>
              <w:tabs>
                <w:tab w:pos="916" w:val="left" w:leader="none"/>
              </w:tabs>
              <w:spacing w:line="226" w:lineRule="exact" w:before="10"/>
              <w:ind w:right="138"/>
              <w:jc w:val="right"/>
              <w:rPr>
                <w:sz w:val="20"/>
              </w:rPr>
            </w:pPr>
            <w:r>
              <w:rPr>
                <w:spacing w:val="-5"/>
                <w:sz w:val="20"/>
              </w:rPr>
              <w:t>72</w:t>
            </w:r>
            <w:r>
              <w:rPr>
                <w:sz w:val="20"/>
              </w:rPr>
              <w:tab/>
            </w:r>
            <w:r>
              <w:rPr>
                <w:spacing w:val="-5"/>
                <w:sz w:val="20"/>
              </w:rPr>
              <w:t>718</w:t>
            </w:r>
          </w:p>
        </w:tc>
        <w:tc>
          <w:tcPr>
            <w:tcW w:w="1060" w:type="dxa"/>
            <w:tcBorders>
              <w:right w:val="single" w:sz="4" w:space="0" w:color="000000"/>
            </w:tcBorders>
          </w:tcPr>
          <w:p>
            <w:pPr>
              <w:pStyle w:val="TableParagraph"/>
              <w:spacing w:line="226" w:lineRule="exact" w:before="10"/>
              <w:ind w:right="101"/>
              <w:jc w:val="right"/>
              <w:rPr>
                <w:sz w:val="20"/>
              </w:rPr>
            </w:pPr>
            <w:r>
              <w:rPr>
                <w:spacing w:val="-5"/>
                <w:sz w:val="20"/>
              </w:rPr>
              <w:t>43</w:t>
            </w:r>
          </w:p>
        </w:tc>
        <w:tc>
          <w:tcPr>
            <w:tcW w:w="1581" w:type="dxa"/>
            <w:tcBorders>
              <w:left w:val="single" w:sz="4" w:space="0" w:color="000000"/>
            </w:tcBorders>
          </w:tcPr>
          <w:p>
            <w:pPr>
              <w:pStyle w:val="TableParagraph"/>
              <w:spacing w:line="226" w:lineRule="exact" w:before="10"/>
              <w:ind w:right="278"/>
              <w:jc w:val="right"/>
              <w:rPr>
                <w:sz w:val="20"/>
              </w:rPr>
            </w:pPr>
            <w:r>
              <w:rPr>
                <w:spacing w:val="-5"/>
                <w:sz w:val="20"/>
              </w:rPr>
              <w:t>832</w:t>
            </w:r>
          </w:p>
        </w:tc>
        <w:tc>
          <w:tcPr>
            <w:tcW w:w="1038" w:type="dxa"/>
          </w:tcPr>
          <w:p>
            <w:pPr>
              <w:pStyle w:val="TableParagraph"/>
              <w:spacing w:line="226" w:lineRule="exact" w:before="10"/>
              <w:ind w:right="104"/>
              <w:jc w:val="right"/>
              <w:rPr>
                <w:sz w:val="20"/>
              </w:rPr>
            </w:pPr>
            <w:r>
              <w:rPr>
                <w:w w:val="99"/>
                <w:sz w:val="20"/>
              </w:rPr>
              <w:t>0</w:t>
            </w:r>
          </w:p>
        </w:tc>
        <w:tc>
          <w:tcPr>
            <w:tcW w:w="1625" w:type="dxa"/>
          </w:tcPr>
          <w:p>
            <w:pPr>
              <w:pStyle w:val="TableParagraph"/>
              <w:spacing w:line="226" w:lineRule="exact" w:before="10"/>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10"/>
              <w:ind w:right="102"/>
              <w:jc w:val="right"/>
              <w:rPr>
                <w:sz w:val="20"/>
              </w:rPr>
            </w:pPr>
            <w:r>
              <w:rPr>
                <w:spacing w:val="-5"/>
                <w:sz w:val="20"/>
              </w:rPr>
              <w:t>832</w:t>
            </w:r>
          </w:p>
        </w:tc>
      </w:tr>
      <w:tr>
        <w:trPr>
          <w:trHeight w:val="239" w:hRule="atLeast"/>
        </w:trPr>
        <w:tc>
          <w:tcPr>
            <w:tcW w:w="4702" w:type="dxa"/>
            <w:tcBorders>
              <w:left w:val="single" w:sz="4" w:space="0" w:color="000000"/>
            </w:tcBorders>
          </w:tcPr>
          <w:p>
            <w:pPr>
              <w:pStyle w:val="TableParagraph"/>
              <w:spacing w:line="211" w:lineRule="exact" w:before="8"/>
              <w:ind w:left="107"/>
              <w:rPr>
                <w:sz w:val="20"/>
              </w:rPr>
            </w:pPr>
            <w:r>
              <w:rPr>
                <w:sz w:val="20"/>
              </w:rPr>
              <w:t>Computers</w:t>
            </w:r>
            <w:r>
              <w:rPr>
                <w:spacing w:val="-6"/>
                <w:sz w:val="20"/>
              </w:rPr>
              <w:t> </w:t>
            </w:r>
            <w:r>
              <w:rPr>
                <w:sz w:val="20"/>
              </w:rPr>
              <w:t>and</w:t>
            </w:r>
            <w:r>
              <w:rPr>
                <w:spacing w:val="-8"/>
                <w:sz w:val="20"/>
              </w:rPr>
              <w:t> </w:t>
            </w:r>
            <w:r>
              <w:rPr>
                <w:spacing w:val="-2"/>
                <w:sz w:val="20"/>
              </w:rPr>
              <w:t>telecommunications</w:t>
            </w:r>
          </w:p>
        </w:tc>
        <w:tc>
          <w:tcPr>
            <w:tcW w:w="1169" w:type="dxa"/>
            <w:tcBorders>
              <w:bottom w:val="single" w:sz="4" w:space="0" w:color="000000"/>
            </w:tcBorders>
          </w:tcPr>
          <w:p>
            <w:pPr>
              <w:pStyle w:val="TableParagraph"/>
              <w:spacing w:line="211" w:lineRule="exact" w:before="8"/>
              <w:ind w:right="183"/>
              <w:jc w:val="right"/>
              <w:rPr>
                <w:sz w:val="20"/>
              </w:rPr>
            </w:pPr>
            <w:r>
              <w:rPr>
                <w:spacing w:val="-5"/>
                <w:sz w:val="20"/>
              </w:rPr>
              <w:t>516</w:t>
            </w:r>
          </w:p>
        </w:tc>
        <w:tc>
          <w:tcPr>
            <w:tcW w:w="1966" w:type="dxa"/>
            <w:tcBorders>
              <w:bottom w:val="single" w:sz="4" w:space="0" w:color="000000"/>
            </w:tcBorders>
          </w:tcPr>
          <w:p>
            <w:pPr>
              <w:pStyle w:val="TableParagraph"/>
              <w:tabs>
                <w:tab w:pos="1027" w:val="left" w:leader="none"/>
              </w:tabs>
              <w:spacing w:line="211" w:lineRule="exact" w:before="8"/>
              <w:ind w:right="138"/>
              <w:jc w:val="right"/>
              <w:rPr>
                <w:sz w:val="20"/>
              </w:rPr>
            </w:pPr>
            <w:r>
              <w:rPr>
                <w:spacing w:val="-5"/>
                <w:sz w:val="20"/>
              </w:rPr>
              <w:t>155</w:t>
            </w:r>
            <w:r>
              <w:rPr>
                <w:sz w:val="20"/>
              </w:rPr>
              <w:tab/>
            </w:r>
            <w:r>
              <w:rPr>
                <w:spacing w:val="-5"/>
                <w:sz w:val="20"/>
              </w:rPr>
              <w:t>258</w:t>
            </w:r>
          </w:p>
        </w:tc>
        <w:tc>
          <w:tcPr>
            <w:tcW w:w="1060" w:type="dxa"/>
            <w:tcBorders>
              <w:bottom w:val="single" w:sz="4" w:space="0" w:color="000000"/>
              <w:right w:val="single" w:sz="4" w:space="0" w:color="000000"/>
            </w:tcBorders>
          </w:tcPr>
          <w:p>
            <w:pPr>
              <w:pStyle w:val="TableParagraph"/>
              <w:spacing w:line="211" w:lineRule="exact" w:before="8"/>
              <w:ind w:right="101"/>
              <w:jc w:val="right"/>
              <w:rPr>
                <w:sz w:val="20"/>
              </w:rPr>
            </w:pPr>
            <w:r>
              <w:rPr>
                <w:spacing w:val="-5"/>
                <w:sz w:val="20"/>
              </w:rPr>
              <w:t>103</w:t>
            </w:r>
          </w:p>
        </w:tc>
        <w:tc>
          <w:tcPr>
            <w:tcW w:w="1581" w:type="dxa"/>
            <w:tcBorders>
              <w:left w:val="single" w:sz="4" w:space="0" w:color="000000"/>
              <w:bottom w:val="single" w:sz="4" w:space="0" w:color="000000"/>
            </w:tcBorders>
          </w:tcPr>
          <w:p>
            <w:pPr>
              <w:pStyle w:val="TableParagraph"/>
              <w:spacing w:line="211" w:lineRule="exact" w:before="8"/>
              <w:ind w:right="278"/>
              <w:jc w:val="right"/>
              <w:rPr>
                <w:sz w:val="20"/>
              </w:rPr>
            </w:pPr>
            <w:r>
              <w:rPr>
                <w:spacing w:val="-5"/>
                <w:sz w:val="20"/>
              </w:rPr>
              <w:t>516</w:t>
            </w:r>
          </w:p>
        </w:tc>
        <w:tc>
          <w:tcPr>
            <w:tcW w:w="1038" w:type="dxa"/>
            <w:tcBorders>
              <w:bottom w:val="single" w:sz="4" w:space="0" w:color="000000"/>
            </w:tcBorders>
          </w:tcPr>
          <w:p>
            <w:pPr>
              <w:pStyle w:val="TableParagraph"/>
              <w:spacing w:line="211" w:lineRule="exact" w:before="8"/>
              <w:ind w:right="104"/>
              <w:jc w:val="right"/>
              <w:rPr>
                <w:sz w:val="20"/>
              </w:rPr>
            </w:pPr>
            <w:r>
              <w:rPr>
                <w:w w:val="99"/>
                <w:sz w:val="20"/>
              </w:rPr>
              <w:t>0</w:t>
            </w:r>
          </w:p>
        </w:tc>
        <w:tc>
          <w:tcPr>
            <w:tcW w:w="1625" w:type="dxa"/>
            <w:tcBorders>
              <w:bottom w:val="single" w:sz="4" w:space="0" w:color="000000"/>
            </w:tcBorders>
          </w:tcPr>
          <w:p>
            <w:pPr>
              <w:pStyle w:val="TableParagraph"/>
              <w:spacing w:line="211" w:lineRule="exact" w:before="8"/>
              <w:ind w:right="202"/>
              <w:jc w:val="right"/>
              <w:rPr>
                <w:sz w:val="20"/>
              </w:rPr>
            </w:pPr>
            <w:r>
              <w:rPr>
                <w:w w:val="99"/>
                <w:sz w:val="20"/>
              </w:rPr>
              <w:t>0</w:t>
            </w:r>
          </w:p>
        </w:tc>
        <w:tc>
          <w:tcPr>
            <w:tcW w:w="1594" w:type="dxa"/>
            <w:tcBorders>
              <w:bottom w:val="single" w:sz="4" w:space="0" w:color="000000"/>
              <w:right w:val="single" w:sz="4" w:space="0" w:color="000000"/>
            </w:tcBorders>
          </w:tcPr>
          <w:p>
            <w:pPr>
              <w:pStyle w:val="TableParagraph"/>
              <w:spacing w:line="211" w:lineRule="exact" w:before="8"/>
              <w:ind w:right="102"/>
              <w:jc w:val="right"/>
              <w:rPr>
                <w:sz w:val="20"/>
              </w:rPr>
            </w:pPr>
            <w:r>
              <w:rPr>
                <w:spacing w:val="-5"/>
                <w:sz w:val="20"/>
              </w:rPr>
              <w:t>516</w:t>
            </w:r>
          </w:p>
        </w:tc>
      </w:tr>
      <w:tr>
        <w:trPr>
          <w:trHeight w:val="253" w:hRule="atLeast"/>
        </w:trPr>
        <w:tc>
          <w:tcPr>
            <w:tcW w:w="4702"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z w:val="20"/>
              </w:rPr>
              <w:t>Plant</w:t>
            </w:r>
            <w:r>
              <w:rPr>
                <w:b/>
                <w:spacing w:val="-6"/>
                <w:sz w:val="20"/>
              </w:rPr>
              <w:t> </w:t>
            </w:r>
            <w:r>
              <w:rPr>
                <w:b/>
                <w:sz w:val="20"/>
              </w:rPr>
              <w:t>and</w:t>
            </w:r>
            <w:r>
              <w:rPr>
                <w:b/>
                <w:spacing w:val="-4"/>
                <w:sz w:val="20"/>
              </w:rPr>
              <w:t> </w:t>
            </w:r>
            <w:r>
              <w:rPr>
                <w:b/>
                <w:spacing w:val="-2"/>
                <w:sz w:val="20"/>
              </w:rPr>
              <w:t>Equipment</w:t>
            </w:r>
          </w:p>
        </w:tc>
        <w:tc>
          <w:tcPr>
            <w:tcW w:w="1169" w:type="dxa"/>
            <w:tcBorders>
              <w:top w:val="single" w:sz="4" w:space="0" w:color="000000"/>
              <w:bottom w:val="single" w:sz="4" w:space="0" w:color="000000"/>
            </w:tcBorders>
          </w:tcPr>
          <w:p>
            <w:pPr>
              <w:pStyle w:val="TableParagraph"/>
              <w:spacing w:line="211" w:lineRule="exact" w:before="23"/>
              <w:ind w:right="183"/>
              <w:jc w:val="right"/>
              <w:rPr>
                <w:b/>
                <w:sz w:val="20"/>
              </w:rPr>
            </w:pPr>
            <w:r>
              <w:rPr>
                <w:b/>
                <w:spacing w:val="-2"/>
                <w:sz w:val="20"/>
              </w:rPr>
              <w:t>3,985</w:t>
            </w:r>
          </w:p>
        </w:tc>
        <w:tc>
          <w:tcPr>
            <w:tcW w:w="1966" w:type="dxa"/>
            <w:tcBorders>
              <w:top w:val="single" w:sz="4" w:space="0" w:color="000000"/>
              <w:bottom w:val="single" w:sz="4" w:space="0" w:color="000000"/>
            </w:tcBorders>
          </w:tcPr>
          <w:p>
            <w:pPr>
              <w:pStyle w:val="TableParagraph"/>
              <w:tabs>
                <w:tab w:pos="859" w:val="left" w:leader="none"/>
              </w:tabs>
              <w:spacing w:line="211" w:lineRule="exact" w:before="23"/>
              <w:ind w:right="137"/>
              <w:jc w:val="right"/>
              <w:rPr>
                <w:b/>
                <w:sz w:val="20"/>
              </w:rPr>
            </w:pPr>
            <w:r>
              <w:rPr>
                <w:b/>
                <w:spacing w:val="-5"/>
                <w:sz w:val="20"/>
              </w:rPr>
              <w:t>227</w:t>
            </w:r>
            <w:r>
              <w:rPr>
                <w:b/>
                <w:sz w:val="20"/>
              </w:rPr>
              <w:tab/>
            </w:r>
            <w:r>
              <w:rPr>
                <w:b/>
                <w:spacing w:val="-2"/>
                <w:sz w:val="20"/>
              </w:rPr>
              <w:t>3,613</w:t>
            </w:r>
          </w:p>
        </w:tc>
        <w:tc>
          <w:tcPr>
            <w:tcW w:w="1060"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b/>
                <w:sz w:val="20"/>
              </w:rPr>
            </w:pPr>
            <w:r>
              <w:rPr>
                <w:b/>
                <w:spacing w:val="-5"/>
                <w:sz w:val="20"/>
              </w:rPr>
              <w:t>146</w:t>
            </w:r>
          </w:p>
        </w:tc>
        <w:tc>
          <w:tcPr>
            <w:tcW w:w="1581" w:type="dxa"/>
            <w:tcBorders>
              <w:top w:val="single" w:sz="4" w:space="0" w:color="000000"/>
              <w:left w:val="single" w:sz="4" w:space="0" w:color="000000"/>
              <w:bottom w:val="single" w:sz="4" w:space="0" w:color="000000"/>
            </w:tcBorders>
          </w:tcPr>
          <w:p>
            <w:pPr>
              <w:pStyle w:val="TableParagraph"/>
              <w:spacing w:line="211" w:lineRule="exact" w:before="23"/>
              <w:ind w:right="277"/>
              <w:jc w:val="right"/>
              <w:rPr>
                <w:b/>
                <w:sz w:val="20"/>
              </w:rPr>
            </w:pPr>
            <w:r>
              <w:rPr>
                <w:b/>
                <w:spacing w:val="-2"/>
                <w:sz w:val="20"/>
              </w:rPr>
              <w:t>3,985</w:t>
            </w:r>
          </w:p>
        </w:tc>
        <w:tc>
          <w:tcPr>
            <w:tcW w:w="1038" w:type="dxa"/>
            <w:tcBorders>
              <w:top w:val="single" w:sz="4" w:space="0" w:color="000000"/>
              <w:bottom w:val="single" w:sz="4" w:space="0" w:color="000000"/>
            </w:tcBorders>
          </w:tcPr>
          <w:p>
            <w:pPr>
              <w:pStyle w:val="TableParagraph"/>
              <w:spacing w:line="211" w:lineRule="exact" w:before="23"/>
              <w:ind w:right="104"/>
              <w:jc w:val="right"/>
              <w:rPr>
                <w:b/>
                <w:sz w:val="20"/>
              </w:rPr>
            </w:pPr>
            <w:r>
              <w:rPr>
                <w:b/>
                <w:w w:val="99"/>
                <w:sz w:val="20"/>
              </w:rPr>
              <w:t>0</w:t>
            </w:r>
          </w:p>
        </w:tc>
        <w:tc>
          <w:tcPr>
            <w:tcW w:w="1625" w:type="dxa"/>
            <w:tcBorders>
              <w:top w:val="single" w:sz="4" w:space="0" w:color="000000"/>
              <w:bottom w:val="single" w:sz="4" w:space="0" w:color="000000"/>
            </w:tcBorders>
          </w:tcPr>
          <w:p>
            <w:pPr>
              <w:pStyle w:val="TableParagraph"/>
              <w:spacing w:line="211" w:lineRule="exact" w:before="23"/>
              <w:ind w:right="205"/>
              <w:jc w:val="right"/>
              <w:rPr>
                <w:b/>
                <w:sz w:val="20"/>
              </w:rPr>
            </w:pPr>
            <w:r>
              <w:rPr>
                <w:b/>
                <w:spacing w:val="-5"/>
                <w:sz w:val="20"/>
              </w:rPr>
              <w:t>808</w:t>
            </w:r>
          </w:p>
        </w:tc>
        <w:tc>
          <w:tcPr>
            <w:tcW w:w="1594"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b/>
                <w:sz w:val="20"/>
              </w:rPr>
            </w:pPr>
            <w:r>
              <w:rPr>
                <w:b/>
                <w:spacing w:val="-2"/>
                <w:sz w:val="20"/>
              </w:rPr>
              <w:t>3,177</w:t>
            </w:r>
          </w:p>
        </w:tc>
      </w:tr>
      <w:tr>
        <w:trPr>
          <w:trHeight w:val="525" w:hRule="atLeast"/>
        </w:trPr>
        <w:tc>
          <w:tcPr>
            <w:tcW w:w="4702" w:type="dxa"/>
            <w:tcBorders>
              <w:left w:val="single" w:sz="4" w:space="0" w:color="000000"/>
            </w:tcBorders>
          </w:tcPr>
          <w:p>
            <w:pPr>
              <w:pStyle w:val="TableParagraph"/>
              <w:spacing w:before="4"/>
              <w:rPr>
                <w:b/>
                <w:sz w:val="24"/>
              </w:rPr>
            </w:pPr>
          </w:p>
          <w:p>
            <w:pPr>
              <w:pStyle w:val="TableParagraph"/>
              <w:spacing w:line="226" w:lineRule="exact"/>
              <w:ind w:left="107"/>
              <w:rPr>
                <w:b/>
                <w:sz w:val="20"/>
              </w:rPr>
            </w:pPr>
            <w:r>
              <w:rPr>
                <w:b/>
                <w:spacing w:val="-2"/>
                <w:sz w:val="20"/>
              </w:rPr>
              <w:t>Infrastructure</w:t>
            </w:r>
          </w:p>
        </w:tc>
        <w:tc>
          <w:tcPr>
            <w:tcW w:w="1169" w:type="dxa"/>
            <w:tcBorders>
              <w:top w:val="single" w:sz="4" w:space="0" w:color="000000"/>
            </w:tcBorders>
          </w:tcPr>
          <w:p>
            <w:pPr>
              <w:pStyle w:val="TableParagraph"/>
              <w:rPr>
                <w:rFonts w:ascii="Times New Roman"/>
                <w:sz w:val="20"/>
              </w:rPr>
            </w:pPr>
          </w:p>
        </w:tc>
        <w:tc>
          <w:tcPr>
            <w:tcW w:w="1966" w:type="dxa"/>
            <w:tcBorders>
              <w:top w:val="single" w:sz="4" w:space="0" w:color="000000"/>
            </w:tcBorders>
          </w:tcPr>
          <w:p>
            <w:pPr>
              <w:pStyle w:val="TableParagraph"/>
              <w:rPr>
                <w:rFonts w:ascii="Times New Roman"/>
                <w:sz w:val="20"/>
              </w:rPr>
            </w:pPr>
          </w:p>
        </w:tc>
        <w:tc>
          <w:tcPr>
            <w:tcW w:w="1060" w:type="dxa"/>
            <w:tcBorders>
              <w:top w:val="single" w:sz="4" w:space="0" w:color="000000"/>
              <w:right w:val="single" w:sz="4" w:space="0" w:color="000000"/>
            </w:tcBorders>
          </w:tcPr>
          <w:p>
            <w:pPr>
              <w:pStyle w:val="TableParagraph"/>
              <w:rPr>
                <w:rFonts w:ascii="Times New Roman"/>
                <w:sz w:val="20"/>
              </w:rPr>
            </w:pPr>
          </w:p>
        </w:tc>
        <w:tc>
          <w:tcPr>
            <w:tcW w:w="1581" w:type="dxa"/>
            <w:tcBorders>
              <w:top w:val="single" w:sz="4" w:space="0" w:color="000000"/>
              <w:left w:val="single" w:sz="4" w:space="0" w:color="000000"/>
            </w:tcBorders>
          </w:tcPr>
          <w:p>
            <w:pPr>
              <w:pStyle w:val="TableParagraph"/>
              <w:rPr>
                <w:rFonts w:ascii="Times New Roman"/>
                <w:sz w:val="20"/>
              </w:rPr>
            </w:pPr>
          </w:p>
        </w:tc>
        <w:tc>
          <w:tcPr>
            <w:tcW w:w="1038" w:type="dxa"/>
            <w:tcBorders>
              <w:top w:val="single" w:sz="4" w:space="0" w:color="000000"/>
            </w:tcBorders>
          </w:tcPr>
          <w:p>
            <w:pPr>
              <w:pStyle w:val="TableParagraph"/>
              <w:rPr>
                <w:rFonts w:ascii="Times New Roman"/>
                <w:sz w:val="20"/>
              </w:rPr>
            </w:pPr>
          </w:p>
        </w:tc>
        <w:tc>
          <w:tcPr>
            <w:tcW w:w="1625" w:type="dxa"/>
            <w:tcBorders>
              <w:top w:val="single" w:sz="4" w:space="0" w:color="000000"/>
            </w:tcBorders>
          </w:tcPr>
          <w:p>
            <w:pPr>
              <w:pStyle w:val="TableParagraph"/>
              <w:rPr>
                <w:rFonts w:ascii="Times New Roman"/>
                <w:sz w:val="20"/>
              </w:rPr>
            </w:pPr>
          </w:p>
        </w:tc>
        <w:tc>
          <w:tcPr>
            <w:tcW w:w="1594" w:type="dxa"/>
            <w:tcBorders>
              <w:top w:val="single" w:sz="4" w:space="0" w:color="000000"/>
              <w:right w:val="single" w:sz="4" w:space="0" w:color="000000"/>
            </w:tcBorders>
          </w:tcPr>
          <w:p>
            <w:pPr>
              <w:pStyle w:val="TableParagraph"/>
              <w:rPr>
                <w:rFonts w:ascii="Times New Roman"/>
                <w:sz w:val="20"/>
              </w:rPr>
            </w:pPr>
          </w:p>
        </w:tc>
      </w:tr>
      <w:tr>
        <w:trPr>
          <w:trHeight w:val="254" w:hRule="atLeast"/>
        </w:trPr>
        <w:tc>
          <w:tcPr>
            <w:tcW w:w="4702" w:type="dxa"/>
            <w:tcBorders>
              <w:left w:val="single" w:sz="4" w:space="0" w:color="000000"/>
            </w:tcBorders>
          </w:tcPr>
          <w:p>
            <w:pPr>
              <w:pStyle w:val="TableParagraph"/>
              <w:spacing w:line="226" w:lineRule="exact" w:before="8"/>
              <w:ind w:left="107"/>
              <w:rPr>
                <w:sz w:val="20"/>
              </w:rPr>
            </w:pPr>
            <w:r>
              <w:rPr>
                <w:spacing w:val="-2"/>
                <w:sz w:val="20"/>
              </w:rPr>
              <w:t>Roads</w:t>
            </w:r>
          </w:p>
        </w:tc>
        <w:tc>
          <w:tcPr>
            <w:tcW w:w="1169" w:type="dxa"/>
          </w:tcPr>
          <w:p>
            <w:pPr>
              <w:pStyle w:val="TableParagraph"/>
              <w:spacing w:line="226" w:lineRule="exact" w:before="8"/>
              <w:ind w:right="183"/>
              <w:jc w:val="right"/>
              <w:rPr>
                <w:sz w:val="20"/>
              </w:rPr>
            </w:pPr>
            <w:r>
              <w:rPr>
                <w:spacing w:val="-2"/>
                <w:sz w:val="20"/>
              </w:rPr>
              <w:t>4,295</w:t>
            </w:r>
          </w:p>
        </w:tc>
        <w:tc>
          <w:tcPr>
            <w:tcW w:w="1966" w:type="dxa"/>
          </w:tcPr>
          <w:p>
            <w:pPr>
              <w:pStyle w:val="TableParagraph"/>
              <w:tabs>
                <w:tab w:pos="635" w:val="left" w:leader="none"/>
              </w:tabs>
              <w:spacing w:line="226" w:lineRule="exact" w:before="8"/>
              <w:ind w:right="137"/>
              <w:jc w:val="right"/>
              <w:rPr>
                <w:sz w:val="20"/>
              </w:rPr>
            </w:pPr>
            <w:r>
              <w:rPr>
                <w:spacing w:val="-10"/>
                <w:sz w:val="20"/>
              </w:rPr>
              <w:t>0</w:t>
            </w:r>
            <w:r>
              <w:rPr>
                <w:sz w:val="20"/>
              </w:rPr>
              <w:tab/>
            </w:r>
            <w:r>
              <w:rPr>
                <w:spacing w:val="-2"/>
                <w:sz w:val="20"/>
              </w:rPr>
              <w:t>4,068</w:t>
            </w:r>
          </w:p>
        </w:tc>
        <w:tc>
          <w:tcPr>
            <w:tcW w:w="1060" w:type="dxa"/>
            <w:tcBorders>
              <w:right w:val="single" w:sz="4" w:space="0" w:color="000000"/>
            </w:tcBorders>
          </w:tcPr>
          <w:p>
            <w:pPr>
              <w:pStyle w:val="TableParagraph"/>
              <w:spacing w:line="226" w:lineRule="exact" w:before="8"/>
              <w:ind w:right="101"/>
              <w:jc w:val="right"/>
              <w:rPr>
                <w:sz w:val="20"/>
              </w:rPr>
            </w:pPr>
            <w:r>
              <w:rPr>
                <w:spacing w:val="-5"/>
                <w:sz w:val="20"/>
              </w:rPr>
              <w:t>227</w:t>
            </w:r>
          </w:p>
        </w:tc>
        <w:tc>
          <w:tcPr>
            <w:tcW w:w="1581" w:type="dxa"/>
            <w:tcBorders>
              <w:left w:val="single" w:sz="4" w:space="0" w:color="000000"/>
            </w:tcBorders>
          </w:tcPr>
          <w:p>
            <w:pPr>
              <w:pStyle w:val="TableParagraph"/>
              <w:spacing w:line="226" w:lineRule="exact" w:before="8"/>
              <w:ind w:right="277"/>
              <w:jc w:val="right"/>
              <w:rPr>
                <w:sz w:val="20"/>
              </w:rPr>
            </w:pPr>
            <w:r>
              <w:rPr>
                <w:spacing w:val="-2"/>
                <w:sz w:val="20"/>
              </w:rPr>
              <w:t>4,295</w:t>
            </w:r>
          </w:p>
        </w:tc>
        <w:tc>
          <w:tcPr>
            <w:tcW w:w="1038" w:type="dxa"/>
          </w:tcPr>
          <w:p>
            <w:pPr>
              <w:pStyle w:val="TableParagraph"/>
              <w:spacing w:line="226" w:lineRule="exact" w:before="8"/>
              <w:ind w:right="106"/>
              <w:jc w:val="right"/>
              <w:rPr>
                <w:sz w:val="20"/>
              </w:rPr>
            </w:pPr>
            <w:r>
              <w:rPr>
                <w:spacing w:val="-5"/>
                <w:sz w:val="20"/>
              </w:rPr>
              <w:t>508</w:t>
            </w:r>
          </w:p>
        </w:tc>
        <w:tc>
          <w:tcPr>
            <w:tcW w:w="1625" w:type="dxa"/>
          </w:tcPr>
          <w:p>
            <w:pPr>
              <w:pStyle w:val="TableParagraph"/>
              <w:spacing w:line="226" w:lineRule="exact" w:before="8"/>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8"/>
              <w:ind w:right="101"/>
              <w:jc w:val="right"/>
              <w:rPr>
                <w:sz w:val="20"/>
              </w:rPr>
            </w:pPr>
            <w:r>
              <w:rPr>
                <w:spacing w:val="-2"/>
                <w:sz w:val="20"/>
              </w:rPr>
              <w:t>3,787</w:t>
            </w:r>
          </w:p>
        </w:tc>
      </w:tr>
      <w:tr>
        <w:trPr>
          <w:trHeight w:val="255" w:hRule="atLeast"/>
        </w:trPr>
        <w:tc>
          <w:tcPr>
            <w:tcW w:w="4702" w:type="dxa"/>
            <w:tcBorders>
              <w:left w:val="single" w:sz="4" w:space="0" w:color="000000"/>
            </w:tcBorders>
          </w:tcPr>
          <w:p>
            <w:pPr>
              <w:pStyle w:val="TableParagraph"/>
              <w:spacing w:line="227" w:lineRule="exact" w:before="8"/>
              <w:ind w:left="107"/>
              <w:rPr>
                <w:sz w:val="20"/>
              </w:rPr>
            </w:pPr>
            <w:r>
              <w:rPr>
                <w:sz w:val="20"/>
              </w:rPr>
              <w:t>Footpaths</w:t>
            </w:r>
            <w:r>
              <w:rPr>
                <w:spacing w:val="-7"/>
                <w:sz w:val="20"/>
              </w:rPr>
              <w:t> </w:t>
            </w:r>
            <w:r>
              <w:rPr>
                <w:sz w:val="20"/>
              </w:rPr>
              <w:t>and</w:t>
            </w:r>
            <w:r>
              <w:rPr>
                <w:spacing w:val="-9"/>
                <w:sz w:val="20"/>
              </w:rPr>
              <w:t> </w:t>
            </w:r>
            <w:r>
              <w:rPr>
                <w:spacing w:val="-2"/>
                <w:sz w:val="20"/>
              </w:rPr>
              <w:t>cycleways</w:t>
            </w:r>
          </w:p>
        </w:tc>
        <w:tc>
          <w:tcPr>
            <w:tcW w:w="1169" w:type="dxa"/>
          </w:tcPr>
          <w:p>
            <w:pPr>
              <w:pStyle w:val="TableParagraph"/>
              <w:spacing w:line="227" w:lineRule="exact" w:before="8"/>
              <w:ind w:right="183"/>
              <w:jc w:val="right"/>
              <w:rPr>
                <w:sz w:val="20"/>
              </w:rPr>
            </w:pPr>
            <w:r>
              <w:rPr>
                <w:spacing w:val="-2"/>
                <w:sz w:val="20"/>
              </w:rPr>
              <w:t>3,292</w:t>
            </w:r>
          </w:p>
        </w:tc>
        <w:tc>
          <w:tcPr>
            <w:tcW w:w="1966" w:type="dxa"/>
          </w:tcPr>
          <w:p>
            <w:pPr>
              <w:pStyle w:val="TableParagraph"/>
              <w:tabs>
                <w:tab w:pos="1027" w:val="left" w:leader="none"/>
              </w:tabs>
              <w:spacing w:line="227" w:lineRule="exact" w:before="8"/>
              <w:ind w:right="137"/>
              <w:jc w:val="right"/>
              <w:rPr>
                <w:sz w:val="20"/>
              </w:rPr>
            </w:pPr>
            <w:r>
              <w:rPr>
                <w:spacing w:val="-2"/>
                <w:sz w:val="20"/>
              </w:rPr>
              <w:t>1,487</w:t>
            </w:r>
            <w:r>
              <w:rPr>
                <w:sz w:val="20"/>
              </w:rPr>
              <w:tab/>
            </w:r>
            <w:r>
              <w:rPr>
                <w:spacing w:val="-4"/>
                <w:sz w:val="20"/>
              </w:rPr>
              <w:t>1,607</w:t>
            </w:r>
          </w:p>
        </w:tc>
        <w:tc>
          <w:tcPr>
            <w:tcW w:w="1060" w:type="dxa"/>
            <w:tcBorders>
              <w:right w:val="single" w:sz="4" w:space="0" w:color="000000"/>
            </w:tcBorders>
          </w:tcPr>
          <w:p>
            <w:pPr>
              <w:pStyle w:val="TableParagraph"/>
              <w:spacing w:line="227" w:lineRule="exact" w:before="8"/>
              <w:ind w:right="101"/>
              <w:jc w:val="right"/>
              <w:rPr>
                <w:sz w:val="20"/>
              </w:rPr>
            </w:pPr>
            <w:r>
              <w:rPr>
                <w:spacing w:val="-5"/>
                <w:sz w:val="20"/>
              </w:rPr>
              <w:t>198</w:t>
            </w:r>
          </w:p>
        </w:tc>
        <w:tc>
          <w:tcPr>
            <w:tcW w:w="1581" w:type="dxa"/>
            <w:tcBorders>
              <w:left w:val="single" w:sz="4" w:space="0" w:color="000000"/>
            </w:tcBorders>
          </w:tcPr>
          <w:p>
            <w:pPr>
              <w:pStyle w:val="TableParagraph"/>
              <w:spacing w:line="227" w:lineRule="exact" w:before="8"/>
              <w:ind w:right="277"/>
              <w:jc w:val="right"/>
              <w:rPr>
                <w:sz w:val="20"/>
              </w:rPr>
            </w:pPr>
            <w:r>
              <w:rPr>
                <w:spacing w:val="-2"/>
                <w:sz w:val="20"/>
              </w:rPr>
              <w:t>3,292</w:t>
            </w:r>
          </w:p>
        </w:tc>
        <w:tc>
          <w:tcPr>
            <w:tcW w:w="1038" w:type="dxa"/>
          </w:tcPr>
          <w:p>
            <w:pPr>
              <w:pStyle w:val="TableParagraph"/>
              <w:spacing w:line="227" w:lineRule="exact" w:before="8"/>
              <w:ind w:right="104"/>
              <w:jc w:val="right"/>
              <w:rPr>
                <w:sz w:val="20"/>
              </w:rPr>
            </w:pPr>
            <w:r>
              <w:rPr>
                <w:w w:val="99"/>
                <w:sz w:val="20"/>
              </w:rPr>
              <w:t>0</w:t>
            </w:r>
          </w:p>
        </w:tc>
        <w:tc>
          <w:tcPr>
            <w:tcW w:w="1625" w:type="dxa"/>
          </w:tcPr>
          <w:p>
            <w:pPr>
              <w:pStyle w:val="TableParagraph"/>
              <w:spacing w:line="227" w:lineRule="exact" w:before="8"/>
              <w:ind w:right="202"/>
              <w:jc w:val="right"/>
              <w:rPr>
                <w:sz w:val="20"/>
              </w:rPr>
            </w:pPr>
            <w:r>
              <w:rPr>
                <w:w w:val="99"/>
                <w:sz w:val="20"/>
              </w:rPr>
              <w:t>0</w:t>
            </w:r>
          </w:p>
        </w:tc>
        <w:tc>
          <w:tcPr>
            <w:tcW w:w="1594" w:type="dxa"/>
            <w:tcBorders>
              <w:right w:val="single" w:sz="4" w:space="0" w:color="000000"/>
            </w:tcBorders>
          </w:tcPr>
          <w:p>
            <w:pPr>
              <w:pStyle w:val="TableParagraph"/>
              <w:spacing w:line="227" w:lineRule="exact" w:before="8"/>
              <w:ind w:right="101"/>
              <w:jc w:val="right"/>
              <w:rPr>
                <w:sz w:val="20"/>
              </w:rPr>
            </w:pPr>
            <w:r>
              <w:rPr>
                <w:spacing w:val="-2"/>
                <w:sz w:val="20"/>
              </w:rPr>
              <w:t>3,292</w:t>
            </w:r>
          </w:p>
        </w:tc>
      </w:tr>
      <w:tr>
        <w:trPr>
          <w:trHeight w:val="255" w:hRule="atLeast"/>
        </w:trPr>
        <w:tc>
          <w:tcPr>
            <w:tcW w:w="4702" w:type="dxa"/>
            <w:tcBorders>
              <w:left w:val="single" w:sz="4" w:space="0" w:color="000000"/>
            </w:tcBorders>
          </w:tcPr>
          <w:p>
            <w:pPr>
              <w:pStyle w:val="TableParagraph"/>
              <w:spacing w:line="226" w:lineRule="exact" w:before="10"/>
              <w:ind w:left="107"/>
              <w:rPr>
                <w:sz w:val="20"/>
              </w:rPr>
            </w:pPr>
            <w:r>
              <w:rPr>
                <w:spacing w:val="-2"/>
                <w:sz w:val="20"/>
              </w:rPr>
              <w:t>Drainage</w:t>
            </w:r>
          </w:p>
        </w:tc>
        <w:tc>
          <w:tcPr>
            <w:tcW w:w="1169" w:type="dxa"/>
          </w:tcPr>
          <w:p>
            <w:pPr>
              <w:pStyle w:val="TableParagraph"/>
              <w:spacing w:line="226" w:lineRule="exact" w:before="10"/>
              <w:ind w:right="182"/>
              <w:jc w:val="right"/>
              <w:rPr>
                <w:sz w:val="20"/>
              </w:rPr>
            </w:pPr>
            <w:r>
              <w:rPr>
                <w:spacing w:val="-2"/>
                <w:sz w:val="20"/>
              </w:rPr>
              <w:t>3,785</w:t>
            </w:r>
          </w:p>
        </w:tc>
        <w:tc>
          <w:tcPr>
            <w:tcW w:w="1966" w:type="dxa"/>
          </w:tcPr>
          <w:p>
            <w:pPr>
              <w:pStyle w:val="TableParagraph"/>
              <w:tabs>
                <w:tab w:pos="635" w:val="left" w:leader="none"/>
              </w:tabs>
              <w:spacing w:line="226" w:lineRule="exact" w:before="10"/>
              <w:ind w:right="137"/>
              <w:jc w:val="right"/>
              <w:rPr>
                <w:sz w:val="20"/>
              </w:rPr>
            </w:pPr>
            <w:r>
              <w:rPr>
                <w:spacing w:val="-10"/>
                <w:sz w:val="20"/>
              </w:rPr>
              <w:t>0</w:t>
            </w:r>
            <w:r>
              <w:rPr>
                <w:sz w:val="20"/>
              </w:rPr>
              <w:tab/>
            </w:r>
            <w:r>
              <w:rPr>
                <w:spacing w:val="-2"/>
                <w:sz w:val="20"/>
              </w:rPr>
              <w:t>3,196</w:t>
            </w:r>
          </w:p>
        </w:tc>
        <w:tc>
          <w:tcPr>
            <w:tcW w:w="1060" w:type="dxa"/>
            <w:tcBorders>
              <w:right w:val="single" w:sz="4" w:space="0" w:color="000000"/>
            </w:tcBorders>
          </w:tcPr>
          <w:p>
            <w:pPr>
              <w:pStyle w:val="TableParagraph"/>
              <w:spacing w:line="226" w:lineRule="exact" w:before="10"/>
              <w:ind w:right="101"/>
              <w:jc w:val="right"/>
              <w:rPr>
                <w:sz w:val="20"/>
              </w:rPr>
            </w:pPr>
            <w:r>
              <w:rPr>
                <w:spacing w:val="-5"/>
                <w:sz w:val="20"/>
              </w:rPr>
              <w:t>589</w:t>
            </w:r>
          </w:p>
        </w:tc>
        <w:tc>
          <w:tcPr>
            <w:tcW w:w="1581" w:type="dxa"/>
            <w:tcBorders>
              <w:left w:val="single" w:sz="4" w:space="0" w:color="000000"/>
            </w:tcBorders>
          </w:tcPr>
          <w:p>
            <w:pPr>
              <w:pStyle w:val="TableParagraph"/>
              <w:spacing w:line="226" w:lineRule="exact" w:before="10"/>
              <w:ind w:right="277"/>
              <w:jc w:val="right"/>
              <w:rPr>
                <w:sz w:val="20"/>
              </w:rPr>
            </w:pPr>
            <w:r>
              <w:rPr>
                <w:spacing w:val="-2"/>
                <w:sz w:val="20"/>
              </w:rPr>
              <w:t>3,785</w:t>
            </w:r>
          </w:p>
        </w:tc>
        <w:tc>
          <w:tcPr>
            <w:tcW w:w="1038" w:type="dxa"/>
          </w:tcPr>
          <w:p>
            <w:pPr>
              <w:pStyle w:val="TableParagraph"/>
              <w:spacing w:line="226" w:lineRule="exact" w:before="10"/>
              <w:ind w:right="104"/>
              <w:jc w:val="right"/>
              <w:rPr>
                <w:sz w:val="20"/>
              </w:rPr>
            </w:pPr>
            <w:r>
              <w:rPr>
                <w:w w:val="99"/>
                <w:sz w:val="20"/>
              </w:rPr>
              <w:t>0</w:t>
            </w:r>
          </w:p>
        </w:tc>
        <w:tc>
          <w:tcPr>
            <w:tcW w:w="1625" w:type="dxa"/>
          </w:tcPr>
          <w:p>
            <w:pPr>
              <w:pStyle w:val="TableParagraph"/>
              <w:spacing w:line="226" w:lineRule="exact" w:before="10"/>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10"/>
              <w:ind w:right="101"/>
              <w:jc w:val="right"/>
              <w:rPr>
                <w:sz w:val="20"/>
              </w:rPr>
            </w:pPr>
            <w:r>
              <w:rPr>
                <w:spacing w:val="-2"/>
                <w:sz w:val="20"/>
              </w:rPr>
              <w:t>3,785</w:t>
            </w:r>
          </w:p>
        </w:tc>
      </w:tr>
      <w:tr>
        <w:trPr>
          <w:trHeight w:val="254" w:hRule="atLeast"/>
        </w:trPr>
        <w:tc>
          <w:tcPr>
            <w:tcW w:w="4702" w:type="dxa"/>
            <w:tcBorders>
              <w:left w:val="single" w:sz="4" w:space="0" w:color="000000"/>
            </w:tcBorders>
          </w:tcPr>
          <w:p>
            <w:pPr>
              <w:pStyle w:val="TableParagraph"/>
              <w:spacing w:line="226" w:lineRule="exact" w:before="8"/>
              <w:ind w:left="107"/>
              <w:rPr>
                <w:sz w:val="20"/>
              </w:rPr>
            </w:pPr>
            <w:r>
              <w:rPr>
                <w:sz w:val="20"/>
              </w:rPr>
              <w:t>Recreational,</w:t>
            </w:r>
            <w:r>
              <w:rPr>
                <w:spacing w:val="-7"/>
                <w:sz w:val="20"/>
              </w:rPr>
              <w:t> </w:t>
            </w:r>
            <w:r>
              <w:rPr>
                <w:sz w:val="20"/>
              </w:rPr>
              <w:t>leisure</w:t>
            </w:r>
            <w:r>
              <w:rPr>
                <w:spacing w:val="-9"/>
                <w:sz w:val="20"/>
              </w:rPr>
              <w:t> </w:t>
            </w:r>
            <w:r>
              <w:rPr>
                <w:sz w:val="20"/>
              </w:rPr>
              <w:t>and</w:t>
            </w:r>
            <w:r>
              <w:rPr>
                <w:spacing w:val="-9"/>
                <w:sz w:val="20"/>
              </w:rPr>
              <w:t> </w:t>
            </w:r>
            <w:r>
              <w:rPr>
                <w:sz w:val="20"/>
              </w:rPr>
              <w:t>community</w:t>
            </w:r>
            <w:r>
              <w:rPr>
                <w:spacing w:val="-8"/>
                <w:sz w:val="20"/>
              </w:rPr>
              <w:t> </w:t>
            </w:r>
            <w:r>
              <w:rPr>
                <w:spacing w:val="-2"/>
                <w:sz w:val="20"/>
              </w:rPr>
              <w:t>facilities</w:t>
            </w:r>
          </w:p>
        </w:tc>
        <w:tc>
          <w:tcPr>
            <w:tcW w:w="1169" w:type="dxa"/>
          </w:tcPr>
          <w:p>
            <w:pPr>
              <w:pStyle w:val="TableParagraph"/>
              <w:spacing w:line="226" w:lineRule="exact" w:before="8"/>
              <w:ind w:right="182"/>
              <w:jc w:val="right"/>
              <w:rPr>
                <w:sz w:val="20"/>
              </w:rPr>
            </w:pPr>
            <w:r>
              <w:rPr>
                <w:spacing w:val="-2"/>
                <w:sz w:val="20"/>
              </w:rPr>
              <w:t>1,971</w:t>
            </w:r>
          </w:p>
        </w:tc>
        <w:tc>
          <w:tcPr>
            <w:tcW w:w="1966" w:type="dxa"/>
          </w:tcPr>
          <w:p>
            <w:pPr>
              <w:pStyle w:val="TableParagraph"/>
              <w:tabs>
                <w:tab w:pos="635" w:val="left" w:leader="none"/>
              </w:tabs>
              <w:spacing w:line="226" w:lineRule="exact" w:before="8"/>
              <w:ind w:right="137"/>
              <w:jc w:val="right"/>
              <w:rPr>
                <w:sz w:val="20"/>
              </w:rPr>
            </w:pPr>
            <w:r>
              <w:rPr>
                <w:spacing w:val="-10"/>
                <w:sz w:val="20"/>
              </w:rPr>
              <w:t>0</w:t>
            </w:r>
            <w:r>
              <w:rPr>
                <w:sz w:val="20"/>
              </w:rPr>
              <w:tab/>
            </w:r>
            <w:r>
              <w:rPr>
                <w:spacing w:val="-2"/>
                <w:sz w:val="20"/>
              </w:rPr>
              <w:t>1,704</w:t>
            </w:r>
          </w:p>
        </w:tc>
        <w:tc>
          <w:tcPr>
            <w:tcW w:w="1060" w:type="dxa"/>
            <w:tcBorders>
              <w:right w:val="single" w:sz="4" w:space="0" w:color="000000"/>
            </w:tcBorders>
          </w:tcPr>
          <w:p>
            <w:pPr>
              <w:pStyle w:val="TableParagraph"/>
              <w:spacing w:line="226" w:lineRule="exact" w:before="8"/>
              <w:ind w:right="101"/>
              <w:jc w:val="right"/>
              <w:rPr>
                <w:sz w:val="20"/>
              </w:rPr>
            </w:pPr>
            <w:r>
              <w:rPr>
                <w:spacing w:val="-5"/>
                <w:sz w:val="20"/>
              </w:rPr>
              <w:t>267</w:t>
            </w:r>
          </w:p>
        </w:tc>
        <w:tc>
          <w:tcPr>
            <w:tcW w:w="1581" w:type="dxa"/>
            <w:tcBorders>
              <w:left w:val="single" w:sz="4" w:space="0" w:color="000000"/>
            </w:tcBorders>
          </w:tcPr>
          <w:p>
            <w:pPr>
              <w:pStyle w:val="TableParagraph"/>
              <w:spacing w:line="226" w:lineRule="exact" w:before="8"/>
              <w:ind w:right="277"/>
              <w:jc w:val="right"/>
              <w:rPr>
                <w:sz w:val="20"/>
              </w:rPr>
            </w:pPr>
            <w:r>
              <w:rPr>
                <w:spacing w:val="-2"/>
                <w:sz w:val="20"/>
              </w:rPr>
              <w:t>1,971</w:t>
            </w:r>
          </w:p>
        </w:tc>
        <w:tc>
          <w:tcPr>
            <w:tcW w:w="1038" w:type="dxa"/>
          </w:tcPr>
          <w:p>
            <w:pPr>
              <w:pStyle w:val="TableParagraph"/>
              <w:spacing w:line="226" w:lineRule="exact" w:before="8"/>
              <w:ind w:right="104"/>
              <w:jc w:val="right"/>
              <w:rPr>
                <w:sz w:val="20"/>
              </w:rPr>
            </w:pPr>
            <w:r>
              <w:rPr>
                <w:w w:val="99"/>
                <w:sz w:val="20"/>
              </w:rPr>
              <w:t>0</w:t>
            </w:r>
          </w:p>
        </w:tc>
        <w:tc>
          <w:tcPr>
            <w:tcW w:w="1625" w:type="dxa"/>
          </w:tcPr>
          <w:p>
            <w:pPr>
              <w:pStyle w:val="TableParagraph"/>
              <w:spacing w:line="226" w:lineRule="exact" w:before="8"/>
              <w:ind w:right="205"/>
              <w:jc w:val="right"/>
              <w:rPr>
                <w:sz w:val="20"/>
              </w:rPr>
            </w:pPr>
            <w:r>
              <w:rPr>
                <w:spacing w:val="-5"/>
                <w:sz w:val="20"/>
              </w:rPr>
              <w:t>36</w:t>
            </w:r>
          </w:p>
        </w:tc>
        <w:tc>
          <w:tcPr>
            <w:tcW w:w="1594" w:type="dxa"/>
            <w:tcBorders>
              <w:right w:val="single" w:sz="4" w:space="0" w:color="000000"/>
            </w:tcBorders>
          </w:tcPr>
          <w:p>
            <w:pPr>
              <w:pStyle w:val="TableParagraph"/>
              <w:spacing w:line="226" w:lineRule="exact" w:before="8"/>
              <w:ind w:right="101"/>
              <w:jc w:val="right"/>
              <w:rPr>
                <w:sz w:val="20"/>
              </w:rPr>
            </w:pPr>
            <w:r>
              <w:rPr>
                <w:spacing w:val="-2"/>
                <w:sz w:val="20"/>
              </w:rPr>
              <w:t>1,935</w:t>
            </w:r>
          </w:p>
        </w:tc>
      </w:tr>
      <w:tr>
        <w:trPr>
          <w:trHeight w:val="254" w:hRule="atLeast"/>
        </w:trPr>
        <w:tc>
          <w:tcPr>
            <w:tcW w:w="4702" w:type="dxa"/>
            <w:tcBorders>
              <w:left w:val="single" w:sz="4" w:space="0" w:color="000000"/>
            </w:tcBorders>
          </w:tcPr>
          <w:p>
            <w:pPr>
              <w:pStyle w:val="TableParagraph"/>
              <w:spacing w:line="226" w:lineRule="exact" w:before="8"/>
              <w:ind w:left="107"/>
              <w:rPr>
                <w:sz w:val="20"/>
              </w:rPr>
            </w:pPr>
            <w:r>
              <w:rPr>
                <w:sz w:val="20"/>
              </w:rPr>
              <w:t>Waste</w:t>
            </w:r>
            <w:r>
              <w:rPr>
                <w:spacing w:val="-6"/>
                <w:sz w:val="20"/>
              </w:rPr>
              <w:t> </w:t>
            </w:r>
            <w:r>
              <w:rPr>
                <w:spacing w:val="-2"/>
                <w:sz w:val="20"/>
              </w:rPr>
              <w:t>management</w:t>
            </w:r>
          </w:p>
        </w:tc>
        <w:tc>
          <w:tcPr>
            <w:tcW w:w="1169" w:type="dxa"/>
          </w:tcPr>
          <w:p>
            <w:pPr>
              <w:pStyle w:val="TableParagraph"/>
              <w:spacing w:line="226" w:lineRule="exact" w:before="8"/>
              <w:ind w:right="183"/>
              <w:jc w:val="right"/>
              <w:rPr>
                <w:sz w:val="20"/>
              </w:rPr>
            </w:pPr>
            <w:r>
              <w:rPr>
                <w:spacing w:val="-5"/>
                <w:sz w:val="20"/>
              </w:rPr>
              <w:t>50</w:t>
            </w:r>
          </w:p>
        </w:tc>
        <w:tc>
          <w:tcPr>
            <w:tcW w:w="1966" w:type="dxa"/>
          </w:tcPr>
          <w:p>
            <w:pPr>
              <w:pStyle w:val="TableParagraph"/>
              <w:tabs>
                <w:tab w:pos="1027" w:val="left" w:leader="none"/>
              </w:tabs>
              <w:spacing w:line="226" w:lineRule="exact" w:before="8"/>
              <w:ind w:right="135"/>
              <w:jc w:val="right"/>
              <w:rPr>
                <w:sz w:val="20"/>
              </w:rPr>
            </w:pPr>
            <w:r>
              <w:rPr>
                <w:spacing w:val="-10"/>
                <w:sz w:val="20"/>
              </w:rPr>
              <w:t>0</w:t>
            </w:r>
            <w:r>
              <w:rPr>
                <w:sz w:val="20"/>
              </w:rPr>
              <w:tab/>
            </w:r>
            <w:r>
              <w:rPr>
                <w:spacing w:val="-10"/>
                <w:sz w:val="20"/>
              </w:rPr>
              <w:t>0</w:t>
            </w:r>
          </w:p>
        </w:tc>
        <w:tc>
          <w:tcPr>
            <w:tcW w:w="1060" w:type="dxa"/>
            <w:tcBorders>
              <w:right w:val="single" w:sz="4" w:space="0" w:color="000000"/>
            </w:tcBorders>
          </w:tcPr>
          <w:p>
            <w:pPr>
              <w:pStyle w:val="TableParagraph"/>
              <w:spacing w:line="226" w:lineRule="exact" w:before="8"/>
              <w:ind w:right="100"/>
              <w:jc w:val="right"/>
              <w:rPr>
                <w:sz w:val="20"/>
              </w:rPr>
            </w:pPr>
            <w:r>
              <w:rPr>
                <w:spacing w:val="-5"/>
                <w:sz w:val="20"/>
              </w:rPr>
              <w:t>50</w:t>
            </w:r>
          </w:p>
        </w:tc>
        <w:tc>
          <w:tcPr>
            <w:tcW w:w="1581" w:type="dxa"/>
            <w:tcBorders>
              <w:left w:val="single" w:sz="4" w:space="0" w:color="000000"/>
            </w:tcBorders>
          </w:tcPr>
          <w:p>
            <w:pPr>
              <w:pStyle w:val="TableParagraph"/>
              <w:spacing w:line="226" w:lineRule="exact" w:before="8"/>
              <w:ind w:right="278"/>
              <w:jc w:val="right"/>
              <w:rPr>
                <w:sz w:val="20"/>
              </w:rPr>
            </w:pPr>
            <w:r>
              <w:rPr>
                <w:spacing w:val="-5"/>
                <w:sz w:val="20"/>
              </w:rPr>
              <w:t>50</w:t>
            </w:r>
          </w:p>
        </w:tc>
        <w:tc>
          <w:tcPr>
            <w:tcW w:w="1038" w:type="dxa"/>
          </w:tcPr>
          <w:p>
            <w:pPr>
              <w:pStyle w:val="TableParagraph"/>
              <w:spacing w:line="226" w:lineRule="exact" w:before="8"/>
              <w:ind w:right="104"/>
              <w:jc w:val="right"/>
              <w:rPr>
                <w:sz w:val="20"/>
              </w:rPr>
            </w:pPr>
            <w:r>
              <w:rPr>
                <w:w w:val="99"/>
                <w:sz w:val="20"/>
              </w:rPr>
              <w:t>0</w:t>
            </w:r>
          </w:p>
        </w:tc>
        <w:tc>
          <w:tcPr>
            <w:tcW w:w="1625" w:type="dxa"/>
          </w:tcPr>
          <w:p>
            <w:pPr>
              <w:pStyle w:val="TableParagraph"/>
              <w:spacing w:line="226" w:lineRule="exact" w:before="8"/>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8"/>
              <w:ind w:right="102"/>
              <w:jc w:val="right"/>
              <w:rPr>
                <w:sz w:val="20"/>
              </w:rPr>
            </w:pPr>
            <w:r>
              <w:rPr>
                <w:spacing w:val="-5"/>
                <w:sz w:val="20"/>
              </w:rPr>
              <w:t>50</w:t>
            </w:r>
          </w:p>
        </w:tc>
      </w:tr>
      <w:tr>
        <w:trPr>
          <w:trHeight w:val="255" w:hRule="atLeast"/>
        </w:trPr>
        <w:tc>
          <w:tcPr>
            <w:tcW w:w="4702" w:type="dxa"/>
            <w:tcBorders>
              <w:left w:val="single" w:sz="4" w:space="0" w:color="000000"/>
            </w:tcBorders>
          </w:tcPr>
          <w:p>
            <w:pPr>
              <w:pStyle w:val="TableParagraph"/>
              <w:spacing w:line="227" w:lineRule="exact" w:before="8"/>
              <w:ind w:left="107"/>
              <w:rPr>
                <w:sz w:val="20"/>
              </w:rPr>
            </w:pPr>
            <w:r>
              <w:rPr>
                <w:sz w:val="20"/>
              </w:rPr>
              <w:t>Parks,</w:t>
            </w:r>
            <w:r>
              <w:rPr>
                <w:spacing w:val="-6"/>
                <w:sz w:val="20"/>
              </w:rPr>
              <w:t> </w:t>
            </w:r>
            <w:r>
              <w:rPr>
                <w:sz w:val="20"/>
              </w:rPr>
              <w:t>open</w:t>
            </w:r>
            <w:r>
              <w:rPr>
                <w:spacing w:val="-7"/>
                <w:sz w:val="20"/>
              </w:rPr>
              <w:t> </w:t>
            </w:r>
            <w:r>
              <w:rPr>
                <w:sz w:val="20"/>
              </w:rPr>
              <w:t>space,</w:t>
            </w:r>
            <w:r>
              <w:rPr>
                <w:spacing w:val="-2"/>
                <w:sz w:val="20"/>
              </w:rPr>
              <w:t> </w:t>
            </w:r>
            <w:r>
              <w:rPr>
                <w:sz w:val="20"/>
              </w:rPr>
              <w:t>and</w:t>
            </w:r>
            <w:r>
              <w:rPr>
                <w:spacing w:val="-7"/>
                <w:sz w:val="20"/>
              </w:rPr>
              <w:t> </w:t>
            </w:r>
            <w:r>
              <w:rPr>
                <w:spacing w:val="-2"/>
                <w:sz w:val="20"/>
              </w:rPr>
              <w:t>streetscapes</w:t>
            </w:r>
          </w:p>
        </w:tc>
        <w:tc>
          <w:tcPr>
            <w:tcW w:w="1169" w:type="dxa"/>
          </w:tcPr>
          <w:p>
            <w:pPr>
              <w:pStyle w:val="TableParagraph"/>
              <w:spacing w:line="227" w:lineRule="exact" w:before="8"/>
              <w:ind w:right="183"/>
              <w:jc w:val="right"/>
              <w:rPr>
                <w:sz w:val="20"/>
              </w:rPr>
            </w:pPr>
            <w:r>
              <w:rPr>
                <w:spacing w:val="-2"/>
                <w:sz w:val="20"/>
              </w:rPr>
              <w:t>2,736</w:t>
            </w:r>
          </w:p>
        </w:tc>
        <w:tc>
          <w:tcPr>
            <w:tcW w:w="1966" w:type="dxa"/>
          </w:tcPr>
          <w:p>
            <w:pPr>
              <w:pStyle w:val="TableParagraph"/>
              <w:tabs>
                <w:tab w:pos="1027" w:val="left" w:leader="none"/>
              </w:tabs>
              <w:spacing w:line="227" w:lineRule="exact" w:before="8"/>
              <w:ind w:right="137"/>
              <w:jc w:val="right"/>
              <w:rPr>
                <w:sz w:val="20"/>
              </w:rPr>
            </w:pPr>
            <w:r>
              <w:rPr>
                <w:spacing w:val="-2"/>
                <w:sz w:val="20"/>
              </w:rPr>
              <w:t>1,047</w:t>
            </w:r>
            <w:r>
              <w:rPr>
                <w:sz w:val="20"/>
              </w:rPr>
              <w:tab/>
            </w:r>
            <w:r>
              <w:rPr>
                <w:spacing w:val="-4"/>
                <w:sz w:val="20"/>
              </w:rPr>
              <w:t>1,195</w:t>
            </w:r>
          </w:p>
        </w:tc>
        <w:tc>
          <w:tcPr>
            <w:tcW w:w="1060" w:type="dxa"/>
            <w:tcBorders>
              <w:right w:val="single" w:sz="4" w:space="0" w:color="000000"/>
            </w:tcBorders>
          </w:tcPr>
          <w:p>
            <w:pPr>
              <w:pStyle w:val="TableParagraph"/>
              <w:spacing w:line="227" w:lineRule="exact" w:before="8"/>
              <w:ind w:right="101"/>
              <w:jc w:val="right"/>
              <w:rPr>
                <w:sz w:val="20"/>
              </w:rPr>
            </w:pPr>
            <w:r>
              <w:rPr>
                <w:spacing w:val="-5"/>
                <w:sz w:val="20"/>
              </w:rPr>
              <w:t>494</w:t>
            </w:r>
          </w:p>
        </w:tc>
        <w:tc>
          <w:tcPr>
            <w:tcW w:w="1581" w:type="dxa"/>
            <w:tcBorders>
              <w:left w:val="single" w:sz="4" w:space="0" w:color="000000"/>
            </w:tcBorders>
          </w:tcPr>
          <w:p>
            <w:pPr>
              <w:pStyle w:val="TableParagraph"/>
              <w:spacing w:line="227" w:lineRule="exact" w:before="8"/>
              <w:ind w:right="277"/>
              <w:jc w:val="right"/>
              <w:rPr>
                <w:sz w:val="20"/>
              </w:rPr>
            </w:pPr>
            <w:r>
              <w:rPr>
                <w:spacing w:val="-2"/>
                <w:sz w:val="20"/>
              </w:rPr>
              <w:t>2,736</w:t>
            </w:r>
          </w:p>
        </w:tc>
        <w:tc>
          <w:tcPr>
            <w:tcW w:w="1038" w:type="dxa"/>
          </w:tcPr>
          <w:p>
            <w:pPr>
              <w:pStyle w:val="TableParagraph"/>
              <w:spacing w:line="227" w:lineRule="exact" w:before="8"/>
              <w:ind w:right="104"/>
              <w:jc w:val="right"/>
              <w:rPr>
                <w:sz w:val="20"/>
              </w:rPr>
            </w:pPr>
            <w:r>
              <w:rPr>
                <w:w w:val="99"/>
                <w:sz w:val="20"/>
              </w:rPr>
              <w:t>0</w:t>
            </w:r>
          </w:p>
        </w:tc>
        <w:tc>
          <w:tcPr>
            <w:tcW w:w="1625" w:type="dxa"/>
          </w:tcPr>
          <w:p>
            <w:pPr>
              <w:pStyle w:val="TableParagraph"/>
              <w:spacing w:line="227" w:lineRule="exact" w:before="8"/>
              <w:ind w:right="202"/>
              <w:jc w:val="right"/>
              <w:rPr>
                <w:sz w:val="20"/>
              </w:rPr>
            </w:pPr>
            <w:r>
              <w:rPr>
                <w:w w:val="99"/>
                <w:sz w:val="20"/>
              </w:rPr>
              <w:t>0</w:t>
            </w:r>
          </w:p>
        </w:tc>
        <w:tc>
          <w:tcPr>
            <w:tcW w:w="1594" w:type="dxa"/>
            <w:tcBorders>
              <w:right w:val="single" w:sz="4" w:space="0" w:color="000000"/>
            </w:tcBorders>
          </w:tcPr>
          <w:p>
            <w:pPr>
              <w:pStyle w:val="TableParagraph"/>
              <w:spacing w:line="227" w:lineRule="exact" w:before="8"/>
              <w:ind w:right="101"/>
              <w:jc w:val="right"/>
              <w:rPr>
                <w:sz w:val="20"/>
              </w:rPr>
            </w:pPr>
            <w:r>
              <w:rPr>
                <w:spacing w:val="-2"/>
                <w:sz w:val="20"/>
              </w:rPr>
              <w:t>2,736</w:t>
            </w:r>
          </w:p>
        </w:tc>
      </w:tr>
      <w:tr>
        <w:trPr>
          <w:trHeight w:val="255" w:hRule="atLeast"/>
        </w:trPr>
        <w:tc>
          <w:tcPr>
            <w:tcW w:w="4702" w:type="dxa"/>
            <w:tcBorders>
              <w:left w:val="single" w:sz="4" w:space="0" w:color="000000"/>
            </w:tcBorders>
          </w:tcPr>
          <w:p>
            <w:pPr>
              <w:pStyle w:val="TableParagraph"/>
              <w:spacing w:line="226" w:lineRule="exact" w:before="10"/>
              <w:ind w:left="107"/>
              <w:rPr>
                <w:sz w:val="20"/>
              </w:rPr>
            </w:pPr>
            <w:r>
              <w:rPr>
                <w:sz w:val="20"/>
              </w:rPr>
              <w:t>Off</w:t>
            </w:r>
            <w:r>
              <w:rPr>
                <w:spacing w:val="-5"/>
                <w:sz w:val="20"/>
              </w:rPr>
              <w:t> </w:t>
            </w:r>
            <w:r>
              <w:rPr>
                <w:sz w:val="20"/>
              </w:rPr>
              <w:t>street</w:t>
            </w:r>
            <w:r>
              <w:rPr>
                <w:spacing w:val="-5"/>
                <w:sz w:val="20"/>
              </w:rPr>
              <w:t> </w:t>
            </w:r>
            <w:r>
              <w:rPr>
                <w:sz w:val="20"/>
              </w:rPr>
              <w:t>car</w:t>
            </w:r>
            <w:r>
              <w:rPr>
                <w:spacing w:val="-3"/>
                <w:sz w:val="20"/>
              </w:rPr>
              <w:t> </w:t>
            </w:r>
            <w:r>
              <w:rPr>
                <w:spacing w:val="-2"/>
                <w:sz w:val="20"/>
              </w:rPr>
              <w:t>parks</w:t>
            </w:r>
          </w:p>
        </w:tc>
        <w:tc>
          <w:tcPr>
            <w:tcW w:w="1169" w:type="dxa"/>
          </w:tcPr>
          <w:p>
            <w:pPr>
              <w:pStyle w:val="TableParagraph"/>
              <w:spacing w:line="226" w:lineRule="exact" w:before="10"/>
              <w:ind w:right="183"/>
              <w:jc w:val="right"/>
              <w:rPr>
                <w:sz w:val="20"/>
              </w:rPr>
            </w:pPr>
            <w:r>
              <w:rPr>
                <w:spacing w:val="-5"/>
                <w:sz w:val="20"/>
              </w:rPr>
              <w:t>420</w:t>
            </w:r>
          </w:p>
        </w:tc>
        <w:tc>
          <w:tcPr>
            <w:tcW w:w="1966" w:type="dxa"/>
          </w:tcPr>
          <w:p>
            <w:pPr>
              <w:pStyle w:val="TableParagraph"/>
              <w:tabs>
                <w:tab w:pos="803" w:val="left" w:leader="none"/>
              </w:tabs>
              <w:spacing w:line="226" w:lineRule="exact" w:before="10"/>
              <w:ind w:right="138"/>
              <w:jc w:val="right"/>
              <w:rPr>
                <w:sz w:val="20"/>
              </w:rPr>
            </w:pPr>
            <w:r>
              <w:rPr>
                <w:spacing w:val="-10"/>
                <w:sz w:val="20"/>
              </w:rPr>
              <w:t>0</w:t>
            </w:r>
            <w:r>
              <w:rPr>
                <w:sz w:val="20"/>
              </w:rPr>
              <w:tab/>
            </w:r>
            <w:r>
              <w:rPr>
                <w:spacing w:val="-5"/>
                <w:sz w:val="20"/>
              </w:rPr>
              <w:t>210</w:t>
            </w:r>
          </w:p>
        </w:tc>
        <w:tc>
          <w:tcPr>
            <w:tcW w:w="1060" w:type="dxa"/>
            <w:tcBorders>
              <w:right w:val="single" w:sz="4" w:space="0" w:color="000000"/>
            </w:tcBorders>
          </w:tcPr>
          <w:p>
            <w:pPr>
              <w:pStyle w:val="TableParagraph"/>
              <w:spacing w:line="226" w:lineRule="exact" w:before="10"/>
              <w:ind w:right="101"/>
              <w:jc w:val="right"/>
              <w:rPr>
                <w:sz w:val="20"/>
              </w:rPr>
            </w:pPr>
            <w:r>
              <w:rPr>
                <w:spacing w:val="-5"/>
                <w:sz w:val="20"/>
              </w:rPr>
              <w:t>210</w:t>
            </w:r>
          </w:p>
        </w:tc>
        <w:tc>
          <w:tcPr>
            <w:tcW w:w="1581" w:type="dxa"/>
            <w:tcBorders>
              <w:left w:val="single" w:sz="4" w:space="0" w:color="000000"/>
            </w:tcBorders>
          </w:tcPr>
          <w:p>
            <w:pPr>
              <w:pStyle w:val="TableParagraph"/>
              <w:spacing w:line="226" w:lineRule="exact" w:before="10"/>
              <w:ind w:right="278"/>
              <w:jc w:val="right"/>
              <w:rPr>
                <w:sz w:val="20"/>
              </w:rPr>
            </w:pPr>
            <w:r>
              <w:rPr>
                <w:spacing w:val="-5"/>
                <w:sz w:val="20"/>
              </w:rPr>
              <w:t>420</w:t>
            </w:r>
          </w:p>
        </w:tc>
        <w:tc>
          <w:tcPr>
            <w:tcW w:w="1038" w:type="dxa"/>
          </w:tcPr>
          <w:p>
            <w:pPr>
              <w:pStyle w:val="TableParagraph"/>
              <w:spacing w:line="226" w:lineRule="exact" w:before="10"/>
              <w:ind w:right="104"/>
              <w:jc w:val="right"/>
              <w:rPr>
                <w:sz w:val="20"/>
              </w:rPr>
            </w:pPr>
            <w:r>
              <w:rPr>
                <w:w w:val="99"/>
                <w:sz w:val="20"/>
              </w:rPr>
              <w:t>0</w:t>
            </w:r>
          </w:p>
        </w:tc>
        <w:tc>
          <w:tcPr>
            <w:tcW w:w="1625" w:type="dxa"/>
          </w:tcPr>
          <w:p>
            <w:pPr>
              <w:pStyle w:val="TableParagraph"/>
              <w:spacing w:line="226" w:lineRule="exact" w:before="10"/>
              <w:ind w:right="202"/>
              <w:jc w:val="right"/>
              <w:rPr>
                <w:sz w:val="20"/>
              </w:rPr>
            </w:pPr>
            <w:r>
              <w:rPr>
                <w:w w:val="99"/>
                <w:sz w:val="20"/>
              </w:rPr>
              <w:t>0</w:t>
            </w:r>
          </w:p>
        </w:tc>
        <w:tc>
          <w:tcPr>
            <w:tcW w:w="1594" w:type="dxa"/>
            <w:tcBorders>
              <w:right w:val="single" w:sz="4" w:space="0" w:color="000000"/>
            </w:tcBorders>
          </w:tcPr>
          <w:p>
            <w:pPr>
              <w:pStyle w:val="TableParagraph"/>
              <w:spacing w:line="226" w:lineRule="exact" w:before="10"/>
              <w:ind w:right="102"/>
              <w:jc w:val="right"/>
              <w:rPr>
                <w:sz w:val="20"/>
              </w:rPr>
            </w:pPr>
            <w:r>
              <w:rPr>
                <w:spacing w:val="-5"/>
                <w:sz w:val="20"/>
              </w:rPr>
              <w:t>420</w:t>
            </w:r>
          </w:p>
        </w:tc>
      </w:tr>
      <w:tr>
        <w:trPr>
          <w:trHeight w:val="239" w:hRule="atLeast"/>
        </w:trPr>
        <w:tc>
          <w:tcPr>
            <w:tcW w:w="4702" w:type="dxa"/>
            <w:tcBorders>
              <w:left w:val="single" w:sz="4" w:space="0" w:color="000000"/>
            </w:tcBorders>
          </w:tcPr>
          <w:p>
            <w:pPr>
              <w:pStyle w:val="TableParagraph"/>
              <w:spacing w:line="211" w:lineRule="exact" w:before="8"/>
              <w:ind w:left="107"/>
              <w:rPr>
                <w:sz w:val="20"/>
              </w:rPr>
            </w:pPr>
            <w:r>
              <w:rPr>
                <w:sz w:val="20"/>
              </w:rPr>
              <w:t>Other</w:t>
            </w:r>
            <w:r>
              <w:rPr>
                <w:spacing w:val="-6"/>
                <w:sz w:val="20"/>
              </w:rPr>
              <w:t> </w:t>
            </w:r>
            <w:r>
              <w:rPr>
                <w:spacing w:val="-2"/>
                <w:sz w:val="20"/>
              </w:rPr>
              <w:t>infrastructure</w:t>
            </w:r>
          </w:p>
        </w:tc>
        <w:tc>
          <w:tcPr>
            <w:tcW w:w="1169" w:type="dxa"/>
            <w:tcBorders>
              <w:bottom w:val="single" w:sz="4" w:space="0" w:color="000000"/>
            </w:tcBorders>
          </w:tcPr>
          <w:p>
            <w:pPr>
              <w:pStyle w:val="TableParagraph"/>
              <w:spacing w:line="211" w:lineRule="exact" w:before="8"/>
              <w:ind w:right="182"/>
              <w:jc w:val="right"/>
              <w:rPr>
                <w:sz w:val="20"/>
              </w:rPr>
            </w:pPr>
            <w:r>
              <w:rPr>
                <w:spacing w:val="-2"/>
                <w:sz w:val="20"/>
              </w:rPr>
              <w:t>1,215</w:t>
            </w:r>
          </w:p>
        </w:tc>
        <w:tc>
          <w:tcPr>
            <w:tcW w:w="1966" w:type="dxa"/>
            <w:tcBorders>
              <w:bottom w:val="single" w:sz="4" w:space="0" w:color="000000"/>
            </w:tcBorders>
          </w:tcPr>
          <w:p>
            <w:pPr>
              <w:pStyle w:val="TableParagraph"/>
              <w:tabs>
                <w:tab w:pos="1027" w:val="left" w:leader="none"/>
              </w:tabs>
              <w:spacing w:line="211" w:lineRule="exact" w:before="8"/>
              <w:ind w:right="138"/>
              <w:jc w:val="right"/>
              <w:rPr>
                <w:sz w:val="20"/>
              </w:rPr>
            </w:pPr>
            <w:r>
              <w:rPr>
                <w:spacing w:val="-5"/>
                <w:sz w:val="20"/>
              </w:rPr>
              <w:t>150</w:t>
            </w:r>
            <w:r>
              <w:rPr>
                <w:sz w:val="20"/>
              </w:rPr>
              <w:tab/>
            </w:r>
            <w:r>
              <w:rPr>
                <w:spacing w:val="-5"/>
                <w:sz w:val="20"/>
              </w:rPr>
              <w:t>270</w:t>
            </w:r>
          </w:p>
        </w:tc>
        <w:tc>
          <w:tcPr>
            <w:tcW w:w="1060" w:type="dxa"/>
            <w:tcBorders>
              <w:bottom w:val="single" w:sz="4" w:space="0" w:color="000000"/>
              <w:right w:val="single" w:sz="4" w:space="0" w:color="000000"/>
            </w:tcBorders>
          </w:tcPr>
          <w:p>
            <w:pPr>
              <w:pStyle w:val="TableParagraph"/>
              <w:spacing w:line="211" w:lineRule="exact" w:before="8"/>
              <w:ind w:right="101"/>
              <w:jc w:val="right"/>
              <w:rPr>
                <w:sz w:val="20"/>
              </w:rPr>
            </w:pPr>
            <w:r>
              <w:rPr>
                <w:spacing w:val="-5"/>
                <w:sz w:val="20"/>
              </w:rPr>
              <w:t>795</w:t>
            </w:r>
          </w:p>
        </w:tc>
        <w:tc>
          <w:tcPr>
            <w:tcW w:w="1581" w:type="dxa"/>
            <w:tcBorders>
              <w:left w:val="single" w:sz="4" w:space="0" w:color="000000"/>
              <w:bottom w:val="single" w:sz="4" w:space="0" w:color="000000"/>
            </w:tcBorders>
          </w:tcPr>
          <w:p>
            <w:pPr>
              <w:pStyle w:val="TableParagraph"/>
              <w:spacing w:line="211" w:lineRule="exact" w:before="8"/>
              <w:ind w:right="277"/>
              <w:jc w:val="right"/>
              <w:rPr>
                <w:sz w:val="20"/>
              </w:rPr>
            </w:pPr>
            <w:r>
              <w:rPr>
                <w:spacing w:val="-2"/>
                <w:sz w:val="20"/>
              </w:rPr>
              <w:t>1,215</w:t>
            </w:r>
          </w:p>
        </w:tc>
        <w:tc>
          <w:tcPr>
            <w:tcW w:w="1038" w:type="dxa"/>
            <w:tcBorders>
              <w:bottom w:val="single" w:sz="4" w:space="0" w:color="000000"/>
            </w:tcBorders>
          </w:tcPr>
          <w:p>
            <w:pPr>
              <w:pStyle w:val="TableParagraph"/>
              <w:spacing w:line="211" w:lineRule="exact" w:before="8"/>
              <w:ind w:right="104"/>
              <w:jc w:val="right"/>
              <w:rPr>
                <w:sz w:val="20"/>
              </w:rPr>
            </w:pPr>
            <w:r>
              <w:rPr>
                <w:w w:val="99"/>
                <w:sz w:val="20"/>
              </w:rPr>
              <w:t>0</w:t>
            </w:r>
          </w:p>
        </w:tc>
        <w:tc>
          <w:tcPr>
            <w:tcW w:w="1625" w:type="dxa"/>
            <w:tcBorders>
              <w:bottom w:val="single" w:sz="4" w:space="0" w:color="000000"/>
            </w:tcBorders>
          </w:tcPr>
          <w:p>
            <w:pPr>
              <w:pStyle w:val="TableParagraph"/>
              <w:spacing w:line="211" w:lineRule="exact" w:before="8"/>
              <w:ind w:right="202"/>
              <w:jc w:val="right"/>
              <w:rPr>
                <w:sz w:val="20"/>
              </w:rPr>
            </w:pPr>
            <w:r>
              <w:rPr>
                <w:w w:val="99"/>
                <w:sz w:val="20"/>
              </w:rPr>
              <w:t>0</w:t>
            </w:r>
          </w:p>
        </w:tc>
        <w:tc>
          <w:tcPr>
            <w:tcW w:w="1594" w:type="dxa"/>
            <w:tcBorders>
              <w:bottom w:val="single" w:sz="4" w:space="0" w:color="000000"/>
              <w:right w:val="single" w:sz="4" w:space="0" w:color="000000"/>
            </w:tcBorders>
          </w:tcPr>
          <w:p>
            <w:pPr>
              <w:pStyle w:val="TableParagraph"/>
              <w:spacing w:line="211" w:lineRule="exact" w:before="8"/>
              <w:ind w:right="101"/>
              <w:jc w:val="right"/>
              <w:rPr>
                <w:sz w:val="20"/>
              </w:rPr>
            </w:pPr>
            <w:r>
              <w:rPr>
                <w:spacing w:val="-2"/>
                <w:sz w:val="20"/>
              </w:rPr>
              <w:t>1,215</w:t>
            </w:r>
          </w:p>
        </w:tc>
      </w:tr>
      <w:tr>
        <w:trPr>
          <w:trHeight w:val="254" w:hRule="atLeast"/>
        </w:trPr>
        <w:tc>
          <w:tcPr>
            <w:tcW w:w="4702"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Infrastructure</w:t>
            </w:r>
          </w:p>
        </w:tc>
        <w:tc>
          <w:tcPr>
            <w:tcW w:w="1169" w:type="dxa"/>
            <w:tcBorders>
              <w:top w:val="single" w:sz="4" w:space="0" w:color="000000"/>
              <w:bottom w:val="single" w:sz="4" w:space="0" w:color="000000"/>
            </w:tcBorders>
          </w:tcPr>
          <w:p>
            <w:pPr>
              <w:pStyle w:val="TableParagraph"/>
              <w:spacing w:line="211" w:lineRule="exact" w:before="23"/>
              <w:ind w:right="183"/>
              <w:jc w:val="right"/>
              <w:rPr>
                <w:b/>
                <w:sz w:val="20"/>
              </w:rPr>
            </w:pPr>
            <w:r>
              <w:rPr>
                <w:b/>
                <w:spacing w:val="-2"/>
                <w:sz w:val="20"/>
              </w:rPr>
              <w:t>17,764</w:t>
            </w:r>
          </w:p>
        </w:tc>
        <w:tc>
          <w:tcPr>
            <w:tcW w:w="1966" w:type="dxa"/>
            <w:tcBorders>
              <w:top w:val="single" w:sz="4" w:space="0" w:color="000000"/>
              <w:bottom w:val="single" w:sz="4" w:space="0" w:color="000000"/>
            </w:tcBorders>
          </w:tcPr>
          <w:p>
            <w:pPr>
              <w:pStyle w:val="TableParagraph"/>
              <w:tabs>
                <w:tab w:pos="916" w:val="left" w:leader="none"/>
              </w:tabs>
              <w:spacing w:line="211" w:lineRule="exact" w:before="23"/>
              <w:ind w:right="138"/>
              <w:jc w:val="right"/>
              <w:rPr>
                <w:b/>
                <w:sz w:val="20"/>
              </w:rPr>
            </w:pPr>
            <w:r>
              <w:rPr>
                <w:b/>
                <w:spacing w:val="-2"/>
                <w:sz w:val="20"/>
              </w:rPr>
              <w:t>2,684</w:t>
            </w:r>
            <w:r>
              <w:rPr>
                <w:b/>
                <w:sz w:val="20"/>
              </w:rPr>
              <w:tab/>
            </w:r>
            <w:r>
              <w:rPr>
                <w:b/>
                <w:spacing w:val="-2"/>
                <w:sz w:val="20"/>
              </w:rPr>
              <w:t>12,250</w:t>
            </w:r>
          </w:p>
        </w:tc>
        <w:tc>
          <w:tcPr>
            <w:tcW w:w="1060"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b/>
                <w:sz w:val="20"/>
              </w:rPr>
            </w:pPr>
            <w:r>
              <w:rPr>
                <w:b/>
                <w:spacing w:val="-2"/>
                <w:sz w:val="20"/>
              </w:rPr>
              <w:t>2,830</w:t>
            </w:r>
          </w:p>
        </w:tc>
        <w:tc>
          <w:tcPr>
            <w:tcW w:w="1581" w:type="dxa"/>
            <w:tcBorders>
              <w:top w:val="single" w:sz="4" w:space="0" w:color="000000"/>
              <w:left w:val="single" w:sz="4" w:space="0" w:color="000000"/>
              <w:bottom w:val="single" w:sz="4" w:space="0" w:color="000000"/>
            </w:tcBorders>
          </w:tcPr>
          <w:p>
            <w:pPr>
              <w:pStyle w:val="TableParagraph"/>
              <w:spacing w:line="211" w:lineRule="exact" w:before="23"/>
              <w:ind w:right="277"/>
              <w:jc w:val="right"/>
              <w:rPr>
                <w:b/>
                <w:sz w:val="20"/>
              </w:rPr>
            </w:pPr>
            <w:r>
              <w:rPr>
                <w:b/>
                <w:spacing w:val="-2"/>
                <w:sz w:val="20"/>
              </w:rPr>
              <w:t>17,764</w:t>
            </w:r>
          </w:p>
        </w:tc>
        <w:tc>
          <w:tcPr>
            <w:tcW w:w="1038" w:type="dxa"/>
            <w:tcBorders>
              <w:top w:val="single" w:sz="4" w:space="0" w:color="000000"/>
              <w:bottom w:val="single" w:sz="4" w:space="0" w:color="000000"/>
            </w:tcBorders>
          </w:tcPr>
          <w:p>
            <w:pPr>
              <w:pStyle w:val="TableParagraph"/>
              <w:spacing w:line="211" w:lineRule="exact" w:before="23"/>
              <w:ind w:right="106"/>
              <w:jc w:val="right"/>
              <w:rPr>
                <w:b/>
                <w:sz w:val="20"/>
              </w:rPr>
            </w:pPr>
            <w:r>
              <w:rPr>
                <w:b/>
                <w:spacing w:val="-5"/>
                <w:sz w:val="20"/>
              </w:rPr>
              <w:t>508</w:t>
            </w:r>
          </w:p>
        </w:tc>
        <w:tc>
          <w:tcPr>
            <w:tcW w:w="1625" w:type="dxa"/>
            <w:tcBorders>
              <w:top w:val="single" w:sz="4" w:space="0" w:color="000000"/>
              <w:bottom w:val="single" w:sz="4" w:space="0" w:color="000000"/>
            </w:tcBorders>
          </w:tcPr>
          <w:p>
            <w:pPr>
              <w:pStyle w:val="TableParagraph"/>
              <w:spacing w:line="211" w:lineRule="exact" w:before="23"/>
              <w:ind w:right="205"/>
              <w:jc w:val="right"/>
              <w:rPr>
                <w:b/>
                <w:sz w:val="20"/>
              </w:rPr>
            </w:pPr>
            <w:r>
              <w:rPr>
                <w:b/>
                <w:spacing w:val="-5"/>
                <w:sz w:val="20"/>
              </w:rPr>
              <w:t>36</w:t>
            </w:r>
          </w:p>
        </w:tc>
        <w:tc>
          <w:tcPr>
            <w:tcW w:w="1594" w:type="dxa"/>
            <w:tcBorders>
              <w:top w:val="single" w:sz="4" w:space="0" w:color="000000"/>
              <w:bottom w:val="single" w:sz="4" w:space="0" w:color="000000"/>
              <w:right w:val="single" w:sz="4" w:space="0" w:color="000000"/>
            </w:tcBorders>
          </w:tcPr>
          <w:p>
            <w:pPr>
              <w:pStyle w:val="TableParagraph"/>
              <w:spacing w:line="211" w:lineRule="exact" w:before="23"/>
              <w:ind w:right="102"/>
              <w:jc w:val="right"/>
              <w:rPr>
                <w:b/>
                <w:sz w:val="20"/>
              </w:rPr>
            </w:pPr>
            <w:r>
              <w:rPr>
                <w:b/>
                <w:spacing w:val="-2"/>
                <w:sz w:val="20"/>
              </w:rPr>
              <w:t>17,220</w:t>
            </w:r>
          </w:p>
        </w:tc>
      </w:tr>
      <w:tr>
        <w:trPr>
          <w:trHeight w:val="256" w:hRule="atLeast"/>
        </w:trPr>
        <w:tc>
          <w:tcPr>
            <w:tcW w:w="4702" w:type="dxa"/>
            <w:tcBorders>
              <w:left w:val="single" w:sz="4" w:space="0" w:color="000000"/>
              <w:bottom w:val="single" w:sz="4" w:space="0" w:color="000000"/>
            </w:tcBorders>
          </w:tcPr>
          <w:p>
            <w:pPr>
              <w:pStyle w:val="TableParagraph"/>
              <w:spacing w:line="211" w:lineRule="exact" w:before="26"/>
              <w:ind w:left="107"/>
              <w:rPr>
                <w:b/>
                <w:sz w:val="20"/>
              </w:rPr>
            </w:pPr>
            <w:r>
              <w:rPr>
                <w:b/>
                <w:sz w:val="20"/>
              </w:rPr>
              <w:t>Total</w:t>
            </w:r>
            <w:r>
              <w:rPr>
                <w:b/>
                <w:spacing w:val="-8"/>
                <w:sz w:val="20"/>
              </w:rPr>
              <w:t> </w:t>
            </w:r>
            <w:r>
              <w:rPr>
                <w:b/>
                <w:sz w:val="20"/>
              </w:rPr>
              <w:t>Capital</w:t>
            </w:r>
            <w:r>
              <w:rPr>
                <w:b/>
                <w:spacing w:val="-5"/>
                <w:sz w:val="20"/>
              </w:rPr>
              <w:t> </w:t>
            </w:r>
            <w:r>
              <w:rPr>
                <w:b/>
                <w:sz w:val="20"/>
              </w:rPr>
              <w:t>Works</w:t>
            </w:r>
            <w:r>
              <w:rPr>
                <w:b/>
                <w:spacing w:val="-6"/>
                <w:sz w:val="20"/>
              </w:rPr>
              <w:t> </w:t>
            </w:r>
            <w:r>
              <w:rPr>
                <w:b/>
                <w:spacing w:val="-2"/>
                <w:sz w:val="20"/>
              </w:rPr>
              <w:t>Expenditure</w:t>
            </w:r>
          </w:p>
        </w:tc>
        <w:tc>
          <w:tcPr>
            <w:tcW w:w="1169" w:type="dxa"/>
            <w:tcBorders>
              <w:top w:val="single" w:sz="4" w:space="0" w:color="000000"/>
              <w:bottom w:val="single" w:sz="4" w:space="0" w:color="000000"/>
            </w:tcBorders>
          </w:tcPr>
          <w:p>
            <w:pPr>
              <w:pStyle w:val="TableParagraph"/>
              <w:spacing w:line="211" w:lineRule="exact" w:before="26"/>
              <w:ind w:right="183"/>
              <w:jc w:val="right"/>
              <w:rPr>
                <w:b/>
                <w:sz w:val="20"/>
              </w:rPr>
            </w:pPr>
            <w:r>
              <w:rPr>
                <w:b/>
                <w:spacing w:val="-2"/>
                <w:sz w:val="20"/>
              </w:rPr>
              <w:t>65,485</w:t>
            </w:r>
          </w:p>
        </w:tc>
        <w:tc>
          <w:tcPr>
            <w:tcW w:w="1966" w:type="dxa"/>
            <w:tcBorders>
              <w:top w:val="single" w:sz="4" w:space="0" w:color="000000"/>
              <w:bottom w:val="single" w:sz="4" w:space="0" w:color="000000"/>
            </w:tcBorders>
          </w:tcPr>
          <w:p>
            <w:pPr>
              <w:pStyle w:val="TableParagraph"/>
              <w:tabs>
                <w:tab w:pos="1027" w:val="left" w:leader="none"/>
              </w:tabs>
              <w:spacing w:line="211" w:lineRule="exact" w:before="26"/>
              <w:ind w:right="138"/>
              <w:jc w:val="right"/>
              <w:rPr>
                <w:b/>
                <w:sz w:val="20"/>
              </w:rPr>
            </w:pPr>
            <w:r>
              <w:rPr>
                <w:b/>
                <w:spacing w:val="-2"/>
                <w:sz w:val="20"/>
              </w:rPr>
              <w:t>30,611</w:t>
            </w:r>
            <w:r>
              <w:rPr>
                <w:b/>
                <w:sz w:val="20"/>
              </w:rPr>
              <w:tab/>
            </w:r>
            <w:r>
              <w:rPr>
                <w:b/>
                <w:spacing w:val="-2"/>
                <w:sz w:val="20"/>
              </w:rPr>
              <w:t>28,318</w:t>
            </w:r>
          </w:p>
        </w:tc>
        <w:tc>
          <w:tcPr>
            <w:tcW w:w="1060" w:type="dxa"/>
            <w:tcBorders>
              <w:top w:val="single" w:sz="4" w:space="0" w:color="000000"/>
              <w:bottom w:val="single" w:sz="4" w:space="0" w:color="000000"/>
              <w:right w:val="single" w:sz="4" w:space="0" w:color="000000"/>
            </w:tcBorders>
          </w:tcPr>
          <w:p>
            <w:pPr>
              <w:pStyle w:val="TableParagraph"/>
              <w:spacing w:line="211" w:lineRule="exact" w:before="26"/>
              <w:ind w:right="100"/>
              <w:jc w:val="right"/>
              <w:rPr>
                <w:b/>
                <w:sz w:val="20"/>
              </w:rPr>
            </w:pPr>
            <w:r>
              <w:rPr>
                <w:b/>
                <w:spacing w:val="-2"/>
                <w:sz w:val="20"/>
              </w:rPr>
              <w:t>6,556</w:t>
            </w:r>
          </w:p>
        </w:tc>
        <w:tc>
          <w:tcPr>
            <w:tcW w:w="1581" w:type="dxa"/>
            <w:tcBorders>
              <w:top w:val="single" w:sz="4" w:space="0" w:color="000000"/>
              <w:left w:val="single" w:sz="4" w:space="0" w:color="000000"/>
              <w:bottom w:val="single" w:sz="4" w:space="0" w:color="000000"/>
            </w:tcBorders>
          </w:tcPr>
          <w:p>
            <w:pPr>
              <w:pStyle w:val="TableParagraph"/>
              <w:spacing w:line="211" w:lineRule="exact" w:before="26"/>
              <w:ind w:right="277"/>
              <w:jc w:val="right"/>
              <w:rPr>
                <w:b/>
                <w:sz w:val="20"/>
              </w:rPr>
            </w:pPr>
            <w:r>
              <w:rPr>
                <w:b/>
                <w:spacing w:val="-2"/>
                <w:sz w:val="20"/>
              </w:rPr>
              <w:t>65,485</w:t>
            </w:r>
          </w:p>
        </w:tc>
        <w:tc>
          <w:tcPr>
            <w:tcW w:w="1038" w:type="dxa"/>
            <w:tcBorders>
              <w:top w:val="single" w:sz="4" w:space="0" w:color="000000"/>
              <w:bottom w:val="single" w:sz="4" w:space="0" w:color="000000"/>
            </w:tcBorders>
          </w:tcPr>
          <w:p>
            <w:pPr>
              <w:pStyle w:val="TableParagraph"/>
              <w:spacing w:line="211" w:lineRule="exact" w:before="26"/>
              <w:ind w:right="106"/>
              <w:jc w:val="right"/>
              <w:rPr>
                <w:b/>
                <w:sz w:val="20"/>
              </w:rPr>
            </w:pPr>
            <w:r>
              <w:rPr>
                <w:b/>
                <w:spacing w:val="-2"/>
                <w:sz w:val="20"/>
              </w:rPr>
              <w:t>26,708</w:t>
            </w:r>
          </w:p>
        </w:tc>
        <w:tc>
          <w:tcPr>
            <w:tcW w:w="1625" w:type="dxa"/>
            <w:tcBorders>
              <w:top w:val="single" w:sz="4" w:space="0" w:color="000000"/>
              <w:bottom w:val="single" w:sz="4" w:space="0" w:color="000000"/>
            </w:tcBorders>
          </w:tcPr>
          <w:p>
            <w:pPr>
              <w:pStyle w:val="TableParagraph"/>
              <w:spacing w:line="211" w:lineRule="exact" w:before="26"/>
              <w:ind w:right="204"/>
              <w:jc w:val="right"/>
              <w:rPr>
                <w:b/>
                <w:sz w:val="20"/>
              </w:rPr>
            </w:pPr>
            <w:r>
              <w:rPr>
                <w:b/>
                <w:spacing w:val="-2"/>
                <w:sz w:val="20"/>
              </w:rPr>
              <w:t>2,034</w:t>
            </w:r>
          </w:p>
        </w:tc>
        <w:tc>
          <w:tcPr>
            <w:tcW w:w="1594"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b/>
                <w:sz w:val="20"/>
              </w:rPr>
            </w:pPr>
            <w:r>
              <w:rPr>
                <w:b/>
                <w:spacing w:val="-2"/>
                <w:sz w:val="20"/>
              </w:rPr>
              <w:t>36,743</w:t>
            </w:r>
          </w:p>
        </w:tc>
      </w:tr>
    </w:tbl>
    <w:p>
      <w:pPr>
        <w:spacing w:after="0" w:line="211" w:lineRule="exact"/>
        <w:jc w:val="right"/>
        <w:rPr>
          <w:sz w:val="20"/>
        </w:rPr>
        <w:sectPr>
          <w:pgSz w:w="16840" w:h="11910" w:orient="landscape"/>
          <w:pgMar w:header="0" w:footer="546" w:top="640" w:bottom="2178" w:left="600" w:right="120"/>
        </w:sect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58"/>
        <w:gridCol w:w="1276"/>
        <w:gridCol w:w="1953"/>
        <w:gridCol w:w="1107"/>
        <w:gridCol w:w="1559"/>
        <w:gridCol w:w="1057"/>
        <w:gridCol w:w="1591"/>
        <w:gridCol w:w="1555"/>
      </w:tblGrid>
      <w:tr>
        <w:trPr>
          <w:trHeight w:val="254" w:hRule="atLeast"/>
        </w:trPr>
        <w:tc>
          <w:tcPr>
            <w:tcW w:w="14756" w:type="dxa"/>
            <w:gridSpan w:val="8"/>
            <w:tcBorders>
              <w:top w:val="single" w:sz="4" w:space="0" w:color="000000"/>
              <w:left w:val="single" w:sz="4" w:space="0" w:color="000000"/>
              <w:right w:val="single" w:sz="4" w:space="0" w:color="000000"/>
            </w:tcBorders>
            <w:shd w:val="clear" w:color="auto" w:fill="629CD1"/>
          </w:tcPr>
          <w:p>
            <w:pPr>
              <w:pStyle w:val="TableParagraph"/>
              <w:tabs>
                <w:tab w:pos="11056" w:val="left" w:leader="none"/>
              </w:tabs>
              <w:spacing w:line="223" w:lineRule="exact" w:before="11"/>
              <w:ind w:left="5630"/>
              <w:rPr>
                <w:b/>
                <w:sz w:val="20"/>
              </w:rPr>
            </w:pPr>
            <w:r>
              <w:rPr>
                <w:b/>
                <w:color w:val="FFFFFF"/>
                <w:sz w:val="20"/>
              </w:rPr>
              <w:t>Asset</w:t>
            </w:r>
            <w:r>
              <w:rPr>
                <w:b/>
                <w:color w:val="FFFFFF"/>
                <w:spacing w:val="-10"/>
                <w:sz w:val="20"/>
              </w:rPr>
              <w:t> </w:t>
            </w:r>
            <w:r>
              <w:rPr>
                <w:b/>
                <w:color w:val="FFFFFF"/>
                <w:sz w:val="20"/>
              </w:rPr>
              <w:t>Expenditure</w:t>
            </w:r>
            <w:r>
              <w:rPr>
                <w:b/>
                <w:color w:val="FFFFFF"/>
                <w:spacing w:val="-11"/>
                <w:sz w:val="20"/>
              </w:rPr>
              <w:t> </w:t>
            </w:r>
            <w:r>
              <w:rPr>
                <w:b/>
                <w:color w:val="FFFFFF"/>
                <w:spacing w:val="-4"/>
                <w:sz w:val="20"/>
              </w:rPr>
              <w:t>Types</w:t>
            </w:r>
            <w:r>
              <w:rPr>
                <w:b/>
                <w:color w:val="FFFFFF"/>
                <w:sz w:val="20"/>
              </w:rPr>
              <w:tab/>
              <w:t>Funding</w:t>
            </w:r>
            <w:r>
              <w:rPr>
                <w:b/>
                <w:color w:val="FFFFFF"/>
                <w:spacing w:val="-8"/>
                <w:sz w:val="20"/>
              </w:rPr>
              <w:t> </w:t>
            </w:r>
            <w:r>
              <w:rPr>
                <w:b/>
                <w:color w:val="FFFFFF"/>
                <w:spacing w:val="-2"/>
                <w:sz w:val="20"/>
              </w:rPr>
              <w:t>Sources</w:t>
            </w:r>
          </w:p>
        </w:tc>
      </w:tr>
      <w:tr>
        <w:trPr>
          <w:trHeight w:val="258" w:hRule="atLeast"/>
        </w:trPr>
        <w:tc>
          <w:tcPr>
            <w:tcW w:w="4658" w:type="dxa"/>
            <w:tcBorders>
              <w:left w:val="single" w:sz="4" w:space="0" w:color="000000"/>
            </w:tcBorders>
            <w:shd w:val="clear" w:color="auto" w:fill="629CD1"/>
          </w:tcPr>
          <w:p>
            <w:pPr>
              <w:pStyle w:val="TableParagraph"/>
              <w:spacing w:line="227" w:lineRule="exact" w:before="11"/>
              <w:ind w:left="107"/>
              <w:rPr>
                <w:b/>
                <w:sz w:val="20"/>
              </w:rPr>
            </w:pPr>
            <w:r>
              <w:rPr>
                <w:b/>
                <w:color w:val="FFFFFF"/>
                <w:spacing w:val="-2"/>
                <w:sz w:val="20"/>
              </w:rPr>
              <w:t>2025/26</w:t>
            </w:r>
          </w:p>
        </w:tc>
        <w:tc>
          <w:tcPr>
            <w:tcW w:w="1276" w:type="dxa"/>
            <w:shd w:val="clear" w:color="auto" w:fill="629CD1"/>
          </w:tcPr>
          <w:p>
            <w:pPr>
              <w:pStyle w:val="TableParagraph"/>
              <w:spacing w:line="227" w:lineRule="exact" w:before="11"/>
              <w:ind w:right="231"/>
              <w:jc w:val="right"/>
              <w:rPr>
                <w:b/>
                <w:sz w:val="20"/>
              </w:rPr>
            </w:pPr>
            <w:r>
              <w:rPr>
                <w:b/>
                <w:color w:val="FFFFFF"/>
                <w:spacing w:val="-2"/>
                <w:sz w:val="20"/>
              </w:rPr>
              <w:t>Total</w:t>
            </w:r>
          </w:p>
        </w:tc>
        <w:tc>
          <w:tcPr>
            <w:tcW w:w="1953" w:type="dxa"/>
            <w:shd w:val="clear" w:color="auto" w:fill="629CD1"/>
          </w:tcPr>
          <w:p>
            <w:pPr>
              <w:pStyle w:val="TableParagraph"/>
              <w:tabs>
                <w:tab w:pos="626" w:val="left" w:leader="none"/>
              </w:tabs>
              <w:spacing w:line="227" w:lineRule="exact" w:before="11"/>
              <w:ind w:right="181"/>
              <w:jc w:val="right"/>
              <w:rPr>
                <w:b/>
                <w:sz w:val="20"/>
              </w:rPr>
            </w:pPr>
            <w:r>
              <w:rPr>
                <w:b/>
                <w:color w:val="FFFFFF"/>
                <w:spacing w:val="-5"/>
                <w:sz w:val="20"/>
              </w:rPr>
              <w:t>New</w:t>
            </w:r>
            <w:r>
              <w:rPr>
                <w:b/>
                <w:color w:val="FFFFFF"/>
                <w:sz w:val="20"/>
              </w:rPr>
              <w:tab/>
            </w:r>
            <w:r>
              <w:rPr>
                <w:b/>
                <w:color w:val="FFFFFF"/>
                <w:spacing w:val="-2"/>
                <w:sz w:val="20"/>
              </w:rPr>
              <w:t>Renewal</w:t>
            </w:r>
          </w:p>
        </w:tc>
        <w:tc>
          <w:tcPr>
            <w:tcW w:w="1107" w:type="dxa"/>
            <w:tcBorders>
              <w:right w:val="single" w:sz="4" w:space="0" w:color="000000"/>
            </w:tcBorders>
            <w:shd w:val="clear" w:color="auto" w:fill="629CD1"/>
          </w:tcPr>
          <w:p>
            <w:pPr>
              <w:pStyle w:val="TableParagraph"/>
              <w:spacing w:line="227" w:lineRule="exact" w:before="11"/>
              <w:ind w:right="98"/>
              <w:jc w:val="right"/>
              <w:rPr>
                <w:b/>
                <w:sz w:val="20"/>
              </w:rPr>
            </w:pPr>
            <w:r>
              <w:rPr>
                <w:b/>
                <w:color w:val="FFFFFF"/>
                <w:spacing w:val="-2"/>
                <w:sz w:val="20"/>
              </w:rPr>
              <w:t>Upgrade</w:t>
            </w:r>
          </w:p>
        </w:tc>
        <w:tc>
          <w:tcPr>
            <w:tcW w:w="1559" w:type="dxa"/>
            <w:tcBorders>
              <w:left w:val="single" w:sz="4" w:space="0" w:color="000000"/>
            </w:tcBorders>
            <w:shd w:val="clear" w:color="auto" w:fill="629CD1"/>
          </w:tcPr>
          <w:p>
            <w:pPr>
              <w:pStyle w:val="TableParagraph"/>
              <w:spacing w:line="227" w:lineRule="exact" w:before="11"/>
              <w:ind w:right="290"/>
              <w:jc w:val="right"/>
              <w:rPr>
                <w:b/>
                <w:sz w:val="20"/>
              </w:rPr>
            </w:pPr>
            <w:r>
              <w:rPr>
                <w:b/>
                <w:color w:val="FFFFFF"/>
                <w:spacing w:val="-2"/>
                <w:sz w:val="20"/>
              </w:rPr>
              <w:t>Total</w:t>
            </w:r>
          </w:p>
        </w:tc>
        <w:tc>
          <w:tcPr>
            <w:tcW w:w="1057" w:type="dxa"/>
            <w:shd w:val="clear" w:color="auto" w:fill="629CD1"/>
          </w:tcPr>
          <w:p>
            <w:pPr>
              <w:pStyle w:val="TableParagraph"/>
              <w:spacing w:line="227" w:lineRule="exact" w:before="11"/>
              <w:ind w:right="102"/>
              <w:jc w:val="right"/>
              <w:rPr>
                <w:b/>
                <w:sz w:val="20"/>
              </w:rPr>
            </w:pPr>
            <w:r>
              <w:rPr>
                <w:b/>
                <w:color w:val="FFFFFF"/>
                <w:spacing w:val="-2"/>
                <w:sz w:val="20"/>
              </w:rPr>
              <w:t>Grants</w:t>
            </w:r>
          </w:p>
        </w:tc>
        <w:tc>
          <w:tcPr>
            <w:tcW w:w="1591" w:type="dxa"/>
            <w:shd w:val="clear" w:color="auto" w:fill="629CD1"/>
          </w:tcPr>
          <w:p>
            <w:pPr>
              <w:pStyle w:val="TableParagraph"/>
              <w:spacing w:line="227" w:lineRule="exact" w:before="11"/>
              <w:ind w:right="164"/>
              <w:jc w:val="right"/>
              <w:rPr>
                <w:b/>
                <w:sz w:val="20"/>
              </w:rPr>
            </w:pPr>
            <w:r>
              <w:rPr>
                <w:b/>
                <w:color w:val="FFFFFF"/>
                <w:spacing w:val="-2"/>
                <w:sz w:val="20"/>
              </w:rPr>
              <w:t>Contributions</w:t>
            </w:r>
          </w:p>
        </w:tc>
        <w:tc>
          <w:tcPr>
            <w:tcW w:w="1555" w:type="dxa"/>
            <w:tcBorders>
              <w:right w:val="single" w:sz="4" w:space="0" w:color="000000"/>
            </w:tcBorders>
            <w:shd w:val="clear" w:color="auto" w:fill="629CD1"/>
          </w:tcPr>
          <w:p>
            <w:pPr>
              <w:pStyle w:val="TableParagraph"/>
              <w:spacing w:line="227" w:lineRule="exact" w:before="11"/>
              <w:ind w:right="92"/>
              <w:jc w:val="right"/>
              <w:rPr>
                <w:b/>
                <w:sz w:val="20"/>
              </w:rPr>
            </w:pPr>
            <w:r>
              <w:rPr>
                <w:b/>
                <w:color w:val="FFFFFF"/>
                <w:sz w:val="20"/>
              </w:rPr>
              <w:t>Council</w:t>
            </w:r>
            <w:r>
              <w:rPr>
                <w:b/>
                <w:color w:val="FFFFFF"/>
                <w:spacing w:val="-8"/>
                <w:sz w:val="20"/>
              </w:rPr>
              <w:t> </w:t>
            </w:r>
            <w:r>
              <w:rPr>
                <w:b/>
                <w:color w:val="FFFFFF"/>
                <w:spacing w:val="-4"/>
                <w:sz w:val="20"/>
              </w:rPr>
              <w:t>Cash</w:t>
            </w:r>
          </w:p>
        </w:tc>
      </w:tr>
      <w:tr>
        <w:trPr>
          <w:trHeight w:val="252" w:hRule="atLeast"/>
        </w:trPr>
        <w:tc>
          <w:tcPr>
            <w:tcW w:w="4658" w:type="dxa"/>
            <w:tcBorders>
              <w:left w:val="single" w:sz="4" w:space="0" w:color="000000"/>
            </w:tcBorders>
            <w:shd w:val="clear" w:color="auto" w:fill="629CD1"/>
          </w:tcPr>
          <w:p>
            <w:pPr>
              <w:pStyle w:val="TableParagraph"/>
              <w:rPr>
                <w:rFonts w:ascii="Times New Roman"/>
                <w:sz w:val="18"/>
              </w:rPr>
            </w:pPr>
          </w:p>
        </w:tc>
        <w:tc>
          <w:tcPr>
            <w:tcW w:w="1276" w:type="dxa"/>
            <w:shd w:val="clear" w:color="auto" w:fill="629CD1"/>
          </w:tcPr>
          <w:p>
            <w:pPr>
              <w:pStyle w:val="TableParagraph"/>
              <w:spacing w:line="223" w:lineRule="exact" w:before="10"/>
              <w:ind w:right="234"/>
              <w:jc w:val="right"/>
              <w:rPr>
                <w:b/>
                <w:sz w:val="20"/>
              </w:rPr>
            </w:pPr>
            <w:r>
              <w:rPr>
                <w:b/>
                <w:color w:val="FFFFFF"/>
                <w:spacing w:val="-2"/>
                <w:sz w:val="20"/>
              </w:rPr>
              <w:t>$'000</w:t>
            </w:r>
          </w:p>
        </w:tc>
        <w:tc>
          <w:tcPr>
            <w:tcW w:w="1953" w:type="dxa"/>
            <w:shd w:val="clear" w:color="auto" w:fill="629CD1"/>
          </w:tcPr>
          <w:p>
            <w:pPr>
              <w:pStyle w:val="TableParagraph"/>
              <w:tabs>
                <w:tab w:pos="1027" w:val="left" w:leader="none"/>
              </w:tabs>
              <w:spacing w:line="223" w:lineRule="exact" w:before="10"/>
              <w:ind w:right="181"/>
              <w:jc w:val="right"/>
              <w:rPr>
                <w:b/>
                <w:sz w:val="20"/>
              </w:rPr>
            </w:pPr>
            <w:r>
              <w:rPr>
                <w:b/>
                <w:color w:val="FFFFFF"/>
                <w:spacing w:val="-2"/>
                <w:sz w:val="20"/>
              </w:rPr>
              <w:t>$'000</w:t>
            </w:r>
            <w:r>
              <w:rPr>
                <w:b/>
                <w:color w:val="FFFFFF"/>
                <w:sz w:val="20"/>
              </w:rPr>
              <w:tab/>
            </w:r>
            <w:r>
              <w:rPr>
                <w:b/>
                <w:color w:val="FFFFFF"/>
                <w:spacing w:val="-4"/>
                <w:sz w:val="20"/>
              </w:rPr>
              <w:t>$'000</w:t>
            </w:r>
          </w:p>
        </w:tc>
        <w:tc>
          <w:tcPr>
            <w:tcW w:w="1107" w:type="dxa"/>
            <w:tcBorders>
              <w:right w:val="single" w:sz="4" w:space="0" w:color="000000"/>
            </w:tcBorders>
            <w:shd w:val="clear" w:color="auto" w:fill="629CD1"/>
          </w:tcPr>
          <w:p>
            <w:pPr>
              <w:pStyle w:val="TableParagraph"/>
              <w:spacing w:line="223" w:lineRule="exact" w:before="10"/>
              <w:ind w:right="100"/>
              <w:jc w:val="right"/>
              <w:rPr>
                <w:b/>
                <w:sz w:val="20"/>
              </w:rPr>
            </w:pPr>
            <w:r>
              <w:rPr>
                <w:b/>
                <w:color w:val="FFFFFF"/>
                <w:spacing w:val="-2"/>
                <w:sz w:val="20"/>
              </w:rPr>
              <w:t>$'000</w:t>
            </w:r>
          </w:p>
        </w:tc>
        <w:tc>
          <w:tcPr>
            <w:tcW w:w="1559" w:type="dxa"/>
            <w:tcBorders>
              <w:left w:val="single" w:sz="4" w:space="0" w:color="000000"/>
            </w:tcBorders>
            <w:shd w:val="clear" w:color="auto" w:fill="629CD1"/>
          </w:tcPr>
          <w:p>
            <w:pPr>
              <w:pStyle w:val="TableParagraph"/>
              <w:spacing w:line="223" w:lineRule="exact" w:before="10"/>
              <w:ind w:right="293"/>
              <w:jc w:val="right"/>
              <w:rPr>
                <w:b/>
                <w:sz w:val="20"/>
              </w:rPr>
            </w:pPr>
            <w:r>
              <w:rPr>
                <w:b/>
                <w:color w:val="FFFFFF"/>
                <w:spacing w:val="-2"/>
                <w:sz w:val="20"/>
              </w:rPr>
              <w:t>$'000</w:t>
            </w:r>
          </w:p>
        </w:tc>
        <w:tc>
          <w:tcPr>
            <w:tcW w:w="1057" w:type="dxa"/>
            <w:shd w:val="clear" w:color="auto" w:fill="629CD1"/>
          </w:tcPr>
          <w:p>
            <w:pPr>
              <w:pStyle w:val="TableParagraph"/>
              <w:spacing w:line="223" w:lineRule="exact" w:before="10"/>
              <w:ind w:right="102"/>
              <w:jc w:val="right"/>
              <w:rPr>
                <w:b/>
                <w:sz w:val="20"/>
              </w:rPr>
            </w:pPr>
            <w:r>
              <w:rPr>
                <w:b/>
                <w:color w:val="FFFFFF"/>
                <w:spacing w:val="-2"/>
                <w:sz w:val="20"/>
              </w:rPr>
              <w:t>$'000</w:t>
            </w:r>
          </w:p>
        </w:tc>
        <w:tc>
          <w:tcPr>
            <w:tcW w:w="1591" w:type="dxa"/>
            <w:shd w:val="clear" w:color="auto" w:fill="629CD1"/>
          </w:tcPr>
          <w:p>
            <w:pPr>
              <w:pStyle w:val="TableParagraph"/>
              <w:spacing w:line="223" w:lineRule="exact" w:before="10"/>
              <w:ind w:right="167"/>
              <w:jc w:val="right"/>
              <w:rPr>
                <w:b/>
                <w:sz w:val="20"/>
              </w:rPr>
            </w:pPr>
            <w:r>
              <w:rPr>
                <w:b/>
                <w:color w:val="FFFFFF"/>
                <w:spacing w:val="-2"/>
                <w:sz w:val="20"/>
              </w:rPr>
              <w:t>$'000</w:t>
            </w:r>
          </w:p>
        </w:tc>
        <w:tc>
          <w:tcPr>
            <w:tcW w:w="1555" w:type="dxa"/>
            <w:tcBorders>
              <w:right w:val="single" w:sz="4" w:space="0" w:color="000000"/>
            </w:tcBorders>
            <w:shd w:val="clear" w:color="auto" w:fill="629CD1"/>
          </w:tcPr>
          <w:p>
            <w:pPr>
              <w:pStyle w:val="TableParagraph"/>
              <w:spacing w:line="223" w:lineRule="exact" w:before="10"/>
              <w:ind w:right="92"/>
              <w:jc w:val="right"/>
              <w:rPr>
                <w:b/>
                <w:sz w:val="20"/>
              </w:rPr>
            </w:pPr>
            <w:r>
              <w:rPr>
                <w:b/>
                <w:color w:val="FFFFFF"/>
                <w:spacing w:val="-2"/>
                <w:sz w:val="20"/>
              </w:rPr>
              <w:t>$'000</w:t>
            </w:r>
          </w:p>
        </w:tc>
      </w:tr>
      <w:tr>
        <w:trPr>
          <w:trHeight w:val="524" w:hRule="atLeast"/>
        </w:trPr>
        <w:tc>
          <w:tcPr>
            <w:tcW w:w="4658" w:type="dxa"/>
            <w:tcBorders>
              <w:left w:val="single" w:sz="4" w:space="0" w:color="000000"/>
            </w:tcBorders>
          </w:tcPr>
          <w:p>
            <w:pPr>
              <w:pStyle w:val="TableParagraph"/>
              <w:spacing w:before="2"/>
              <w:rPr>
                <w:b/>
                <w:sz w:val="24"/>
              </w:rPr>
            </w:pPr>
          </w:p>
          <w:p>
            <w:pPr>
              <w:pStyle w:val="TableParagraph"/>
              <w:spacing w:line="227" w:lineRule="exact"/>
              <w:ind w:left="107"/>
              <w:rPr>
                <w:b/>
                <w:sz w:val="20"/>
              </w:rPr>
            </w:pPr>
            <w:r>
              <w:rPr>
                <w:b/>
                <w:spacing w:val="-2"/>
                <w:sz w:val="20"/>
              </w:rPr>
              <w:t>Property</w:t>
            </w:r>
          </w:p>
        </w:tc>
        <w:tc>
          <w:tcPr>
            <w:tcW w:w="1276" w:type="dxa"/>
          </w:tcPr>
          <w:p>
            <w:pPr>
              <w:pStyle w:val="TableParagraph"/>
              <w:rPr>
                <w:rFonts w:ascii="Times New Roman"/>
                <w:sz w:val="18"/>
              </w:rPr>
            </w:pPr>
          </w:p>
        </w:tc>
        <w:tc>
          <w:tcPr>
            <w:tcW w:w="1953" w:type="dxa"/>
          </w:tcPr>
          <w:p>
            <w:pPr>
              <w:pStyle w:val="TableParagraph"/>
              <w:rPr>
                <w:rFonts w:ascii="Times New Roman"/>
                <w:sz w:val="18"/>
              </w:rPr>
            </w:pPr>
          </w:p>
        </w:tc>
        <w:tc>
          <w:tcPr>
            <w:tcW w:w="1107" w:type="dxa"/>
            <w:tcBorders>
              <w:right w:val="single" w:sz="4" w:space="0" w:color="000000"/>
            </w:tcBorders>
          </w:tcPr>
          <w:p>
            <w:pPr>
              <w:pStyle w:val="TableParagraph"/>
              <w:rPr>
                <w:rFonts w:ascii="Times New Roman"/>
                <w:sz w:val="18"/>
              </w:rPr>
            </w:pPr>
          </w:p>
        </w:tc>
        <w:tc>
          <w:tcPr>
            <w:tcW w:w="1559" w:type="dxa"/>
            <w:tcBorders>
              <w:left w:val="single" w:sz="4" w:space="0" w:color="000000"/>
            </w:tcBorders>
          </w:tcPr>
          <w:p>
            <w:pPr>
              <w:pStyle w:val="TableParagraph"/>
              <w:rPr>
                <w:rFonts w:ascii="Times New Roman"/>
                <w:sz w:val="18"/>
              </w:rPr>
            </w:pPr>
          </w:p>
        </w:tc>
        <w:tc>
          <w:tcPr>
            <w:tcW w:w="1057" w:type="dxa"/>
          </w:tcPr>
          <w:p>
            <w:pPr>
              <w:pStyle w:val="TableParagraph"/>
              <w:rPr>
                <w:rFonts w:ascii="Times New Roman"/>
                <w:sz w:val="18"/>
              </w:rPr>
            </w:pPr>
          </w:p>
        </w:tc>
        <w:tc>
          <w:tcPr>
            <w:tcW w:w="1591" w:type="dxa"/>
          </w:tcPr>
          <w:p>
            <w:pPr>
              <w:pStyle w:val="TableParagraph"/>
              <w:rPr>
                <w:rFonts w:ascii="Times New Roman"/>
                <w:sz w:val="18"/>
              </w:rPr>
            </w:pPr>
          </w:p>
        </w:tc>
        <w:tc>
          <w:tcPr>
            <w:tcW w:w="1555" w:type="dxa"/>
            <w:tcBorders>
              <w:right w:val="single" w:sz="4" w:space="0" w:color="000000"/>
            </w:tcBorders>
          </w:tcPr>
          <w:p>
            <w:pPr>
              <w:pStyle w:val="TableParagraph"/>
              <w:rPr>
                <w:rFonts w:ascii="Times New Roman"/>
                <w:sz w:val="18"/>
              </w:rPr>
            </w:pPr>
          </w:p>
        </w:tc>
      </w:tr>
      <w:tr>
        <w:trPr>
          <w:trHeight w:val="255" w:hRule="atLeast"/>
        </w:trPr>
        <w:tc>
          <w:tcPr>
            <w:tcW w:w="4658" w:type="dxa"/>
            <w:tcBorders>
              <w:left w:val="single" w:sz="4" w:space="0" w:color="000000"/>
            </w:tcBorders>
          </w:tcPr>
          <w:p>
            <w:pPr>
              <w:pStyle w:val="TableParagraph"/>
              <w:spacing w:line="226" w:lineRule="exact" w:before="10"/>
              <w:ind w:left="107"/>
              <w:rPr>
                <w:sz w:val="20"/>
              </w:rPr>
            </w:pPr>
            <w:r>
              <w:rPr>
                <w:spacing w:val="-4"/>
                <w:sz w:val="20"/>
              </w:rPr>
              <w:t>Land</w:t>
            </w:r>
          </w:p>
        </w:tc>
        <w:tc>
          <w:tcPr>
            <w:tcW w:w="1276" w:type="dxa"/>
          </w:tcPr>
          <w:p>
            <w:pPr>
              <w:pStyle w:val="TableParagraph"/>
              <w:spacing w:line="226" w:lineRule="exact" w:before="10"/>
              <w:ind w:right="232"/>
              <w:jc w:val="right"/>
              <w:rPr>
                <w:sz w:val="20"/>
              </w:rPr>
            </w:pPr>
            <w:r>
              <w:rPr>
                <w:w w:val="99"/>
                <w:sz w:val="20"/>
              </w:rPr>
              <w:t>0</w:t>
            </w:r>
          </w:p>
        </w:tc>
        <w:tc>
          <w:tcPr>
            <w:tcW w:w="1953" w:type="dxa"/>
          </w:tcPr>
          <w:p>
            <w:pPr>
              <w:pStyle w:val="TableParagraph"/>
              <w:tabs>
                <w:tab w:pos="1027" w:val="left" w:leader="none"/>
              </w:tabs>
              <w:spacing w:line="226" w:lineRule="exact" w:before="10"/>
              <w:ind w:right="178"/>
              <w:jc w:val="right"/>
              <w:rPr>
                <w:sz w:val="20"/>
              </w:rPr>
            </w:pPr>
            <w:r>
              <w:rPr>
                <w:spacing w:val="-10"/>
                <w:sz w:val="20"/>
              </w:rPr>
              <w:t>0</w:t>
            </w:r>
            <w:r>
              <w:rPr>
                <w:sz w:val="20"/>
              </w:rPr>
              <w:tab/>
            </w:r>
            <w:r>
              <w:rPr>
                <w:spacing w:val="-10"/>
                <w:sz w:val="20"/>
              </w:rPr>
              <w:t>0</w:t>
            </w:r>
          </w:p>
        </w:tc>
        <w:tc>
          <w:tcPr>
            <w:tcW w:w="1107" w:type="dxa"/>
            <w:tcBorders>
              <w:right w:val="single" w:sz="4" w:space="0" w:color="000000"/>
            </w:tcBorders>
          </w:tcPr>
          <w:p>
            <w:pPr>
              <w:pStyle w:val="TableParagraph"/>
              <w:spacing w:line="226" w:lineRule="exact" w:before="10"/>
              <w:ind w:right="97"/>
              <w:jc w:val="right"/>
              <w:rPr>
                <w:sz w:val="20"/>
              </w:rPr>
            </w:pPr>
            <w:r>
              <w:rPr>
                <w:w w:val="99"/>
                <w:sz w:val="20"/>
              </w:rPr>
              <w:t>0</w:t>
            </w:r>
          </w:p>
        </w:tc>
        <w:tc>
          <w:tcPr>
            <w:tcW w:w="1559" w:type="dxa"/>
            <w:tcBorders>
              <w:left w:val="single" w:sz="4" w:space="0" w:color="000000"/>
            </w:tcBorders>
          </w:tcPr>
          <w:p>
            <w:pPr>
              <w:pStyle w:val="TableParagraph"/>
              <w:spacing w:line="226" w:lineRule="exact" w:before="10"/>
              <w:ind w:right="290"/>
              <w:jc w:val="right"/>
              <w:rPr>
                <w:sz w:val="20"/>
              </w:rPr>
            </w:pPr>
            <w:r>
              <w:rPr>
                <w:w w:val="99"/>
                <w:sz w:val="20"/>
              </w:rPr>
              <w:t>0</w:t>
            </w:r>
          </w:p>
        </w:tc>
        <w:tc>
          <w:tcPr>
            <w:tcW w:w="1057" w:type="dxa"/>
          </w:tcPr>
          <w:p>
            <w:pPr>
              <w:pStyle w:val="TableParagraph"/>
              <w:spacing w:line="226" w:lineRule="exact" w:before="10"/>
              <w:ind w:right="99"/>
              <w:jc w:val="right"/>
              <w:rPr>
                <w:sz w:val="20"/>
              </w:rPr>
            </w:pPr>
            <w:r>
              <w:rPr>
                <w:w w:val="99"/>
                <w:sz w:val="20"/>
              </w:rPr>
              <w:t>0</w:t>
            </w:r>
          </w:p>
        </w:tc>
        <w:tc>
          <w:tcPr>
            <w:tcW w:w="1591" w:type="dxa"/>
          </w:tcPr>
          <w:p>
            <w:pPr>
              <w:pStyle w:val="TableParagraph"/>
              <w:spacing w:line="226" w:lineRule="exact" w:before="10"/>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10"/>
              <w:ind w:right="89"/>
              <w:jc w:val="right"/>
              <w:rPr>
                <w:sz w:val="20"/>
              </w:rPr>
            </w:pPr>
            <w:r>
              <w:rPr>
                <w:w w:val="99"/>
                <w:sz w:val="20"/>
              </w:rPr>
              <w:t>0</w:t>
            </w:r>
          </w:p>
        </w:tc>
      </w:tr>
      <w:tr>
        <w:trPr>
          <w:trHeight w:val="239" w:hRule="atLeast"/>
        </w:trPr>
        <w:tc>
          <w:tcPr>
            <w:tcW w:w="4658" w:type="dxa"/>
            <w:tcBorders>
              <w:left w:val="single" w:sz="4" w:space="0" w:color="000000"/>
            </w:tcBorders>
          </w:tcPr>
          <w:p>
            <w:pPr>
              <w:pStyle w:val="TableParagraph"/>
              <w:spacing w:line="211" w:lineRule="exact" w:before="8"/>
              <w:ind w:left="107"/>
              <w:rPr>
                <w:sz w:val="20"/>
              </w:rPr>
            </w:pPr>
            <w:r>
              <w:rPr>
                <w:sz w:val="20"/>
              </w:rPr>
              <w:t>Land</w:t>
            </w:r>
            <w:r>
              <w:rPr>
                <w:spacing w:val="-7"/>
                <w:sz w:val="20"/>
              </w:rPr>
              <w:t> </w:t>
            </w:r>
            <w:r>
              <w:rPr>
                <w:spacing w:val="-2"/>
                <w:sz w:val="20"/>
              </w:rPr>
              <w:t>improvements</w:t>
            </w:r>
          </w:p>
        </w:tc>
        <w:tc>
          <w:tcPr>
            <w:tcW w:w="1276" w:type="dxa"/>
            <w:tcBorders>
              <w:bottom w:val="single" w:sz="4" w:space="0" w:color="000000"/>
            </w:tcBorders>
          </w:tcPr>
          <w:p>
            <w:pPr>
              <w:pStyle w:val="TableParagraph"/>
              <w:spacing w:line="211" w:lineRule="exact" w:before="8"/>
              <w:ind w:right="230"/>
              <w:jc w:val="right"/>
              <w:rPr>
                <w:sz w:val="20"/>
              </w:rPr>
            </w:pPr>
            <w:r>
              <w:rPr>
                <w:w w:val="99"/>
                <w:sz w:val="20"/>
              </w:rPr>
              <w:t>0</w:t>
            </w:r>
          </w:p>
        </w:tc>
        <w:tc>
          <w:tcPr>
            <w:tcW w:w="1953" w:type="dxa"/>
            <w:tcBorders>
              <w:bottom w:val="single" w:sz="4" w:space="0" w:color="000000"/>
            </w:tcBorders>
          </w:tcPr>
          <w:p>
            <w:pPr>
              <w:pStyle w:val="TableParagraph"/>
              <w:tabs>
                <w:tab w:pos="1027" w:val="left" w:leader="none"/>
              </w:tabs>
              <w:spacing w:line="211" w:lineRule="exact" w:before="8"/>
              <w:ind w:right="178"/>
              <w:jc w:val="right"/>
              <w:rPr>
                <w:sz w:val="20"/>
              </w:rPr>
            </w:pPr>
            <w:r>
              <w:rPr>
                <w:spacing w:val="-10"/>
                <w:sz w:val="20"/>
              </w:rPr>
              <w:t>0</w:t>
            </w:r>
            <w:r>
              <w:rPr>
                <w:sz w:val="20"/>
              </w:rPr>
              <w:tab/>
            </w:r>
            <w:r>
              <w:rPr>
                <w:spacing w:val="-10"/>
                <w:sz w:val="20"/>
              </w:rPr>
              <w:t>0</w:t>
            </w:r>
          </w:p>
        </w:tc>
        <w:tc>
          <w:tcPr>
            <w:tcW w:w="1107" w:type="dxa"/>
            <w:tcBorders>
              <w:bottom w:val="single" w:sz="4" w:space="0" w:color="000000"/>
              <w:right w:val="single" w:sz="4" w:space="0" w:color="000000"/>
            </w:tcBorders>
          </w:tcPr>
          <w:p>
            <w:pPr>
              <w:pStyle w:val="TableParagraph"/>
              <w:spacing w:line="211" w:lineRule="exact" w:before="8"/>
              <w:ind w:right="97"/>
              <w:jc w:val="right"/>
              <w:rPr>
                <w:sz w:val="20"/>
              </w:rPr>
            </w:pPr>
            <w:r>
              <w:rPr>
                <w:w w:val="99"/>
                <w:sz w:val="20"/>
              </w:rPr>
              <w:t>0</w:t>
            </w:r>
          </w:p>
        </w:tc>
        <w:tc>
          <w:tcPr>
            <w:tcW w:w="1559" w:type="dxa"/>
            <w:tcBorders>
              <w:left w:val="single" w:sz="4" w:space="0" w:color="000000"/>
              <w:bottom w:val="single" w:sz="4" w:space="0" w:color="000000"/>
            </w:tcBorders>
          </w:tcPr>
          <w:p>
            <w:pPr>
              <w:pStyle w:val="TableParagraph"/>
              <w:spacing w:line="211" w:lineRule="exact" w:before="8"/>
              <w:ind w:right="290"/>
              <w:jc w:val="right"/>
              <w:rPr>
                <w:sz w:val="20"/>
              </w:rPr>
            </w:pPr>
            <w:r>
              <w:rPr>
                <w:w w:val="99"/>
                <w:sz w:val="20"/>
              </w:rPr>
              <w:t>0</w:t>
            </w:r>
          </w:p>
        </w:tc>
        <w:tc>
          <w:tcPr>
            <w:tcW w:w="1057" w:type="dxa"/>
            <w:tcBorders>
              <w:bottom w:val="single" w:sz="4" w:space="0" w:color="000000"/>
            </w:tcBorders>
          </w:tcPr>
          <w:p>
            <w:pPr>
              <w:pStyle w:val="TableParagraph"/>
              <w:spacing w:line="211" w:lineRule="exact" w:before="8"/>
              <w:ind w:right="99"/>
              <w:jc w:val="right"/>
              <w:rPr>
                <w:sz w:val="20"/>
              </w:rPr>
            </w:pPr>
            <w:r>
              <w:rPr>
                <w:w w:val="99"/>
                <w:sz w:val="20"/>
              </w:rPr>
              <w:t>0</w:t>
            </w:r>
          </w:p>
        </w:tc>
        <w:tc>
          <w:tcPr>
            <w:tcW w:w="1591" w:type="dxa"/>
            <w:tcBorders>
              <w:bottom w:val="single" w:sz="4" w:space="0" w:color="000000"/>
            </w:tcBorders>
          </w:tcPr>
          <w:p>
            <w:pPr>
              <w:pStyle w:val="TableParagraph"/>
              <w:spacing w:line="211" w:lineRule="exact" w:before="8"/>
              <w:ind w:right="164"/>
              <w:jc w:val="right"/>
              <w:rPr>
                <w:sz w:val="20"/>
              </w:rPr>
            </w:pPr>
            <w:r>
              <w:rPr>
                <w:w w:val="99"/>
                <w:sz w:val="20"/>
              </w:rPr>
              <w:t>0</w:t>
            </w:r>
          </w:p>
        </w:tc>
        <w:tc>
          <w:tcPr>
            <w:tcW w:w="1555" w:type="dxa"/>
            <w:tcBorders>
              <w:bottom w:val="single" w:sz="4" w:space="0" w:color="000000"/>
              <w:right w:val="single" w:sz="4" w:space="0" w:color="000000"/>
            </w:tcBorders>
          </w:tcPr>
          <w:p>
            <w:pPr>
              <w:pStyle w:val="TableParagraph"/>
              <w:spacing w:line="211" w:lineRule="exact" w:before="8"/>
              <w:ind w:right="89"/>
              <w:jc w:val="right"/>
              <w:rPr>
                <w:sz w:val="20"/>
              </w:rPr>
            </w:pPr>
            <w:r>
              <w:rPr>
                <w:w w:val="99"/>
                <w:sz w:val="20"/>
              </w:rPr>
              <w:t>0</w:t>
            </w:r>
          </w:p>
        </w:tc>
      </w:tr>
      <w:tr>
        <w:trPr>
          <w:trHeight w:val="253" w:hRule="atLeast"/>
        </w:trPr>
        <w:tc>
          <w:tcPr>
            <w:tcW w:w="4658"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4"/>
                <w:sz w:val="20"/>
              </w:rPr>
              <w:t>Land</w:t>
            </w:r>
          </w:p>
        </w:tc>
        <w:tc>
          <w:tcPr>
            <w:tcW w:w="1276" w:type="dxa"/>
            <w:tcBorders>
              <w:top w:val="single" w:sz="4" w:space="0" w:color="000000"/>
              <w:bottom w:val="single" w:sz="4" w:space="0" w:color="000000"/>
            </w:tcBorders>
          </w:tcPr>
          <w:p>
            <w:pPr>
              <w:pStyle w:val="TableParagraph"/>
              <w:spacing w:line="211" w:lineRule="exact" w:before="23"/>
              <w:ind w:right="231"/>
              <w:jc w:val="right"/>
              <w:rPr>
                <w:sz w:val="20"/>
              </w:rPr>
            </w:pPr>
            <w:r>
              <w:rPr>
                <w:w w:val="99"/>
                <w:sz w:val="20"/>
              </w:rPr>
              <w:t>0</w:t>
            </w:r>
          </w:p>
        </w:tc>
        <w:tc>
          <w:tcPr>
            <w:tcW w:w="1953" w:type="dxa"/>
            <w:tcBorders>
              <w:top w:val="single" w:sz="4" w:space="0" w:color="000000"/>
              <w:bottom w:val="single" w:sz="4" w:space="0" w:color="000000"/>
            </w:tcBorders>
          </w:tcPr>
          <w:p>
            <w:pPr>
              <w:pStyle w:val="TableParagraph"/>
              <w:tabs>
                <w:tab w:pos="1027" w:val="left" w:leader="none"/>
              </w:tabs>
              <w:spacing w:line="211" w:lineRule="exact" w:before="23"/>
              <w:ind w:right="178"/>
              <w:jc w:val="right"/>
              <w:rPr>
                <w:sz w:val="20"/>
              </w:rPr>
            </w:pPr>
            <w:r>
              <w:rPr>
                <w:spacing w:val="-10"/>
                <w:sz w:val="20"/>
              </w:rPr>
              <w:t>0</w:t>
            </w:r>
            <w:r>
              <w:rPr>
                <w:sz w:val="20"/>
              </w:rPr>
              <w:tab/>
            </w:r>
            <w:r>
              <w:rPr>
                <w:spacing w:val="-10"/>
                <w:sz w:val="20"/>
              </w:rPr>
              <w:t>0</w:t>
            </w:r>
          </w:p>
        </w:tc>
        <w:tc>
          <w:tcPr>
            <w:tcW w:w="1107" w:type="dxa"/>
            <w:tcBorders>
              <w:top w:val="single" w:sz="4" w:space="0" w:color="000000"/>
              <w:bottom w:val="single" w:sz="4" w:space="0" w:color="000000"/>
              <w:right w:val="single" w:sz="4" w:space="0" w:color="000000"/>
            </w:tcBorders>
          </w:tcPr>
          <w:p>
            <w:pPr>
              <w:pStyle w:val="TableParagraph"/>
              <w:spacing w:line="211" w:lineRule="exact" w:before="23"/>
              <w:ind w:right="97"/>
              <w:jc w:val="right"/>
              <w:rPr>
                <w:sz w:val="20"/>
              </w:rPr>
            </w:pPr>
            <w:r>
              <w:rPr>
                <w:w w:val="99"/>
                <w:sz w:val="20"/>
              </w:rPr>
              <w:t>0</w:t>
            </w:r>
          </w:p>
        </w:tc>
        <w:tc>
          <w:tcPr>
            <w:tcW w:w="1559" w:type="dxa"/>
            <w:tcBorders>
              <w:top w:val="single" w:sz="4" w:space="0" w:color="000000"/>
              <w:left w:val="single" w:sz="4" w:space="0" w:color="000000"/>
              <w:bottom w:val="single" w:sz="4" w:space="0" w:color="000000"/>
            </w:tcBorders>
          </w:tcPr>
          <w:p>
            <w:pPr>
              <w:pStyle w:val="TableParagraph"/>
              <w:spacing w:line="211" w:lineRule="exact" w:before="23"/>
              <w:ind w:right="290"/>
              <w:jc w:val="right"/>
              <w:rPr>
                <w:sz w:val="20"/>
              </w:rPr>
            </w:pPr>
            <w:r>
              <w:rPr>
                <w:w w:val="99"/>
                <w:sz w:val="20"/>
              </w:rPr>
              <w:t>0</w:t>
            </w:r>
          </w:p>
        </w:tc>
        <w:tc>
          <w:tcPr>
            <w:tcW w:w="1057" w:type="dxa"/>
            <w:tcBorders>
              <w:top w:val="single" w:sz="4" w:space="0" w:color="000000"/>
              <w:bottom w:val="single" w:sz="4" w:space="0" w:color="000000"/>
            </w:tcBorders>
          </w:tcPr>
          <w:p>
            <w:pPr>
              <w:pStyle w:val="TableParagraph"/>
              <w:spacing w:line="211" w:lineRule="exact" w:before="23"/>
              <w:ind w:right="99"/>
              <w:jc w:val="right"/>
              <w:rPr>
                <w:sz w:val="20"/>
              </w:rPr>
            </w:pPr>
            <w:r>
              <w:rPr>
                <w:w w:val="99"/>
                <w:sz w:val="20"/>
              </w:rPr>
              <w:t>0</w:t>
            </w:r>
          </w:p>
        </w:tc>
        <w:tc>
          <w:tcPr>
            <w:tcW w:w="1591" w:type="dxa"/>
            <w:tcBorders>
              <w:top w:val="single" w:sz="4" w:space="0" w:color="000000"/>
              <w:bottom w:val="single" w:sz="4" w:space="0" w:color="000000"/>
            </w:tcBorders>
          </w:tcPr>
          <w:p>
            <w:pPr>
              <w:pStyle w:val="TableParagraph"/>
              <w:spacing w:line="211" w:lineRule="exact" w:before="23"/>
              <w:ind w:right="164"/>
              <w:jc w:val="right"/>
              <w:rPr>
                <w:sz w:val="20"/>
              </w:rPr>
            </w:pPr>
            <w:r>
              <w:rPr>
                <w:w w:val="99"/>
                <w:sz w:val="20"/>
              </w:rPr>
              <w:t>0</w:t>
            </w:r>
          </w:p>
        </w:tc>
        <w:tc>
          <w:tcPr>
            <w:tcW w:w="1555" w:type="dxa"/>
            <w:tcBorders>
              <w:top w:val="single" w:sz="4" w:space="0" w:color="000000"/>
              <w:bottom w:val="single" w:sz="4" w:space="0" w:color="000000"/>
              <w:right w:val="single" w:sz="4" w:space="0" w:color="000000"/>
            </w:tcBorders>
          </w:tcPr>
          <w:p>
            <w:pPr>
              <w:pStyle w:val="TableParagraph"/>
              <w:spacing w:line="211" w:lineRule="exact" w:before="23"/>
              <w:ind w:right="89"/>
              <w:jc w:val="right"/>
              <w:rPr>
                <w:sz w:val="20"/>
              </w:rPr>
            </w:pPr>
            <w:r>
              <w:rPr>
                <w:w w:val="99"/>
                <w:sz w:val="20"/>
              </w:rPr>
              <w:t>0</w:t>
            </w:r>
          </w:p>
        </w:tc>
      </w:tr>
      <w:tr>
        <w:trPr>
          <w:trHeight w:val="256" w:hRule="atLeast"/>
        </w:trPr>
        <w:tc>
          <w:tcPr>
            <w:tcW w:w="4658" w:type="dxa"/>
            <w:tcBorders>
              <w:left w:val="single" w:sz="4" w:space="0" w:color="000000"/>
            </w:tcBorders>
          </w:tcPr>
          <w:p>
            <w:pPr>
              <w:pStyle w:val="TableParagraph"/>
              <w:spacing w:line="211" w:lineRule="exact" w:before="26"/>
              <w:ind w:left="107"/>
              <w:rPr>
                <w:sz w:val="20"/>
              </w:rPr>
            </w:pPr>
            <w:r>
              <w:rPr>
                <w:spacing w:val="-2"/>
                <w:sz w:val="20"/>
              </w:rPr>
              <w:t>Buildings</w:t>
            </w:r>
          </w:p>
        </w:tc>
        <w:tc>
          <w:tcPr>
            <w:tcW w:w="1276" w:type="dxa"/>
            <w:tcBorders>
              <w:top w:val="single" w:sz="4" w:space="0" w:color="000000"/>
              <w:bottom w:val="single" w:sz="4" w:space="0" w:color="000000"/>
            </w:tcBorders>
          </w:tcPr>
          <w:p>
            <w:pPr>
              <w:pStyle w:val="TableParagraph"/>
              <w:spacing w:line="211" w:lineRule="exact" w:before="26"/>
              <w:ind w:right="234"/>
              <w:jc w:val="right"/>
              <w:rPr>
                <w:sz w:val="20"/>
              </w:rPr>
            </w:pPr>
            <w:r>
              <w:rPr>
                <w:spacing w:val="-2"/>
                <w:sz w:val="20"/>
              </w:rPr>
              <w:t>21,276</w:t>
            </w:r>
          </w:p>
        </w:tc>
        <w:tc>
          <w:tcPr>
            <w:tcW w:w="1953" w:type="dxa"/>
            <w:tcBorders>
              <w:top w:val="single" w:sz="4" w:space="0" w:color="000000"/>
              <w:bottom w:val="single" w:sz="4" w:space="0" w:color="000000"/>
            </w:tcBorders>
          </w:tcPr>
          <w:p>
            <w:pPr>
              <w:pStyle w:val="TableParagraph"/>
              <w:tabs>
                <w:tab w:pos="916" w:val="left" w:leader="none"/>
              </w:tabs>
              <w:spacing w:line="211" w:lineRule="exact" w:before="26"/>
              <w:ind w:right="181"/>
              <w:jc w:val="right"/>
              <w:rPr>
                <w:sz w:val="20"/>
              </w:rPr>
            </w:pPr>
            <w:r>
              <w:rPr>
                <w:spacing w:val="-2"/>
                <w:sz w:val="20"/>
              </w:rPr>
              <w:t>4,000</w:t>
            </w:r>
            <w:r>
              <w:rPr>
                <w:sz w:val="20"/>
              </w:rPr>
              <w:tab/>
            </w:r>
            <w:r>
              <w:rPr>
                <w:spacing w:val="-2"/>
                <w:sz w:val="20"/>
              </w:rPr>
              <w:t>13,429</w:t>
            </w:r>
          </w:p>
        </w:tc>
        <w:tc>
          <w:tcPr>
            <w:tcW w:w="1107" w:type="dxa"/>
            <w:tcBorders>
              <w:top w:val="single" w:sz="4" w:space="0" w:color="000000"/>
              <w:bottom w:val="single" w:sz="4" w:space="0" w:color="000000"/>
              <w:right w:val="single" w:sz="4" w:space="0" w:color="000000"/>
            </w:tcBorders>
          </w:tcPr>
          <w:p>
            <w:pPr>
              <w:pStyle w:val="TableParagraph"/>
              <w:spacing w:line="211" w:lineRule="exact" w:before="26"/>
              <w:ind w:right="100"/>
              <w:jc w:val="right"/>
              <w:rPr>
                <w:sz w:val="20"/>
              </w:rPr>
            </w:pPr>
            <w:r>
              <w:rPr>
                <w:spacing w:val="-2"/>
                <w:sz w:val="20"/>
              </w:rPr>
              <w:t>3,847</w:t>
            </w:r>
          </w:p>
        </w:tc>
        <w:tc>
          <w:tcPr>
            <w:tcW w:w="1559" w:type="dxa"/>
            <w:tcBorders>
              <w:top w:val="single" w:sz="4" w:space="0" w:color="000000"/>
              <w:left w:val="single" w:sz="4" w:space="0" w:color="000000"/>
              <w:bottom w:val="single" w:sz="4" w:space="0" w:color="000000"/>
            </w:tcBorders>
          </w:tcPr>
          <w:p>
            <w:pPr>
              <w:pStyle w:val="TableParagraph"/>
              <w:spacing w:line="211" w:lineRule="exact" w:before="26"/>
              <w:ind w:right="293"/>
              <w:jc w:val="right"/>
              <w:rPr>
                <w:sz w:val="20"/>
              </w:rPr>
            </w:pPr>
            <w:r>
              <w:rPr>
                <w:spacing w:val="-2"/>
                <w:sz w:val="20"/>
              </w:rPr>
              <w:t>21,276</w:t>
            </w:r>
          </w:p>
        </w:tc>
        <w:tc>
          <w:tcPr>
            <w:tcW w:w="1057" w:type="dxa"/>
            <w:tcBorders>
              <w:top w:val="single" w:sz="4" w:space="0" w:color="000000"/>
              <w:bottom w:val="single" w:sz="4" w:space="0" w:color="000000"/>
            </w:tcBorders>
          </w:tcPr>
          <w:p>
            <w:pPr>
              <w:pStyle w:val="TableParagraph"/>
              <w:spacing w:line="211" w:lineRule="exact" w:before="26"/>
              <w:ind w:right="101"/>
              <w:jc w:val="right"/>
              <w:rPr>
                <w:sz w:val="20"/>
              </w:rPr>
            </w:pPr>
            <w:r>
              <w:rPr>
                <w:spacing w:val="-2"/>
                <w:sz w:val="20"/>
              </w:rPr>
              <w:t>2,500</w:t>
            </w:r>
          </w:p>
        </w:tc>
        <w:tc>
          <w:tcPr>
            <w:tcW w:w="1591" w:type="dxa"/>
            <w:tcBorders>
              <w:top w:val="single" w:sz="4" w:space="0" w:color="000000"/>
              <w:bottom w:val="single" w:sz="4" w:space="0" w:color="000000"/>
            </w:tcBorders>
          </w:tcPr>
          <w:p>
            <w:pPr>
              <w:pStyle w:val="TableParagraph"/>
              <w:spacing w:line="211" w:lineRule="exact" w:before="26"/>
              <w:ind w:right="167"/>
              <w:jc w:val="right"/>
              <w:rPr>
                <w:sz w:val="20"/>
              </w:rPr>
            </w:pPr>
            <w:r>
              <w:rPr>
                <w:spacing w:val="-5"/>
                <w:sz w:val="20"/>
              </w:rPr>
              <w:t>190</w:t>
            </w:r>
          </w:p>
        </w:tc>
        <w:tc>
          <w:tcPr>
            <w:tcW w:w="1555" w:type="dxa"/>
            <w:tcBorders>
              <w:top w:val="single" w:sz="4" w:space="0" w:color="000000"/>
              <w:bottom w:val="single" w:sz="4" w:space="0" w:color="000000"/>
              <w:right w:val="single" w:sz="4" w:space="0" w:color="000000"/>
            </w:tcBorders>
          </w:tcPr>
          <w:p>
            <w:pPr>
              <w:pStyle w:val="TableParagraph"/>
              <w:spacing w:line="211" w:lineRule="exact" w:before="26"/>
              <w:ind w:right="92"/>
              <w:jc w:val="right"/>
              <w:rPr>
                <w:sz w:val="20"/>
              </w:rPr>
            </w:pPr>
            <w:r>
              <w:rPr>
                <w:spacing w:val="-2"/>
                <w:sz w:val="20"/>
              </w:rPr>
              <w:t>18,586</w:t>
            </w:r>
          </w:p>
        </w:tc>
      </w:tr>
      <w:tr>
        <w:trPr>
          <w:trHeight w:val="254" w:hRule="atLeast"/>
        </w:trPr>
        <w:tc>
          <w:tcPr>
            <w:tcW w:w="4658"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Buildings</w:t>
            </w:r>
          </w:p>
        </w:tc>
        <w:tc>
          <w:tcPr>
            <w:tcW w:w="1276" w:type="dxa"/>
            <w:tcBorders>
              <w:top w:val="single" w:sz="4" w:space="0" w:color="000000"/>
              <w:bottom w:val="single" w:sz="4" w:space="0" w:color="000000"/>
            </w:tcBorders>
          </w:tcPr>
          <w:p>
            <w:pPr>
              <w:pStyle w:val="TableParagraph"/>
              <w:spacing w:line="211" w:lineRule="exact" w:before="23"/>
              <w:ind w:right="234"/>
              <w:jc w:val="right"/>
              <w:rPr>
                <w:sz w:val="20"/>
              </w:rPr>
            </w:pPr>
            <w:r>
              <w:rPr>
                <w:spacing w:val="-2"/>
                <w:sz w:val="20"/>
              </w:rPr>
              <w:t>21,276</w:t>
            </w:r>
          </w:p>
        </w:tc>
        <w:tc>
          <w:tcPr>
            <w:tcW w:w="1953" w:type="dxa"/>
            <w:tcBorders>
              <w:top w:val="single" w:sz="4" w:space="0" w:color="000000"/>
              <w:bottom w:val="single" w:sz="4" w:space="0" w:color="000000"/>
            </w:tcBorders>
          </w:tcPr>
          <w:p>
            <w:pPr>
              <w:pStyle w:val="TableParagraph"/>
              <w:tabs>
                <w:tab w:pos="916" w:val="left" w:leader="none"/>
              </w:tabs>
              <w:spacing w:line="211" w:lineRule="exact" w:before="23"/>
              <w:ind w:right="181"/>
              <w:jc w:val="right"/>
              <w:rPr>
                <w:sz w:val="20"/>
              </w:rPr>
            </w:pPr>
            <w:r>
              <w:rPr>
                <w:spacing w:val="-2"/>
                <w:sz w:val="20"/>
              </w:rPr>
              <w:t>4,000</w:t>
            </w:r>
            <w:r>
              <w:rPr>
                <w:sz w:val="20"/>
              </w:rPr>
              <w:tab/>
            </w:r>
            <w:r>
              <w:rPr>
                <w:spacing w:val="-2"/>
                <w:sz w:val="20"/>
              </w:rPr>
              <w:t>13,429</w:t>
            </w:r>
          </w:p>
        </w:tc>
        <w:tc>
          <w:tcPr>
            <w:tcW w:w="1107"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sz w:val="20"/>
              </w:rPr>
            </w:pPr>
            <w:r>
              <w:rPr>
                <w:spacing w:val="-2"/>
                <w:sz w:val="20"/>
              </w:rPr>
              <w:t>3,847</w:t>
            </w:r>
          </w:p>
        </w:tc>
        <w:tc>
          <w:tcPr>
            <w:tcW w:w="1559" w:type="dxa"/>
            <w:tcBorders>
              <w:top w:val="single" w:sz="4" w:space="0" w:color="000000"/>
              <w:left w:val="single" w:sz="4" w:space="0" w:color="000000"/>
              <w:bottom w:val="single" w:sz="4" w:space="0" w:color="000000"/>
            </w:tcBorders>
          </w:tcPr>
          <w:p>
            <w:pPr>
              <w:pStyle w:val="TableParagraph"/>
              <w:spacing w:line="211" w:lineRule="exact" w:before="23"/>
              <w:ind w:right="293"/>
              <w:jc w:val="right"/>
              <w:rPr>
                <w:sz w:val="20"/>
              </w:rPr>
            </w:pPr>
            <w:r>
              <w:rPr>
                <w:spacing w:val="-2"/>
                <w:sz w:val="20"/>
              </w:rPr>
              <w:t>21,276</w:t>
            </w:r>
          </w:p>
        </w:tc>
        <w:tc>
          <w:tcPr>
            <w:tcW w:w="1057" w:type="dxa"/>
            <w:tcBorders>
              <w:top w:val="single" w:sz="4" w:space="0" w:color="000000"/>
              <w:bottom w:val="single" w:sz="4" w:space="0" w:color="000000"/>
            </w:tcBorders>
          </w:tcPr>
          <w:p>
            <w:pPr>
              <w:pStyle w:val="TableParagraph"/>
              <w:spacing w:line="211" w:lineRule="exact" w:before="23"/>
              <w:ind w:right="101"/>
              <w:jc w:val="right"/>
              <w:rPr>
                <w:sz w:val="20"/>
              </w:rPr>
            </w:pPr>
            <w:r>
              <w:rPr>
                <w:spacing w:val="-2"/>
                <w:sz w:val="20"/>
              </w:rPr>
              <w:t>2,500</w:t>
            </w:r>
          </w:p>
        </w:tc>
        <w:tc>
          <w:tcPr>
            <w:tcW w:w="1591" w:type="dxa"/>
            <w:tcBorders>
              <w:top w:val="single" w:sz="4" w:space="0" w:color="000000"/>
              <w:bottom w:val="single" w:sz="4" w:space="0" w:color="000000"/>
            </w:tcBorders>
          </w:tcPr>
          <w:p>
            <w:pPr>
              <w:pStyle w:val="TableParagraph"/>
              <w:spacing w:line="211" w:lineRule="exact" w:before="23"/>
              <w:ind w:right="167"/>
              <w:jc w:val="right"/>
              <w:rPr>
                <w:sz w:val="20"/>
              </w:rPr>
            </w:pPr>
            <w:r>
              <w:rPr>
                <w:spacing w:val="-5"/>
                <w:sz w:val="20"/>
              </w:rPr>
              <w:t>190</w:t>
            </w:r>
          </w:p>
        </w:tc>
        <w:tc>
          <w:tcPr>
            <w:tcW w:w="1555" w:type="dxa"/>
            <w:tcBorders>
              <w:top w:val="single" w:sz="4" w:space="0" w:color="000000"/>
              <w:bottom w:val="single" w:sz="4" w:space="0" w:color="000000"/>
              <w:right w:val="single" w:sz="4" w:space="0" w:color="000000"/>
            </w:tcBorders>
          </w:tcPr>
          <w:p>
            <w:pPr>
              <w:pStyle w:val="TableParagraph"/>
              <w:spacing w:line="211" w:lineRule="exact" w:before="23"/>
              <w:ind w:right="92"/>
              <w:jc w:val="right"/>
              <w:rPr>
                <w:sz w:val="20"/>
              </w:rPr>
            </w:pPr>
            <w:r>
              <w:rPr>
                <w:spacing w:val="-2"/>
                <w:sz w:val="20"/>
              </w:rPr>
              <w:t>18,586</w:t>
            </w:r>
          </w:p>
        </w:tc>
      </w:tr>
      <w:tr>
        <w:trPr>
          <w:trHeight w:val="256" w:hRule="atLeast"/>
        </w:trPr>
        <w:tc>
          <w:tcPr>
            <w:tcW w:w="4658"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Property</w:t>
            </w:r>
          </w:p>
        </w:tc>
        <w:tc>
          <w:tcPr>
            <w:tcW w:w="1276" w:type="dxa"/>
            <w:tcBorders>
              <w:top w:val="single" w:sz="4" w:space="0" w:color="000000"/>
              <w:bottom w:val="single" w:sz="4" w:space="0" w:color="000000"/>
            </w:tcBorders>
          </w:tcPr>
          <w:p>
            <w:pPr>
              <w:pStyle w:val="TableParagraph"/>
              <w:spacing w:line="211" w:lineRule="exact" w:before="26"/>
              <w:ind w:right="234"/>
              <w:jc w:val="right"/>
              <w:rPr>
                <w:b/>
                <w:sz w:val="20"/>
              </w:rPr>
            </w:pPr>
            <w:r>
              <w:rPr>
                <w:b/>
                <w:spacing w:val="-2"/>
                <w:sz w:val="20"/>
              </w:rPr>
              <w:t>21,276</w:t>
            </w:r>
          </w:p>
        </w:tc>
        <w:tc>
          <w:tcPr>
            <w:tcW w:w="1953" w:type="dxa"/>
            <w:tcBorders>
              <w:top w:val="single" w:sz="4" w:space="0" w:color="000000"/>
              <w:bottom w:val="single" w:sz="4" w:space="0" w:color="000000"/>
            </w:tcBorders>
          </w:tcPr>
          <w:p>
            <w:pPr>
              <w:pStyle w:val="TableParagraph"/>
              <w:tabs>
                <w:tab w:pos="916" w:val="left" w:leader="none"/>
              </w:tabs>
              <w:spacing w:line="211" w:lineRule="exact" w:before="26"/>
              <w:ind w:right="181"/>
              <w:jc w:val="right"/>
              <w:rPr>
                <w:b/>
                <w:sz w:val="20"/>
              </w:rPr>
            </w:pPr>
            <w:r>
              <w:rPr>
                <w:b/>
                <w:spacing w:val="-2"/>
                <w:sz w:val="20"/>
              </w:rPr>
              <w:t>4,000</w:t>
            </w:r>
            <w:r>
              <w:rPr>
                <w:b/>
                <w:sz w:val="20"/>
              </w:rPr>
              <w:tab/>
            </w:r>
            <w:r>
              <w:rPr>
                <w:b/>
                <w:spacing w:val="-2"/>
                <w:sz w:val="20"/>
              </w:rPr>
              <w:t>13,429</w:t>
            </w:r>
          </w:p>
        </w:tc>
        <w:tc>
          <w:tcPr>
            <w:tcW w:w="1107" w:type="dxa"/>
            <w:tcBorders>
              <w:top w:val="single" w:sz="4" w:space="0" w:color="000000"/>
              <w:bottom w:val="single" w:sz="4" w:space="0" w:color="000000"/>
              <w:right w:val="single" w:sz="4" w:space="0" w:color="000000"/>
            </w:tcBorders>
          </w:tcPr>
          <w:p>
            <w:pPr>
              <w:pStyle w:val="TableParagraph"/>
              <w:spacing w:line="211" w:lineRule="exact" w:before="26"/>
              <w:ind w:right="99"/>
              <w:jc w:val="right"/>
              <w:rPr>
                <w:b/>
                <w:sz w:val="20"/>
              </w:rPr>
            </w:pPr>
            <w:r>
              <w:rPr>
                <w:b/>
                <w:spacing w:val="-2"/>
                <w:sz w:val="20"/>
              </w:rPr>
              <w:t>3,847</w:t>
            </w:r>
          </w:p>
        </w:tc>
        <w:tc>
          <w:tcPr>
            <w:tcW w:w="1559" w:type="dxa"/>
            <w:tcBorders>
              <w:top w:val="single" w:sz="4" w:space="0" w:color="000000"/>
              <w:left w:val="single" w:sz="4" w:space="0" w:color="000000"/>
              <w:bottom w:val="single" w:sz="4" w:space="0" w:color="000000"/>
            </w:tcBorders>
          </w:tcPr>
          <w:p>
            <w:pPr>
              <w:pStyle w:val="TableParagraph"/>
              <w:spacing w:line="211" w:lineRule="exact" w:before="26"/>
              <w:ind w:right="293"/>
              <w:jc w:val="right"/>
              <w:rPr>
                <w:b/>
                <w:sz w:val="20"/>
              </w:rPr>
            </w:pPr>
            <w:r>
              <w:rPr>
                <w:b/>
                <w:spacing w:val="-2"/>
                <w:sz w:val="20"/>
              </w:rPr>
              <w:t>21,276</w:t>
            </w:r>
          </w:p>
        </w:tc>
        <w:tc>
          <w:tcPr>
            <w:tcW w:w="1057" w:type="dxa"/>
            <w:tcBorders>
              <w:top w:val="single" w:sz="4" w:space="0" w:color="000000"/>
              <w:bottom w:val="single" w:sz="4" w:space="0" w:color="000000"/>
            </w:tcBorders>
          </w:tcPr>
          <w:p>
            <w:pPr>
              <w:pStyle w:val="TableParagraph"/>
              <w:spacing w:line="211" w:lineRule="exact" w:before="26"/>
              <w:ind w:right="102"/>
              <w:jc w:val="right"/>
              <w:rPr>
                <w:b/>
                <w:sz w:val="20"/>
              </w:rPr>
            </w:pPr>
            <w:r>
              <w:rPr>
                <w:b/>
                <w:spacing w:val="-2"/>
                <w:sz w:val="20"/>
              </w:rPr>
              <w:t>2,500</w:t>
            </w:r>
          </w:p>
        </w:tc>
        <w:tc>
          <w:tcPr>
            <w:tcW w:w="1591" w:type="dxa"/>
            <w:tcBorders>
              <w:top w:val="single" w:sz="4" w:space="0" w:color="000000"/>
              <w:bottom w:val="single" w:sz="4" w:space="0" w:color="000000"/>
            </w:tcBorders>
          </w:tcPr>
          <w:p>
            <w:pPr>
              <w:pStyle w:val="TableParagraph"/>
              <w:spacing w:line="211" w:lineRule="exact" w:before="26"/>
              <w:ind w:right="167"/>
              <w:jc w:val="right"/>
              <w:rPr>
                <w:b/>
                <w:sz w:val="20"/>
              </w:rPr>
            </w:pPr>
            <w:r>
              <w:rPr>
                <w:b/>
                <w:spacing w:val="-5"/>
                <w:sz w:val="20"/>
              </w:rPr>
              <w:t>190</w:t>
            </w:r>
          </w:p>
        </w:tc>
        <w:tc>
          <w:tcPr>
            <w:tcW w:w="1555" w:type="dxa"/>
            <w:tcBorders>
              <w:top w:val="single" w:sz="4" w:space="0" w:color="000000"/>
              <w:bottom w:val="single" w:sz="4" w:space="0" w:color="000000"/>
              <w:right w:val="single" w:sz="4" w:space="0" w:color="000000"/>
            </w:tcBorders>
          </w:tcPr>
          <w:p>
            <w:pPr>
              <w:pStyle w:val="TableParagraph"/>
              <w:spacing w:line="211" w:lineRule="exact" w:before="26"/>
              <w:ind w:right="92"/>
              <w:jc w:val="right"/>
              <w:rPr>
                <w:b/>
                <w:sz w:val="20"/>
              </w:rPr>
            </w:pPr>
            <w:r>
              <w:rPr>
                <w:b/>
                <w:spacing w:val="-2"/>
                <w:sz w:val="20"/>
              </w:rPr>
              <w:t>18,586</w:t>
            </w:r>
          </w:p>
        </w:tc>
      </w:tr>
      <w:tr>
        <w:trPr>
          <w:trHeight w:val="524" w:hRule="atLeast"/>
        </w:trPr>
        <w:tc>
          <w:tcPr>
            <w:tcW w:w="4658" w:type="dxa"/>
            <w:tcBorders>
              <w:left w:val="single" w:sz="4" w:space="0" w:color="000000"/>
            </w:tcBorders>
          </w:tcPr>
          <w:p>
            <w:pPr>
              <w:pStyle w:val="TableParagraph"/>
              <w:spacing w:before="1"/>
              <w:rPr>
                <w:b/>
                <w:sz w:val="24"/>
              </w:rPr>
            </w:pPr>
          </w:p>
          <w:p>
            <w:pPr>
              <w:pStyle w:val="TableParagraph"/>
              <w:spacing w:line="227" w:lineRule="exact" w:before="1"/>
              <w:ind w:left="107"/>
              <w:rPr>
                <w:b/>
                <w:sz w:val="20"/>
              </w:rPr>
            </w:pPr>
            <w:r>
              <w:rPr>
                <w:b/>
                <w:sz w:val="20"/>
              </w:rPr>
              <w:t>Plant</w:t>
            </w:r>
            <w:r>
              <w:rPr>
                <w:b/>
                <w:spacing w:val="-5"/>
                <w:sz w:val="20"/>
              </w:rPr>
              <w:t> </w:t>
            </w:r>
            <w:r>
              <w:rPr>
                <w:b/>
                <w:sz w:val="20"/>
              </w:rPr>
              <w:t>and</w:t>
            </w:r>
            <w:r>
              <w:rPr>
                <w:b/>
                <w:spacing w:val="-4"/>
                <w:sz w:val="20"/>
              </w:rPr>
              <w:t> </w:t>
            </w:r>
            <w:r>
              <w:rPr>
                <w:b/>
                <w:spacing w:val="-2"/>
                <w:sz w:val="20"/>
              </w:rPr>
              <w:t>Equipment</w:t>
            </w:r>
          </w:p>
        </w:tc>
        <w:tc>
          <w:tcPr>
            <w:tcW w:w="1276" w:type="dxa"/>
            <w:tcBorders>
              <w:top w:val="single" w:sz="4" w:space="0" w:color="000000"/>
            </w:tcBorders>
          </w:tcPr>
          <w:p>
            <w:pPr>
              <w:pStyle w:val="TableParagraph"/>
              <w:rPr>
                <w:rFonts w:ascii="Times New Roman"/>
                <w:sz w:val="18"/>
              </w:rPr>
            </w:pPr>
          </w:p>
        </w:tc>
        <w:tc>
          <w:tcPr>
            <w:tcW w:w="1953" w:type="dxa"/>
            <w:tcBorders>
              <w:top w:val="single" w:sz="4" w:space="0" w:color="000000"/>
            </w:tcBorders>
          </w:tcPr>
          <w:p>
            <w:pPr>
              <w:pStyle w:val="TableParagraph"/>
              <w:rPr>
                <w:rFonts w:ascii="Times New Roman"/>
                <w:sz w:val="18"/>
              </w:rPr>
            </w:pPr>
          </w:p>
        </w:tc>
        <w:tc>
          <w:tcPr>
            <w:tcW w:w="1107" w:type="dxa"/>
            <w:tcBorders>
              <w:top w:val="single" w:sz="4" w:space="0" w:color="000000"/>
              <w:right w:val="single" w:sz="4" w:space="0" w:color="000000"/>
            </w:tcBorders>
          </w:tcPr>
          <w:p>
            <w:pPr>
              <w:pStyle w:val="TableParagraph"/>
              <w:rPr>
                <w:rFonts w:ascii="Times New Roman"/>
                <w:sz w:val="18"/>
              </w:rPr>
            </w:pPr>
          </w:p>
        </w:tc>
        <w:tc>
          <w:tcPr>
            <w:tcW w:w="1559" w:type="dxa"/>
            <w:tcBorders>
              <w:top w:val="single" w:sz="4" w:space="0" w:color="000000"/>
              <w:left w:val="single" w:sz="4" w:space="0" w:color="000000"/>
            </w:tcBorders>
          </w:tcPr>
          <w:p>
            <w:pPr>
              <w:pStyle w:val="TableParagraph"/>
              <w:rPr>
                <w:rFonts w:ascii="Times New Roman"/>
                <w:sz w:val="18"/>
              </w:rPr>
            </w:pPr>
          </w:p>
        </w:tc>
        <w:tc>
          <w:tcPr>
            <w:tcW w:w="1057" w:type="dxa"/>
            <w:tcBorders>
              <w:top w:val="single" w:sz="4" w:space="0" w:color="000000"/>
            </w:tcBorders>
          </w:tcPr>
          <w:p>
            <w:pPr>
              <w:pStyle w:val="TableParagraph"/>
              <w:rPr>
                <w:rFonts w:ascii="Times New Roman"/>
                <w:sz w:val="18"/>
              </w:rPr>
            </w:pPr>
          </w:p>
        </w:tc>
        <w:tc>
          <w:tcPr>
            <w:tcW w:w="1591" w:type="dxa"/>
            <w:tcBorders>
              <w:top w:val="single" w:sz="4" w:space="0" w:color="000000"/>
            </w:tcBorders>
          </w:tcPr>
          <w:p>
            <w:pPr>
              <w:pStyle w:val="TableParagraph"/>
              <w:rPr>
                <w:rFonts w:ascii="Times New Roman"/>
                <w:sz w:val="18"/>
              </w:rPr>
            </w:pPr>
          </w:p>
        </w:tc>
        <w:tc>
          <w:tcPr>
            <w:tcW w:w="1555"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658" w:type="dxa"/>
            <w:tcBorders>
              <w:left w:val="single" w:sz="4" w:space="0" w:color="000000"/>
            </w:tcBorders>
          </w:tcPr>
          <w:p>
            <w:pPr>
              <w:pStyle w:val="TableParagraph"/>
              <w:spacing w:line="226" w:lineRule="exact" w:before="10"/>
              <w:ind w:left="107"/>
              <w:rPr>
                <w:sz w:val="20"/>
              </w:rPr>
            </w:pPr>
            <w:r>
              <w:rPr>
                <w:sz w:val="20"/>
              </w:rPr>
              <w:t>Plant,</w:t>
            </w:r>
            <w:r>
              <w:rPr>
                <w:spacing w:val="-4"/>
                <w:sz w:val="20"/>
              </w:rPr>
              <w:t> </w:t>
            </w:r>
            <w:r>
              <w:rPr>
                <w:sz w:val="20"/>
              </w:rPr>
              <w:t>machinery,</w:t>
            </w:r>
            <w:r>
              <w:rPr>
                <w:spacing w:val="-8"/>
                <w:sz w:val="20"/>
              </w:rPr>
              <w:t> </w:t>
            </w:r>
            <w:r>
              <w:rPr>
                <w:sz w:val="20"/>
              </w:rPr>
              <w:t>and</w:t>
            </w:r>
            <w:r>
              <w:rPr>
                <w:spacing w:val="-4"/>
                <w:sz w:val="20"/>
              </w:rPr>
              <w:t> </w:t>
            </w:r>
            <w:r>
              <w:rPr>
                <w:spacing w:val="-2"/>
                <w:sz w:val="20"/>
              </w:rPr>
              <w:t>equipment</w:t>
            </w:r>
          </w:p>
        </w:tc>
        <w:tc>
          <w:tcPr>
            <w:tcW w:w="1276" w:type="dxa"/>
          </w:tcPr>
          <w:p>
            <w:pPr>
              <w:pStyle w:val="TableParagraph"/>
              <w:spacing w:line="226" w:lineRule="exact" w:before="10"/>
              <w:ind w:right="233"/>
              <w:jc w:val="right"/>
              <w:rPr>
                <w:sz w:val="20"/>
              </w:rPr>
            </w:pPr>
            <w:r>
              <w:rPr>
                <w:spacing w:val="-2"/>
                <w:sz w:val="20"/>
              </w:rPr>
              <w:t>1,257</w:t>
            </w:r>
          </w:p>
        </w:tc>
        <w:tc>
          <w:tcPr>
            <w:tcW w:w="1953" w:type="dxa"/>
          </w:tcPr>
          <w:p>
            <w:pPr>
              <w:pStyle w:val="TableParagraph"/>
              <w:tabs>
                <w:tab w:pos="635" w:val="left" w:leader="none"/>
              </w:tabs>
              <w:spacing w:line="226" w:lineRule="exact" w:before="10"/>
              <w:ind w:right="180"/>
              <w:jc w:val="right"/>
              <w:rPr>
                <w:sz w:val="20"/>
              </w:rPr>
            </w:pPr>
            <w:r>
              <w:rPr>
                <w:spacing w:val="-10"/>
                <w:sz w:val="20"/>
              </w:rPr>
              <w:t>0</w:t>
            </w:r>
            <w:r>
              <w:rPr>
                <w:sz w:val="20"/>
              </w:rPr>
              <w:tab/>
            </w:r>
            <w:r>
              <w:rPr>
                <w:spacing w:val="-2"/>
                <w:sz w:val="20"/>
              </w:rPr>
              <w:t>1,257</w:t>
            </w:r>
          </w:p>
        </w:tc>
        <w:tc>
          <w:tcPr>
            <w:tcW w:w="1107" w:type="dxa"/>
            <w:tcBorders>
              <w:right w:val="single" w:sz="4" w:space="0" w:color="000000"/>
            </w:tcBorders>
          </w:tcPr>
          <w:p>
            <w:pPr>
              <w:pStyle w:val="TableParagraph"/>
              <w:spacing w:line="226" w:lineRule="exact" w:before="10"/>
              <w:ind w:right="97"/>
              <w:jc w:val="right"/>
              <w:rPr>
                <w:sz w:val="20"/>
              </w:rPr>
            </w:pPr>
            <w:r>
              <w:rPr>
                <w:w w:val="99"/>
                <w:sz w:val="20"/>
              </w:rPr>
              <w:t>0</w:t>
            </w:r>
          </w:p>
        </w:tc>
        <w:tc>
          <w:tcPr>
            <w:tcW w:w="1559" w:type="dxa"/>
            <w:tcBorders>
              <w:left w:val="single" w:sz="4" w:space="0" w:color="000000"/>
            </w:tcBorders>
          </w:tcPr>
          <w:p>
            <w:pPr>
              <w:pStyle w:val="TableParagraph"/>
              <w:spacing w:line="226" w:lineRule="exact" w:before="10"/>
              <w:ind w:right="292"/>
              <w:jc w:val="right"/>
              <w:rPr>
                <w:sz w:val="20"/>
              </w:rPr>
            </w:pPr>
            <w:r>
              <w:rPr>
                <w:spacing w:val="-2"/>
                <w:sz w:val="20"/>
              </w:rPr>
              <w:t>1,257</w:t>
            </w:r>
          </w:p>
        </w:tc>
        <w:tc>
          <w:tcPr>
            <w:tcW w:w="1057" w:type="dxa"/>
          </w:tcPr>
          <w:p>
            <w:pPr>
              <w:pStyle w:val="TableParagraph"/>
              <w:spacing w:line="226" w:lineRule="exact" w:before="10"/>
              <w:ind w:right="99"/>
              <w:jc w:val="right"/>
              <w:rPr>
                <w:sz w:val="20"/>
              </w:rPr>
            </w:pPr>
            <w:r>
              <w:rPr>
                <w:w w:val="99"/>
                <w:sz w:val="20"/>
              </w:rPr>
              <w:t>0</w:t>
            </w:r>
          </w:p>
        </w:tc>
        <w:tc>
          <w:tcPr>
            <w:tcW w:w="1591" w:type="dxa"/>
          </w:tcPr>
          <w:p>
            <w:pPr>
              <w:pStyle w:val="TableParagraph"/>
              <w:spacing w:line="226" w:lineRule="exact" w:before="10"/>
              <w:ind w:right="167"/>
              <w:jc w:val="right"/>
              <w:rPr>
                <w:sz w:val="20"/>
              </w:rPr>
            </w:pPr>
            <w:r>
              <w:rPr>
                <w:spacing w:val="-5"/>
                <w:sz w:val="20"/>
              </w:rPr>
              <w:t>371</w:t>
            </w:r>
          </w:p>
        </w:tc>
        <w:tc>
          <w:tcPr>
            <w:tcW w:w="1555" w:type="dxa"/>
            <w:tcBorders>
              <w:right w:val="single" w:sz="4" w:space="0" w:color="000000"/>
            </w:tcBorders>
          </w:tcPr>
          <w:p>
            <w:pPr>
              <w:pStyle w:val="TableParagraph"/>
              <w:spacing w:line="226" w:lineRule="exact" w:before="10"/>
              <w:ind w:right="92"/>
              <w:jc w:val="right"/>
              <w:rPr>
                <w:sz w:val="20"/>
              </w:rPr>
            </w:pPr>
            <w:r>
              <w:rPr>
                <w:spacing w:val="-5"/>
                <w:sz w:val="20"/>
              </w:rPr>
              <w:t>886</w:t>
            </w:r>
          </w:p>
        </w:tc>
      </w:tr>
      <w:tr>
        <w:trPr>
          <w:trHeight w:val="254" w:hRule="atLeast"/>
        </w:trPr>
        <w:tc>
          <w:tcPr>
            <w:tcW w:w="4658" w:type="dxa"/>
            <w:tcBorders>
              <w:left w:val="single" w:sz="4" w:space="0" w:color="000000"/>
            </w:tcBorders>
          </w:tcPr>
          <w:p>
            <w:pPr>
              <w:pStyle w:val="TableParagraph"/>
              <w:spacing w:line="226" w:lineRule="exact" w:before="8"/>
              <w:ind w:left="107"/>
              <w:rPr>
                <w:sz w:val="20"/>
              </w:rPr>
            </w:pPr>
            <w:r>
              <w:rPr>
                <w:sz w:val="20"/>
              </w:rPr>
              <w:t>Fixtures,</w:t>
            </w:r>
            <w:r>
              <w:rPr>
                <w:spacing w:val="-7"/>
                <w:sz w:val="20"/>
              </w:rPr>
              <w:t> </w:t>
            </w:r>
            <w:r>
              <w:rPr>
                <w:sz w:val="20"/>
              </w:rPr>
              <w:t>fittings,</w:t>
            </w:r>
            <w:r>
              <w:rPr>
                <w:spacing w:val="-6"/>
                <w:sz w:val="20"/>
              </w:rPr>
              <w:t> </w:t>
            </w:r>
            <w:r>
              <w:rPr>
                <w:sz w:val="20"/>
              </w:rPr>
              <w:t>and</w:t>
            </w:r>
            <w:r>
              <w:rPr>
                <w:spacing w:val="-7"/>
                <w:sz w:val="20"/>
              </w:rPr>
              <w:t> </w:t>
            </w:r>
            <w:r>
              <w:rPr>
                <w:spacing w:val="-2"/>
                <w:sz w:val="20"/>
              </w:rPr>
              <w:t>furniture</w:t>
            </w:r>
          </w:p>
        </w:tc>
        <w:tc>
          <w:tcPr>
            <w:tcW w:w="1276" w:type="dxa"/>
          </w:tcPr>
          <w:p>
            <w:pPr>
              <w:pStyle w:val="TableParagraph"/>
              <w:spacing w:line="226" w:lineRule="exact" w:before="8"/>
              <w:ind w:right="234"/>
              <w:jc w:val="right"/>
              <w:rPr>
                <w:sz w:val="20"/>
              </w:rPr>
            </w:pPr>
            <w:r>
              <w:rPr>
                <w:spacing w:val="-5"/>
                <w:sz w:val="20"/>
              </w:rPr>
              <w:t>809</w:t>
            </w:r>
          </w:p>
        </w:tc>
        <w:tc>
          <w:tcPr>
            <w:tcW w:w="1953" w:type="dxa"/>
          </w:tcPr>
          <w:p>
            <w:pPr>
              <w:pStyle w:val="TableParagraph"/>
              <w:tabs>
                <w:tab w:pos="916" w:val="left" w:leader="none"/>
              </w:tabs>
              <w:spacing w:line="226" w:lineRule="exact" w:before="8"/>
              <w:ind w:right="181"/>
              <w:jc w:val="right"/>
              <w:rPr>
                <w:sz w:val="20"/>
              </w:rPr>
            </w:pPr>
            <w:r>
              <w:rPr>
                <w:spacing w:val="-5"/>
                <w:sz w:val="20"/>
              </w:rPr>
              <w:t>74</w:t>
            </w:r>
            <w:r>
              <w:rPr>
                <w:sz w:val="20"/>
              </w:rPr>
              <w:tab/>
            </w:r>
            <w:r>
              <w:rPr>
                <w:spacing w:val="-5"/>
                <w:sz w:val="20"/>
              </w:rPr>
              <w:t>693</w:t>
            </w:r>
          </w:p>
        </w:tc>
        <w:tc>
          <w:tcPr>
            <w:tcW w:w="1107" w:type="dxa"/>
            <w:tcBorders>
              <w:right w:val="single" w:sz="4" w:space="0" w:color="000000"/>
            </w:tcBorders>
          </w:tcPr>
          <w:p>
            <w:pPr>
              <w:pStyle w:val="TableParagraph"/>
              <w:spacing w:line="226" w:lineRule="exact" w:before="8"/>
              <w:ind w:right="100"/>
              <w:jc w:val="right"/>
              <w:rPr>
                <w:sz w:val="20"/>
              </w:rPr>
            </w:pPr>
            <w:r>
              <w:rPr>
                <w:spacing w:val="-5"/>
                <w:sz w:val="20"/>
              </w:rPr>
              <w:t>43</w:t>
            </w:r>
          </w:p>
        </w:tc>
        <w:tc>
          <w:tcPr>
            <w:tcW w:w="1559" w:type="dxa"/>
            <w:tcBorders>
              <w:left w:val="single" w:sz="4" w:space="0" w:color="000000"/>
            </w:tcBorders>
          </w:tcPr>
          <w:p>
            <w:pPr>
              <w:pStyle w:val="TableParagraph"/>
              <w:spacing w:line="226" w:lineRule="exact" w:before="8"/>
              <w:ind w:right="293"/>
              <w:jc w:val="right"/>
              <w:rPr>
                <w:sz w:val="20"/>
              </w:rPr>
            </w:pPr>
            <w:r>
              <w:rPr>
                <w:spacing w:val="-5"/>
                <w:sz w:val="20"/>
              </w:rPr>
              <w:t>809</w:t>
            </w:r>
          </w:p>
        </w:tc>
        <w:tc>
          <w:tcPr>
            <w:tcW w:w="1057" w:type="dxa"/>
          </w:tcPr>
          <w:p>
            <w:pPr>
              <w:pStyle w:val="TableParagraph"/>
              <w:spacing w:line="226" w:lineRule="exact" w:before="8"/>
              <w:ind w:right="99"/>
              <w:jc w:val="right"/>
              <w:rPr>
                <w:sz w:val="20"/>
              </w:rPr>
            </w:pPr>
            <w:r>
              <w:rPr>
                <w:w w:val="99"/>
                <w:sz w:val="20"/>
              </w:rPr>
              <w:t>0</w:t>
            </w:r>
          </w:p>
        </w:tc>
        <w:tc>
          <w:tcPr>
            <w:tcW w:w="1591" w:type="dxa"/>
          </w:tcPr>
          <w:p>
            <w:pPr>
              <w:pStyle w:val="TableParagraph"/>
              <w:spacing w:line="226" w:lineRule="exact" w:before="8"/>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8"/>
              <w:ind w:right="92"/>
              <w:jc w:val="right"/>
              <w:rPr>
                <w:sz w:val="20"/>
              </w:rPr>
            </w:pPr>
            <w:r>
              <w:rPr>
                <w:spacing w:val="-5"/>
                <w:sz w:val="20"/>
              </w:rPr>
              <w:t>809</w:t>
            </w:r>
          </w:p>
        </w:tc>
      </w:tr>
      <w:tr>
        <w:trPr>
          <w:trHeight w:val="239" w:hRule="atLeast"/>
        </w:trPr>
        <w:tc>
          <w:tcPr>
            <w:tcW w:w="4658" w:type="dxa"/>
            <w:tcBorders>
              <w:left w:val="single" w:sz="4" w:space="0" w:color="000000"/>
            </w:tcBorders>
          </w:tcPr>
          <w:p>
            <w:pPr>
              <w:pStyle w:val="TableParagraph"/>
              <w:spacing w:line="211" w:lineRule="exact" w:before="8"/>
              <w:ind w:left="107"/>
              <w:rPr>
                <w:sz w:val="20"/>
              </w:rPr>
            </w:pPr>
            <w:r>
              <w:rPr>
                <w:sz w:val="20"/>
              </w:rPr>
              <w:t>Computers</w:t>
            </w:r>
            <w:r>
              <w:rPr>
                <w:spacing w:val="-6"/>
                <w:sz w:val="20"/>
              </w:rPr>
              <w:t> </w:t>
            </w:r>
            <w:r>
              <w:rPr>
                <w:sz w:val="20"/>
              </w:rPr>
              <w:t>and</w:t>
            </w:r>
            <w:r>
              <w:rPr>
                <w:spacing w:val="-8"/>
                <w:sz w:val="20"/>
              </w:rPr>
              <w:t> </w:t>
            </w:r>
            <w:r>
              <w:rPr>
                <w:spacing w:val="-2"/>
                <w:sz w:val="20"/>
              </w:rPr>
              <w:t>telecommunications</w:t>
            </w:r>
          </w:p>
        </w:tc>
        <w:tc>
          <w:tcPr>
            <w:tcW w:w="1276" w:type="dxa"/>
            <w:tcBorders>
              <w:bottom w:val="single" w:sz="4" w:space="0" w:color="000000"/>
            </w:tcBorders>
          </w:tcPr>
          <w:p>
            <w:pPr>
              <w:pStyle w:val="TableParagraph"/>
              <w:spacing w:line="211" w:lineRule="exact" w:before="8"/>
              <w:ind w:right="234"/>
              <w:jc w:val="right"/>
              <w:rPr>
                <w:sz w:val="20"/>
              </w:rPr>
            </w:pPr>
            <w:r>
              <w:rPr>
                <w:spacing w:val="-5"/>
                <w:sz w:val="20"/>
              </w:rPr>
              <w:t>326</w:t>
            </w:r>
          </w:p>
        </w:tc>
        <w:tc>
          <w:tcPr>
            <w:tcW w:w="1953" w:type="dxa"/>
            <w:tcBorders>
              <w:bottom w:val="single" w:sz="4" w:space="0" w:color="000000"/>
            </w:tcBorders>
          </w:tcPr>
          <w:p>
            <w:pPr>
              <w:pStyle w:val="TableParagraph"/>
              <w:tabs>
                <w:tab w:pos="916" w:val="left" w:leader="none"/>
              </w:tabs>
              <w:spacing w:line="211" w:lineRule="exact" w:before="8"/>
              <w:ind w:right="181"/>
              <w:jc w:val="right"/>
              <w:rPr>
                <w:sz w:val="20"/>
              </w:rPr>
            </w:pPr>
            <w:r>
              <w:rPr>
                <w:spacing w:val="-5"/>
                <w:sz w:val="20"/>
              </w:rPr>
              <w:t>98</w:t>
            </w:r>
            <w:r>
              <w:rPr>
                <w:sz w:val="20"/>
              </w:rPr>
              <w:tab/>
            </w:r>
            <w:r>
              <w:rPr>
                <w:spacing w:val="-5"/>
                <w:sz w:val="20"/>
              </w:rPr>
              <w:t>163</w:t>
            </w:r>
          </w:p>
        </w:tc>
        <w:tc>
          <w:tcPr>
            <w:tcW w:w="1107" w:type="dxa"/>
            <w:tcBorders>
              <w:bottom w:val="single" w:sz="4" w:space="0" w:color="000000"/>
              <w:right w:val="single" w:sz="4" w:space="0" w:color="000000"/>
            </w:tcBorders>
          </w:tcPr>
          <w:p>
            <w:pPr>
              <w:pStyle w:val="TableParagraph"/>
              <w:spacing w:line="211" w:lineRule="exact" w:before="8"/>
              <w:ind w:right="100"/>
              <w:jc w:val="right"/>
              <w:rPr>
                <w:sz w:val="20"/>
              </w:rPr>
            </w:pPr>
            <w:r>
              <w:rPr>
                <w:spacing w:val="-5"/>
                <w:sz w:val="20"/>
              </w:rPr>
              <w:t>65</w:t>
            </w:r>
          </w:p>
        </w:tc>
        <w:tc>
          <w:tcPr>
            <w:tcW w:w="1559" w:type="dxa"/>
            <w:tcBorders>
              <w:left w:val="single" w:sz="4" w:space="0" w:color="000000"/>
              <w:bottom w:val="single" w:sz="4" w:space="0" w:color="000000"/>
            </w:tcBorders>
          </w:tcPr>
          <w:p>
            <w:pPr>
              <w:pStyle w:val="TableParagraph"/>
              <w:spacing w:line="211" w:lineRule="exact" w:before="8"/>
              <w:ind w:right="293"/>
              <w:jc w:val="right"/>
              <w:rPr>
                <w:sz w:val="20"/>
              </w:rPr>
            </w:pPr>
            <w:r>
              <w:rPr>
                <w:spacing w:val="-5"/>
                <w:sz w:val="20"/>
              </w:rPr>
              <w:t>326</w:t>
            </w:r>
          </w:p>
        </w:tc>
        <w:tc>
          <w:tcPr>
            <w:tcW w:w="1057" w:type="dxa"/>
            <w:tcBorders>
              <w:bottom w:val="single" w:sz="4" w:space="0" w:color="000000"/>
            </w:tcBorders>
          </w:tcPr>
          <w:p>
            <w:pPr>
              <w:pStyle w:val="TableParagraph"/>
              <w:spacing w:line="211" w:lineRule="exact" w:before="8"/>
              <w:ind w:right="99"/>
              <w:jc w:val="right"/>
              <w:rPr>
                <w:sz w:val="20"/>
              </w:rPr>
            </w:pPr>
            <w:r>
              <w:rPr>
                <w:w w:val="99"/>
                <w:sz w:val="20"/>
              </w:rPr>
              <w:t>0</w:t>
            </w:r>
          </w:p>
        </w:tc>
        <w:tc>
          <w:tcPr>
            <w:tcW w:w="1591" w:type="dxa"/>
            <w:tcBorders>
              <w:bottom w:val="single" w:sz="4" w:space="0" w:color="000000"/>
            </w:tcBorders>
          </w:tcPr>
          <w:p>
            <w:pPr>
              <w:pStyle w:val="TableParagraph"/>
              <w:spacing w:line="211" w:lineRule="exact" w:before="8"/>
              <w:ind w:right="164"/>
              <w:jc w:val="right"/>
              <w:rPr>
                <w:sz w:val="20"/>
              </w:rPr>
            </w:pPr>
            <w:r>
              <w:rPr>
                <w:w w:val="99"/>
                <w:sz w:val="20"/>
              </w:rPr>
              <w:t>0</w:t>
            </w:r>
          </w:p>
        </w:tc>
        <w:tc>
          <w:tcPr>
            <w:tcW w:w="1555" w:type="dxa"/>
            <w:tcBorders>
              <w:bottom w:val="single" w:sz="4" w:space="0" w:color="000000"/>
              <w:right w:val="single" w:sz="4" w:space="0" w:color="000000"/>
            </w:tcBorders>
          </w:tcPr>
          <w:p>
            <w:pPr>
              <w:pStyle w:val="TableParagraph"/>
              <w:spacing w:line="211" w:lineRule="exact" w:before="8"/>
              <w:ind w:right="92"/>
              <w:jc w:val="right"/>
              <w:rPr>
                <w:sz w:val="20"/>
              </w:rPr>
            </w:pPr>
            <w:r>
              <w:rPr>
                <w:spacing w:val="-5"/>
                <w:sz w:val="20"/>
              </w:rPr>
              <w:t>326</w:t>
            </w:r>
          </w:p>
        </w:tc>
      </w:tr>
      <w:tr>
        <w:trPr>
          <w:trHeight w:val="253" w:hRule="atLeast"/>
        </w:trPr>
        <w:tc>
          <w:tcPr>
            <w:tcW w:w="4658"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z w:val="20"/>
              </w:rPr>
              <w:t>Plant</w:t>
            </w:r>
            <w:r>
              <w:rPr>
                <w:b/>
                <w:spacing w:val="-6"/>
                <w:sz w:val="20"/>
              </w:rPr>
              <w:t> </w:t>
            </w:r>
            <w:r>
              <w:rPr>
                <w:b/>
                <w:sz w:val="20"/>
              </w:rPr>
              <w:t>and</w:t>
            </w:r>
            <w:r>
              <w:rPr>
                <w:b/>
                <w:spacing w:val="-4"/>
                <w:sz w:val="20"/>
              </w:rPr>
              <w:t> </w:t>
            </w:r>
            <w:r>
              <w:rPr>
                <w:b/>
                <w:spacing w:val="-2"/>
                <w:sz w:val="20"/>
              </w:rPr>
              <w:t>Equipment</w:t>
            </w:r>
          </w:p>
        </w:tc>
        <w:tc>
          <w:tcPr>
            <w:tcW w:w="1276" w:type="dxa"/>
            <w:tcBorders>
              <w:top w:val="single" w:sz="4" w:space="0" w:color="000000"/>
              <w:bottom w:val="single" w:sz="4" w:space="0" w:color="000000"/>
            </w:tcBorders>
          </w:tcPr>
          <w:p>
            <w:pPr>
              <w:pStyle w:val="TableParagraph"/>
              <w:spacing w:line="211" w:lineRule="exact" w:before="23"/>
              <w:ind w:right="233"/>
              <w:jc w:val="right"/>
              <w:rPr>
                <w:b/>
                <w:sz w:val="20"/>
              </w:rPr>
            </w:pPr>
            <w:r>
              <w:rPr>
                <w:b/>
                <w:spacing w:val="-2"/>
                <w:sz w:val="20"/>
              </w:rPr>
              <w:t>2,392</w:t>
            </w:r>
          </w:p>
        </w:tc>
        <w:tc>
          <w:tcPr>
            <w:tcW w:w="1953" w:type="dxa"/>
            <w:tcBorders>
              <w:top w:val="single" w:sz="4" w:space="0" w:color="000000"/>
              <w:bottom w:val="single" w:sz="4" w:space="0" w:color="000000"/>
            </w:tcBorders>
          </w:tcPr>
          <w:p>
            <w:pPr>
              <w:pStyle w:val="TableParagraph"/>
              <w:tabs>
                <w:tab w:pos="859" w:val="left" w:leader="none"/>
              </w:tabs>
              <w:spacing w:line="211" w:lineRule="exact" w:before="23"/>
              <w:ind w:right="180"/>
              <w:jc w:val="right"/>
              <w:rPr>
                <w:b/>
                <w:sz w:val="20"/>
              </w:rPr>
            </w:pPr>
            <w:r>
              <w:rPr>
                <w:b/>
                <w:spacing w:val="-5"/>
                <w:sz w:val="20"/>
              </w:rPr>
              <w:t>171</w:t>
            </w:r>
            <w:r>
              <w:rPr>
                <w:b/>
                <w:sz w:val="20"/>
              </w:rPr>
              <w:tab/>
            </w:r>
            <w:r>
              <w:rPr>
                <w:b/>
                <w:spacing w:val="-2"/>
                <w:sz w:val="20"/>
              </w:rPr>
              <w:t>2,113</w:t>
            </w:r>
          </w:p>
        </w:tc>
        <w:tc>
          <w:tcPr>
            <w:tcW w:w="1107" w:type="dxa"/>
            <w:tcBorders>
              <w:top w:val="single" w:sz="4" w:space="0" w:color="000000"/>
              <w:bottom w:val="single" w:sz="4" w:space="0" w:color="000000"/>
              <w:right w:val="single" w:sz="4" w:space="0" w:color="000000"/>
            </w:tcBorders>
          </w:tcPr>
          <w:p>
            <w:pPr>
              <w:pStyle w:val="TableParagraph"/>
              <w:spacing w:line="211" w:lineRule="exact" w:before="23"/>
              <w:ind w:right="99"/>
              <w:jc w:val="right"/>
              <w:rPr>
                <w:b/>
                <w:sz w:val="20"/>
              </w:rPr>
            </w:pPr>
            <w:r>
              <w:rPr>
                <w:b/>
                <w:spacing w:val="-5"/>
                <w:sz w:val="20"/>
              </w:rPr>
              <w:t>108</w:t>
            </w:r>
          </w:p>
        </w:tc>
        <w:tc>
          <w:tcPr>
            <w:tcW w:w="1559" w:type="dxa"/>
            <w:tcBorders>
              <w:top w:val="single" w:sz="4" w:space="0" w:color="000000"/>
              <w:left w:val="single" w:sz="4" w:space="0" w:color="000000"/>
              <w:bottom w:val="single" w:sz="4" w:space="0" w:color="000000"/>
            </w:tcBorders>
          </w:tcPr>
          <w:p>
            <w:pPr>
              <w:pStyle w:val="TableParagraph"/>
              <w:spacing w:line="211" w:lineRule="exact" w:before="23"/>
              <w:ind w:right="292"/>
              <w:jc w:val="right"/>
              <w:rPr>
                <w:b/>
                <w:sz w:val="20"/>
              </w:rPr>
            </w:pPr>
            <w:r>
              <w:rPr>
                <w:b/>
                <w:spacing w:val="-2"/>
                <w:sz w:val="20"/>
              </w:rPr>
              <w:t>2,392</w:t>
            </w:r>
          </w:p>
        </w:tc>
        <w:tc>
          <w:tcPr>
            <w:tcW w:w="1057" w:type="dxa"/>
            <w:tcBorders>
              <w:top w:val="single" w:sz="4" w:space="0" w:color="000000"/>
              <w:bottom w:val="single" w:sz="4" w:space="0" w:color="000000"/>
            </w:tcBorders>
          </w:tcPr>
          <w:p>
            <w:pPr>
              <w:pStyle w:val="TableParagraph"/>
              <w:spacing w:line="211" w:lineRule="exact" w:before="23"/>
              <w:ind w:right="99"/>
              <w:jc w:val="right"/>
              <w:rPr>
                <w:b/>
                <w:sz w:val="20"/>
              </w:rPr>
            </w:pPr>
            <w:r>
              <w:rPr>
                <w:b/>
                <w:w w:val="99"/>
                <w:sz w:val="20"/>
              </w:rPr>
              <w:t>0</w:t>
            </w:r>
          </w:p>
        </w:tc>
        <w:tc>
          <w:tcPr>
            <w:tcW w:w="1591" w:type="dxa"/>
            <w:tcBorders>
              <w:top w:val="single" w:sz="4" w:space="0" w:color="000000"/>
              <w:bottom w:val="single" w:sz="4" w:space="0" w:color="000000"/>
            </w:tcBorders>
          </w:tcPr>
          <w:p>
            <w:pPr>
              <w:pStyle w:val="TableParagraph"/>
              <w:spacing w:line="211" w:lineRule="exact" w:before="23"/>
              <w:ind w:right="167"/>
              <w:jc w:val="right"/>
              <w:rPr>
                <w:b/>
                <w:sz w:val="20"/>
              </w:rPr>
            </w:pPr>
            <w:r>
              <w:rPr>
                <w:b/>
                <w:spacing w:val="-5"/>
                <w:sz w:val="20"/>
              </w:rPr>
              <w:t>371</w:t>
            </w:r>
          </w:p>
        </w:tc>
        <w:tc>
          <w:tcPr>
            <w:tcW w:w="1555" w:type="dxa"/>
            <w:tcBorders>
              <w:top w:val="single" w:sz="4" w:space="0" w:color="000000"/>
              <w:bottom w:val="single" w:sz="4" w:space="0" w:color="000000"/>
              <w:right w:val="single" w:sz="4" w:space="0" w:color="000000"/>
            </w:tcBorders>
          </w:tcPr>
          <w:p>
            <w:pPr>
              <w:pStyle w:val="TableParagraph"/>
              <w:spacing w:line="211" w:lineRule="exact" w:before="23"/>
              <w:ind w:right="91"/>
              <w:jc w:val="right"/>
              <w:rPr>
                <w:b/>
                <w:sz w:val="20"/>
              </w:rPr>
            </w:pPr>
            <w:r>
              <w:rPr>
                <w:b/>
                <w:spacing w:val="-2"/>
                <w:sz w:val="20"/>
              </w:rPr>
              <w:t>2,021</w:t>
            </w:r>
          </w:p>
        </w:tc>
      </w:tr>
      <w:tr>
        <w:trPr>
          <w:trHeight w:val="525" w:hRule="atLeast"/>
        </w:trPr>
        <w:tc>
          <w:tcPr>
            <w:tcW w:w="4658" w:type="dxa"/>
            <w:tcBorders>
              <w:left w:val="single" w:sz="4" w:space="0" w:color="000000"/>
            </w:tcBorders>
          </w:tcPr>
          <w:p>
            <w:pPr>
              <w:pStyle w:val="TableParagraph"/>
              <w:spacing w:before="4"/>
              <w:rPr>
                <w:b/>
                <w:sz w:val="24"/>
              </w:rPr>
            </w:pPr>
          </w:p>
          <w:p>
            <w:pPr>
              <w:pStyle w:val="TableParagraph"/>
              <w:spacing w:line="226" w:lineRule="exact"/>
              <w:ind w:left="107"/>
              <w:rPr>
                <w:b/>
                <w:sz w:val="20"/>
              </w:rPr>
            </w:pPr>
            <w:r>
              <w:rPr>
                <w:b/>
                <w:spacing w:val="-2"/>
                <w:sz w:val="20"/>
              </w:rPr>
              <w:t>Infrastructure</w:t>
            </w:r>
          </w:p>
        </w:tc>
        <w:tc>
          <w:tcPr>
            <w:tcW w:w="1276" w:type="dxa"/>
            <w:tcBorders>
              <w:top w:val="single" w:sz="4" w:space="0" w:color="000000"/>
            </w:tcBorders>
          </w:tcPr>
          <w:p>
            <w:pPr>
              <w:pStyle w:val="TableParagraph"/>
              <w:rPr>
                <w:rFonts w:ascii="Times New Roman"/>
                <w:sz w:val="18"/>
              </w:rPr>
            </w:pPr>
          </w:p>
        </w:tc>
        <w:tc>
          <w:tcPr>
            <w:tcW w:w="1953" w:type="dxa"/>
            <w:tcBorders>
              <w:top w:val="single" w:sz="4" w:space="0" w:color="000000"/>
            </w:tcBorders>
          </w:tcPr>
          <w:p>
            <w:pPr>
              <w:pStyle w:val="TableParagraph"/>
              <w:rPr>
                <w:rFonts w:ascii="Times New Roman"/>
                <w:sz w:val="18"/>
              </w:rPr>
            </w:pPr>
          </w:p>
        </w:tc>
        <w:tc>
          <w:tcPr>
            <w:tcW w:w="1107" w:type="dxa"/>
            <w:tcBorders>
              <w:top w:val="single" w:sz="4" w:space="0" w:color="000000"/>
              <w:right w:val="single" w:sz="4" w:space="0" w:color="000000"/>
            </w:tcBorders>
          </w:tcPr>
          <w:p>
            <w:pPr>
              <w:pStyle w:val="TableParagraph"/>
              <w:rPr>
                <w:rFonts w:ascii="Times New Roman"/>
                <w:sz w:val="18"/>
              </w:rPr>
            </w:pPr>
          </w:p>
        </w:tc>
        <w:tc>
          <w:tcPr>
            <w:tcW w:w="1559" w:type="dxa"/>
            <w:tcBorders>
              <w:top w:val="single" w:sz="4" w:space="0" w:color="000000"/>
              <w:left w:val="single" w:sz="4" w:space="0" w:color="000000"/>
            </w:tcBorders>
          </w:tcPr>
          <w:p>
            <w:pPr>
              <w:pStyle w:val="TableParagraph"/>
              <w:rPr>
                <w:rFonts w:ascii="Times New Roman"/>
                <w:sz w:val="18"/>
              </w:rPr>
            </w:pPr>
          </w:p>
        </w:tc>
        <w:tc>
          <w:tcPr>
            <w:tcW w:w="1057" w:type="dxa"/>
            <w:tcBorders>
              <w:top w:val="single" w:sz="4" w:space="0" w:color="000000"/>
            </w:tcBorders>
          </w:tcPr>
          <w:p>
            <w:pPr>
              <w:pStyle w:val="TableParagraph"/>
              <w:rPr>
                <w:rFonts w:ascii="Times New Roman"/>
                <w:sz w:val="18"/>
              </w:rPr>
            </w:pPr>
          </w:p>
        </w:tc>
        <w:tc>
          <w:tcPr>
            <w:tcW w:w="1591" w:type="dxa"/>
            <w:tcBorders>
              <w:top w:val="single" w:sz="4" w:space="0" w:color="000000"/>
            </w:tcBorders>
          </w:tcPr>
          <w:p>
            <w:pPr>
              <w:pStyle w:val="TableParagraph"/>
              <w:rPr>
                <w:rFonts w:ascii="Times New Roman"/>
                <w:sz w:val="18"/>
              </w:rPr>
            </w:pPr>
          </w:p>
        </w:tc>
        <w:tc>
          <w:tcPr>
            <w:tcW w:w="1555"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658" w:type="dxa"/>
            <w:tcBorders>
              <w:left w:val="single" w:sz="4" w:space="0" w:color="000000"/>
            </w:tcBorders>
          </w:tcPr>
          <w:p>
            <w:pPr>
              <w:pStyle w:val="TableParagraph"/>
              <w:spacing w:line="227" w:lineRule="exact" w:before="8"/>
              <w:ind w:left="107"/>
              <w:rPr>
                <w:sz w:val="20"/>
              </w:rPr>
            </w:pPr>
            <w:r>
              <w:rPr>
                <w:spacing w:val="-2"/>
                <w:sz w:val="20"/>
              </w:rPr>
              <w:t>Roads</w:t>
            </w:r>
          </w:p>
        </w:tc>
        <w:tc>
          <w:tcPr>
            <w:tcW w:w="1276" w:type="dxa"/>
          </w:tcPr>
          <w:p>
            <w:pPr>
              <w:pStyle w:val="TableParagraph"/>
              <w:spacing w:line="227" w:lineRule="exact" w:before="8"/>
              <w:ind w:right="234"/>
              <w:jc w:val="right"/>
              <w:rPr>
                <w:sz w:val="20"/>
              </w:rPr>
            </w:pPr>
            <w:r>
              <w:rPr>
                <w:spacing w:val="-2"/>
                <w:sz w:val="20"/>
              </w:rPr>
              <w:t>4,426</w:t>
            </w:r>
          </w:p>
        </w:tc>
        <w:tc>
          <w:tcPr>
            <w:tcW w:w="1953" w:type="dxa"/>
          </w:tcPr>
          <w:p>
            <w:pPr>
              <w:pStyle w:val="TableParagraph"/>
              <w:tabs>
                <w:tab w:pos="635" w:val="left" w:leader="none"/>
              </w:tabs>
              <w:spacing w:line="227" w:lineRule="exact" w:before="8"/>
              <w:ind w:right="180"/>
              <w:jc w:val="right"/>
              <w:rPr>
                <w:sz w:val="20"/>
              </w:rPr>
            </w:pPr>
            <w:r>
              <w:rPr>
                <w:spacing w:val="-10"/>
                <w:sz w:val="20"/>
              </w:rPr>
              <w:t>0</w:t>
            </w:r>
            <w:r>
              <w:rPr>
                <w:sz w:val="20"/>
              </w:rPr>
              <w:tab/>
            </w:r>
            <w:r>
              <w:rPr>
                <w:spacing w:val="-2"/>
                <w:sz w:val="20"/>
              </w:rPr>
              <w:t>4,199</w:t>
            </w:r>
          </w:p>
        </w:tc>
        <w:tc>
          <w:tcPr>
            <w:tcW w:w="1107" w:type="dxa"/>
            <w:tcBorders>
              <w:right w:val="single" w:sz="4" w:space="0" w:color="000000"/>
            </w:tcBorders>
          </w:tcPr>
          <w:p>
            <w:pPr>
              <w:pStyle w:val="TableParagraph"/>
              <w:spacing w:line="227" w:lineRule="exact" w:before="8"/>
              <w:ind w:right="99"/>
              <w:jc w:val="right"/>
              <w:rPr>
                <w:sz w:val="20"/>
              </w:rPr>
            </w:pPr>
            <w:r>
              <w:rPr>
                <w:spacing w:val="-5"/>
                <w:sz w:val="20"/>
              </w:rPr>
              <w:t>227</w:t>
            </w:r>
          </w:p>
        </w:tc>
        <w:tc>
          <w:tcPr>
            <w:tcW w:w="1559" w:type="dxa"/>
            <w:tcBorders>
              <w:left w:val="single" w:sz="4" w:space="0" w:color="000000"/>
            </w:tcBorders>
          </w:tcPr>
          <w:p>
            <w:pPr>
              <w:pStyle w:val="TableParagraph"/>
              <w:spacing w:line="227" w:lineRule="exact" w:before="8"/>
              <w:ind w:right="292"/>
              <w:jc w:val="right"/>
              <w:rPr>
                <w:sz w:val="20"/>
              </w:rPr>
            </w:pPr>
            <w:r>
              <w:rPr>
                <w:spacing w:val="-2"/>
                <w:sz w:val="20"/>
              </w:rPr>
              <w:t>4,426</w:t>
            </w:r>
          </w:p>
        </w:tc>
        <w:tc>
          <w:tcPr>
            <w:tcW w:w="1057" w:type="dxa"/>
          </w:tcPr>
          <w:p>
            <w:pPr>
              <w:pStyle w:val="TableParagraph"/>
              <w:spacing w:line="227" w:lineRule="exact" w:before="8"/>
              <w:ind w:right="102"/>
              <w:jc w:val="right"/>
              <w:rPr>
                <w:sz w:val="20"/>
              </w:rPr>
            </w:pPr>
            <w:r>
              <w:rPr>
                <w:spacing w:val="-5"/>
                <w:sz w:val="20"/>
              </w:rPr>
              <w:t>508</w:t>
            </w:r>
          </w:p>
        </w:tc>
        <w:tc>
          <w:tcPr>
            <w:tcW w:w="1591" w:type="dxa"/>
          </w:tcPr>
          <w:p>
            <w:pPr>
              <w:pStyle w:val="TableParagraph"/>
              <w:spacing w:line="227" w:lineRule="exact" w:before="8"/>
              <w:ind w:right="164"/>
              <w:jc w:val="right"/>
              <w:rPr>
                <w:sz w:val="20"/>
              </w:rPr>
            </w:pPr>
            <w:r>
              <w:rPr>
                <w:w w:val="99"/>
                <w:sz w:val="20"/>
              </w:rPr>
              <w:t>0</w:t>
            </w:r>
          </w:p>
        </w:tc>
        <w:tc>
          <w:tcPr>
            <w:tcW w:w="1555" w:type="dxa"/>
            <w:tcBorders>
              <w:right w:val="single" w:sz="4" w:space="0" w:color="000000"/>
            </w:tcBorders>
          </w:tcPr>
          <w:p>
            <w:pPr>
              <w:pStyle w:val="TableParagraph"/>
              <w:spacing w:line="227" w:lineRule="exact" w:before="8"/>
              <w:ind w:right="91"/>
              <w:jc w:val="right"/>
              <w:rPr>
                <w:sz w:val="20"/>
              </w:rPr>
            </w:pPr>
            <w:r>
              <w:rPr>
                <w:spacing w:val="-2"/>
                <w:sz w:val="20"/>
              </w:rPr>
              <w:t>3,918</w:t>
            </w:r>
          </w:p>
        </w:tc>
      </w:tr>
      <w:tr>
        <w:trPr>
          <w:trHeight w:val="255" w:hRule="atLeast"/>
        </w:trPr>
        <w:tc>
          <w:tcPr>
            <w:tcW w:w="4658" w:type="dxa"/>
            <w:tcBorders>
              <w:left w:val="single" w:sz="4" w:space="0" w:color="000000"/>
            </w:tcBorders>
          </w:tcPr>
          <w:p>
            <w:pPr>
              <w:pStyle w:val="TableParagraph"/>
              <w:spacing w:line="226" w:lineRule="exact" w:before="10"/>
              <w:ind w:left="107"/>
              <w:rPr>
                <w:sz w:val="20"/>
              </w:rPr>
            </w:pPr>
            <w:r>
              <w:rPr>
                <w:sz w:val="20"/>
              </w:rPr>
              <w:t>Footpaths</w:t>
            </w:r>
            <w:r>
              <w:rPr>
                <w:spacing w:val="-7"/>
                <w:sz w:val="20"/>
              </w:rPr>
              <w:t> </w:t>
            </w:r>
            <w:r>
              <w:rPr>
                <w:sz w:val="20"/>
              </w:rPr>
              <w:t>and</w:t>
            </w:r>
            <w:r>
              <w:rPr>
                <w:spacing w:val="-9"/>
                <w:sz w:val="20"/>
              </w:rPr>
              <w:t> </w:t>
            </w:r>
            <w:r>
              <w:rPr>
                <w:spacing w:val="-2"/>
                <w:sz w:val="20"/>
              </w:rPr>
              <w:t>cycleways</w:t>
            </w:r>
          </w:p>
        </w:tc>
        <w:tc>
          <w:tcPr>
            <w:tcW w:w="1276" w:type="dxa"/>
          </w:tcPr>
          <w:p>
            <w:pPr>
              <w:pStyle w:val="TableParagraph"/>
              <w:spacing w:line="226" w:lineRule="exact" w:before="10"/>
              <w:ind w:right="234"/>
              <w:jc w:val="right"/>
              <w:rPr>
                <w:sz w:val="20"/>
              </w:rPr>
            </w:pPr>
            <w:r>
              <w:rPr>
                <w:spacing w:val="-2"/>
                <w:sz w:val="20"/>
              </w:rPr>
              <w:t>3,387</w:t>
            </w:r>
          </w:p>
        </w:tc>
        <w:tc>
          <w:tcPr>
            <w:tcW w:w="1953" w:type="dxa"/>
          </w:tcPr>
          <w:p>
            <w:pPr>
              <w:pStyle w:val="TableParagraph"/>
              <w:tabs>
                <w:tab w:pos="1027" w:val="left" w:leader="none"/>
              </w:tabs>
              <w:spacing w:line="226" w:lineRule="exact" w:before="10"/>
              <w:ind w:right="180"/>
              <w:jc w:val="right"/>
              <w:rPr>
                <w:sz w:val="20"/>
              </w:rPr>
            </w:pPr>
            <w:r>
              <w:rPr>
                <w:spacing w:val="-2"/>
                <w:sz w:val="20"/>
              </w:rPr>
              <w:t>1,502</w:t>
            </w:r>
            <w:r>
              <w:rPr>
                <w:sz w:val="20"/>
              </w:rPr>
              <w:tab/>
            </w:r>
            <w:r>
              <w:rPr>
                <w:spacing w:val="-4"/>
                <w:sz w:val="20"/>
              </w:rPr>
              <w:t>1,675</w:t>
            </w:r>
          </w:p>
        </w:tc>
        <w:tc>
          <w:tcPr>
            <w:tcW w:w="1107" w:type="dxa"/>
            <w:tcBorders>
              <w:right w:val="single" w:sz="4" w:space="0" w:color="000000"/>
            </w:tcBorders>
          </w:tcPr>
          <w:p>
            <w:pPr>
              <w:pStyle w:val="TableParagraph"/>
              <w:spacing w:line="226" w:lineRule="exact" w:before="10"/>
              <w:ind w:right="99"/>
              <w:jc w:val="right"/>
              <w:rPr>
                <w:sz w:val="20"/>
              </w:rPr>
            </w:pPr>
            <w:r>
              <w:rPr>
                <w:spacing w:val="-5"/>
                <w:sz w:val="20"/>
              </w:rPr>
              <w:t>210</w:t>
            </w:r>
          </w:p>
        </w:tc>
        <w:tc>
          <w:tcPr>
            <w:tcW w:w="1559" w:type="dxa"/>
            <w:tcBorders>
              <w:left w:val="single" w:sz="4" w:space="0" w:color="000000"/>
            </w:tcBorders>
          </w:tcPr>
          <w:p>
            <w:pPr>
              <w:pStyle w:val="TableParagraph"/>
              <w:spacing w:line="226" w:lineRule="exact" w:before="10"/>
              <w:ind w:right="292"/>
              <w:jc w:val="right"/>
              <w:rPr>
                <w:sz w:val="20"/>
              </w:rPr>
            </w:pPr>
            <w:r>
              <w:rPr>
                <w:spacing w:val="-2"/>
                <w:sz w:val="20"/>
              </w:rPr>
              <w:t>3,387</w:t>
            </w:r>
          </w:p>
        </w:tc>
        <w:tc>
          <w:tcPr>
            <w:tcW w:w="1057" w:type="dxa"/>
          </w:tcPr>
          <w:p>
            <w:pPr>
              <w:pStyle w:val="TableParagraph"/>
              <w:spacing w:line="226" w:lineRule="exact" w:before="10"/>
              <w:ind w:right="99"/>
              <w:jc w:val="right"/>
              <w:rPr>
                <w:sz w:val="20"/>
              </w:rPr>
            </w:pPr>
            <w:r>
              <w:rPr>
                <w:w w:val="99"/>
                <w:sz w:val="20"/>
              </w:rPr>
              <w:t>0</w:t>
            </w:r>
          </w:p>
        </w:tc>
        <w:tc>
          <w:tcPr>
            <w:tcW w:w="1591" w:type="dxa"/>
          </w:tcPr>
          <w:p>
            <w:pPr>
              <w:pStyle w:val="TableParagraph"/>
              <w:spacing w:line="226" w:lineRule="exact" w:before="10"/>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10"/>
              <w:ind w:right="91"/>
              <w:jc w:val="right"/>
              <w:rPr>
                <w:sz w:val="20"/>
              </w:rPr>
            </w:pPr>
            <w:r>
              <w:rPr>
                <w:spacing w:val="-2"/>
                <w:sz w:val="20"/>
              </w:rPr>
              <w:t>3,387</w:t>
            </w:r>
          </w:p>
        </w:tc>
      </w:tr>
      <w:tr>
        <w:trPr>
          <w:trHeight w:val="254" w:hRule="atLeast"/>
        </w:trPr>
        <w:tc>
          <w:tcPr>
            <w:tcW w:w="4658" w:type="dxa"/>
            <w:tcBorders>
              <w:left w:val="single" w:sz="4" w:space="0" w:color="000000"/>
            </w:tcBorders>
          </w:tcPr>
          <w:p>
            <w:pPr>
              <w:pStyle w:val="TableParagraph"/>
              <w:spacing w:line="226" w:lineRule="exact" w:before="8"/>
              <w:ind w:left="107"/>
              <w:rPr>
                <w:sz w:val="20"/>
              </w:rPr>
            </w:pPr>
            <w:r>
              <w:rPr>
                <w:spacing w:val="-2"/>
                <w:sz w:val="20"/>
              </w:rPr>
              <w:t>Drainage</w:t>
            </w:r>
          </w:p>
        </w:tc>
        <w:tc>
          <w:tcPr>
            <w:tcW w:w="1276" w:type="dxa"/>
          </w:tcPr>
          <w:p>
            <w:pPr>
              <w:pStyle w:val="TableParagraph"/>
              <w:spacing w:line="226" w:lineRule="exact" w:before="8"/>
              <w:ind w:right="233"/>
              <w:jc w:val="right"/>
              <w:rPr>
                <w:sz w:val="20"/>
              </w:rPr>
            </w:pPr>
            <w:r>
              <w:rPr>
                <w:spacing w:val="-2"/>
                <w:sz w:val="20"/>
              </w:rPr>
              <w:t>4,430</w:t>
            </w:r>
          </w:p>
        </w:tc>
        <w:tc>
          <w:tcPr>
            <w:tcW w:w="1953" w:type="dxa"/>
          </w:tcPr>
          <w:p>
            <w:pPr>
              <w:pStyle w:val="TableParagraph"/>
              <w:tabs>
                <w:tab w:pos="635" w:val="left" w:leader="none"/>
              </w:tabs>
              <w:spacing w:line="226" w:lineRule="exact" w:before="8"/>
              <w:ind w:right="180"/>
              <w:jc w:val="right"/>
              <w:rPr>
                <w:sz w:val="20"/>
              </w:rPr>
            </w:pPr>
            <w:r>
              <w:rPr>
                <w:spacing w:val="-10"/>
                <w:sz w:val="20"/>
              </w:rPr>
              <w:t>0</w:t>
            </w:r>
            <w:r>
              <w:rPr>
                <w:sz w:val="20"/>
              </w:rPr>
              <w:tab/>
            </w:r>
            <w:r>
              <w:rPr>
                <w:spacing w:val="-2"/>
                <w:sz w:val="20"/>
              </w:rPr>
              <w:t>3,714</w:t>
            </w:r>
          </w:p>
        </w:tc>
        <w:tc>
          <w:tcPr>
            <w:tcW w:w="1107" w:type="dxa"/>
            <w:tcBorders>
              <w:right w:val="single" w:sz="4" w:space="0" w:color="000000"/>
            </w:tcBorders>
          </w:tcPr>
          <w:p>
            <w:pPr>
              <w:pStyle w:val="TableParagraph"/>
              <w:spacing w:line="226" w:lineRule="exact" w:before="8"/>
              <w:ind w:right="99"/>
              <w:jc w:val="right"/>
              <w:rPr>
                <w:sz w:val="20"/>
              </w:rPr>
            </w:pPr>
            <w:r>
              <w:rPr>
                <w:spacing w:val="-5"/>
                <w:sz w:val="20"/>
              </w:rPr>
              <w:t>716</w:t>
            </w:r>
          </w:p>
        </w:tc>
        <w:tc>
          <w:tcPr>
            <w:tcW w:w="1559" w:type="dxa"/>
            <w:tcBorders>
              <w:left w:val="single" w:sz="4" w:space="0" w:color="000000"/>
            </w:tcBorders>
          </w:tcPr>
          <w:p>
            <w:pPr>
              <w:pStyle w:val="TableParagraph"/>
              <w:spacing w:line="226" w:lineRule="exact" w:before="8"/>
              <w:ind w:right="292"/>
              <w:jc w:val="right"/>
              <w:rPr>
                <w:sz w:val="20"/>
              </w:rPr>
            </w:pPr>
            <w:r>
              <w:rPr>
                <w:spacing w:val="-2"/>
                <w:sz w:val="20"/>
              </w:rPr>
              <w:t>4,430</w:t>
            </w:r>
          </w:p>
        </w:tc>
        <w:tc>
          <w:tcPr>
            <w:tcW w:w="1057" w:type="dxa"/>
          </w:tcPr>
          <w:p>
            <w:pPr>
              <w:pStyle w:val="TableParagraph"/>
              <w:spacing w:line="226" w:lineRule="exact" w:before="8"/>
              <w:ind w:right="99"/>
              <w:jc w:val="right"/>
              <w:rPr>
                <w:sz w:val="20"/>
              </w:rPr>
            </w:pPr>
            <w:r>
              <w:rPr>
                <w:w w:val="99"/>
                <w:sz w:val="20"/>
              </w:rPr>
              <w:t>0</w:t>
            </w:r>
          </w:p>
        </w:tc>
        <w:tc>
          <w:tcPr>
            <w:tcW w:w="1591" w:type="dxa"/>
          </w:tcPr>
          <w:p>
            <w:pPr>
              <w:pStyle w:val="TableParagraph"/>
              <w:spacing w:line="226" w:lineRule="exact" w:before="8"/>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8"/>
              <w:ind w:right="91"/>
              <w:jc w:val="right"/>
              <w:rPr>
                <w:sz w:val="20"/>
              </w:rPr>
            </w:pPr>
            <w:r>
              <w:rPr>
                <w:spacing w:val="-2"/>
                <w:sz w:val="20"/>
              </w:rPr>
              <w:t>4,430</w:t>
            </w:r>
          </w:p>
        </w:tc>
      </w:tr>
      <w:tr>
        <w:trPr>
          <w:trHeight w:val="254" w:hRule="atLeast"/>
        </w:trPr>
        <w:tc>
          <w:tcPr>
            <w:tcW w:w="4658" w:type="dxa"/>
            <w:tcBorders>
              <w:left w:val="single" w:sz="4" w:space="0" w:color="000000"/>
            </w:tcBorders>
          </w:tcPr>
          <w:p>
            <w:pPr>
              <w:pStyle w:val="TableParagraph"/>
              <w:spacing w:line="226" w:lineRule="exact" w:before="8"/>
              <w:ind w:left="107"/>
              <w:rPr>
                <w:sz w:val="20"/>
              </w:rPr>
            </w:pPr>
            <w:r>
              <w:rPr>
                <w:sz w:val="20"/>
              </w:rPr>
              <w:t>Recreational,</w:t>
            </w:r>
            <w:r>
              <w:rPr>
                <w:spacing w:val="-7"/>
                <w:sz w:val="20"/>
              </w:rPr>
              <w:t> </w:t>
            </w:r>
            <w:r>
              <w:rPr>
                <w:sz w:val="20"/>
              </w:rPr>
              <w:t>leisure</w:t>
            </w:r>
            <w:r>
              <w:rPr>
                <w:spacing w:val="-9"/>
                <w:sz w:val="20"/>
              </w:rPr>
              <w:t> </w:t>
            </w:r>
            <w:r>
              <w:rPr>
                <w:sz w:val="20"/>
              </w:rPr>
              <w:t>and</w:t>
            </w:r>
            <w:r>
              <w:rPr>
                <w:spacing w:val="-9"/>
                <w:sz w:val="20"/>
              </w:rPr>
              <w:t> </w:t>
            </w:r>
            <w:r>
              <w:rPr>
                <w:sz w:val="20"/>
              </w:rPr>
              <w:t>community</w:t>
            </w:r>
            <w:r>
              <w:rPr>
                <w:spacing w:val="-8"/>
                <w:sz w:val="20"/>
              </w:rPr>
              <w:t> </w:t>
            </w:r>
            <w:r>
              <w:rPr>
                <w:spacing w:val="-2"/>
                <w:sz w:val="20"/>
              </w:rPr>
              <w:t>facilities</w:t>
            </w:r>
          </w:p>
        </w:tc>
        <w:tc>
          <w:tcPr>
            <w:tcW w:w="1276" w:type="dxa"/>
          </w:tcPr>
          <w:p>
            <w:pPr>
              <w:pStyle w:val="TableParagraph"/>
              <w:spacing w:line="226" w:lineRule="exact" w:before="8"/>
              <w:ind w:right="233"/>
              <w:jc w:val="right"/>
              <w:rPr>
                <w:sz w:val="20"/>
              </w:rPr>
            </w:pPr>
            <w:r>
              <w:rPr>
                <w:spacing w:val="-2"/>
                <w:sz w:val="20"/>
              </w:rPr>
              <w:t>1,971</w:t>
            </w:r>
          </w:p>
        </w:tc>
        <w:tc>
          <w:tcPr>
            <w:tcW w:w="1953" w:type="dxa"/>
          </w:tcPr>
          <w:p>
            <w:pPr>
              <w:pStyle w:val="TableParagraph"/>
              <w:tabs>
                <w:tab w:pos="635" w:val="left" w:leader="none"/>
              </w:tabs>
              <w:spacing w:line="226" w:lineRule="exact" w:before="8"/>
              <w:ind w:right="180"/>
              <w:jc w:val="right"/>
              <w:rPr>
                <w:sz w:val="20"/>
              </w:rPr>
            </w:pPr>
            <w:r>
              <w:rPr>
                <w:spacing w:val="-10"/>
                <w:sz w:val="20"/>
              </w:rPr>
              <w:t>0</w:t>
            </w:r>
            <w:r>
              <w:rPr>
                <w:sz w:val="20"/>
              </w:rPr>
              <w:tab/>
            </w:r>
            <w:r>
              <w:rPr>
                <w:spacing w:val="-2"/>
                <w:sz w:val="20"/>
              </w:rPr>
              <w:t>1,697</w:t>
            </w:r>
          </w:p>
        </w:tc>
        <w:tc>
          <w:tcPr>
            <w:tcW w:w="1107" w:type="dxa"/>
            <w:tcBorders>
              <w:right w:val="single" w:sz="4" w:space="0" w:color="000000"/>
            </w:tcBorders>
          </w:tcPr>
          <w:p>
            <w:pPr>
              <w:pStyle w:val="TableParagraph"/>
              <w:spacing w:line="226" w:lineRule="exact" w:before="8"/>
              <w:ind w:right="99"/>
              <w:jc w:val="right"/>
              <w:rPr>
                <w:sz w:val="20"/>
              </w:rPr>
            </w:pPr>
            <w:r>
              <w:rPr>
                <w:spacing w:val="-5"/>
                <w:sz w:val="20"/>
              </w:rPr>
              <w:t>274</w:t>
            </w:r>
          </w:p>
        </w:tc>
        <w:tc>
          <w:tcPr>
            <w:tcW w:w="1559" w:type="dxa"/>
            <w:tcBorders>
              <w:left w:val="single" w:sz="4" w:space="0" w:color="000000"/>
            </w:tcBorders>
          </w:tcPr>
          <w:p>
            <w:pPr>
              <w:pStyle w:val="TableParagraph"/>
              <w:spacing w:line="226" w:lineRule="exact" w:before="8"/>
              <w:ind w:right="292"/>
              <w:jc w:val="right"/>
              <w:rPr>
                <w:sz w:val="20"/>
              </w:rPr>
            </w:pPr>
            <w:r>
              <w:rPr>
                <w:spacing w:val="-2"/>
                <w:sz w:val="20"/>
              </w:rPr>
              <w:t>1,971</w:t>
            </w:r>
          </w:p>
        </w:tc>
        <w:tc>
          <w:tcPr>
            <w:tcW w:w="1057" w:type="dxa"/>
          </w:tcPr>
          <w:p>
            <w:pPr>
              <w:pStyle w:val="TableParagraph"/>
              <w:spacing w:line="226" w:lineRule="exact" w:before="8"/>
              <w:ind w:right="99"/>
              <w:jc w:val="right"/>
              <w:rPr>
                <w:sz w:val="20"/>
              </w:rPr>
            </w:pPr>
            <w:r>
              <w:rPr>
                <w:w w:val="99"/>
                <w:sz w:val="20"/>
              </w:rPr>
              <w:t>0</w:t>
            </w:r>
          </w:p>
        </w:tc>
        <w:tc>
          <w:tcPr>
            <w:tcW w:w="1591" w:type="dxa"/>
          </w:tcPr>
          <w:p>
            <w:pPr>
              <w:pStyle w:val="TableParagraph"/>
              <w:spacing w:line="226" w:lineRule="exact" w:before="8"/>
              <w:ind w:right="167"/>
              <w:jc w:val="right"/>
              <w:rPr>
                <w:sz w:val="20"/>
              </w:rPr>
            </w:pPr>
            <w:r>
              <w:rPr>
                <w:spacing w:val="-5"/>
                <w:sz w:val="20"/>
              </w:rPr>
              <w:t>36</w:t>
            </w:r>
          </w:p>
        </w:tc>
        <w:tc>
          <w:tcPr>
            <w:tcW w:w="1555" w:type="dxa"/>
            <w:tcBorders>
              <w:right w:val="single" w:sz="4" w:space="0" w:color="000000"/>
            </w:tcBorders>
          </w:tcPr>
          <w:p>
            <w:pPr>
              <w:pStyle w:val="TableParagraph"/>
              <w:spacing w:line="226" w:lineRule="exact" w:before="8"/>
              <w:ind w:right="91"/>
              <w:jc w:val="right"/>
              <w:rPr>
                <w:sz w:val="20"/>
              </w:rPr>
            </w:pPr>
            <w:r>
              <w:rPr>
                <w:spacing w:val="-2"/>
                <w:sz w:val="20"/>
              </w:rPr>
              <w:t>1,935</w:t>
            </w:r>
          </w:p>
        </w:tc>
      </w:tr>
      <w:tr>
        <w:trPr>
          <w:trHeight w:val="255" w:hRule="atLeast"/>
        </w:trPr>
        <w:tc>
          <w:tcPr>
            <w:tcW w:w="4658" w:type="dxa"/>
            <w:tcBorders>
              <w:left w:val="single" w:sz="4" w:space="0" w:color="000000"/>
            </w:tcBorders>
          </w:tcPr>
          <w:p>
            <w:pPr>
              <w:pStyle w:val="TableParagraph"/>
              <w:spacing w:line="227" w:lineRule="exact" w:before="8"/>
              <w:ind w:left="107"/>
              <w:rPr>
                <w:sz w:val="20"/>
              </w:rPr>
            </w:pPr>
            <w:r>
              <w:rPr>
                <w:sz w:val="20"/>
              </w:rPr>
              <w:t>Waste</w:t>
            </w:r>
            <w:r>
              <w:rPr>
                <w:spacing w:val="-6"/>
                <w:sz w:val="20"/>
              </w:rPr>
              <w:t> </w:t>
            </w:r>
            <w:r>
              <w:rPr>
                <w:spacing w:val="-2"/>
                <w:sz w:val="20"/>
              </w:rPr>
              <w:t>management</w:t>
            </w:r>
          </w:p>
        </w:tc>
        <w:tc>
          <w:tcPr>
            <w:tcW w:w="1276" w:type="dxa"/>
          </w:tcPr>
          <w:p>
            <w:pPr>
              <w:pStyle w:val="TableParagraph"/>
              <w:spacing w:line="227" w:lineRule="exact" w:before="8"/>
              <w:ind w:right="234"/>
              <w:jc w:val="right"/>
              <w:rPr>
                <w:sz w:val="20"/>
              </w:rPr>
            </w:pPr>
            <w:r>
              <w:rPr>
                <w:spacing w:val="-5"/>
                <w:sz w:val="20"/>
              </w:rPr>
              <w:t>50</w:t>
            </w:r>
          </w:p>
        </w:tc>
        <w:tc>
          <w:tcPr>
            <w:tcW w:w="1953" w:type="dxa"/>
          </w:tcPr>
          <w:p>
            <w:pPr>
              <w:pStyle w:val="TableParagraph"/>
              <w:tabs>
                <w:tab w:pos="1027" w:val="left" w:leader="none"/>
              </w:tabs>
              <w:spacing w:line="227" w:lineRule="exact" w:before="8"/>
              <w:ind w:right="178"/>
              <w:jc w:val="right"/>
              <w:rPr>
                <w:sz w:val="20"/>
              </w:rPr>
            </w:pPr>
            <w:r>
              <w:rPr>
                <w:spacing w:val="-10"/>
                <w:sz w:val="20"/>
              </w:rPr>
              <w:t>0</w:t>
            </w:r>
            <w:r>
              <w:rPr>
                <w:sz w:val="20"/>
              </w:rPr>
              <w:tab/>
            </w:r>
            <w:r>
              <w:rPr>
                <w:spacing w:val="-10"/>
                <w:sz w:val="20"/>
              </w:rPr>
              <w:t>0</w:t>
            </w:r>
          </w:p>
        </w:tc>
        <w:tc>
          <w:tcPr>
            <w:tcW w:w="1107" w:type="dxa"/>
            <w:tcBorders>
              <w:right w:val="single" w:sz="4" w:space="0" w:color="000000"/>
            </w:tcBorders>
          </w:tcPr>
          <w:p>
            <w:pPr>
              <w:pStyle w:val="TableParagraph"/>
              <w:spacing w:line="227" w:lineRule="exact" w:before="8"/>
              <w:ind w:right="100"/>
              <w:jc w:val="right"/>
              <w:rPr>
                <w:sz w:val="20"/>
              </w:rPr>
            </w:pPr>
            <w:r>
              <w:rPr>
                <w:spacing w:val="-5"/>
                <w:sz w:val="20"/>
              </w:rPr>
              <w:t>50</w:t>
            </w:r>
          </w:p>
        </w:tc>
        <w:tc>
          <w:tcPr>
            <w:tcW w:w="1559" w:type="dxa"/>
            <w:tcBorders>
              <w:left w:val="single" w:sz="4" w:space="0" w:color="000000"/>
            </w:tcBorders>
          </w:tcPr>
          <w:p>
            <w:pPr>
              <w:pStyle w:val="TableParagraph"/>
              <w:spacing w:line="227" w:lineRule="exact" w:before="8"/>
              <w:ind w:right="293"/>
              <w:jc w:val="right"/>
              <w:rPr>
                <w:sz w:val="20"/>
              </w:rPr>
            </w:pPr>
            <w:r>
              <w:rPr>
                <w:spacing w:val="-5"/>
                <w:sz w:val="20"/>
              </w:rPr>
              <w:t>50</w:t>
            </w:r>
          </w:p>
        </w:tc>
        <w:tc>
          <w:tcPr>
            <w:tcW w:w="1057" w:type="dxa"/>
          </w:tcPr>
          <w:p>
            <w:pPr>
              <w:pStyle w:val="TableParagraph"/>
              <w:spacing w:line="227" w:lineRule="exact" w:before="8"/>
              <w:ind w:right="99"/>
              <w:jc w:val="right"/>
              <w:rPr>
                <w:sz w:val="20"/>
              </w:rPr>
            </w:pPr>
            <w:r>
              <w:rPr>
                <w:w w:val="99"/>
                <w:sz w:val="20"/>
              </w:rPr>
              <w:t>0</w:t>
            </w:r>
          </w:p>
        </w:tc>
        <w:tc>
          <w:tcPr>
            <w:tcW w:w="1591" w:type="dxa"/>
          </w:tcPr>
          <w:p>
            <w:pPr>
              <w:pStyle w:val="TableParagraph"/>
              <w:spacing w:line="227" w:lineRule="exact" w:before="8"/>
              <w:ind w:right="164"/>
              <w:jc w:val="right"/>
              <w:rPr>
                <w:sz w:val="20"/>
              </w:rPr>
            </w:pPr>
            <w:r>
              <w:rPr>
                <w:w w:val="99"/>
                <w:sz w:val="20"/>
              </w:rPr>
              <w:t>0</w:t>
            </w:r>
          </w:p>
        </w:tc>
        <w:tc>
          <w:tcPr>
            <w:tcW w:w="1555" w:type="dxa"/>
            <w:tcBorders>
              <w:right w:val="single" w:sz="4" w:space="0" w:color="000000"/>
            </w:tcBorders>
          </w:tcPr>
          <w:p>
            <w:pPr>
              <w:pStyle w:val="TableParagraph"/>
              <w:spacing w:line="227" w:lineRule="exact" w:before="8"/>
              <w:ind w:right="92"/>
              <w:jc w:val="right"/>
              <w:rPr>
                <w:sz w:val="20"/>
              </w:rPr>
            </w:pPr>
            <w:r>
              <w:rPr>
                <w:spacing w:val="-5"/>
                <w:sz w:val="20"/>
              </w:rPr>
              <w:t>50</w:t>
            </w:r>
          </w:p>
        </w:tc>
      </w:tr>
      <w:tr>
        <w:trPr>
          <w:trHeight w:val="255" w:hRule="atLeast"/>
        </w:trPr>
        <w:tc>
          <w:tcPr>
            <w:tcW w:w="4658" w:type="dxa"/>
            <w:tcBorders>
              <w:left w:val="single" w:sz="4" w:space="0" w:color="000000"/>
            </w:tcBorders>
          </w:tcPr>
          <w:p>
            <w:pPr>
              <w:pStyle w:val="TableParagraph"/>
              <w:spacing w:line="226" w:lineRule="exact" w:before="10"/>
              <w:ind w:left="107"/>
              <w:rPr>
                <w:sz w:val="20"/>
              </w:rPr>
            </w:pPr>
            <w:r>
              <w:rPr>
                <w:sz w:val="20"/>
              </w:rPr>
              <w:t>Parks,</w:t>
            </w:r>
            <w:r>
              <w:rPr>
                <w:spacing w:val="-6"/>
                <w:sz w:val="20"/>
              </w:rPr>
              <w:t> </w:t>
            </w:r>
            <w:r>
              <w:rPr>
                <w:sz w:val="20"/>
              </w:rPr>
              <w:t>open</w:t>
            </w:r>
            <w:r>
              <w:rPr>
                <w:spacing w:val="-7"/>
                <w:sz w:val="20"/>
              </w:rPr>
              <w:t> </w:t>
            </w:r>
            <w:r>
              <w:rPr>
                <w:sz w:val="20"/>
              </w:rPr>
              <w:t>space,</w:t>
            </w:r>
            <w:r>
              <w:rPr>
                <w:spacing w:val="-2"/>
                <w:sz w:val="20"/>
              </w:rPr>
              <w:t> </w:t>
            </w:r>
            <w:r>
              <w:rPr>
                <w:sz w:val="20"/>
              </w:rPr>
              <w:t>and</w:t>
            </w:r>
            <w:r>
              <w:rPr>
                <w:spacing w:val="-7"/>
                <w:sz w:val="20"/>
              </w:rPr>
              <w:t> </w:t>
            </w:r>
            <w:r>
              <w:rPr>
                <w:spacing w:val="-2"/>
                <w:sz w:val="20"/>
              </w:rPr>
              <w:t>streetscapes</w:t>
            </w:r>
          </w:p>
        </w:tc>
        <w:tc>
          <w:tcPr>
            <w:tcW w:w="1276" w:type="dxa"/>
          </w:tcPr>
          <w:p>
            <w:pPr>
              <w:pStyle w:val="TableParagraph"/>
              <w:spacing w:line="226" w:lineRule="exact" w:before="10"/>
              <w:ind w:right="234"/>
              <w:jc w:val="right"/>
              <w:rPr>
                <w:sz w:val="20"/>
              </w:rPr>
            </w:pPr>
            <w:r>
              <w:rPr>
                <w:spacing w:val="-2"/>
                <w:sz w:val="20"/>
              </w:rPr>
              <w:t>2,486</w:t>
            </w:r>
          </w:p>
        </w:tc>
        <w:tc>
          <w:tcPr>
            <w:tcW w:w="1953" w:type="dxa"/>
          </w:tcPr>
          <w:p>
            <w:pPr>
              <w:pStyle w:val="TableParagraph"/>
              <w:tabs>
                <w:tab w:pos="1195" w:val="left" w:leader="none"/>
              </w:tabs>
              <w:spacing w:line="226" w:lineRule="exact" w:before="10"/>
              <w:ind w:right="181"/>
              <w:jc w:val="right"/>
              <w:rPr>
                <w:sz w:val="20"/>
              </w:rPr>
            </w:pPr>
            <w:r>
              <w:rPr>
                <w:spacing w:val="-2"/>
                <w:sz w:val="20"/>
              </w:rPr>
              <w:t>1,037</w:t>
            </w:r>
            <w:r>
              <w:rPr>
                <w:sz w:val="20"/>
              </w:rPr>
              <w:tab/>
            </w:r>
            <w:r>
              <w:rPr>
                <w:spacing w:val="-5"/>
                <w:sz w:val="20"/>
              </w:rPr>
              <w:t>965</w:t>
            </w:r>
          </w:p>
        </w:tc>
        <w:tc>
          <w:tcPr>
            <w:tcW w:w="1107" w:type="dxa"/>
            <w:tcBorders>
              <w:right w:val="single" w:sz="4" w:space="0" w:color="000000"/>
            </w:tcBorders>
          </w:tcPr>
          <w:p>
            <w:pPr>
              <w:pStyle w:val="TableParagraph"/>
              <w:spacing w:line="226" w:lineRule="exact" w:before="10"/>
              <w:ind w:right="99"/>
              <w:jc w:val="right"/>
              <w:rPr>
                <w:sz w:val="20"/>
              </w:rPr>
            </w:pPr>
            <w:r>
              <w:rPr>
                <w:spacing w:val="-5"/>
                <w:sz w:val="20"/>
              </w:rPr>
              <w:t>484</w:t>
            </w:r>
          </w:p>
        </w:tc>
        <w:tc>
          <w:tcPr>
            <w:tcW w:w="1559" w:type="dxa"/>
            <w:tcBorders>
              <w:left w:val="single" w:sz="4" w:space="0" w:color="000000"/>
            </w:tcBorders>
          </w:tcPr>
          <w:p>
            <w:pPr>
              <w:pStyle w:val="TableParagraph"/>
              <w:spacing w:line="226" w:lineRule="exact" w:before="10"/>
              <w:ind w:right="292"/>
              <w:jc w:val="right"/>
              <w:rPr>
                <w:sz w:val="20"/>
              </w:rPr>
            </w:pPr>
            <w:r>
              <w:rPr>
                <w:spacing w:val="-2"/>
                <w:sz w:val="20"/>
              </w:rPr>
              <w:t>2,486</w:t>
            </w:r>
          </w:p>
        </w:tc>
        <w:tc>
          <w:tcPr>
            <w:tcW w:w="1057" w:type="dxa"/>
          </w:tcPr>
          <w:p>
            <w:pPr>
              <w:pStyle w:val="TableParagraph"/>
              <w:spacing w:line="226" w:lineRule="exact" w:before="10"/>
              <w:ind w:right="99"/>
              <w:jc w:val="right"/>
              <w:rPr>
                <w:sz w:val="20"/>
              </w:rPr>
            </w:pPr>
            <w:r>
              <w:rPr>
                <w:w w:val="99"/>
                <w:sz w:val="20"/>
              </w:rPr>
              <w:t>0</w:t>
            </w:r>
          </w:p>
        </w:tc>
        <w:tc>
          <w:tcPr>
            <w:tcW w:w="1591" w:type="dxa"/>
          </w:tcPr>
          <w:p>
            <w:pPr>
              <w:pStyle w:val="TableParagraph"/>
              <w:spacing w:line="226" w:lineRule="exact" w:before="10"/>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10"/>
              <w:ind w:right="91"/>
              <w:jc w:val="right"/>
              <w:rPr>
                <w:sz w:val="20"/>
              </w:rPr>
            </w:pPr>
            <w:r>
              <w:rPr>
                <w:spacing w:val="-2"/>
                <w:sz w:val="20"/>
              </w:rPr>
              <w:t>2,486</w:t>
            </w:r>
          </w:p>
        </w:tc>
      </w:tr>
      <w:tr>
        <w:trPr>
          <w:trHeight w:val="254" w:hRule="atLeast"/>
        </w:trPr>
        <w:tc>
          <w:tcPr>
            <w:tcW w:w="4658" w:type="dxa"/>
            <w:tcBorders>
              <w:left w:val="single" w:sz="4" w:space="0" w:color="000000"/>
            </w:tcBorders>
          </w:tcPr>
          <w:p>
            <w:pPr>
              <w:pStyle w:val="TableParagraph"/>
              <w:spacing w:line="226" w:lineRule="exact" w:before="8"/>
              <w:ind w:left="107"/>
              <w:rPr>
                <w:sz w:val="20"/>
              </w:rPr>
            </w:pPr>
            <w:r>
              <w:rPr>
                <w:sz w:val="20"/>
              </w:rPr>
              <w:t>Off</w:t>
            </w:r>
            <w:r>
              <w:rPr>
                <w:spacing w:val="-5"/>
                <w:sz w:val="20"/>
              </w:rPr>
              <w:t> </w:t>
            </w:r>
            <w:r>
              <w:rPr>
                <w:sz w:val="20"/>
              </w:rPr>
              <w:t>street</w:t>
            </w:r>
            <w:r>
              <w:rPr>
                <w:spacing w:val="-5"/>
                <w:sz w:val="20"/>
              </w:rPr>
              <w:t> </w:t>
            </w:r>
            <w:r>
              <w:rPr>
                <w:sz w:val="20"/>
              </w:rPr>
              <w:t>car</w:t>
            </w:r>
            <w:r>
              <w:rPr>
                <w:spacing w:val="-3"/>
                <w:sz w:val="20"/>
              </w:rPr>
              <w:t> </w:t>
            </w:r>
            <w:r>
              <w:rPr>
                <w:spacing w:val="-2"/>
                <w:sz w:val="20"/>
              </w:rPr>
              <w:t>parks</w:t>
            </w:r>
          </w:p>
        </w:tc>
        <w:tc>
          <w:tcPr>
            <w:tcW w:w="1276" w:type="dxa"/>
          </w:tcPr>
          <w:p>
            <w:pPr>
              <w:pStyle w:val="TableParagraph"/>
              <w:spacing w:line="226" w:lineRule="exact" w:before="8"/>
              <w:ind w:right="234"/>
              <w:jc w:val="right"/>
              <w:rPr>
                <w:sz w:val="20"/>
              </w:rPr>
            </w:pPr>
            <w:r>
              <w:rPr>
                <w:spacing w:val="-5"/>
                <w:sz w:val="20"/>
              </w:rPr>
              <w:t>440</w:t>
            </w:r>
          </w:p>
        </w:tc>
        <w:tc>
          <w:tcPr>
            <w:tcW w:w="1953" w:type="dxa"/>
          </w:tcPr>
          <w:p>
            <w:pPr>
              <w:pStyle w:val="TableParagraph"/>
              <w:tabs>
                <w:tab w:pos="803" w:val="left" w:leader="none"/>
              </w:tabs>
              <w:spacing w:line="226" w:lineRule="exact" w:before="8"/>
              <w:ind w:right="181"/>
              <w:jc w:val="right"/>
              <w:rPr>
                <w:sz w:val="20"/>
              </w:rPr>
            </w:pPr>
            <w:r>
              <w:rPr>
                <w:spacing w:val="-10"/>
                <w:sz w:val="20"/>
              </w:rPr>
              <w:t>0</w:t>
            </w:r>
            <w:r>
              <w:rPr>
                <w:sz w:val="20"/>
              </w:rPr>
              <w:tab/>
            </w:r>
            <w:r>
              <w:rPr>
                <w:spacing w:val="-5"/>
                <w:sz w:val="20"/>
              </w:rPr>
              <w:t>220</w:t>
            </w:r>
          </w:p>
        </w:tc>
        <w:tc>
          <w:tcPr>
            <w:tcW w:w="1107" w:type="dxa"/>
            <w:tcBorders>
              <w:right w:val="single" w:sz="4" w:space="0" w:color="000000"/>
            </w:tcBorders>
          </w:tcPr>
          <w:p>
            <w:pPr>
              <w:pStyle w:val="TableParagraph"/>
              <w:spacing w:line="226" w:lineRule="exact" w:before="8"/>
              <w:ind w:right="99"/>
              <w:jc w:val="right"/>
              <w:rPr>
                <w:sz w:val="20"/>
              </w:rPr>
            </w:pPr>
            <w:r>
              <w:rPr>
                <w:spacing w:val="-5"/>
                <w:sz w:val="20"/>
              </w:rPr>
              <w:t>220</w:t>
            </w:r>
          </w:p>
        </w:tc>
        <w:tc>
          <w:tcPr>
            <w:tcW w:w="1559" w:type="dxa"/>
            <w:tcBorders>
              <w:left w:val="single" w:sz="4" w:space="0" w:color="000000"/>
            </w:tcBorders>
          </w:tcPr>
          <w:p>
            <w:pPr>
              <w:pStyle w:val="TableParagraph"/>
              <w:spacing w:line="226" w:lineRule="exact" w:before="8"/>
              <w:ind w:right="293"/>
              <w:jc w:val="right"/>
              <w:rPr>
                <w:sz w:val="20"/>
              </w:rPr>
            </w:pPr>
            <w:r>
              <w:rPr>
                <w:spacing w:val="-5"/>
                <w:sz w:val="20"/>
              </w:rPr>
              <w:t>440</w:t>
            </w:r>
          </w:p>
        </w:tc>
        <w:tc>
          <w:tcPr>
            <w:tcW w:w="1057" w:type="dxa"/>
          </w:tcPr>
          <w:p>
            <w:pPr>
              <w:pStyle w:val="TableParagraph"/>
              <w:spacing w:line="226" w:lineRule="exact" w:before="8"/>
              <w:ind w:right="99"/>
              <w:jc w:val="right"/>
              <w:rPr>
                <w:sz w:val="20"/>
              </w:rPr>
            </w:pPr>
            <w:r>
              <w:rPr>
                <w:w w:val="99"/>
                <w:sz w:val="20"/>
              </w:rPr>
              <w:t>0</w:t>
            </w:r>
          </w:p>
        </w:tc>
        <w:tc>
          <w:tcPr>
            <w:tcW w:w="1591" w:type="dxa"/>
          </w:tcPr>
          <w:p>
            <w:pPr>
              <w:pStyle w:val="TableParagraph"/>
              <w:spacing w:line="226" w:lineRule="exact" w:before="8"/>
              <w:ind w:right="164"/>
              <w:jc w:val="right"/>
              <w:rPr>
                <w:sz w:val="20"/>
              </w:rPr>
            </w:pPr>
            <w:r>
              <w:rPr>
                <w:w w:val="99"/>
                <w:sz w:val="20"/>
              </w:rPr>
              <w:t>0</w:t>
            </w:r>
          </w:p>
        </w:tc>
        <w:tc>
          <w:tcPr>
            <w:tcW w:w="1555" w:type="dxa"/>
            <w:tcBorders>
              <w:right w:val="single" w:sz="4" w:space="0" w:color="000000"/>
            </w:tcBorders>
          </w:tcPr>
          <w:p>
            <w:pPr>
              <w:pStyle w:val="TableParagraph"/>
              <w:spacing w:line="226" w:lineRule="exact" w:before="8"/>
              <w:ind w:right="92"/>
              <w:jc w:val="right"/>
              <w:rPr>
                <w:sz w:val="20"/>
              </w:rPr>
            </w:pPr>
            <w:r>
              <w:rPr>
                <w:spacing w:val="-5"/>
                <w:sz w:val="20"/>
              </w:rPr>
              <w:t>440</w:t>
            </w:r>
          </w:p>
        </w:tc>
      </w:tr>
      <w:tr>
        <w:trPr>
          <w:trHeight w:val="239" w:hRule="atLeast"/>
        </w:trPr>
        <w:tc>
          <w:tcPr>
            <w:tcW w:w="4658" w:type="dxa"/>
            <w:tcBorders>
              <w:left w:val="single" w:sz="4" w:space="0" w:color="000000"/>
            </w:tcBorders>
          </w:tcPr>
          <w:p>
            <w:pPr>
              <w:pStyle w:val="TableParagraph"/>
              <w:spacing w:line="211" w:lineRule="exact" w:before="8"/>
              <w:ind w:left="107"/>
              <w:rPr>
                <w:sz w:val="20"/>
              </w:rPr>
            </w:pPr>
            <w:r>
              <w:rPr>
                <w:sz w:val="20"/>
              </w:rPr>
              <w:t>Other</w:t>
            </w:r>
            <w:r>
              <w:rPr>
                <w:spacing w:val="-6"/>
                <w:sz w:val="20"/>
              </w:rPr>
              <w:t> </w:t>
            </w:r>
            <w:r>
              <w:rPr>
                <w:spacing w:val="-2"/>
                <w:sz w:val="20"/>
              </w:rPr>
              <w:t>infrastructure</w:t>
            </w:r>
          </w:p>
        </w:tc>
        <w:tc>
          <w:tcPr>
            <w:tcW w:w="1276" w:type="dxa"/>
            <w:tcBorders>
              <w:bottom w:val="single" w:sz="4" w:space="0" w:color="000000"/>
            </w:tcBorders>
          </w:tcPr>
          <w:p>
            <w:pPr>
              <w:pStyle w:val="TableParagraph"/>
              <w:spacing w:line="211" w:lineRule="exact" w:before="8"/>
              <w:ind w:right="233"/>
              <w:jc w:val="right"/>
              <w:rPr>
                <w:sz w:val="20"/>
              </w:rPr>
            </w:pPr>
            <w:r>
              <w:rPr>
                <w:spacing w:val="-2"/>
                <w:sz w:val="20"/>
              </w:rPr>
              <w:t>1,245</w:t>
            </w:r>
          </w:p>
        </w:tc>
        <w:tc>
          <w:tcPr>
            <w:tcW w:w="1953" w:type="dxa"/>
            <w:tcBorders>
              <w:bottom w:val="single" w:sz="4" w:space="0" w:color="000000"/>
            </w:tcBorders>
          </w:tcPr>
          <w:p>
            <w:pPr>
              <w:pStyle w:val="TableParagraph"/>
              <w:tabs>
                <w:tab w:pos="1027" w:val="left" w:leader="none"/>
              </w:tabs>
              <w:spacing w:line="211" w:lineRule="exact" w:before="8"/>
              <w:ind w:right="181"/>
              <w:jc w:val="right"/>
              <w:rPr>
                <w:sz w:val="20"/>
              </w:rPr>
            </w:pPr>
            <w:r>
              <w:rPr>
                <w:spacing w:val="-5"/>
                <w:sz w:val="20"/>
              </w:rPr>
              <w:t>170</w:t>
            </w:r>
            <w:r>
              <w:rPr>
                <w:sz w:val="20"/>
              </w:rPr>
              <w:tab/>
            </w:r>
            <w:r>
              <w:rPr>
                <w:spacing w:val="-5"/>
                <w:sz w:val="20"/>
              </w:rPr>
              <w:t>275</w:t>
            </w:r>
          </w:p>
        </w:tc>
        <w:tc>
          <w:tcPr>
            <w:tcW w:w="1107" w:type="dxa"/>
            <w:tcBorders>
              <w:bottom w:val="single" w:sz="4" w:space="0" w:color="000000"/>
              <w:right w:val="single" w:sz="4" w:space="0" w:color="000000"/>
            </w:tcBorders>
          </w:tcPr>
          <w:p>
            <w:pPr>
              <w:pStyle w:val="TableParagraph"/>
              <w:spacing w:line="211" w:lineRule="exact" w:before="8"/>
              <w:ind w:right="99"/>
              <w:jc w:val="right"/>
              <w:rPr>
                <w:sz w:val="20"/>
              </w:rPr>
            </w:pPr>
            <w:r>
              <w:rPr>
                <w:spacing w:val="-5"/>
                <w:sz w:val="20"/>
              </w:rPr>
              <w:t>800</w:t>
            </w:r>
          </w:p>
        </w:tc>
        <w:tc>
          <w:tcPr>
            <w:tcW w:w="1559" w:type="dxa"/>
            <w:tcBorders>
              <w:left w:val="single" w:sz="4" w:space="0" w:color="000000"/>
              <w:bottom w:val="single" w:sz="4" w:space="0" w:color="000000"/>
            </w:tcBorders>
          </w:tcPr>
          <w:p>
            <w:pPr>
              <w:pStyle w:val="TableParagraph"/>
              <w:spacing w:line="211" w:lineRule="exact" w:before="8"/>
              <w:ind w:right="292"/>
              <w:jc w:val="right"/>
              <w:rPr>
                <w:sz w:val="20"/>
              </w:rPr>
            </w:pPr>
            <w:r>
              <w:rPr>
                <w:spacing w:val="-2"/>
                <w:sz w:val="20"/>
              </w:rPr>
              <w:t>1,245</w:t>
            </w:r>
          </w:p>
        </w:tc>
        <w:tc>
          <w:tcPr>
            <w:tcW w:w="1057" w:type="dxa"/>
            <w:tcBorders>
              <w:bottom w:val="single" w:sz="4" w:space="0" w:color="000000"/>
            </w:tcBorders>
          </w:tcPr>
          <w:p>
            <w:pPr>
              <w:pStyle w:val="TableParagraph"/>
              <w:spacing w:line="211" w:lineRule="exact" w:before="8"/>
              <w:ind w:right="99"/>
              <w:jc w:val="right"/>
              <w:rPr>
                <w:sz w:val="20"/>
              </w:rPr>
            </w:pPr>
            <w:r>
              <w:rPr>
                <w:w w:val="99"/>
                <w:sz w:val="20"/>
              </w:rPr>
              <w:t>0</w:t>
            </w:r>
          </w:p>
        </w:tc>
        <w:tc>
          <w:tcPr>
            <w:tcW w:w="1591" w:type="dxa"/>
            <w:tcBorders>
              <w:bottom w:val="single" w:sz="4" w:space="0" w:color="000000"/>
            </w:tcBorders>
          </w:tcPr>
          <w:p>
            <w:pPr>
              <w:pStyle w:val="TableParagraph"/>
              <w:spacing w:line="211" w:lineRule="exact" w:before="8"/>
              <w:ind w:right="164"/>
              <w:jc w:val="right"/>
              <w:rPr>
                <w:sz w:val="20"/>
              </w:rPr>
            </w:pPr>
            <w:r>
              <w:rPr>
                <w:w w:val="99"/>
                <w:sz w:val="20"/>
              </w:rPr>
              <w:t>0</w:t>
            </w:r>
          </w:p>
        </w:tc>
        <w:tc>
          <w:tcPr>
            <w:tcW w:w="1555" w:type="dxa"/>
            <w:tcBorders>
              <w:bottom w:val="single" w:sz="4" w:space="0" w:color="000000"/>
              <w:right w:val="single" w:sz="4" w:space="0" w:color="000000"/>
            </w:tcBorders>
          </w:tcPr>
          <w:p>
            <w:pPr>
              <w:pStyle w:val="TableParagraph"/>
              <w:spacing w:line="211" w:lineRule="exact" w:before="8"/>
              <w:ind w:right="91"/>
              <w:jc w:val="right"/>
              <w:rPr>
                <w:sz w:val="20"/>
              </w:rPr>
            </w:pPr>
            <w:r>
              <w:rPr>
                <w:spacing w:val="-2"/>
                <w:sz w:val="20"/>
              </w:rPr>
              <w:t>1,245</w:t>
            </w:r>
          </w:p>
        </w:tc>
      </w:tr>
      <w:tr>
        <w:trPr>
          <w:trHeight w:val="256" w:hRule="atLeast"/>
        </w:trPr>
        <w:tc>
          <w:tcPr>
            <w:tcW w:w="4658"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Infrastructure</w:t>
            </w:r>
          </w:p>
        </w:tc>
        <w:tc>
          <w:tcPr>
            <w:tcW w:w="1276" w:type="dxa"/>
            <w:tcBorders>
              <w:top w:val="single" w:sz="4" w:space="0" w:color="000000"/>
              <w:bottom w:val="single" w:sz="4" w:space="0" w:color="000000"/>
            </w:tcBorders>
          </w:tcPr>
          <w:p>
            <w:pPr>
              <w:pStyle w:val="TableParagraph"/>
              <w:spacing w:line="211" w:lineRule="exact" w:before="26"/>
              <w:ind w:right="234"/>
              <w:jc w:val="right"/>
              <w:rPr>
                <w:b/>
                <w:sz w:val="20"/>
              </w:rPr>
            </w:pPr>
            <w:r>
              <w:rPr>
                <w:b/>
                <w:spacing w:val="-2"/>
                <w:sz w:val="20"/>
              </w:rPr>
              <w:t>18,435</w:t>
            </w:r>
          </w:p>
        </w:tc>
        <w:tc>
          <w:tcPr>
            <w:tcW w:w="1953" w:type="dxa"/>
            <w:tcBorders>
              <w:top w:val="single" w:sz="4" w:space="0" w:color="000000"/>
              <w:bottom w:val="single" w:sz="4" w:space="0" w:color="000000"/>
            </w:tcBorders>
          </w:tcPr>
          <w:p>
            <w:pPr>
              <w:pStyle w:val="TableParagraph"/>
              <w:tabs>
                <w:tab w:pos="916" w:val="left" w:leader="none"/>
              </w:tabs>
              <w:spacing w:line="211" w:lineRule="exact" w:before="26"/>
              <w:ind w:right="181"/>
              <w:jc w:val="right"/>
              <w:rPr>
                <w:b/>
                <w:sz w:val="20"/>
              </w:rPr>
            </w:pPr>
            <w:r>
              <w:rPr>
                <w:b/>
                <w:spacing w:val="-2"/>
                <w:sz w:val="20"/>
              </w:rPr>
              <w:t>2,709</w:t>
            </w:r>
            <w:r>
              <w:rPr>
                <w:b/>
                <w:sz w:val="20"/>
              </w:rPr>
              <w:tab/>
            </w:r>
            <w:r>
              <w:rPr>
                <w:b/>
                <w:spacing w:val="-2"/>
                <w:sz w:val="20"/>
              </w:rPr>
              <w:t>12,745</w:t>
            </w:r>
          </w:p>
        </w:tc>
        <w:tc>
          <w:tcPr>
            <w:tcW w:w="1107" w:type="dxa"/>
            <w:tcBorders>
              <w:top w:val="single" w:sz="4" w:space="0" w:color="000000"/>
              <w:bottom w:val="single" w:sz="4" w:space="0" w:color="000000"/>
              <w:right w:val="single" w:sz="4" w:space="0" w:color="000000"/>
            </w:tcBorders>
          </w:tcPr>
          <w:p>
            <w:pPr>
              <w:pStyle w:val="TableParagraph"/>
              <w:spacing w:line="211" w:lineRule="exact" w:before="26"/>
              <w:ind w:right="99"/>
              <w:jc w:val="right"/>
              <w:rPr>
                <w:b/>
                <w:sz w:val="20"/>
              </w:rPr>
            </w:pPr>
            <w:r>
              <w:rPr>
                <w:b/>
                <w:spacing w:val="-2"/>
                <w:sz w:val="20"/>
              </w:rPr>
              <w:t>2,981</w:t>
            </w:r>
          </w:p>
        </w:tc>
        <w:tc>
          <w:tcPr>
            <w:tcW w:w="1559" w:type="dxa"/>
            <w:tcBorders>
              <w:top w:val="single" w:sz="4" w:space="0" w:color="000000"/>
              <w:left w:val="single" w:sz="4" w:space="0" w:color="000000"/>
              <w:bottom w:val="single" w:sz="4" w:space="0" w:color="000000"/>
            </w:tcBorders>
          </w:tcPr>
          <w:p>
            <w:pPr>
              <w:pStyle w:val="TableParagraph"/>
              <w:spacing w:line="211" w:lineRule="exact" w:before="26"/>
              <w:ind w:right="292"/>
              <w:jc w:val="right"/>
              <w:rPr>
                <w:b/>
                <w:sz w:val="20"/>
              </w:rPr>
            </w:pPr>
            <w:r>
              <w:rPr>
                <w:b/>
                <w:spacing w:val="-2"/>
                <w:sz w:val="20"/>
              </w:rPr>
              <w:t>18,435</w:t>
            </w:r>
          </w:p>
        </w:tc>
        <w:tc>
          <w:tcPr>
            <w:tcW w:w="1057" w:type="dxa"/>
            <w:tcBorders>
              <w:top w:val="single" w:sz="4" w:space="0" w:color="000000"/>
              <w:bottom w:val="single" w:sz="4" w:space="0" w:color="000000"/>
            </w:tcBorders>
          </w:tcPr>
          <w:p>
            <w:pPr>
              <w:pStyle w:val="TableParagraph"/>
              <w:spacing w:line="211" w:lineRule="exact" w:before="26"/>
              <w:ind w:right="102"/>
              <w:jc w:val="right"/>
              <w:rPr>
                <w:b/>
                <w:sz w:val="20"/>
              </w:rPr>
            </w:pPr>
            <w:r>
              <w:rPr>
                <w:b/>
                <w:spacing w:val="-5"/>
                <w:sz w:val="20"/>
              </w:rPr>
              <w:t>508</w:t>
            </w:r>
          </w:p>
        </w:tc>
        <w:tc>
          <w:tcPr>
            <w:tcW w:w="1591" w:type="dxa"/>
            <w:tcBorders>
              <w:top w:val="single" w:sz="4" w:space="0" w:color="000000"/>
              <w:bottom w:val="single" w:sz="4" w:space="0" w:color="000000"/>
            </w:tcBorders>
          </w:tcPr>
          <w:p>
            <w:pPr>
              <w:pStyle w:val="TableParagraph"/>
              <w:spacing w:line="211" w:lineRule="exact" w:before="26"/>
              <w:ind w:right="167"/>
              <w:jc w:val="right"/>
              <w:rPr>
                <w:b/>
                <w:sz w:val="20"/>
              </w:rPr>
            </w:pPr>
            <w:r>
              <w:rPr>
                <w:b/>
                <w:spacing w:val="-5"/>
                <w:sz w:val="20"/>
              </w:rPr>
              <w:t>36</w:t>
            </w:r>
          </w:p>
        </w:tc>
        <w:tc>
          <w:tcPr>
            <w:tcW w:w="1555" w:type="dxa"/>
            <w:tcBorders>
              <w:top w:val="single" w:sz="4" w:space="0" w:color="000000"/>
              <w:bottom w:val="single" w:sz="4" w:space="0" w:color="000000"/>
              <w:right w:val="single" w:sz="4" w:space="0" w:color="000000"/>
            </w:tcBorders>
          </w:tcPr>
          <w:p>
            <w:pPr>
              <w:pStyle w:val="TableParagraph"/>
              <w:spacing w:line="211" w:lineRule="exact" w:before="26"/>
              <w:ind w:right="92"/>
              <w:jc w:val="right"/>
              <w:rPr>
                <w:b/>
                <w:sz w:val="20"/>
              </w:rPr>
            </w:pPr>
            <w:r>
              <w:rPr>
                <w:b/>
                <w:spacing w:val="-2"/>
                <w:sz w:val="20"/>
              </w:rPr>
              <w:t>17,891</w:t>
            </w:r>
          </w:p>
        </w:tc>
      </w:tr>
      <w:tr>
        <w:trPr>
          <w:trHeight w:val="254" w:hRule="atLeast"/>
        </w:trPr>
        <w:tc>
          <w:tcPr>
            <w:tcW w:w="4658" w:type="dxa"/>
            <w:tcBorders>
              <w:left w:val="single" w:sz="4" w:space="0" w:color="000000"/>
              <w:bottom w:val="single" w:sz="4" w:space="0" w:color="000000"/>
            </w:tcBorders>
          </w:tcPr>
          <w:p>
            <w:pPr>
              <w:pStyle w:val="TableParagraph"/>
              <w:spacing w:line="211" w:lineRule="exact" w:before="23"/>
              <w:ind w:left="107"/>
              <w:rPr>
                <w:b/>
                <w:sz w:val="20"/>
              </w:rPr>
            </w:pPr>
            <w:r>
              <w:rPr>
                <w:b/>
                <w:sz w:val="20"/>
              </w:rPr>
              <w:t>Total</w:t>
            </w:r>
            <w:r>
              <w:rPr>
                <w:b/>
                <w:spacing w:val="-8"/>
                <w:sz w:val="20"/>
              </w:rPr>
              <w:t> </w:t>
            </w:r>
            <w:r>
              <w:rPr>
                <w:b/>
                <w:sz w:val="20"/>
              </w:rPr>
              <w:t>Capital</w:t>
            </w:r>
            <w:r>
              <w:rPr>
                <w:b/>
                <w:spacing w:val="-5"/>
                <w:sz w:val="20"/>
              </w:rPr>
              <w:t> </w:t>
            </w:r>
            <w:r>
              <w:rPr>
                <w:b/>
                <w:sz w:val="20"/>
              </w:rPr>
              <w:t>Works</w:t>
            </w:r>
            <w:r>
              <w:rPr>
                <w:b/>
                <w:spacing w:val="-6"/>
                <w:sz w:val="20"/>
              </w:rPr>
              <w:t> </w:t>
            </w:r>
            <w:r>
              <w:rPr>
                <w:b/>
                <w:spacing w:val="-2"/>
                <w:sz w:val="20"/>
              </w:rPr>
              <w:t>Expenditure</w:t>
            </w:r>
          </w:p>
        </w:tc>
        <w:tc>
          <w:tcPr>
            <w:tcW w:w="1276" w:type="dxa"/>
            <w:tcBorders>
              <w:top w:val="single" w:sz="4" w:space="0" w:color="000000"/>
              <w:bottom w:val="single" w:sz="4" w:space="0" w:color="000000"/>
            </w:tcBorders>
          </w:tcPr>
          <w:p>
            <w:pPr>
              <w:pStyle w:val="TableParagraph"/>
              <w:spacing w:line="211" w:lineRule="exact" w:before="23"/>
              <w:ind w:right="234"/>
              <w:jc w:val="right"/>
              <w:rPr>
                <w:b/>
                <w:sz w:val="20"/>
              </w:rPr>
            </w:pPr>
            <w:r>
              <w:rPr>
                <w:b/>
                <w:spacing w:val="-2"/>
                <w:sz w:val="20"/>
              </w:rPr>
              <w:t>42,103</w:t>
            </w:r>
          </w:p>
        </w:tc>
        <w:tc>
          <w:tcPr>
            <w:tcW w:w="1953" w:type="dxa"/>
            <w:tcBorders>
              <w:top w:val="single" w:sz="4" w:space="0" w:color="000000"/>
              <w:bottom w:val="single" w:sz="4" w:space="0" w:color="000000"/>
            </w:tcBorders>
          </w:tcPr>
          <w:p>
            <w:pPr>
              <w:pStyle w:val="TableParagraph"/>
              <w:tabs>
                <w:tab w:pos="916" w:val="left" w:leader="none"/>
              </w:tabs>
              <w:spacing w:line="211" w:lineRule="exact" w:before="23"/>
              <w:ind w:right="181"/>
              <w:jc w:val="right"/>
              <w:rPr>
                <w:b/>
                <w:sz w:val="20"/>
              </w:rPr>
            </w:pPr>
            <w:r>
              <w:rPr>
                <w:b/>
                <w:spacing w:val="-2"/>
                <w:sz w:val="20"/>
              </w:rPr>
              <w:t>6,880</w:t>
            </w:r>
            <w:r>
              <w:rPr>
                <w:b/>
                <w:sz w:val="20"/>
              </w:rPr>
              <w:tab/>
            </w:r>
            <w:r>
              <w:rPr>
                <w:b/>
                <w:spacing w:val="-2"/>
                <w:sz w:val="20"/>
              </w:rPr>
              <w:t>28,287</w:t>
            </w:r>
          </w:p>
        </w:tc>
        <w:tc>
          <w:tcPr>
            <w:tcW w:w="1107" w:type="dxa"/>
            <w:tcBorders>
              <w:top w:val="single" w:sz="4" w:space="0" w:color="000000"/>
              <w:bottom w:val="single" w:sz="4" w:space="0" w:color="000000"/>
              <w:right w:val="single" w:sz="4" w:space="0" w:color="000000"/>
            </w:tcBorders>
          </w:tcPr>
          <w:p>
            <w:pPr>
              <w:pStyle w:val="TableParagraph"/>
              <w:spacing w:line="211" w:lineRule="exact" w:before="23"/>
              <w:ind w:right="99"/>
              <w:jc w:val="right"/>
              <w:rPr>
                <w:b/>
                <w:sz w:val="20"/>
              </w:rPr>
            </w:pPr>
            <w:r>
              <w:rPr>
                <w:b/>
                <w:spacing w:val="-2"/>
                <w:sz w:val="20"/>
              </w:rPr>
              <w:t>6,935</w:t>
            </w:r>
          </w:p>
        </w:tc>
        <w:tc>
          <w:tcPr>
            <w:tcW w:w="1559" w:type="dxa"/>
            <w:tcBorders>
              <w:top w:val="single" w:sz="4" w:space="0" w:color="000000"/>
              <w:left w:val="single" w:sz="4" w:space="0" w:color="000000"/>
              <w:bottom w:val="single" w:sz="4" w:space="0" w:color="000000"/>
            </w:tcBorders>
          </w:tcPr>
          <w:p>
            <w:pPr>
              <w:pStyle w:val="TableParagraph"/>
              <w:spacing w:line="211" w:lineRule="exact" w:before="23"/>
              <w:ind w:right="293"/>
              <w:jc w:val="right"/>
              <w:rPr>
                <w:b/>
                <w:sz w:val="20"/>
              </w:rPr>
            </w:pPr>
            <w:r>
              <w:rPr>
                <w:b/>
                <w:spacing w:val="-2"/>
                <w:sz w:val="20"/>
              </w:rPr>
              <w:t>42,103</w:t>
            </w:r>
          </w:p>
        </w:tc>
        <w:tc>
          <w:tcPr>
            <w:tcW w:w="1057" w:type="dxa"/>
            <w:tcBorders>
              <w:top w:val="single" w:sz="4" w:space="0" w:color="000000"/>
              <w:bottom w:val="single" w:sz="4" w:space="0" w:color="000000"/>
            </w:tcBorders>
          </w:tcPr>
          <w:p>
            <w:pPr>
              <w:pStyle w:val="TableParagraph"/>
              <w:spacing w:line="211" w:lineRule="exact" w:before="23"/>
              <w:ind w:right="101"/>
              <w:jc w:val="right"/>
              <w:rPr>
                <w:b/>
                <w:sz w:val="20"/>
              </w:rPr>
            </w:pPr>
            <w:r>
              <w:rPr>
                <w:b/>
                <w:spacing w:val="-2"/>
                <w:sz w:val="20"/>
              </w:rPr>
              <w:t>3,008</w:t>
            </w:r>
          </w:p>
        </w:tc>
        <w:tc>
          <w:tcPr>
            <w:tcW w:w="1591" w:type="dxa"/>
            <w:tcBorders>
              <w:top w:val="single" w:sz="4" w:space="0" w:color="000000"/>
              <w:bottom w:val="single" w:sz="4" w:space="0" w:color="000000"/>
            </w:tcBorders>
          </w:tcPr>
          <w:p>
            <w:pPr>
              <w:pStyle w:val="TableParagraph"/>
              <w:spacing w:line="211" w:lineRule="exact" w:before="23"/>
              <w:ind w:right="167"/>
              <w:jc w:val="right"/>
              <w:rPr>
                <w:b/>
                <w:sz w:val="20"/>
              </w:rPr>
            </w:pPr>
            <w:r>
              <w:rPr>
                <w:b/>
                <w:spacing w:val="-5"/>
                <w:sz w:val="20"/>
              </w:rPr>
              <w:t>597</w:t>
            </w:r>
          </w:p>
        </w:tc>
        <w:tc>
          <w:tcPr>
            <w:tcW w:w="1555" w:type="dxa"/>
            <w:tcBorders>
              <w:top w:val="single" w:sz="4" w:space="0" w:color="000000"/>
              <w:bottom w:val="single" w:sz="4" w:space="0" w:color="000000"/>
              <w:right w:val="single" w:sz="4" w:space="0" w:color="000000"/>
            </w:tcBorders>
          </w:tcPr>
          <w:p>
            <w:pPr>
              <w:pStyle w:val="TableParagraph"/>
              <w:spacing w:line="211" w:lineRule="exact" w:before="23"/>
              <w:ind w:right="92"/>
              <w:jc w:val="right"/>
              <w:rPr>
                <w:b/>
                <w:sz w:val="20"/>
              </w:rPr>
            </w:pPr>
            <w:r>
              <w:rPr>
                <w:b/>
                <w:spacing w:val="-2"/>
                <w:sz w:val="20"/>
              </w:rPr>
              <w:t>38,498</w:t>
            </w:r>
          </w:p>
        </w:tc>
      </w:tr>
    </w:tbl>
    <w:p>
      <w:pPr>
        <w:spacing w:after="0" w:line="211" w:lineRule="exact"/>
        <w:jc w:val="right"/>
        <w:rPr>
          <w:sz w:val="20"/>
        </w:rPr>
        <w:sectPr>
          <w:type w:val="continuous"/>
          <w:pgSz w:w="16840" w:h="11910" w:orient="landscape"/>
          <w:pgMar w:header="0" w:footer="546" w:top="700" w:bottom="740" w:left="600" w:right="120"/>
        </w:sect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56"/>
        <w:gridCol w:w="1265"/>
        <w:gridCol w:w="1962"/>
        <w:gridCol w:w="1112"/>
        <w:gridCol w:w="1538"/>
        <w:gridCol w:w="1106"/>
        <w:gridCol w:w="1569"/>
        <w:gridCol w:w="1521"/>
      </w:tblGrid>
      <w:tr>
        <w:trPr>
          <w:trHeight w:val="254" w:hRule="atLeast"/>
        </w:trPr>
        <w:tc>
          <w:tcPr>
            <w:tcW w:w="14729" w:type="dxa"/>
            <w:gridSpan w:val="8"/>
            <w:tcBorders>
              <w:top w:val="single" w:sz="4" w:space="0" w:color="000000"/>
              <w:left w:val="single" w:sz="4" w:space="0" w:color="000000"/>
              <w:right w:val="single" w:sz="4" w:space="0" w:color="000000"/>
            </w:tcBorders>
            <w:shd w:val="clear" w:color="auto" w:fill="629CD1"/>
          </w:tcPr>
          <w:p>
            <w:pPr>
              <w:pStyle w:val="TableParagraph"/>
              <w:tabs>
                <w:tab w:pos="11044" w:val="left" w:leader="none"/>
              </w:tabs>
              <w:spacing w:line="223" w:lineRule="exact" w:before="11"/>
              <w:ind w:left="5630"/>
              <w:rPr>
                <w:b/>
                <w:sz w:val="20"/>
              </w:rPr>
            </w:pPr>
            <w:r>
              <w:rPr>
                <w:b/>
                <w:color w:val="FFFFFF"/>
                <w:sz w:val="20"/>
              </w:rPr>
              <w:t>Asset</w:t>
            </w:r>
            <w:r>
              <w:rPr>
                <w:b/>
                <w:color w:val="FFFFFF"/>
                <w:spacing w:val="-10"/>
                <w:sz w:val="20"/>
              </w:rPr>
              <w:t> </w:t>
            </w:r>
            <w:r>
              <w:rPr>
                <w:b/>
                <w:color w:val="FFFFFF"/>
                <w:sz w:val="20"/>
              </w:rPr>
              <w:t>Expenditure</w:t>
            </w:r>
            <w:r>
              <w:rPr>
                <w:b/>
                <w:color w:val="FFFFFF"/>
                <w:spacing w:val="-11"/>
                <w:sz w:val="20"/>
              </w:rPr>
              <w:t> </w:t>
            </w:r>
            <w:r>
              <w:rPr>
                <w:b/>
                <w:color w:val="FFFFFF"/>
                <w:spacing w:val="-4"/>
                <w:sz w:val="20"/>
              </w:rPr>
              <w:t>Types</w:t>
            </w:r>
            <w:r>
              <w:rPr>
                <w:b/>
                <w:color w:val="FFFFFF"/>
                <w:sz w:val="20"/>
              </w:rPr>
              <w:tab/>
              <w:t>Funding</w:t>
            </w:r>
            <w:r>
              <w:rPr>
                <w:b/>
                <w:color w:val="FFFFFF"/>
                <w:spacing w:val="-8"/>
                <w:sz w:val="20"/>
              </w:rPr>
              <w:t> </w:t>
            </w:r>
            <w:r>
              <w:rPr>
                <w:b/>
                <w:color w:val="FFFFFF"/>
                <w:spacing w:val="-2"/>
                <w:sz w:val="20"/>
              </w:rPr>
              <w:t>Sources</w:t>
            </w:r>
          </w:p>
        </w:tc>
      </w:tr>
      <w:tr>
        <w:trPr>
          <w:trHeight w:val="258" w:hRule="atLeast"/>
        </w:trPr>
        <w:tc>
          <w:tcPr>
            <w:tcW w:w="4656" w:type="dxa"/>
            <w:tcBorders>
              <w:left w:val="single" w:sz="4" w:space="0" w:color="000000"/>
            </w:tcBorders>
            <w:shd w:val="clear" w:color="auto" w:fill="629CD1"/>
          </w:tcPr>
          <w:p>
            <w:pPr>
              <w:pStyle w:val="TableParagraph"/>
              <w:spacing w:line="227" w:lineRule="exact" w:before="11"/>
              <w:ind w:left="107"/>
              <w:rPr>
                <w:b/>
                <w:sz w:val="20"/>
              </w:rPr>
            </w:pPr>
            <w:r>
              <w:rPr>
                <w:b/>
                <w:color w:val="FFFFFF"/>
                <w:spacing w:val="-2"/>
                <w:sz w:val="20"/>
              </w:rPr>
              <w:t>2026/27</w:t>
            </w:r>
          </w:p>
        </w:tc>
        <w:tc>
          <w:tcPr>
            <w:tcW w:w="1265" w:type="dxa"/>
            <w:shd w:val="clear" w:color="auto" w:fill="629CD1"/>
          </w:tcPr>
          <w:p>
            <w:pPr>
              <w:pStyle w:val="TableParagraph"/>
              <w:spacing w:line="227" w:lineRule="exact" w:before="11"/>
              <w:ind w:right="235"/>
              <w:jc w:val="right"/>
              <w:rPr>
                <w:b/>
                <w:sz w:val="20"/>
              </w:rPr>
            </w:pPr>
            <w:r>
              <w:rPr>
                <w:b/>
                <w:color w:val="FFFFFF"/>
                <w:spacing w:val="-2"/>
                <w:sz w:val="20"/>
              </w:rPr>
              <w:t>Total</w:t>
            </w:r>
          </w:p>
        </w:tc>
        <w:tc>
          <w:tcPr>
            <w:tcW w:w="1962" w:type="dxa"/>
            <w:shd w:val="clear" w:color="auto" w:fill="629CD1"/>
          </w:tcPr>
          <w:p>
            <w:pPr>
              <w:pStyle w:val="TableParagraph"/>
              <w:tabs>
                <w:tab w:pos="626" w:val="left" w:leader="none"/>
              </w:tabs>
              <w:spacing w:line="227" w:lineRule="exact" w:before="11"/>
              <w:ind w:right="186"/>
              <w:jc w:val="right"/>
              <w:rPr>
                <w:b/>
                <w:sz w:val="20"/>
              </w:rPr>
            </w:pPr>
            <w:r>
              <w:rPr>
                <w:b/>
                <w:color w:val="FFFFFF"/>
                <w:spacing w:val="-5"/>
                <w:sz w:val="20"/>
              </w:rPr>
              <w:t>New</w:t>
            </w:r>
            <w:r>
              <w:rPr>
                <w:b/>
                <w:color w:val="FFFFFF"/>
                <w:sz w:val="20"/>
              </w:rPr>
              <w:tab/>
            </w:r>
            <w:r>
              <w:rPr>
                <w:b/>
                <w:color w:val="FFFFFF"/>
                <w:spacing w:val="-2"/>
                <w:sz w:val="20"/>
              </w:rPr>
              <w:t>Renewal</w:t>
            </w:r>
          </w:p>
        </w:tc>
        <w:tc>
          <w:tcPr>
            <w:tcW w:w="1112" w:type="dxa"/>
            <w:tcBorders>
              <w:right w:val="single" w:sz="4" w:space="0" w:color="000000"/>
            </w:tcBorders>
            <w:shd w:val="clear" w:color="auto" w:fill="629CD1"/>
          </w:tcPr>
          <w:p>
            <w:pPr>
              <w:pStyle w:val="TableParagraph"/>
              <w:spacing w:line="227" w:lineRule="exact" w:before="11"/>
              <w:ind w:right="99"/>
              <w:jc w:val="right"/>
              <w:rPr>
                <w:b/>
                <w:sz w:val="20"/>
              </w:rPr>
            </w:pPr>
            <w:r>
              <w:rPr>
                <w:b/>
                <w:color w:val="FFFFFF"/>
                <w:spacing w:val="-2"/>
                <w:sz w:val="20"/>
              </w:rPr>
              <w:t>Upgrade</w:t>
            </w:r>
          </w:p>
        </w:tc>
        <w:tc>
          <w:tcPr>
            <w:tcW w:w="1538" w:type="dxa"/>
            <w:tcBorders>
              <w:left w:val="single" w:sz="4" w:space="0" w:color="000000"/>
            </w:tcBorders>
            <w:shd w:val="clear" w:color="auto" w:fill="629CD1"/>
          </w:tcPr>
          <w:p>
            <w:pPr>
              <w:pStyle w:val="TableParagraph"/>
              <w:spacing w:line="227" w:lineRule="exact" w:before="11"/>
              <w:ind w:right="323"/>
              <w:jc w:val="right"/>
              <w:rPr>
                <w:b/>
                <w:sz w:val="20"/>
              </w:rPr>
            </w:pPr>
            <w:r>
              <w:rPr>
                <w:b/>
                <w:color w:val="FFFFFF"/>
                <w:spacing w:val="-2"/>
                <w:sz w:val="20"/>
              </w:rPr>
              <w:t>Total</w:t>
            </w:r>
          </w:p>
        </w:tc>
        <w:tc>
          <w:tcPr>
            <w:tcW w:w="1106" w:type="dxa"/>
            <w:shd w:val="clear" w:color="auto" w:fill="629CD1"/>
          </w:tcPr>
          <w:p>
            <w:pPr>
              <w:pStyle w:val="TableParagraph"/>
              <w:spacing w:line="227" w:lineRule="exact" w:before="11"/>
              <w:ind w:right="119"/>
              <w:jc w:val="right"/>
              <w:rPr>
                <w:b/>
                <w:sz w:val="20"/>
              </w:rPr>
            </w:pPr>
            <w:r>
              <w:rPr>
                <w:b/>
                <w:color w:val="FFFFFF"/>
                <w:spacing w:val="-2"/>
                <w:sz w:val="20"/>
              </w:rPr>
              <w:t>Grants</w:t>
            </w:r>
          </w:p>
        </w:tc>
        <w:tc>
          <w:tcPr>
            <w:tcW w:w="1569" w:type="dxa"/>
            <w:shd w:val="clear" w:color="auto" w:fill="629CD1"/>
          </w:tcPr>
          <w:p>
            <w:pPr>
              <w:pStyle w:val="TableParagraph"/>
              <w:spacing w:line="227" w:lineRule="exact" w:before="11"/>
              <w:ind w:right="125"/>
              <w:jc w:val="right"/>
              <w:rPr>
                <w:b/>
                <w:sz w:val="20"/>
              </w:rPr>
            </w:pPr>
            <w:r>
              <w:rPr>
                <w:b/>
                <w:color w:val="FFFFFF"/>
                <w:spacing w:val="-2"/>
                <w:sz w:val="20"/>
              </w:rPr>
              <w:t>Contributions</w:t>
            </w:r>
          </w:p>
        </w:tc>
        <w:tc>
          <w:tcPr>
            <w:tcW w:w="1521" w:type="dxa"/>
            <w:tcBorders>
              <w:right w:val="single" w:sz="4" w:space="0" w:color="000000"/>
            </w:tcBorders>
            <w:shd w:val="clear" w:color="auto" w:fill="629CD1"/>
          </w:tcPr>
          <w:p>
            <w:pPr>
              <w:pStyle w:val="TableParagraph"/>
              <w:spacing w:line="227" w:lineRule="exact" w:before="11"/>
              <w:ind w:right="97"/>
              <w:jc w:val="right"/>
              <w:rPr>
                <w:b/>
                <w:sz w:val="20"/>
              </w:rPr>
            </w:pPr>
            <w:r>
              <w:rPr>
                <w:b/>
                <w:color w:val="FFFFFF"/>
                <w:sz w:val="20"/>
              </w:rPr>
              <w:t>Council</w:t>
            </w:r>
            <w:r>
              <w:rPr>
                <w:b/>
                <w:color w:val="FFFFFF"/>
                <w:spacing w:val="-8"/>
                <w:sz w:val="20"/>
              </w:rPr>
              <w:t> </w:t>
            </w:r>
            <w:r>
              <w:rPr>
                <w:b/>
                <w:color w:val="FFFFFF"/>
                <w:spacing w:val="-4"/>
                <w:sz w:val="20"/>
              </w:rPr>
              <w:t>Cash</w:t>
            </w:r>
          </w:p>
        </w:tc>
      </w:tr>
      <w:tr>
        <w:trPr>
          <w:trHeight w:val="252" w:hRule="atLeast"/>
        </w:trPr>
        <w:tc>
          <w:tcPr>
            <w:tcW w:w="4656" w:type="dxa"/>
            <w:tcBorders>
              <w:left w:val="single" w:sz="4" w:space="0" w:color="000000"/>
            </w:tcBorders>
            <w:shd w:val="clear" w:color="auto" w:fill="629CD1"/>
          </w:tcPr>
          <w:p>
            <w:pPr>
              <w:pStyle w:val="TableParagraph"/>
              <w:rPr>
                <w:rFonts w:ascii="Times New Roman"/>
                <w:sz w:val="18"/>
              </w:rPr>
            </w:pPr>
          </w:p>
        </w:tc>
        <w:tc>
          <w:tcPr>
            <w:tcW w:w="1265" w:type="dxa"/>
            <w:shd w:val="clear" w:color="auto" w:fill="629CD1"/>
          </w:tcPr>
          <w:p>
            <w:pPr>
              <w:pStyle w:val="TableParagraph"/>
              <w:spacing w:line="223" w:lineRule="exact" w:before="10"/>
              <w:ind w:right="238"/>
              <w:jc w:val="right"/>
              <w:rPr>
                <w:b/>
                <w:sz w:val="20"/>
              </w:rPr>
            </w:pPr>
            <w:r>
              <w:rPr>
                <w:b/>
                <w:color w:val="FFFFFF"/>
                <w:spacing w:val="-2"/>
                <w:sz w:val="20"/>
              </w:rPr>
              <w:t>$'000</w:t>
            </w:r>
          </w:p>
        </w:tc>
        <w:tc>
          <w:tcPr>
            <w:tcW w:w="1962" w:type="dxa"/>
            <w:shd w:val="clear" w:color="auto" w:fill="629CD1"/>
          </w:tcPr>
          <w:p>
            <w:pPr>
              <w:pStyle w:val="TableParagraph"/>
              <w:tabs>
                <w:tab w:pos="1027" w:val="left" w:leader="none"/>
              </w:tabs>
              <w:spacing w:line="223" w:lineRule="exact" w:before="10"/>
              <w:ind w:right="186"/>
              <w:jc w:val="right"/>
              <w:rPr>
                <w:b/>
                <w:sz w:val="20"/>
              </w:rPr>
            </w:pPr>
            <w:r>
              <w:rPr>
                <w:b/>
                <w:color w:val="FFFFFF"/>
                <w:spacing w:val="-2"/>
                <w:sz w:val="20"/>
              </w:rPr>
              <w:t>$'000</w:t>
            </w:r>
            <w:r>
              <w:rPr>
                <w:b/>
                <w:color w:val="FFFFFF"/>
                <w:sz w:val="20"/>
              </w:rPr>
              <w:tab/>
            </w:r>
            <w:r>
              <w:rPr>
                <w:b/>
                <w:color w:val="FFFFFF"/>
                <w:spacing w:val="-4"/>
                <w:sz w:val="20"/>
              </w:rPr>
              <w:t>$'000</w:t>
            </w:r>
          </w:p>
        </w:tc>
        <w:tc>
          <w:tcPr>
            <w:tcW w:w="1112" w:type="dxa"/>
            <w:tcBorders>
              <w:right w:val="single" w:sz="4" w:space="0" w:color="000000"/>
            </w:tcBorders>
            <w:shd w:val="clear" w:color="auto" w:fill="629CD1"/>
          </w:tcPr>
          <w:p>
            <w:pPr>
              <w:pStyle w:val="TableParagraph"/>
              <w:spacing w:line="223" w:lineRule="exact" w:before="10"/>
              <w:ind w:right="101"/>
              <w:jc w:val="right"/>
              <w:rPr>
                <w:b/>
                <w:sz w:val="20"/>
              </w:rPr>
            </w:pPr>
            <w:r>
              <w:rPr>
                <w:b/>
                <w:color w:val="FFFFFF"/>
                <w:spacing w:val="-2"/>
                <w:sz w:val="20"/>
              </w:rPr>
              <w:t>$'000</w:t>
            </w:r>
          </w:p>
        </w:tc>
        <w:tc>
          <w:tcPr>
            <w:tcW w:w="1538" w:type="dxa"/>
            <w:tcBorders>
              <w:left w:val="single" w:sz="4" w:space="0" w:color="000000"/>
            </w:tcBorders>
            <w:shd w:val="clear" w:color="auto" w:fill="629CD1"/>
          </w:tcPr>
          <w:p>
            <w:pPr>
              <w:pStyle w:val="TableParagraph"/>
              <w:spacing w:line="223" w:lineRule="exact" w:before="10"/>
              <w:ind w:right="326"/>
              <w:jc w:val="right"/>
              <w:rPr>
                <w:b/>
                <w:sz w:val="20"/>
              </w:rPr>
            </w:pPr>
            <w:r>
              <w:rPr>
                <w:b/>
                <w:color w:val="FFFFFF"/>
                <w:spacing w:val="-2"/>
                <w:sz w:val="20"/>
              </w:rPr>
              <w:t>$'000</w:t>
            </w:r>
          </w:p>
        </w:tc>
        <w:tc>
          <w:tcPr>
            <w:tcW w:w="1106" w:type="dxa"/>
            <w:shd w:val="clear" w:color="auto" w:fill="629CD1"/>
          </w:tcPr>
          <w:p>
            <w:pPr>
              <w:pStyle w:val="TableParagraph"/>
              <w:spacing w:line="223" w:lineRule="exact" w:before="10"/>
              <w:ind w:right="119"/>
              <w:jc w:val="right"/>
              <w:rPr>
                <w:b/>
                <w:sz w:val="20"/>
              </w:rPr>
            </w:pPr>
            <w:r>
              <w:rPr>
                <w:b/>
                <w:color w:val="FFFFFF"/>
                <w:spacing w:val="-2"/>
                <w:sz w:val="20"/>
              </w:rPr>
              <w:t>$'000</w:t>
            </w:r>
          </w:p>
        </w:tc>
        <w:tc>
          <w:tcPr>
            <w:tcW w:w="1569" w:type="dxa"/>
            <w:shd w:val="clear" w:color="auto" w:fill="629CD1"/>
          </w:tcPr>
          <w:p>
            <w:pPr>
              <w:pStyle w:val="TableParagraph"/>
              <w:spacing w:line="223" w:lineRule="exact" w:before="10"/>
              <w:ind w:right="128"/>
              <w:jc w:val="right"/>
              <w:rPr>
                <w:b/>
                <w:sz w:val="20"/>
              </w:rPr>
            </w:pPr>
            <w:r>
              <w:rPr>
                <w:b/>
                <w:color w:val="FFFFFF"/>
                <w:spacing w:val="-2"/>
                <w:sz w:val="20"/>
              </w:rPr>
              <w:t>$'000</w:t>
            </w:r>
          </w:p>
        </w:tc>
        <w:tc>
          <w:tcPr>
            <w:tcW w:w="1521" w:type="dxa"/>
            <w:tcBorders>
              <w:right w:val="single" w:sz="4" w:space="0" w:color="000000"/>
            </w:tcBorders>
            <w:shd w:val="clear" w:color="auto" w:fill="629CD1"/>
          </w:tcPr>
          <w:p>
            <w:pPr>
              <w:pStyle w:val="TableParagraph"/>
              <w:spacing w:line="223" w:lineRule="exact" w:before="10"/>
              <w:ind w:right="96"/>
              <w:jc w:val="right"/>
              <w:rPr>
                <w:b/>
                <w:sz w:val="20"/>
              </w:rPr>
            </w:pPr>
            <w:r>
              <w:rPr>
                <w:b/>
                <w:color w:val="FFFFFF"/>
                <w:spacing w:val="-2"/>
                <w:sz w:val="20"/>
              </w:rPr>
              <w:t>$'000</w:t>
            </w:r>
          </w:p>
        </w:tc>
      </w:tr>
      <w:tr>
        <w:trPr>
          <w:trHeight w:val="524" w:hRule="atLeast"/>
        </w:trPr>
        <w:tc>
          <w:tcPr>
            <w:tcW w:w="4656" w:type="dxa"/>
            <w:tcBorders>
              <w:left w:val="single" w:sz="4" w:space="0" w:color="000000"/>
            </w:tcBorders>
          </w:tcPr>
          <w:p>
            <w:pPr>
              <w:pStyle w:val="TableParagraph"/>
              <w:spacing w:before="2"/>
              <w:rPr>
                <w:b/>
                <w:sz w:val="24"/>
              </w:rPr>
            </w:pPr>
          </w:p>
          <w:p>
            <w:pPr>
              <w:pStyle w:val="TableParagraph"/>
              <w:spacing w:line="227" w:lineRule="exact"/>
              <w:ind w:left="107"/>
              <w:rPr>
                <w:b/>
                <w:sz w:val="20"/>
              </w:rPr>
            </w:pPr>
            <w:r>
              <w:rPr>
                <w:b/>
                <w:spacing w:val="-2"/>
                <w:sz w:val="20"/>
              </w:rPr>
              <w:t>Property</w:t>
            </w:r>
          </w:p>
        </w:tc>
        <w:tc>
          <w:tcPr>
            <w:tcW w:w="1265" w:type="dxa"/>
          </w:tcPr>
          <w:p>
            <w:pPr>
              <w:pStyle w:val="TableParagraph"/>
              <w:rPr>
                <w:rFonts w:ascii="Times New Roman"/>
                <w:sz w:val="18"/>
              </w:rPr>
            </w:pPr>
          </w:p>
        </w:tc>
        <w:tc>
          <w:tcPr>
            <w:tcW w:w="1962" w:type="dxa"/>
          </w:tcPr>
          <w:p>
            <w:pPr>
              <w:pStyle w:val="TableParagraph"/>
              <w:rPr>
                <w:rFonts w:ascii="Times New Roman"/>
                <w:sz w:val="18"/>
              </w:rPr>
            </w:pPr>
          </w:p>
        </w:tc>
        <w:tc>
          <w:tcPr>
            <w:tcW w:w="1112" w:type="dxa"/>
            <w:tcBorders>
              <w:right w:val="single" w:sz="4" w:space="0" w:color="000000"/>
            </w:tcBorders>
          </w:tcPr>
          <w:p>
            <w:pPr>
              <w:pStyle w:val="TableParagraph"/>
              <w:rPr>
                <w:rFonts w:ascii="Times New Roman"/>
                <w:sz w:val="18"/>
              </w:rPr>
            </w:pPr>
          </w:p>
        </w:tc>
        <w:tc>
          <w:tcPr>
            <w:tcW w:w="1538" w:type="dxa"/>
            <w:tcBorders>
              <w:left w:val="single" w:sz="4" w:space="0" w:color="000000"/>
            </w:tcBorders>
          </w:tcPr>
          <w:p>
            <w:pPr>
              <w:pStyle w:val="TableParagraph"/>
              <w:rPr>
                <w:rFonts w:ascii="Times New Roman"/>
                <w:sz w:val="18"/>
              </w:rPr>
            </w:pPr>
          </w:p>
        </w:tc>
        <w:tc>
          <w:tcPr>
            <w:tcW w:w="1106" w:type="dxa"/>
          </w:tcPr>
          <w:p>
            <w:pPr>
              <w:pStyle w:val="TableParagraph"/>
              <w:rPr>
                <w:rFonts w:ascii="Times New Roman"/>
                <w:sz w:val="18"/>
              </w:rPr>
            </w:pPr>
          </w:p>
        </w:tc>
        <w:tc>
          <w:tcPr>
            <w:tcW w:w="1569" w:type="dxa"/>
          </w:tcPr>
          <w:p>
            <w:pPr>
              <w:pStyle w:val="TableParagraph"/>
              <w:rPr>
                <w:rFonts w:ascii="Times New Roman"/>
                <w:sz w:val="18"/>
              </w:rPr>
            </w:pPr>
          </w:p>
        </w:tc>
        <w:tc>
          <w:tcPr>
            <w:tcW w:w="1521" w:type="dxa"/>
            <w:tcBorders>
              <w:right w:val="single" w:sz="4" w:space="0" w:color="000000"/>
            </w:tcBorders>
          </w:tcPr>
          <w:p>
            <w:pPr>
              <w:pStyle w:val="TableParagraph"/>
              <w:rPr>
                <w:rFonts w:ascii="Times New Roman"/>
                <w:sz w:val="18"/>
              </w:rPr>
            </w:pPr>
          </w:p>
        </w:tc>
      </w:tr>
      <w:tr>
        <w:trPr>
          <w:trHeight w:val="255" w:hRule="atLeast"/>
        </w:trPr>
        <w:tc>
          <w:tcPr>
            <w:tcW w:w="4656" w:type="dxa"/>
            <w:tcBorders>
              <w:left w:val="single" w:sz="4" w:space="0" w:color="000000"/>
            </w:tcBorders>
          </w:tcPr>
          <w:p>
            <w:pPr>
              <w:pStyle w:val="TableParagraph"/>
              <w:spacing w:line="226" w:lineRule="exact" w:before="10"/>
              <w:ind w:left="107"/>
              <w:rPr>
                <w:sz w:val="20"/>
              </w:rPr>
            </w:pPr>
            <w:r>
              <w:rPr>
                <w:spacing w:val="-4"/>
                <w:sz w:val="20"/>
              </w:rPr>
              <w:t>Land</w:t>
            </w:r>
          </w:p>
        </w:tc>
        <w:tc>
          <w:tcPr>
            <w:tcW w:w="1265" w:type="dxa"/>
          </w:tcPr>
          <w:p>
            <w:pPr>
              <w:pStyle w:val="TableParagraph"/>
              <w:spacing w:line="226" w:lineRule="exact" w:before="10"/>
              <w:ind w:right="235"/>
              <w:jc w:val="right"/>
              <w:rPr>
                <w:sz w:val="20"/>
              </w:rPr>
            </w:pPr>
            <w:r>
              <w:rPr>
                <w:w w:val="99"/>
                <w:sz w:val="20"/>
              </w:rPr>
              <w:t>0</w:t>
            </w:r>
          </w:p>
        </w:tc>
        <w:tc>
          <w:tcPr>
            <w:tcW w:w="1962" w:type="dxa"/>
          </w:tcPr>
          <w:p>
            <w:pPr>
              <w:pStyle w:val="TableParagraph"/>
              <w:tabs>
                <w:tab w:pos="1027" w:val="left" w:leader="none"/>
              </w:tabs>
              <w:spacing w:line="226" w:lineRule="exact" w:before="10"/>
              <w:ind w:right="183"/>
              <w:jc w:val="right"/>
              <w:rPr>
                <w:sz w:val="20"/>
              </w:rPr>
            </w:pPr>
            <w:r>
              <w:rPr>
                <w:spacing w:val="-10"/>
                <w:sz w:val="20"/>
              </w:rPr>
              <w:t>0</w:t>
            </w:r>
            <w:r>
              <w:rPr>
                <w:sz w:val="20"/>
              </w:rPr>
              <w:tab/>
            </w:r>
            <w:r>
              <w:rPr>
                <w:spacing w:val="-10"/>
                <w:sz w:val="20"/>
              </w:rPr>
              <w:t>0</w:t>
            </w:r>
          </w:p>
        </w:tc>
        <w:tc>
          <w:tcPr>
            <w:tcW w:w="1112" w:type="dxa"/>
            <w:tcBorders>
              <w:right w:val="single" w:sz="4" w:space="0" w:color="000000"/>
            </w:tcBorders>
          </w:tcPr>
          <w:p>
            <w:pPr>
              <w:pStyle w:val="TableParagraph"/>
              <w:spacing w:line="226" w:lineRule="exact" w:before="10"/>
              <w:ind w:right="98"/>
              <w:jc w:val="right"/>
              <w:rPr>
                <w:sz w:val="20"/>
              </w:rPr>
            </w:pPr>
            <w:r>
              <w:rPr>
                <w:w w:val="99"/>
                <w:sz w:val="20"/>
              </w:rPr>
              <w:t>0</w:t>
            </w:r>
          </w:p>
        </w:tc>
        <w:tc>
          <w:tcPr>
            <w:tcW w:w="1538" w:type="dxa"/>
            <w:tcBorders>
              <w:left w:val="single" w:sz="4" w:space="0" w:color="000000"/>
            </w:tcBorders>
          </w:tcPr>
          <w:p>
            <w:pPr>
              <w:pStyle w:val="TableParagraph"/>
              <w:spacing w:line="226" w:lineRule="exact" w:before="10"/>
              <w:ind w:right="323"/>
              <w:jc w:val="right"/>
              <w:rPr>
                <w:sz w:val="20"/>
              </w:rPr>
            </w:pPr>
            <w:r>
              <w:rPr>
                <w:w w:val="99"/>
                <w:sz w:val="20"/>
              </w:rPr>
              <w:t>0</w:t>
            </w:r>
          </w:p>
        </w:tc>
        <w:tc>
          <w:tcPr>
            <w:tcW w:w="1106" w:type="dxa"/>
          </w:tcPr>
          <w:p>
            <w:pPr>
              <w:pStyle w:val="TableParagraph"/>
              <w:spacing w:line="226" w:lineRule="exact" w:before="10"/>
              <w:ind w:right="116"/>
              <w:jc w:val="right"/>
              <w:rPr>
                <w:sz w:val="20"/>
              </w:rPr>
            </w:pPr>
            <w:r>
              <w:rPr>
                <w:w w:val="99"/>
                <w:sz w:val="20"/>
              </w:rPr>
              <w:t>0</w:t>
            </w:r>
          </w:p>
        </w:tc>
        <w:tc>
          <w:tcPr>
            <w:tcW w:w="1569" w:type="dxa"/>
          </w:tcPr>
          <w:p>
            <w:pPr>
              <w:pStyle w:val="TableParagraph"/>
              <w:spacing w:line="226" w:lineRule="exact" w:before="10"/>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10"/>
              <w:ind w:right="93"/>
              <w:jc w:val="right"/>
              <w:rPr>
                <w:sz w:val="20"/>
              </w:rPr>
            </w:pPr>
            <w:r>
              <w:rPr>
                <w:w w:val="99"/>
                <w:sz w:val="20"/>
              </w:rPr>
              <w:t>0</w:t>
            </w:r>
          </w:p>
        </w:tc>
      </w:tr>
      <w:tr>
        <w:trPr>
          <w:trHeight w:val="239" w:hRule="atLeast"/>
        </w:trPr>
        <w:tc>
          <w:tcPr>
            <w:tcW w:w="4656" w:type="dxa"/>
            <w:tcBorders>
              <w:left w:val="single" w:sz="4" w:space="0" w:color="000000"/>
            </w:tcBorders>
          </w:tcPr>
          <w:p>
            <w:pPr>
              <w:pStyle w:val="TableParagraph"/>
              <w:spacing w:line="211" w:lineRule="exact" w:before="8"/>
              <w:ind w:left="107"/>
              <w:rPr>
                <w:sz w:val="20"/>
              </w:rPr>
            </w:pPr>
            <w:r>
              <w:rPr>
                <w:sz w:val="20"/>
              </w:rPr>
              <w:t>Land</w:t>
            </w:r>
            <w:r>
              <w:rPr>
                <w:spacing w:val="-7"/>
                <w:sz w:val="20"/>
              </w:rPr>
              <w:t> </w:t>
            </w:r>
            <w:r>
              <w:rPr>
                <w:spacing w:val="-2"/>
                <w:sz w:val="20"/>
              </w:rPr>
              <w:t>improvements</w:t>
            </w:r>
          </w:p>
        </w:tc>
        <w:tc>
          <w:tcPr>
            <w:tcW w:w="1265" w:type="dxa"/>
            <w:tcBorders>
              <w:bottom w:val="single" w:sz="4" w:space="0" w:color="000000"/>
            </w:tcBorders>
          </w:tcPr>
          <w:p>
            <w:pPr>
              <w:pStyle w:val="TableParagraph"/>
              <w:spacing w:line="211" w:lineRule="exact" w:before="8"/>
              <w:ind w:right="235"/>
              <w:jc w:val="right"/>
              <w:rPr>
                <w:sz w:val="20"/>
              </w:rPr>
            </w:pPr>
            <w:r>
              <w:rPr>
                <w:w w:val="99"/>
                <w:sz w:val="20"/>
              </w:rPr>
              <w:t>0</w:t>
            </w:r>
          </w:p>
        </w:tc>
        <w:tc>
          <w:tcPr>
            <w:tcW w:w="1962" w:type="dxa"/>
            <w:tcBorders>
              <w:bottom w:val="single" w:sz="4" w:space="0" w:color="000000"/>
            </w:tcBorders>
          </w:tcPr>
          <w:p>
            <w:pPr>
              <w:pStyle w:val="TableParagraph"/>
              <w:tabs>
                <w:tab w:pos="1027" w:val="left" w:leader="none"/>
              </w:tabs>
              <w:spacing w:line="211" w:lineRule="exact" w:before="8"/>
              <w:ind w:right="183"/>
              <w:jc w:val="right"/>
              <w:rPr>
                <w:sz w:val="20"/>
              </w:rPr>
            </w:pPr>
            <w:r>
              <w:rPr>
                <w:spacing w:val="-10"/>
                <w:sz w:val="20"/>
              </w:rPr>
              <w:t>0</w:t>
            </w:r>
            <w:r>
              <w:rPr>
                <w:sz w:val="20"/>
              </w:rPr>
              <w:tab/>
            </w:r>
            <w:r>
              <w:rPr>
                <w:spacing w:val="-10"/>
                <w:sz w:val="20"/>
              </w:rPr>
              <w:t>0</w:t>
            </w:r>
          </w:p>
        </w:tc>
        <w:tc>
          <w:tcPr>
            <w:tcW w:w="1112" w:type="dxa"/>
            <w:tcBorders>
              <w:bottom w:val="single" w:sz="4" w:space="0" w:color="000000"/>
              <w:right w:val="single" w:sz="4" w:space="0" w:color="000000"/>
            </w:tcBorders>
          </w:tcPr>
          <w:p>
            <w:pPr>
              <w:pStyle w:val="TableParagraph"/>
              <w:spacing w:line="211" w:lineRule="exact" w:before="8"/>
              <w:ind w:right="98"/>
              <w:jc w:val="right"/>
              <w:rPr>
                <w:sz w:val="20"/>
              </w:rPr>
            </w:pPr>
            <w:r>
              <w:rPr>
                <w:w w:val="99"/>
                <w:sz w:val="20"/>
              </w:rPr>
              <w:t>0</w:t>
            </w:r>
          </w:p>
        </w:tc>
        <w:tc>
          <w:tcPr>
            <w:tcW w:w="1538" w:type="dxa"/>
            <w:tcBorders>
              <w:left w:val="single" w:sz="4" w:space="0" w:color="000000"/>
              <w:bottom w:val="single" w:sz="4" w:space="0" w:color="000000"/>
            </w:tcBorders>
          </w:tcPr>
          <w:p>
            <w:pPr>
              <w:pStyle w:val="TableParagraph"/>
              <w:spacing w:line="211" w:lineRule="exact" w:before="8"/>
              <w:ind w:right="323"/>
              <w:jc w:val="right"/>
              <w:rPr>
                <w:sz w:val="20"/>
              </w:rPr>
            </w:pPr>
            <w:r>
              <w:rPr>
                <w:w w:val="99"/>
                <w:sz w:val="20"/>
              </w:rPr>
              <w:t>0</w:t>
            </w:r>
          </w:p>
        </w:tc>
        <w:tc>
          <w:tcPr>
            <w:tcW w:w="1106" w:type="dxa"/>
            <w:tcBorders>
              <w:bottom w:val="single" w:sz="4" w:space="0" w:color="000000"/>
            </w:tcBorders>
          </w:tcPr>
          <w:p>
            <w:pPr>
              <w:pStyle w:val="TableParagraph"/>
              <w:spacing w:line="211" w:lineRule="exact" w:before="8"/>
              <w:ind w:right="116"/>
              <w:jc w:val="right"/>
              <w:rPr>
                <w:sz w:val="20"/>
              </w:rPr>
            </w:pPr>
            <w:r>
              <w:rPr>
                <w:w w:val="99"/>
                <w:sz w:val="20"/>
              </w:rPr>
              <w:t>0</w:t>
            </w:r>
          </w:p>
        </w:tc>
        <w:tc>
          <w:tcPr>
            <w:tcW w:w="1569" w:type="dxa"/>
            <w:tcBorders>
              <w:bottom w:val="single" w:sz="4" w:space="0" w:color="000000"/>
            </w:tcBorders>
          </w:tcPr>
          <w:p>
            <w:pPr>
              <w:pStyle w:val="TableParagraph"/>
              <w:spacing w:line="211" w:lineRule="exact" w:before="8"/>
              <w:ind w:right="125"/>
              <w:jc w:val="right"/>
              <w:rPr>
                <w:sz w:val="20"/>
              </w:rPr>
            </w:pPr>
            <w:r>
              <w:rPr>
                <w:w w:val="99"/>
                <w:sz w:val="20"/>
              </w:rPr>
              <w:t>0</w:t>
            </w:r>
          </w:p>
        </w:tc>
        <w:tc>
          <w:tcPr>
            <w:tcW w:w="1521" w:type="dxa"/>
            <w:tcBorders>
              <w:bottom w:val="single" w:sz="4" w:space="0" w:color="000000"/>
              <w:right w:val="single" w:sz="4" w:space="0" w:color="000000"/>
            </w:tcBorders>
          </w:tcPr>
          <w:p>
            <w:pPr>
              <w:pStyle w:val="TableParagraph"/>
              <w:spacing w:line="211" w:lineRule="exact" w:before="8"/>
              <w:ind w:right="93"/>
              <w:jc w:val="right"/>
              <w:rPr>
                <w:sz w:val="20"/>
              </w:rPr>
            </w:pPr>
            <w:r>
              <w:rPr>
                <w:w w:val="99"/>
                <w:sz w:val="20"/>
              </w:rPr>
              <w:t>0</w:t>
            </w:r>
          </w:p>
        </w:tc>
      </w:tr>
      <w:tr>
        <w:trPr>
          <w:trHeight w:val="253" w:hRule="atLeast"/>
        </w:trPr>
        <w:tc>
          <w:tcPr>
            <w:tcW w:w="4656"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4"/>
                <w:sz w:val="20"/>
              </w:rPr>
              <w:t>Land</w:t>
            </w:r>
          </w:p>
        </w:tc>
        <w:tc>
          <w:tcPr>
            <w:tcW w:w="1265" w:type="dxa"/>
            <w:tcBorders>
              <w:top w:val="single" w:sz="4" w:space="0" w:color="000000"/>
              <w:bottom w:val="single" w:sz="4" w:space="0" w:color="000000"/>
            </w:tcBorders>
          </w:tcPr>
          <w:p>
            <w:pPr>
              <w:pStyle w:val="TableParagraph"/>
              <w:spacing w:line="211" w:lineRule="exact" w:before="23"/>
              <w:ind w:right="235"/>
              <w:jc w:val="right"/>
              <w:rPr>
                <w:sz w:val="20"/>
              </w:rPr>
            </w:pPr>
            <w:r>
              <w:rPr>
                <w:w w:val="99"/>
                <w:sz w:val="20"/>
              </w:rPr>
              <w:t>0</w:t>
            </w:r>
          </w:p>
        </w:tc>
        <w:tc>
          <w:tcPr>
            <w:tcW w:w="1962" w:type="dxa"/>
            <w:tcBorders>
              <w:top w:val="single" w:sz="4" w:space="0" w:color="000000"/>
              <w:bottom w:val="single" w:sz="4" w:space="0" w:color="000000"/>
            </w:tcBorders>
          </w:tcPr>
          <w:p>
            <w:pPr>
              <w:pStyle w:val="TableParagraph"/>
              <w:tabs>
                <w:tab w:pos="1027" w:val="left" w:leader="none"/>
              </w:tabs>
              <w:spacing w:line="211" w:lineRule="exact" w:before="23"/>
              <w:ind w:right="183"/>
              <w:jc w:val="right"/>
              <w:rPr>
                <w:sz w:val="20"/>
              </w:rPr>
            </w:pPr>
            <w:r>
              <w:rPr>
                <w:spacing w:val="-10"/>
                <w:sz w:val="20"/>
              </w:rPr>
              <w:t>0</w:t>
            </w:r>
            <w:r>
              <w:rPr>
                <w:sz w:val="20"/>
              </w:rPr>
              <w:tab/>
            </w:r>
            <w:r>
              <w:rPr>
                <w:spacing w:val="-10"/>
                <w:sz w:val="20"/>
              </w:rPr>
              <w:t>0</w:t>
            </w:r>
          </w:p>
        </w:tc>
        <w:tc>
          <w:tcPr>
            <w:tcW w:w="1112" w:type="dxa"/>
            <w:tcBorders>
              <w:top w:val="single" w:sz="4" w:space="0" w:color="000000"/>
              <w:bottom w:val="single" w:sz="4" w:space="0" w:color="000000"/>
              <w:right w:val="single" w:sz="4" w:space="0" w:color="000000"/>
            </w:tcBorders>
          </w:tcPr>
          <w:p>
            <w:pPr>
              <w:pStyle w:val="TableParagraph"/>
              <w:spacing w:line="211" w:lineRule="exact" w:before="23"/>
              <w:ind w:right="98"/>
              <w:jc w:val="right"/>
              <w:rPr>
                <w:sz w:val="20"/>
              </w:rPr>
            </w:pPr>
            <w:r>
              <w:rPr>
                <w:w w:val="99"/>
                <w:sz w:val="20"/>
              </w:rPr>
              <w:t>0</w:t>
            </w:r>
          </w:p>
        </w:tc>
        <w:tc>
          <w:tcPr>
            <w:tcW w:w="1538" w:type="dxa"/>
            <w:tcBorders>
              <w:top w:val="single" w:sz="4" w:space="0" w:color="000000"/>
              <w:left w:val="single" w:sz="4" w:space="0" w:color="000000"/>
              <w:bottom w:val="single" w:sz="4" w:space="0" w:color="000000"/>
            </w:tcBorders>
          </w:tcPr>
          <w:p>
            <w:pPr>
              <w:pStyle w:val="TableParagraph"/>
              <w:spacing w:line="211" w:lineRule="exact" w:before="23"/>
              <w:ind w:right="323"/>
              <w:jc w:val="right"/>
              <w:rPr>
                <w:sz w:val="20"/>
              </w:rPr>
            </w:pPr>
            <w:r>
              <w:rPr>
                <w:w w:val="99"/>
                <w:sz w:val="20"/>
              </w:rPr>
              <w:t>0</w:t>
            </w:r>
          </w:p>
        </w:tc>
        <w:tc>
          <w:tcPr>
            <w:tcW w:w="1106" w:type="dxa"/>
            <w:tcBorders>
              <w:top w:val="single" w:sz="4" w:space="0" w:color="000000"/>
              <w:bottom w:val="single" w:sz="4" w:space="0" w:color="000000"/>
            </w:tcBorders>
          </w:tcPr>
          <w:p>
            <w:pPr>
              <w:pStyle w:val="TableParagraph"/>
              <w:spacing w:line="211" w:lineRule="exact" w:before="23"/>
              <w:ind w:right="116"/>
              <w:jc w:val="right"/>
              <w:rPr>
                <w:sz w:val="20"/>
              </w:rPr>
            </w:pPr>
            <w:r>
              <w:rPr>
                <w:w w:val="99"/>
                <w:sz w:val="20"/>
              </w:rPr>
              <w:t>0</w:t>
            </w:r>
          </w:p>
        </w:tc>
        <w:tc>
          <w:tcPr>
            <w:tcW w:w="1569" w:type="dxa"/>
            <w:tcBorders>
              <w:top w:val="single" w:sz="4" w:space="0" w:color="000000"/>
              <w:bottom w:val="single" w:sz="4" w:space="0" w:color="000000"/>
            </w:tcBorders>
          </w:tcPr>
          <w:p>
            <w:pPr>
              <w:pStyle w:val="TableParagraph"/>
              <w:spacing w:line="211" w:lineRule="exact" w:before="23"/>
              <w:ind w:right="125"/>
              <w:jc w:val="right"/>
              <w:rPr>
                <w:sz w:val="20"/>
              </w:rPr>
            </w:pPr>
            <w:r>
              <w:rPr>
                <w:w w:val="99"/>
                <w:sz w:val="20"/>
              </w:rPr>
              <w:t>0</w:t>
            </w:r>
          </w:p>
        </w:tc>
        <w:tc>
          <w:tcPr>
            <w:tcW w:w="1521" w:type="dxa"/>
            <w:tcBorders>
              <w:top w:val="single" w:sz="4" w:space="0" w:color="000000"/>
              <w:bottom w:val="single" w:sz="4" w:space="0" w:color="000000"/>
              <w:right w:val="single" w:sz="4" w:space="0" w:color="000000"/>
            </w:tcBorders>
          </w:tcPr>
          <w:p>
            <w:pPr>
              <w:pStyle w:val="TableParagraph"/>
              <w:spacing w:line="211" w:lineRule="exact" w:before="23"/>
              <w:ind w:right="93"/>
              <w:jc w:val="right"/>
              <w:rPr>
                <w:sz w:val="20"/>
              </w:rPr>
            </w:pPr>
            <w:r>
              <w:rPr>
                <w:w w:val="99"/>
                <w:sz w:val="20"/>
              </w:rPr>
              <w:t>0</w:t>
            </w:r>
          </w:p>
        </w:tc>
      </w:tr>
      <w:tr>
        <w:trPr>
          <w:trHeight w:val="256" w:hRule="atLeast"/>
        </w:trPr>
        <w:tc>
          <w:tcPr>
            <w:tcW w:w="4656" w:type="dxa"/>
            <w:tcBorders>
              <w:left w:val="single" w:sz="4" w:space="0" w:color="000000"/>
            </w:tcBorders>
          </w:tcPr>
          <w:p>
            <w:pPr>
              <w:pStyle w:val="TableParagraph"/>
              <w:spacing w:line="211" w:lineRule="exact" w:before="26"/>
              <w:ind w:left="107"/>
              <w:rPr>
                <w:sz w:val="20"/>
              </w:rPr>
            </w:pPr>
            <w:r>
              <w:rPr>
                <w:spacing w:val="-2"/>
                <w:sz w:val="20"/>
              </w:rPr>
              <w:t>Buildings</w:t>
            </w:r>
          </w:p>
        </w:tc>
        <w:tc>
          <w:tcPr>
            <w:tcW w:w="1265" w:type="dxa"/>
            <w:tcBorders>
              <w:top w:val="single" w:sz="4" w:space="0" w:color="000000"/>
              <w:bottom w:val="single" w:sz="4" w:space="0" w:color="000000"/>
            </w:tcBorders>
          </w:tcPr>
          <w:p>
            <w:pPr>
              <w:pStyle w:val="TableParagraph"/>
              <w:spacing w:line="211" w:lineRule="exact" w:before="26"/>
              <w:ind w:right="238"/>
              <w:jc w:val="right"/>
              <w:rPr>
                <w:sz w:val="20"/>
              </w:rPr>
            </w:pPr>
            <w:r>
              <w:rPr>
                <w:spacing w:val="-2"/>
                <w:sz w:val="20"/>
              </w:rPr>
              <w:t>27,609</w:t>
            </w:r>
          </w:p>
        </w:tc>
        <w:tc>
          <w:tcPr>
            <w:tcW w:w="1962" w:type="dxa"/>
            <w:tcBorders>
              <w:top w:val="single" w:sz="4" w:space="0" w:color="000000"/>
              <w:bottom w:val="single" w:sz="4" w:space="0" w:color="000000"/>
            </w:tcBorders>
          </w:tcPr>
          <w:p>
            <w:pPr>
              <w:pStyle w:val="TableParagraph"/>
              <w:tabs>
                <w:tab w:pos="916" w:val="left" w:leader="none"/>
              </w:tabs>
              <w:spacing w:line="211" w:lineRule="exact" w:before="26"/>
              <w:ind w:right="186"/>
              <w:jc w:val="right"/>
              <w:rPr>
                <w:sz w:val="20"/>
              </w:rPr>
            </w:pPr>
            <w:r>
              <w:rPr>
                <w:spacing w:val="-2"/>
                <w:sz w:val="20"/>
              </w:rPr>
              <w:t>1,000</w:t>
            </w:r>
            <w:r>
              <w:rPr>
                <w:sz w:val="20"/>
              </w:rPr>
              <w:tab/>
            </w:r>
            <w:r>
              <w:rPr>
                <w:spacing w:val="-2"/>
                <w:sz w:val="20"/>
              </w:rPr>
              <w:t>20,859</w:t>
            </w:r>
          </w:p>
        </w:tc>
        <w:tc>
          <w:tcPr>
            <w:tcW w:w="1112"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sz w:val="20"/>
              </w:rPr>
            </w:pPr>
            <w:r>
              <w:rPr>
                <w:spacing w:val="-2"/>
                <w:sz w:val="20"/>
              </w:rPr>
              <w:t>5,750</w:t>
            </w:r>
          </w:p>
        </w:tc>
        <w:tc>
          <w:tcPr>
            <w:tcW w:w="1538" w:type="dxa"/>
            <w:tcBorders>
              <w:top w:val="single" w:sz="4" w:space="0" w:color="000000"/>
              <w:left w:val="single" w:sz="4" w:space="0" w:color="000000"/>
              <w:bottom w:val="single" w:sz="4" w:space="0" w:color="000000"/>
            </w:tcBorders>
          </w:tcPr>
          <w:p>
            <w:pPr>
              <w:pStyle w:val="TableParagraph"/>
              <w:spacing w:line="211" w:lineRule="exact" w:before="26"/>
              <w:ind w:right="326"/>
              <w:jc w:val="right"/>
              <w:rPr>
                <w:sz w:val="20"/>
              </w:rPr>
            </w:pPr>
            <w:r>
              <w:rPr>
                <w:spacing w:val="-2"/>
                <w:sz w:val="20"/>
              </w:rPr>
              <w:t>27,609</w:t>
            </w:r>
          </w:p>
        </w:tc>
        <w:tc>
          <w:tcPr>
            <w:tcW w:w="1106" w:type="dxa"/>
            <w:tcBorders>
              <w:top w:val="single" w:sz="4" w:space="0" w:color="000000"/>
              <w:bottom w:val="single" w:sz="4" w:space="0" w:color="000000"/>
            </w:tcBorders>
          </w:tcPr>
          <w:p>
            <w:pPr>
              <w:pStyle w:val="TableParagraph"/>
              <w:spacing w:line="211" w:lineRule="exact" w:before="26"/>
              <w:ind w:right="118"/>
              <w:jc w:val="right"/>
              <w:rPr>
                <w:sz w:val="20"/>
              </w:rPr>
            </w:pPr>
            <w:r>
              <w:rPr>
                <w:spacing w:val="-2"/>
                <w:sz w:val="20"/>
              </w:rPr>
              <w:t>6,500</w:t>
            </w:r>
          </w:p>
        </w:tc>
        <w:tc>
          <w:tcPr>
            <w:tcW w:w="1569" w:type="dxa"/>
            <w:tcBorders>
              <w:top w:val="single" w:sz="4" w:space="0" w:color="000000"/>
              <w:bottom w:val="single" w:sz="4" w:space="0" w:color="000000"/>
            </w:tcBorders>
          </w:tcPr>
          <w:p>
            <w:pPr>
              <w:pStyle w:val="TableParagraph"/>
              <w:spacing w:line="211" w:lineRule="exact" w:before="26"/>
              <w:ind w:right="128"/>
              <w:jc w:val="right"/>
              <w:rPr>
                <w:sz w:val="20"/>
              </w:rPr>
            </w:pPr>
            <w:r>
              <w:rPr>
                <w:spacing w:val="-5"/>
                <w:sz w:val="20"/>
              </w:rPr>
              <w:t>200</w:t>
            </w:r>
          </w:p>
        </w:tc>
        <w:tc>
          <w:tcPr>
            <w:tcW w:w="1521" w:type="dxa"/>
            <w:tcBorders>
              <w:top w:val="single" w:sz="4" w:space="0" w:color="000000"/>
              <w:bottom w:val="single" w:sz="4" w:space="0" w:color="000000"/>
              <w:right w:val="single" w:sz="4" w:space="0" w:color="000000"/>
            </w:tcBorders>
          </w:tcPr>
          <w:p>
            <w:pPr>
              <w:pStyle w:val="TableParagraph"/>
              <w:spacing w:line="211" w:lineRule="exact" w:before="26"/>
              <w:ind w:right="96"/>
              <w:jc w:val="right"/>
              <w:rPr>
                <w:sz w:val="20"/>
              </w:rPr>
            </w:pPr>
            <w:r>
              <w:rPr>
                <w:spacing w:val="-2"/>
                <w:sz w:val="20"/>
              </w:rPr>
              <w:t>20,909</w:t>
            </w:r>
          </w:p>
        </w:tc>
      </w:tr>
      <w:tr>
        <w:trPr>
          <w:trHeight w:val="254" w:hRule="atLeast"/>
        </w:trPr>
        <w:tc>
          <w:tcPr>
            <w:tcW w:w="4656"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Buildings</w:t>
            </w:r>
          </w:p>
        </w:tc>
        <w:tc>
          <w:tcPr>
            <w:tcW w:w="1265" w:type="dxa"/>
            <w:tcBorders>
              <w:top w:val="single" w:sz="4" w:space="0" w:color="000000"/>
              <w:bottom w:val="single" w:sz="4" w:space="0" w:color="000000"/>
            </w:tcBorders>
          </w:tcPr>
          <w:p>
            <w:pPr>
              <w:pStyle w:val="TableParagraph"/>
              <w:spacing w:line="211" w:lineRule="exact" w:before="23"/>
              <w:ind w:right="238"/>
              <w:jc w:val="right"/>
              <w:rPr>
                <w:sz w:val="20"/>
              </w:rPr>
            </w:pPr>
            <w:r>
              <w:rPr>
                <w:spacing w:val="-2"/>
                <w:sz w:val="20"/>
              </w:rPr>
              <w:t>27,609</w:t>
            </w:r>
          </w:p>
        </w:tc>
        <w:tc>
          <w:tcPr>
            <w:tcW w:w="1962" w:type="dxa"/>
            <w:tcBorders>
              <w:top w:val="single" w:sz="4" w:space="0" w:color="000000"/>
              <w:bottom w:val="single" w:sz="4" w:space="0" w:color="000000"/>
            </w:tcBorders>
          </w:tcPr>
          <w:p>
            <w:pPr>
              <w:pStyle w:val="TableParagraph"/>
              <w:tabs>
                <w:tab w:pos="916" w:val="left" w:leader="none"/>
              </w:tabs>
              <w:spacing w:line="211" w:lineRule="exact" w:before="23"/>
              <w:ind w:right="186"/>
              <w:jc w:val="right"/>
              <w:rPr>
                <w:sz w:val="20"/>
              </w:rPr>
            </w:pPr>
            <w:r>
              <w:rPr>
                <w:spacing w:val="-2"/>
                <w:sz w:val="20"/>
              </w:rPr>
              <w:t>1,000</w:t>
            </w:r>
            <w:r>
              <w:rPr>
                <w:sz w:val="20"/>
              </w:rPr>
              <w:tab/>
            </w:r>
            <w:r>
              <w:rPr>
                <w:spacing w:val="-2"/>
                <w:sz w:val="20"/>
              </w:rPr>
              <w:t>20,859</w:t>
            </w:r>
          </w:p>
        </w:tc>
        <w:tc>
          <w:tcPr>
            <w:tcW w:w="1112"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sz w:val="20"/>
              </w:rPr>
            </w:pPr>
            <w:r>
              <w:rPr>
                <w:spacing w:val="-2"/>
                <w:sz w:val="20"/>
              </w:rPr>
              <w:t>5,750</w:t>
            </w:r>
          </w:p>
        </w:tc>
        <w:tc>
          <w:tcPr>
            <w:tcW w:w="1538" w:type="dxa"/>
            <w:tcBorders>
              <w:top w:val="single" w:sz="4" w:space="0" w:color="000000"/>
              <w:left w:val="single" w:sz="4" w:space="0" w:color="000000"/>
              <w:bottom w:val="single" w:sz="4" w:space="0" w:color="000000"/>
            </w:tcBorders>
          </w:tcPr>
          <w:p>
            <w:pPr>
              <w:pStyle w:val="TableParagraph"/>
              <w:spacing w:line="211" w:lineRule="exact" w:before="23"/>
              <w:ind w:right="326"/>
              <w:jc w:val="right"/>
              <w:rPr>
                <w:sz w:val="20"/>
              </w:rPr>
            </w:pPr>
            <w:r>
              <w:rPr>
                <w:spacing w:val="-2"/>
                <w:sz w:val="20"/>
              </w:rPr>
              <w:t>27,609</w:t>
            </w:r>
          </w:p>
        </w:tc>
        <w:tc>
          <w:tcPr>
            <w:tcW w:w="1106" w:type="dxa"/>
            <w:tcBorders>
              <w:top w:val="single" w:sz="4" w:space="0" w:color="000000"/>
              <w:bottom w:val="single" w:sz="4" w:space="0" w:color="000000"/>
            </w:tcBorders>
          </w:tcPr>
          <w:p>
            <w:pPr>
              <w:pStyle w:val="TableParagraph"/>
              <w:spacing w:line="211" w:lineRule="exact" w:before="23"/>
              <w:ind w:right="118"/>
              <w:jc w:val="right"/>
              <w:rPr>
                <w:sz w:val="20"/>
              </w:rPr>
            </w:pPr>
            <w:r>
              <w:rPr>
                <w:spacing w:val="-2"/>
                <w:sz w:val="20"/>
              </w:rPr>
              <w:t>6,500</w:t>
            </w:r>
          </w:p>
        </w:tc>
        <w:tc>
          <w:tcPr>
            <w:tcW w:w="1569" w:type="dxa"/>
            <w:tcBorders>
              <w:top w:val="single" w:sz="4" w:space="0" w:color="000000"/>
              <w:bottom w:val="single" w:sz="4" w:space="0" w:color="000000"/>
            </w:tcBorders>
          </w:tcPr>
          <w:p>
            <w:pPr>
              <w:pStyle w:val="TableParagraph"/>
              <w:spacing w:line="211" w:lineRule="exact" w:before="23"/>
              <w:ind w:right="128"/>
              <w:jc w:val="right"/>
              <w:rPr>
                <w:sz w:val="20"/>
              </w:rPr>
            </w:pPr>
            <w:r>
              <w:rPr>
                <w:spacing w:val="-5"/>
                <w:sz w:val="20"/>
              </w:rPr>
              <w:t>200</w:t>
            </w:r>
          </w:p>
        </w:tc>
        <w:tc>
          <w:tcPr>
            <w:tcW w:w="1521" w:type="dxa"/>
            <w:tcBorders>
              <w:top w:val="single" w:sz="4" w:space="0" w:color="000000"/>
              <w:bottom w:val="single" w:sz="4" w:space="0" w:color="000000"/>
              <w:right w:val="single" w:sz="4" w:space="0" w:color="000000"/>
            </w:tcBorders>
          </w:tcPr>
          <w:p>
            <w:pPr>
              <w:pStyle w:val="TableParagraph"/>
              <w:spacing w:line="211" w:lineRule="exact" w:before="23"/>
              <w:ind w:right="96"/>
              <w:jc w:val="right"/>
              <w:rPr>
                <w:sz w:val="20"/>
              </w:rPr>
            </w:pPr>
            <w:r>
              <w:rPr>
                <w:spacing w:val="-2"/>
                <w:sz w:val="20"/>
              </w:rPr>
              <w:t>20,909</w:t>
            </w:r>
          </w:p>
        </w:tc>
      </w:tr>
      <w:tr>
        <w:trPr>
          <w:trHeight w:val="256" w:hRule="atLeast"/>
        </w:trPr>
        <w:tc>
          <w:tcPr>
            <w:tcW w:w="4656"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Property</w:t>
            </w:r>
          </w:p>
        </w:tc>
        <w:tc>
          <w:tcPr>
            <w:tcW w:w="1265" w:type="dxa"/>
            <w:tcBorders>
              <w:top w:val="single" w:sz="4" w:space="0" w:color="000000"/>
              <w:bottom w:val="single" w:sz="4" w:space="0" w:color="000000"/>
            </w:tcBorders>
          </w:tcPr>
          <w:p>
            <w:pPr>
              <w:pStyle w:val="TableParagraph"/>
              <w:spacing w:line="211" w:lineRule="exact" w:before="26"/>
              <w:ind w:right="238"/>
              <w:jc w:val="right"/>
              <w:rPr>
                <w:b/>
                <w:sz w:val="20"/>
              </w:rPr>
            </w:pPr>
            <w:r>
              <w:rPr>
                <w:b/>
                <w:spacing w:val="-2"/>
                <w:sz w:val="20"/>
              </w:rPr>
              <w:t>27,609</w:t>
            </w:r>
          </w:p>
        </w:tc>
        <w:tc>
          <w:tcPr>
            <w:tcW w:w="1962" w:type="dxa"/>
            <w:tcBorders>
              <w:top w:val="single" w:sz="4" w:space="0" w:color="000000"/>
              <w:bottom w:val="single" w:sz="4" w:space="0" w:color="000000"/>
            </w:tcBorders>
          </w:tcPr>
          <w:p>
            <w:pPr>
              <w:pStyle w:val="TableParagraph"/>
              <w:tabs>
                <w:tab w:pos="916" w:val="left" w:leader="none"/>
              </w:tabs>
              <w:spacing w:line="211" w:lineRule="exact" w:before="26"/>
              <w:ind w:right="186"/>
              <w:jc w:val="right"/>
              <w:rPr>
                <w:b/>
                <w:sz w:val="20"/>
              </w:rPr>
            </w:pPr>
            <w:r>
              <w:rPr>
                <w:b/>
                <w:spacing w:val="-2"/>
                <w:sz w:val="20"/>
              </w:rPr>
              <w:t>1,000</w:t>
            </w:r>
            <w:r>
              <w:rPr>
                <w:b/>
                <w:sz w:val="20"/>
              </w:rPr>
              <w:tab/>
            </w:r>
            <w:r>
              <w:rPr>
                <w:b/>
                <w:spacing w:val="-2"/>
                <w:sz w:val="20"/>
              </w:rPr>
              <w:t>20,859</w:t>
            </w:r>
          </w:p>
        </w:tc>
        <w:tc>
          <w:tcPr>
            <w:tcW w:w="1112"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b/>
                <w:sz w:val="20"/>
              </w:rPr>
            </w:pPr>
            <w:r>
              <w:rPr>
                <w:b/>
                <w:spacing w:val="-2"/>
                <w:sz w:val="20"/>
              </w:rPr>
              <w:t>5,750</w:t>
            </w:r>
          </w:p>
        </w:tc>
        <w:tc>
          <w:tcPr>
            <w:tcW w:w="1538" w:type="dxa"/>
            <w:tcBorders>
              <w:top w:val="single" w:sz="4" w:space="0" w:color="000000"/>
              <w:left w:val="single" w:sz="4" w:space="0" w:color="000000"/>
              <w:bottom w:val="single" w:sz="4" w:space="0" w:color="000000"/>
            </w:tcBorders>
          </w:tcPr>
          <w:p>
            <w:pPr>
              <w:pStyle w:val="TableParagraph"/>
              <w:spacing w:line="211" w:lineRule="exact" w:before="26"/>
              <w:ind w:right="326"/>
              <w:jc w:val="right"/>
              <w:rPr>
                <w:b/>
                <w:sz w:val="20"/>
              </w:rPr>
            </w:pPr>
            <w:r>
              <w:rPr>
                <w:b/>
                <w:spacing w:val="-2"/>
                <w:sz w:val="20"/>
              </w:rPr>
              <w:t>27,609</w:t>
            </w:r>
          </w:p>
        </w:tc>
        <w:tc>
          <w:tcPr>
            <w:tcW w:w="1106" w:type="dxa"/>
            <w:tcBorders>
              <w:top w:val="single" w:sz="4" w:space="0" w:color="000000"/>
              <w:bottom w:val="single" w:sz="4" w:space="0" w:color="000000"/>
            </w:tcBorders>
          </w:tcPr>
          <w:p>
            <w:pPr>
              <w:pStyle w:val="TableParagraph"/>
              <w:spacing w:line="211" w:lineRule="exact" w:before="26"/>
              <w:ind w:right="118"/>
              <w:jc w:val="right"/>
              <w:rPr>
                <w:b/>
                <w:sz w:val="20"/>
              </w:rPr>
            </w:pPr>
            <w:r>
              <w:rPr>
                <w:b/>
                <w:spacing w:val="-2"/>
                <w:sz w:val="20"/>
              </w:rPr>
              <w:t>6,500</w:t>
            </w:r>
          </w:p>
        </w:tc>
        <w:tc>
          <w:tcPr>
            <w:tcW w:w="1569" w:type="dxa"/>
            <w:tcBorders>
              <w:top w:val="single" w:sz="4" w:space="0" w:color="000000"/>
              <w:bottom w:val="single" w:sz="4" w:space="0" w:color="000000"/>
            </w:tcBorders>
          </w:tcPr>
          <w:p>
            <w:pPr>
              <w:pStyle w:val="TableParagraph"/>
              <w:spacing w:line="211" w:lineRule="exact" w:before="26"/>
              <w:ind w:right="128"/>
              <w:jc w:val="right"/>
              <w:rPr>
                <w:b/>
                <w:sz w:val="20"/>
              </w:rPr>
            </w:pPr>
            <w:r>
              <w:rPr>
                <w:b/>
                <w:spacing w:val="-5"/>
                <w:sz w:val="20"/>
              </w:rPr>
              <w:t>200</w:t>
            </w:r>
          </w:p>
        </w:tc>
        <w:tc>
          <w:tcPr>
            <w:tcW w:w="1521" w:type="dxa"/>
            <w:tcBorders>
              <w:top w:val="single" w:sz="4" w:space="0" w:color="000000"/>
              <w:bottom w:val="single" w:sz="4" w:space="0" w:color="000000"/>
              <w:right w:val="single" w:sz="4" w:space="0" w:color="000000"/>
            </w:tcBorders>
          </w:tcPr>
          <w:p>
            <w:pPr>
              <w:pStyle w:val="TableParagraph"/>
              <w:spacing w:line="211" w:lineRule="exact" w:before="26"/>
              <w:ind w:right="96"/>
              <w:jc w:val="right"/>
              <w:rPr>
                <w:b/>
                <w:sz w:val="20"/>
              </w:rPr>
            </w:pPr>
            <w:r>
              <w:rPr>
                <w:b/>
                <w:spacing w:val="-2"/>
                <w:sz w:val="20"/>
              </w:rPr>
              <w:t>20,909</w:t>
            </w:r>
          </w:p>
        </w:tc>
      </w:tr>
      <w:tr>
        <w:trPr>
          <w:trHeight w:val="524" w:hRule="atLeast"/>
        </w:trPr>
        <w:tc>
          <w:tcPr>
            <w:tcW w:w="4656" w:type="dxa"/>
            <w:tcBorders>
              <w:left w:val="single" w:sz="4" w:space="0" w:color="000000"/>
            </w:tcBorders>
          </w:tcPr>
          <w:p>
            <w:pPr>
              <w:pStyle w:val="TableParagraph"/>
              <w:spacing w:before="1"/>
              <w:rPr>
                <w:b/>
                <w:sz w:val="24"/>
              </w:rPr>
            </w:pPr>
          </w:p>
          <w:p>
            <w:pPr>
              <w:pStyle w:val="TableParagraph"/>
              <w:spacing w:line="227" w:lineRule="exact" w:before="1"/>
              <w:ind w:left="107"/>
              <w:rPr>
                <w:b/>
                <w:sz w:val="20"/>
              </w:rPr>
            </w:pPr>
            <w:r>
              <w:rPr>
                <w:b/>
                <w:sz w:val="20"/>
              </w:rPr>
              <w:t>Plant</w:t>
            </w:r>
            <w:r>
              <w:rPr>
                <w:b/>
                <w:spacing w:val="-5"/>
                <w:sz w:val="20"/>
              </w:rPr>
              <w:t> </w:t>
            </w:r>
            <w:r>
              <w:rPr>
                <w:b/>
                <w:sz w:val="20"/>
              </w:rPr>
              <w:t>and</w:t>
            </w:r>
            <w:r>
              <w:rPr>
                <w:b/>
                <w:spacing w:val="-4"/>
                <w:sz w:val="20"/>
              </w:rPr>
              <w:t> </w:t>
            </w:r>
            <w:r>
              <w:rPr>
                <w:b/>
                <w:spacing w:val="-2"/>
                <w:sz w:val="20"/>
              </w:rPr>
              <w:t>Equipment</w:t>
            </w:r>
          </w:p>
        </w:tc>
        <w:tc>
          <w:tcPr>
            <w:tcW w:w="1265" w:type="dxa"/>
            <w:tcBorders>
              <w:top w:val="single" w:sz="4" w:space="0" w:color="000000"/>
            </w:tcBorders>
          </w:tcPr>
          <w:p>
            <w:pPr>
              <w:pStyle w:val="TableParagraph"/>
              <w:rPr>
                <w:rFonts w:ascii="Times New Roman"/>
                <w:sz w:val="18"/>
              </w:rPr>
            </w:pPr>
          </w:p>
        </w:tc>
        <w:tc>
          <w:tcPr>
            <w:tcW w:w="1962" w:type="dxa"/>
            <w:tcBorders>
              <w:top w:val="single" w:sz="4" w:space="0" w:color="000000"/>
            </w:tcBorders>
          </w:tcPr>
          <w:p>
            <w:pPr>
              <w:pStyle w:val="TableParagraph"/>
              <w:rPr>
                <w:rFonts w:ascii="Times New Roman"/>
                <w:sz w:val="18"/>
              </w:rPr>
            </w:pPr>
          </w:p>
        </w:tc>
        <w:tc>
          <w:tcPr>
            <w:tcW w:w="1112" w:type="dxa"/>
            <w:tcBorders>
              <w:top w:val="single" w:sz="4" w:space="0" w:color="000000"/>
              <w:right w:val="single" w:sz="4" w:space="0" w:color="000000"/>
            </w:tcBorders>
          </w:tcPr>
          <w:p>
            <w:pPr>
              <w:pStyle w:val="TableParagraph"/>
              <w:rPr>
                <w:rFonts w:ascii="Times New Roman"/>
                <w:sz w:val="18"/>
              </w:rPr>
            </w:pPr>
          </w:p>
        </w:tc>
        <w:tc>
          <w:tcPr>
            <w:tcW w:w="1538" w:type="dxa"/>
            <w:tcBorders>
              <w:top w:val="single" w:sz="4" w:space="0" w:color="000000"/>
              <w:left w:val="single" w:sz="4" w:space="0" w:color="000000"/>
            </w:tcBorders>
          </w:tcPr>
          <w:p>
            <w:pPr>
              <w:pStyle w:val="TableParagraph"/>
              <w:rPr>
                <w:rFonts w:ascii="Times New Roman"/>
                <w:sz w:val="18"/>
              </w:rPr>
            </w:pPr>
          </w:p>
        </w:tc>
        <w:tc>
          <w:tcPr>
            <w:tcW w:w="1106" w:type="dxa"/>
            <w:tcBorders>
              <w:top w:val="single" w:sz="4" w:space="0" w:color="000000"/>
            </w:tcBorders>
          </w:tcPr>
          <w:p>
            <w:pPr>
              <w:pStyle w:val="TableParagraph"/>
              <w:rPr>
                <w:rFonts w:ascii="Times New Roman"/>
                <w:sz w:val="18"/>
              </w:rPr>
            </w:pPr>
          </w:p>
        </w:tc>
        <w:tc>
          <w:tcPr>
            <w:tcW w:w="1569" w:type="dxa"/>
            <w:tcBorders>
              <w:top w:val="single" w:sz="4" w:space="0" w:color="000000"/>
            </w:tcBorders>
          </w:tcPr>
          <w:p>
            <w:pPr>
              <w:pStyle w:val="TableParagraph"/>
              <w:rPr>
                <w:rFonts w:ascii="Times New Roman"/>
                <w:sz w:val="18"/>
              </w:rPr>
            </w:pPr>
          </w:p>
        </w:tc>
        <w:tc>
          <w:tcPr>
            <w:tcW w:w="1521"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656" w:type="dxa"/>
            <w:tcBorders>
              <w:left w:val="single" w:sz="4" w:space="0" w:color="000000"/>
            </w:tcBorders>
          </w:tcPr>
          <w:p>
            <w:pPr>
              <w:pStyle w:val="TableParagraph"/>
              <w:spacing w:line="226" w:lineRule="exact" w:before="10"/>
              <w:ind w:left="107"/>
              <w:rPr>
                <w:sz w:val="20"/>
              </w:rPr>
            </w:pPr>
            <w:r>
              <w:rPr>
                <w:sz w:val="20"/>
              </w:rPr>
              <w:t>Plant,</w:t>
            </w:r>
            <w:r>
              <w:rPr>
                <w:spacing w:val="-4"/>
                <w:sz w:val="20"/>
              </w:rPr>
              <w:t> </w:t>
            </w:r>
            <w:r>
              <w:rPr>
                <w:sz w:val="20"/>
              </w:rPr>
              <w:t>machinery,</w:t>
            </w:r>
            <w:r>
              <w:rPr>
                <w:spacing w:val="-8"/>
                <w:sz w:val="20"/>
              </w:rPr>
              <w:t> </w:t>
            </w:r>
            <w:r>
              <w:rPr>
                <w:sz w:val="20"/>
              </w:rPr>
              <w:t>and</w:t>
            </w:r>
            <w:r>
              <w:rPr>
                <w:spacing w:val="-4"/>
                <w:sz w:val="20"/>
              </w:rPr>
              <w:t> </w:t>
            </w:r>
            <w:r>
              <w:rPr>
                <w:spacing w:val="-2"/>
                <w:sz w:val="20"/>
              </w:rPr>
              <w:t>equipment</w:t>
            </w:r>
          </w:p>
        </w:tc>
        <w:tc>
          <w:tcPr>
            <w:tcW w:w="1265" w:type="dxa"/>
          </w:tcPr>
          <w:p>
            <w:pPr>
              <w:pStyle w:val="TableParagraph"/>
              <w:spacing w:line="226" w:lineRule="exact" w:before="10"/>
              <w:ind w:right="237"/>
              <w:jc w:val="right"/>
              <w:rPr>
                <w:sz w:val="20"/>
              </w:rPr>
            </w:pPr>
            <w:r>
              <w:rPr>
                <w:spacing w:val="-2"/>
                <w:sz w:val="20"/>
              </w:rPr>
              <w:t>1,104</w:t>
            </w:r>
          </w:p>
        </w:tc>
        <w:tc>
          <w:tcPr>
            <w:tcW w:w="1962" w:type="dxa"/>
          </w:tcPr>
          <w:p>
            <w:pPr>
              <w:pStyle w:val="TableParagraph"/>
              <w:tabs>
                <w:tab w:pos="635" w:val="left" w:leader="none"/>
              </w:tabs>
              <w:spacing w:line="226" w:lineRule="exact" w:before="10"/>
              <w:ind w:right="185"/>
              <w:jc w:val="right"/>
              <w:rPr>
                <w:sz w:val="20"/>
              </w:rPr>
            </w:pPr>
            <w:r>
              <w:rPr>
                <w:spacing w:val="-10"/>
                <w:sz w:val="20"/>
              </w:rPr>
              <w:t>0</w:t>
            </w:r>
            <w:r>
              <w:rPr>
                <w:sz w:val="20"/>
              </w:rPr>
              <w:tab/>
            </w:r>
            <w:r>
              <w:rPr>
                <w:spacing w:val="-2"/>
                <w:sz w:val="20"/>
              </w:rPr>
              <w:t>1,104</w:t>
            </w:r>
          </w:p>
        </w:tc>
        <w:tc>
          <w:tcPr>
            <w:tcW w:w="1112" w:type="dxa"/>
            <w:tcBorders>
              <w:right w:val="single" w:sz="4" w:space="0" w:color="000000"/>
            </w:tcBorders>
          </w:tcPr>
          <w:p>
            <w:pPr>
              <w:pStyle w:val="TableParagraph"/>
              <w:spacing w:line="226" w:lineRule="exact" w:before="10"/>
              <w:ind w:right="98"/>
              <w:jc w:val="right"/>
              <w:rPr>
                <w:sz w:val="20"/>
              </w:rPr>
            </w:pPr>
            <w:r>
              <w:rPr>
                <w:w w:val="99"/>
                <w:sz w:val="20"/>
              </w:rPr>
              <w:t>0</w:t>
            </w:r>
          </w:p>
        </w:tc>
        <w:tc>
          <w:tcPr>
            <w:tcW w:w="1538" w:type="dxa"/>
            <w:tcBorders>
              <w:left w:val="single" w:sz="4" w:space="0" w:color="000000"/>
            </w:tcBorders>
          </w:tcPr>
          <w:p>
            <w:pPr>
              <w:pStyle w:val="TableParagraph"/>
              <w:spacing w:line="226" w:lineRule="exact" w:before="10"/>
              <w:ind w:right="325"/>
              <w:jc w:val="right"/>
              <w:rPr>
                <w:sz w:val="20"/>
              </w:rPr>
            </w:pPr>
            <w:r>
              <w:rPr>
                <w:spacing w:val="-2"/>
                <w:sz w:val="20"/>
              </w:rPr>
              <w:t>1,104</w:t>
            </w:r>
          </w:p>
        </w:tc>
        <w:tc>
          <w:tcPr>
            <w:tcW w:w="1106" w:type="dxa"/>
          </w:tcPr>
          <w:p>
            <w:pPr>
              <w:pStyle w:val="TableParagraph"/>
              <w:spacing w:line="226" w:lineRule="exact" w:before="10"/>
              <w:ind w:right="116"/>
              <w:jc w:val="right"/>
              <w:rPr>
                <w:sz w:val="20"/>
              </w:rPr>
            </w:pPr>
            <w:r>
              <w:rPr>
                <w:w w:val="99"/>
                <w:sz w:val="20"/>
              </w:rPr>
              <w:t>0</w:t>
            </w:r>
          </w:p>
        </w:tc>
        <w:tc>
          <w:tcPr>
            <w:tcW w:w="1569" w:type="dxa"/>
          </w:tcPr>
          <w:p>
            <w:pPr>
              <w:pStyle w:val="TableParagraph"/>
              <w:spacing w:line="226" w:lineRule="exact" w:before="10"/>
              <w:ind w:right="128"/>
              <w:jc w:val="right"/>
              <w:rPr>
                <w:sz w:val="20"/>
              </w:rPr>
            </w:pPr>
            <w:r>
              <w:rPr>
                <w:spacing w:val="-5"/>
                <w:sz w:val="20"/>
              </w:rPr>
              <w:t>367</w:t>
            </w:r>
          </w:p>
        </w:tc>
        <w:tc>
          <w:tcPr>
            <w:tcW w:w="1521" w:type="dxa"/>
            <w:tcBorders>
              <w:right w:val="single" w:sz="4" w:space="0" w:color="000000"/>
            </w:tcBorders>
          </w:tcPr>
          <w:p>
            <w:pPr>
              <w:pStyle w:val="TableParagraph"/>
              <w:spacing w:line="226" w:lineRule="exact" w:before="10"/>
              <w:ind w:right="96"/>
              <w:jc w:val="right"/>
              <w:rPr>
                <w:sz w:val="20"/>
              </w:rPr>
            </w:pPr>
            <w:r>
              <w:rPr>
                <w:spacing w:val="-5"/>
                <w:sz w:val="20"/>
              </w:rPr>
              <w:t>737</w:t>
            </w:r>
          </w:p>
        </w:tc>
      </w:tr>
      <w:tr>
        <w:trPr>
          <w:trHeight w:val="254" w:hRule="atLeast"/>
        </w:trPr>
        <w:tc>
          <w:tcPr>
            <w:tcW w:w="4656" w:type="dxa"/>
            <w:tcBorders>
              <w:left w:val="single" w:sz="4" w:space="0" w:color="000000"/>
            </w:tcBorders>
          </w:tcPr>
          <w:p>
            <w:pPr>
              <w:pStyle w:val="TableParagraph"/>
              <w:spacing w:line="226" w:lineRule="exact" w:before="8"/>
              <w:ind w:left="107"/>
              <w:rPr>
                <w:sz w:val="20"/>
              </w:rPr>
            </w:pPr>
            <w:r>
              <w:rPr>
                <w:sz w:val="20"/>
              </w:rPr>
              <w:t>Fixtures,</w:t>
            </w:r>
            <w:r>
              <w:rPr>
                <w:spacing w:val="-7"/>
                <w:sz w:val="20"/>
              </w:rPr>
              <w:t> </w:t>
            </w:r>
            <w:r>
              <w:rPr>
                <w:sz w:val="20"/>
              </w:rPr>
              <w:t>fittings,</w:t>
            </w:r>
            <w:r>
              <w:rPr>
                <w:spacing w:val="-6"/>
                <w:sz w:val="20"/>
              </w:rPr>
              <w:t> </w:t>
            </w:r>
            <w:r>
              <w:rPr>
                <w:sz w:val="20"/>
              </w:rPr>
              <w:t>and</w:t>
            </w:r>
            <w:r>
              <w:rPr>
                <w:spacing w:val="-7"/>
                <w:sz w:val="20"/>
              </w:rPr>
              <w:t> </w:t>
            </w:r>
            <w:r>
              <w:rPr>
                <w:spacing w:val="-2"/>
                <w:sz w:val="20"/>
              </w:rPr>
              <w:t>furniture</w:t>
            </w:r>
          </w:p>
        </w:tc>
        <w:tc>
          <w:tcPr>
            <w:tcW w:w="1265" w:type="dxa"/>
          </w:tcPr>
          <w:p>
            <w:pPr>
              <w:pStyle w:val="TableParagraph"/>
              <w:spacing w:line="226" w:lineRule="exact" w:before="8"/>
              <w:ind w:right="238"/>
              <w:jc w:val="right"/>
              <w:rPr>
                <w:sz w:val="20"/>
              </w:rPr>
            </w:pPr>
            <w:r>
              <w:rPr>
                <w:spacing w:val="-5"/>
                <w:sz w:val="20"/>
              </w:rPr>
              <w:t>835</w:t>
            </w:r>
          </w:p>
        </w:tc>
        <w:tc>
          <w:tcPr>
            <w:tcW w:w="1962" w:type="dxa"/>
          </w:tcPr>
          <w:p>
            <w:pPr>
              <w:pStyle w:val="TableParagraph"/>
              <w:tabs>
                <w:tab w:pos="916" w:val="left" w:leader="none"/>
              </w:tabs>
              <w:spacing w:line="226" w:lineRule="exact" w:before="8"/>
              <w:ind w:right="186"/>
              <w:jc w:val="right"/>
              <w:rPr>
                <w:sz w:val="20"/>
              </w:rPr>
            </w:pPr>
            <w:r>
              <w:rPr>
                <w:spacing w:val="-5"/>
                <w:sz w:val="20"/>
              </w:rPr>
              <w:t>75</w:t>
            </w:r>
            <w:r>
              <w:rPr>
                <w:sz w:val="20"/>
              </w:rPr>
              <w:tab/>
            </w:r>
            <w:r>
              <w:rPr>
                <w:spacing w:val="-5"/>
                <w:sz w:val="20"/>
              </w:rPr>
              <w:t>715</w:t>
            </w:r>
          </w:p>
        </w:tc>
        <w:tc>
          <w:tcPr>
            <w:tcW w:w="1112" w:type="dxa"/>
            <w:tcBorders>
              <w:right w:val="single" w:sz="4" w:space="0" w:color="000000"/>
            </w:tcBorders>
          </w:tcPr>
          <w:p>
            <w:pPr>
              <w:pStyle w:val="TableParagraph"/>
              <w:spacing w:line="226" w:lineRule="exact" w:before="8"/>
              <w:ind w:right="101"/>
              <w:jc w:val="right"/>
              <w:rPr>
                <w:sz w:val="20"/>
              </w:rPr>
            </w:pPr>
            <w:r>
              <w:rPr>
                <w:spacing w:val="-5"/>
                <w:sz w:val="20"/>
              </w:rPr>
              <w:t>45</w:t>
            </w:r>
          </w:p>
        </w:tc>
        <w:tc>
          <w:tcPr>
            <w:tcW w:w="1538" w:type="dxa"/>
            <w:tcBorders>
              <w:left w:val="single" w:sz="4" w:space="0" w:color="000000"/>
            </w:tcBorders>
          </w:tcPr>
          <w:p>
            <w:pPr>
              <w:pStyle w:val="TableParagraph"/>
              <w:spacing w:line="226" w:lineRule="exact" w:before="8"/>
              <w:ind w:right="326"/>
              <w:jc w:val="right"/>
              <w:rPr>
                <w:sz w:val="20"/>
              </w:rPr>
            </w:pPr>
            <w:r>
              <w:rPr>
                <w:spacing w:val="-5"/>
                <w:sz w:val="20"/>
              </w:rPr>
              <w:t>835</w:t>
            </w:r>
          </w:p>
        </w:tc>
        <w:tc>
          <w:tcPr>
            <w:tcW w:w="1106" w:type="dxa"/>
          </w:tcPr>
          <w:p>
            <w:pPr>
              <w:pStyle w:val="TableParagraph"/>
              <w:spacing w:line="226" w:lineRule="exact" w:before="8"/>
              <w:ind w:right="116"/>
              <w:jc w:val="right"/>
              <w:rPr>
                <w:sz w:val="20"/>
              </w:rPr>
            </w:pPr>
            <w:r>
              <w:rPr>
                <w:w w:val="99"/>
                <w:sz w:val="20"/>
              </w:rPr>
              <w:t>0</w:t>
            </w:r>
          </w:p>
        </w:tc>
        <w:tc>
          <w:tcPr>
            <w:tcW w:w="1569" w:type="dxa"/>
          </w:tcPr>
          <w:p>
            <w:pPr>
              <w:pStyle w:val="TableParagraph"/>
              <w:spacing w:line="226" w:lineRule="exact" w:before="8"/>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8"/>
              <w:ind w:right="96"/>
              <w:jc w:val="right"/>
              <w:rPr>
                <w:sz w:val="20"/>
              </w:rPr>
            </w:pPr>
            <w:r>
              <w:rPr>
                <w:spacing w:val="-5"/>
                <w:sz w:val="20"/>
              </w:rPr>
              <w:t>835</w:t>
            </w:r>
          </w:p>
        </w:tc>
      </w:tr>
      <w:tr>
        <w:trPr>
          <w:trHeight w:val="239" w:hRule="atLeast"/>
        </w:trPr>
        <w:tc>
          <w:tcPr>
            <w:tcW w:w="4656" w:type="dxa"/>
            <w:tcBorders>
              <w:left w:val="single" w:sz="4" w:space="0" w:color="000000"/>
            </w:tcBorders>
          </w:tcPr>
          <w:p>
            <w:pPr>
              <w:pStyle w:val="TableParagraph"/>
              <w:spacing w:line="211" w:lineRule="exact" w:before="8"/>
              <w:ind w:left="107"/>
              <w:rPr>
                <w:sz w:val="20"/>
              </w:rPr>
            </w:pPr>
            <w:r>
              <w:rPr>
                <w:sz w:val="20"/>
              </w:rPr>
              <w:t>Computers</w:t>
            </w:r>
            <w:r>
              <w:rPr>
                <w:spacing w:val="-6"/>
                <w:sz w:val="20"/>
              </w:rPr>
              <w:t> </w:t>
            </w:r>
            <w:r>
              <w:rPr>
                <w:sz w:val="20"/>
              </w:rPr>
              <w:t>and</w:t>
            </w:r>
            <w:r>
              <w:rPr>
                <w:spacing w:val="-8"/>
                <w:sz w:val="20"/>
              </w:rPr>
              <w:t> </w:t>
            </w:r>
            <w:r>
              <w:rPr>
                <w:spacing w:val="-2"/>
                <w:sz w:val="20"/>
              </w:rPr>
              <w:t>telecommunications</w:t>
            </w:r>
          </w:p>
        </w:tc>
        <w:tc>
          <w:tcPr>
            <w:tcW w:w="1265" w:type="dxa"/>
            <w:tcBorders>
              <w:bottom w:val="single" w:sz="4" w:space="0" w:color="000000"/>
            </w:tcBorders>
          </w:tcPr>
          <w:p>
            <w:pPr>
              <w:pStyle w:val="TableParagraph"/>
              <w:spacing w:line="211" w:lineRule="exact" w:before="8"/>
              <w:ind w:right="237"/>
              <w:jc w:val="right"/>
              <w:rPr>
                <w:sz w:val="20"/>
              </w:rPr>
            </w:pPr>
            <w:r>
              <w:rPr>
                <w:spacing w:val="-5"/>
                <w:sz w:val="20"/>
              </w:rPr>
              <w:t>601</w:t>
            </w:r>
          </w:p>
        </w:tc>
        <w:tc>
          <w:tcPr>
            <w:tcW w:w="1962" w:type="dxa"/>
            <w:tcBorders>
              <w:bottom w:val="single" w:sz="4" w:space="0" w:color="000000"/>
            </w:tcBorders>
          </w:tcPr>
          <w:p>
            <w:pPr>
              <w:pStyle w:val="TableParagraph"/>
              <w:tabs>
                <w:tab w:pos="1027" w:val="left" w:leader="none"/>
              </w:tabs>
              <w:spacing w:line="211" w:lineRule="exact" w:before="8"/>
              <w:ind w:right="186"/>
              <w:jc w:val="right"/>
              <w:rPr>
                <w:sz w:val="20"/>
              </w:rPr>
            </w:pPr>
            <w:r>
              <w:rPr>
                <w:spacing w:val="-5"/>
                <w:sz w:val="20"/>
              </w:rPr>
              <w:t>219</w:t>
            </w:r>
            <w:r>
              <w:rPr>
                <w:sz w:val="20"/>
              </w:rPr>
              <w:tab/>
            </w:r>
            <w:r>
              <w:rPr>
                <w:spacing w:val="-5"/>
                <w:sz w:val="20"/>
              </w:rPr>
              <w:t>273</w:t>
            </w:r>
          </w:p>
        </w:tc>
        <w:tc>
          <w:tcPr>
            <w:tcW w:w="1112" w:type="dxa"/>
            <w:tcBorders>
              <w:bottom w:val="single" w:sz="4" w:space="0" w:color="000000"/>
              <w:right w:val="single" w:sz="4" w:space="0" w:color="000000"/>
            </w:tcBorders>
          </w:tcPr>
          <w:p>
            <w:pPr>
              <w:pStyle w:val="TableParagraph"/>
              <w:spacing w:line="211" w:lineRule="exact" w:before="8"/>
              <w:ind w:right="100"/>
              <w:jc w:val="right"/>
              <w:rPr>
                <w:sz w:val="20"/>
              </w:rPr>
            </w:pPr>
            <w:r>
              <w:rPr>
                <w:spacing w:val="-5"/>
                <w:sz w:val="20"/>
              </w:rPr>
              <w:t>109</w:t>
            </w:r>
          </w:p>
        </w:tc>
        <w:tc>
          <w:tcPr>
            <w:tcW w:w="1538" w:type="dxa"/>
            <w:tcBorders>
              <w:left w:val="single" w:sz="4" w:space="0" w:color="000000"/>
              <w:bottom w:val="single" w:sz="4" w:space="0" w:color="000000"/>
            </w:tcBorders>
          </w:tcPr>
          <w:p>
            <w:pPr>
              <w:pStyle w:val="TableParagraph"/>
              <w:spacing w:line="211" w:lineRule="exact" w:before="8"/>
              <w:ind w:right="326"/>
              <w:jc w:val="right"/>
              <w:rPr>
                <w:sz w:val="20"/>
              </w:rPr>
            </w:pPr>
            <w:r>
              <w:rPr>
                <w:spacing w:val="-5"/>
                <w:sz w:val="20"/>
              </w:rPr>
              <w:t>601</w:t>
            </w:r>
          </w:p>
        </w:tc>
        <w:tc>
          <w:tcPr>
            <w:tcW w:w="1106" w:type="dxa"/>
            <w:tcBorders>
              <w:bottom w:val="single" w:sz="4" w:space="0" w:color="000000"/>
            </w:tcBorders>
          </w:tcPr>
          <w:p>
            <w:pPr>
              <w:pStyle w:val="TableParagraph"/>
              <w:spacing w:line="211" w:lineRule="exact" w:before="8"/>
              <w:ind w:right="116"/>
              <w:jc w:val="right"/>
              <w:rPr>
                <w:sz w:val="20"/>
              </w:rPr>
            </w:pPr>
            <w:r>
              <w:rPr>
                <w:w w:val="99"/>
                <w:sz w:val="20"/>
              </w:rPr>
              <w:t>0</w:t>
            </w:r>
          </w:p>
        </w:tc>
        <w:tc>
          <w:tcPr>
            <w:tcW w:w="1569" w:type="dxa"/>
            <w:tcBorders>
              <w:bottom w:val="single" w:sz="4" w:space="0" w:color="000000"/>
            </w:tcBorders>
          </w:tcPr>
          <w:p>
            <w:pPr>
              <w:pStyle w:val="TableParagraph"/>
              <w:spacing w:line="211" w:lineRule="exact" w:before="8"/>
              <w:ind w:right="125"/>
              <w:jc w:val="right"/>
              <w:rPr>
                <w:sz w:val="20"/>
              </w:rPr>
            </w:pPr>
            <w:r>
              <w:rPr>
                <w:w w:val="99"/>
                <w:sz w:val="20"/>
              </w:rPr>
              <w:t>0</w:t>
            </w:r>
          </w:p>
        </w:tc>
        <w:tc>
          <w:tcPr>
            <w:tcW w:w="1521" w:type="dxa"/>
            <w:tcBorders>
              <w:bottom w:val="single" w:sz="4" w:space="0" w:color="000000"/>
              <w:right w:val="single" w:sz="4" w:space="0" w:color="000000"/>
            </w:tcBorders>
          </w:tcPr>
          <w:p>
            <w:pPr>
              <w:pStyle w:val="TableParagraph"/>
              <w:spacing w:line="211" w:lineRule="exact" w:before="8"/>
              <w:ind w:right="96"/>
              <w:jc w:val="right"/>
              <w:rPr>
                <w:sz w:val="20"/>
              </w:rPr>
            </w:pPr>
            <w:r>
              <w:rPr>
                <w:spacing w:val="-5"/>
                <w:sz w:val="20"/>
              </w:rPr>
              <w:t>601</w:t>
            </w:r>
          </w:p>
        </w:tc>
      </w:tr>
      <w:tr>
        <w:trPr>
          <w:trHeight w:val="253" w:hRule="atLeast"/>
        </w:trPr>
        <w:tc>
          <w:tcPr>
            <w:tcW w:w="4656"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z w:val="20"/>
              </w:rPr>
              <w:t>Plant</w:t>
            </w:r>
            <w:r>
              <w:rPr>
                <w:b/>
                <w:spacing w:val="-6"/>
                <w:sz w:val="20"/>
              </w:rPr>
              <w:t> </w:t>
            </w:r>
            <w:r>
              <w:rPr>
                <w:b/>
                <w:sz w:val="20"/>
              </w:rPr>
              <w:t>and</w:t>
            </w:r>
            <w:r>
              <w:rPr>
                <w:b/>
                <w:spacing w:val="-4"/>
                <w:sz w:val="20"/>
              </w:rPr>
              <w:t> </w:t>
            </w:r>
            <w:r>
              <w:rPr>
                <w:b/>
                <w:spacing w:val="-2"/>
                <w:sz w:val="20"/>
              </w:rPr>
              <w:t>Equipment</w:t>
            </w:r>
          </w:p>
        </w:tc>
        <w:tc>
          <w:tcPr>
            <w:tcW w:w="1265" w:type="dxa"/>
            <w:tcBorders>
              <w:top w:val="single" w:sz="4" w:space="0" w:color="000000"/>
              <w:bottom w:val="single" w:sz="4" w:space="0" w:color="000000"/>
            </w:tcBorders>
          </w:tcPr>
          <w:p>
            <w:pPr>
              <w:pStyle w:val="TableParagraph"/>
              <w:spacing w:line="211" w:lineRule="exact" w:before="23"/>
              <w:ind w:right="237"/>
              <w:jc w:val="right"/>
              <w:rPr>
                <w:b/>
                <w:sz w:val="20"/>
              </w:rPr>
            </w:pPr>
            <w:r>
              <w:rPr>
                <w:b/>
                <w:spacing w:val="-2"/>
                <w:sz w:val="20"/>
              </w:rPr>
              <w:t>2,540</w:t>
            </w:r>
          </w:p>
        </w:tc>
        <w:tc>
          <w:tcPr>
            <w:tcW w:w="1962" w:type="dxa"/>
            <w:tcBorders>
              <w:top w:val="single" w:sz="4" w:space="0" w:color="000000"/>
              <w:bottom w:val="single" w:sz="4" w:space="0" w:color="000000"/>
            </w:tcBorders>
          </w:tcPr>
          <w:p>
            <w:pPr>
              <w:pStyle w:val="TableParagraph"/>
              <w:tabs>
                <w:tab w:pos="859" w:val="left" w:leader="none"/>
              </w:tabs>
              <w:spacing w:line="211" w:lineRule="exact" w:before="23"/>
              <w:ind w:right="186"/>
              <w:jc w:val="right"/>
              <w:rPr>
                <w:b/>
                <w:sz w:val="20"/>
              </w:rPr>
            </w:pPr>
            <w:r>
              <w:rPr>
                <w:b/>
                <w:spacing w:val="-5"/>
                <w:sz w:val="20"/>
              </w:rPr>
              <w:t>294</w:t>
            </w:r>
            <w:r>
              <w:rPr>
                <w:b/>
                <w:sz w:val="20"/>
              </w:rPr>
              <w:tab/>
            </w:r>
            <w:r>
              <w:rPr>
                <w:b/>
                <w:spacing w:val="-2"/>
                <w:sz w:val="20"/>
              </w:rPr>
              <w:t>2,092</w:t>
            </w:r>
          </w:p>
        </w:tc>
        <w:tc>
          <w:tcPr>
            <w:tcW w:w="1112"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b/>
                <w:sz w:val="20"/>
              </w:rPr>
            </w:pPr>
            <w:r>
              <w:rPr>
                <w:b/>
                <w:spacing w:val="-5"/>
                <w:sz w:val="20"/>
              </w:rPr>
              <w:t>154</w:t>
            </w:r>
          </w:p>
        </w:tc>
        <w:tc>
          <w:tcPr>
            <w:tcW w:w="1538" w:type="dxa"/>
            <w:tcBorders>
              <w:top w:val="single" w:sz="4" w:space="0" w:color="000000"/>
              <w:left w:val="single" w:sz="4" w:space="0" w:color="000000"/>
              <w:bottom w:val="single" w:sz="4" w:space="0" w:color="000000"/>
            </w:tcBorders>
          </w:tcPr>
          <w:p>
            <w:pPr>
              <w:pStyle w:val="TableParagraph"/>
              <w:spacing w:line="211" w:lineRule="exact" w:before="23"/>
              <w:ind w:right="325"/>
              <w:jc w:val="right"/>
              <w:rPr>
                <w:b/>
                <w:sz w:val="20"/>
              </w:rPr>
            </w:pPr>
            <w:r>
              <w:rPr>
                <w:b/>
                <w:spacing w:val="-2"/>
                <w:sz w:val="20"/>
              </w:rPr>
              <w:t>2,540</w:t>
            </w:r>
          </w:p>
        </w:tc>
        <w:tc>
          <w:tcPr>
            <w:tcW w:w="1106" w:type="dxa"/>
            <w:tcBorders>
              <w:top w:val="single" w:sz="4" w:space="0" w:color="000000"/>
              <w:bottom w:val="single" w:sz="4" w:space="0" w:color="000000"/>
            </w:tcBorders>
          </w:tcPr>
          <w:p>
            <w:pPr>
              <w:pStyle w:val="TableParagraph"/>
              <w:spacing w:line="211" w:lineRule="exact" w:before="23"/>
              <w:ind w:right="116"/>
              <w:jc w:val="right"/>
              <w:rPr>
                <w:b/>
                <w:sz w:val="20"/>
              </w:rPr>
            </w:pPr>
            <w:r>
              <w:rPr>
                <w:b/>
                <w:w w:val="99"/>
                <w:sz w:val="20"/>
              </w:rPr>
              <w:t>0</w:t>
            </w:r>
          </w:p>
        </w:tc>
        <w:tc>
          <w:tcPr>
            <w:tcW w:w="1569" w:type="dxa"/>
            <w:tcBorders>
              <w:top w:val="single" w:sz="4" w:space="0" w:color="000000"/>
              <w:bottom w:val="single" w:sz="4" w:space="0" w:color="000000"/>
            </w:tcBorders>
          </w:tcPr>
          <w:p>
            <w:pPr>
              <w:pStyle w:val="TableParagraph"/>
              <w:spacing w:line="211" w:lineRule="exact" w:before="23"/>
              <w:ind w:right="128"/>
              <w:jc w:val="right"/>
              <w:rPr>
                <w:b/>
                <w:sz w:val="20"/>
              </w:rPr>
            </w:pPr>
            <w:r>
              <w:rPr>
                <w:b/>
                <w:spacing w:val="-5"/>
                <w:sz w:val="20"/>
              </w:rPr>
              <w:t>367</w:t>
            </w:r>
          </w:p>
        </w:tc>
        <w:tc>
          <w:tcPr>
            <w:tcW w:w="1521" w:type="dxa"/>
            <w:tcBorders>
              <w:top w:val="single" w:sz="4" w:space="0" w:color="000000"/>
              <w:bottom w:val="single" w:sz="4" w:space="0" w:color="000000"/>
              <w:right w:val="single" w:sz="4" w:space="0" w:color="000000"/>
            </w:tcBorders>
          </w:tcPr>
          <w:p>
            <w:pPr>
              <w:pStyle w:val="TableParagraph"/>
              <w:spacing w:line="211" w:lineRule="exact" w:before="23"/>
              <w:ind w:right="96"/>
              <w:jc w:val="right"/>
              <w:rPr>
                <w:b/>
                <w:sz w:val="20"/>
              </w:rPr>
            </w:pPr>
            <w:r>
              <w:rPr>
                <w:b/>
                <w:spacing w:val="-2"/>
                <w:sz w:val="20"/>
              </w:rPr>
              <w:t>2,173</w:t>
            </w:r>
          </w:p>
        </w:tc>
      </w:tr>
      <w:tr>
        <w:trPr>
          <w:trHeight w:val="525" w:hRule="atLeast"/>
        </w:trPr>
        <w:tc>
          <w:tcPr>
            <w:tcW w:w="4656" w:type="dxa"/>
            <w:tcBorders>
              <w:left w:val="single" w:sz="4" w:space="0" w:color="000000"/>
            </w:tcBorders>
          </w:tcPr>
          <w:p>
            <w:pPr>
              <w:pStyle w:val="TableParagraph"/>
              <w:spacing w:before="4"/>
              <w:rPr>
                <w:b/>
                <w:sz w:val="24"/>
              </w:rPr>
            </w:pPr>
          </w:p>
          <w:p>
            <w:pPr>
              <w:pStyle w:val="TableParagraph"/>
              <w:spacing w:line="226" w:lineRule="exact"/>
              <w:ind w:left="107"/>
              <w:rPr>
                <w:b/>
                <w:sz w:val="20"/>
              </w:rPr>
            </w:pPr>
            <w:r>
              <w:rPr>
                <w:b/>
                <w:spacing w:val="-2"/>
                <w:sz w:val="20"/>
              </w:rPr>
              <w:t>Infrastructure</w:t>
            </w:r>
          </w:p>
        </w:tc>
        <w:tc>
          <w:tcPr>
            <w:tcW w:w="1265" w:type="dxa"/>
            <w:tcBorders>
              <w:top w:val="single" w:sz="4" w:space="0" w:color="000000"/>
            </w:tcBorders>
          </w:tcPr>
          <w:p>
            <w:pPr>
              <w:pStyle w:val="TableParagraph"/>
              <w:rPr>
                <w:rFonts w:ascii="Times New Roman"/>
                <w:sz w:val="18"/>
              </w:rPr>
            </w:pPr>
          </w:p>
        </w:tc>
        <w:tc>
          <w:tcPr>
            <w:tcW w:w="1962" w:type="dxa"/>
            <w:tcBorders>
              <w:top w:val="single" w:sz="4" w:space="0" w:color="000000"/>
            </w:tcBorders>
          </w:tcPr>
          <w:p>
            <w:pPr>
              <w:pStyle w:val="TableParagraph"/>
              <w:rPr>
                <w:rFonts w:ascii="Times New Roman"/>
                <w:sz w:val="18"/>
              </w:rPr>
            </w:pPr>
          </w:p>
        </w:tc>
        <w:tc>
          <w:tcPr>
            <w:tcW w:w="1112" w:type="dxa"/>
            <w:tcBorders>
              <w:top w:val="single" w:sz="4" w:space="0" w:color="000000"/>
              <w:right w:val="single" w:sz="4" w:space="0" w:color="000000"/>
            </w:tcBorders>
          </w:tcPr>
          <w:p>
            <w:pPr>
              <w:pStyle w:val="TableParagraph"/>
              <w:rPr>
                <w:rFonts w:ascii="Times New Roman"/>
                <w:sz w:val="18"/>
              </w:rPr>
            </w:pPr>
          </w:p>
        </w:tc>
        <w:tc>
          <w:tcPr>
            <w:tcW w:w="1538" w:type="dxa"/>
            <w:tcBorders>
              <w:top w:val="single" w:sz="4" w:space="0" w:color="000000"/>
              <w:left w:val="single" w:sz="4" w:space="0" w:color="000000"/>
            </w:tcBorders>
          </w:tcPr>
          <w:p>
            <w:pPr>
              <w:pStyle w:val="TableParagraph"/>
              <w:rPr>
                <w:rFonts w:ascii="Times New Roman"/>
                <w:sz w:val="18"/>
              </w:rPr>
            </w:pPr>
          </w:p>
        </w:tc>
        <w:tc>
          <w:tcPr>
            <w:tcW w:w="1106" w:type="dxa"/>
            <w:tcBorders>
              <w:top w:val="single" w:sz="4" w:space="0" w:color="000000"/>
            </w:tcBorders>
          </w:tcPr>
          <w:p>
            <w:pPr>
              <w:pStyle w:val="TableParagraph"/>
              <w:rPr>
                <w:rFonts w:ascii="Times New Roman"/>
                <w:sz w:val="18"/>
              </w:rPr>
            </w:pPr>
          </w:p>
        </w:tc>
        <w:tc>
          <w:tcPr>
            <w:tcW w:w="1569" w:type="dxa"/>
            <w:tcBorders>
              <w:top w:val="single" w:sz="4" w:space="0" w:color="000000"/>
            </w:tcBorders>
          </w:tcPr>
          <w:p>
            <w:pPr>
              <w:pStyle w:val="TableParagraph"/>
              <w:rPr>
                <w:rFonts w:ascii="Times New Roman"/>
                <w:sz w:val="18"/>
              </w:rPr>
            </w:pPr>
          </w:p>
        </w:tc>
        <w:tc>
          <w:tcPr>
            <w:tcW w:w="1521"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656" w:type="dxa"/>
            <w:tcBorders>
              <w:left w:val="single" w:sz="4" w:space="0" w:color="000000"/>
            </w:tcBorders>
          </w:tcPr>
          <w:p>
            <w:pPr>
              <w:pStyle w:val="TableParagraph"/>
              <w:spacing w:line="227" w:lineRule="exact" w:before="8"/>
              <w:ind w:left="107"/>
              <w:rPr>
                <w:sz w:val="20"/>
              </w:rPr>
            </w:pPr>
            <w:r>
              <w:rPr>
                <w:spacing w:val="-2"/>
                <w:sz w:val="20"/>
              </w:rPr>
              <w:t>Roads</w:t>
            </w:r>
          </w:p>
        </w:tc>
        <w:tc>
          <w:tcPr>
            <w:tcW w:w="1265" w:type="dxa"/>
          </w:tcPr>
          <w:p>
            <w:pPr>
              <w:pStyle w:val="TableParagraph"/>
              <w:spacing w:line="227" w:lineRule="exact" w:before="8"/>
              <w:ind w:right="237"/>
              <w:jc w:val="right"/>
              <w:rPr>
                <w:sz w:val="20"/>
              </w:rPr>
            </w:pPr>
            <w:r>
              <w:rPr>
                <w:spacing w:val="-2"/>
                <w:sz w:val="20"/>
              </w:rPr>
              <w:t>4,596</w:t>
            </w:r>
          </w:p>
        </w:tc>
        <w:tc>
          <w:tcPr>
            <w:tcW w:w="1962" w:type="dxa"/>
          </w:tcPr>
          <w:p>
            <w:pPr>
              <w:pStyle w:val="TableParagraph"/>
              <w:tabs>
                <w:tab w:pos="635" w:val="left" w:leader="none"/>
              </w:tabs>
              <w:spacing w:line="227" w:lineRule="exact" w:before="8"/>
              <w:ind w:right="185"/>
              <w:jc w:val="right"/>
              <w:rPr>
                <w:sz w:val="20"/>
              </w:rPr>
            </w:pPr>
            <w:r>
              <w:rPr>
                <w:spacing w:val="-10"/>
                <w:sz w:val="20"/>
              </w:rPr>
              <w:t>0</w:t>
            </w:r>
            <w:r>
              <w:rPr>
                <w:sz w:val="20"/>
              </w:rPr>
              <w:tab/>
            </w:r>
            <w:r>
              <w:rPr>
                <w:spacing w:val="-2"/>
                <w:sz w:val="20"/>
              </w:rPr>
              <w:t>4,369</w:t>
            </w:r>
          </w:p>
        </w:tc>
        <w:tc>
          <w:tcPr>
            <w:tcW w:w="1112" w:type="dxa"/>
            <w:tcBorders>
              <w:right w:val="single" w:sz="4" w:space="0" w:color="000000"/>
            </w:tcBorders>
          </w:tcPr>
          <w:p>
            <w:pPr>
              <w:pStyle w:val="TableParagraph"/>
              <w:spacing w:line="227" w:lineRule="exact" w:before="8"/>
              <w:ind w:right="100"/>
              <w:jc w:val="right"/>
              <w:rPr>
                <w:sz w:val="20"/>
              </w:rPr>
            </w:pPr>
            <w:r>
              <w:rPr>
                <w:spacing w:val="-5"/>
                <w:sz w:val="20"/>
              </w:rPr>
              <w:t>227</w:t>
            </w:r>
          </w:p>
        </w:tc>
        <w:tc>
          <w:tcPr>
            <w:tcW w:w="1538" w:type="dxa"/>
            <w:tcBorders>
              <w:left w:val="single" w:sz="4" w:space="0" w:color="000000"/>
            </w:tcBorders>
          </w:tcPr>
          <w:p>
            <w:pPr>
              <w:pStyle w:val="TableParagraph"/>
              <w:spacing w:line="227" w:lineRule="exact" w:before="8"/>
              <w:ind w:right="325"/>
              <w:jc w:val="right"/>
              <w:rPr>
                <w:sz w:val="20"/>
              </w:rPr>
            </w:pPr>
            <w:r>
              <w:rPr>
                <w:spacing w:val="-2"/>
                <w:sz w:val="20"/>
              </w:rPr>
              <w:t>4,596</w:t>
            </w:r>
          </w:p>
        </w:tc>
        <w:tc>
          <w:tcPr>
            <w:tcW w:w="1106" w:type="dxa"/>
          </w:tcPr>
          <w:p>
            <w:pPr>
              <w:pStyle w:val="TableParagraph"/>
              <w:spacing w:line="227" w:lineRule="exact" w:before="8"/>
              <w:ind w:right="119"/>
              <w:jc w:val="right"/>
              <w:rPr>
                <w:sz w:val="20"/>
              </w:rPr>
            </w:pPr>
            <w:r>
              <w:rPr>
                <w:spacing w:val="-5"/>
                <w:sz w:val="20"/>
              </w:rPr>
              <w:t>508</w:t>
            </w:r>
          </w:p>
        </w:tc>
        <w:tc>
          <w:tcPr>
            <w:tcW w:w="1569" w:type="dxa"/>
          </w:tcPr>
          <w:p>
            <w:pPr>
              <w:pStyle w:val="TableParagraph"/>
              <w:spacing w:line="227" w:lineRule="exact" w:before="8"/>
              <w:ind w:right="125"/>
              <w:jc w:val="right"/>
              <w:rPr>
                <w:sz w:val="20"/>
              </w:rPr>
            </w:pPr>
            <w:r>
              <w:rPr>
                <w:w w:val="99"/>
                <w:sz w:val="20"/>
              </w:rPr>
              <w:t>0</w:t>
            </w:r>
          </w:p>
        </w:tc>
        <w:tc>
          <w:tcPr>
            <w:tcW w:w="1521" w:type="dxa"/>
            <w:tcBorders>
              <w:right w:val="single" w:sz="4" w:space="0" w:color="000000"/>
            </w:tcBorders>
          </w:tcPr>
          <w:p>
            <w:pPr>
              <w:pStyle w:val="TableParagraph"/>
              <w:spacing w:line="227" w:lineRule="exact" w:before="8"/>
              <w:ind w:right="95"/>
              <w:jc w:val="right"/>
              <w:rPr>
                <w:sz w:val="20"/>
              </w:rPr>
            </w:pPr>
            <w:r>
              <w:rPr>
                <w:spacing w:val="-2"/>
                <w:sz w:val="20"/>
              </w:rPr>
              <w:t>4,088</w:t>
            </w:r>
          </w:p>
        </w:tc>
      </w:tr>
      <w:tr>
        <w:trPr>
          <w:trHeight w:val="255" w:hRule="atLeast"/>
        </w:trPr>
        <w:tc>
          <w:tcPr>
            <w:tcW w:w="4656" w:type="dxa"/>
            <w:tcBorders>
              <w:left w:val="single" w:sz="4" w:space="0" w:color="000000"/>
            </w:tcBorders>
          </w:tcPr>
          <w:p>
            <w:pPr>
              <w:pStyle w:val="TableParagraph"/>
              <w:spacing w:line="226" w:lineRule="exact" w:before="10"/>
              <w:ind w:left="107"/>
              <w:rPr>
                <w:sz w:val="20"/>
              </w:rPr>
            </w:pPr>
            <w:r>
              <w:rPr>
                <w:sz w:val="20"/>
              </w:rPr>
              <w:t>Footpaths</w:t>
            </w:r>
            <w:r>
              <w:rPr>
                <w:spacing w:val="-7"/>
                <w:sz w:val="20"/>
              </w:rPr>
              <w:t> </w:t>
            </w:r>
            <w:r>
              <w:rPr>
                <w:sz w:val="20"/>
              </w:rPr>
              <w:t>and</w:t>
            </w:r>
            <w:r>
              <w:rPr>
                <w:spacing w:val="-9"/>
                <w:sz w:val="20"/>
              </w:rPr>
              <w:t> </w:t>
            </w:r>
            <w:r>
              <w:rPr>
                <w:spacing w:val="-2"/>
                <w:sz w:val="20"/>
              </w:rPr>
              <w:t>cycleways</w:t>
            </w:r>
          </w:p>
        </w:tc>
        <w:tc>
          <w:tcPr>
            <w:tcW w:w="1265" w:type="dxa"/>
          </w:tcPr>
          <w:p>
            <w:pPr>
              <w:pStyle w:val="TableParagraph"/>
              <w:spacing w:line="226" w:lineRule="exact" w:before="10"/>
              <w:ind w:right="236"/>
              <w:jc w:val="right"/>
              <w:rPr>
                <w:sz w:val="20"/>
              </w:rPr>
            </w:pPr>
            <w:r>
              <w:rPr>
                <w:spacing w:val="-2"/>
                <w:sz w:val="20"/>
              </w:rPr>
              <w:t>3,528</w:t>
            </w:r>
          </w:p>
        </w:tc>
        <w:tc>
          <w:tcPr>
            <w:tcW w:w="1962" w:type="dxa"/>
          </w:tcPr>
          <w:p>
            <w:pPr>
              <w:pStyle w:val="TableParagraph"/>
              <w:tabs>
                <w:tab w:pos="1027" w:val="left" w:leader="none"/>
              </w:tabs>
              <w:spacing w:line="226" w:lineRule="exact" w:before="10"/>
              <w:ind w:right="185"/>
              <w:jc w:val="right"/>
              <w:rPr>
                <w:sz w:val="20"/>
              </w:rPr>
            </w:pPr>
            <w:r>
              <w:rPr>
                <w:spacing w:val="-2"/>
                <w:sz w:val="20"/>
              </w:rPr>
              <w:t>1,535</w:t>
            </w:r>
            <w:r>
              <w:rPr>
                <w:sz w:val="20"/>
              </w:rPr>
              <w:tab/>
            </w:r>
            <w:r>
              <w:rPr>
                <w:spacing w:val="-4"/>
                <w:sz w:val="20"/>
              </w:rPr>
              <w:t>1,748</w:t>
            </w:r>
          </w:p>
        </w:tc>
        <w:tc>
          <w:tcPr>
            <w:tcW w:w="1112" w:type="dxa"/>
            <w:tcBorders>
              <w:right w:val="single" w:sz="4" w:space="0" w:color="000000"/>
            </w:tcBorders>
          </w:tcPr>
          <w:p>
            <w:pPr>
              <w:pStyle w:val="TableParagraph"/>
              <w:spacing w:line="226" w:lineRule="exact" w:before="10"/>
              <w:ind w:right="100"/>
              <w:jc w:val="right"/>
              <w:rPr>
                <w:sz w:val="20"/>
              </w:rPr>
            </w:pPr>
            <w:r>
              <w:rPr>
                <w:spacing w:val="-5"/>
                <w:sz w:val="20"/>
              </w:rPr>
              <w:t>245</w:t>
            </w:r>
          </w:p>
        </w:tc>
        <w:tc>
          <w:tcPr>
            <w:tcW w:w="1538" w:type="dxa"/>
            <w:tcBorders>
              <w:left w:val="single" w:sz="4" w:space="0" w:color="000000"/>
            </w:tcBorders>
          </w:tcPr>
          <w:p>
            <w:pPr>
              <w:pStyle w:val="TableParagraph"/>
              <w:spacing w:line="226" w:lineRule="exact" w:before="10"/>
              <w:ind w:right="325"/>
              <w:jc w:val="right"/>
              <w:rPr>
                <w:sz w:val="20"/>
              </w:rPr>
            </w:pPr>
            <w:r>
              <w:rPr>
                <w:spacing w:val="-2"/>
                <w:sz w:val="20"/>
              </w:rPr>
              <w:t>3,528</w:t>
            </w:r>
          </w:p>
        </w:tc>
        <w:tc>
          <w:tcPr>
            <w:tcW w:w="1106" w:type="dxa"/>
          </w:tcPr>
          <w:p>
            <w:pPr>
              <w:pStyle w:val="TableParagraph"/>
              <w:spacing w:line="226" w:lineRule="exact" w:before="10"/>
              <w:ind w:right="116"/>
              <w:jc w:val="right"/>
              <w:rPr>
                <w:sz w:val="20"/>
              </w:rPr>
            </w:pPr>
            <w:r>
              <w:rPr>
                <w:w w:val="99"/>
                <w:sz w:val="20"/>
              </w:rPr>
              <w:t>0</w:t>
            </w:r>
          </w:p>
        </w:tc>
        <w:tc>
          <w:tcPr>
            <w:tcW w:w="1569" w:type="dxa"/>
          </w:tcPr>
          <w:p>
            <w:pPr>
              <w:pStyle w:val="TableParagraph"/>
              <w:spacing w:line="226" w:lineRule="exact" w:before="10"/>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10"/>
              <w:ind w:right="95"/>
              <w:jc w:val="right"/>
              <w:rPr>
                <w:sz w:val="20"/>
              </w:rPr>
            </w:pPr>
            <w:r>
              <w:rPr>
                <w:spacing w:val="-2"/>
                <w:sz w:val="20"/>
              </w:rPr>
              <w:t>3,528</w:t>
            </w:r>
          </w:p>
        </w:tc>
      </w:tr>
      <w:tr>
        <w:trPr>
          <w:trHeight w:val="254" w:hRule="atLeast"/>
        </w:trPr>
        <w:tc>
          <w:tcPr>
            <w:tcW w:w="4656" w:type="dxa"/>
            <w:tcBorders>
              <w:left w:val="single" w:sz="4" w:space="0" w:color="000000"/>
            </w:tcBorders>
          </w:tcPr>
          <w:p>
            <w:pPr>
              <w:pStyle w:val="TableParagraph"/>
              <w:spacing w:line="226" w:lineRule="exact" w:before="8"/>
              <w:ind w:left="107"/>
              <w:rPr>
                <w:sz w:val="20"/>
              </w:rPr>
            </w:pPr>
            <w:r>
              <w:rPr>
                <w:spacing w:val="-2"/>
                <w:sz w:val="20"/>
              </w:rPr>
              <w:t>Drainage</w:t>
            </w:r>
          </w:p>
        </w:tc>
        <w:tc>
          <w:tcPr>
            <w:tcW w:w="1265" w:type="dxa"/>
          </w:tcPr>
          <w:p>
            <w:pPr>
              <w:pStyle w:val="TableParagraph"/>
              <w:spacing w:line="226" w:lineRule="exact" w:before="8"/>
              <w:ind w:right="236"/>
              <w:jc w:val="right"/>
              <w:rPr>
                <w:sz w:val="20"/>
              </w:rPr>
            </w:pPr>
            <w:r>
              <w:rPr>
                <w:spacing w:val="-2"/>
                <w:sz w:val="20"/>
              </w:rPr>
              <w:t>4,470</w:t>
            </w:r>
          </w:p>
        </w:tc>
        <w:tc>
          <w:tcPr>
            <w:tcW w:w="1962" w:type="dxa"/>
          </w:tcPr>
          <w:p>
            <w:pPr>
              <w:pStyle w:val="TableParagraph"/>
              <w:tabs>
                <w:tab w:pos="635" w:val="left" w:leader="none"/>
              </w:tabs>
              <w:spacing w:line="226" w:lineRule="exact" w:before="8"/>
              <w:ind w:right="185"/>
              <w:jc w:val="right"/>
              <w:rPr>
                <w:sz w:val="20"/>
              </w:rPr>
            </w:pPr>
            <w:r>
              <w:rPr>
                <w:spacing w:val="-10"/>
                <w:sz w:val="20"/>
              </w:rPr>
              <w:t>0</w:t>
            </w:r>
            <w:r>
              <w:rPr>
                <w:sz w:val="20"/>
              </w:rPr>
              <w:tab/>
            </w:r>
            <w:r>
              <w:rPr>
                <w:spacing w:val="-2"/>
                <w:sz w:val="20"/>
              </w:rPr>
              <w:t>3,748</w:t>
            </w:r>
          </w:p>
        </w:tc>
        <w:tc>
          <w:tcPr>
            <w:tcW w:w="1112" w:type="dxa"/>
            <w:tcBorders>
              <w:right w:val="single" w:sz="4" w:space="0" w:color="000000"/>
            </w:tcBorders>
          </w:tcPr>
          <w:p>
            <w:pPr>
              <w:pStyle w:val="TableParagraph"/>
              <w:spacing w:line="226" w:lineRule="exact" w:before="8"/>
              <w:ind w:right="100"/>
              <w:jc w:val="right"/>
              <w:rPr>
                <w:sz w:val="20"/>
              </w:rPr>
            </w:pPr>
            <w:r>
              <w:rPr>
                <w:spacing w:val="-5"/>
                <w:sz w:val="20"/>
              </w:rPr>
              <w:t>722</w:t>
            </w:r>
          </w:p>
        </w:tc>
        <w:tc>
          <w:tcPr>
            <w:tcW w:w="1538" w:type="dxa"/>
            <w:tcBorders>
              <w:left w:val="single" w:sz="4" w:space="0" w:color="000000"/>
            </w:tcBorders>
          </w:tcPr>
          <w:p>
            <w:pPr>
              <w:pStyle w:val="TableParagraph"/>
              <w:spacing w:line="226" w:lineRule="exact" w:before="8"/>
              <w:ind w:right="325"/>
              <w:jc w:val="right"/>
              <w:rPr>
                <w:sz w:val="20"/>
              </w:rPr>
            </w:pPr>
            <w:r>
              <w:rPr>
                <w:spacing w:val="-2"/>
                <w:sz w:val="20"/>
              </w:rPr>
              <w:t>4,470</w:t>
            </w:r>
          </w:p>
        </w:tc>
        <w:tc>
          <w:tcPr>
            <w:tcW w:w="1106" w:type="dxa"/>
          </w:tcPr>
          <w:p>
            <w:pPr>
              <w:pStyle w:val="TableParagraph"/>
              <w:spacing w:line="226" w:lineRule="exact" w:before="8"/>
              <w:ind w:right="116"/>
              <w:jc w:val="right"/>
              <w:rPr>
                <w:sz w:val="20"/>
              </w:rPr>
            </w:pPr>
            <w:r>
              <w:rPr>
                <w:w w:val="99"/>
                <w:sz w:val="20"/>
              </w:rPr>
              <w:t>0</w:t>
            </w:r>
          </w:p>
        </w:tc>
        <w:tc>
          <w:tcPr>
            <w:tcW w:w="1569" w:type="dxa"/>
          </w:tcPr>
          <w:p>
            <w:pPr>
              <w:pStyle w:val="TableParagraph"/>
              <w:spacing w:line="226" w:lineRule="exact" w:before="8"/>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8"/>
              <w:ind w:right="95"/>
              <w:jc w:val="right"/>
              <w:rPr>
                <w:sz w:val="20"/>
              </w:rPr>
            </w:pPr>
            <w:r>
              <w:rPr>
                <w:spacing w:val="-2"/>
                <w:sz w:val="20"/>
              </w:rPr>
              <w:t>4,470</w:t>
            </w:r>
          </w:p>
        </w:tc>
      </w:tr>
      <w:tr>
        <w:trPr>
          <w:trHeight w:val="254" w:hRule="atLeast"/>
        </w:trPr>
        <w:tc>
          <w:tcPr>
            <w:tcW w:w="4656" w:type="dxa"/>
            <w:tcBorders>
              <w:left w:val="single" w:sz="4" w:space="0" w:color="000000"/>
            </w:tcBorders>
          </w:tcPr>
          <w:p>
            <w:pPr>
              <w:pStyle w:val="TableParagraph"/>
              <w:spacing w:line="226" w:lineRule="exact" w:before="8"/>
              <w:ind w:left="107"/>
              <w:rPr>
                <w:sz w:val="20"/>
              </w:rPr>
            </w:pPr>
            <w:r>
              <w:rPr>
                <w:sz w:val="20"/>
              </w:rPr>
              <w:t>Recreational,</w:t>
            </w:r>
            <w:r>
              <w:rPr>
                <w:spacing w:val="-7"/>
                <w:sz w:val="20"/>
              </w:rPr>
              <w:t> </w:t>
            </w:r>
            <w:r>
              <w:rPr>
                <w:sz w:val="20"/>
              </w:rPr>
              <w:t>leisure</w:t>
            </w:r>
            <w:r>
              <w:rPr>
                <w:spacing w:val="-9"/>
                <w:sz w:val="20"/>
              </w:rPr>
              <w:t> </w:t>
            </w:r>
            <w:r>
              <w:rPr>
                <w:sz w:val="20"/>
              </w:rPr>
              <w:t>and</w:t>
            </w:r>
            <w:r>
              <w:rPr>
                <w:spacing w:val="-9"/>
                <w:sz w:val="20"/>
              </w:rPr>
              <w:t> </w:t>
            </w:r>
            <w:r>
              <w:rPr>
                <w:sz w:val="20"/>
              </w:rPr>
              <w:t>community</w:t>
            </w:r>
            <w:r>
              <w:rPr>
                <w:spacing w:val="-8"/>
                <w:sz w:val="20"/>
              </w:rPr>
              <w:t> </w:t>
            </w:r>
            <w:r>
              <w:rPr>
                <w:spacing w:val="-2"/>
                <w:sz w:val="20"/>
              </w:rPr>
              <w:t>facilities</w:t>
            </w:r>
          </w:p>
        </w:tc>
        <w:tc>
          <w:tcPr>
            <w:tcW w:w="1265" w:type="dxa"/>
          </w:tcPr>
          <w:p>
            <w:pPr>
              <w:pStyle w:val="TableParagraph"/>
              <w:spacing w:line="226" w:lineRule="exact" w:before="8"/>
              <w:ind w:right="237"/>
              <w:jc w:val="right"/>
              <w:rPr>
                <w:sz w:val="20"/>
              </w:rPr>
            </w:pPr>
            <w:r>
              <w:rPr>
                <w:spacing w:val="-2"/>
                <w:sz w:val="20"/>
              </w:rPr>
              <w:t>2,006</w:t>
            </w:r>
          </w:p>
        </w:tc>
        <w:tc>
          <w:tcPr>
            <w:tcW w:w="1962" w:type="dxa"/>
          </w:tcPr>
          <w:p>
            <w:pPr>
              <w:pStyle w:val="TableParagraph"/>
              <w:tabs>
                <w:tab w:pos="635" w:val="left" w:leader="none"/>
              </w:tabs>
              <w:spacing w:line="226" w:lineRule="exact" w:before="8"/>
              <w:ind w:right="185"/>
              <w:jc w:val="right"/>
              <w:rPr>
                <w:sz w:val="20"/>
              </w:rPr>
            </w:pPr>
            <w:r>
              <w:rPr>
                <w:spacing w:val="-10"/>
                <w:sz w:val="20"/>
              </w:rPr>
              <w:t>0</w:t>
            </w:r>
            <w:r>
              <w:rPr>
                <w:sz w:val="20"/>
              </w:rPr>
              <w:tab/>
            </w:r>
            <w:r>
              <w:rPr>
                <w:spacing w:val="-2"/>
                <w:sz w:val="20"/>
              </w:rPr>
              <w:t>1,746</w:t>
            </w:r>
          </w:p>
        </w:tc>
        <w:tc>
          <w:tcPr>
            <w:tcW w:w="1112" w:type="dxa"/>
            <w:tcBorders>
              <w:right w:val="single" w:sz="4" w:space="0" w:color="000000"/>
            </w:tcBorders>
          </w:tcPr>
          <w:p>
            <w:pPr>
              <w:pStyle w:val="TableParagraph"/>
              <w:spacing w:line="226" w:lineRule="exact" w:before="8"/>
              <w:ind w:right="100"/>
              <w:jc w:val="right"/>
              <w:rPr>
                <w:sz w:val="20"/>
              </w:rPr>
            </w:pPr>
            <w:r>
              <w:rPr>
                <w:spacing w:val="-5"/>
                <w:sz w:val="20"/>
              </w:rPr>
              <w:t>260</w:t>
            </w:r>
          </w:p>
        </w:tc>
        <w:tc>
          <w:tcPr>
            <w:tcW w:w="1538" w:type="dxa"/>
            <w:tcBorders>
              <w:left w:val="single" w:sz="4" w:space="0" w:color="000000"/>
            </w:tcBorders>
          </w:tcPr>
          <w:p>
            <w:pPr>
              <w:pStyle w:val="TableParagraph"/>
              <w:spacing w:line="226" w:lineRule="exact" w:before="8"/>
              <w:ind w:right="325"/>
              <w:jc w:val="right"/>
              <w:rPr>
                <w:sz w:val="20"/>
              </w:rPr>
            </w:pPr>
            <w:r>
              <w:rPr>
                <w:spacing w:val="-2"/>
                <w:sz w:val="20"/>
              </w:rPr>
              <w:t>2,006</w:t>
            </w:r>
          </w:p>
        </w:tc>
        <w:tc>
          <w:tcPr>
            <w:tcW w:w="1106" w:type="dxa"/>
          </w:tcPr>
          <w:p>
            <w:pPr>
              <w:pStyle w:val="TableParagraph"/>
              <w:spacing w:line="226" w:lineRule="exact" w:before="8"/>
              <w:ind w:right="116"/>
              <w:jc w:val="right"/>
              <w:rPr>
                <w:sz w:val="20"/>
              </w:rPr>
            </w:pPr>
            <w:r>
              <w:rPr>
                <w:w w:val="99"/>
                <w:sz w:val="20"/>
              </w:rPr>
              <w:t>0</w:t>
            </w:r>
          </w:p>
        </w:tc>
        <w:tc>
          <w:tcPr>
            <w:tcW w:w="1569" w:type="dxa"/>
          </w:tcPr>
          <w:p>
            <w:pPr>
              <w:pStyle w:val="TableParagraph"/>
              <w:spacing w:line="226" w:lineRule="exact" w:before="8"/>
              <w:ind w:right="128"/>
              <w:jc w:val="right"/>
              <w:rPr>
                <w:sz w:val="20"/>
              </w:rPr>
            </w:pPr>
            <w:r>
              <w:rPr>
                <w:spacing w:val="-5"/>
                <w:sz w:val="20"/>
              </w:rPr>
              <w:t>36</w:t>
            </w:r>
          </w:p>
        </w:tc>
        <w:tc>
          <w:tcPr>
            <w:tcW w:w="1521" w:type="dxa"/>
            <w:tcBorders>
              <w:right w:val="single" w:sz="4" w:space="0" w:color="000000"/>
            </w:tcBorders>
          </w:tcPr>
          <w:p>
            <w:pPr>
              <w:pStyle w:val="TableParagraph"/>
              <w:spacing w:line="226" w:lineRule="exact" w:before="8"/>
              <w:ind w:right="95"/>
              <w:jc w:val="right"/>
              <w:rPr>
                <w:sz w:val="20"/>
              </w:rPr>
            </w:pPr>
            <w:r>
              <w:rPr>
                <w:spacing w:val="-2"/>
                <w:sz w:val="20"/>
              </w:rPr>
              <w:t>1,970</w:t>
            </w:r>
          </w:p>
        </w:tc>
      </w:tr>
      <w:tr>
        <w:trPr>
          <w:trHeight w:val="255" w:hRule="atLeast"/>
        </w:trPr>
        <w:tc>
          <w:tcPr>
            <w:tcW w:w="4656" w:type="dxa"/>
            <w:tcBorders>
              <w:left w:val="single" w:sz="4" w:space="0" w:color="000000"/>
            </w:tcBorders>
          </w:tcPr>
          <w:p>
            <w:pPr>
              <w:pStyle w:val="TableParagraph"/>
              <w:spacing w:line="227" w:lineRule="exact" w:before="8"/>
              <w:ind w:left="107"/>
              <w:rPr>
                <w:sz w:val="20"/>
              </w:rPr>
            </w:pPr>
            <w:r>
              <w:rPr>
                <w:sz w:val="20"/>
              </w:rPr>
              <w:t>Waste</w:t>
            </w:r>
            <w:r>
              <w:rPr>
                <w:spacing w:val="-6"/>
                <w:sz w:val="20"/>
              </w:rPr>
              <w:t> </w:t>
            </w:r>
            <w:r>
              <w:rPr>
                <w:spacing w:val="-2"/>
                <w:sz w:val="20"/>
              </w:rPr>
              <w:t>management</w:t>
            </w:r>
          </w:p>
        </w:tc>
        <w:tc>
          <w:tcPr>
            <w:tcW w:w="1265" w:type="dxa"/>
          </w:tcPr>
          <w:p>
            <w:pPr>
              <w:pStyle w:val="TableParagraph"/>
              <w:spacing w:line="227" w:lineRule="exact" w:before="8"/>
              <w:ind w:right="237"/>
              <w:jc w:val="right"/>
              <w:rPr>
                <w:sz w:val="20"/>
              </w:rPr>
            </w:pPr>
            <w:r>
              <w:rPr>
                <w:spacing w:val="-2"/>
                <w:sz w:val="20"/>
              </w:rPr>
              <w:t>3,550</w:t>
            </w:r>
          </w:p>
        </w:tc>
        <w:tc>
          <w:tcPr>
            <w:tcW w:w="1962" w:type="dxa"/>
          </w:tcPr>
          <w:p>
            <w:pPr>
              <w:pStyle w:val="TableParagraph"/>
              <w:tabs>
                <w:tab w:pos="1418" w:val="left" w:leader="none"/>
              </w:tabs>
              <w:spacing w:line="227" w:lineRule="exact" w:before="8"/>
              <w:ind w:right="183"/>
              <w:jc w:val="right"/>
              <w:rPr>
                <w:sz w:val="20"/>
              </w:rPr>
            </w:pPr>
            <w:r>
              <w:rPr>
                <w:spacing w:val="-2"/>
                <w:sz w:val="20"/>
              </w:rPr>
              <w:t>3,500</w:t>
            </w:r>
            <w:r>
              <w:rPr>
                <w:sz w:val="20"/>
              </w:rPr>
              <w:tab/>
            </w:r>
            <w:r>
              <w:rPr>
                <w:spacing w:val="-10"/>
                <w:sz w:val="20"/>
              </w:rPr>
              <w:t>0</w:t>
            </w:r>
          </w:p>
        </w:tc>
        <w:tc>
          <w:tcPr>
            <w:tcW w:w="1112" w:type="dxa"/>
            <w:tcBorders>
              <w:right w:val="single" w:sz="4" w:space="0" w:color="000000"/>
            </w:tcBorders>
          </w:tcPr>
          <w:p>
            <w:pPr>
              <w:pStyle w:val="TableParagraph"/>
              <w:spacing w:line="227" w:lineRule="exact" w:before="8"/>
              <w:ind w:right="101"/>
              <w:jc w:val="right"/>
              <w:rPr>
                <w:sz w:val="20"/>
              </w:rPr>
            </w:pPr>
            <w:r>
              <w:rPr>
                <w:spacing w:val="-5"/>
                <w:sz w:val="20"/>
              </w:rPr>
              <w:t>50</w:t>
            </w:r>
          </w:p>
        </w:tc>
        <w:tc>
          <w:tcPr>
            <w:tcW w:w="1538" w:type="dxa"/>
            <w:tcBorders>
              <w:left w:val="single" w:sz="4" w:space="0" w:color="000000"/>
            </w:tcBorders>
          </w:tcPr>
          <w:p>
            <w:pPr>
              <w:pStyle w:val="TableParagraph"/>
              <w:spacing w:line="227" w:lineRule="exact" w:before="8"/>
              <w:ind w:right="325"/>
              <w:jc w:val="right"/>
              <w:rPr>
                <w:sz w:val="20"/>
              </w:rPr>
            </w:pPr>
            <w:r>
              <w:rPr>
                <w:spacing w:val="-2"/>
                <w:sz w:val="20"/>
              </w:rPr>
              <w:t>3,550</w:t>
            </w:r>
          </w:p>
        </w:tc>
        <w:tc>
          <w:tcPr>
            <w:tcW w:w="1106" w:type="dxa"/>
          </w:tcPr>
          <w:p>
            <w:pPr>
              <w:pStyle w:val="TableParagraph"/>
              <w:spacing w:line="227" w:lineRule="exact" w:before="8"/>
              <w:ind w:right="116"/>
              <w:jc w:val="right"/>
              <w:rPr>
                <w:sz w:val="20"/>
              </w:rPr>
            </w:pPr>
            <w:r>
              <w:rPr>
                <w:w w:val="99"/>
                <w:sz w:val="20"/>
              </w:rPr>
              <w:t>0</w:t>
            </w:r>
          </w:p>
        </w:tc>
        <w:tc>
          <w:tcPr>
            <w:tcW w:w="1569" w:type="dxa"/>
          </w:tcPr>
          <w:p>
            <w:pPr>
              <w:pStyle w:val="TableParagraph"/>
              <w:spacing w:line="227" w:lineRule="exact" w:before="8"/>
              <w:ind w:right="125"/>
              <w:jc w:val="right"/>
              <w:rPr>
                <w:sz w:val="20"/>
              </w:rPr>
            </w:pPr>
            <w:r>
              <w:rPr>
                <w:w w:val="99"/>
                <w:sz w:val="20"/>
              </w:rPr>
              <w:t>0</w:t>
            </w:r>
          </w:p>
        </w:tc>
        <w:tc>
          <w:tcPr>
            <w:tcW w:w="1521" w:type="dxa"/>
            <w:tcBorders>
              <w:right w:val="single" w:sz="4" w:space="0" w:color="000000"/>
            </w:tcBorders>
          </w:tcPr>
          <w:p>
            <w:pPr>
              <w:pStyle w:val="TableParagraph"/>
              <w:spacing w:line="227" w:lineRule="exact" w:before="8"/>
              <w:ind w:right="95"/>
              <w:jc w:val="right"/>
              <w:rPr>
                <w:sz w:val="20"/>
              </w:rPr>
            </w:pPr>
            <w:r>
              <w:rPr>
                <w:spacing w:val="-2"/>
                <w:sz w:val="20"/>
              </w:rPr>
              <w:t>3,550</w:t>
            </w:r>
          </w:p>
        </w:tc>
      </w:tr>
      <w:tr>
        <w:trPr>
          <w:trHeight w:val="255" w:hRule="atLeast"/>
        </w:trPr>
        <w:tc>
          <w:tcPr>
            <w:tcW w:w="4656" w:type="dxa"/>
            <w:tcBorders>
              <w:left w:val="single" w:sz="4" w:space="0" w:color="000000"/>
            </w:tcBorders>
          </w:tcPr>
          <w:p>
            <w:pPr>
              <w:pStyle w:val="TableParagraph"/>
              <w:spacing w:line="226" w:lineRule="exact" w:before="10"/>
              <w:ind w:left="107"/>
              <w:rPr>
                <w:sz w:val="20"/>
              </w:rPr>
            </w:pPr>
            <w:r>
              <w:rPr>
                <w:sz w:val="20"/>
              </w:rPr>
              <w:t>Parks,</w:t>
            </w:r>
            <w:r>
              <w:rPr>
                <w:spacing w:val="-6"/>
                <w:sz w:val="20"/>
              </w:rPr>
              <w:t> </w:t>
            </w:r>
            <w:r>
              <w:rPr>
                <w:sz w:val="20"/>
              </w:rPr>
              <w:t>open</w:t>
            </w:r>
            <w:r>
              <w:rPr>
                <w:spacing w:val="-7"/>
                <w:sz w:val="20"/>
              </w:rPr>
              <w:t> </w:t>
            </w:r>
            <w:r>
              <w:rPr>
                <w:sz w:val="20"/>
              </w:rPr>
              <w:t>space,</w:t>
            </w:r>
            <w:r>
              <w:rPr>
                <w:spacing w:val="-2"/>
                <w:sz w:val="20"/>
              </w:rPr>
              <w:t> </w:t>
            </w:r>
            <w:r>
              <w:rPr>
                <w:sz w:val="20"/>
              </w:rPr>
              <w:t>and</w:t>
            </w:r>
            <w:r>
              <w:rPr>
                <w:spacing w:val="-7"/>
                <w:sz w:val="20"/>
              </w:rPr>
              <w:t> </w:t>
            </w:r>
            <w:r>
              <w:rPr>
                <w:spacing w:val="-2"/>
                <w:sz w:val="20"/>
              </w:rPr>
              <w:t>streetscapes</w:t>
            </w:r>
          </w:p>
        </w:tc>
        <w:tc>
          <w:tcPr>
            <w:tcW w:w="1265" w:type="dxa"/>
          </w:tcPr>
          <w:p>
            <w:pPr>
              <w:pStyle w:val="TableParagraph"/>
              <w:spacing w:line="226" w:lineRule="exact" w:before="10"/>
              <w:ind w:right="237"/>
              <w:jc w:val="right"/>
              <w:rPr>
                <w:sz w:val="20"/>
              </w:rPr>
            </w:pPr>
            <w:r>
              <w:rPr>
                <w:spacing w:val="-2"/>
                <w:sz w:val="20"/>
              </w:rPr>
              <w:t>3,176</w:t>
            </w:r>
          </w:p>
        </w:tc>
        <w:tc>
          <w:tcPr>
            <w:tcW w:w="1962" w:type="dxa"/>
          </w:tcPr>
          <w:p>
            <w:pPr>
              <w:pStyle w:val="TableParagraph"/>
              <w:tabs>
                <w:tab w:pos="1027" w:val="left" w:leader="none"/>
              </w:tabs>
              <w:spacing w:line="226" w:lineRule="exact" w:before="10"/>
              <w:ind w:right="185"/>
              <w:jc w:val="right"/>
              <w:rPr>
                <w:sz w:val="20"/>
              </w:rPr>
            </w:pPr>
            <w:r>
              <w:rPr>
                <w:spacing w:val="-2"/>
                <w:sz w:val="20"/>
              </w:rPr>
              <w:t>1,060</w:t>
            </w:r>
            <w:r>
              <w:rPr>
                <w:sz w:val="20"/>
              </w:rPr>
              <w:tab/>
            </w:r>
            <w:r>
              <w:rPr>
                <w:spacing w:val="-4"/>
                <w:sz w:val="20"/>
              </w:rPr>
              <w:t>1,536</w:t>
            </w:r>
          </w:p>
        </w:tc>
        <w:tc>
          <w:tcPr>
            <w:tcW w:w="1112" w:type="dxa"/>
            <w:tcBorders>
              <w:right w:val="single" w:sz="4" w:space="0" w:color="000000"/>
            </w:tcBorders>
          </w:tcPr>
          <w:p>
            <w:pPr>
              <w:pStyle w:val="TableParagraph"/>
              <w:spacing w:line="226" w:lineRule="exact" w:before="10"/>
              <w:ind w:right="100"/>
              <w:jc w:val="right"/>
              <w:rPr>
                <w:sz w:val="20"/>
              </w:rPr>
            </w:pPr>
            <w:r>
              <w:rPr>
                <w:spacing w:val="-5"/>
                <w:sz w:val="20"/>
              </w:rPr>
              <w:t>580</w:t>
            </w:r>
          </w:p>
        </w:tc>
        <w:tc>
          <w:tcPr>
            <w:tcW w:w="1538" w:type="dxa"/>
            <w:tcBorders>
              <w:left w:val="single" w:sz="4" w:space="0" w:color="000000"/>
            </w:tcBorders>
          </w:tcPr>
          <w:p>
            <w:pPr>
              <w:pStyle w:val="TableParagraph"/>
              <w:spacing w:line="226" w:lineRule="exact" w:before="10"/>
              <w:ind w:right="325"/>
              <w:jc w:val="right"/>
              <w:rPr>
                <w:sz w:val="20"/>
              </w:rPr>
            </w:pPr>
            <w:r>
              <w:rPr>
                <w:spacing w:val="-2"/>
                <w:sz w:val="20"/>
              </w:rPr>
              <w:t>3,176</w:t>
            </w:r>
          </w:p>
        </w:tc>
        <w:tc>
          <w:tcPr>
            <w:tcW w:w="1106" w:type="dxa"/>
          </w:tcPr>
          <w:p>
            <w:pPr>
              <w:pStyle w:val="TableParagraph"/>
              <w:spacing w:line="226" w:lineRule="exact" w:before="10"/>
              <w:ind w:right="116"/>
              <w:jc w:val="right"/>
              <w:rPr>
                <w:sz w:val="20"/>
              </w:rPr>
            </w:pPr>
            <w:r>
              <w:rPr>
                <w:w w:val="99"/>
                <w:sz w:val="20"/>
              </w:rPr>
              <w:t>0</w:t>
            </w:r>
          </w:p>
        </w:tc>
        <w:tc>
          <w:tcPr>
            <w:tcW w:w="1569" w:type="dxa"/>
          </w:tcPr>
          <w:p>
            <w:pPr>
              <w:pStyle w:val="TableParagraph"/>
              <w:spacing w:line="226" w:lineRule="exact" w:before="10"/>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10"/>
              <w:ind w:right="95"/>
              <w:jc w:val="right"/>
              <w:rPr>
                <w:sz w:val="20"/>
              </w:rPr>
            </w:pPr>
            <w:r>
              <w:rPr>
                <w:spacing w:val="-2"/>
                <w:sz w:val="20"/>
              </w:rPr>
              <w:t>3,176</w:t>
            </w:r>
          </w:p>
        </w:tc>
      </w:tr>
      <w:tr>
        <w:trPr>
          <w:trHeight w:val="254" w:hRule="atLeast"/>
        </w:trPr>
        <w:tc>
          <w:tcPr>
            <w:tcW w:w="4656" w:type="dxa"/>
            <w:tcBorders>
              <w:left w:val="single" w:sz="4" w:space="0" w:color="000000"/>
            </w:tcBorders>
          </w:tcPr>
          <w:p>
            <w:pPr>
              <w:pStyle w:val="TableParagraph"/>
              <w:spacing w:line="226" w:lineRule="exact" w:before="8"/>
              <w:ind w:left="107"/>
              <w:rPr>
                <w:sz w:val="20"/>
              </w:rPr>
            </w:pPr>
            <w:r>
              <w:rPr>
                <w:sz w:val="20"/>
              </w:rPr>
              <w:t>Off</w:t>
            </w:r>
            <w:r>
              <w:rPr>
                <w:spacing w:val="-5"/>
                <w:sz w:val="20"/>
              </w:rPr>
              <w:t> </w:t>
            </w:r>
            <w:r>
              <w:rPr>
                <w:sz w:val="20"/>
              </w:rPr>
              <w:t>street</w:t>
            </w:r>
            <w:r>
              <w:rPr>
                <w:spacing w:val="-5"/>
                <w:sz w:val="20"/>
              </w:rPr>
              <w:t> </w:t>
            </w:r>
            <w:r>
              <w:rPr>
                <w:sz w:val="20"/>
              </w:rPr>
              <w:t>car</w:t>
            </w:r>
            <w:r>
              <w:rPr>
                <w:spacing w:val="-3"/>
                <w:sz w:val="20"/>
              </w:rPr>
              <w:t> </w:t>
            </w:r>
            <w:r>
              <w:rPr>
                <w:spacing w:val="-2"/>
                <w:sz w:val="20"/>
              </w:rPr>
              <w:t>parks</w:t>
            </w:r>
          </w:p>
        </w:tc>
        <w:tc>
          <w:tcPr>
            <w:tcW w:w="1265" w:type="dxa"/>
          </w:tcPr>
          <w:p>
            <w:pPr>
              <w:pStyle w:val="TableParagraph"/>
              <w:spacing w:line="226" w:lineRule="exact" w:before="8"/>
              <w:ind w:right="238"/>
              <w:jc w:val="right"/>
              <w:rPr>
                <w:sz w:val="20"/>
              </w:rPr>
            </w:pPr>
            <w:r>
              <w:rPr>
                <w:spacing w:val="-5"/>
                <w:sz w:val="20"/>
              </w:rPr>
              <w:t>470</w:t>
            </w:r>
          </w:p>
        </w:tc>
        <w:tc>
          <w:tcPr>
            <w:tcW w:w="1962" w:type="dxa"/>
          </w:tcPr>
          <w:p>
            <w:pPr>
              <w:pStyle w:val="TableParagraph"/>
              <w:tabs>
                <w:tab w:pos="803" w:val="left" w:leader="none"/>
              </w:tabs>
              <w:spacing w:line="226" w:lineRule="exact" w:before="8"/>
              <w:ind w:right="186"/>
              <w:jc w:val="right"/>
              <w:rPr>
                <w:sz w:val="20"/>
              </w:rPr>
            </w:pPr>
            <w:r>
              <w:rPr>
                <w:spacing w:val="-10"/>
                <w:sz w:val="20"/>
              </w:rPr>
              <w:t>0</w:t>
            </w:r>
            <w:r>
              <w:rPr>
                <w:sz w:val="20"/>
              </w:rPr>
              <w:tab/>
            </w:r>
            <w:r>
              <w:rPr>
                <w:spacing w:val="-5"/>
                <w:sz w:val="20"/>
              </w:rPr>
              <w:t>235</w:t>
            </w:r>
          </w:p>
        </w:tc>
        <w:tc>
          <w:tcPr>
            <w:tcW w:w="1112" w:type="dxa"/>
            <w:tcBorders>
              <w:right w:val="single" w:sz="4" w:space="0" w:color="000000"/>
            </w:tcBorders>
          </w:tcPr>
          <w:p>
            <w:pPr>
              <w:pStyle w:val="TableParagraph"/>
              <w:spacing w:line="226" w:lineRule="exact" w:before="8"/>
              <w:ind w:right="100"/>
              <w:jc w:val="right"/>
              <w:rPr>
                <w:sz w:val="20"/>
              </w:rPr>
            </w:pPr>
            <w:r>
              <w:rPr>
                <w:spacing w:val="-5"/>
                <w:sz w:val="20"/>
              </w:rPr>
              <w:t>235</w:t>
            </w:r>
          </w:p>
        </w:tc>
        <w:tc>
          <w:tcPr>
            <w:tcW w:w="1538" w:type="dxa"/>
            <w:tcBorders>
              <w:left w:val="single" w:sz="4" w:space="0" w:color="000000"/>
            </w:tcBorders>
          </w:tcPr>
          <w:p>
            <w:pPr>
              <w:pStyle w:val="TableParagraph"/>
              <w:spacing w:line="226" w:lineRule="exact" w:before="8"/>
              <w:ind w:right="326"/>
              <w:jc w:val="right"/>
              <w:rPr>
                <w:sz w:val="20"/>
              </w:rPr>
            </w:pPr>
            <w:r>
              <w:rPr>
                <w:spacing w:val="-5"/>
                <w:sz w:val="20"/>
              </w:rPr>
              <w:t>470</w:t>
            </w:r>
          </w:p>
        </w:tc>
        <w:tc>
          <w:tcPr>
            <w:tcW w:w="1106" w:type="dxa"/>
          </w:tcPr>
          <w:p>
            <w:pPr>
              <w:pStyle w:val="TableParagraph"/>
              <w:spacing w:line="226" w:lineRule="exact" w:before="8"/>
              <w:ind w:right="116"/>
              <w:jc w:val="right"/>
              <w:rPr>
                <w:sz w:val="20"/>
              </w:rPr>
            </w:pPr>
            <w:r>
              <w:rPr>
                <w:w w:val="99"/>
                <w:sz w:val="20"/>
              </w:rPr>
              <w:t>0</w:t>
            </w:r>
          </w:p>
        </w:tc>
        <w:tc>
          <w:tcPr>
            <w:tcW w:w="1569" w:type="dxa"/>
          </w:tcPr>
          <w:p>
            <w:pPr>
              <w:pStyle w:val="TableParagraph"/>
              <w:spacing w:line="226" w:lineRule="exact" w:before="8"/>
              <w:ind w:right="125"/>
              <w:jc w:val="right"/>
              <w:rPr>
                <w:sz w:val="20"/>
              </w:rPr>
            </w:pPr>
            <w:r>
              <w:rPr>
                <w:w w:val="99"/>
                <w:sz w:val="20"/>
              </w:rPr>
              <w:t>0</w:t>
            </w:r>
          </w:p>
        </w:tc>
        <w:tc>
          <w:tcPr>
            <w:tcW w:w="1521" w:type="dxa"/>
            <w:tcBorders>
              <w:right w:val="single" w:sz="4" w:space="0" w:color="000000"/>
            </w:tcBorders>
          </w:tcPr>
          <w:p>
            <w:pPr>
              <w:pStyle w:val="TableParagraph"/>
              <w:spacing w:line="226" w:lineRule="exact" w:before="8"/>
              <w:ind w:right="96"/>
              <w:jc w:val="right"/>
              <w:rPr>
                <w:sz w:val="20"/>
              </w:rPr>
            </w:pPr>
            <w:r>
              <w:rPr>
                <w:spacing w:val="-5"/>
                <w:sz w:val="20"/>
              </w:rPr>
              <w:t>470</w:t>
            </w:r>
          </w:p>
        </w:tc>
      </w:tr>
      <w:tr>
        <w:trPr>
          <w:trHeight w:val="239" w:hRule="atLeast"/>
        </w:trPr>
        <w:tc>
          <w:tcPr>
            <w:tcW w:w="4656" w:type="dxa"/>
            <w:tcBorders>
              <w:left w:val="single" w:sz="4" w:space="0" w:color="000000"/>
            </w:tcBorders>
          </w:tcPr>
          <w:p>
            <w:pPr>
              <w:pStyle w:val="TableParagraph"/>
              <w:spacing w:line="211" w:lineRule="exact" w:before="8"/>
              <w:ind w:left="107"/>
              <w:rPr>
                <w:sz w:val="20"/>
              </w:rPr>
            </w:pPr>
            <w:r>
              <w:rPr>
                <w:sz w:val="20"/>
              </w:rPr>
              <w:t>Other</w:t>
            </w:r>
            <w:r>
              <w:rPr>
                <w:spacing w:val="-6"/>
                <w:sz w:val="20"/>
              </w:rPr>
              <w:t> </w:t>
            </w:r>
            <w:r>
              <w:rPr>
                <w:spacing w:val="-2"/>
                <w:sz w:val="20"/>
              </w:rPr>
              <w:t>infrastructure</w:t>
            </w:r>
          </w:p>
        </w:tc>
        <w:tc>
          <w:tcPr>
            <w:tcW w:w="1265" w:type="dxa"/>
            <w:tcBorders>
              <w:bottom w:val="single" w:sz="4" w:space="0" w:color="000000"/>
            </w:tcBorders>
          </w:tcPr>
          <w:p>
            <w:pPr>
              <w:pStyle w:val="TableParagraph"/>
              <w:spacing w:line="211" w:lineRule="exact" w:before="8"/>
              <w:ind w:right="237"/>
              <w:jc w:val="right"/>
              <w:rPr>
                <w:sz w:val="20"/>
              </w:rPr>
            </w:pPr>
            <w:r>
              <w:rPr>
                <w:spacing w:val="-2"/>
                <w:sz w:val="20"/>
              </w:rPr>
              <w:t>1,245</w:t>
            </w:r>
          </w:p>
        </w:tc>
        <w:tc>
          <w:tcPr>
            <w:tcW w:w="1962" w:type="dxa"/>
            <w:tcBorders>
              <w:bottom w:val="single" w:sz="4" w:space="0" w:color="000000"/>
            </w:tcBorders>
          </w:tcPr>
          <w:p>
            <w:pPr>
              <w:pStyle w:val="TableParagraph"/>
              <w:tabs>
                <w:tab w:pos="1027" w:val="left" w:leader="none"/>
              </w:tabs>
              <w:spacing w:line="211" w:lineRule="exact" w:before="8"/>
              <w:ind w:right="186"/>
              <w:jc w:val="right"/>
              <w:rPr>
                <w:sz w:val="20"/>
              </w:rPr>
            </w:pPr>
            <w:r>
              <w:rPr>
                <w:spacing w:val="-5"/>
                <w:sz w:val="20"/>
              </w:rPr>
              <w:t>170</w:t>
            </w:r>
            <w:r>
              <w:rPr>
                <w:sz w:val="20"/>
              </w:rPr>
              <w:tab/>
            </w:r>
            <w:r>
              <w:rPr>
                <w:spacing w:val="-5"/>
                <w:sz w:val="20"/>
              </w:rPr>
              <w:t>275</w:t>
            </w:r>
          </w:p>
        </w:tc>
        <w:tc>
          <w:tcPr>
            <w:tcW w:w="1112" w:type="dxa"/>
            <w:tcBorders>
              <w:bottom w:val="single" w:sz="4" w:space="0" w:color="000000"/>
              <w:right w:val="single" w:sz="4" w:space="0" w:color="000000"/>
            </w:tcBorders>
          </w:tcPr>
          <w:p>
            <w:pPr>
              <w:pStyle w:val="TableParagraph"/>
              <w:spacing w:line="211" w:lineRule="exact" w:before="8"/>
              <w:ind w:right="100"/>
              <w:jc w:val="right"/>
              <w:rPr>
                <w:sz w:val="20"/>
              </w:rPr>
            </w:pPr>
            <w:r>
              <w:rPr>
                <w:spacing w:val="-5"/>
                <w:sz w:val="20"/>
              </w:rPr>
              <w:t>800</w:t>
            </w:r>
          </w:p>
        </w:tc>
        <w:tc>
          <w:tcPr>
            <w:tcW w:w="1538" w:type="dxa"/>
            <w:tcBorders>
              <w:left w:val="single" w:sz="4" w:space="0" w:color="000000"/>
              <w:bottom w:val="single" w:sz="4" w:space="0" w:color="000000"/>
            </w:tcBorders>
          </w:tcPr>
          <w:p>
            <w:pPr>
              <w:pStyle w:val="TableParagraph"/>
              <w:spacing w:line="211" w:lineRule="exact" w:before="8"/>
              <w:ind w:right="325"/>
              <w:jc w:val="right"/>
              <w:rPr>
                <w:sz w:val="20"/>
              </w:rPr>
            </w:pPr>
            <w:r>
              <w:rPr>
                <w:spacing w:val="-2"/>
                <w:sz w:val="20"/>
              </w:rPr>
              <w:t>1,245</w:t>
            </w:r>
          </w:p>
        </w:tc>
        <w:tc>
          <w:tcPr>
            <w:tcW w:w="1106" w:type="dxa"/>
            <w:tcBorders>
              <w:bottom w:val="single" w:sz="4" w:space="0" w:color="000000"/>
            </w:tcBorders>
          </w:tcPr>
          <w:p>
            <w:pPr>
              <w:pStyle w:val="TableParagraph"/>
              <w:spacing w:line="211" w:lineRule="exact" w:before="8"/>
              <w:ind w:right="116"/>
              <w:jc w:val="right"/>
              <w:rPr>
                <w:sz w:val="20"/>
              </w:rPr>
            </w:pPr>
            <w:r>
              <w:rPr>
                <w:w w:val="99"/>
                <w:sz w:val="20"/>
              </w:rPr>
              <w:t>0</w:t>
            </w:r>
          </w:p>
        </w:tc>
        <w:tc>
          <w:tcPr>
            <w:tcW w:w="1569" w:type="dxa"/>
            <w:tcBorders>
              <w:bottom w:val="single" w:sz="4" w:space="0" w:color="000000"/>
            </w:tcBorders>
          </w:tcPr>
          <w:p>
            <w:pPr>
              <w:pStyle w:val="TableParagraph"/>
              <w:spacing w:line="211" w:lineRule="exact" w:before="8"/>
              <w:ind w:right="125"/>
              <w:jc w:val="right"/>
              <w:rPr>
                <w:sz w:val="20"/>
              </w:rPr>
            </w:pPr>
            <w:r>
              <w:rPr>
                <w:w w:val="99"/>
                <w:sz w:val="20"/>
              </w:rPr>
              <w:t>0</w:t>
            </w:r>
          </w:p>
        </w:tc>
        <w:tc>
          <w:tcPr>
            <w:tcW w:w="1521" w:type="dxa"/>
            <w:tcBorders>
              <w:bottom w:val="single" w:sz="4" w:space="0" w:color="000000"/>
              <w:right w:val="single" w:sz="4" w:space="0" w:color="000000"/>
            </w:tcBorders>
          </w:tcPr>
          <w:p>
            <w:pPr>
              <w:pStyle w:val="TableParagraph"/>
              <w:spacing w:line="211" w:lineRule="exact" w:before="8"/>
              <w:ind w:right="95"/>
              <w:jc w:val="right"/>
              <w:rPr>
                <w:sz w:val="20"/>
              </w:rPr>
            </w:pPr>
            <w:r>
              <w:rPr>
                <w:spacing w:val="-2"/>
                <w:sz w:val="20"/>
              </w:rPr>
              <w:t>1,245</w:t>
            </w:r>
          </w:p>
        </w:tc>
      </w:tr>
      <w:tr>
        <w:trPr>
          <w:trHeight w:val="256" w:hRule="atLeast"/>
        </w:trPr>
        <w:tc>
          <w:tcPr>
            <w:tcW w:w="4656"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Infrastructure</w:t>
            </w:r>
          </w:p>
        </w:tc>
        <w:tc>
          <w:tcPr>
            <w:tcW w:w="1265" w:type="dxa"/>
            <w:tcBorders>
              <w:top w:val="single" w:sz="4" w:space="0" w:color="000000"/>
              <w:bottom w:val="single" w:sz="4" w:space="0" w:color="000000"/>
            </w:tcBorders>
          </w:tcPr>
          <w:p>
            <w:pPr>
              <w:pStyle w:val="TableParagraph"/>
              <w:spacing w:line="211" w:lineRule="exact" w:before="26"/>
              <w:ind w:right="238"/>
              <w:jc w:val="right"/>
              <w:rPr>
                <w:b/>
                <w:sz w:val="20"/>
              </w:rPr>
            </w:pPr>
            <w:r>
              <w:rPr>
                <w:b/>
                <w:spacing w:val="-2"/>
                <w:sz w:val="20"/>
              </w:rPr>
              <w:t>23,041</w:t>
            </w:r>
          </w:p>
        </w:tc>
        <w:tc>
          <w:tcPr>
            <w:tcW w:w="1962" w:type="dxa"/>
            <w:tcBorders>
              <w:top w:val="single" w:sz="4" w:space="0" w:color="000000"/>
              <w:bottom w:val="single" w:sz="4" w:space="0" w:color="000000"/>
            </w:tcBorders>
          </w:tcPr>
          <w:p>
            <w:pPr>
              <w:pStyle w:val="TableParagraph"/>
              <w:tabs>
                <w:tab w:pos="916" w:val="left" w:leader="none"/>
              </w:tabs>
              <w:spacing w:line="211" w:lineRule="exact" w:before="26"/>
              <w:ind w:right="186"/>
              <w:jc w:val="right"/>
              <w:rPr>
                <w:b/>
                <w:sz w:val="20"/>
              </w:rPr>
            </w:pPr>
            <w:r>
              <w:rPr>
                <w:b/>
                <w:spacing w:val="-2"/>
                <w:sz w:val="20"/>
              </w:rPr>
              <w:t>6,265</w:t>
            </w:r>
            <w:r>
              <w:rPr>
                <w:b/>
                <w:sz w:val="20"/>
              </w:rPr>
              <w:tab/>
            </w:r>
            <w:r>
              <w:rPr>
                <w:b/>
                <w:spacing w:val="-2"/>
                <w:sz w:val="20"/>
              </w:rPr>
              <w:t>13,658</w:t>
            </w:r>
          </w:p>
        </w:tc>
        <w:tc>
          <w:tcPr>
            <w:tcW w:w="1112"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b/>
                <w:sz w:val="20"/>
              </w:rPr>
            </w:pPr>
            <w:r>
              <w:rPr>
                <w:b/>
                <w:spacing w:val="-2"/>
                <w:sz w:val="20"/>
              </w:rPr>
              <w:t>3,118</w:t>
            </w:r>
          </w:p>
        </w:tc>
        <w:tc>
          <w:tcPr>
            <w:tcW w:w="1538" w:type="dxa"/>
            <w:tcBorders>
              <w:top w:val="single" w:sz="4" w:space="0" w:color="000000"/>
              <w:left w:val="single" w:sz="4" w:space="0" w:color="000000"/>
              <w:bottom w:val="single" w:sz="4" w:space="0" w:color="000000"/>
            </w:tcBorders>
          </w:tcPr>
          <w:p>
            <w:pPr>
              <w:pStyle w:val="TableParagraph"/>
              <w:spacing w:line="211" w:lineRule="exact" w:before="26"/>
              <w:ind w:right="326"/>
              <w:jc w:val="right"/>
              <w:rPr>
                <w:b/>
                <w:sz w:val="20"/>
              </w:rPr>
            </w:pPr>
            <w:r>
              <w:rPr>
                <w:b/>
                <w:spacing w:val="-2"/>
                <w:sz w:val="20"/>
              </w:rPr>
              <w:t>23,041</w:t>
            </w:r>
          </w:p>
        </w:tc>
        <w:tc>
          <w:tcPr>
            <w:tcW w:w="1106" w:type="dxa"/>
            <w:tcBorders>
              <w:top w:val="single" w:sz="4" w:space="0" w:color="000000"/>
              <w:bottom w:val="single" w:sz="4" w:space="0" w:color="000000"/>
            </w:tcBorders>
          </w:tcPr>
          <w:p>
            <w:pPr>
              <w:pStyle w:val="TableParagraph"/>
              <w:spacing w:line="211" w:lineRule="exact" w:before="26"/>
              <w:ind w:right="119"/>
              <w:jc w:val="right"/>
              <w:rPr>
                <w:b/>
                <w:sz w:val="20"/>
              </w:rPr>
            </w:pPr>
            <w:r>
              <w:rPr>
                <w:b/>
                <w:spacing w:val="-5"/>
                <w:sz w:val="20"/>
              </w:rPr>
              <w:t>508</w:t>
            </w:r>
          </w:p>
        </w:tc>
        <w:tc>
          <w:tcPr>
            <w:tcW w:w="1569" w:type="dxa"/>
            <w:tcBorders>
              <w:top w:val="single" w:sz="4" w:space="0" w:color="000000"/>
              <w:bottom w:val="single" w:sz="4" w:space="0" w:color="000000"/>
            </w:tcBorders>
          </w:tcPr>
          <w:p>
            <w:pPr>
              <w:pStyle w:val="TableParagraph"/>
              <w:spacing w:line="211" w:lineRule="exact" w:before="26"/>
              <w:ind w:right="128"/>
              <w:jc w:val="right"/>
              <w:rPr>
                <w:b/>
                <w:sz w:val="20"/>
              </w:rPr>
            </w:pPr>
            <w:r>
              <w:rPr>
                <w:b/>
                <w:spacing w:val="-5"/>
                <w:sz w:val="20"/>
              </w:rPr>
              <w:t>36</w:t>
            </w:r>
          </w:p>
        </w:tc>
        <w:tc>
          <w:tcPr>
            <w:tcW w:w="1521" w:type="dxa"/>
            <w:tcBorders>
              <w:top w:val="single" w:sz="4" w:space="0" w:color="000000"/>
              <w:bottom w:val="single" w:sz="4" w:space="0" w:color="000000"/>
              <w:right w:val="single" w:sz="4" w:space="0" w:color="000000"/>
            </w:tcBorders>
          </w:tcPr>
          <w:p>
            <w:pPr>
              <w:pStyle w:val="TableParagraph"/>
              <w:spacing w:line="211" w:lineRule="exact" w:before="26"/>
              <w:ind w:right="96"/>
              <w:jc w:val="right"/>
              <w:rPr>
                <w:b/>
                <w:sz w:val="20"/>
              </w:rPr>
            </w:pPr>
            <w:r>
              <w:rPr>
                <w:b/>
                <w:spacing w:val="-2"/>
                <w:sz w:val="20"/>
              </w:rPr>
              <w:t>22,497</w:t>
            </w:r>
          </w:p>
        </w:tc>
      </w:tr>
      <w:tr>
        <w:trPr>
          <w:trHeight w:val="254" w:hRule="atLeast"/>
        </w:trPr>
        <w:tc>
          <w:tcPr>
            <w:tcW w:w="4656" w:type="dxa"/>
            <w:tcBorders>
              <w:left w:val="single" w:sz="4" w:space="0" w:color="000000"/>
              <w:bottom w:val="single" w:sz="4" w:space="0" w:color="000000"/>
            </w:tcBorders>
          </w:tcPr>
          <w:p>
            <w:pPr>
              <w:pStyle w:val="TableParagraph"/>
              <w:spacing w:line="211" w:lineRule="exact" w:before="23"/>
              <w:ind w:left="107"/>
              <w:rPr>
                <w:b/>
                <w:sz w:val="20"/>
              </w:rPr>
            </w:pPr>
            <w:r>
              <w:rPr>
                <w:b/>
                <w:sz w:val="20"/>
              </w:rPr>
              <w:t>Total</w:t>
            </w:r>
            <w:r>
              <w:rPr>
                <w:b/>
                <w:spacing w:val="-8"/>
                <w:sz w:val="20"/>
              </w:rPr>
              <w:t> </w:t>
            </w:r>
            <w:r>
              <w:rPr>
                <w:b/>
                <w:sz w:val="20"/>
              </w:rPr>
              <w:t>Capital</w:t>
            </w:r>
            <w:r>
              <w:rPr>
                <w:b/>
                <w:spacing w:val="-5"/>
                <w:sz w:val="20"/>
              </w:rPr>
              <w:t> </w:t>
            </w:r>
            <w:r>
              <w:rPr>
                <w:b/>
                <w:sz w:val="20"/>
              </w:rPr>
              <w:t>Works</w:t>
            </w:r>
            <w:r>
              <w:rPr>
                <w:b/>
                <w:spacing w:val="-6"/>
                <w:sz w:val="20"/>
              </w:rPr>
              <w:t> </w:t>
            </w:r>
            <w:r>
              <w:rPr>
                <w:b/>
                <w:spacing w:val="-2"/>
                <w:sz w:val="20"/>
              </w:rPr>
              <w:t>Expenditure</w:t>
            </w:r>
          </w:p>
        </w:tc>
        <w:tc>
          <w:tcPr>
            <w:tcW w:w="1265" w:type="dxa"/>
            <w:tcBorders>
              <w:top w:val="single" w:sz="4" w:space="0" w:color="000000"/>
              <w:bottom w:val="single" w:sz="4" w:space="0" w:color="000000"/>
            </w:tcBorders>
          </w:tcPr>
          <w:p>
            <w:pPr>
              <w:pStyle w:val="TableParagraph"/>
              <w:spacing w:line="211" w:lineRule="exact" w:before="23"/>
              <w:ind w:right="238"/>
              <w:jc w:val="right"/>
              <w:rPr>
                <w:b/>
                <w:sz w:val="20"/>
              </w:rPr>
            </w:pPr>
            <w:r>
              <w:rPr>
                <w:b/>
                <w:spacing w:val="-2"/>
                <w:sz w:val="20"/>
              </w:rPr>
              <w:t>53,190</w:t>
            </w:r>
          </w:p>
        </w:tc>
        <w:tc>
          <w:tcPr>
            <w:tcW w:w="1962" w:type="dxa"/>
            <w:tcBorders>
              <w:top w:val="single" w:sz="4" w:space="0" w:color="000000"/>
              <w:bottom w:val="single" w:sz="4" w:space="0" w:color="000000"/>
            </w:tcBorders>
          </w:tcPr>
          <w:p>
            <w:pPr>
              <w:pStyle w:val="TableParagraph"/>
              <w:tabs>
                <w:tab w:pos="916" w:val="left" w:leader="none"/>
              </w:tabs>
              <w:spacing w:line="211" w:lineRule="exact" w:before="23"/>
              <w:ind w:right="186"/>
              <w:jc w:val="right"/>
              <w:rPr>
                <w:b/>
                <w:sz w:val="20"/>
              </w:rPr>
            </w:pPr>
            <w:r>
              <w:rPr>
                <w:b/>
                <w:spacing w:val="-2"/>
                <w:sz w:val="20"/>
              </w:rPr>
              <w:t>7,559</w:t>
            </w:r>
            <w:r>
              <w:rPr>
                <w:b/>
                <w:sz w:val="20"/>
              </w:rPr>
              <w:tab/>
            </w:r>
            <w:r>
              <w:rPr>
                <w:b/>
                <w:spacing w:val="-2"/>
                <w:sz w:val="20"/>
              </w:rPr>
              <w:t>36,609</w:t>
            </w:r>
          </w:p>
        </w:tc>
        <w:tc>
          <w:tcPr>
            <w:tcW w:w="1112"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b/>
                <w:sz w:val="20"/>
              </w:rPr>
            </w:pPr>
            <w:r>
              <w:rPr>
                <w:b/>
                <w:spacing w:val="-2"/>
                <w:sz w:val="20"/>
              </w:rPr>
              <w:t>9,022</w:t>
            </w:r>
          </w:p>
        </w:tc>
        <w:tc>
          <w:tcPr>
            <w:tcW w:w="1538" w:type="dxa"/>
            <w:tcBorders>
              <w:top w:val="single" w:sz="4" w:space="0" w:color="000000"/>
              <w:left w:val="single" w:sz="4" w:space="0" w:color="000000"/>
              <w:bottom w:val="single" w:sz="4" w:space="0" w:color="000000"/>
            </w:tcBorders>
          </w:tcPr>
          <w:p>
            <w:pPr>
              <w:pStyle w:val="TableParagraph"/>
              <w:spacing w:line="211" w:lineRule="exact" w:before="23"/>
              <w:ind w:right="326"/>
              <w:jc w:val="right"/>
              <w:rPr>
                <w:b/>
                <w:sz w:val="20"/>
              </w:rPr>
            </w:pPr>
            <w:r>
              <w:rPr>
                <w:b/>
                <w:spacing w:val="-2"/>
                <w:sz w:val="20"/>
              </w:rPr>
              <w:t>53,190</w:t>
            </w:r>
          </w:p>
        </w:tc>
        <w:tc>
          <w:tcPr>
            <w:tcW w:w="1106" w:type="dxa"/>
            <w:tcBorders>
              <w:top w:val="single" w:sz="4" w:space="0" w:color="000000"/>
              <w:bottom w:val="single" w:sz="4" w:space="0" w:color="000000"/>
            </w:tcBorders>
          </w:tcPr>
          <w:p>
            <w:pPr>
              <w:pStyle w:val="TableParagraph"/>
              <w:spacing w:line="211" w:lineRule="exact" w:before="23"/>
              <w:ind w:right="118"/>
              <w:jc w:val="right"/>
              <w:rPr>
                <w:b/>
                <w:sz w:val="20"/>
              </w:rPr>
            </w:pPr>
            <w:r>
              <w:rPr>
                <w:b/>
                <w:spacing w:val="-2"/>
                <w:sz w:val="20"/>
              </w:rPr>
              <w:t>7,008</w:t>
            </w:r>
          </w:p>
        </w:tc>
        <w:tc>
          <w:tcPr>
            <w:tcW w:w="1569" w:type="dxa"/>
            <w:tcBorders>
              <w:top w:val="single" w:sz="4" w:space="0" w:color="000000"/>
              <w:bottom w:val="single" w:sz="4" w:space="0" w:color="000000"/>
            </w:tcBorders>
          </w:tcPr>
          <w:p>
            <w:pPr>
              <w:pStyle w:val="TableParagraph"/>
              <w:spacing w:line="211" w:lineRule="exact" w:before="23"/>
              <w:ind w:right="128"/>
              <w:jc w:val="right"/>
              <w:rPr>
                <w:b/>
                <w:sz w:val="20"/>
              </w:rPr>
            </w:pPr>
            <w:r>
              <w:rPr>
                <w:b/>
                <w:spacing w:val="-5"/>
                <w:sz w:val="20"/>
              </w:rPr>
              <w:t>603</w:t>
            </w:r>
          </w:p>
        </w:tc>
        <w:tc>
          <w:tcPr>
            <w:tcW w:w="1521" w:type="dxa"/>
            <w:tcBorders>
              <w:top w:val="single" w:sz="4" w:space="0" w:color="000000"/>
              <w:bottom w:val="single" w:sz="4" w:space="0" w:color="000000"/>
              <w:right w:val="single" w:sz="4" w:space="0" w:color="000000"/>
            </w:tcBorders>
          </w:tcPr>
          <w:p>
            <w:pPr>
              <w:pStyle w:val="TableParagraph"/>
              <w:spacing w:line="211" w:lineRule="exact" w:before="23"/>
              <w:ind w:right="96"/>
              <w:jc w:val="right"/>
              <w:rPr>
                <w:b/>
                <w:sz w:val="20"/>
              </w:rPr>
            </w:pPr>
            <w:r>
              <w:rPr>
                <w:b/>
                <w:spacing w:val="-2"/>
                <w:sz w:val="20"/>
              </w:rPr>
              <w:t>45,579</w:t>
            </w:r>
          </w:p>
        </w:tc>
      </w:tr>
    </w:tbl>
    <w:p>
      <w:pPr>
        <w:spacing w:after="0" w:line="211" w:lineRule="exact"/>
        <w:jc w:val="right"/>
        <w:rPr>
          <w:sz w:val="20"/>
        </w:rPr>
        <w:sectPr>
          <w:pgSz w:w="16840" w:h="11910" w:orient="landscape"/>
          <w:pgMar w:header="0" w:footer="546" w:top="700" w:bottom="740" w:left="600" w:right="120"/>
        </w:sect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16"/>
        <w:gridCol w:w="1234"/>
        <w:gridCol w:w="1989"/>
        <w:gridCol w:w="1134"/>
        <w:gridCol w:w="1485"/>
        <w:gridCol w:w="1085"/>
        <w:gridCol w:w="1575"/>
        <w:gridCol w:w="1528"/>
      </w:tblGrid>
      <w:tr>
        <w:trPr>
          <w:trHeight w:val="254" w:hRule="atLeast"/>
        </w:trPr>
        <w:tc>
          <w:tcPr>
            <w:tcW w:w="14746" w:type="dxa"/>
            <w:gridSpan w:val="8"/>
            <w:tcBorders>
              <w:top w:val="single" w:sz="4" w:space="0" w:color="000000"/>
              <w:left w:val="single" w:sz="4" w:space="0" w:color="000000"/>
              <w:right w:val="single" w:sz="4" w:space="0" w:color="000000"/>
            </w:tcBorders>
            <w:shd w:val="clear" w:color="auto" w:fill="629CD1"/>
          </w:tcPr>
          <w:p>
            <w:pPr>
              <w:pStyle w:val="TableParagraph"/>
              <w:tabs>
                <w:tab w:pos="11087" w:val="left" w:leader="none"/>
              </w:tabs>
              <w:spacing w:line="223" w:lineRule="exact" w:before="11"/>
              <w:ind w:left="5697"/>
              <w:rPr>
                <w:b/>
                <w:sz w:val="20"/>
              </w:rPr>
            </w:pPr>
            <w:r>
              <w:rPr>
                <w:b/>
                <w:color w:val="FFFFFF"/>
                <w:sz w:val="20"/>
              </w:rPr>
              <w:t>Asset</w:t>
            </w:r>
            <w:r>
              <w:rPr>
                <w:b/>
                <w:color w:val="FFFFFF"/>
                <w:spacing w:val="-10"/>
                <w:sz w:val="20"/>
              </w:rPr>
              <w:t> </w:t>
            </w:r>
            <w:r>
              <w:rPr>
                <w:b/>
                <w:color w:val="FFFFFF"/>
                <w:sz w:val="20"/>
              </w:rPr>
              <w:t>Expenditure</w:t>
            </w:r>
            <w:r>
              <w:rPr>
                <w:b/>
                <w:color w:val="FFFFFF"/>
                <w:spacing w:val="-11"/>
                <w:sz w:val="20"/>
              </w:rPr>
              <w:t> </w:t>
            </w:r>
            <w:r>
              <w:rPr>
                <w:b/>
                <w:color w:val="FFFFFF"/>
                <w:spacing w:val="-4"/>
                <w:sz w:val="20"/>
              </w:rPr>
              <w:t>Types</w:t>
            </w:r>
            <w:r>
              <w:rPr>
                <w:b/>
                <w:color w:val="FFFFFF"/>
                <w:sz w:val="20"/>
              </w:rPr>
              <w:tab/>
              <w:t>Funding</w:t>
            </w:r>
            <w:r>
              <w:rPr>
                <w:b/>
                <w:color w:val="FFFFFF"/>
                <w:spacing w:val="-8"/>
                <w:sz w:val="20"/>
              </w:rPr>
              <w:t> </w:t>
            </w:r>
            <w:r>
              <w:rPr>
                <w:b/>
                <w:color w:val="FFFFFF"/>
                <w:spacing w:val="-2"/>
                <w:sz w:val="20"/>
              </w:rPr>
              <w:t>Sources</w:t>
            </w:r>
          </w:p>
        </w:tc>
      </w:tr>
      <w:tr>
        <w:trPr>
          <w:trHeight w:val="258" w:hRule="atLeast"/>
        </w:trPr>
        <w:tc>
          <w:tcPr>
            <w:tcW w:w="4716" w:type="dxa"/>
            <w:tcBorders>
              <w:left w:val="single" w:sz="4" w:space="0" w:color="000000"/>
            </w:tcBorders>
            <w:shd w:val="clear" w:color="auto" w:fill="629CD1"/>
          </w:tcPr>
          <w:p>
            <w:pPr>
              <w:pStyle w:val="TableParagraph"/>
              <w:spacing w:line="227" w:lineRule="exact" w:before="11"/>
              <w:ind w:left="107"/>
              <w:rPr>
                <w:b/>
                <w:sz w:val="20"/>
              </w:rPr>
            </w:pPr>
            <w:r>
              <w:rPr>
                <w:b/>
                <w:color w:val="FFFFFF"/>
                <w:spacing w:val="-2"/>
                <w:sz w:val="20"/>
              </w:rPr>
              <w:t>2027/28</w:t>
            </w:r>
          </w:p>
        </w:tc>
        <w:tc>
          <w:tcPr>
            <w:tcW w:w="1234" w:type="dxa"/>
            <w:shd w:val="clear" w:color="auto" w:fill="629CD1"/>
          </w:tcPr>
          <w:p>
            <w:pPr>
              <w:pStyle w:val="TableParagraph"/>
              <w:spacing w:line="227" w:lineRule="exact" w:before="11"/>
              <w:ind w:right="238"/>
              <w:jc w:val="right"/>
              <w:rPr>
                <w:b/>
                <w:sz w:val="20"/>
              </w:rPr>
            </w:pPr>
            <w:r>
              <w:rPr>
                <w:b/>
                <w:color w:val="FFFFFF"/>
                <w:spacing w:val="-2"/>
                <w:sz w:val="20"/>
              </w:rPr>
              <w:t>Total</w:t>
            </w:r>
          </w:p>
        </w:tc>
        <w:tc>
          <w:tcPr>
            <w:tcW w:w="1989" w:type="dxa"/>
            <w:shd w:val="clear" w:color="auto" w:fill="629CD1"/>
          </w:tcPr>
          <w:p>
            <w:pPr>
              <w:pStyle w:val="TableParagraph"/>
              <w:tabs>
                <w:tab w:pos="626" w:val="left" w:leader="none"/>
              </w:tabs>
              <w:spacing w:line="227" w:lineRule="exact" w:before="11"/>
              <w:ind w:right="211"/>
              <w:jc w:val="right"/>
              <w:rPr>
                <w:b/>
                <w:sz w:val="20"/>
              </w:rPr>
            </w:pPr>
            <w:r>
              <w:rPr>
                <w:b/>
                <w:color w:val="FFFFFF"/>
                <w:spacing w:val="-5"/>
                <w:sz w:val="20"/>
              </w:rPr>
              <w:t>New</w:t>
            </w:r>
            <w:r>
              <w:rPr>
                <w:b/>
                <w:color w:val="FFFFFF"/>
                <w:sz w:val="20"/>
              </w:rPr>
              <w:tab/>
            </w:r>
            <w:r>
              <w:rPr>
                <w:b/>
                <w:color w:val="FFFFFF"/>
                <w:spacing w:val="-2"/>
                <w:sz w:val="20"/>
              </w:rPr>
              <w:t>Renewal</w:t>
            </w:r>
          </w:p>
        </w:tc>
        <w:tc>
          <w:tcPr>
            <w:tcW w:w="1134" w:type="dxa"/>
            <w:tcBorders>
              <w:right w:val="single" w:sz="4" w:space="0" w:color="000000"/>
            </w:tcBorders>
            <w:shd w:val="clear" w:color="auto" w:fill="629CD1"/>
          </w:tcPr>
          <w:p>
            <w:pPr>
              <w:pStyle w:val="TableParagraph"/>
              <w:spacing w:line="227" w:lineRule="exact" w:before="11"/>
              <w:ind w:right="98"/>
              <w:jc w:val="right"/>
              <w:rPr>
                <w:b/>
                <w:sz w:val="20"/>
              </w:rPr>
            </w:pPr>
            <w:r>
              <w:rPr>
                <w:b/>
                <w:color w:val="FFFFFF"/>
                <w:spacing w:val="-2"/>
                <w:sz w:val="20"/>
              </w:rPr>
              <w:t>Upgrade</w:t>
            </w:r>
          </w:p>
        </w:tc>
        <w:tc>
          <w:tcPr>
            <w:tcW w:w="1485" w:type="dxa"/>
            <w:tcBorders>
              <w:left w:val="single" w:sz="4" w:space="0" w:color="000000"/>
            </w:tcBorders>
            <w:shd w:val="clear" w:color="auto" w:fill="629CD1"/>
          </w:tcPr>
          <w:p>
            <w:pPr>
              <w:pStyle w:val="TableParagraph"/>
              <w:spacing w:line="227" w:lineRule="exact" w:before="11"/>
              <w:ind w:right="305"/>
              <w:jc w:val="right"/>
              <w:rPr>
                <w:b/>
                <w:sz w:val="20"/>
              </w:rPr>
            </w:pPr>
            <w:r>
              <w:rPr>
                <w:b/>
                <w:color w:val="FFFFFF"/>
                <w:spacing w:val="-2"/>
                <w:sz w:val="20"/>
              </w:rPr>
              <w:t>Total</w:t>
            </w:r>
          </w:p>
        </w:tc>
        <w:tc>
          <w:tcPr>
            <w:tcW w:w="1085" w:type="dxa"/>
            <w:shd w:val="clear" w:color="auto" w:fill="629CD1"/>
          </w:tcPr>
          <w:p>
            <w:pPr>
              <w:pStyle w:val="TableParagraph"/>
              <w:spacing w:line="227" w:lineRule="exact" w:before="11"/>
              <w:ind w:right="120"/>
              <w:jc w:val="right"/>
              <w:rPr>
                <w:b/>
                <w:sz w:val="20"/>
              </w:rPr>
            </w:pPr>
            <w:r>
              <w:rPr>
                <w:b/>
                <w:color w:val="FFFFFF"/>
                <w:spacing w:val="-2"/>
                <w:sz w:val="20"/>
              </w:rPr>
              <w:t>Grants</w:t>
            </w:r>
          </w:p>
        </w:tc>
        <w:tc>
          <w:tcPr>
            <w:tcW w:w="1575" w:type="dxa"/>
            <w:shd w:val="clear" w:color="auto" w:fill="629CD1"/>
          </w:tcPr>
          <w:p>
            <w:pPr>
              <w:pStyle w:val="TableParagraph"/>
              <w:spacing w:line="227" w:lineRule="exact" w:before="11"/>
              <w:ind w:right="135"/>
              <w:jc w:val="right"/>
              <w:rPr>
                <w:b/>
                <w:sz w:val="20"/>
              </w:rPr>
            </w:pPr>
            <w:r>
              <w:rPr>
                <w:b/>
                <w:color w:val="FFFFFF"/>
                <w:spacing w:val="-2"/>
                <w:sz w:val="20"/>
              </w:rPr>
              <w:t>Contributions</w:t>
            </w:r>
          </w:p>
        </w:tc>
        <w:tc>
          <w:tcPr>
            <w:tcW w:w="1528" w:type="dxa"/>
            <w:tcBorders>
              <w:right w:val="single" w:sz="4" w:space="0" w:color="000000"/>
            </w:tcBorders>
            <w:shd w:val="clear" w:color="auto" w:fill="629CD1"/>
          </w:tcPr>
          <w:p>
            <w:pPr>
              <w:pStyle w:val="TableParagraph"/>
              <w:spacing w:line="227" w:lineRule="exact" w:before="11"/>
              <w:ind w:right="102"/>
              <w:jc w:val="right"/>
              <w:rPr>
                <w:b/>
                <w:sz w:val="20"/>
              </w:rPr>
            </w:pPr>
            <w:r>
              <w:rPr>
                <w:b/>
                <w:color w:val="FFFFFF"/>
                <w:sz w:val="20"/>
              </w:rPr>
              <w:t>Council</w:t>
            </w:r>
            <w:r>
              <w:rPr>
                <w:b/>
                <w:color w:val="FFFFFF"/>
                <w:spacing w:val="-8"/>
                <w:sz w:val="20"/>
              </w:rPr>
              <w:t> </w:t>
            </w:r>
            <w:r>
              <w:rPr>
                <w:b/>
                <w:color w:val="FFFFFF"/>
                <w:spacing w:val="-4"/>
                <w:sz w:val="20"/>
              </w:rPr>
              <w:t>Cash</w:t>
            </w:r>
          </w:p>
        </w:tc>
      </w:tr>
      <w:tr>
        <w:trPr>
          <w:trHeight w:val="252" w:hRule="atLeast"/>
        </w:trPr>
        <w:tc>
          <w:tcPr>
            <w:tcW w:w="4716" w:type="dxa"/>
            <w:tcBorders>
              <w:left w:val="single" w:sz="4" w:space="0" w:color="000000"/>
            </w:tcBorders>
            <w:shd w:val="clear" w:color="auto" w:fill="629CD1"/>
          </w:tcPr>
          <w:p>
            <w:pPr>
              <w:pStyle w:val="TableParagraph"/>
              <w:rPr>
                <w:rFonts w:ascii="Times New Roman"/>
                <w:sz w:val="18"/>
              </w:rPr>
            </w:pPr>
          </w:p>
        </w:tc>
        <w:tc>
          <w:tcPr>
            <w:tcW w:w="1234" w:type="dxa"/>
            <w:shd w:val="clear" w:color="auto" w:fill="629CD1"/>
          </w:tcPr>
          <w:p>
            <w:pPr>
              <w:pStyle w:val="TableParagraph"/>
              <w:spacing w:line="223" w:lineRule="exact" w:before="10"/>
              <w:ind w:right="241"/>
              <w:jc w:val="right"/>
              <w:rPr>
                <w:b/>
                <w:sz w:val="20"/>
              </w:rPr>
            </w:pPr>
            <w:r>
              <w:rPr>
                <w:b/>
                <w:color w:val="FFFFFF"/>
                <w:spacing w:val="-2"/>
                <w:sz w:val="20"/>
              </w:rPr>
              <w:t>$'000</w:t>
            </w:r>
          </w:p>
        </w:tc>
        <w:tc>
          <w:tcPr>
            <w:tcW w:w="1989" w:type="dxa"/>
            <w:shd w:val="clear" w:color="auto" w:fill="629CD1"/>
          </w:tcPr>
          <w:p>
            <w:pPr>
              <w:pStyle w:val="TableParagraph"/>
              <w:tabs>
                <w:tab w:pos="1027" w:val="left" w:leader="none"/>
              </w:tabs>
              <w:spacing w:line="223" w:lineRule="exact" w:before="10"/>
              <w:ind w:right="211"/>
              <w:jc w:val="right"/>
              <w:rPr>
                <w:b/>
                <w:sz w:val="20"/>
              </w:rPr>
            </w:pPr>
            <w:r>
              <w:rPr>
                <w:b/>
                <w:color w:val="FFFFFF"/>
                <w:spacing w:val="-2"/>
                <w:sz w:val="20"/>
              </w:rPr>
              <w:t>$'000</w:t>
            </w:r>
            <w:r>
              <w:rPr>
                <w:b/>
                <w:color w:val="FFFFFF"/>
                <w:sz w:val="20"/>
              </w:rPr>
              <w:tab/>
            </w:r>
            <w:r>
              <w:rPr>
                <w:b/>
                <w:color w:val="FFFFFF"/>
                <w:spacing w:val="-4"/>
                <w:sz w:val="20"/>
              </w:rPr>
              <w:t>$'000</w:t>
            </w:r>
          </w:p>
        </w:tc>
        <w:tc>
          <w:tcPr>
            <w:tcW w:w="1134" w:type="dxa"/>
            <w:tcBorders>
              <w:right w:val="single" w:sz="4" w:space="0" w:color="000000"/>
            </w:tcBorders>
            <w:shd w:val="clear" w:color="auto" w:fill="629CD1"/>
          </w:tcPr>
          <w:p>
            <w:pPr>
              <w:pStyle w:val="TableParagraph"/>
              <w:spacing w:line="223" w:lineRule="exact" w:before="10"/>
              <w:ind w:right="99"/>
              <w:jc w:val="right"/>
              <w:rPr>
                <w:b/>
                <w:sz w:val="20"/>
              </w:rPr>
            </w:pPr>
            <w:r>
              <w:rPr>
                <w:b/>
                <w:color w:val="FFFFFF"/>
                <w:spacing w:val="-2"/>
                <w:sz w:val="20"/>
              </w:rPr>
              <w:t>$'000</w:t>
            </w:r>
          </w:p>
        </w:tc>
        <w:tc>
          <w:tcPr>
            <w:tcW w:w="1485" w:type="dxa"/>
            <w:tcBorders>
              <w:left w:val="single" w:sz="4" w:space="0" w:color="000000"/>
            </w:tcBorders>
            <w:shd w:val="clear" w:color="auto" w:fill="629CD1"/>
          </w:tcPr>
          <w:p>
            <w:pPr>
              <w:pStyle w:val="TableParagraph"/>
              <w:spacing w:line="223" w:lineRule="exact" w:before="10"/>
              <w:ind w:right="308"/>
              <w:jc w:val="right"/>
              <w:rPr>
                <w:b/>
                <w:sz w:val="20"/>
              </w:rPr>
            </w:pPr>
            <w:r>
              <w:rPr>
                <w:b/>
                <w:color w:val="FFFFFF"/>
                <w:spacing w:val="-2"/>
                <w:sz w:val="20"/>
              </w:rPr>
              <w:t>$'000</w:t>
            </w:r>
          </w:p>
        </w:tc>
        <w:tc>
          <w:tcPr>
            <w:tcW w:w="1085" w:type="dxa"/>
            <w:shd w:val="clear" w:color="auto" w:fill="629CD1"/>
          </w:tcPr>
          <w:p>
            <w:pPr>
              <w:pStyle w:val="TableParagraph"/>
              <w:spacing w:line="223" w:lineRule="exact" w:before="10"/>
              <w:ind w:right="121"/>
              <w:jc w:val="right"/>
              <w:rPr>
                <w:b/>
                <w:sz w:val="20"/>
              </w:rPr>
            </w:pPr>
            <w:r>
              <w:rPr>
                <w:b/>
                <w:color w:val="FFFFFF"/>
                <w:spacing w:val="-2"/>
                <w:sz w:val="20"/>
              </w:rPr>
              <w:t>$'000</w:t>
            </w:r>
          </w:p>
        </w:tc>
        <w:tc>
          <w:tcPr>
            <w:tcW w:w="1575" w:type="dxa"/>
            <w:shd w:val="clear" w:color="auto" w:fill="629CD1"/>
          </w:tcPr>
          <w:p>
            <w:pPr>
              <w:pStyle w:val="TableParagraph"/>
              <w:spacing w:line="223" w:lineRule="exact" w:before="10"/>
              <w:ind w:right="138"/>
              <w:jc w:val="right"/>
              <w:rPr>
                <w:b/>
                <w:sz w:val="20"/>
              </w:rPr>
            </w:pPr>
            <w:r>
              <w:rPr>
                <w:b/>
                <w:color w:val="FFFFFF"/>
                <w:spacing w:val="-2"/>
                <w:sz w:val="20"/>
              </w:rPr>
              <w:t>$'000</w:t>
            </w:r>
          </w:p>
        </w:tc>
        <w:tc>
          <w:tcPr>
            <w:tcW w:w="1528" w:type="dxa"/>
            <w:tcBorders>
              <w:right w:val="single" w:sz="4" w:space="0" w:color="000000"/>
            </w:tcBorders>
            <w:shd w:val="clear" w:color="auto" w:fill="629CD1"/>
          </w:tcPr>
          <w:p>
            <w:pPr>
              <w:pStyle w:val="TableParagraph"/>
              <w:spacing w:line="223" w:lineRule="exact" w:before="10"/>
              <w:ind w:right="101"/>
              <w:jc w:val="right"/>
              <w:rPr>
                <w:b/>
                <w:sz w:val="20"/>
              </w:rPr>
            </w:pPr>
            <w:r>
              <w:rPr>
                <w:b/>
                <w:color w:val="FFFFFF"/>
                <w:spacing w:val="-2"/>
                <w:sz w:val="20"/>
              </w:rPr>
              <w:t>$'000</w:t>
            </w:r>
          </w:p>
        </w:tc>
      </w:tr>
      <w:tr>
        <w:trPr>
          <w:trHeight w:val="524" w:hRule="atLeast"/>
        </w:trPr>
        <w:tc>
          <w:tcPr>
            <w:tcW w:w="4716" w:type="dxa"/>
            <w:tcBorders>
              <w:left w:val="single" w:sz="4" w:space="0" w:color="000000"/>
            </w:tcBorders>
          </w:tcPr>
          <w:p>
            <w:pPr>
              <w:pStyle w:val="TableParagraph"/>
              <w:spacing w:before="2"/>
              <w:rPr>
                <w:b/>
                <w:sz w:val="24"/>
              </w:rPr>
            </w:pPr>
          </w:p>
          <w:p>
            <w:pPr>
              <w:pStyle w:val="TableParagraph"/>
              <w:spacing w:line="227" w:lineRule="exact"/>
              <w:ind w:left="107"/>
              <w:rPr>
                <w:b/>
                <w:sz w:val="20"/>
              </w:rPr>
            </w:pPr>
            <w:r>
              <w:rPr>
                <w:b/>
                <w:spacing w:val="-2"/>
                <w:sz w:val="20"/>
              </w:rPr>
              <w:t>Property</w:t>
            </w:r>
          </w:p>
        </w:tc>
        <w:tc>
          <w:tcPr>
            <w:tcW w:w="1234" w:type="dxa"/>
          </w:tcPr>
          <w:p>
            <w:pPr>
              <w:pStyle w:val="TableParagraph"/>
              <w:rPr>
                <w:rFonts w:ascii="Times New Roman"/>
                <w:sz w:val="18"/>
              </w:rPr>
            </w:pPr>
          </w:p>
        </w:tc>
        <w:tc>
          <w:tcPr>
            <w:tcW w:w="1989" w:type="dxa"/>
          </w:tcPr>
          <w:p>
            <w:pPr>
              <w:pStyle w:val="TableParagraph"/>
              <w:rPr>
                <w:rFonts w:ascii="Times New Roman"/>
                <w:sz w:val="18"/>
              </w:rPr>
            </w:pPr>
          </w:p>
        </w:tc>
        <w:tc>
          <w:tcPr>
            <w:tcW w:w="1134" w:type="dxa"/>
            <w:tcBorders>
              <w:right w:val="single" w:sz="4" w:space="0" w:color="000000"/>
            </w:tcBorders>
          </w:tcPr>
          <w:p>
            <w:pPr>
              <w:pStyle w:val="TableParagraph"/>
              <w:rPr>
                <w:rFonts w:ascii="Times New Roman"/>
                <w:sz w:val="18"/>
              </w:rPr>
            </w:pPr>
          </w:p>
        </w:tc>
        <w:tc>
          <w:tcPr>
            <w:tcW w:w="1485" w:type="dxa"/>
            <w:tcBorders>
              <w:left w:val="single" w:sz="4" w:space="0" w:color="000000"/>
            </w:tcBorders>
          </w:tcPr>
          <w:p>
            <w:pPr>
              <w:pStyle w:val="TableParagraph"/>
              <w:rPr>
                <w:rFonts w:ascii="Times New Roman"/>
                <w:sz w:val="18"/>
              </w:rPr>
            </w:pPr>
          </w:p>
        </w:tc>
        <w:tc>
          <w:tcPr>
            <w:tcW w:w="1085" w:type="dxa"/>
          </w:tcPr>
          <w:p>
            <w:pPr>
              <w:pStyle w:val="TableParagraph"/>
              <w:rPr>
                <w:rFonts w:ascii="Times New Roman"/>
                <w:sz w:val="18"/>
              </w:rPr>
            </w:pPr>
          </w:p>
        </w:tc>
        <w:tc>
          <w:tcPr>
            <w:tcW w:w="1575" w:type="dxa"/>
          </w:tcPr>
          <w:p>
            <w:pPr>
              <w:pStyle w:val="TableParagraph"/>
              <w:rPr>
                <w:rFonts w:ascii="Times New Roman"/>
                <w:sz w:val="18"/>
              </w:rPr>
            </w:pPr>
          </w:p>
        </w:tc>
        <w:tc>
          <w:tcPr>
            <w:tcW w:w="1528" w:type="dxa"/>
            <w:tcBorders>
              <w:right w:val="single" w:sz="4" w:space="0" w:color="000000"/>
            </w:tcBorders>
          </w:tcPr>
          <w:p>
            <w:pPr>
              <w:pStyle w:val="TableParagraph"/>
              <w:rPr>
                <w:rFonts w:ascii="Times New Roman"/>
                <w:sz w:val="18"/>
              </w:rPr>
            </w:pPr>
          </w:p>
        </w:tc>
      </w:tr>
      <w:tr>
        <w:trPr>
          <w:trHeight w:val="255" w:hRule="atLeast"/>
        </w:trPr>
        <w:tc>
          <w:tcPr>
            <w:tcW w:w="4716" w:type="dxa"/>
            <w:tcBorders>
              <w:left w:val="single" w:sz="4" w:space="0" w:color="000000"/>
            </w:tcBorders>
          </w:tcPr>
          <w:p>
            <w:pPr>
              <w:pStyle w:val="TableParagraph"/>
              <w:spacing w:line="226" w:lineRule="exact" w:before="10"/>
              <w:ind w:left="107"/>
              <w:rPr>
                <w:sz w:val="20"/>
              </w:rPr>
            </w:pPr>
            <w:r>
              <w:rPr>
                <w:spacing w:val="-4"/>
                <w:sz w:val="20"/>
              </w:rPr>
              <w:t>Land</w:t>
            </w:r>
          </w:p>
        </w:tc>
        <w:tc>
          <w:tcPr>
            <w:tcW w:w="1234" w:type="dxa"/>
          </w:tcPr>
          <w:p>
            <w:pPr>
              <w:pStyle w:val="TableParagraph"/>
              <w:spacing w:line="226" w:lineRule="exact" w:before="10"/>
              <w:ind w:right="238"/>
              <w:jc w:val="right"/>
              <w:rPr>
                <w:sz w:val="20"/>
              </w:rPr>
            </w:pPr>
            <w:r>
              <w:rPr>
                <w:w w:val="99"/>
                <w:sz w:val="20"/>
              </w:rPr>
              <w:t>0</w:t>
            </w:r>
          </w:p>
        </w:tc>
        <w:tc>
          <w:tcPr>
            <w:tcW w:w="1989" w:type="dxa"/>
          </w:tcPr>
          <w:p>
            <w:pPr>
              <w:pStyle w:val="TableParagraph"/>
              <w:tabs>
                <w:tab w:pos="1027" w:val="left" w:leader="none"/>
              </w:tabs>
              <w:spacing w:line="226" w:lineRule="exact" w:before="10"/>
              <w:ind w:right="208"/>
              <w:jc w:val="right"/>
              <w:rPr>
                <w:sz w:val="20"/>
              </w:rPr>
            </w:pPr>
            <w:r>
              <w:rPr>
                <w:spacing w:val="-10"/>
                <w:sz w:val="20"/>
              </w:rPr>
              <w:t>0</w:t>
            </w:r>
            <w:r>
              <w:rPr>
                <w:sz w:val="20"/>
              </w:rPr>
              <w:tab/>
            </w:r>
            <w:r>
              <w:rPr>
                <w:spacing w:val="-10"/>
                <w:sz w:val="20"/>
              </w:rPr>
              <w:t>0</w:t>
            </w:r>
          </w:p>
        </w:tc>
        <w:tc>
          <w:tcPr>
            <w:tcW w:w="1134" w:type="dxa"/>
            <w:tcBorders>
              <w:right w:val="single" w:sz="4" w:space="0" w:color="000000"/>
            </w:tcBorders>
          </w:tcPr>
          <w:p>
            <w:pPr>
              <w:pStyle w:val="TableParagraph"/>
              <w:spacing w:line="226" w:lineRule="exact" w:before="10"/>
              <w:ind w:right="96"/>
              <w:jc w:val="right"/>
              <w:rPr>
                <w:sz w:val="20"/>
              </w:rPr>
            </w:pPr>
            <w:r>
              <w:rPr>
                <w:w w:val="99"/>
                <w:sz w:val="20"/>
              </w:rPr>
              <w:t>0</w:t>
            </w:r>
          </w:p>
        </w:tc>
        <w:tc>
          <w:tcPr>
            <w:tcW w:w="1485" w:type="dxa"/>
            <w:tcBorders>
              <w:left w:val="single" w:sz="4" w:space="0" w:color="000000"/>
            </w:tcBorders>
          </w:tcPr>
          <w:p>
            <w:pPr>
              <w:pStyle w:val="TableParagraph"/>
              <w:spacing w:line="226" w:lineRule="exact" w:before="10"/>
              <w:ind w:right="305"/>
              <w:jc w:val="right"/>
              <w:rPr>
                <w:sz w:val="20"/>
              </w:rPr>
            </w:pPr>
            <w:r>
              <w:rPr>
                <w:w w:val="99"/>
                <w:sz w:val="20"/>
              </w:rPr>
              <w:t>0</w:t>
            </w:r>
          </w:p>
        </w:tc>
        <w:tc>
          <w:tcPr>
            <w:tcW w:w="1085" w:type="dxa"/>
          </w:tcPr>
          <w:p>
            <w:pPr>
              <w:pStyle w:val="TableParagraph"/>
              <w:spacing w:line="226" w:lineRule="exact" w:before="10"/>
              <w:ind w:right="118"/>
              <w:jc w:val="right"/>
              <w:rPr>
                <w:sz w:val="20"/>
              </w:rPr>
            </w:pPr>
            <w:r>
              <w:rPr>
                <w:w w:val="99"/>
                <w:sz w:val="20"/>
              </w:rPr>
              <w:t>0</w:t>
            </w:r>
          </w:p>
        </w:tc>
        <w:tc>
          <w:tcPr>
            <w:tcW w:w="1575" w:type="dxa"/>
          </w:tcPr>
          <w:p>
            <w:pPr>
              <w:pStyle w:val="TableParagraph"/>
              <w:spacing w:line="226" w:lineRule="exact" w:before="10"/>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10"/>
              <w:ind w:right="98"/>
              <w:jc w:val="right"/>
              <w:rPr>
                <w:sz w:val="20"/>
              </w:rPr>
            </w:pPr>
            <w:r>
              <w:rPr>
                <w:w w:val="99"/>
                <w:sz w:val="20"/>
              </w:rPr>
              <w:t>0</w:t>
            </w:r>
          </w:p>
        </w:tc>
      </w:tr>
      <w:tr>
        <w:trPr>
          <w:trHeight w:val="239" w:hRule="atLeast"/>
        </w:trPr>
        <w:tc>
          <w:tcPr>
            <w:tcW w:w="4716" w:type="dxa"/>
            <w:tcBorders>
              <w:left w:val="single" w:sz="4" w:space="0" w:color="000000"/>
            </w:tcBorders>
          </w:tcPr>
          <w:p>
            <w:pPr>
              <w:pStyle w:val="TableParagraph"/>
              <w:spacing w:line="211" w:lineRule="exact" w:before="8"/>
              <w:ind w:left="107"/>
              <w:rPr>
                <w:sz w:val="20"/>
              </w:rPr>
            </w:pPr>
            <w:r>
              <w:rPr>
                <w:sz w:val="20"/>
              </w:rPr>
              <w:t>Land</w:t>
            </w:r>
            <w:r>
              <w:rPr>
                <w:spacing w:val="-7"/>
                <w:sz w:val="20"/>
              </w:rPr>
              <w:t> </w:t>
            </w:r>
            <w:r>
              <w:rPr>
                <w:spacing w:val="-2"/>
                <w:sz w:val="20"/>
              </w:rPr>
              <w:t>improvements</w:t>
            </w:r>
          </w:p>
        </w:tc>
        <w:tc>
          <w:tcPr>
            <w:tcW w:w="1234" w:type="dxa"/>
            <w:tcBorders>
              <w:bottom w:val="single" w:sz="4" w:space="0" w:color="000000"/>
            </w:tcBorders>
          </w:tcPr>
          <w:p>
            <w:pPr>
              <w:pStyle w:val="TableParagraph"/>
              <w:spacing w:line="211" w:lineRule="exact" w:before="8"/>
              <w:ind w:right="238"/>
              <w:jc w:val="right"/>
              <w:rPr>
                <w:sz w:val="20"/>
              </w:rPr>
            </w:pPr>
            <w:r>
              <w:rPr>
                <w:w w:val="99"/>
                <w:sz w:val="20"/>
              </w:rPr>
              <w:t>0</w:t>
            </w:r>
          </w:p>
        </w:tc>
        <w:tc>
          <w:tcPr>
            <w:tcW w:w="1989" w:type="dxa"/>
            <w:tcBorders>
              <w:bottom w:val="single" w:sz="4" w:space="0" w:color="000000"/>
            </w:tcBorders>
          </w:tcPr>
          <w:p>
            <w:pPr>
              <w:pStyle w:val="TableParagraph"/>
              <w:tabs>
                <w:tab w:pos="1027" w:val="left" w:leader="none"/>
              </w:tabs>
              <w:spacing w:line="211" w:lineRule="exact" w:before="8"/>
              <w:ind w:right="208"/>
              <w:jc w:val="right"/>
              <w:rPr>
                <w:sz w:val="20"/>
              </w:rPr>
            </w:pPr>
            <w:r>
              <w:rPr>
                <w:spacing w:val="-10"/>
                <w:sz w:val="20"/>
              </w:rPr>
              <w:t>0</w:t>
            </w:r>
            <w:r>
              <w:rPr>
                <w:sz w:val="20"/>
              </w:rPr>
              <w:tab/>
            </w:r>
            <w:r>
              <w:rPr>
                <w:spacing w:val="-10"/>
                <w:sz w:val="20"/>
              </w:rPr>
              <w:t>0</w:t>
            </w:r>
          </w:p>
        </w:tc>
        <w:tc>
          <w:tcPr>
            <w:tcW w:w="1134" w:type="dxa"/>
            <w:tcBorders>
              <w:bottom w:val="single" w:sz="4" w:space="0" w:color="000000"/>
              <w:right w:val="single" w:sz="4" w:space="0" w:color="000000"/>
            </w:tcBorders>
          </w:tcPr>
          <w:p>
            <w:pPr>
              <w:pStyle w:val="TableParagraph"/>
              <w:spacing w:line="211" w:lineRule="exact" w:before="8"/>
              <w:ind w:right="96"/>
              <w:jc w:val="right"/>
              <w:rPr>
                <w:sz w:val="20"/>
              </w:rPr>
            </w:pPr>
            <w:r>
              <w:rPr>
                <w:w w:val="99"/>
                <w:sz w:val="20"/>
              </w:rPr>
              <w:t>0</w:t>
            </w:r>
          </w:p>
        </w:tc>
        <w:tc>
          <w:tcPr>
            <w:tcW w:w="1485" w:type="dxa"/>
            <w:tcBorders>
              <w:left w:val="single" w:sz="4" w:space="0" w:color="000000"/>
              <w:bottom w:val="single" w:sz="4" w:space="0" w:color="000000"/>
            </w:tcBorders>
          </w:tcPr>
          <w:p>
            <w:pPr>
              <w:pStyle w:val="TableParagraph"/>
              <w:spacing w:line="211" w:lineRule="exact" w:before="8"/>
              <w:ind w:right="305"/>
              <w:jc w:val="right"/>
              <w:rPr>
                <w:sz w:val="20"/>
              </w:rPr>
            </w:pPr>
            <w:r>
              <w:rPr>
                <w:w w:val="99"/>
                <w:sz w:val="20"/>
              </w:rPr>
              <w:t>0</w:t>
            </w:r>
          </w:p>
        </w:tc>
        <w:tc>
          <w:tcPr>
            <w:tcW w:w="1085" w:type="dxa"/>
            <w:tcBorders>
              <w:bottom w:val="single" w:sz="4" w:space="0" w:color="000000"/>
            </w:tcBorders>
          </w:tcPr>
          <w:p>
            <w:pPr>
              <w:pStyle w:val="TableParagraph"/>
              <w:spacing w:line="211" w:lineRule="exact" w:before="8"/>
              <w:ind w:right="118"/>
              <w:jc w:val="right"/>
              <w:rPr>
                <w:sz w:val="20"/>
              </w:rPr>
            </w:pPr>
            <w:r>
              <w:rPr>
                <w:w w:val="99"/>
                <w:sz w:val="20"/>
              </w:rPr>
              <w:t>0</w:t>
            </w:r>
          </w:p>
        </w:tc>
        <w:tc>
          <w:tcPr>
            <w:tcW w:w="1575" w:type="dxa"/>
            <w:tcBorders>
              <w:bottom w:val="single" w:sz="4" w:space="0" w:color="000000"/>
            </w:tcBorders>
          </w:tcPr>
          <w:p>
            <w:pPr>
              <w:pStyle w:val="TableParagraph"/>
              <w:spacing w:line="211" w:lineRule="exact" w:before="8"/>
              <w:ind w:right="135"/>
              <w:jc w:val="right"/>
              <w:rPr>
                <w:sz w:val="20"/>
              </w:rPr>
            </w:pPr>
            <w:r>
              <w:rPr>
                <w:w w:val="99"/>
                <w:sz w:val="20"/>
              </w:rPr>
              <w:t>0</w:t>
            </w:r>
          </w:p>
        </w:tc>
        <w:tc>
          <w:tcPr>
            <w:tcW w:w="1528" w:type="dxa"/>
            <w:tcBorders>
              <w:bottom w:val="single" w:sz="4" w:space="0" w:color="000000"/>
              <w:right w:val="single" w:sz="4" w:space="0" w:color="000000"/>
            </w:tcBorders>
          </w:tcPr>
          <w:p>
            <w:pPr>
              <w:pStyle w:val="TableParagraph"/>
              <w:spacing w:line="211" w:lineRule="exact" w:before="8"/>
              <w:ind w:right="98"/>
              <w:jc w:val="right"/>
              <w:rPr>
                <w:sz w:val="20"/>
              </w:rPr>
            </w:pPr>
            <w:r>
              <w:rPr>
                <w:w w:val="99"/>
                <w:sz w:val="20"/>
              </w:rPr>
              <w:t>0</w:t>
            </w:r>
          </w:p>
        </w:tc>
      </w:tr>
      <w:tr>
        <w:trPr>
          <w:trHeight w:val="253" w:hRule="atLeast"/>
        </w:trPr>
        <w:tc>
          <w:tcPr>
            <w:tcW w:w="4716"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4"/>
                <w:sz w:val="20"/>
              </w:rPr>
              <w:t>Land</w:t>
            </w:r>
          </w:p>
        </w:tc>
        <w:tc>
          <w:tcPr>
            <w:tcW w:w="1234" w:type="dxa"/>
            <w:tcBorders>
              <w:top w:val="single" w:sz="4" w:space="0" w:color="000000"/>
              <w:bottom w:val="single" w:sz="4" w:space="0" w:color="000000"/>
            </w:tcBorders>
          </w:tcPr>
          <w:p>
            <w:pPr>
              <w:pStyle w:val="TableParagraph"/>
              <w:spacing w:line="211" w:lineRule="exact" w:before="23"/>
              <w:ind w:right="238"/>
              <w:jc w:val="right"/>
              <w:rPr>
                <w:sz w:val="20"/>
              </w:rPr>
            </w:pPr>
            <w:r>
              <w:rPr>
                <w:w w:val="99"/>
                <w:sz w:val="20"/>
              </w:rPr>
              <w:t>0</w:t>
            </w:r>
          </w:p>
        </w:tc>
        <w:tc>
          <w:tcPr>
            <w:tcW w:w="1989" w:type="dxa"/>
            <w:tcBorders>
              <w:top w:val="single" w:sz="4" w:space="0" w:color="000000"/>
              <w:bottom w:val="single" w:sz="4" w:space="0" w:color="000000"/>
            </w:tcBorders>
          </w:tcPr>
          <w:p>
            <w:pPr>
              <w:pStyle w:val="TableParagraph"/>
              <w:tabs>
                <w:tab w:pos="1027" w:val="left" w:leader="none"/>
              </w:tabs>
              <w:spacing w:line="211" w:lineRule="exact" w:before="23"/>
              <w:ind w:right="208"/>
              <w:jc w:val="right"/>
              <w:rPr>
                <w:sz w:val="20"/>
              </w:rPr>
            </w:pPr>
            <w:r>
              <w:rPr>
                <w:spacing w:val="-10"/>
                <w:sz w:val="20"/>
              </w:rPr>
              <w:t>0</w:t>
            </w:r>
            <w:r>
              <w:rPr>
                <w:sz w:val="20"/>
              </w:rPr>
              <w:tab/>
            </w:r>
            <w:r>
              <w:rPr>
                <w:spacing w:val="-10"/>
                <w:sz w:val="20"/>
              </w:rPr>
              <w:t>0</w:t>
            </w:r>
          </w:p>
        </w:tc>
        <w:tc>
          <w:tcPr>
            <w:tcW w:w="1134" w:type="dxa"/>
            <w:tcBorders>
              <w:top w:val="single" w:sz="4" w:space="0" w:color="000000"/>
              <w:bottom w:val="single" w:sz="4" w:space="0" w:color="000000"/>
              <w:right w:val="single" w:sz="4" w:space="0" w:color="000000"/>
            </w:tcBorders>
          </w:tcPr>
          <w:p>
            <w:pPr>
              <w:pStyle w:val="TableParagraph"/>
              <w:spacing w:line="211" w:lineRule="exact" w:before="23"/>
              <w:ind w:right="96"/>
              <w:jc w:val="right"/>
              <w:rPr>
                <w:sz w:val="20"/>
              </w:rPr>
            </w:pPr>
            <w:r>
              <w:rPr>
                <w:w w:val="99"/>
                <w:sz w:val="20"/>
              </w:rPr>
              <w:t>0</w:t>
            </w:r>
          </w:p>
        </w:tc>
        <w:tc>
          <w:tcPr>
            <w:tcW w:w="1485" w:type="dxa"/>
            <w:tcBorders>
              <w:top w:val="single" w:sz="4" w:space="0" w:color="000000"/>
              <w:left w:val="single" w:sz="4" w:space="0" w:color="000000"/>
              <w:bottom w:val="single" w:sz="4" w:space="0" w:color="000000"/>
            </w:tcBorders>
          </w:tcPr>
          <w:p>
            <w:pPr>
              <w:pStyle w:val="TableParagraph"/>
              <w:spacing w:line="211" w:lineRule="exact" w:before="23"/>
              <w:ind w:right="305"/>
              <w:jc w:val="right"/>
              <w:rPr>
                <w:sz w:val="20"/>
              </w:rPr>
            </w:pPr>
            <w:r>
              <w:rPr>
                <w:w w:val="99"/>
                <w:sz w:val="20"/>
              </w:rPr>
              <w:t>0</w:t>
            </w:r>
          </w:p>
        </w:tc>
        <w:tc>
          <w:tcPr>
            <w:tcW w:w="1085" w:type="dxa"/>
            <w:tcBorders>
              <w:top w:val="single" w:sz="4" w:space="0" w:color="000000"/>
              <w:bottom w:val="single" w:sz="4" w:space="0" w:color="000000"/>
            </w:tcBorders>
          </w:tcPr>
          <w:p>
            <w:pPr>
              <w:pStyle w:val="TableParagraph"/>
              <w:spacing w:line="211" w:lineRule="exact" w:before="23"/>
              <w:ind w:right="118"/>
              <w:jc w:val="right"/>
              <w:rPr>
                <w:sz w:val="20"/>
              </w:rPr>
            </w:pPr>
            <w:r>
              <w:rPr>
                <w:w w:val="99"/>
                <w:sz w:val="20"/>
              </w:rPr>
              <w:t>0</w:t>
            </w:r>
          </w:p>
        </w:tc>
        <w:tc>
          <w:tcPr>
            <w:tcW w:w="1575" w:type="dxa"/>
            <w:tcBorders>
              <w:top w:val="single" w:sz="4" w:space="0" w:color="000000"/>
              <w:bottom w:val="single" w:sz="4" w:space="0" w:color="000000"/>
            </w:tcBorders>
          </w:tcPr>
          <w:p>
            <w:pPr>
              <w:pStyle w:val="TableParagraph"/>
              <w:spacing w:line="211" w:lineRule="exact" w:before="23"/>
              <w:ind w:right="135"/>
              <w:jc w:val="right"/>
              <w:rPr>
                <w:sz w:val="20"/>
              </w:rPr>
            </w:pPr>
            <w:r>
              <w:rPr>
                <w:w w:val="99"/>
                <w:sz w:val="20"/>
              </w:rPr>
              <w:t>0</w:t>
            </w:r>
          </w:p>
        </w:tc>
        <w:tc>
          <w:tcPr>
            <w:tcW w:w="1528" w:type="dxa"/>
            <w:tcBorders>
              <w:top w:val="single" w:sz="4" w:space="0" w:color="000000"/>
              <w:bottom w:val="single" w:sz="4" w:space="0" w:color="000000"/>
              <w:right w:val="single" w:sz="4" w:space="0" w:color="000000"/>
            </w:tcBorders>
          </w:tcPr>
          <w:p>
            <w:pPr>
              <w:pStyle w:val="TableParagraph"/>
              <w:spacing w:line="211" w:lineRule="exact" w:before="23"/>
              <w:ind w:right="98"/>
              <w:jc w:val="right"/>
              <w:rPr>
                <w:sz w:val="20"/>
              </w:rPr>
            </w:pPr>
            <w:r>
              <w:rPr>
                <w:w w:val="99"/>
                <w:sz w:val="20"/>
              </w:rPr>
              <w:t>0</w:t>
            </w:r>
          </w:p>
        </w:tc>
      </w:tr>
      <w:tr>
        <w:trPr>
          <w:trHeight w:val="256" w:hRule="atLeast"/>
        </w:trPr>
        <w:tc>
          <w:tcPr>
            <w:tcW w:w="4716" w:type="dxa"/>
            <w:tcBorders>
              <w:left w:val="single" w:sz="4" w:space="0" w:color="000000"/>
            </w:tcBorders>
          </w:tcPr>
          <w:p>
            <w:pPr>
              <w:pStyle w:val="TableParagraph"/>
              <w:spacing w:line="211" w:lineRule="exact" w:before="26"/>
              <w:ind w:left="107"/>
              <w:rPr>
                <w:sz w:val="20"/>
              </w:rPr>
            </w:pPr>
            <w:r>
              <w:rPr>
                <w:spacing w:val="-2"/>
                <w:sz w:val="20"/>
              </w:rPr>
              <w:t>Buildings</w:t>
            </w:r>
          </w:p>
        </w:tc>
        <w:tc>
          <w:tcPr>
            <w:tcW w:w="1234" w:type="dxa"/>
            <w:tcBorders>
              <w:top w:val="single" w:sz="4" w:space="0" w:color="000000"/>
              <w:bottom w:val="single" w:sz="4" w:space="0" w:color="000000"/>
            </w:tcBorders>
          </w:tcPr>
          <w:p>
            <w:pPr>
              <w:pStyle w:val="TableParagraph"/>
              <w:spacing w:line="211" w:lineRule="exact" w:before="26"/>
              <w:ind w:right="240"/>
              <w:jc w:val="right"/>
              <w:rPr>
                <w:sz w:val="20"/>
              </w:rPr>
            </w:pPr>
            <w:r>
              <w:rPr>
                <w:spacing w:val="-2"/>
                <w:sz w:val="20"/>
              </w:rPr>
              <w:t>42,893</w:t>
            </w:r>
          </w:p>
        </w:tc>
        <w:tc>
          <w:tcPr>
            <w:tcW w:w="1989" w:type="dxa"/>
            <w:tcBorders>
              <w:top w:val="single" w:sz="4" w:space="0" w:color="000000"/>
              <w:bottom w:val="single" w:sz="4" w:space="0" w:color="000000"/>
            </w:tcBorders>
          </w:tcPr>
          <w:p>
            <w:pPr>
              <w:pStyle w:val="TableParagraph"/>
              <w:tabs>
                <w:tab w:pos="916" w:val="left" w:leader="none"/>
              </w:tabs>
              <w:spacing w:line="211" w:lineRule="exact" w:before="26"/>
              <w:ind w:right="211"/>
              <w:jc w:val="right"/>
              <w:rPr>
                <w:sz w:val="20"/>
              </w:rPr>
            </w:pPr>
            <w:r>
              <w:rPr>
                <w:spacing w:val="-2"/>
                <w:sz w:val="20"/>
              </w:rPr>
              <w:t>1,000</w:t>
            </w:r>
            <w:r>
              <w:rPr>
                <w:sz w:val="20"/>
              </w:rPr>
              <w:tab/>
            </w:r>
            <w:r>
              <w:rPr>
                <w:spacing w:val="-2"/>
                <w:sz w:val="20"/>
              </w:rPr>
              <w:t>33,100</w:t>
            </w:r>
          </w:p>
        </w:tc>
        <w:tc>
          <w:tcPr>
            <w:tcW w:w="1134" w:type="dxa"/>
            <w:tcBorders>
              <w:top w:val="single" w:sz="4" w:space="0" w:color="000000"/>
              <w:bottom w:val="single" w:sz="4" w:space="0" w:color="000000"/>
              <w:right w:val="single" w:sz="4" w:space="0" w:color="000000"/>
            </w:tcBorders>
          </w:tcPr>
          <w:p>
            <w:pPr>
              <w:pStyle w:val="TableParagraph"/>
              <w:spacing w:line="211" w:lineRule="exact" w:before="26"/>
              <w:ind w:right="98"/>
              <w:jc w:val="right"/>
              <w:rPr>
                <w:sz w:val="20"/>
              </w:rPr>
            </w:pPr>
            <w:r>
              <w:rPr>
                <w:spacing w:val="-2"/>
                <w:sz w:val="20"/>
              </w:rPr>
              <w:t>8,793</w:t>
            </w:r>
          </w:p>
        </w:tc>
        <w:tc>
          <w:tcPr>
            <w:tcW w:w="1485" w:type="dxa"/>
            <w:tcBorders>
              <w:top w:val="single" w:sz="4" w:space="0" w:color="000000"/>
              <w:left w:val="single" w:sz="4" w:space="0" w:color="000000"/>
              <w:bottom w:val="single" w:sz="4" w:space="0" w:color="000000"/>
            </w:tcBorders>
          </w:tcPr>
          <w:p>
            <w:pPr>
              <w:pStyle w:val="TableParagraph"/>
              <w:spacing w:line="211" w:lineRule="exact" w:before="26"/>
              <w:ind w:right="307"/>
              <w:jc w:val="right"/>
              <w:rPr>
                <w:sz w:val="20"/>
              </w:rPr>
            </w:pPr>
            <w:r>
              <w:rPr>
                <w:spacing w:val="-2"/>
                <w:sz w:val="20"/>
              </w:rPr>
              <w:t>42,893</w:t>
            </w:r>
          </w:p>
        </w:tc>
        <w:tc>
          <w:tcPr>
            <w:tcW w:w="1085" w:type="dxa"/>
            <w:tcBorders>
              <w:top w:val="single" w:sz="4" w:space="0" w:color="000000"/>
              <w:bottom w:val="single" w:sz="4" w:space="0" w:color="000000"/>
            </w:tcBorders>
          </w:tcPr>
          <w:p>
            <w:pPr>
              <w:pStyle w:val="TableParagraph"/>
              <w:spacing w:line="211" w:lineRule="exact" w:before="26"/>
              <w:ind w:right="121"/>
              <w:jc w:val="right"/>
              <w:rPr>
                <w:sz w:val="20"/>
              </w:rPr>
            </w:pPr>
            <w:r>
              <w:rPr>
                <w:spacing w:val="-2"/>
                <w:sz w:val="20"/>
              </w:rPr>
              <w:t>18,000</w:t>
            </w:r>
          </w:p>
        </w:tc>
        <w:tc>
          <w:tcPr>
            <w:tcW w:w="1575" w:type="dxa"/>
            <w:tcBorders>
              <w:top w:val="single" w:sz="4" w:space="0" w:color="000000"/>
              <w:bottom w:val="single" w:sz="4" w:space="0" w:color="000000"/>
            </w:tcBorders>
          </w:tcPr>
          <w:p>
            <w:pPr>
              <w:pStyle w:val="TableParagraph"/>
              <w:spacing w:line="211" w:lineRule="exact" w:before="26"/>
              <w:ind w:right="138"/>
              <w:jc w:val="right"/>
              <w:rPr>
                <w:sz w:val="20"/>
              </w:rPr>
            </w:pPr>
            <w:r>
              <w:rPr>
                <w:spacing w:val="-5"/>
                <w:sz w:val="20"/>
              </w:rPr>
              <w:t>200</w:t>
            </w:r>
          </w:p>
        </w:tc>
        <w:tc>
          <w:tcPr>
            <w:tcW w:w="1528"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sz w:val="20"/>
              </w:rPr>
            </w:pPr>
            <w:r>
              <w:rPr>
                <w:spacing w:val="-2"/>
                <w:sz w:val="20"/>
              </w:rPr>
              <w:t>24,693</w:t>
            </w:r>
          </w:p>
        </w:tc>
      </w:tr>
      <w:tr>
        <w:trPr>
          <w:trHeight w:val="254" w:hRule="atLeast"/>
        </w:trPr>
        <w:tc>
          <w:tcPr>
            <w:tcW w:w="4716" w:type="dxa"/>
            <w:tcBorders>
              <w:left w:val="single" w:sz="4" w:space="0" w:color="000000"/>
            </w:tcBorders>
          </w:tcPr>
          <w:p>
            <w:pPr>
              <w:pStyle w:val="TableParagraph"/>
              <w:spacing w:line="211" w:lineRule="exact" w:before="23"/>
              <w:ind w:left="107"/>
              <w:rPr>
                <w:b/>
                <w:sz w:val="20"/>
              </w:rPr>
            </w:pPr>
            <w:r>
              <w:rPr>
                <w:b/>
                <w:sz w:val="20"/>
              </w:rPr>
              <w:t>Total</w:t>
            </w:r>
            <w:r>
              <w:rPr>
                <w:b/>
                <w:spacing w:val="-6"/>
                <w:sz w:val="20"/>
              </w:rPr>
              <w:t> </w:t>
            </w:r>
            <w:r>
              <w:rPr>
                <w:b/>
                <w:spacing w:val="-2"/>
                <w:sz w:val="20"/>
              </w:rPr>
              <w:t>Buildings</w:t>
            </w:r>
          </w:p>
        </w:tc>
        <w:tc>
          <w:tcPr>
            <w:tcW w:w="1234" w:type="dxa"/>
            <w:tcBorders>
              <w:top w:val="single" w:sz="4" w:space="0" w:color="000000"/>
              <w:bottom w:val="single" w:sz="4" w:space="0" w:color="000000"/>
            </w:tcBorders>
          </w:tcPr>
          <w:p>
            <w:pPr>
              <w:pStyle w:val="TableParagraph"/>
              <w:spacing w:line="211" w:lineRule="exact" w:before="23"/>
              <w:ind w:right="240"/>
              <w:jc w:val="right"/>
              <w:rPr>
                <w:sz w:val="20"/>
              </w:rPr>
            </w:pPr>
            <w:r>
              <w:rPr>
                <w:spacing w:val="-2"/>
                <w:sz w:val="20"/>
              </w:rPr>
              <w:t>42,893</w:t>
            </w:r>
          </w:p>
        </w:tc>
        <w:tc>
          <w:tcPr>
            <w:tcW w:w="1989" w:type="dxa"/>
            <w:tcBorders>
              <w:top w:val="single" w:sz="4" w:space="0" w:color="000000"/>
              <w:bottom w:val="single" w:sz="4" w:space="0" w:color="000000"/>
            </w:tcBorders>
          </w:tcPr>
          <w:p>
            <w:pPr>
              <w:pStyle w:val="TableParagraph"/>
              <w:tabs>
                <w:tab w:pos="916" w:val="left" w:leader="none"/>
              </w:tabs>
              <w:spacing w:line="211" w:lineRule="exact" w:before="23"/>
              <w:ind w:right="211"/>
              <w:jc w:val="right"/>
              <w:rPr>
                <w:sz w:val="20"/>
              </w:rPr>
            </w:pPr>
            <w:r>
              <w:rPr>
                <w:spacing w:val="-2"/>
                <w:sz w:val="20"/>
              </w:rPr>
              <w:t>1,000</w:t>
            </w:r>
            <w:r>
              <w:rPr>
                <w:sz w:val="20"/>
              </w:rPr>
              <w:tab/>
            </w:r>
            <w:r>
              <w:rPr>
                <w:spacing w:val="-2"/>
                <w:sz w:val="20"/>
              </w:rPr>
              <w:t>33,100</w:t>
            </w:r>
          </w:p>
        </w:tc>
        <w:tc>
          <w:tcPr>
            <w:tcW w:w="1134" w:type="dxa"/>
            <w:tcBorders>
              <w:top w:val="single" w:sz="4" w:space="0" w:color="000000"/>
              <w:bottom w:val="single" w:sz="4" w:space="0" w:color="000000"/>
              <w:right w:val="single" w:sz="4" w:space="0" w:color="000000"/>
            </w:tcBorders>
          </w:tcPr>
          <w:p>
            <w:pPr>
              <w:pStyle w:val="TableParagraph"/>
              <w:spacing w:line="211" w:lineRule="exact" w:before="23"/>
              <w:ind w:right="98"/>
              <w:jc w:val="right"/>
              <w:rPr>
                <w:sz w:val="20"/>
              </w:rPr>
            </w:pPr>
            <w:r>
              <w:rPr>
                <w:spacing w:val="-2"/>
                <w:sz w:val="20"/>
              </w:rPr>
              <w:t>8,793</w:t>
            </w:r>
          </w:p>
        </w:tc>
        <w:tc>
          <w:tcPr>
            <w:tcW w:w="1485" w:type="dxa"/>
            <w:tcBorders>
              <w:top w:val="single" w:sz="4" w:space="0" w:color="000000"/>
              <w:left w:val="single" w:sz="4" w:space="0" w:color="000000"/>
              <w:bottom w:val="single" w:sz="4" w:space="0" w:color="000000"/>
            </w:tcBorders>
          </w:tcPr>
          <w:p>
            <w:pPr>
              <w:pStyle w:val="TableParagraph"/>
              <w:spacing w:line="211" w:lineRule="exact" w:before="23"/>
              <w:ind w:right="307"/>
              <w:jc w:val="right"/>
              <w:rPr>
                <w:sz w:val="20"/>
              </w:rPr>
            </w:pPr>
            <w:r>
              <w:rPr>
                <w:spacing w:val="-2"/>
                <w:sz w:val="20"/>
              </w:rPr>
              <w:t>42,893</w:t>
            </w:r>
          </w:p>
        </w:tc>
        <w:tc>
          <w:tcPr>
            <w:tcW w:w="1085" w:type="dxa"/>
            <w:tcBorders>
              <w:top w:val="single" w:sz="4" w:space="0" w:color="000000"/>
              <w:bottom w:val="single" w:sz="4" w:space="0" w:color="000000"/>
            </w:tcBorders>
          </w:tcPr>
          <w:p>
            <w:pPr>
              <w:pStyle w:val="TableParagraph"/>
              <w:spacing w:line="211" w:lineRule="exact" w:before="23"/>
              <w:ind w:right="121"/>
              <w:jc w:val="right"/>
              <w:rPr>
                <w:sz w:val="20"/>
              </w:rPr>
            </w:pPr>
            <w:r>
              <w:rPr>
                <w:spacing w:val="-2"/>
                <w:sz w:val="20"/>
              </w:rPr>
              <w:t>18,000</w:t>
            </w:r>
          </w:p>
        </w:tc>
        <w:tc>
          <w:tcPr>
            <w:tcW w:w="1575" w:type="dxa"/>
            <w:tcBorders>
              <w:top w:val="single" w:sz="4" w:space="0" w:color="000000"/>
              <w:bottom w:val="single" w:sz="4" w:space="0" w:color="000000"/>
            </w:tcBorders>
          </w:tcPr>
          <w:p>
            <w:pPr>
              <w:pStyle w:val="TableParagraph"/>
              <w:spacing w:line="211" w:lineRule="exact" w:before="23"/>
              <w:ind w:right="138"/>
              <w:jc w:val="right"/>
              <w:rPr>
                <w:sz w:val="20"/>
              </w:rPr>
            </w:pPr>
            <w:r>
              <w:rPr>
                <w:spacing w:val="-5"/>
                <w:sz w:val="20"/>
              </w:rPr>
              <w:t>200</w:t>
            </w:r>
          </w:p>
        </w:tc>
        <w:tc>
          <w:tcPr>
            <w:tcW w:w="1528"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sz w:val="20"/>
              </w:rPr>
            </w:pPr>
            <w:r>
              <w:rPr>
                <w:spacing w:val="-2"/>
                <w:sz w:val="20"/>
              </w:rPr>
              <w:t>24,693</w:t>
            </w:r>
          </w:p>
        </w:tc>
      </w:tr>
      <w:tr>
        <w:trPr>
          <w:trHeight w:val="256" w:hRule="atLeast"/>
        </w:trPr>
        <w:tc>
          <w:tcPr>
            <w:tcW w:w="4716"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Property</w:t>
            </w:r>
          </w:p>
        </w:tc>
        <w:tc>
          <w:tcPr>
            <w:tcW w:w="1234" w:type="dxa"/>
            <w:tcBorders>
              <w:top w:val="single" w:sz="4" w:space="0" w:color="000000"/>
              <w:bottom w:val="single" w:sz="4" w:space="0" w:color="000000"/>
            </w:tcBorders>
          </w:tcPr>
          <w:p>
            <w:pPr>
              <w:pStyle w:val="TableParagraph"/>
              <w:spacing w:line="211" w:lineRule="exact" w:before="26"/>
              <w:ind w:right="240"/>
              <w:jc w:val="right"/>
              <w:rPr>
                <w:b/>
                <w:sz w:val="20"/>
              </w:rPr>
            </w:pPr>
            <w:r>
              <w:rPr>
                <w:b/>
                <w:spacing w:val="-2"/>
                <w:sz w:val="20"/>
              </w:rPr>
              <w:t>42,893</w:t>
            </w:r>
          </w:p>
        </w:tc>
        <w:tc>
          <w:tcPr>
            <w:tcW w:w="1989" w:type="dxa"/>
            <w:tcBorders>
              <w:top w:val="single" w:sz="4" w:space="0" w:color="000000"/>
              <w:bottom w:val="single" w:sz="4" w:space="0" w:color="000000"/>
            </w:tcBorders>
          </w:tcPr>
          <w:p>
            <w:pPr>
              <w:pStyle w:val="TableParagraph"/>
              <w:tabs>
                <w:tab w:pos="916" w:val="left" w:leader="none"/>
              </w:tabs>
              <w:spacing w:line="211" w:lineRule="exact" w:before="26"/>
              <w:ind w:right="211"/>
              <w:jc w:val="right"/>
              <w:rPr>
                <w:b/>
                <w:sz w:val="20"/>
              </w:rPr>
            </w:pPr>
            <w:r>
              <w:rPr>
                <w:b/>
                <w:spacing w:val="-2"/>
                <w:sz w:val="20"/>
              </w:rPr>
              <w:t>1,000</w:t>
            </w:r>
            <w:r>
              <w:rPr>
                <w:b/>
                <w:sz w:val="20"/>
              </w:rPr>
              <w:tab/>
            </w:r>
            <w:r>
              <w:rPr>
                <w:b/>
                <w:spacing w:val="-2"/>
                <w:sz w:val="20"/>
              </w:rPr>
              <w:t>33,100</w:t>
            </w:r>
          </w:p>
        </w:tc>
        <w:tc>
          <w:tcPr>
            <w:tcW w:w="1134" w:type="dxa"/>
            <w:tcBorders>
              <w:top w:val="single" w:sz="4" w:space="0" w:color="000000"/>
              <w:bottom w:val="single" w:sz="4" w:space="0" w:color="000000"/>
              <w:right w:val="single" w:sz="4" w:space="0" w:color="000000"/>
            </w:tcBorders>
          </w:tcPr>
          <w:p>
            <w:pPr>
              <w:pStyle w:val="TableParagraph"/>
              <w:spacing w:line="211" w:lineRule="exact" w:before="26"/>
              <w:ind w:right="98"/>
              <w:jc w:val="right"/>
              <w:rPr>
                <w:b/>
                <w:sz w:val="20"/>
              </w:rPr>
            </w:pPr>
            <w:r>
              <w:rPr>
                <w:b/>
                <w:spacing w:val="-2"/>
                <w:sz w:val="20"/>
              </w:rPr>
              <w:t>8,793</w:t>
            </w:r>
          </w:p>
        </w:tc>
        <w:tc>
          <w:tcPr>
            <w:tcW w:w="1485" w:type="dxa"/>
            <w:tcBorders>
              <w:top w:val="single" w:sz="4" w:space="0" w:color="000000"/>
              <w:left w:val="single" w:sz="4" w:space="0" w:color="000000"/>
              <w:bottom w:val="single" w:sz="4" w:space="0" w:color="000000"/>
            </w:tcBorders>
          </w:tcPr>
          <w:p>
            <w:pPr>
              <w:pStyle w:val="TableParagraph"/>
              <w:spacing w:line="211" w:lineRule="exact" w:before="26"/>
              <w:ind w:right="307"/>
              <w:jc w:val="right"/>
              <w:rPr>
                <w:b/>
                <w:sz w:val="20"/>
              </w:rPr>
            </w:pPr>
            <w:r>
              <w:rPr>
                <w:b/>
                <w:spacing w:val="-2"/>
                <w:sz w:val="20"/>
              </w:rPr>
              <w:t>42,893</w:t>
            </w:r>
          </w:p>
        </w:tc>
        <w:tc>
          <w:tcPr>
            <w:tcW w:w="1085" w:type="dxa"/>
            <w:tcBorders>
              <w:top w:val="single" w:sz="4" w:space="0" w:color="000000"/>
              <w:bottom w:val="single" w:sz="4" w:space="0" w:color="000000"/>
            </w:tcBorders>
          </w:tcPr>
          <w:p>
            <w:pPr>
              <w:pStyle w:val="TableParagraph"/>
              <w:spacing w:line="211" w:lineRule="exact" w:before="26"/>
              <w:ind w:right="120"/>
              <w:jc w:val="right"/>
              <w:rPr>
                <w:b/>
                <w:sz w:val="20"/>
              </w:rPr>
            </w:pPr>
            <w:r>
              <w:rPr>
                <w:b/>
                <w:spacing w:val="-2"/>
                <w:sz w:val="20"/>
              </w:rPr>
              <w:t>18,000</w:t>
            </w:r>
          </w:p>
        </w:tc>
        <w:tc>
          <w:tcPr>
            <w:tcW w:w="1575" w:type="dxa"/>
            <w:tcBorders>
              <w:top w:val="single" w:sz="4" w:space="0" w:color="000000"/>
              <w:bottom w:val="single" w:sz="4" w:space="0" w:color="000000"/>
            </w:tcBorders>
          </w:tcPr>
          <w:p>
            <w:pPr>
              <w:pStyle w:val="TableParagraph"/>
              <w:spacing w:line="211" w:lineRule="exact" w:before="26"/>
              <w:ind w:right="138"/>
              <w:jc w:val="right"/>
              <w:rPr>
                <w:b/>
                <w:sz w:val="20"/>
              </w:rPr>
            </w:pPr>
            <w:r>
              <w:rPr>
                <w:b/>
                <w:spacing w:val="-5"/>
                <w:sz w:val="20"/>
              </w:rPr>
              <w:t>200</w:t>
            </w:r>
          </w:p>
        </w:tc>
        <w:tc>
          <w:tcPr>
            <w:tcW w:w="1528"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b/>
                <w:sz w:val="20"/>
              </w:rPr>
            </w:pPr>
            <w:r>
              <w:rPr>
                <w:b/>
                <w:spacing w:val="-2"/>
                <w:sz w:val="20"/>
              </w:rPr>
              <w:t>24,693</w:t>
            </w:r>
          </w:p>
        </w:tc>
      </w:tr>
      <w:tr>
        <w:trPr>
          <w:trHeight w:val="524" w:hRule="atLeast"/>
        </w:trPr>
        <w:tc>
          <w:tcPr>
            <w:tcW w:w="4716" w:type="dxa"/>
            <w:tcBorders>
              <w:left w:val="single" w:sz="4" w:space="0" w:color="000000"/>
            </w:tcBorders>
          </w:tcPr>
          <w:p>
            <w:pPr>
              <w:pStyle w:val="TableParagraph"/>
              <w:spacing w:before="1"/>
              <w:rPr>
                <w:b/>
                <w:sz w:val="24"/>
              </w:rPr>
            </w:pPr>
          </w:p>
          <w:p>
            <w:pPr>
              <w:pStyle w:val="TableParagraph"/>
              <w:spacing w:line="227" w:lineRule="exact" w:before="1"/>
              <w:ind w:left="107"/>
              <w:rPr>
                <w:b/>
                <w:sz w:val="20"/>
              </w:rPr>
            </w:pPr>
            <w:r>
              <w:rPr>
                <w:b/>
                <w:sz w:val="20"/>
              </w:rPr>
              <w:t>Plant</w:t>
            </w:r>
            <w:r>
              <w:rPr>
                <w:b/>
                <w:spacing w:val="-5"/>
                <w:sz w:val="20"/>
              </w:rPr>
              <w:t> </w:t>
            </w:r>
            <w:r>
              <w:rPr>
                <w:b/>
                <w:sz w:val="20"/>
              </w:rPr>
              <w:t>and</w:t>
            </w:r>
            <w:r>
              <w:rPr>
                <w:b/>
                <w:spacing w:val="-4"/>
                <w:sz w:val="20"/>
              </w:rPr>
              <w:t> </w:t>
            </w:r>
            <w:r>
              <w:rPr>
                <w:b/>
                <w:spacing w:val="-2"/>
                <w:sz w:val="20"/>
              </w:rPr>
              <w:t>Equipment</w:t>
            </w:r>
          </w:p>
        </w:tc>
        <w:tc>
          <w:tcPr>
            <w:tcW w:w="1234" w:type="dxa"/>
            <w:tcBorders>
              <w:top w:val="single" w:sz="4" w:space="0" w:color="000000"/>
            </w:tcBorders>
          </w:tcPr>
          <w:p>
            <w:pPr>
              <w:pStyle w:val="TableParagraph"/>
              <w:rPr>
                <w:rFonts w:ascii="Times New Roman"/>
                <w:sz w:val="18"/>
              </w:rPr>
            </w:pPr>
          </w:p>
        </w:tc>
        <w:tc>
          <w:tcPr>
            <w:tcW w:w="1989" w:type="dxa"/>
            <w:tcBorders>
              <w:top w:val="single" w:sz="4" w:space="0" w:color="000000"/>
            </w:tcBorders>
          </w:tcPr>
          <w:p>
            <w:pPr>
              <w:pStyle w:val="TableParagraph"/>
              <w:rPr>
                <w:rFonts w:ascii="Times New Roman"/>
                <w:sz w:val="18"/>
              </w:rPr>
            </w:pPr>
          </w:p>
        </w:tc>
        <w:tc>
          <w:tcPr>
            <w:tcW w:w="1134" w:type="dxa"/>
            <w:tcBorders>
              <w:top w:val="single" w:sz="4" w:space="0" w:color="000000"/>
              <w:right w:val="single" w:sz="4" w:space="0" w:color="000000"/>
            </w:tcBorders>
          </w:tcPr>
          <w:p>
            <w:pPr>
              <w:pStyle w:val="TableParagraph"/>
              <w:rPr>
                <w:rFonts w:ascii="Times New Roman"/>
                <w:sz w:val="18"/>
              </w:rPr>
            </w:pPr>
          </w:p>
        </w:tc>
        <w:tc>
          <w:tcPr>
            <w:tcW w:w="1485" w:type="dxa"/>
            <w:tcBorders>
              <w:top w:val="single" w:sz="4" w:space="0" w:color="000000"/>
              <w:left w:val="single" w:sz="4" w:space="0" w:color="000000"/>
            </w:tcBorders>
          </w:tcPr>
          <w:p>
            <w:pPr>
              <w:pStyle w:val="TableParagraph"/>
              <w:rPr>
                <w:rFonts w:ascii="Times New Roman"/>
                <w:sz w:val="18"/>
              </w:rPr>
            </w:pPr>
          </w:p>
        </w:tc>
        <w:tc>
          <w:tcPr>
            <w:tcW w:w="1085" w:type="dxa"/>
            <w:tcBorders>
              <w:top w:val="single" w:sz="4" w:space="0" w:color="000000"/>
            </w:tcBorders>
          </w:tcPr>
          <w:p>
            <w:pPr>
              <w:pStyle w:val="TableParagraph"/>
              <w:rPr>
                <w:rFonts w:ascii="Times New Roman"/>
                <w:sz w:val="18"/>
              </w:rPr>
            </w:pPr>
          </w:p>
        </w:tc>
        <w:tc>
          <w:tcPr>
            <w:tcW w:w="1575" w:type="dxa"/>
            <w:tcBorders>
              <w:top w:val="single" w:sz="4" w:space="0" w:color="000000"/>
            </w:tcBorders>
          </w:tcPr>
          <w:p>
            <w:pPr>
              <w:pStyle w:val="TableParagraph"/>
              <w:rPr>
                <w:rFonts w:ascii="Times New Roman"/>
                <w:sz w:val="18"/>
              </w:rPr>
            </w:pPr>
          </w:p>
        </w:tc>
        <w:tc>
          <w:tcPr>
            <w:tcW w:w="1528"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716" w:type="dxa"/>
            <w:tcBorders>
              <w:left w:val="single" w:sz="4" w:space="0" w:color="000000"/>
            </w:tcBorders>
          </w:tcPr>
          <w:p>
            <w:pPr>
              <w:pStyle w:val="TableParagraph"/>
              <w:spacing w:line="226" w:lineRule="exact" w:before="10"/>
              <w:ind w:left="107"/>
              <w:rPr>
                <w:sz w:val="20"/>
              </w:rPr>
            </w:pPr>
            <w:r>
              <w:rPr>
                <w:sz w:val="20"/>
              </w:rPr>
              <w:t>Plant,</w:t>
            </w:r>
            <w:r>
              <w:rPr>
                <w:spacing w:val="-4"/>
                <w:sz w:val="20"/>
              </w:rPr>
              <w:t> </w:t>
            </w:r>
            <w:r>
              <w:rPr>
                <w:sz w:val="20"/>
              </w:rPr>
              <w:t>machinery,</w:t>
            </w:r>
            <w:r>
              <w:rPr>
                <w:spacing w:val="-8"/>
                <w:sz w:val="20"/>
              </w:rPr>
              <w:t> </w:t>
            </w:r>
            <w:r>
              <w:rPr>
                <w:sz w:val="20"/>
              </w:rPr>
              <w:t>and</w:t>
            </w:r>
            <w:r>
              <w:rPr>
                <w:spacing w:val="-4"/>
                <w:sz w:val="20"/>
              </w:rPr>
              <w:t> </w:t>
            </w:r>
            <w:r>
              <w:rPr>
                <w:spacing w:val="-2"/>
                <w:sz w:val="20"/>
              </w:rPr>
              <w:t>equipment</w:t>
            </w:r>
          </w:p>
        </w:tc>
        <w:tc>
          <w:tcPr>
            <w:tcW w:w="1234" w:type="dxa"/>
          </w:tcPr>
          <w:p>
            <w:pPr>
              <w:pStyle w:val="TableParagraph"/>
              <w:spacing w:line="226" w:lineRule="exact" w:before="10"/>
              <w:ind w:right="240"/>
              <w:jc w:val="right"/>
              <w:rPr>
                <w:sz w:val="20"/>
              </w:rPr>
            </w:pPr>
            <w:r>
              <w:rPr>
                <w:spacing w:val="-2"/>
                <w:sz w:val="20"/>
              </w:rPr>
              <w:t>3,350</w:t>
            </w:r>
          </w:p>
        </w:tc>
        <w:tc>
          <w:tcPr>
            <w:tcW w:w="1989" w:type="dxa"/>
          </w:tcPr>
          <w:p>
            <w:pPr>
              <w:pStyle w:val="TableParagraph"/>
              <w:tabs>
                <w:tab w:pos="635" w:val="left" w:leader="none"/>
              </w:tabs>
              <w:spacing w:line="226" w:lineRule="exact" w:before="10"/>
              <w:ind w:right="210"/>
              <w:jc w:val="right"/>
              <w:rPr>
                <w:sz w:val="20"/>
              </w:rPr>
            </w:pPr>
            <w:r>
              <w:rPr>
                <w:spacing w:val="-10"/>
                <w:sz w:val="20"/>
              </w:rPr>
              <w:t>0</w:t>
            </w:r>
            <w:r>
              <w:rPr>
                <w:sz w:val="20"/>
              </w:rPr>
              <w:tab/>
            </w:r>
            <w:r>
              <w:rPr>
                <w:spacing w:val="-2"/>
                <w:sz w:val="20"/>
              </w:rPr>
              <w:t>3,350</w:t>
            </w:r>
          </w:p>
        </w:tc>
        <w:tc>
          <w:tcPr>
            <w:tcW w:w="1134" w:type="dxa"/>
            <w:tcBorders>
              <w:right w:val="single" w:sz="4" w:space="0" w:color="000000"/>
            </w:tcBorders>
          </w:tcPr>
          <w:p>
            <w:pPr>
              <w:pStyle w:val="TableParagraph"/>
              <w:spacing w:line="226" w:lineRule="exact" w:before="10"/>
              <w:ind w:right="96"/>
              <w:jc w:val="right"/>
              <w:rPr>
                <w:sz w:val="20"/>
              </w:rPr>
            </w:pPr>
            <w:r>
              <w:rPr>
                <w:w w:val="99"/>
                <w:sz w:val="20"/>
              </w:rPr>
              <w:t>0</w:t>
            </w:r>
          </w:p>
        </w:tc>
        <w:tc>
          <w:tcPr>
            <w:tcW w:w="1485" w:type="dxa"/>
            <w:tcBorders>
              <w:left w:val="single" w:sz="4" w:space="0" w:color="000000"/>
            </w:tcBorders>
          </w:tcPr>
          <w:p>
            <w:pPr>
              <w:pStyle w:val="TableParagraph"/>
              <w:spacing w:line="226" w:lineRule="exact" w:before="10"/>
              <w:ind w:right="308"/>
              <w:jc w:val="right"/>
              <w:rPr>
                <w:sz w:val="20"/>
              </w:rPr>
            </w:pPr>
            <w:r>
              <w:rPr>
                <w:spacing w:val="-2"/>
                <w:sz w:val="20"/>
              </w:rPr>
              <w:t>3,350</w:t>
            </w:r>
          </w:p>
        </w:tc>
        <w:tc>
          <w:tcPr>
            <w:tcW w:w="1085" w:type="dxa"/>
          </w:tcPr>
          <w:p>
            <w:pPr>
              <w:pStyle w:val="TableParagraph"/>
              <w:spacing w:line="226" w:lineRule="exact" w:before="10"/>
              <w:ind w:right="118"/>
              <w:jc w:val="right"/>
              <w:rPr>
                <w:sz w:val="20"/>
              </w:rPr>
            </w:pPr>
            <w:r>
              <w:rPr>
                <w:w w:val="99"/>
                <w:sz w:val="20"/>
              </w:rPr>
              <w:t>0</w:t>
            </w:r>
          </w:p>
        </w:tc>
        <w:tc>
          <w:tcPr>
            <w:tcW w:w="1575" w:type="dxa"/>
          </w:tcPr>
          <w:p>
            <w:pPr>
              <w:pStyle w:val="TableParagraph"/>
              <w:spacing w:line="226" w:lineRule="exact" w:before="10"/>
              <w:ind w:right="137"/>
              <w:jc w:val="right"/>
              <w:rPr>
                <w:sz w:val="20"/>
              </w:rPr>
            </w:pPr>
            <w:r>
              <w:rPr>
                <w:spacing w:val="-2"/>
                <w:sz w:val="20"/>
              </w:rPr>
              <w:t>1,038</w:t>
            </w:r>
          </w:p>
        </w:tc>
        <w:tc>
          <w:tcPr>
            <w:tcW w:w="1528" w:type="dxa"/>
            <w:tcBorders>
              <w:right w:val="single" w:sz="4" w:space="0" w:color="000000"/>
            </w:tcBorders>
          </w:tcPr>
          <w:p>
            <w:pPr>
              <w:pStyle w:val="TableParagraph"/>
              <w:spacing w:line="226" w:lineRule="exact" w:before="10"/>
              <w:ind w:right="100"/>
              <w:jc w:val="right"/>
              <w:rPr>
                <w:sz w:val="20"/>
              </w:rPr>
            </w:pPr>
            <w:r>
              <w:rPr>
                <w:spacing w:val="-2"/>
                <w:sz w:val="20"/>
              </w:rPr>
              <w:t>2,312</w:t>
            </w:r>
          </w:p>
        </w:tc>
      </w:tr>
      <w:tr>
        <w:trPr>
          <w:trHeight w:val="254" w:hRule="atLeast"/>
        </w:trPr>
        <w:tc>
          <w:tcPr>
            <w:tcW w:w="4716" w:type="dxa"/>
            <w:tcBorders>
              <w:left w:val="single" w:sz="4" w:space="0" w:color="000000"/>
            </w:tcBorders>
          </w:tcPr>
          <w:p>
            <w:pPr>
              <w:pStyle w:val="TableParagraph"/>
              <w:spacing w:line="226" w:lineRule="exact" w:before="8"/>
              <w:ind w:left="107"/>
              <w:rPr>
                <w:sz w:val="20"/>
              </w:rPr>
            </w:pPr>
            <w:r>
              <w:rPr>
                <w:sz w:val="20"/>
              </w:rPr>
              <w:t>Fixtures,</w:t>
            </w:r>
            <w:r>
              <w:rPr>
                <w:spacing w:val="-7"/>
                <w:sz w:val="20"/>
              </w:rPr>
              <w:t> </w:t>
            </w:r>
            <w:r>
              <w:rPr>
                <w:sz w:val="20"/>
              </w:rPr>
              <w:t>fittings,</w:t>
            </w:r>
            <w:r>
              <w:rPr>
                <w:spacing w:val="-6"/>
                <w:sz w:val="20"/>
              </w:rPr>
              <w:t> </w:t>
            </w:r>
            <w:r>
              <w:rPr>
                <w:sz w:val="20"/>
              </w:rPr>
              <w:t>and</w:t>
            </w:r>
            <w:r>
              <w:rPr>
                <w:spacing w:val="-7"/>
                <w:sz w:val="20"/>
              </w:rPr>
              <w:t> </w:t>
            </w:r>
            <w:r>
              <w:rPr>
                <w:spacing w:val="-2"/>
                <w:sz w:val="20"/>
              </w:rPr>
              <w:t>furniture</w:t>
            </w:r>
          </w:p>
        </w:tc>
        <w:tc>
          <w:tcPr>
            <w:tcW w:w="1234" w:type="dxa"/>
          </w:tcPr>
          <w:p>
            <w:pPr>
              <w:pStyle w:val="TableParagraph"/>
              <w:spacing w:line="226" w:lineRule="exact" w:before="8"/>
              <w:ind w:right="240"/>
              <w:jc w:val="right"/>
              <w:rPr>
                <w:sz w:val="20"/>
              </w:rPr>
            </w:pPr>
            <w:r>
              <w:rPr>
                <w:spacing w:val="-5"/>
                <w:sz w:val="20"/>
              </w:rPr>
              <w:t>837</w:t>
            </w:r>
          </w:p>
        </w:tc>
        <w:tc>
          <w:tcPr>
            <w:tcW w:w="1989" w:type="dxa"/>
          </w:tcPr>
          <w:p>
            <w:pPr>
              <w:pStyle w:val="TableParagraph"/>
              <w:tabs>
                <w:tab w:pos="916" w:val="left" w:leader="none"/>
              </w:tabs>
              <w:spacing w:line="226" w:lineRule="exact" w:before="8"/>
              <w:ind w:right="211"/>
              <w:jc w:val="right"/>
              <w:rPr>
                <w:sz w:val="20"/>
              </w:rPr>
            </w:pPr>
            <w:r>
              <w:rPr>
                <w:spacing w:val="-5"/>
                <w:sz w:val="20"/>
              </w:rPr>
              <w:t>77</w:t>
            </w:r>
            <w:r>
              <w:rPr>
                <w:sz w:val="20"/>
              </w:rPr>
              <w:tab/>
            </w:r>
            <w:r>
              <w:rPr>
                <w:spacing w:val="-5"/>
                <w:sz w:val="20"/>
              </w:rPr>
              <w:t>715</w:t>
            </w:r>
          </w:p>
        </w:tc>
        <w:tc>
          <w:tcPr>
            <w:tcW w:w="1134" w:type="dxa"/>
            <w:tcBorders>
              <w:right w:val="single" w:sz="4" w:space="0" w:color="000000"/>
            </w:tcBorders>
          </w:tcPr>
          <w:p>
            <w:pPr>
              <w:pStyle w:val="TableParagraph"/>
              <w:spacing w:line="226" w:lineRule="exact" w:before="8"/>
              <w:ind w:right="100"/>
              <w:jc w:val="right"/>
              <w:rPr>
                <w:sz w:val="20"/>
              </w:rPr>
            </w:pPr>
            <w:r>
              <w:rPr>
                <w:spacing w:val="-5"/>
                <w:sz w:val="20"/>
              </w:rPr>
              <w:t>45</w:t>
            </w:r>
          </w:p>
        </w:tc>
        <w:tc>
          <w:tcPr>
            <w:tcW w:w="1485" w:type="dxa"/>
            <w:tcBorders>
              <w:left w:val="single" w:sz="4" w:space="0" w:color="000000"/>
            </w:tcBorders>
          </w:tcPr>
          <w:p>
            <w:pPr>
              <w:pStyle w:val="TableParagraph"/>
              <w:spacing w:line="226" w:lineRule="exact" w:before="8"/>
              <w:ind w:right="307"/>
              <w:jc w:val="right"/>
              <w:rPr>
                <w:sz w:val="20"/>
              </w:rPr>
            </w:pPr>
            <w:r>
              <w:rPr>
                <w:spacing w:val="-5"/>
                <w:sz w:val="20"/>
              </w:rPr>
              <w:t>837</w:t>
            </w:r>
          </w:p>
        </w:tc>
        <w:tc>
          <w:tcPr>
            <w:tcW w:w="1085" w:type="dxa"/>
          </w:tcPr>
          <w:p>
            <w:pPr>
              <w:pStyle w:val="TableParagraph"/>
              <w:spacing w:line="226" w:lineRule="exact" w:before="8"/>
              <w:ind w:right="118"/>
              <w:jc w:val="right"/>
              <w:rPr>
                <w:sz w:val="20"/>
              </w:rPr>
            </w:pPr>
            <w:r>
              <w:rPr>
                <w:w w:val="99"/>
                <w:sz w:val="20"/>
              </w:rPr>
              <w:t>0</w:t>
            </w:r>
          </w:p>
        </w:tc>
        <w:tc>
          <w:tcPr>
            <w:tcW w:w="1575" w:type="dxa"/>
          </w:tcPr>
          <w:p>
            <w:pPr>
              <w:pStyle w:val="TableParagraph"/>
              <w:spacing w:line="226" w:lineRule="exact" w:before="8"/>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8"/>
              <w:ind w:right="101"/>
              <w:jc w:val="right"/>
              <w:rPr>
                <w:sz w:val="20"/>
              </w:rPr>
            </w:pPr>
            <w:r>
              <w:rPr>
                <w:spacing w:val="-5"/>
                <w:sz w:val="20"/>
              </w:rPr>
              <w:t>837</w:t>
            </w:r>
          </w:p>
        </w:tc>
      </w:tr>
      <w:tr>
        <w:trPr>
          <w:trHeight w:val="239" w:hRule="atLeast"/>
        </w:trPr>
        <w:tc>
          <w:tcPr>
            <w:tcW w:w="4716" w:type="dxa"/>
            <w:tcBorders>
              <w:left w:val="single" w:sz="4" w:space="0" w:color="000000"/>
            </w:tcBorders>
          </w:tcPr>
          <w:p>
            <w:pPr>
              <w:pStyle w:val="TableParagraph"/>
              <w:spacing w:line="211" w:lineRule="exact" w:before="8"/>
              <w:ind w:left="107"/>
              <w:rPr>
                <w:sz w:val="20"/>
              </w:rPr>
            </w:pPr>
            <w:r>
              <w:rPr>
                <w:sz w:val="20"/>
              </w:rPr>
              <w:t>Computers</w:t>
            </w:r>
            <w:r>
              <w:rPr>
                <w:spacing w:val="-6"/>
                <w:sz w:val="20"/>
              </w:rPr>
              <w:t> </w:t>
            </w:r>
            <w:r>
              <w:rPr>
                <w:sz w:val="20"/>
              </w:rPr>
              <w:t>and</w:t>
            </w:r>
            <w:r>
              <w:rPr>
                <w:spacing w:val="-8"/>
                <w:sz w:val="20"/>
              </w:rPr>
              <w:t> </w:t>
            </w:r>
            <w:r>
              <w:rPr>
                <w:spacing w:val="-2"/>
                <w:sz w:val="20"/>
              </w:rPr>
              <w:t>telecommunications</w:t>
            </w:r>
          </w:p>
        </w:tc>
        <w:tc>
          <w:tcPr>
            <w:tcW w:w="1234" w:type="dxa"/>
            <w:tcBorders>
              <w:bottom w:val="single" w:sz="4" w:space="0" w:color="000000"/>
            </w:tcBorders>
          </w:tcPr>
          <w:p>
            <w:pPr>
              <w:pStyle w:val="TableParagraph"/>
              <w:spacing w:line="211" w:lineRule="exact" w:before="8"/>
              <w:ind w:right="240"/>
              <w:jc w:val="right"/>
              <w:rPr>
                <w:sz w:val="20"/>
              </w:rPr>
            </w:pPr>
            <w:r>
              <w:rPr>
                <w:spacing w:val="-5"/>
                <w:sz w:val="20"/>
              </w:rPr>
              <w:t>366</w:t>
            </w:r>
          </w:p>
        </w:tc>
        <w:tc>
          <w:tcPr>
            <w:tcW w:w="1989" w:type="dxa"/>
            <w:tcBorders>
              <w:bottom w:val="single" w:sz="4" w:space="0" w:color="000000"/>
            </w:tcBorders>
          </w:tcPr>
          <w:p>
            <w:pPr>
              <w:pStyle w:val="TableParagraph"/>
              <w:tabs>
                <w:tab w:pos="1027" w:val="left" w:leader="none"/>
              </w:tabs>
              <w:spacing w:line="211" w:lineRule="exact" w:before="8"/>
              <w:ind w:right="211"/>
              <w:jc w:val="right"/>
              <w:rPr>
                <w:sz w:val="20"/>
              </w:rPr>
            </w:pPr>
            <w:r>
              <w:rPr>
                <w:spacing w:val="-5"/>
                <w:sz w:val="20"/>
              </w:rPr>
              <w:t>110</w:t>
            </w:r>
            <w:r>
              <w:rPr>
                <w:sz w:val="20"/>
              </w:rPr>
              <w:tab/>
            </w:r>
            <w:r>
              <w:rPr>
                <w:spacing w:val="-5"/>
                <w:sz w:val="20"/>
              </w:rPr>
              <w:t>183</w:t>
            </w:r>
          </w:p>
        </w:tc>
        <w:tc>
          <w:tcPr>
            <w:tcW w:w="1134" w:type="dxa"/>
            <w:tcBorders>
              <w:bottom w:val="single" w:sz="4" w:space="0" w:color="000000"/>
              <w:right w:val="single" w:sz="4" w:space="0" w:color="000000"/>
            </w:tcBorders>
          </w:tcPr>
          <w:p>
            <w:pPr>
              <w:pStyle w:val="TableParagraph"/>
              <w:spacing w:line="211" w:lineRule="exact" w:before="8"/>
              <w:ind w:right="100"/>
              <w:jc w:val="right"/>
              <w:rPr>
                <w:sz w:val="20"/>
              </w:rPr>
            </w:pPr>
            <w:r>
              <w:rPr>
                <w:spacing w:val="-5"/>
                <w:sz w:val="20"/>
              </w:rPr>
              <w:t>73</w:t>
            </w:r>
          </w:p>
        </w:tc>
        <w:tc>
          <w:tcPr>
            <w:tcW w:w="1485" w:type="dxa"/>
            <w:tcBorders>
              <w:left w:val="single" w:sz="4" w:space="0" w:color="000000"/>
              <w:bottom w:val="single" w:sz="4" w:space="0" w:color="000000"/>
            </w:tcBorders>
          </w:tcPr>
          <w:p>
            <w:pPr>
              <w:pStyle w:val="TableParagraph"/>
              <w:spacing w:line="211" w:lineRule="exact" w:before="8"/>
              <w:ind w:right="307"/>
              <w:jc w:val="right"/>
              <w:rPr>
                <w:sz w:val="20"/>
              </w:rPr>
            </w:pPr>
            <w:r>
              <w:rPr>
                <w:spacing w:val="-5"/>
                <w:sz w:val="20"/>
              </w:rPr>
              <w:t>366</w:t>
            </w:r>
          </w:p>
        </w:tc>
        <w:tc>
          <w:tcPr>
            <w:tcW w:w="1085" w:type="dxa"/>
            <w:tcBorders>
              <w:bottom w:val="single" w:sz="4" w:space="0" w:color="000000"/>
            </w:tcBorders>
          </w:tcPr>
          <w:p>
            <w:pPr>
              <w:pStyle w:val="TableParagraph"/>
              <w:spacing w:line="211" w:lineRule="exact" w:before="8"/>
              <w:ind w:right="118"/>
              <w:jc w:val="right"/>
              <w:rPr>
                <w:sz w:val="20"/>
              </w:rPr>
            </w:pPr>
            <w:r>
              <w:rPr>
                <w:w w:val="99"/>
                <w:sz w:val="20"/>
              </w:rPr>
              <w:t>0</w:t>
            </w:r>
          </w:p>
        </w:tc>
        <w:tc>
          <w:tcPr>
            <w:tcW w:w="1575" w:type="dxa"/>
            <w:tcBorders>
              <w:bottom w:val="single" w:sz="4" w:space="0" w:color="000000"/>
            </w:tcBorders>
          </w:tcPr>
          <w:p>
            <w:pPr>
              <w:pStyle w:val="TableParagraph"/>
              <w:spacing w:line="211" w:lineRule="exact" w:before="8"/>
              <w:ind w:right="135"/>
              <w:jc w:val="right"/>
              <w:rPr>
                <w:sz w:val="20"/>
              </w:rPr>
            </w:pPr>
            <w:r>
              <w:rPr>
                <w:w w:val="99"/>
                <w:sz w:val="20"/>
              </w:rPr>
              <w:t>0</w:t>
            </w:r>
          </w:p>
        </w:tc>
        <w:tc>
          <w:tcPr>
            <w:tcW w:w="1528" w:type="dxa"/>
            <w:tcBorders>
              <w:bottom w:val="single" w:sz="4" w:space="0" w:color="000000"/>
              <w:right w:val="single" w:sz="4" w:space="0" w:color="000000"/>
            </w:tcBorders>
          </w:tcPr>
          <w:p>
            <w:pPr>
              <w:pStyle w:val="TableParagraph"/>
              <w:spacing w:line="211" w:lineRule="exact" w:before="8"/>
              <w:ind w:right="101"/>
              <w:jc w:val="right"/>
              <w:rPr>
                <w:sz w:val="20"/>
              </w:rPr>
            </w:pPr>
            <w:r>
              <w:rPr>
                <w:spacing w:val="-5"/>
                <w:sz w:val="20"/>
              </w:rPr>
              <w:t>366</w:t>
            </w:r>
          </w:p>
        </w:tc>
      </w:tr>
      <w:tr>
        <w:trPr>
          <w:trHeight w:val="253" w:hRule="atLeast"/>
        </w:trPr>
        <w:tc>
          <w:tcPr>
            <w:tcW w:w="4716" w:type="dxa"/>
            <w:tcBorders>
              <w:left w:val="single" w:sz="4" w:space="0" w:color="000000"/>
            </w:tcBorders>
          </w:tcPr>
          <w:p>
            <w:pPr>
              <w:pStyle w:val="TableParagraph"/>
              <w:spacing w:line="211" w:lineRule="exact" w:before="23"/>
              <w:ind w:left="107"/>
              <w:rPr>
                <w:b/>
                <w:sz w:val="20"/>
              </w:rPr>
            </w:pPr>
            <w:r>
              <w:rPr>
                <w:b/>
                <w:sz w:val="20"/>
              </w:rPr>
              <w:t>Total</w:t>
            </w:r>
            <w:r>
              <w:rPr>
                <w:b/>
                <w:spacing w:val="-7"/>
                <w:sz w:val="20"/>
              </w:rPr>
              <w:t> </w:t>
            </w:r>
            <w:r>
              <w:rPr>
                <w:b/>
                <w:sz w:val="20"/>
              </w:rPr>
              <w:t>Plant</w:t>
            </w:r>
            <w:r>
              <w:rPr>
                <w:b/>
                <w:spacing w:val="-6"/>
                <w:sz w:val="20"/>
              </w:rPr>
              <w:t> </w:t>
            </w:r>
            <w:r>
              <w:rPr>
                <w:b/>
                <w:sz w:val="20"/>
              </w:rPr>
              <w:t>and</w:t>
            </w:r>
            <w:r>
              <w:rPr>
                <w:b/>
                <w:spacing w:val="-4"/>
                <w:sz w:val="20"/>
              </w:rPr>
              <w:t> </w:t>
            </w:r>
            <w:r>
              <w:rPr>
                <w:b/>
                <w:spacing w:val="-2"/>
                <w:sz w:val="20"/>
              </w:rPr>
              <w:t>Equipment</w:t>
            </w:r>
          </w:p>
        </w:tc>
        <w:tc>
          <w:tcPr>
            <w:tcW w:w="1234" w:type="dxa"/>
            <w:tcBorders>
              <w:top w:val="single" w:sz="4" w:space="0" w:color="000000"/>
              <w:bottom w:val="single" w:sz="4" w:space="0" w:color="000000"/>
            </w:tcBorders>
          </w:tcPr>
          <w:p>
            <w:pPr>
              <w:pStyle w:val="TableParagraph"/>
              <w:spacing w:line="211" w:lineRule="exact" w:before="23"/>
              <w:ind w:right="241"/>
              <w:jc w:val="right"/>
              <w:rPr>
                <w:b/>
                <w:sz w:val="20"/>
              </w:rPr>
            </w:pPr>
            <w:r>
              <w:rPr>
                <w:b/>
                <w:spacing w:val="-2"/>
                <w:sz w:val="20"/>
              </w:rPr>
              <w:t>4,553</w:t>
            </w:r>
          </w:p>
        </w:tc>
        <w:tc>
          <w:tcPr>
            <w:tcW w:w="1989" w:type="dxa"/>
            <w:tcBorders>
              <w:top w:val="single" w:sz="4" w:space="0" w:color="000000"/>
              <w:bottom w:val="single" w:sz="4" w:space="0" w:color="000000"/>
            </w:tcBorders>
          </w:tcPr>
          <w:p>
            <w:pPr>
              <w:pStyle w:val="TableParagraph"/>
              <w:tabs>
                <w:tab w:pos="859" w:val="left" w:leader="none"/>
              </w:tabs>
              <w:spacing w:line="211" w:lineRule="exact" w:before="23"/>
              <w:ind w:right="210"/>
              <w:jc w:val="right"/>
              <w:rPr>
                <w:b/>
                <w:sz w:val="20"/>
              </w:rPr>
            </w:pPr>
            <w:r>
              <w:rPr>
                <w:b/>
                <w:spacing w:val="-5"/>
                <w:sz w:val="20"/>
              </w:rPr>
              <w:t>187</w:t>
            </w:r>
            <w:r>
              <w:rPr>
                <w:b/>
                <w:sz w:val="20"/>
              </w:rPr>
              <w:tab/>
            </w:r>
            <w:r>
              <w:rPr>
                <w:b/>
                <w:spacing w:val="-2"/>
                <w:sz w:val="20"/>
              </w:rPr>
              <w:t>4,248</w:t>
            </w:r>
          </w:p>
        </w:tc>
        <w:tc>
          <w:tcPr>
            <w:tcW w:w="1134" w:type="dxa"/>
            <w:tcBorders>
              <w:top w:val="single" w:sz="4" w:space="0" w:color="000000"/>
              <w:bottom w:val="single" w:sz="4" w:space="0" w:color="000000"/>
              <w:right w:val="single" w:sz="4" w:space="0" w:color="000000"/>
            </w:tcBorders>
          </w:tcPr>
          <w:p>
            <w:pPr>
              <w:pStyle w:val="TableParagraph"/>
              <w:spacing w:line="211" w:lineRule="exact" w:before="23"/>
              <w:ind w:right="99"/>
              <w:jc w:val="right"/>
              <w:rPr>
                <w:b/>
                <w:sz w:val="20"/>
              </w:rPr>
            </w:pPr>
            <w:r>
              <w:rPr>
                <w:b/>
                <w:spacing w:val="-5"/>
                <w:sz w:val="20"/>
              </w:rPr>
              <w:t>118</w:t>
            </w:r>
          </w:p>
        </w:tc>
        <w:tc>
          <w:tcPr>
            <w:tcW w:w="1485" w:type="dxa"/>
            <w:tcBorders>
              <w:top w:val="single" w:sz="4" w:space="0" w:color="000000"/>
              <w:left w:val="single" w:sz="4" w:space="0" w:color="000000"/>
              <w:bottom w:val="single" w:sz="4" w:space="0" w:color="000000"/>
            </w:tcBorders>
          </w:tcPr>
          <w:p>
            <w:pPr>
              <w:pStyle w:val="TableParagraph"/>
              <w:spacing w:line="211" w:lineRule="exact" w:before="23"/>
              <w:ind w:right="308"/>
              <w:jc w:val="right"/>
              <w:rPr>
                <w:b/>
                <w:sz w:val="20"/>
              </w:rPr>
            </w:pPr>
            <w:r>
              <w:rPr>
                <w:b/>
                <w:spacing w:val="-2"/>
                <w:sz w:val="20"/>
              </w:rPr>
              <w:t>4,553</w:t>
            </w:r>
          </w:p>
        </w:tc>
        <w:tc>
          <w:tcPr>
            <w:tcW w:w="1085" w:type="dxa"/>
            <w:tcBorders>
              <w:top w:val="single" w:sz="4" w:space="0" w:color="000000"/>
              <w:bottom w:val="single" w:sz="4" w:space="0" w:color="000000"/>
            </w:tcBorders>
          </w:tcPr>
          <w:p>
            <w:pPr>
              <w:pStyle w:val="TableParagraph"/>
              <w:spacing w:line="211" w:lineRule="exact" w:before="23"/>
              <w:ind w:right="118"/>
              <w:jc w:val="right"/>
              <w:rPr>
                <w:b/>
                <w:sz w:val="20"/>
              </w:rPr>
            </w:pPr>
            <w:r>
              <w:rPr>
                <w:b/>
                <w:w w:val="99"/>
                <w:sz w:val="20"/>
              </w:rPr>
              <w:t>0</w:t>
            </w:r>
          </w:p>
        </w:tc>
        <w:tc>
          <w:tcPr>
            <w:tcW w:w="1575" w:type="dxa"/>
            <w:tcBorders>
              <w:top w:val="single" w:sz="4" w:space="0" w:color="000000"/>
              <w:bottom w:val="single" w:sz="4" w:space="0" w:color="000000"/>
            </w:tcBorders>
          </w:tcPr>
          <w:p>
            <w:pPr>
              <w:pStyle w:val="TableParagraph"/>
              <w:spacing w:line="211" w:lineRule="exact" w:before="23"/>
              <w:ind w:right="137"/>
              <w:jc w:val="right"/>
              <w:rPr>
                <w:b/>
                <w:sz w:val="20"/>
              </w:rPr>
            </w:pPr>
            <w:r>
              <w:rPr>
                <w:b/>
                <w:spacing w:val="-2"/>
                <w:sz w:val="20"/>
              </w:rPr>
              <w:t>1,038</w:t>
            </w:r>
          </w:p>
        </w:tc>
        <w:tc>
          <w:tcPr>
            <w:tcW w:w="1528" w:type="dxa"/>
            <w:tcBorders>
              <w:top w:val="single" w:sz="4" w:space="0" w:color="000000"/>
              <w:bottom w:val="single" w:sz="4" w:space="0" w:color="000000"/>
              <w:right w:val="single" w:sz="4" w:space="0" w:color="000000"/>
            </w:tcBorders>
          </w:tcPr>
          <w:p>
            <w:pPr>
              <w:pStyle w:val="TableParagraph"/>
              <w:spacing w:line="211" w:lineRule="exact" w:before="23"/>
              <w:ind w:right="100"/>
              <w:jc w:val="right"/>
              <w:rPr>
                <w:b/>
                <w:sz w:val="20"/>
              </w:rPr>
            </w:pPr>
            <w:r>
              <w:rPr>
                <w:b/>
                <w:spacing w:val="-2"/>
                <w:sz w:val="20"/>
              </w:rPr>
              <w:t>3,515</w:t>
            </w:r>
          </w:p>
        </w:tc>
      </w:tr>
      <w:tr>
        <w:trPr>
          <w:trHeight w:val="525" w:hRule="atLeast"/>
        </w:trPr>
        <w:tc>
          <w:tcPr>
            <w:tcW w:w="4716" w:type="dxa"/>
            <w:tcBorders>
              <w:left w:val="single" w:sz="4" w:space="0" w:color="000000"/>
            </w:tcBorders>
          </w:tcPr>
          <w:p>
            <w:pPr>
              <w:pStyle w:val="TableParagraph"/>
              <w:spacing w:before="4"/>
              <w:rPr>
                <w:b/>
                <w:sz w:val="24"/>
              </w:rPr>
            </w:pPr>
          </w:p>
          <w:p>
            <w:pPr>
              <w:pStyle w:val="TableParagraph"/>
              <w:spacing w:line="226" w:lineRule="exact"/>
              <w:ind w:left="107"/>
              <w:rPr>
                <w:b/>
                <w:sz w:val="20"/>
              </w:rPr>
            </w:pPr>
            <w:r>
              <w:rPr>
                <w:b/>
                <w:spacing w:val="-2"/>
                <w:sz w:val="20"/>
              </w:rPr>
              <w:t>Infrastructure</w:t>
            </w:r>
          </w:p>
        </w:tc>
        <w:tc>
          <w:tcPr>
            <w:tcW w:w="1234" w:type="dxa"/>
            <w:tcBorders>
              <w:top w:val="single" w:sz="4" w:space="0" w:color="000000"/>
            </w:tcBorders>
          </w:tcPr>
          <w:p>
            <w:pPr>
              <w:pStyle w:val="TableParagraph"/>
              <w:rPr>
                <w:rFonts w:ascii="Times New Roman"/>
                <w:sz w:val="18"/>
              </w:rPr>
            </w:pPr>
          </w:p>
        </w:tc>
        <w:tc>
          <w:tcPr>
            <w:tcW w:w="1989" w:type="dxa"/>
            <w:tcBorders>
              <w:top w:val="single" w:sz="4" w:space="0" w:color="000000"/>
            </w:tcBorders>
          </w:tcPr>
          <w:p>
            <w:pPr>
              <w:pStyle w:val="TableParagraph"/>
              <w:rPr>
                <w:rFonts w:ascii="Times New Roman"/>
                <w:sz w:val="18"/>
              </w:rPr>
            </w:pPr>
          </w:p>
        </w:tc>
        <w:tc>
          <w:tcPr>
            <w:tcW w:w="1134" w:type="dxa"/>
            <w:tcBorders>
              <w:top w:val="single" w:sz="4" w:space="0" w:color="000000"/>
              <w:right w:val="single" w:sz="4" w:space="0" w:color="000000"/>
            </w:tcBorders>
          </w:tcPr>
          <w:p>
            <w:pPr>
              <w:pStyle w:val="TableParagraph"/>
              <w:rPr>
                <w:rFonts w:ascii="Times New Roman"/>
                <w:sz w:val="18"/>
              </w:rPr>
            </w:pPr>
          </w:p>
        </w:tc>
        <w:tc>
          <w:tcPr>
            <w:tcW w:w="1485" w:type="dxa"/>
            <w:tcBorders>
              <w:top w:val="single" w:sz="4" w:space="0" w:color="000000"/>
              <w:left w:val="single" w:sz="4" w:space="0" w:color="000000"/>
            </w:tcBorders>
          </w:tcPr>
          <w:p>
            <w:pPr>
              <w:pStyle w:val="TableParagraph"/>
              <w:rPr>
                <w:rFonts w:ascii="Times New Roman"/>
                <w:sz w:val="18"/>
              </w:rPr>
            </w:pPr>
          </w:p>
        </w:tc>
        <w:tc>
          <w:tcPr>
            <w:tcW w:w="1085" w:type="dxa"/>
            <w:tcBorders>
              <w:top w:val="single" w:sz="4" w:space="0" w:color="000000"/>
            </w:tcBorders>
          </w:tcPr>
          <w:p>
            <w:pPr>
              <w:pStyle w:val="TableParagraph"/>
              <w:rPr>
                <w:rFonts w:ascii="Times New Roman"/>
                <w:sz w:val="18"/>
              </w:rPr>
            </w:pPr>
          </w:p>
        </w:tc>
        <w:tc>
          <w:tcPr>
            <w:tcW w:w="1575" w:type="dxa"/>
            <w:tcBorders>
              <w:top w:val="single" w:sz="4" w:space="0" w:color="000000"/>
            </w:tcBorders>
          </w:tcPr>
          <w:p>
            <w:pPr>
              <w:pStyle w:val="TableParagraph"/>
              <w:rPr>
                <w:rFonts w:ascii="Times New Roman"/>
                <w:sz w:val="18"/>
              </w:rPr>
            </w:pPr>
          </w:p>
        </w:tc>
        <w:tc>
          <w:tcPr>
            <w:tcW w:w="1528" w:type="dxa"/>
            <w:tcBorders>
              <w:top w:val="single" w:sz="4" w:space="0" w:color="000000"/>
              <w:right w:val="single" w:sz="4" w:space="0" w:color="000000"/>
            </w:tcBorders>
          </w:tcPr>
          <w:p>
            <w:pPr>
              <w:pStyle w:val="TableParagraph"/>
              <w:rPr>
                <w:rFonts w:ascii="Times New Roman"/>
                <w:sz w:val="18"/>
              </w:rPr>
            </w:pPr>
          </w:p>
        </w:tc>
      </w:tr>
      <w:tr>
        <w:trPr>
          <w:trHeight w:val="255" w:hRule="atLeast"/>
        </w:trPr>
        <w:tc>
          <w:tcPr>
            <w:tcW w:w="4716" w:type="dxa"/>
            <w:tcBorders>
              <w:left w:val="single" w:sz="4" w:space="0" w:color="000000"/>
            </w:tcBorders>
          </w:tcPr>
          <w:p>
            <w:pPr>
              <w:pStyle w:val="TableParagraph"/>
              <w:spacing w:line="227" w:lineRule="exact" w:before="8"/>
              <w:ind w:left="107"/>
              <w:rPr>
                <w:sz w:val="20"/>
              </w:rPr>
            </w:pPr>
            <w:r>
              <w:rPr>
                <w:spacing w:val="-2"/>
                <w:sz w:val="20"/>
              </w:rPr>
              <w:t>Roads</w:t>
            </w:r>
          </w:p>
        </w:tc>
        <w:tc>
          <w:tcPr>
            <w:tcW w:w="1234" w:type="dxa"/>
          </w:tcPr>
          <w:p>
            <w:pPr>
              <w:pStyle w:val="TableParagraph"/>
              <w:spacing w:line="227" w:lineRule="exact" w:before="8"/>
              <w:ind w:right="239"/>
              <w:jc w:val="right"/>
              <w:rPr>
                <w:sz w:val="20"/>
              </w:rPr>
            </w:pPr>
            <w:r>
              <w:rPr>
                <w:spacing w:val="-2"/>
                <w:sz w:val="20"/>
              </w:rPr>
              <w:t>4,696</w:t>
            </w:r>
          </w:p>
        </w:tc>
        <w:tc>
          <w:tcPr>
            <w:tcW w:w="1989" w:type="dxa"/>
          </w:tcPr>
          <w:p>
            <w:pPr>
              <w:pStyle w:val="TableParagraph"/>
              <w:tabs>
                <w:tab w:pos="635" w:val="left" w:leader="none"/>
              </w:tabs>
              <w:spacing w:line="227" w:lineRule="exact" w:before="8"/>
              <w:ind w:right="210"/>
              <w:jc w:val="right"/>
              <w:rPr>
                <w:sz w:val="20"/>
              </w:rPr>
            </w:pPr>
            <w:r>
              <w:rPr>
                <w:spacing w:val="-10"/>
                <w:sz w:val="20"/>
              </w:rPr>
              <w:t>0</w:t>
            </w:r>
            <w:r>
              <w:rPr>
                <w:sz w:val="20"/>
              </w:rPr>
              <w:tab/>
            </w:r>
            <w:r>
              <w:rPr>
                <w:spacing w:val="-2"/>
                <w:sz w:val="20"/>
              </w:rPr>
              <w:t>4,469</w:t>
            </w:r>
          </w:p>
        </w:tc>
        <w:tc>
          <w:tcPr>
            <w:tcW w:w="1134" w:type="dxa"/>
            <w:tcBorders>
              <w:right w:val="single" w:sz="4" w:space="0" w:color="000000"/>
            </w:tcBorders>
          </w:tcPr>
          <w:p>
            <w:pPr>
              <w:pStyle w:val="TableParagraph"/>
              <w:spacing w:line="227" w:lineRule="exact" w:before="8"/>
              <w:ind w:right="99"/>
              <w:jc w:val="right"/>
              <w:rPr>
                <w:sz w:val="20"/>
              </w:rPr>
            </w:pPr>
            <w:r>
              <w:rPr>
                <w:spacing w:val="-5"/>
                <w:sz w:val="20"/>
              </w:rPr>
              <w:t>227</w:t>
            </w:r>
          </w:p>
        </w:tc>
        <w:tc>
          <w:tcPr>
            <w:tcW w:w="1485" w:type="dxa"/>
            <w:tcBorders>
              <w:left w:val="single" w:sz="4" w:space="0" w:color="000000"/>
            </w:tcBorders>
          </w:tcPr>
          <w:p>
            <w:pPr>
              <w:pStyle w:val="TableParagraph"/>
              <w:spacing w:line="227" w:lineRule="exact" w:before="8"/>
              <w:ind w:right="308"/>
              <w:jc w:val="right"/>
              <w:rPr>
                <w:sz w:val="20"/>
              </w:rPr>
            </w:pPr>
            <w:r>
              <w:rPr>
                <w:spacing w:val="-2"/>
                <w:sz w:val="20"/>
              </w:rPr>
              <w:t>4,696</w:t>
            </w:r>
          </w:p>
        </w:tc>
        <w:tc>
          <w:tcPr>
            <w:tcW w:w="1085" w:type="dxa"/>
          </w:tcPr>
          <w:p>
            <w:pPr>
              <w:pStyle w:val="TableParagraph"/>
              <w:spacing w:line="227" w:lineRule="exact" w:before="8"/>
              <w:ind w:right="121"/>
              <w:jc w:val="right"/>
              <w:rPr>
                <w:sz w:val="20"/>
              </w:rPr>
            </w:pPr>
            <w:r>
              <w:rPr>
                <w:spacing w:val="-5"/>
                <w:sz w:val="20"/>
              </w:rPr>
              <w:t>508</w:t>
            </w:r>
          </w:p>
        </w:tc>
        <w:tc>
          <w:tcPr>
            <w:tcW w:w="1575" w:type="dxa"/>
          </w:tcPr>
          <w:p>
            <w:pPr>
              <w:pStyle w:val="TableParagraph"/>
              <w:spacing w:line="227" w:lineRule="exact" w:before="8"/>
              <w:ind w:right="135"/>
              <w:jc w:val="right"/>
              <w:rPr>
                <w:sz w:val="20"/>
              </w:rPr>
            </w:pPr>
            <w:r>
              <w:rPr>
                <w:w w:val="99"/>
                <w:sz w:val="20"/>
              </w:rPr>
              <w:t>0</w:t>
            </w:r>
          </w:p>
        </w:tc>
        <w:tc>
          <w:tcPr>
            <w:tcW w:w="1528" w:type="dxa"/>
            <w:tcBorders>
              <w:right w:val="single" w:sz="4" w:space="0" w:color="000000"/>
            </w:tcBorders>
          </w:tcPr>
          <w:p>
            <w:pPr>
              <w:pStyle w:val="TableParagraph"/>
              <w:spacing w:line="227" w:lineRule="exact" w:before="8"/>
              <w:ind w:right="100"/>
              <w:jc w:val="right"/>
              <w:rPr>
                <w:sz w:val="20"/>
              </w:rPr>
            </w:pPr>
            <w:r>
              <w:rPr>
                <w:spacing w:val="-2"/>
                <w:sz w:val="20"/>
              </w:rPr>
              <w:t>4,188</w:t>
            </w:r>
          </w:p>
        </w:tc>
      </w:tr>
      <w:tr>
        <w:trPr>
          <w:trHeight w:val="255" w:hRule="atLeast"/>
        </w:trPr>
        <w:tc>
          <w:tcPr>
            <w:tcW w:w="4716" w:type="dxa"/>
            <w:tcBorders>
              <w:left w:val="single" w:sz="4" w:space="0" w:color="000000"/>
            </w:tcBorders>
          </w:tcPr>
          <w:p>
            <w:pPr>
              <w:pStyle w:val="TableParagraph"/>
              <w:spacing w:line="226" w:lineRule="exact" w:before="10"/>
              <w:ind w:left="107"/>
              <w:rPr>
                <w:sz w:val="20"/>
              </w:rPr>
            </w:pPr>
            <w:r>
              <w:rPr>
                <w:sz w:val="20"/>
              </w:rPr>
              <w:t>Footpaths</w:t>
            </w:r>
            <w:r>
              <w:rPr>
                <w:spacing w:val="-7"/>
                <w:sz w:val="20"/>
              </w:rPr>
              <w:t> </w:t>
            </w:r>
            <w:r>
              <w:rPr>
                <w:sz w:val="20"/>
              </w:rPr>
              <w:t>and</w:t>
            </w:r>
            <w:r>
              <w:rPr>
                <w:spacing w:val="-9"/>
                <w:sz w:val="20"/>
              </w:rPr>
              <w:t> </w:t>
            </w:r>
            <w:r>
              <w:rPr>
                <w:spacing w:val="-2"/>
                <w:sz w:val="20"/>
              </w:rPr>
              <w:t>cycleways</w:t>
            </w:r>
          </w:p>
        </w:tc>
        <w:tc>
          <w:tcPr>
            <w:tcW w:w="1234" w:type="dxa"/>
          </w:tcPr>
          <w:p>
            <w:pPr>
              <w:pStyle w:val="TableParagraph"/>
              <w:spacing w:line="226" w:lineRule="exact" w:before="10"/>
              <w:ind w:right="240"/>
              <w:jc w:val="right"/>
              <w:rPr>
                <w:sz w:val="20"/>
              </w:rPr>
            </w:pPr>
            <w:r>
              <w:rPr>
                <w:spacing w:val="-2"/>
                <w:sz w:val="20"/>
              </w:rPr>
              <w:t>3,685</w:t>
            </w:r>
          </w:p>
        </w:tc>
        <w:tc>
          <w:tcPr>
            <w:tcW w:w="1989" w:type="dxa"/>
          </w:tcPr>
          <w:p>
            <w:pPr>
              <w:pStyle w:val="TableParagraph"/>
              <w:tabs>
                <w:tab w:pos="1027" w:val="left" w:leader="none"/>
              </w:tabs>
              <w:spacing w:line="226" w:lineRule="exact" w:before="10"/>
              <w:ind w:right="210"/>
              <w:jc w:val="right"/>
              <w:rPr>
                <w:sz w:val="20"/>
              </w:rPr>
            </w:pPr>
            <w:r>
              <w:rPr>
                <w:spacing w:val="-2"/>
                <w:sz w:val="20"/>
              </w:rPr>
              <w:t>1,573</w:t>
            </w:r>
            <w:r>
              <w:rPr>
                <w:sz w:val="20"/>
              </w:rPr>
              <w:tab/>
            </w:r>
            <w:r>
              <w:rPr>
                <w:spacing w:val="-4"/>
                <w:sz w:val="20"/>
              </w:rPr>
              <w:t>1,838</w:t>
            </w:r>
          </w:p>
        </w:tc>
        <w:tc>
          <w:tcPr>
            <w:tcW w:w="1134" w:type="dxa"/>
            <w:tcBorders>
              <w:right w:val="single" w:sz="4" w:space="0" w:color="000000"/>
            </w:tcBorders>
          </w:tcPr>
          <w:p>
            <w:pPr>
              <w:pStyle w:val="TableParagraph"/>
              <w:spacing w:line="226" w:lineRule="exact" w:before="10"/>
              <w:ind w:right="99"/>
              <w:jc w:val="right"/>
              <w:rPr>
                <w:sz w:val="20"/>
              </w:rPr>
            </w:pPr>
            <w:r>
              <w:rPr>
                <w:spacing w:val="-5"/>
                <w:sz w:val="20"/>
              </w:rPr>
              <w:t>274</w:t>
            </w:r>
          </w:p>
        </w:tc>
        <w:tc>
          <w:tcPr>
            <w:tcW w:w="1485" w:type="dxa"/>
            <w:tcBorders>
              <w:left w:val="single" w:sz="4" w:space="0" w:color="000000"/>
            </w:tcBorders>
          </w:tcPr>
          <w:p>
            <w:pPr>
              <w:pStyle w:val="TableParagraph"/>
              <w:spacing w:line="226" w:lineRule="exact" w:before="10"/>
              <w:ind w:right="308"/>
              <w:jc w:val="right"/>
              <w:rPr>
                <w:sz w:val="20"/>
              </w:rPr>
            </w:pPr>
            <w:r>
              <w:rPr>
                <w:spacing w:val="-2"/>
                <w:sz w:val="20"/>
              </w:rPr>
              <w:t>3,685</w:t>
            </w:r>
          </w:p>
        </w:tc>
        <w:tc>
          <w:tcPr>
            <w:tcW w:w="1085" w:type="dxa"/>
          </w:tcPr>
          <w:p>
            <w:pPr>
              <w:pStyle w:val="TableParagraph"/>
              <w:spacing w:line="226" w:lineRule="exact" w:before="10"/>
              <w:ind w:right="118"/>
              <w:jc w:val="right"/>
              <w:rPr>
                <w:sz w:val="20"/>
              </w:rPr>
            </w:pPr>
            <w:r>
              <w:rPr>
                <w:w w:val="99"/>
                <w:sz w:val="20"/>
              </w:rPr>
              <w:t>0</w:t>
            </w:r>
          </w:p>
        </w:tc>
        <w:tc>
          <w:tcPr>
            <w:tcW w:w="1575" w:type="dxa"/>
          </w:tcPr>
          <w:p>
            <w:pPr>
              <w:pStyle w:val="TableParagraph"/>
              <w:spacing w:line="226" w:lineRule="exact" w:before="10"/>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10"/>
              <w:ind w:right="100"/>
              <w:jc w:val="right"/>
              <w:rPr>
                <w:sz w:val="20"/>
              </w:rPr>
            </w:pPr>
            <w:r>
              <w:rPr>
                <w:spacing w:val="-2"/>
                <w:sz w:val="20"/>
              </w:rPr>
              <w:t>3,685</w:t>
            </w:r>
          </w:p>
        </w:tc>
      </w:tr>
      <w:tr>
        <w:trPr>
          <w:trHeight w:val="254" w:hRule="atLeast"/>
        </w:trPr>
        <w:tc>
          <w:tcPr>
            <w:tcW w:w="4716" w:type="dxa"/>
            <w:tcBorders>
              <w:left w:val="single" w:sz="4" w:space="0" w:color="000000"/>
            </w:tcBorders>
          </w:tcPr>
          <w:p>
            <w:pPr>
              <w:pStyle w:val="TableParagraph"/>
              <w:spacing w:line="226" w:lineRule="exact" w:before="8"/>
              <w:ind w:left="107"/>
              <w:rPr>
                <w:sz w:val="20"/>
              </w:rPr>
            </w:pPr>
            <w:r>
              <w:rPr>
                <w:spacing w:val="-2"/>
                <w:sz w:val="20"/>
              </w:rPr>
              <w:t>Drainage</w:t>
            </w:r>
          </w:p>
        </w:tc>
        <w:tc>
          <w:tcPr>
            <w:tcW w:w="1234" w:type="dxa"/>
          </w:tcPr>
          <w:p>
            <w:pPr>
              <w:pStyle w:val="TableParagraph"/>
              <w:spacing w:line="226" w:lineRule="exact" w:before="8"/>
              <w:ind w:right="240"/>
              <w:jc w:val="right"/>
              <w:rPr>
                <w:sz w:val="20"/>
              </w:rPr>
            </w:pPr>
            <w:r>
              <w:rPr>
                <w:spacing w:val="-2"/>
                <w:sz w:val="20"/>
              </w:rPr>
              <w:t>4,500</w:t>
            </w:r>
          </w:p>
        </w:tc>
        <w:tc>
          <w:tcPr>
            <w:tcW w:w="1989" w:type="dxa"/>
          </w:tcPr>
          <w:p>
            <w:pPr>
              <w:pStyle w:val="TableParagraph"/>
              <w:tabs>
                <w:tab w:pos="635" w:val="left" w:leader="none"/>
              </w:tabs>
              <w:spacing w:line="226" w:lineRule="exact" w:before="8"/>
              <w:ind w:right="210"/>
              <w:jc w:val="right"/>
              <w:rPr>
                <w:sz w:val="20"/>
              </w:rPr>
            </w:pPr>
            <w:r>
              <w:rPr>
                <w:spacing w:val="-10"/>
                <w:sz w:val="20"/>
              </w:rPr>
              <w:t>0</w:t>
            </w:r>
            <w:r>
              <w:rPr>
                <w:sz w:val="20"/>
              </w:rPr>
              <w:tab/>
            </w:r>
            <w:r>
              <w:rPr>
                <w:spacing w:val="-2"/>
                <w:sz w:val="20"/>
              </w:rPr>
              <w:t>3,776</w:t>
            </w:r>
          </w:p>
        </w:tc>
        <w:tc>
          <w:tcPr>
            <w:tcW w:w="1134" w:type="dxa"/>
            <w:tcBorders>
              <w:right w:val="single" w:sz="4" w:space="0" w:color="000000"/>
            </w:tcBorders>
          </w:tcPr>
          <w:p>
            <w:pPr>
              <w:pStyle w:val="TableParagraph"/>
              <w:spacing w:line="226" w:lineRule="exact" w:before="8"/>
              <w:ind w:right="99"/>
              <w:jc w:val="right"/>
              <w:rPr>
                <w:sz w:val="20"/>
              </w:rPr>
            </w:pPr>
            <w:r>
              <w:rPr>
                <w:spacing w:val="-5"/>
                <w:sz w:val="20"/>
              </w:rPr>
              <w:t>724</w:t>
            </w:r>
          </w:p>
        </w:tc>
        <w:tc>
          <w:tcPr>
            <w:tcW w:w="1485" w:type="dxa"/>
            <w:tcBorders>
              <w:left w:val="single" w:sz="4" w:space="0" w:color="000000"/>
            </w:tcBorders>
          </w:tcPr>
          <w:p>
            <w:pPr>
              <w:pStyle w:val="TableParagraph"/>
              <w:spacing w:line="226" w:lineRule="exact" w:before="8"/>
              <w:ind w:right="308"/>
              <w:jc w:val="right"/>
              <w:rPr>
                <w:sz w:val="20"/>
              </w:rPr>
            </w:pPr>
            <w:r>
              <w:rPr>
                <w:spacing w:val="-2"/>
                <w:sz w:val="20"/>
              </w:rPr>
              <w:t>4,500</w:t>
            </w:r>
          </w:p>
        </w:tc>
        <w:tc>
          <w:tcPr>
            <w:tcW w:w="1085" w:type="dxa"/>
          </w:tcPr>
          <w:p>
            <w:pPr>
              <w:pStyle w:val="TableParagraph"/>
              <w:spacing w:line="226" w:lineRule="exact" w:before="8"/>
              <w:ind w:right="118"/>
              <w:jc w:val="right"/>
              <w:rPr>
                <w:sz w:val="20"/>
              </w:rPr>
            </w:pPr>
            <w:r>
              <w:rPr>
                <w:w w:val="99"/>
                <w:sz w:val="20"/>
              </w:rPr>
              <w:t>0</w:t>
            </w:r>
          </w:p>
        </w:tc>
        <w:tc>
          <w:tcPr>
            <w:tcW w:w="1575" w:type="dxa"/>
          </w:tcPr>
          <w:p>
            <w:pPr>
              <w:pStyle w:val="TableParagraph"/>
              <w:spacing w:line="226" w:lineRule="exact" w:before="8"/>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8"/>
              <w:ind w:right="100"/>
              <w:jc w:val="right"/>
              <w:rPr>
                <w:sz w:val="20"/>
              </w:rPr>
            </w:pPr>
            <w:r>
              <w:rPr>
                <w:spacing w:val="-2"/>
                <w:sz w:val="20"/>
              </w:rPr>
              <w:t>4,500</w:t>
            </w:r>
          </w:p>
        </w:tc>
      </w:tr>
      <w:tr>
        <w:trPr>
          <w:trHeight w:val="254" w:hRule="atLeast"/>
        </w:trPr>
        <w:tc>
          <w:tcPr>
            <w:tcW w:w="4716" w:type="dxa"/>
            <w:tcBorders>
              <w:left w:val="single" w:sz="4" w:space="0" w:color="000000"/>
            </w:tcBorders>
          </w:tcPr>
          <w:p>
            <w:pPr>
              <w:pStyle w:val="TableParagraph"/>
              <w:spacing w:line="226" w:lineRule="exact" w:before="8"/>
              <w:ind w:left="107"/>
              <w:rPr>
                <w:sz w:val="20"/>
              </w:rPr>
            </w:pPr>
            <w:r>
              <w:rPr>
                <w:sz w:val="20"/>
              </w:rPr>
              <w:t>Recreational,</w:t>
            </w:r>
            <w:r>
              <w:rPr>
                <w:spacing w:val="-7"/>
                <w:sz w:val="20"/>
              </w:rPr>
              <w:t> </w:t>
            </w:r>
            <w:r>
              <w:rPr>
                <w:sz w:val="20"/>
              </w:rPr>
              <w:t>leisure</w:t>
            </w:r>
            <w:r>
              <w:rPr>
                <w:spacing w:val="-9"/>
                <w:sz w:val="20"/>
              </w:rPr>
              <w:t> </w:t>
            </w:r>
            <w:r>
              <w:rPr>
                <w:sz w:val="20"/>
              </w:rPr>
              <w:t>and</w:t>
            </w:r>
            <w:r>
              <w:rPr>
                <w:spacing w:val="-9"/>
                <w:sz w:val="20"/>
              </w:rPr>
              <w:t> </w:t>
            </w:r>
            <w:r>
              <w:rPr>
                <w:sz w:val="20"/>
              </w:rPr>
              <w:t>community</w:t>
            </w:r>
            <w:r>
              <w:rPr>
                <w:spacing w:val="-8"/>
                <w:sz w:val="20"/>
              </w:rPr>
              <w:t> </w:t>
            </w:r>
            <w:r>
              <w:rPr>
                <w:spacing w:val="-2"/>
                <w:sz w:val="20"/>
              </w:rPr>
              <w:t>facilities</w:t>
            </w:r>
          </w:p>
        </w:tc>
        <w:tc>
          <w:tcPr>
            <w:tcW w:w="1234" w:type="dxa"/>
          </w:tcPr>
          <w:p>
            <w:pPr>
              <w:pStyle w:val="TableParagraph"/>
              <w:spacing w:line="226" w:lineRule="exact" w:before="8"/>
              <w:ind w:right="240"/>
              <w:jc w:val="right"/>
              <w:rPr>
                <w:sz w:val="20"/>
              </w:rPr>
            </w:pPr>
            <w:r>
              <w:rPr>
                <w:spacing w:val="-2"/>
                <w:sz w:val="20"/>
              </w:rPr>
              <w:t>2,066</w:t>
            </w:r>
          </w:p>
        </w:tc>
        <w:tc>
          <w:tcPr>
            <w:tcW w:w="1989" w:type="dxa"/>
          </w:tcPr>
          <w:p>
            <w:pPr>
              <w:pStyle w:val="TableParagraph"/>
              <w:tabs>
                <w:tab w:pos="635" w:val="left" w:leader="none"/>
              </w:tabs>
              <w:spacing w:line="226" w:lineRule="exact" w:before="8"/>
              <w:ind w:right="210"/>
              <w:jc w:val="right"/>
              <w:rPr>
                <w:sz w:val="20"/>
              </w:rPr>
            </w:pPr>
            <w:r>
              <w:rPr>
                <w:spacing w:val="-10"/>
                <w:sz w:val="20"/>
              </w:rPr>
              <w:t>0</w:t>
            </w:r>
            <w:r>
              <w:rPr>
                <w:sz w:val="20"/>
              </w:rPr>
              <w:tab/>
            </w:r>
            <w:r>
              <w:rPr>
                <w:spacing w:val="-2"/>
                <w:sz w:val="20"/>
              </w:rPr>
              <w:t>1,799</w:t>
            </w:r>
          </w:p>
        </w:tc>
        <w:tc>
          <w:tcPr>
            <w:tcW w:w="1134" w:type="dxa"/>
            <w:tcBorders>
              <w:right w:val="single" w:sz="4" w:space="0" w:color="000000"/>
            </w:tcBorders>
          </w:tcPr>
          <w:p>
            <w:pPr>
              <w:pStyle w:val="TableParagraph"/>
              <w:spacing w:line="226" w:lineRule="exact" w:before="8"/>
              <w:ind w:right="99"/>
              <w:jc w:val="right"/>
              <w:rPr>
                <w:sz w:val="20"/>
              </w:rPr>
            </w:pPr>
            <w:r>
              <w:rPr>
                <w:spacing w:val="-5"/>
                <w:sz w:val="20"/>
              </w:rPr>
              <w:t>267</w:t>
            </w:r>
          </w:p>
        </w:tc>
        <w:tc>
          <w:tcPr>
            <w:tcW w:w="1485" w:type="dxa"/>
            <w:tcBorders>
              <w:left w:val="single" w:sz="4" w:space="0" w:color="000000"/>
            </w:tcBorders>
          </w:tcPr>
          <w:p>
            <w:pPr>
              <w:pStyle w:val="TableParagraph"/>
              <w:spacing w:line="226" w:lineRule="exact" w:before="8"/>
              <w:ind w:right="308"/>
              <w:jc w:val="right"/>
              <w:rPr>
                <w:sz w:val="20"/>
              </w:rPr>
            </w:pPr>
            <w:r>
              <w:rPr>
                <w:spacing w:val="-2"/>
                <w:sz w:val="20"/>
              </w:rPr>
              <w:t>2,066</w:t>
            </w:r>
          </w:p>
        </w:tc>
        <w:tc>
          <w:tcPr>
            <w:tcW w:w="1085" w:type="dxa"/>
          </w:tcPr>
          <w:p>
            <w:pPr>
              <w:pStyle w:val="TableParagraph"/>
              <w:spacing w:line="226" w:lineRule="exact" w:before="8"/>
              <w:ind w:right="118"/>
              <w:jc w:val="right"/>
              <w:rPr>
                <w:sz w:val="20"/>
              </w:rPr>
            </w:pPr>
            <w:r>
              <w:rPr>
                <w:w w:val="99"/>
                <w:sz w:val="20"/>
              </w:rPr>
              <w:t>0</w:t>
            </w:r>
          </w:p>
        </w:tc>
        <w:tc>
          <w:tcPr>
            <w:tcW w:w="1575" w:type="dxa"/>
          </w:tcPr>
          <w:p>
            <w:pPr>
              <w:pStyle w:val="TableParagraph"/>
              <w:spacing w:line="226" w:lineRule="exact" w:before="8"/>
              <w:ind w:right="138"/>
              <w:jc w:val="right"/>
              <w:rPr>
                <w:sz w:val="20"/>
              </w:rPr>
            </w:pPr>
            <w:r>
              <w:rPr>
                <w:spacing w:val="-5"/>
                <w:sz w:val="20"/>
              </w:rPr>
              <w:t>36</w:t>
            </w:r>
          </w:p>
        </w:tc>
        <w:tc>
          <w:tcPr>
            <w:tcW w:w="1528" w:type="dxa"/>
            <w:tcBorders>
              <w:right w:val="single" w:sz="4" w:space="0" w:color="000000"/>
            </w:tcBorders>
          </w:tcPr>
          <w:p>
            <w:pPr>
              <w:pStyle w:val="TableParagraph"/>
              <w:spacing w:line="226" w:lineRule="exact" w:before="8"/>
              <w:ind w:right="100"/>
              <w:jc w:val="right"/>
              <w:rPr>
                <w:sz w:val="20"/>
              </w:rPr>
            </w:pPr>
            <w:r>
              <w:rPr>
                <w:spacing w:val="-2"/>
                <w:sz w:val="20"/>
              </w:rPr>
              <w:t>2,030</w:t>
            </w:r>
          </w:p>
        </w:tc>
      </w:tr>
      <w:tr>
        <w:trPr>
          <w:trHeight w:val="255" w:hRule="atLeast"/>
        </w:trPr>
        <w:tc>
          <w:tcPr>
            <w:tcW w:w="4716" w:type="dxa"/>
            <w:tcBorders>
              <w:left w:val="single" w:sz="4" w:space="0" w:color="000000"/>
            </w:tcBorders>
          </w:tcPr>
          <w:p>
            <w:pPr>
              <w:pStyle w:val="TableParagraph"/>
              <w:spacing w:line="227" w:lineRule="exact" w:before="8"/>
              <w:ind w:left="107"/>
              <w:rPr>
                <w:sz w:val="20"/>
              </w:rPr>
            </w:pPr>
            <w:r>
              <w:rPr>
                <w:sz w:val="20"/>
              </w:rPr>
              <w:t>Waste</w:t>
            </w:r>
            <w:r>
              <w:rPr>
                <w:spacing w:val="-6"/>
                <w:sz w:val="20"/>
              </w:rPr>
              <w:t> </w:t>
            </w:r>
            <w:r>
              <w:rPr>
                <w:spacing w:val="-2"/>
                <w:sz w:val="20"/>
              </w:rPr>
              <w:t>management</w:t>
            </w:r>
          </w:p>
        </w:tc>
        <w:tc>
          <w:tcPr>
            <w:tcW w:w="1234" w:type="dxa"/>
          </w:tcPr>
          <w:p>
            <w:pPr>
              <w:pStyle w:val="TableParagraph"/>
              <w:spacing w:line="227" w:lineRule="exact" w:before="8"/>
              <w:ind w:right="240"/>
              <w:jc w:val="right"/>
              <w:rPr>
                <w:sz w:val="20"/>
              </w:rPr>
            </w:pPr>
            <w:r>
              <w:rPr>
                <w:spacing w:val="-5"/>
                <w:sz w:val="20"/>
              </w:rPr>
              <w:t>550</w:t>
            </w:r>
          </w:p>
        </w:tc>
        <w:tc>
          <w:tcPr>
            <w:tcW w:w="1989" w:type="dxa"/>
          </w:tcPr>
          <w:p>
            <w:pPr>
              <w:pStyle w:val="TableParagraph"/>
              <w:tabs>
                <w:tab w:pos="1250" w:val="left" w:leader="none"/>
              </w:tabs>
              <w:spacing w:line="227" w:lineRule="exact" w:before="8"/>
              <w:ind w:right="208"/>
              <w:jc w:val="right"/>
              <w:rPr>
                <w:sz w:val="20"/>
              </w:rPr>
            </w:pPr>
            <w:r>
              <w:rPr>
                <w:spacing w:val="-5"/>
                <w:sz w:val="20"/>
              </w:rPr>
              <w:t>500</w:t>
            </w:r>
            <w:r>
              <w:rPr>
                <w:sz w:val="20"/>
              </w:rPr>
              <w:tab/>
            </w:r>
            <w:r>
              <w:rPr>
                <w:spacing w:val="-10"/>
                <w:sz w:val="20"/>
              </w:rPr>
              <w:t>0</w:t>
            </w:r>
          </w:p>
        </w:tc>
        <w:tc>
          <w:tcPr>
            <w:tcW w:w="1134" w:type="dxa"/>
            <w:tcBorders>
              <w:right w:val="single" w:sz="4" w:space="0" w:color="000000"/>
            </w:tcBorders>
          </w:tcPr>
          <w:p>
            <w:pPr>
              <w:pStyle w:val="TableParagraph"/>
              <w:spacing w:line="227" w:lineRule="exact" w:before="8"/>
              <w:ind w:right="100"/>
              <w:jc w:val="right"/>
              <w:rPr>
                <w:sz w:val="20"/>
              </w:rPr>
            </w:pPr>
            <w:r>
              <w:rPr>
                <w:spacing w:val="-5"/>
                <w:sz w:val="20"/>
              </w:rPr>
              <w:t>50</w:t>
            </w:r>
          </w:p>
        </w:tc>
        <w:tc>
          <w:tcPr>
            <w:tcW w:w="1485" w:type="dxa"/>
            <w:tcBorders>
              <w:left w:val="single" w:sz="4" w:space="0" w:color="000000"/>
            </w:tcBorders>
          </w:tcPr>
          <w:p>
            <w:pPr>
              <w:pStyle w:val="TableParagraph"/>
              <w:spacing w:line="227" w:lineRule="exact" w:before="8"/>
              <w:ind w:right="307"/>
              <w:jc w:val="right"/>
              <w:rPr>
                <w:sz w:val="20"/>
              </w:rPr>
            </w:pPr>
            <w:r>
              <w:rPr>
                <w:spacing w:val="-5"/>
                <w:sz w:val="20"/>
              </w:rPr>
              <w:t>550</w:t>
            </w:r>
          </w:p>
        </w:tc>
        <w:tc>
          <w:tcPr>
            <w:tcW w:w="1085" w:type="dxa"/>
          </w:tcPr>
          <w:p>
            <w:pPr>
              <w:pStyle w:val="TableParagraph"/>
              <w:spacing w:line="227" w:lineRule="exact" w:before="8"/>
              <w:ind w:right="121"/>
              <w:jc w:val="right"/>
              <w:rPr>
                <w:sz w:val="20"/>
              </w:rPr>
            </w:pPr>
            <w:r>
              <w:rPr>
                <w:spacing w:val="-5"/>
                <w:sz w:val="20"/>
              </w:rPr>
              <w:t>463</w:t>
            </w:r>
          </w:p>
        </w:tc>
        <w:tc>
          <w:tcPr>
            <w:tcW w:w="1575" w:type="dxa"/>
          </w:tcPr>
          <w:p>
            <w:pPr>
              <w:pStyle w:val="TableParagraph"/>
              <w:spacing w:line="227" w:lineRule="exact" w:before="8"/>
              <w:ind w:right="135"/>
              <w:jc w:val="right"/>
              <w:rPr>
                <w:sz w:val="20"/>
              </w:rPr>
            </w:pPr>
            <w:r>
              <w:rPr>
                <w:w w:val="99"/>
                <w:sz w:val="20"/>
              </w:rPr>
              <w:t>0</w:t>
            </w:r>
          </w:p>
        </w:tc>
        <w:tc>
          <w:tcPr>
            <w:tcW w:w="1528" w:type="dxa"/>
            <w:tcBorders>
              <w:right w:val="single" w:sz="4" w:space="0" w:color="000000"/>
            </w:tcBorders>
          </w:tcPr>
          <w:p>
            <w:pPr>
              <w:pStyle w:val="TableParagraph"/>
              <w:spacing w:line="227" w:lineRule="exact" w:before="8"/>
              <w:ind w:right="101"/>
              <w:jc w:val="right"/>
              <w:rPr>
                <w:sz w:val="20"/>
              </w:rPr>
            </w:pPr>
            <w:r>
              <w:rPr>
                <w:spacing w:val="-5"/>
                <w:sz w:val="20"/>
              </w:rPr>
              <w:t>87</w:t>
            </w:r>
          </w:p>
        </w:tc>
      </w:tr>
      <w:tr>
        <w:trPr>
          <w:trHeight w:val="255" w:hRule="atLeast"/>
        </w:trPr>
        <w:tc>
          <w:tcPr>
            <w:tcW w:w="4716" w:type="dxa"/>
            <w:tcBorders>
              <w:left w:val="single" w:sz="4" w:space="0" w:color="000000"/>
            </w:tcBorders>
          </w:tcPr>
          <w:p>
            <w:pPr>
              <w:pStyle w:val="TableParagraph"/>
              <w:spacing w:line="226" w:lineRule="exact" w:before="10"/>
              <w:ind w:left="107"/>
              <w:rPr>
                <w:sz w:val="20"/>
              </w:rPr>
            </w:pPr>
            <w:r>
              <w:rPr>
                <w:sz w:val="20"/>
              </w:rPr>
              <w:t>Parks,</w:t>
            </w:r>
            <w:r>
              <w:rPr>
                <w:spacing w:val="-6"/>
                <w:sz w:val="20"/>
              </w:rPr>
              <w:t> </w:t>
            </w:r>
            <w:r>
              <w:rPr>
                <w:sz w:val="20"/>
              </w:rPr>
              <w:t>open</w:t>
            </w:r>
            <w:r>
              <w:rPr>
                <w:spacing w:val="-7"/>
                <w:sz w:val="20"/>
              </w:rPr>
              <w:t> </w:t>
            </w:r>
            <w:r>
              <w:rPr>
                <w:sz w:val="20"/>
              </w:rPr>
              <w:t>space,</w:t>
            </w:r>
            <w:r>
              <w:rPr>
                <w:spacing w:val="-2"/>
                <w:sz w:val="20"/>
              </w:rPr>
              <w:t> </w:t>
            </w:r>
            <w:r>
              <w:rPr>
                <w:sz w:val="20"/>
              </w:rPr>
              <w:t>and</w:t>
            </w:r>
            <w:r>
              <w:rPr>
                <w:spacing w:val="-7"/>
                <w:sz w:val="20"/>
              </w:rPr>
              <w:t> </w:t>
            </w:r>
            <w:r>
              <w:rPr>
                <w:spacing w:val="-2"/>
                <w:sz w:val="20"/>
              </w:rPr>
              <w:t>streetscapes</w:t>
            </w:r>
          </w:p>
        </w:tc>
        <w:tc>
          <w:tcPr>
            <w:tcW w:w="1234" w:type="dxa"/>
          </w:tcPr>
          <w:p>
            <w:pPr>
              <w:pStyle w:val="TableParagraph"/>
              <w:spacing w:line="226" w:lineRule="exact" w:before="10"/>
              <w:ind w:right="240"/>
              <w:jc w:val="right"/>
              <w:rPr>
                <w:sz w:val="20"/>
              </w:rPr>
            </w:pPr>
            <w:r>
              <w:rPr>
                <w:spacing w:val="-2"/>
                <w:sz w:val="20"/>
              </w:rPr>
              <w:t>2,991</w:t>
            </w:r>
          </w:p>
        </w:tc>
        <w:tc>
          <w:tcPr>
            <w:tcW w:w="1989" w:type="dxa"/>
          </w:tcPr>
          <w:p>
            <w:pPr>
              <w:pStyle w:val="TableParagraph"/>
              <w:tabs>
                <w:tab w:pos="1027" w:val="left" w:leader="none"/>
              </w:tabs>
              <w:spacing w:line="226" w:lineRule="exact" w:before="10"/>
              <w:ind w:right="210"/>
              <w:jc w:val="right"/>
              <w:rPr>
                <w:sz w:val="20"/>
              </w:rPr>
            </w:pPr>
            <w:r>
              <w:rPr>
                <w:spacing w:val="-2"/>
                <w:sz w:val="20"/>
              </w:rPr>
              <w:t>1,070</w:t>
            </w:r>
            <w:r>
              <w:rPr>
                <w:sz w:val="20"/>
              </w:rPr>
              <w:tab/>
            </w:r>
            <w:r>
              <w:rPr>
                <w:spacing w:val="-4"/>
                <w:sz w:val="20"/>
              </w:rPr>
              <w:t>1,331</w:t>
            </w:r>
          </w:p>
        </w:tc>
        <w:tc>
          <w:tcPr>
            <w:tcW w:w="1134" w:type="dxa"/>
            <w:tcBorders>
              <w:right w:val="single" w:sz="4" w:space="0" w:color="000000"/>
            </w:tcBorders>
          </w:tcPr>
          <w:p>
            <w:pPr>
              <w:pStyle w:val="TableParagraph"/>
              <w:spacing w:line="226" w:lineRule="exact" w:before="10"/>
              <w:ind w:right="99"/>
              <w:jc w:val="right"/>
              <w:rPr>
                <w:sz w:val="20"/>
              </w:rPr>
            </w:pPr>
            <w:r>
              <w:rPr>
                <w:spacing w:val="-5"/>
                <w:sz w:val="20"/>
              </w:rPr>
              <w:t>590</w:t>
            </w:r>
          </w:p>
        </w:tc>
        <w:tc>
          <w:tcPr>
            <w:tcW w:w="1485" w:type="dxa"/>
            <w:tcBorders>
              <w:left w:val="single" w:sz="4" w:space="0" w:color="000000"/>
            </w:tcBorders>
          </w:tcPr>
          <w:p>
            <w:pPr>
              <w:pStyle w:val="TableParagraph"/>
              <w:spacing w:line="226" w:lineRule="exact" w:before="10"/>
              <w:ind w:right="308"/>
              <w:jc w:val="right"/>
              <w:rPr>
                <w:sz w:val="20"/>
              </w:rPr>
            </w:pPr>
            <w:r>
              <w:rPr>
                <w:spacing w:val="-2"/>
                <w:sz w:val="20"/>
              </w:rPr>
              <w:t>2,991</w:t>
            </w:r>
          </w:p>
        </w:tc>
        <w:tc>
          <w:tcPr>
            <w:tcW w:w="1085" w:type="dxa"/>
          </w:tcPr>
          <w:p>
            <w:pPr>
              <w:pStyle w:val="TableParagraph"/>
              <w:spacing w:line="226" w:lineRule="exact" w:before="10"/>
              <w:ind w:right="118"/>
              <w:jc w:val="right"/>
              <w:rPr>
                <w:sz w:val="20"/>
              </w:rPr>
            </w:pPr>
            <w:r>
              <w:rPr>
                <w:w w:val="99"/>
                <w:sz w:val="20"/>
              </w:rPr>
              <w:t>0</w:t>
            </w:r>
          </w:p>
        </w:tc>
        <w:tc>
          <w:tcPr>
            <w:tcW w:w="1575" w:type="dxa"/>
          </w:tcPr>
          <w:p>
            <w:pPr>
              <w:pStyle w:val="TableParagraph"/>
              <w:spacing w:line="226" w:lineRule="exact" w:before="10"/>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10"/>
              <w:ind w:right="100"/>
              <w:jc w:val="right"/>
              <w:rPr>
                <w:sz w:val="20"/>
              </w:rPr>
            </w:pPr>
            <w:r>
              <w:rPr>
                <w:spacing w:val="-2"/>
                <w:sz w:val="20"/>
              </w:rPr>
              <w:t>2,991</w:t>
            </w:r>
          </w:p>
        </w:tc>
      </w:tr>
      <w:tr>
        <w:trPr>
          <w:trHeight w:val="254" w:hRule="atLeast"/>
        </w:trPr>
        <w:tc>
          <w:tcPr>
            <w:tcW w:w="4716" w:type="dxa"/>
            <w:tcBorders>
              <w:left w:val="single" w:sz="4" w:space="0" w:color="000000"/>
            </w:tcBorders>
          </w:tcPr>
          <w:p>
            <w:pPr>
              <w:pStyle w:val="TableParagraph"/>
              <w:spacing w:line="226" w:lineRule="exact" w:before="8"/>
              <w:ind w:left="107"/>
              <w:rPr>
                <w:sz w:val="20"/>
              </w:rPr>
            </w:pPr>
            <w:r>
              <w:rPr>
                <w:sz w:val="20"/>
              </w:rPr>
              <w:t>Off</w:t>
            </w:r>
            <w:r>
              <w:rPr>
                <w:spacing w:val="-5"/>
                <w:sz w:val="20"/>
              </w:rPr>
              <w:t> </w:t>
            </w:r>
            <w:r>
              <w:rPr>
                <w:sz w:val="20"/>
              </w:rPr>
              <w:t>street</w:t>
            </w:r>
            <w:r>
              <w:rPr>
                <w:spacing w:val="-5"/>
                <w:sz w:val="20"/>
              </w:rPr>
              <w:t> </w:t>
            </w:r>
            <w:r>
              <w:rPr>
                <w:sz w:val="20"/>
              </w:rPr>
              <w:t>car</w:t>
            </w:r>
            <w:r>
              <w:rPr>
                <w:spacing w:val="-3"/>
                <w:sz w:val="20"/>
              </w:rPr>
              <w:t> </w:t>
            </w:r>
            <w:r>
              <w:rPr>
                <w:spacing w:val="-2"/>
                <w:sz w:val="20"/>
              </w:rPr>
              <w:t>parks</w:t>
            </w:r>
          </w:p>
        </w:tc>
        <w:tc>
          <w:tcPr>
            <w:tcW w:w="1234" w:type="dxa"/>
          </w:tcPr>
          <w:p>
            <w:pPr>
              <w:pStyle w:val="TableParagraph"/>
              <w:spacing w:line="226" w:lineRule="exact" w:before="8"/>
              <w:ind w:right="240"/>
              <w:jc w:val="right"/>
              <w:rPr>
                <w:sz w:val="20"/>
              </w:rPr>
            </w:pPr>
            <w:r>
              <w:rPr>
                <w:spacing w:val="-5"/>
                <w:sz w:val="20"/>
              </w:rPr>
              <w:t>530</w:t>
            </w:r>
          </w:p>
        </w:tc>
        <w:tc>
          <w:tcPr>
            <w:tcW w:w="1989" w:type="dxa"/>
          </w:tcPr>
          <w:p>
            <w:pPr>
              <w:pStyle w:val="TableParagraph"/>
              <w:tabs>
                <w:tab w:pos="803" w:val="left" w:leader="none"/>
              </w:tabs>
              <w:spacing w:line="226" w:lineRule="exact" w:before="8"/>
              <w:ind w:right="211"/>
              <w:jc w:val="right"/>
              <w:rPr>
                <w:sz w:val="20"/>
              </w:rPr>
            </w:pPr>
            <w:r>
              <w:rPr>
                <w:spacing w:val="-10"/>
                <w:sz w:val="20"/>
              </w:rPr>
              <w:t>0</w:t>
            </w:r>
            <w:r>
              <w:rPr>
                <w:sz w:val="20"/>
              </w:rPr>
              <w:tab/>
            </w:r>
            <w:r>
              <w:rPr>
                <w:spacing w:val="-5"/>
                <w:sz w:val="20"/>
              </w:rPr>
              <w:t>265</w:t>
            </w:r>
          </w:p>
        </w:tc>
        <w:tc>
          <w:tcPr>
            <w:tcW w:w="1134" w:type="dxa"/>
            <w:tcBorders>
              <w:right w:val="single" w:sz="4" w:space="0" w:color="000000"/>
            </w:tcBorders>
          </w:tcPr>
          <w:p>
            <w:pPr>
              <w:pStyle w:val="TableParagraph"/>
              <w:spacing w:line="226" w:lineRule="exact" w:before="8"/>
              <w:ind w:right="99"/>
              <w:jc w:val="right"/>
              <w:rPr>
                <w:sz w:val="20"/>
              </w:rPr>
            </w:pPr>
            <w:r>
              <w:rPr>
                <w:spacing w:val="-5"/>
                <w:sz w:val="20"/>
              </w:rPr>
              <w:t>265</w:t>
            </w:r>
          </w:p>
        </w:tc>
        <w:tc>
          <w:tcPr>
            <w:tcW w:w="1485" w:type="dxa"/>
            <w:tcBorders>
              <w:left w:val="single" w:sz="4" w:space="0" w:color="000000"/>
            </w:tcBorders>
          </w:tcPr>
          <w:p>
            <w:pPr>
              <w:pStyle w:val="TableParagraph"/>
              <w:spacing w:line="226" w:lineRule="exact" w:before="8"/>
              <w:ind w:right="307"/>
              <w:jc w:val="right"/>
              <w:rPr>
                <w:sz w:val="20"/>
              </w:rPr>
            </w:pPr>
            <w:r>
              <w:rPr>
                <w:spacing w:val="-5"/>
                <w:sz w:val="20"/>
              </w:rPr>
              <w:t>530</w:t>
            </w:r>
          </w:p>
        </w:tc>
        <w:tc>
          <w:tcPr>
            <w:tcW w:w="1085" w:type="dxa"/>
          </w:tcPr>
          <w:p>
            <w:pPr>
              <w:pStyle w:val="TableParagraph"/>
              <w:spacing w:line="226" w:lineRule="exact" w:before="8"/>
              <w:ind w:right="118"/>
              <w:jc w:val="right"/>
              <w:rPr>
                <w:sz w:val="20"/>
              </w:rPr>
            </w:pPr>
            <w:r>
              <w:rPr>
                <w:w w:val="99"/>
                <w:sz w:val="20"/>
              </w:rPr>
              <w:t>0</w:t>
            </w:r>
          </w:p>
        </w:tc>
        <w:tc>
          <w:tcPr>
            <w:tcW w:w="1575" w:type="dxa"/>
          </w:tcPr>
          <w:p>
            <w:pPr>
              <w:pStyle w:val="TableParagraph"/>
              <w:spacing w:line="226" w:lineRule="exact" w:before="8"/>
              <w:ind w:right="135"/>
              <w:jc w:val="right"/>
              <w:rPr>
                <w:sz w:val="20"/>
              </w:rPr>
            </w:pPr>
            <w:r>
              <w:rPr>
                <w:w w:val="99"/>
                <w:sz w:val="20"/>
              </w:rPr>
              <w:t>0</w:t>
            </w:r>
          </w:p>
        </w:tc>
        <w:tc>
          <w:tcPr>
            <w:tcW w:w="1528" w:type="dxa"/>
            <w:tcBorders>
              <w:right w:val="single" w:sz="4" w:space="0" w:color="000000"/>
            </w:tcBorders>
          </w:tcPr>
          <w:p>
            <w:pPr>
              <w:pStyle w:val="TableParagraph"/>
              <w:spacing w:line="226" w:lineRule="exact" w:before="8"/>
              <w:ind w:right="101"/>
              <w:jc w:val="right"/>
              <w:rPr>
                <w:sz w:val="20"/>
              </w:rPr>
            </w:pPr>
            <w:r>
              <w:rPr>
                <w:spacing w:val="-5"/>
                <w:sz w:val="20"/>
              </w:rPr>
              <w:t>530</w:t>
            </w:r>
          </w:p>
        </w:tc>
      </w:tr>
      <w:tr>
        <w:trPr>
          <w:trHeight w:val="239" w:hRule="atLeast"/>
        </w:trPr>
        <w:tc>
          <w:tcPr>
            <w:tcW w:w="4716" w:type="dxa"/>
            <w:tcBorders>
              <w:left w:val="single" w:sz="4" w:space="0" w:color="000000"/>
            </w:tcBorders>
          </w:tcPr>
          <w:p>
            <w:pPr>
              <w:pStyle w:val="TableParagraph"/>
              <w:spacing w:line="211" w:lineRule="exact" w:before="8"/>
              <w:ind w:left="107"/>
              <w:rPr>
                <w:sz w:val="20"/>
              </w:rPr>
            </w:pPr>
            <w:r>
              <w:rPr>
                <w:sz w:val="20"/>
              </w:rPr>
              <w:t>Other</w:t>
            </w:r>
            <w:r>
              <w:rPr>
                <w:spacing w:val="-6"/>
                <w:sz w:val="20"/>
              </w:rPr>
              <w:t> </w:t>
            </w:r>
            <w:r>
              <w:rPr>
                <w:spacing w:val="-2"/>
                <w:sz w:val="20"/>
              </w:rPr>
              <w:t>infrastructure</w:t>
            </w:r>
          </w:p>
        </w:tc>
        <w:tc>
          <w:tcPr>
            <w:tcW w:w="1234" w:type="dxa"/>
            <w:tcBorders>
              <w:bottom w:val="single" w:sz="4" w:space="0" w:color="000000"/>
            </w:tcBorders>
          </w:tcPr>
          <w:p>
            <w:pPr>
              <w:pStyle w:val="TableParagraph"/>
              <w:spacing w:line="211" w:lineRule="exact" w:before="8"/>
              <w:ind w:right="240"/>
              <w:jc w:val="right"/>
              <w:rPr>
                <w:sz w:val="20"/>
              </w:rPr>
            </w:pPr>
            <w:r>
              <w:rPr>
                <w:spacing w:val="-2"/>
                <w:sz w:val="20"/>
              </w:rPr>
              <w:t>1,245</w:t>
            </w:r>
          </w:p>
        </w:tc>
        <w:tc>
          <w:tcPr>
            <w:tcW w:w="1989" w:type="dxa"/>
            <w:tcBorders>
              <w:bottom w:val="single" w:sz="4" w:space="0" w:color="000000"/>
            </w:tcBorders>
          </w:tcPr>
          <w:p>
            <w:pPr>
              <w:pStyle w:val="TableParagraph"/>
              <w:tabs>
                <w:tab w:pos="1027" w:val="left" w:leader="none"/>
              </w:tabs>
              <w:spacing w:line="211" w:lineRule="exact" w:before="8"/>
              <w:ind w:right="211"/>
              <w:jc w:val="right"/>
              <w:rPr>
                <w:sz w:val="20"/>
              </w:rPr>
            </w:pPr>
            <w:r>
              <w:rPr>
                <w:spacing w:val="-5"/>
                <w:sz w:val="20"/>
              </w:rPr>
              <w:t>170</w:t>
            </w:r>
            <w:r>
              <w:rPr>
                <w:sz w:val="20"/>
              </w:rPr>
              <w:tab/>
            </w:r>
            <w:r>
              <w:rPr>
                <w:spacing w:val="-5"/>
                <w:sz w:val="20"/>
              </w:rPr>
              <w:t>275</w:t>
            </w:r>
          </w:p>
        </w:tc>
        <w:tc>
          <w:tcPr>
            <w:tcW w:w="1134" w:type="dxa"/>
            <w:tcBorders>
              <w:bottom w:val="single" w:sz="4" w:space="0" w:color="000000"/>
              <w:right w:val="single" w:sz="4" w:space="0" w:color="000000"/>
            </w:tcBorders>
          </w:tcPr>
          <w:p>
            <w:pPr>
              <w:pStyle w:val="TableParagraph"/>
              <w:spacing w:line="211" w:lineRule="exact" w:before="8"/>
              <w:ind w:right="99"/>
              <w:jc w:val="right"/>
              <w:rPr>
                <w:sz w:val="20"/>
              </w:rPr>
            </w:pPr>
            <w:r>
              <w:rPr>
                <w:spacing w:val="-5"/>
                <w:sz w:val="20"/>
              </w:rPr>
              <w:t>800</w:t>
            </w:r>
          </w:p>
        </w:tc>
        <w:tc>
          <w:tcPr>
            <w:tcW w:w="1485" w:type="dxa"/>
            <w:tcBorders>
              <w:left w:val="single" w:sz="4" w:space="0" w:color="000000"/>
              <w:bottom w:val="single" w:sz="4" w:space="0" w:color="000000"/>
            </w:tcBorders>
          </w:tcPr>
          <w:p>
            <w:pPr>
              <w:pStyle w:val="TableParagraph"/>
              <w:spacing w:line="211" w:lineRule="exact" w:before="8"/>
              <w:ind w:right="308"/>
              <w:jc w:val="right"/>
              <w:rPr>
                <w:sz w:val="20"/>
              </w:rPr>
            </w:pPr>
            <w:r>
              <w:rPr>
                <w:spacing w:val="-2"/>
                <w:sz w:val="20"/>
              </w:rPr>
              <w:t>1,245</w:t>
            </w:r>
          </w:p>
        </w:tc>
        <w:tc>
          <w:tcPr>
            <w:tcW w:w="1085" w:type="dxa"/>
            <w:tcBorders>
              <w:bottom w:val="single" w:sz="4" w:space="0" w:color="000000"/>
            </w:tcBorders>
          </w:tcPr>
          <w:p>
            <w:pPr>
              <w:pStyle w:val="TableParagraph"/>
              <w:spacing w:line="211" w:lineRule="exact" w:before="8"/>
              <w:ind w:right="118"/>
              <w:jc w:val="right"/>
              <w:rPr>
                <w:sz w:val="20"/>
              </w:rPr>
            </w:pPr>
            <w:r>
              <w:rPr>
                <w:w w:val="99"/>
                <w:sz w:val="20"/>
              </w:rPr>
              <w:t>0</w:t>
            </w:r>
          </w:p>
        </w:tc>
        <w:tc>
          <w:tcPr>
            <w:tcW w:w="1575" w:type="dxa"/>
            <w:tcBorders>
              <w:bottom w:val="single" w:sz="4" w:space="0" w:color="000000"/>
            </w:tcBorders>
          </w:tcPr>
          <w:p>
            <w:pPr>
              <w:pStyle w:val="TableParagraph"/>
              <w:spacing w:line="211" w:lineRule="exact" w:before="8"/>
              <w:ind w:right="135"/>
              <w:jc w:val="right"/>
              <w:rPr>
                <w:sz w:val="20"/>
              </w:rPr>
            </w:pPr>
            <w:r>
              <w:rPr>
                <w:w w:val="99"/>
                <w:sz w:val="20"/>
              </w:rPr>
              <w:t>0</w:t>
            </w:r>
          </w:p>
        </w:tc>
        <w:tc>
          <w:tcPr>
            <w:tcW w:w="1528" w:type="dxa"/>
            <w:tcBorders>
              <w:bottom w:val="single" w:sz="4" w:space="0" w:color="000000"/>
              <w:right w:val="single" w:sz="4" w:space="0" w:color="000000"/>
            </w:tcBorders>
          </w:tcPr>
          <w:p>
            <w:pPr>
              <w:pStyle w:val="TableParagraph"/>
              <w:spacing w:line="211" w:lineRule="exact" w:before="8"/>
              <w:ind w:right="100"/>
              <w:jc w:val="right"/>
              <w:rPr>
                <w:sz w:val="20"/>
              </w:rPr>
            </w:pPr>
            <w:r>
              <w:rPr>
                <w:spacing w:val="-2"/>
                <w:sz w:val="20"/>
              </w:rPr>
              <w:t>1,245</w:t>
            </w:r>
          </w:p>
        </w:tc>
      </w:tr>
      <w:tr>
        <w:trPr>
          <w:trHeight w:val="256" w:hRule="atLeast"/>
        </w:trPr>
        <w:tc>
          <w:tcPr>
            <w:tcW w:w="4716" w:type="dxa"/>
            <w:tcBorders>
              <w:left w:val="single" w:sz="4" w:space="0" w:color="000000"/>
            </w:tcBorders>
          </w:tcPr>
          <w:p>
            <w:pPr>
              <w:pStyle w:val="TableParagraph"/>
              <w:spacing w:line="211" w:lineRule="exact" w:before="26"/>
              <w:ind w:left="107"/>
              <w:rPr>
                <w:b/>
                <w:sz w:val="20"/>
              </w:rPr>
            </w:pPr>
            <w:r>
              <w:rPr>
                <w:b/>
                <w:sz w:val="20"/>
              </w:rPr>
              <w:t>Total</w:t>
            </w:r>
            <w:r>
              <w:rPr>
                <w:b/>
                <w:spacing w:val="-6"/>
                <w:sz w:val="20"/>
              </w:rPr>
              <w:t> </w:t>
            </w:r>
            <w:r>
              <w:rPr>
                <w:b/>
                <w:spacing w:val="-2"/>
                <w:sz w:val="20"/>
              </w:rPr>
              <w:t>Infrastructure</w:t>
            </w:r>
          </w:p>
        </w:tc>
        <w:tc>
          <w:tcPr>
            <w:tcW w:w="1234" w:type="dxa"/>
            <w:tcBorders>
              <w:top w:val="single" w:sz="4" w:space="0" w:color="000000"/>
              <w:bottom w:val="single" w:sz="4" w:space="0" w:color="000000"/>
            </w:tcBorders>
          </w:tcPr>
          <w:p>
            <w:pPr>
              <w:pStyle w:val="TableParagraph"/>
              <w:spacing w:line="211" w:lineRule="exact" w:before="26"/>
              <w:ind w:right="240"/>
              <w:jc w:val="right"/>
              <w:rPr>
                <w:b/>
                <w:sz w:val="20"/>
              </w:rPr>
            </w:pPr>
            <w:r>
              <w:rPr>
                <w:b/>
                <w:spacing w:val="-2"/>
                <w:sz w:val="20"/>
              </w:rPr>
              <w:t>20,263</w:t>
            </w:r>
          </w:p>
        </w:tc>
        <w:tc>
          <w:tcPr>
            <w:tcW w:w="1989" w:type="dxa"/>
            <w:tcBorders>
              <w:top w:val="single" w:sz="4" w:space="0" w:color="000000"/>
              <w:bottom w:val="single" w:sz="4" w:space="0" w:color="000000"/>
            </w:tcBorders>
          </w:tcPr>
          <w:p>
            <w:pPr>
              <w:pStyle w:val="TableParagraph"/>
              <w:tabs>
                <w:tab w:pos="916" w:val="left" w:leader="none"/>
              </w:tabs>
              <w:spacing w:line="211" w:lineRule="exact" w:before="26"/>
              <w:ind w:right="211"/>
              <w:jc w:val="right"/>
              <w:rPr>
                <w:b/>
                <w:sz w:val="20"/>
              </w:rPr>
            </w:pPr>
            <w:r>
              <w:rPr>
                <w:b/>
                <w:spacing w:val="-2"/>
                <w:sz w:val="20"/>
              </w:rPr>
              <w:t>3,313</w:t>
            </w:r>
            <w:r>
              <w:rPr>
                <w:b/>
                <w:sz w:val="20"/>
              </w:rPr>
              <w:tab/>
            </w:r>
            <w:r>
              <w:rPr>
                <w:b/>
                <w:spacing w:val="-2"/>
                <w:sz w:val="20"/>
              </w:rPr>
              <w:t>13,754</w:t>
            </w:r>
          </w:p>
        </w:tc>
        <w:tc>
          <w:tcPr>
            <w:tcW w:w="1134" w:type="dxa"/>
            <w:tcBorders>
              <w:top w:val="single" w:sz="4" w:space="0" w:color="000000"/>
              <w:bottom w:val="single" w:sz="4" w:space="0" w:color="000000"/>
              <w:right w:val="single" w:sz="4" w:space="0" w:color="000000"/>
            </w:tcBorders>
          </w:tcPr>
          <w:p>
            <w:pPr>
              <w:pStyle w:val="TableParagraph"/>
              <w:spacing w:line="211" w:lineRule="exact" w:before="26"/>
              <w:ind w:right="99"/>
              <w:jc w:val="right"/>
              <w:rPr>
                <w:b/>
                <w:sz w:val="20"/>
              </w:rPr>
            </w:pPr>
            <w:r>
              <w:rPr>
                <w:b/>
                <w:spacing w:val="-2"/>
                <w:sz w:val="20"/>
              </w:rPr>
              <w:t>3,196</w:t>
            </w:r>
          </w:p>
        </w:tc>
        <w:tc>
          <w:tcPr>
            <w:tcW w:w="1485" w:type="dxa"/>
            <w:tcBorders>
              <w:top w:val="single" w:sz="4" w:space="0" w:color="000000"/>
              <w:left w:val="single" w:sz="4" w:space="0" w:color="000000"/>
              <w:bottom w:val="single" w:sz="4" w:space="0" w:color="000000"/>
            </w:tcBorders>
          </w:tcPr>
          <w:p>
            <w:pPr>
              <w:pStyle w:val="TableParagraph"/>
              <w:spacing w:line="211" w:lineRule="exact" w:before="26"/>
              <w:ind w:right="307"/>
              <w:jc w:val="right"/>
              <w:rPr>
                <w:b/>
                <w:sz w:val="20"/>
              </w:rPr>
            </w:pPr>
            <w:r>
              <w:rPr>
                <w:b/>
                <w:spacing w:val="-2"/>
                <w:sz w:val="20"/>
              </w:rPr>
              <w:t>20,263</w:t>
            </w:r>
          </w:p>
        </w:tc>
        <w:tc>
          <w:tcPr>
            <w:tcW w:w="1085" w:type="dxa"/>
            <w:tcBorders>
              <w:top w:val="single" w:sz="4" w:space="0" w:color="000000"/>
              <w:bottom w:val="single" w:sz="4" w:space="0" w:color="000000"/>
            </w:tcBorders>
          </w:tcPr>
          <w:p>
            <w:pPr>
              <w:pStyle w:val="TableParagraph"/>
              <w:spacing w:line="211" w:lineRule="exact" w:before="26"/>
              <w:ind w:right="121"/>
              <w:jc w:val="right"/>
              <w:rPr>
                <w:b/>
                <w:sz w:val="20"/>
              </w:rPr>
            </w:pPr>
            <w:r>
              <w:rPr>
                <w:b/>
                <w:spacing w:val="-5"/>
                <w:sz w:val="20"/>
              </w:rPr>
              <w:t>971</w:t>
            </w:r>
          </w:p>
        </w:tc>
        <w:tc>
          <w:tcPr>
            <w:tcW w:w="1575" w:type="dxa"/>
            <w:tcBorders>
              <w:top w:val="single" w:sz="4" w:space="0" w:color="000000"/>
              <w:bottom w:val="single" w:sz="4" w:space="0" w:color="000000"/>
            </w:tcBorders>
          </w:tcPr>
          <w:p>
            <w:pPr>
              <w:pStyle w:val="TableParagraph"/>
              <w:spacing w:line="211" w:lineRule="exact" w:before="26"/>
              <w:ind w:right="138"/>
              <w:jc w:val="right"/>
              <w:rPr>
                <w:b/>
                <w:sz w:val="20"/>
              </w:rPr>
            </w:pPr>
            <w:r>
              <w:rPr>
                <w:b/>
                <w:spacing w:val="-5"/>
                <w:sz w:val="20"/>
              </w:rPr>
              <w:t>36</w:t>
            </w:r>
          </w:p>
        </w:tc>
        <w:tc>
          <w:tcPr>
            <w:tcW w:w="1528" w:type="dxa"/>
            <w:tcBorders>
              <w:top w:val="single" w:sz="4" w:space="0" w:color="000000"/>
              <w:bottom w:val="single" w:sz="4" w:space="0" w:color="000000"/>
              <w:right w:val="single" w:sz="4" w:space="0" w:color="000000"/>
            </w:tcBorders>
          </w:tcPr>
          <w:p>
            <w:pPr>
              <w:pStyle w:val="TableParagraph"/>
              <w:spacing w:line="211" w:lineRule="exact" w:before="26"/>
              <w:ind w:right="101"/>
              <w:jc w:val="right"/>
              <w:rPr>
                <w:b/>
                <w:sz w:val="20"/>
              </w:rPr>
            </w:pPr>
            <w:r>
              <w:rPr>
                <w:b/>
                <w:spacing w:val="-2"/>
                <w:sz w:val="20"/>
              </w:rPr>
              <w:t>19,256</w:t>
            </w:r>
          </w:p>
        </w:tc>
      </w:tr>
      <w:tr>
        <w:trPr>
          <w:trHeight w:val="254" w:hRule="atLeast"/>
        </w:trPr>
        <w:tc>
          <w:tcPr>
            <w:tcW w:w="4716" w:type="dxa"/>
            <w:tcBorders>
              <w:left w:val="single" w:sz="4" w:space="0" w:color="000000"/>
              <w:bottom w:val="single" w:sz="4" w:space="0" w:color="000000"/>
            </w:tcBorders>
          </w:tcPr>
          <w:p>
            <w:pPr>
              <w:pStyle w:val="TableParagraph"/>
              <w:spacing w:line="211" w:lineRule="exact" w:before="23"/>
              <w:ind w:left="107"/>
              <w:rPr>
                <w:b/>
                <w:sz w:val="20"/>
              </w:rPr>
            </w:pPr>
            <w:r>
              <w:rPr>
                <w:b/>
                <w:sz w:val="20"/>
              </w:rPr>
              <w:t>Total</w:t>
            </w:r>
            <w:r>
              <w:rPr>
                <w:b/>
                <w:spacing w:val="-8"/>
                <w:sz w:val="20"/>
              </w:rPr>
              <w:t> </w:t>
            </w:r>
            <w:r>
              <w:rPr>
                <w:b/>
                <w:sz w:val="20"/>
              </w:rPr>
              <w:t>Capital</w:t>
            </w:r>
            <w:r>
              <w:rPr>
                <w:b/>
                <w:spacing w:val="-5"/>
                <w:sz w:val="20"/>
              </w:rPr>
              <w:t> </w:t>
            </w:r>
            <w:r>
              <w:rPr>
                <w:b/>
                <w:sz w:val="20"/>
              </w:rPr>
              <w:t>Works</w:t>
            </w:r>
            <w:r>
              <w:rPr>
                <w:b/>
                <w:spacing w:val="-6"/>
                <w:sz w:val="20"/>
              </w:rPr>
              <w:t> </w:t>
            </w:r>
            <w:r>
              <w:rPr>
                <w:b/>
                <w:spacing w:val="-2"/>
                <w:sz w:val="20"/>
              </w:rPr>
              <w:t>Expenditure</w:t>
            </w:r>
          </w:p>
        </w:tc>
        <w:tc>
          <w:tcPr>
            <w:tcW w:w="1234" w:type="dxa"/>
            <w:tcBorders>
              <w:top w:val="single" w:sz="4" w:space="0" w:color="000000"/>
              <w:bottom w:val="single" w:sz="4" w:space="0" w:color="000000"/>
            </w:tcBorders>
          </w:tcPr>
          <w:p>
            <w:pPr>
              <w:pStyle w:val="TableParagraph"/>
              <w:spacing w:line="211" w:lineRule="exact" w:before="23"/>
              <w:ind w:right="240"/>
              <w:jc w:val="right"/>
              <w:rPr>
                <w:b/>
                <w:sz w:val="20"/>
              </w:rPr>
            </w:pPr>
            <w:r>
              <w:rPr>
                <w:b/>
                <w:spacing w:val="-2"/>
                <w:sz w:val="20"/>
              </w:rPr>
              <w:t>67,709</w:t>
            </w:r>
          </w:p>
        </w:tc>
        <w:tc>
          <w:tcPr>
            <w:tcW w:w="1989" w:type="dxa"/>
            <w:tcBorders>
              <w:top w:val="single" w:sz="4" w:space="0" w:color="000000"/>
              <w:bottom w:val="single" w:sz="4" w:space="0" w:color="000000"/>
            </w:tcBorders>
          </w:tcPr>
          <w:p>
            <w:pPr>
              <w:pStyle w:val="TableParagraph"/>
              <w:tabs>
                <w:tab w:pos="916" w:val="left" w:leader="none"/>
              </w:tabs>
              <w:spacing w:line="211" w:lineRule="exact" w:before="23"/>
              <w:ind w:right="211"/>
              <w:jc w:val="right"/>
              <w:rPr>
                <w:b/>
                <w:sz w:val="20"/>
              </w:rPr>
            </w:pPr>
            <w:r>
              <w:rPr>
                <w:b/>
                <w:spacing w:val="-2"/>
                <w:sz w:val="20"/>
              </w:rPr>
              <w:t>4,500</w:t>
            </w:r>
            <w:r>
              <w:rPr>
                <w:b/>
                <w:sz w:val="20"/>
              </w:rPr>
              <w:tab/>
            </w:r>
            <w:r>
              <w:rPr>
                <w:b/>
                <w:spacing w:val="-2"/>
                <w:sz w:val="20"/>
              </w:rPr>
              <w:t>51,102</w:t>
            </w:r>
          </w:p>
        </w:tc>
        <w:tc>
          <w:tcPr>
            <w:tcW w:w="1134" w:type="dxa"/>
            <w:tcBorders>
              <w:top w:val="single" w:sz="4" w:space="0" w:color="000000"/>
              <w:bottom w:val="single" w:sz="4" w:space="0" w:color="000000"/>
              <w:right w:val="single" w:sz="4" w:space="0" w:color="000000"/>
            </w:tcBorders>
          </w:tcPr>
          <w:p>
            <w:pPr>
              <w:pStyle w:val="TableParagraph"/>
              <w:spacing w:line="211" w:lineRule="exact" w:before="23"/>
              <w:ind w:right="99"/>
              <w:jc w:val="right"/>
              <w:rPr>
                <w:b/>
                <w:sz w:val="20"/>
              </w:rPr>
            </w:pPr>
            <w:r>
              <w:rPr>
                <w:b/>
                <w:spacing w:val="-2"/>
                <w:sz w:val="20"/>
              </w:rPr>
              <w:t>12,107</w:t>
            </w:r>
          </w:p>
        </w:tc>
        <w:tc>
          <w:tcPr>
            <w:tcW w:w="1485" w:type="dxa"/>
            <w:tcBorders>
              <w:top w:val="single" w:sz="4" w:space="0" w:color="000000"/>
              <w:left w:val="single" w:sz="4" w:space="0" w:color="000000"/>
              <w:bottom w:val="single" w:sz="4" w:space="0" w:color="000000"/>
            </w:tcBorders>
          </w:tcPr>
          <w:p>
            <w:pPr>
              <w:pStyle w:val="TableParagraph"/>
              <w:spacing w:line="211" w:lineRule="exact" w:before="23"/>
              <w:ind w:right="307"/>
              <w:jc w:val="right"/>
              <w:rPr>
                <w:b/>
                <w:sz w:val="20"/>
              </w:rPr>
            </w:pPr>
            <w:r>
              <w:rPr>
                <w:b/>
                <w:spacing w:val="-2"/>
                <w:sz w:val="20"/>
              </w:rPr>
              <w:t>67,709</w:t>
            </w:r>
          </w:p>
        </w:tc>
        <w:tc>
          <w:tcPr>
            <w:tcW w:w="1085" w:type="dxa"/>
            <w:tcBorders>
              <w:top w:val="single" w:sz="4" w:space="0" w:color="000000"/>
              <w:bottom w:val="single" w:sz="4" w:space="0" w:color="000000"/>
            </w:tcBorders>
          </w:tcPr>
          <w:p>
            <w:pPr>
              <w:pStyle w:val="TableParagraph"/>
              <w:spacing w:line="211" w:lineRule="exact" w:before="23"/>
              <w:ind w:right="120"/>
              <w:jc w:val="right"/>
              <w:rPr>
                <w:b/>
                <w:sz w:val="20"/>
              </w:rPr>
            </w:pPr>
            <w:r>
              <w:rPr>
                <w:b/>
                <w:spacing w:val="-2"/>
                <w:sz w:val="20"/>
              </w:rPr>
              <w:t>18,971</w:t>
            </w:r>
          </w:p>
        </w:tc>
        <w:tc>
          <w:tcPr>
            <w:tcW w:w="1575" w:type="dxa"/>
            <w:tcBorders>
              <w:top w:val="single" w:sz="4" w:space="0" w:color="000000"/>
              <w:bottom w:val="single" w:sz="4" w:space="0" w:color="000000"/>
            </w:tcBorders>
          </w:tcPr>
          <w:p>
            <w:pPr>
              <w:pStyle w:val="TableParagraph"/>
              <w:spacing w:line="211" w:lineRule="exact" w:before="23"/>
              <w:ind w:right="137"/>
              <w:jc w:val="right"/>
              <w:rPr>
                <w:b/>
                <w:sz w:val="20"/>
              </w:rPr>
            </w:pPr>
            <w:r>
              <w:rPr>
                <w:b/>
                <w:spacing w:val="-2"/>
                <w:sz w:val="20"/>
              </w:rPr>
              <w:t>1,274</w:t>
            </w:r>
          </w:p>
        </w:tc>
        <w:tc>
          <w:tcPr>
            <w:tcW w:w="1528" w:type="dxa"/>
            <w:tcBorders>
              <w:top w:val="single" w:sz="4" w:space="0" w:color="000000"/>
              <w:bottom w:val="single" w:sz="4" w:space="0" w:color="000000"/>
              <w:right w:val="single" w:sz="4" w:space="0" w:color="000000"/>
            </w:tcBorders>
          </w:tcPr>
          <w:p>
            <w:pPr>
              <w:pStyle w:val="TableParagraph"/>
              <w:spacing w:line="211" w:lineRule="exact" w:before="23"/>
              <w:ind w:right="101"/>
              <w:jc w:val="right"/>
              <w:rPr>
                <w:b/>
                <w:sz w:val="20"/>
              </w:rPr>
            </w:pPr>
            <w:r>
              <w:rPr>
                <w:b/>
                <w:spacing w:val="-2"/>
                <w:sz w:val="20"/>
              </w:rPr>
              <w:t>47,464</w:t>
            </w:r>
          </w:p>
        </w:tc>
      </w:tr>
    </w:tbl>
    <w:p>
      <w:pPr>
        <w:spacing w:after="0" w:line="211" w:lineRule="exact"/>
        <w:jc w:val="right"/>
        <w:rPr>
          <w:sz w:val="20"/>
        </w:rPr>
        <w:sectPr>
          <w:pgSz w:w="16840" w:h="11910" w:orient="landscape"/>
          <w:pgMar w:header="0" w:footer="546" w:top="700" w:bottom="740" w:left="600" w:right="120"/>
        </w:sectPr>
      </w:pPr>
    </w:p>
    <w:p>
      <w:pPr>
        <w:pStyle w:val="ListParagraph"/>
        <w:numPr>
          <w:ilvl w:val="2"/>
          <w:numId w:val="21"/>
        </w:numPr>
        <w:tabs>
          <w:tab w:pos="722" w:val="left" w:leader="none"/>
        </w:tabs>
        <w:spacing w:line="240" w:lineRule="auto" w:before="74" w:after="0"/>
        <w:ind w:left="721" w:right="0" w:hanging="602"/>
        <w:jc w:val="left"/>
        <w:rPr>
          <w:b/>
          <w:sz w:val="24"/>
        </w:rPr>
      </w:pPr>
      <w:r>
        <w:rPr/>
        <w:pict>
          <v:shape style="position:absolute;margin-left:332.160004pt;margin-top:191.999985pt;width:.5pt;height:5.8pt;mso-position-horizontal-relative:page;mso-position-vertical-relative:page;z-index:-38024192" id="docshape61" coordorigin="6643,3840" coordsize="10,116" path="m6653,3917l6643,3917,6643,3955,6653,3955,6653,3917xm6653,3840l6643,3840,6643,3878,6653,3878,6653,3840xe" filled="true" fillcolor="#000000" stroked="false">
            <v:path arrowok="t"/>
            <v:fill type="solid"/>
            <w10:wrap type="none"/>
          </v:shape>
        </w:pict>
      </w:r>
      <w:r>
        <w:rPr/>
        <w:pict>
          <v:shape style="position:absolute;margin-left:484.199036pt;margin-top:191.999985pt;width:.5pt;height:5.8pt;mso-position-horizontal-relative:page;mso-position-vertical-relative:page;z-index:-38023680" id="docshape62" coordorigin="9684,3840" coordsize="10,116" path="m9694,3917l9684,3917,9684,3955,9694,3955,9694,3917xm9694,3840l9684,3840,9684,3878,9694,3878,9694,3840xe" filled="true" fillcolor="#000000" stroked="false">
            <v:path arrowok="t"/>
            <v:fill type="solid"/>
            <w10:wrap type="none"/>
          </v:shape>
        </w:pict>
      </w:r>
      <w:r>
        <w:rPr/>
        <w:pict>
          <v:shape style="position:absolute;margin-left:534.720032pt;margin-top:191.999985pt;width:.5pt;height:5.8pt;mso-position-horizontal-relative:page;mso-position-vertical-relative:page;z-index:-38023168" id="docshape63" coordorigin="10694,3840" coordsize="10,116" path="m10704,3917l10694,3917,10694,3955,10704,3955,10704,3917xm10704,3840l10694,3840,10694,3878,10704,3878,10704,3840xe" filled="true" fillcolor="#000000" stroked="false">
            <v:path arrowok="t"/>
            <v:fill type="solid"/>
            <w10:wrap type="none"/>
          </v:shape>
        </w:pict>
      </w:r>
      <w:r>
        <w:rPr/>
        <w:pict>
          <v:shape style="position:absolute;margin-left:332.160004pt;margin-top:207.360992pt;width:.5pt;height:5.8pt;mso-position-horizontal-relative:page;mso-position-vertical-relative:page;z-index:-38022656" id="docshape64" coordorigin="6643,4147" coordsize="10,116" path="m6653,4224l6643,4224,6643,4262,6653,4262,6653,4224xm6653,4147l6643,4147,6643,4186,6653,4186,6653,4147xe" filled="true" fillcolor="#000000" stroked="false">
            <v:path arrowok="t"/>
            <v:fill type="solid"/>
            <w10:wrap type="none"/>
          </v:shape>
        </w:pict>
      </w:r>
      <w:r>
        <w:rPr/>
        <w:pict>
          <v:shape style="position:absolute;margin-left:534.720032pt;margin-top:207.360992pt;width:.5pt;height:5.8pt;mso-position-horizontal-relative:page;mso-position-vertical-relative:page;z-index:-38022144" id="docshape65" coordorigin="10694,4147" coordsize="10,116" path="m10704,4224l10694,4224,10694,4262,10704,4262,10704,4224xm10704,4147l10694,4147,10694,4186,10704,4186,10704,4147xe" filled="true" fillcolor="#000000" stroked="false">
            <v:path arrowok="t"/>
            <v:fill type="solid"/>
            <w10:wrap type="none"/>
          </v:shape>
        </w:pict>
      </w:r>
      <w:r>
        <w:rPr/>
        <w:pict>
          <v:shape style="position:absolute;margin-left:332.160004pt;margin-top:222.719986pt;width:.5pt;height:5.8pt;mso-position-horizontal-relative:page;mso-position-vertical-relative:page;z-index:-38021632" id="docshape66" coordorigin="6643,4454" coordsize="10,116" path="m6653,4531l6643,4531,6643,4570,6653,4570,6653,4531xm6653,4454l6643,4454,6643,4493,6653,4493,6653,4454xe" filled="true" fillcolor="#000000" stroked="false">
            <v:path arrowok="t"/>
            <v:fill type="solid"/>
            <w10:wrap type="none"/>
          </v:shape>
        </w:pict>
      </w:r>
      <w:r>
        <w:rPr/>
        <w:pict>
          <v:shape style="position:absolute;margin-left:332.160004pt;margin-top:238.080994pt;width:.5pt;height:9.6pt;mso-position-horizontal-relative:page;mso-position-vertical-relative:page;z-index:-38021120" id="docshape67" coordorigin="6643,4762" coordsize="10,192" path="m6653,4915l6643,4915,6643,4954,6653,4954,6653,4915xm6653,4838l6643,4838,6643,4877,6653,4877,6653,4838xm6653,4762l6643,4762,6643,4800,6653,4800,6653,4762xe" filled="true" fillcolor="#000000" stroked="false">
            <v:path arrowok="t"/>
            <v:fill type="solid"/>
            <w10:wrap type="none"/>
          </v:shape>
        </w:pict>
      </w:r>
      <w:r>
        <w:rPr/>
        <w:pict>
          <v:shape style="position:absolute;margin-left:332.160004pt;margin-top:253.440994pt;width:.5pt;height:9.6pt;mso-position-horizontal-relative:page;mso-position-vertical-relative:page;z-index:-38020608" id="docshape68" coordorigin="6643,5069" coordsize="10,192" path="m6653,5222l6643,5222,6643,5261,6653,5261,6653,5222xm6653,5146l6643,5146,6643,5184,6653,5184,6653,5146xm6653,5069l6643,5069,6643,5107,6653,5107,6653,5069xe" filled="true" fillcolor="#000000" stroked="false">
            <v:path arrowok="t"/>
            <v:fill type="solid"/>
            <w10:wrap type="none"/>
          </v:shape>
        </w:pict>
      </w:r>
      <w:r>
        <w:rPr/>
        <w:pict>
          <v:shape style="position:absolute;margin-left:534.720032pt;margin-top:253.440994pt;width:.5pt;height:9.6pt;mso-position-horizontal-relative:page;mso-position-vertical-relative:page;z-index:-38020096" id="docshape69" coordorigin="10694,5069" coordsize="10,192" path="m10704,5222l10694,5222,10694,5261,10704,5261,10704,5222xm10704,5146l10694,5146,10694,5184,10704,5184,10704,5146xm10704,5069l10694,5069,10694,5107,10704,5107,10704,5069xe" filled="true" fillcolor="#000000" stroked="false">
            <v:path arrowok="t"/>
            <v:fill type="solid"/>
            <w10:wrap type="none"/>
          </v:shape>
        </w:pict>
      </w:r>
      <w:r>
        <w:rPr/>
        <w:pict>
          <v:shape style="position:absolute;margin-left:332.160004pt;margin-top:268.799988pt;width:.5pt;height:9.65pt;mso-position-horizontal-relative:page;mso-position-vertical-relative:page;z-index:-38019584" id="docshape70" coordorigin="6643,5376" coordsize="10,193" path="m6653,5530l6643,5530,6643,5568,6653,5568,6653,5530xm6653,5453l6643,5453,6643,5491,6653,5491,6653,5453xm6653,5376l6643,5376,6643,5414,6653,5414,6653,5376xe" filled="true" fillcolor="#000000" stroked="false">
            <v:path arrowok="t"/>
            <v:fill type="solid"/>
            <w10:wrap type="none"/>
          </v:shape>
        </w:pict>
      </w:r>
      <w:r>
        <w:rPr/>
        <w:pict>
          <v:shape style="position:absolute;margin-left:332.160004pt;margin-top:284.16098pt;width:.5pt;height:9.6pt;mso-position-horizontal-relative:page;mso-position-vertical-relative:page;z-index:-38019072" id="docshape71" coordorigin="6643,5683" coordsize="10,192" path="m6653,5837l6643,5837,6643,5875,6653,5875,6653,5837xm6653,5760l6643,5760,6643,5798,6653,5798,6653,5760xm6653,5683l6643,5683,6643,5722,6653,5722,6653,5683xe" filled="true" fillcolor="#000000" stroked="false">
            <v:path arrowok="t"/>
            <v:fill type="solid"/>
            <w10:wrap type="none"/>
          </v:shape>
        </w:pict>
      </w:r>
      <w:r>
        <w:rPr/>
        <w:pict>
          <v:shape style="position:absolute;margin-left:534.720032pt;margin-top:284.16098pt;width:.5pt;height:9.6pt;mso-position-horizontal-relative:page;mso-position-vertical-relative:page;z-index:-38018560" id="docshape72" coordorigin="10694,5683" coordsize="10,192" path="m10704,5837l10694,5837,10694,5875,10704,5875,10704,5837xm10704,5760l10694,5760,10694,5798,10704,5798,10704,5760xm10704,5683l10694,5683,10694,5722,10704,5722,10704,5683xe" filled="true" fillcolor="#000000" stroked="false">
            <v:path arrowok="t"/>
            <v:fill type="solid"/>
            <w10:wrap type="none"/>
          </v:shape>
        </w:pict>
      </w:r>
      <w:r>
        <w:rPr/>
        <w:pict>
          <v:shape style="position:absolute;margin-left:332.160004pt;margin-top:299.519989pt;width:.5pt;height:17.3pt;mso-position-horizontal-relative:page;mso-position-vertical-relative:page;z-index:-38018048" id="docshape73" coordorigin="6643,5990" coordsize="10,346" path="m6653,6298l6643,6298,6643,6336,6653,6336,6653,6298xm6653,6221l6643,6221,6643,6259,6653,6259,6653,6221xm6653,6144l6643,6144,6643,6182,6653,6182,6653,6144xm6653,6067l6643,6067,6643,6106,6653,6106,6653,6067xm6653,5990l6643,5990,6643,6029,6653,6029,6653,5990xe" filled="true" fillcolor="#000000" stroked="false">
            <v:path arrowok="t"/>
            <v:fill type="solid"/>
            <w10:wrap type="none"/>
          </v:shape>
        </w:pict>
      </w:r>
      <w:r>
        <w:rPr/>
        <w:pict>
          <v:shape style="position:absolute;margin-left:382.800018pt;margin-top:299.519989pt;width:.5pt;height:17.3pt;mso-position-horizontal-relative:page;mso-position-vertical-relative:page;z-index:-38017536" id="docshape74" coordorigin="7656,5990" coordsize="10,346" path="m7666,6298l7656,6298,7656,6336,7666,6336,7666,6298xm7666,6221l7656,6221,7656,6259,7666,6259,7666,6221xm7666,6144l7656,6144,7656,6182,7666,6182,7666,6144xm7666,6067l7656,6067,7656,6106,7666,6106,7666,6067xm7666,5990l7656,5990,7656,6029,7666,6029,7666,5990xe" filled="true" fillcolor="#000000" stroked="false">
            <v:path arrowok="t"/>
            <v:fill type="solid"/>
            <w10:wrap type="none"/>
          </v:shape>
        </w:pict>
      </w:r>
      <w:r>
        <w:rPr/>
        <w:pict>
          <v:shape style="position:absolute;margin-left:433.440033pt;margin-top:299.519989pt;width:.5pt;height:17.3pt;mso-position-horizontal-relative:page;mso-position-vertical-relative:page;z-index:-38017024" id="docshape75" coordorigin="8669,5990" coordsize="10,346" path="m8678,6298l8669,6298,8669,6336,8678,6336,8678,6298xm8678,6221l8669,6221,8669,6259,8678,6259,8678,6221xm8678,6144l8669,6144,8669,6182,8678,6182,8678,6144xm8678,6067l8669,6067,8669,6106,8678,6106,8678,6067xm8678,5990l8669,5990,8669,6029,8678,6029,8678,5990xe" filled="true" fillcolor="#000000" stroked="false">
            <v:path arrowok="t"/>
            <v:fill type="solid"/>
            <w10:wrap type="none"/>
          </v:shape>
        </w:pict>
      </w:r>
      <w:r>
        <w:rPr/>
        <w:pict>
          <v:shape style="position:absolute;margin-left:484.199036pt;margin-top:299.519989pt;width:.5pt;height:17.3pt;mso-position-horizontal-relative:page;mso-position-vertical-relative:page;z-index:-38016512" id="docshape76" coordorigin="9684,5990" coordsize="10,346" path="m9694,6298l9684,6298,9684,6336,9694,6336,9694,6298xm9694,6221l9684,6221,9684,6259,9694,6259,9694,6221xm9694,6144l9684,6144,9684,6182,9694,6182,9694,6144xm9694,6067l9684,6067,9684,6106,9694,6106,9694,6067xm9694,5990l9684,5990,9684,6029,9694,6029,9694,5990xe" filled="true" fillcolor="#000000" stroked="false">
            <v:path arrowok="t"/>
            <v:fill type="solid"/>
            <w10:wrap type="none"/>
          </v:shape>
        </w:pict>
      </w:r>
      <w:r>
        <w:rPr/>
        <w:pict>
          <v:shape style="position:absolute;margin-left:534.720032pt;margin-top:299.519989pt;width:.5pt;height:17.3pt;mso-position-horizontal-relative:page;mso-position-vertical-relative:page;z-index:-38016000" id="docshape77" coordorigin="10694,5990" coordsize="10,346" path="m10704,6298l10694,6298,10694,6336,10704,6336,10704,6298xm10704,6221l10694,6221,10694,6259,10704,6259,10704,6221xm10704,6144l10694,6144,10694,6182,10704,6182,10704,6144xm10704,6067l10694,6067,10694,6106,10704,6106,10704,6067xm10704,5990l10694,5990,10694,6029,10704,6029,10704,5990xe" filled="true" fillcolor="#000000" stroked="false">
            <v:path arrowok="t"/>
            <v:fill type="solid"/>
            <w10:wrap type="none"/>
          </v:shape>
        </w:pict>
      </w:r>
      <w:r>
        <w:rPr/>
        <w:pict>
          <v:shape style="position:absolute;margin-left:332.160004pt;margin-top:326.401001pt;width:.5pt;height:25pt;mso-position-horizontal-relative:page;mso-position-vertical-relative:page;z-index:-38015488" id="docshape78" coordorigin="6643,6528" coordsize="10,500" path="m6653,6989l6643,6989,6643,7027,6653,7027,6653,6989xm6653,6912l6643,6912,6643,6950,6653,6950,6653,6912xm6653,6835l6643,6835,6643,6874,6653,6874,6653,6835xm6653,6758l6643,6758,6643,6797,6653,6797,6653,6758xm6653,6682l6643,6682,6643,6720,6653,6720,6653,6682xm6653,6605l6643,6605,6643,6643,6653,6643,6653,6605xm6653,6528l6643,6528,6643,6566,6653,6566,6653,6528xe" filled="true" fillcolor="#000000" stroked="false">
            <v:path arrowok="t"/>
            <v:fill type="solid"/>
            <w10:wrap type="none"/>
          </v:shape>
        </w:pict>
      </w:r>
      <w:r>
        <w:rPr/>
        <w:pict>
          <v:shape style="position:absolute;margin-left:382.800018pt;margin-top:326.401001pt;width:.5pt;height:25pt;mso-position-horizontal-relative:page;mso-position-vertical-relative:page;z-index:-38014976" id="docshape79" coordorigin="7656,6528" coordsize="10,500" path="m7666,6989l7656,6989,7656,7027,7666,7027,7666,6989xm7666,6912l7656,6912,7656,6950,7666,6950,7666,6912xm7666,6835l7656,6835,7656,6874,7666,6874,7666,6835xm7666,6758l7656,6758,7656,6797,7666,6797,7666,6758xm7666,6682l7656,6682,7656,6720,7666,6720,7666,6682xm7666,6605l7656,6605,7656,6643,7666,6643,7666,6605xm7666,6528l7656,6528,7656,6566,7666,6566,7666,6528xe" filled="true" fillcolor="#000000" stroked="false">
            <v:path arrowok="t"/>
            <v:fill type="solid"/>
            <w10:wrap type="none"/>
          </v:shape>
        </w:pict>
      </w:r>
      <w:r>
        <w:rPr/>
        <w:pict>
          <v:shape style="position:absolute;margin-left:433.440033pt;margin-top:326.401001pt;width:.5pt;height:25pt;mso-position-horizontal-relative:page;mso-position-vertical-relative:page;z-index:-38014464" id="docshape80" coordorigin="8669,6528" coordsize="10,500" path="m8678,6989l8669,6989,8669,7027,8678,7027,8678,6989xm8678,6912l8669,6912,8669,6950,8678,6950,8678,6912xm8678,6835l8669,6835,8669,6874,8678,6874,8678,6835xm8678,6758l8669,6758,8669,6797,8678,6797,8678,6758xm8678,6682l8669,6682,8669,6720,8678,6720,8678,6682xm8678,6605l8669,6605,8669,6643,8678,6643,8678,6605xm8678,6528l8669,6528,8669,6566,8678,6566,8678,6528xe" filled="true" fillcolor="#000000" stroked="false">
            <v:path arrowok="t"/>
            <v:fill type="solid"/>
            <w10:wrap type="none"/>
          </v:shape>
        </w:pict>
      </w:r>
      <w:r>
        <w:rPr/>
        <w:pict>
          <v:shape style="position:absolute;margin-left:484.199036pt;margin-top:326.401001pt;width:.5pt;height:25pt;mso-position-horizontal-relative:page;mso-position-vertical-relative:page;z-index:-38013952" id="docshape81" coordorigin="9684,6528" coordsize="10,500" path="m9694,6989l9684,6989,9684,7027,9694,7027,9694,6989xm9694,6912l9684,6912,9684,6950,9694,6950,9694,6912xm9694,6835l9684,6835,9684,6874,9694,6874,9694,6835xm9694,6758l9684,6758,9684,6797,9694,6797,9694,6758xm9694,6682l9684,6682,9684,6720,9694,6720,9694,6682xm9694,6605l9684,6605,9684,6643,9694,6643,9694,6605xm9694,6528l9684,6528,9684,6566,9694,6566,9694,6528xe" filled="true" fillcolor="#000000" stroked="false">
            <v:path arrowok="t"/>
            <v:fill type="solid"/>
            <w10:wrap type="none"/>
          </v:shape>
        </w:pict>
      </w:r>
      <w:r>
        <w:rPr/>
        <w:pict>
          <v:shape style="position:absolute;margin-left:534.720032pt;margin-top:326.401001pt;width:.5pt;height:25pt;mso-position-horizontal-relative:page;mso-position-vertical-relative:page;z-index:-38013440" id="docshape82" coordorigin="10694,6528" coordsize="10,500" path="m10704,6989l10694,6989,10694,7027,10704,7027,10704,6989xm10704,6912l10694,6912,10694,6950,10704,6950,10704,6912xm10704,6835l10694,6835,10694,6874,10704,6874,10704,6835xm10704,6758l10694,6758,10694,6797,10704,6797,10704,6758xm10704,6682l10694,6682,10694,6720,10704,6720,10704,6682xm10704,6605l10694,6605,10694,6643,10704,6643,10704,6605xm10704,6528l10694,6528,10694,6566,10704,6566,10704,6528xe" filled="true" fillcolor="#000000" stroked="false">
            <v:path arrowok="t"/>
            <v:fill type="solid"/>
            <w10:wrap type="none"/>
          </v:shape>
        </w:pict>
      </w:r>
      <w:r>
        <w:rPr/>
        <w:pict>
          <v:shape style="position:absolute;margin-left:585.360046pt;margin-top:326.401001pt;width:.5pt;height:25pt;mso-position-horizontal-relative:page;mso-position-vertical-relative:page;z-index:-38012928" id="docshape83" coordorigin="11707,6528" coordsize="10,500" path="m11717,6989l11707,6989,11707,7027,11717,7027,11717,6989xm11717,6912l11707,6912,11707,6950,11717,6950,11717,6912xm11717,6835l11707,6835,11707,6874,11717,6874,11717,6835xm11717,6758l11707,6758,11707,6797,11717,6797,11717,6758xm11717,6682l11707,6682,11707,6720,11717,6720,11717,6682xm11717,6605l11707,6605,11707,6643,11717,6643,11717,6605xm11717,6528l11707,6528,11707,6566,11717,6566,11717,6528xe" filled="true" fillcolor="#000000" stroked="false">
            <v:path arrowok="t"/>
            <v:fill type="solid"/>
            <w10:wrap type="none"/>
          </v:shape>
        </w:pict>
      </w:r>
      <w:r>
        <w:rPr/>
        <w:pict>
          <v:shape style="position:absolute;margin-left:332.160004pt;margin-top:418.561005pt;width:.5pt;height:9.6pt;mso-position-horizontal-relative:page;mso-position-vertical-relative:page;z-index:-38012416" id="docshape84" coordorigin="6643,8371" coordsize="10,192" path="m6653,8525l6643,8525,6643,8563,6653,8563,6653,8525xm6653,8448l6643,8448,6643,8486,6653,8486,6653,8448xm6653,8371l6643,8371,6643,8410,6653,8410,6653,8371xe" filled="true" fillcolor="#000000" stroked="false">
            <v:path arrowok="t"/>
            <v:fill type="solid"/>
            <w10:wrap type="none"/>
          </v:shape>
        </w:pict>
      </w:r>
      <w:r>
        <w:rPr/>
        <w:pict>
          <v:shape style="position:absolute;margin-left:382.800018pt;margin-top:418.561005pt;width:.5pt;height:9.6pt;mso-position-horizontal-relative:page;mso-position-vertical-relative:page;z-index:-38011904" id="docshape85" coordorigin="7656,8371" coordsize="10,192" path="m7666,8525l7656,8525,7656,8563,7666,8563,7666,8525xm7666,8448l7656,8448,7656,8486,7666,8486,7666,8448xm7666,8371l7656,8371,7656,8410,7666,8410,7666,8371xe" filled="true" fillcolor="#000000" stroked="false">
            <v:path arrowok="t"/>
            <v:fill type="solid"/>
            <w10:wrap type="none"/>
          </v:shape>
        </w:pict>
      </w:r>
      <w:r>
        <w:rPr/>
        <w:pict>
          <v:shape style="position:absolute;margin-left:332.160004pt;margin-top:472.321014pt;width:.5pt;height:5.8pt;mso-position-horizontal-relative:page;mso-position-vertical-relative:page;z-index:-38011392" id="docshape86" coordorigin="6643,9446" coordsize="10,116" path="m6653,9523l6643,9523,6643,9562,6653,9562,6653,9523xm6653,9446l6643,9446,6643,9485,6653,9485,6653,9446xe" filled="true" fillcolor="#000000" stroked="false">
            <v:path arrowok="t"/>
            <v:fill type="solid"/>
            <w10:wrap type="none"/>
          </v:shape>
        </w:pict>
      </w:r>
      <w:r>
        <w:rPr/>
        <w:pict>
          <v:shape style="position:absolute;margin-left:382.800018pt;margin-top:472.321014pt;width:.5pt;height:5.8pt;mso-position-horizontal-relative:page;mso-position-vertical-relative:page;z-index:-38010880" id="docshape87" coordorigin="7656,9446" coordsize="10,116" path="m7666,9523l7656,9523,7656,9562,7666,9562,7666,9523xm7666,9446l7656,9446,7656,9485,7666,9485,7666,9446xe" filled="true" fillcolor="#000000" stroked="false">
            <v:path arrowok="t"/>
            <v:fill type="solid"/>
            <w10:wrap type="none"/>
          </v:shape>
        </w:pict>
      </w:r>
      <w:r>
        <w:rPr/>
        <w:pict>
          <v:shape style="position:absolute;margin-left:433.440033pt;margin-top:472.321014pt;width:.5pt;height:5.8pt;mso-position-horizontal-relative:page;mso-position-vertical-relative:page;z-index:-38010368" id="docshape88" coordorigin="8669,9446" coordsize="10,116" path="m8678,9523l8669,9523,8669,9562,8678,9562,8678,9523xm8678,9446l8669,9446,8669,9485,8678,9485,8678,9446xe" filled="true" fillcolor="#000000" stroked="false">
            <v:path arrowok="t"/>
            <v:fill type="solid"/>
            <w10:wrap type="none"/>
          </v:shape>
        </w:pict>
      </w:r>
      <w:r>
        <w:rPr/>
        <w:pict>
          <v:shape style="position:absolute;margin-left:484.199036pt;margin-top:472.321014pt;width:.5pt;height:5.8pt;mso-position-horizontal-relative:page;mso-position-vertical-relative:page;z-index:-38009856" id="docshape89" coordorigin="9684,9446" coordsize="10,116" path="m9694,9523l9684,9523,9684,9562,9694,9562,9694,9523xm9694,9446l9684,9446,9684,9485,9694,9485,9694,9446xe" filled="true" fillcolor="#000000" stroked="false">
            <v:path arrowok="t"/>
            <v:fill type="solid"/>
            <w10:wrap type="none"/>
          </v:shape>
        </w:pict>
      </w:r>
      <w:r>
        <w:rPr/>
        <w:pict>
          <v:shape style="position:absolute;margin-left:534.720032pt;margin-top:472.321014pt;width:.5pt;height:5.8pt;mso-position-horizontal-relative:page;mso-position-vertical-relative:page;z-index:-38009344" id="docshape90" coordorigin="10694,9446" coordsize="10,116" path="m10704,9523l10694,9523,10694,9562,10704,9562,10704,9523xm10704,9446l10694,9446,10694,9485,10704,9485,10704,9446xe" filled="true" fillcolor="#000000" stroked="false">
            <v:path arrowok="t"/>
            <v:fill type="solid"/>
            <w10:wrap type="none"/>
          </v:shape>
        </w:pict>
      </w:r>
      <w:r>
        <w:rPr/>
        <w:pict>
          <v:shape style="position:absolute;margin-left:585.360046pt;margin-top:472.321014pt;width:.5pt;height:5.8pt;mso-position-horizontal-relative:page;mso-position-vertical-relative:page;z-index:-38008832" id="docshape91" coordorigin="11707,9446" coordsize="10,116" path="m11717,9523l11707,9523,11707,9562,11717,9562,11717,9523xm11717,9446l11707,9446,11707,9485,11717,9485,11717,9446xe" filled="true" fillcolor="#000000" stroked="false">
            <v:path arrowok="t"/>
            <v:fill type="solid"/>
            <w10:wrap type="none"/>
          </v:shape>
        </w:pict>
      </w:r>
      <w:r>
        <w:rPr/>
        <w:pict>
          <v:shape style="position:absolute;margin-left:332.160004pt;margin-top:487.681pt;width:.5pt;height:13.45pt;mso-position-horizontal-relative:page;mso-position-vertical-relative:page;z-index:-38008320" id="docshape92" coordorigin="6643,9754" coordsize="10,269" path="m6653,9984l6643,9984,6643,10022,6653,10022,6653,9984xm6653,9907l6643,9907,6643,9946,6653,9946,6653,9907xm6653,9830l6643,9830,6643,9869,6653,9869,6653,9830xm6653,9754l6643,9754,6643,9792,6653,9792,6653,9754xe" filled="true" fillcolor="#000000" stroked="false">
            <v:path arrowok="t"/>
            <v:fill type="solid"/>
            <w10:wrap type="none"/>
          </v:shape>
        </w:pict>
      </w:r>
      <w:r>
        <w:rPr/>
        <w:pict>
          <v:shape style="position:absolute;margin-left:382.800018pt;margin-top:487.681pt;width:.5pt;height:13.45pt;mso-position-horizontal-relative:page;mso-position-vertical-relative:page;z-index:-38007808" id="docshape93" coordorigin="7656,9754" coordsize="10,269" path="m7666,9984l7656,9984,7656,10022,7666,10022,7666,9984xm7666,9907l7656,9907,7656,9946,7666,9946,7666,9907xm7666,9830l7656,9830,7656,9869,7666,9869,7666,9830xm7666,9754l7656,9754,7656,9792,7666,9792,7666,9754xe" filled="true" fillcolor="#000000" stroked="false">
            <v:path arrowok="t"/>
            <v:fill type="solid"/>
            <w10:wrap type="none"/>
          </v:shape>
        </w:pict>
      </w:r>
      <w:r>
        <w:rPr/>
        <w:pict>
          <v:shape style="position:absolute;margin-left:433.440033pt;margin-top:487.681pt;width:.5pt;height:13.45pt;mso-position-horizontal-relative:page;mso-position-vertical-relative:page;z-index:-38007296" id="docshape94" coordorigin="8669,9754" coordsize="10,269" path="m8678,9984l8669,9984,8669,10022,8678,10022,8678,9984xm8678,9907l8669,9907,8669,9946,8678,9946,8678,9907xm8678,9830l8669,9830,8669,9869,8678,9869,8678,9830xm8678,9754l8669,9754,8669,9792,8678,9792,8678,9754xe" filled="true" fillcolor="#000000" stroked="false">
            <v:path arrowok="t"/>
            <v:fill type="solid"/>
            <w10:wrap type="none"/>
          </v:shape>
        </w:pict>
      </w:r>
      <w:r>
        <w:rPr/>
        <w:pict>
          <v:shape style="position:absolute;margin-left:484.199036pt;margin-top:487.681pt;width:.5pt;height:13.45pt;mso-position-horizontal-relative:page;mso-position-vertical-relative:page;z-index:-38006784" id="docshape95" coordorigin="9684,9754" coordsize="10,269" path="m9694,9984l9684,9984,9684,10022,9694,10022,9694,9984xm9694,9907l9684,9907,9684,9946,9694,9946,9694,9907xm9694,9830l9684,9830,9684,9869,9694,9869,9694,9830xm9694,9754l9684,9754,9684,9792,9694,9792,9694,9754xe" filled="true" fillcolor="#000000" stroked="false">
            <v:path arrowok="t"/>
            <v:fill type="solid"/>
            <w10:wrap type="none"/>
          </v:shape>
        </w:pict>
      </w:r>
      <w:r>
        <w:rPr/>
        <w:pict>
          <v:shape style="position:absolute;margin-left:534.720032pt;margin-top:487.681pt;width:.5pt;height:13.45pt;mso-position-horizontal-relative:page;mso-position-vertical-relative:page;z-index:-38006272" id="docshape96" coordorigin="10694,9754" coordsize="10,269" path="m10704,9984l10694,9984,10694,10022,10704,10022,10704,9984xm10704,9907l10694,9907,10694,9946,10704,9946,10704,9907xm10704,9830l10694,9830,10694,9869,10704,9869,10704,9830xm10704,9754l10694,9754,10694,9792,10704,9792,10704,9754xe" filled="true" fillcolor="#000000" stroked="false">
            <v:path arrowok="t"/>
            <v:fill type="solid"/>
            <w10:wrap type="none"/>
          </v:shape>
        </w:pict>
      </w:r>
      <w:r>
        <w:rPr/>
        <w:pict>
          <v:shape style="position:absolute;margin-left:585.360046pt;margin-top:487.681pt;width:.5pt;height:13.45pt;mso-position-horizontal-relative:page;mso-position-vertical-relative:page;z-index:-38005760" id="docshape97" coordorigin="11707,9754" coordsize="10,269" path="m11717,9984l11707,9984,11707,10022,11717,10022,11717,9984xm11717,9907l11707,9907,11707,9946,11717,9946,11717,9907xm11717,9830l11707,9830,11707,9869,11717,9869,11717,9830xm11717,9754l11707,9754,11707,9792,11717,9792,11717,9754xe" filled="true" fillcolor="#000000" stroked="false">
            <v:path arrowok="t"/>
            <v:fill type="solid"/>
            <w10:wrap type="none"/>
          </v:shape>
        </w:pict>
      </w:r>
      <w:r>
        <w:rPr>
          <w:b/>
          <w:color w:val="4966AC"/>
          <w:sz w:val="24"/>
        </w:rPr>
        <w:t>Capital</w:t>
      </w:r>
      <w:r>
        <w:rPr>
          <w:b/>
          <w:color w:val="4966AC"/>
          <w:spacing w:val="-2"/>
          <w:sz w:val="24"/>
        </w:rPr>
        <w:t> </w:t>
      </w:r>
      <w:r>
        <w:rPr>
          <w:b/>
          <w:color w:val="4966AC"/>
          <w:sz w:val="24"/>
        </w:rPr>
        <w:t>Works</w:t>
      </w:r>
      <w:r>
        <w:rPr>
          <w:b/>
          <w:color w:val="4966AC"/>
          <w:spacing w:val="1"/>
          <w:sz w:val="24"/>
        </w:rPr>
        <w:t> </w:t>
      </w:r>
      <w:r>
        <w:rPr>
          <w:b/>
          <w:color w:val="4966AC"/>
          <w:spacing w:val="-2"/>
          <w:sz w:val="24"/>
        </w:rPr>
        <w:t>Program</w:t>
      </w:r>
    </w:p>
    <w:p>
      <w:pPr>
        <w:pStyle w:val="BodyText"/>
        <w:spacing w:before="10"/>
        <w:rPr>
          <w:b/>
          <w:sz w:val="21"/>
        </w:r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661"/>
        <w:gridCol w:w="1253"/>
        <w:gridCol w:w="1013"/>
        <w:gridCol w:w="1013"/>
        <w:gridCol w:w="1015"/>
        <w:gridCol w:w="1010"/>
        <w:gridCol w:w="1012"/>
        <w:gridCol w:w="1012"/>
        <w:gridCol w:w="1252"/>
        <w:gridCol w:w="1252"/>
        <w:gridCol w:w="1365"/>
      </w:tblGrid>
      <w:tr>
        <w:trPr>
          <w:trHeight w:val="317" w:hRule="atLeast"/>
        </w:trPr>
        <w:tc>
          <w:tcPr>
            <w:tcW w:w="15858" w:type="dxa"/>
            <w:gridSpan w:val="11"/>
            <w:tcBorders>
              <w:left w:val="single" w:sz="12" w:space="0" w:color="000000"/>
              <w:right w:val="single" w:sz="12" w:space="0" w:color="000000"/>
            </w:tcBorders>
            <w:shd w:val="clear" w:color="auto" w:fill="629CD1"/>
          </w:tcPr>
          <w:p>
            <w:pPr>
              <w:pStyle w:val="TableParagraph"/>
              <w:spacing w:line="297" w:lineRule="exact"/>
              <w:ind w:left="3884" w:right="3853"/>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6"/>
                <w:sz w:val="28"/>
              </w:rPr>
              <w:t> </w:t>
            </w:r>
            <w:r>
              <w:rPr>
                <w:b/>
                <w:color w:val="FFFFFF"/>
                <w:sz w:val="28"/>
              </w:rPr>
              <w:t>PROGRAM</w:t>
            </w:r>
            <w:r>
              <w:rPr>
                <w:b/>
                <w:color w:val="FFFFFF"/>
                <w:spacing w:val="-3"/>
                <w:sz w:val="28"/>
              </w:rPr>
              <w:t> </w:t>
            </w:r>
            <w:r>
              <w:rPr>
                <w:b/>
                <w:color w:val="FFFFFF"/>
                <w:sz w:val="28"/>
              </w:rPr>
              <w:t>2024/2025</w:t>
            </w:r>
            <w:r>
              <w:rPr>
                <w:b/>
                <w:color w:val="FFFFFF"/>
                <w:spacing w:val="-6"/>
                <w:sz w:val="28"/>
              </w:rPr>
              <w:t> </w:t>
            </w:r>
            <w:r>
              <w:rPr>
                <w:b/>
                <w:color w:val="FFFFFF"/>
                <w:sz w:val="28"/>
              </w:rPr>
              <w:t>TO</w:t>
            </w:r>
            <w:r>
              <w:rPr>
                <w:b/>
                <w:color w:val="FFFFFF"/>
                <w:spacing w:val="-3"/>
                <w:sz w:val="28"/>
              </w:rPr>
              <w:t> </w:t>
            </w:r>
            <w:r>
              <w:rPr>
                <w:b/>
                <w:color w:val="FFFFFF"/>
                <w:spacing w:val="-2"/>
                <w:sz w:val="28"/>
              </w:rPr>
              <w:t>2027/2028</w:t>
            </w:r>
          </w:p>
        </w:tc>
      </w:tr>
      <w:tr>
        <w:trPr>
          <w:trHeight w:val="569" w:hRule="atLeast"/>
        </w:trPr>
        <w:tc>
          <w:tcPr>
            <w:tcW w:w="4661"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7328" w:type="dxa"/>
            <w:gridSpan w:val="7"/>
            <w:tcBorders>
              <w:left w:val="single" w:sz="12" w:space="0" w:color="000000"/>
              <w:right w:val="single" w:sz="12" w:space="0" w:color="000000"/>
            </w:tcBorders>
            <w:shd w:val="clear" w:color="auto" w:fill="629CD1"/>
          </w:tcPr>
          <w:p>
            <w:pPr>
              <w:pStyle w:val="TableParagraph"/>
              <w:spacing w:before="170"/>
              <w:ind w:left="2808" w:right="2785"/>
              <w:jc w:val="center"/>
              <w:rPr>
                <w:b/>
                <w:sz w:val="20"/>
              </w:rPr>
            </w:pPr>
            <w:r>
              <w:rPr>
                <w:b/>
                <w:color w:val="FFFFFF"/>
                <w:sz w:val="20"/>
              </w:rPr>
              <w:t>Budget</w:t>
            </w:r>
            <w:r>
              <w:rPr>
                <w:b/>
                <w:color w:val="FFFFFF"/>
                <w:spacing w:val="-7"/>
                <w:sz w:val="20"/>
              </w:rPr>
              <w:t> </w:t>
            </w:r>
            <w:r>
              <w:rPr>
                <w:b/>
                <w:color w:val="FFFFFF"/>
                <w:spacing w:val="-2"/>
                <w:sz w:val="20"/>
              </w:rPr>
              <w:t>2024/2025</w:t>
            </w:r>
          </w:p>
        </w:tc>
        <w:tc>
          <w:tcPr>
            <w:tcW w:w="1252" w:type="dxa"/>
            <w:tcBorders>
              <w:left w:val="single" w:sz="12" w:space="0" w:color="000000"/>
              <w:right w:val="single" w:sz="12" w:space="0" w:color="000000"/>
            </w:tcBorders>
            <w:shd w:val="clear" w:color="auto" w:fill="629CD1"/>
          </w:tcPr>
          <w:p>
            <w:pPr>
              <w:pStyle w:val="TableParagraph"/>
              <w:spacing w:before="55"/>
              <w:ind w:left="154" w:right="120" w:firstLine="127"/>
              <w:rPr>
                <w:b/>
                <w:sz w:val="20"/>
              </w:rPr>
            </w:pPr>
            <w:r>
              <w:rPr>
                <w:b/>
                <w:color w:val="FFFFFF"/>
                <w:spacing w:val="-2"/>
                <w:sz w:val="20"/>
              </w:rPr>
              <w:t>Budget 2025/2026</w:t>
            </w:r>
          </w:p>
        </w:tc>
        <w:tc>
          <w:tcPr>
            <w:tcW w:w="1252" w:type="dxa"/>
            <w:tcBorders>
              <w:left w:val="single" w:sz="12" w:space="0" w:color="000000"/>
              <w:right w:val="single" w:sz="12" w:space="0" w:color="000000"/>
            </w:tcBorders>
            <w:shd w:val="clear" w:color="auto" w:fill="629CD1"/>
          </w:tcPr>
          <w:p>
            <w:pPr>
              <w:pStyle w:val="TableParagraph"/>
              <w:spacing w:before="55"/>
              <w:ind w:left="155" w:right="119" w:firstLine="127"/>
              <w:rPr>
                <w:b/>
                <w:sz w:val="20"/>
              </w:rPr>
            </w:pPr>
            <w:r>
              <w:rPr>
                <w:b/>
                <w:color w:val="FFFFFF"/>
                <w:spacing w:val="-2"/>
                <w:sz w:val="20"/>
              </w:rPr>
              <w:t>Budget 2026/2027</w:t>
            </w:r>
          </w:p>
        </w:tc>
        <w:tc>
          <w:tcPr>
            <w:tcW w:w="1365" w:type="dxa"/>
            <w:tcBorders>
              <w:left w:val="single" w:sz="12" w:space="0" w:color="000000"/>
              <w:right w:val="single" w:sz="12" w:space="0" w:color="000000"/>
            </w:tcBorders>
            <w:shd w:val="clear" w:color="auto" w:fill="629CD1"/>
          </w:tcPr>
          <w:p>
            <w:pPr>
              <w:pStyle w:val="TableParagraph"/>
              <w:spacing w:before="55"/>
              <w:ind w:left="213" w:right="174" w:firstLine="127"/>
              <w:rPr>
                <w:b/>
                <w:sz w:val="20"/>
              </w:rPr>
            </w:pPr>
            <w:r>
              <w:rPr>
                <w:b/>
                <w:color w:val="FFFFFF"/>
                <w:spacing w:val="-2"/>
                <w:sz w:val="20"/>
              </w:rPr>
              <w:t>Budget 2027/2028</w:t>
            </w:r>
          </w:p>
        </w:tc>
      </w:tr>
      <w:tr>
        <w:trPr>
          <w:trHeight w:val="750" w:hRule="atLeast"/>
        </w:trPr>
        <w:tc>
          <w:tcPr>
            <w:tcW w:w="4661"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253" w:type="dxa"/>
            <w:tcBorders>
              <w:left w:val="single" w:sz="12" w:space="0" w:color="000000"/>
              <w:bottom w:val="single" w:sz="12" w:space="0" w:color="000000"/>
              <w:right w:val="single" w:sz="12" w:space="0" w:color="000000"/>
            </w:tcBorders>
            <w:shd w:val="clear" w:color="auto" w:fill="629CD1"/>
          </w:tcPr>
          <w:p>
            <w:pPr>
              <w:pStyle w:val="TableParagraph"/>
              <w:spacing w:before="42"/>
              <w:ind w:left="162" w:right="132" w:hanging="2"/>
              <w:jc w:val="center"/>
              <w:rPr>
                <w:b/>
                <w:sz w:val="16"/>
              </w:rPr>
            </w:pPr>
            <w:r>
              <w:rPr>
                <w:b/>
                <w:color w:val="FFFFFF"/>
                <w:spacing w:val="-2"/>
                <w:sz w:val="16"/>
              </w:rPr>
              <w:t>Total Expenditure</w:t>
            </w:r>
          </w:p>
          <w:p>
            <w:pPr>
              <w:pStyle w:val="TableParagraph"/>
              <w:spacing w:before="114"/>
              <w:ind w:left="432" w:right="404"/>
              <w:jc w:val="center"/>
              <w:rPr>
                <w:b/>
                <w:sz w:val="16"/>
              </w:rPr>
            </w:pPr>
            <w:r>
              <w:rPr>
                <w:b/>
                <w:color w:val="FFFFFF"/>
                <w:spacing w:val="-4"/>
                <w:sz w:val="16"/>
              </w:rPr>
              <w:t>$000</w:t>
            </w:r>
          </w:p>
        </w:tc>
        <w:tc>
          <w:tcPr>
            <w:tcW w:w="1013" w:type="dxa"/>
            <w:tcBorders>
              <w:left w:val="single" w:sz="12" w:space="0" w:color="000000"/>
              <w:bottom w:val="single" w:sz="12" w:space="0" w:color="000000"/>
              <w:right w:val="single" w:sz="12" w:space="0" w:color="000000"/>
            </w:tcBorders>
            <w:shd w:val="clear" w:color="auto" w:fill="629CD1"/>
          </w:tcPr>
          <w:p>
            <w:pPr>
              <w:pStyle w:val="TableParagraph"/>
              <w:spacing w:before="42"/>
              <w:ind w:left="210" w:right="183"/>
              <w:jc w:val="center"/>
              <w:rPr>
                <w:b/>
                <w:sz w:val="16"/>
              </w:rPr>
            </w:pPr>
            <w:r>
              <w:rPr>
                <w:b/>
                <w:color w:val="FFFFFF"/>
                <w:spacing w:val="-2"/>
                <w:sz w:val="16"/>
              </w:rPr>
              <w:t>Council </w:t>
            </w:r>
            <w:r>
              <w:rPr>
                <w:b/>
                <w:color w:val="FFFFFF"/>
                <w:spacing w:val="-4"/>
                <w:sz w:val="16"/>
              </w:rPr>
              <w:t>Cash</w:t>
            </w:r>
          </w:p>
          <w:p>
            <w:pPr>
              <w:pStyle w:val="TableParagraph"/>
              <w:spacing w:before="114"/>
              <w:ind w:left="210" w:right="182"/>
              <w:jc w:val="center"/>
              <w:rPr>
                <w:b/>
                <w:sz w:val="16"/>
              </w:rPr>
            </w:pPr>
            <w:r>
              <w:rPr>
                <w:b/>
                <w:color w:val="FFFFFF"/>
                <w:spacing w:val="-4"/>
                <w:sz w:val="16"/>
              </w:rPr>
              <w:t>$000</w:t>
            </w:r>
          </w:p>
        </w:tc>
        <w:tc>
          <w:tcPr>
            <w:tcW w:w="1013" w:type="dxa"/>
            <w:tcBorders>
              <w:left w:val="single" w:sz="12" w:space="0" w:color="000000"/>
              <w:bottom w:val="single" w:sz="12" w:space="0" w:color="000000"/>
              <w:right w:val="single" w:sz="12" w:space="0" w:color="000000"/>
            </w:tcBorders>
            <w:shd w:val="clear" w:color="auto" w:fill="629CD1"/>
          </w:tcPr>
          <w:p>
            <w:pPr>
              <w:pStyle w:val="TableParagraph"/>
              <w:spacing w:before="133"/>
              <w:ind w:left="246"/>
              <w:rPr>
                <w:b/>
                <w:sz w:val="16"/>
              </w:rPr>
            </w:pPr>
            <w:r>
              <w:rPr>
                <w:b/>
                <w:color w:val="FFFFFF"/>
                <w:spacing w:val="-2"/>
                <w:sz w:val="16"/>
              </w:rPr>
              <w:t>Grants</w:t>
            </w:r>
          </w:p>
          <w:p>
            <w:pPr>
              <w:pStyle w:val="TableParagraph"/>
              <w:rPr>
                <w:b/>
                <w:sz w:val="18"/>
              </w:rPr>
            </w:pPr>
          </w:p>
          <w:p>
            <w:pPr>
              <w:pStyle w:val="TableParagraph"/>
              <w:ind w:left="327"/>
              <w:rPr>
                <w:b/>
                <w:sz w:val="16"/>
              </w:rPr>
            </w:pPr>
            <w:r>
              <w:rPr>
                <w:b/>
                <w:color w:val="FFFFFF"/>
                <w:spacing w:val="-4"/>
                <w:sz w:val="16"/>
              </w:rPr>
              <w:t>$000</w:t>
            </w:r>
          </w:p>
        </w:tc>
        <w:tc>
          <w:tcPr>
            <w:tcW w:w="1015" w:type="dxa"/>
            <w:tcBorders>
              <w:left w:val="single" w:sz="12" w:space="0" w:color="000000"/>
              <w:bottom w:val="single" w:sz="12" w:space="0" w:color="000000"/>
              <w:right w:val="single" w:sz="12" w:space="0" w:color="000000"/>
            </w:tcBorders>
            <w:shd w:val="clear" w:color="auto" w:fill="629CD1"/>
          </w:tcPr>
          <w:p>
            <w:pPr>
              <w:pStyle w:val="TableParagraph"/>
              <w:spacing w:before="42"/>
              <w:ind w:left="128" w:right="97" w:hanging="1"/>
              <w:jc w:val="center"/>
              <w:rPr>
                <w:b/>
                <w:sz w:val="16"/>
              </w:rPr>
            </w:pPr>
            <w:r>
              <w:rPr>
                <w:b/>
                <w:color w:val="FFFFFF"/>
                <w:spacing w:val="-2"/>
                <w:sz w:val="16"/>
              </w:rPr>
              <w:t>Others </w:t>
            </w:r>
            <w:r>
              <w:rPr>
                <w:b/>
                <w:color w:val="FFFFFF"/>
                <w:sz w:val="16"/>
              </w:rPr>
              <w:t>Contrib</w:t>
            </w:r>
            <w:r>
              <w:rPr>
                <w:b/>
                <w:color w:val="FFFFFF"/>
                <w:spacing w:val="-12"/>
                <w:sz w:val="16"/>
              </w:rPr>
              <w:t> </w:t>
            </w:r>
            <w:r>
              <w:rPr>
                <w:b/>
                <w:color w:val="FFFFFF"/>
                <w:sz w:val="16"/>
              </w:rPr>
              <w:t>‘n</w:t>
            </w:r>
          </w:p>
          <w:p>
            <w:pPr>
              <w:pStyle w:val="TableParagraph"/>
              <w:spacing w:before="114"/>
              <w:ind w:left="109" w:right="84"/>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42"/>
              <w:ind w:left="181" w:right="147" w:hanging="4"/>
              <w:jc w:val="center"/>
              <w:rPr>
                <w:b/>
                <w:sz w:val="16"/>
              </w:rPr>
            </w:pPr>
            <w:r>
              <w:rPr>
                <w:b/>
                <w:color w:val="FFFFFF"/>
                <w:spacing w:val="-2"/>
                <w:sz w:val="16"/>
              </w:rPr>
              <w:t>Asset Renewal</w:t>
            </w:r>
          </w:p>
          <w:p>
            <w:pPr>
              <w:pStyle w:val="TableParagraph"/>
              <w:spacing w:before="114"/>
              <w:ind w:left="105" w:right="75"/>
              <w:jc w:val="center"/>
              <w:rPr>
                <w:b/>
                <w:sz w:val="16"/>
              </w:rPr>
            </w:pPr>
            <w:r>
              <w:rPr>
                <w:b/>
                <w:color w:val="FFFFFF"/>
                <w:spacing w:val="-4"/>
                <w:sz w:val="16"/>
              </w:rPr>
              <w:t>$000</w:t>
            </w:r>
          </w:p>
        </w:tc>
        <w:tc>
          <w:tcPr>
            <w:tcW w:w="1012" w:type="dxa"/>
            <w:tcBorders>
              <w:left w:val="single" w:sz="12" w:space="0" w:color="000000"/>
              <w:bottom w:val="single" w:sz="12" w:space="0" w:color="000000"/>
              <w:right w:val="single" w:sz="12" w:space="0" w:color="000000"/>
            </w:tcBorders>
            <w:shd w:val="clear" w:color="auto" w:fill="629CD1"/>
          </w:tcPr>
          <w:p>
            <w:pPr>
              <w:pStyle w:val="TableParagraph"/>
              <w:spacing w:before="133"/>
              <w:ind w:left="107" w:right="76"/>
              <w:jc w:val="center"/>
              <w:rPr>
                <w:b/>
                <w:sz w:val="16"/>
              </w:rPr>
            </w:pPr>
            <w:r>
              <w:rPr>
                <w:b/>
                <w:color w:val="FFFFFF"/>
                <w:spacing w:val="-2"/>
                <w:sz w:val="16"/>
              </w:rPr>
              <w:t>Upgrade</w:t>
            </w:r>
          </w:p>
          <w:p>
            <w:pPr>
              <w:pStyle w:val="TableParagraph"/>
              <w:rPr>
                <w:b/>
                <w:sz w:val="18"/>
              </w:rPr>
            </w:pPr>
          </w:p>
          <w:p>
            <w:pPr>
              <w:pStyle w:val="TableParagraph"/>
              <w:ind w:left="105" w:right="76"/>
              <w:jc w:val="center"/>
              <w:rPr>
                <w:b/>
                <w:sz w:val="16"/>
              </w:rPr>
            </w:pPr>
            <w:r>
              <w:rPr>
                <w:b/>
                <w:color w:val="FFFFFF"/>
                <w:spacing w:val="-4"/>
                <w:sz w:val="16"/>
              </w:rPr>
              <w:t>$000</w:t>
            </w:r>
          </w:p>
        </w:tc>
        <w:tc>
          <w:tcPr>
            <w:tcW w:w="1012" w:type="dxa"/>
            <w:tcBorders>
              <w:left w:val="single" w:sz="12" w:space="0" w:color="000000"/>
              <w:bottom w:val="single" w:sz="12" w:space="0" w:color="000000"/>
              <w:right w:val="single" w:sz="12" w:space="0" w:color="000000"/>
            </w:tcBorders>
            <w:shd w:val="clear" w:color="auto" w:fill="629CD1"/>
          </w:tcPr>
          <w:p>
            <w:pPr>
              <w:pStyle w:val="TableParagraph"/>
              <w:spacing w:before="133"/>
              <w:ind w:left="109" w:right="76"/>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rPr>
                <w:b/>
                <w:sz w:val="18"/>
              </w:rPr>
            </w:pPr>
          </w:p>
          <w:p>
            <w:pPr>
              <w:pStyle w:val="TableParagraph"/>
              <w:ind w:left="107" w:right="76"/>
              <w:jc w:val="center"/>
              <w:rPr>
                <w:b/>
                <w:sz w:val="16"/>
              </w:rPr>
            </w:pPr>
            <w:r>
              <w:rPr>
                <w:b/>
                <w:color w:val="FFFFFF"/>
                <w:spacing w:val="-4"/>
                <w:sz w:val="16"/>
              </w:rPr>
              <w:t>$000</w:t>
            </w:r>
          </w:p>
        </w:tc>
        <w:tc>
          <w:tcPr>
            <w:tcW w:w="1252" w:type="dxa"/>
            <w:tcBorders>
              <w:left w:val="single" w:sz="12" w:space="0" w:color="000000"/>
              <w:bottom w:val="single" w:sz="12" w:space="0" w:color="000000"/>
              <w:right w:val="single" w:sz="12" w:space="0" w:color="000000"/>
            </w:tcBorders>
            <w:shd w:val="clear" w:color="auto" w:fill="629CD1"/>
          </w:tcPr>
          <w:p>
            <w:pPr>
              <w:pStyle w:val="TableParagraph"/>
              <w:spacing w:before="42"/>
              <w:ind w:left="164" w:right="129" w:hanging="2"/>
              <w:jc w:val="center"/>
              <w:rPr>
                <w:b/>
                <w:sz w:val="16"/>
              </w:rPr>
            </w:pPr>
            <w:r>
              <w:rPr>
                <w:b/>
                <w:color w:val="FFFFFF"/>
                <w:spacing w:val="-2"/>
                <w:sz w:val="16"/>
              </w:rPr>
              <w:t>Total Expenditure</w:t>
            </w:r>
          </w:p>
          <w:p>
            <w:pPr>
              <w:pStyle w:val="TableParagraph"/>
              <w:spacing w:before="114"/>
              <w:ind w:left="436" w:right="404"/>
              <w:jc w:val="center"/>
              <w:rPr>
                <w:b/>
                <w:sz w:val="16"/>
              </w:rPr>
            </w:pPr>
            <w:r>
              <w:rPr>
                <w:b/>
                <w:color w:val="FFFFFF"/>
                <w:spacing w:val="-4"/>
                <w:sz w:val="16"/>
              </w:rPr>
              <w:t>$000</w:t>
            </w:r>
          </w:p>
        </w:tc>
        <w:tc>
          <w:tcPr>
            <w:tcW w:w="1252" w:type="dxa"/>
            <w:tcBorders>
              <w:left w:val="single" w:sz="12" w:space="0" w:color="000000"/>
              <w:bottom w:val="single" w:sz="12" w:space="0" w:color="000000"/>
              <w:right w:val="single" w:sz="12" w:space="0" w:color="000000"/>
            </w:tcBorders>
            <w:shd w:val="clear" w:color="auto" w:fill="629CD1"/>
          </w:tcPr>
          <w:p>
            <w:pPr>
              <w:pStyle w:val="TableParagraph"/>
              <w:spacing w:before="42"/>
              <w:ind w:left="164" w:right="128" w:hanging="2"/>
              <w:jc w:val="center"/>
              <w:rPr>
                <w:b/>
                <w:sz w:val="16"/>
              </w:rPr>
            </w:pPr>
            <w:r>
              <w:rPr>
                <w:b/>
                <w:color w:val="FFFFFF"/>
                <w:spacing w:val="-2"/>
                <w:sz w:val="16"/>
              </w:rPr>
              <w:t>Total Expenditure</w:t>
            </w:r>
          </w:p>
          <w:p>
            <w:pPr>
              <w:pStyle w:val="TableParagraph"/>
              <w:spacing w:before="114"/>
              <w:ind w:left="437" w:right="403"/>
              <w:jc w:val="center"/>
              <w:rPr>
                <w:b/>
                <w:sz w:val="16"/>
              </w:rPr>
            </w:pPr>
            <w:r>
              <w:rPr>
                <w:b/>
                <w:color w:val="FFFFFF"/>
                <w:spacing w:val="-4"/>
                <w:sz w:val="16"/>
              </w:rPr>
              <w:t>$000</w:t>
            </w:r>
          </w:p>
        </w:tc>
        <w:tc>
          <w:tcPr>
            <w:tcW w:w="1365" w:type="dxa"/>
            <w:tcBorders>
              <w:left w:val="single" w:sz="12" w:space="0" w:color="000000"/>
              <w:bottom w:val="single" w:sz="12" w:space="0" w:color="000000"/>
              <w:right w:val="single" w:sz="12" w:space="0" w:color="000000"/>
            </w:tcBorders>
            <w:shd w:val="clear" w:color="auto" w:fill="629CD1"/>
          </w:tcPr>
          <w:p>
            <w:pPr>
              <w:pStyle w:val="TableParagraph"/>
              <w:spacing w:before="42"/>
              <w:ind w:left="223" w:right="183" w:hanging="2"/>
              <w:jc w:val="center"/>
              <w:rPr>
                <w:b/>
                <w:sz w:val="16"/>
              </w:rPr>
            </w:pPr>
            <w:r>
              <w:rPr>
                <w:b/>
                <w:color w:val="FFFFFF"/>
                <w:spacing w:val="-2"/>
                <w:sz w:val="16"/>
              </w:rPr>
              <w:t>Total Expenditure</w:t>
            </w:r>
          </w:p>
          <w:p>
            <w:pPr>
              <w:pStyle w:val="TableParagraph"/>
              <w:spacing w:before="114"/>
              <w:ind w:left="496" w:right="458"/>
              <w:jc w:val="center"/>
              <w:rPr>
                <w:b/>
                <w:sz w:val="16"/>
              </w:rPr>
            </w:pPr>
            <w:r>
              <w:rPr>
                <w:b/>
                <w:color w:val="FFFFFF"/>
                <w:spacing w:val="-4"/>
                <w:sz w:val="16"/>
              </w:rPr>
              <w:t>$000</w:t>
            </w:r>
          </w:p>
        </w:tc>
      </w:tr>
      <w:tr>
        <w:trPr>
          <w:trHeight w:val="321" w:hRule="atLeast"/>
        </w:trPr>
        <w:tc>
          <w:tcPr>
            <w:tcW w:w="4661" w:type="dxa"/>
            <w:tcBorders>
              <w:top w:val="single" w:sz="12" w:space="0" w:color="000000"/>
              <w:left w:val="single" w:sz="12" w:space="0" w:color="000000"/>
              <w:bottom w:val="dashed" w:sz="4" w:space="0" w:color="000000"/>
              <w:right w:val="single" w:sz="12" w:space="0" w:color="000000"/>
            </w:tcBorders>
          </w:tcPr>
          <w:p>
            <w:pPr>
              <w:pStyle w:val="TableParagraph"/>
              <w:spacing w:line="296" w:lineRule="exact" w:before="4"/>
              <w:ind w:left="107"/>
              <w:rPr>
                <w:b/>
                <w:sz w:val="28"/>
              </w:rPr>
            </w:pPr>
            <w:r>
              <w:rPr>
                <w:b/>
                <w:spacing w:val="-2"/>
                <w:sz w:val="28"/>
              </w:rPr>
              <w:t>BUILDINGS</w:t>
            </w:r>
          </w:p>
        </w:tc>
        <w:tc>
          <w:tcPr>
            <w:tcW w:w="7328" w:type="dxa"/>
            <w:gridSpan w:val="7"/>
            <w:tcBorders>
              <w:top w:val="thinThickMediumGap" w:sz="9" w:space="0" w:color="000000"/>
              <w:left w:val="single" w:sz="12" w:space="0" w:color="000000"/>
              <w:bottom w:val="thickThinMediumGap" w:sz="9" w:space="0" w:color="000000"/>
              <w:right w:val="single" w:sz="12" w:space="0" w:color="000000"/>
            </w:tcBorders>
          </w:tcPr>
          <w:p>
            <w:pPr>
              <w:pStyle w:val="TableParagraph"/>
              <w:spacing w:before="3"/>
              <w:rPr>
                <w:b/>
                <w:sz w:val="5"/>
              </w:rPr>
            </w:pPr>
          </w:p>
          <w:p>
            <w:pPr>
              <w:pStyle w:val="TableParagraph"/>
              <w:tabs>
                <w:tab w:pos="2260" w:val="left" w:leader="none"/>
                <w:tab w:pos="3272" w:val="left" w:leader="none"/>
                <w:tab w:pos="4288" w:val="left" w:leader="none"/>
                <w:tab w:pos="5298" w:val="left" w:leader="none"/>
                <w:tab w:pos="6311" w:val="left" w:leader="none"/>
              </w:tabs>
              <w:spacing w:line="192" w:lineRule="exact"/>
              <w:ind w:left="1247"/>
              <w:rPr>
                <w:sz w:val="19"/>
              </w:rPr>
            </w:pPr>
            <w:r>
              <w:rPr>
                <w:position w:val="-3"/>
                <w:sz w:val="19"/>
              </w:rPr>
              <w:pict>
                <v:group style="width:.5pt;height:9.6pt;mso-position-horizontal-relative:char;mso-position-vertical-relative:line" id="docshapegroup98" coordorigin="0,0" coordsize="10,192">
                  <v:shape style="position:absolute;left:0;top:0;width:10;height:192" id="docshape99"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00" coordorigin="0,0" coordsize="10,192">
                  <v:shape style="position:absolute;left:0;top:0;width:10;height:192" id="docshape10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02" coordorigin="0,0" coordsize="10,192">
                  <v:shape style="position:absolute;left:0;top:0;width:10;height:192" id="docshape10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04" coordorigin="0,0" coordsize="10,192">
                  <v:shape style="position:absolute;left:-1;top:0;width:10;height:192" id="docshape10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06" coordorigin="0,0" coordsize="10,192">
                  <v:shape style="position:absolute;left:0;top:0;width:10;height:192" id="docshape10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08" coordorigin="0,0" coordsize="10,192">
                  <v:shape style="position:absolute;left:0;top:0;width:10;height:192" id="docshape109" coordorigin="0,0" coordsize="10,192" path="m10,154l0,154,0,192,10,192,10,154xm10,77l0,77,0,115,10,115,10,77xm10,0l0,0,0,38,10,38,10,0xe" filled="true" fillcolor="#000000" stroked="false">
                    <v:path arrowok="t"/>
                    <v:fill type="solid"/>
                  </v:shape>
                </v:group>
              </w:pict>
            </w:r>
            <w:r>
              <w:rPr>
                <w:position w:val="-3"/>
                <w:sz w:val="19"/>
              </w:rPr>
            </w:r>
          </w:p>
        </w:tc>
        <w:tc>
          <w:tcPr>
            <w:tcW w:w="1252"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2"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365" w:type="dxa"/>
            <w:tcBorders>
              <w:top w:val="single" w:sz="12" w:space="0" w:color="000000"/>
              <w:left w:val="single" w:sz="12" w:space="0" w:color="000000"/>
              <w:bottom w:val="dashSmallGap" w:sz="4" w:space="0" w:color="000000"/>
              <w:right w:val="dashed" w:sz="12" w:space="0" w:color="000000"/>
            </w:tcBorders>
          </w:tcPr>
          <w:p>
            <w:pPr>
              <w:pStyle w:val="TableParagraph"/>
              <w:rPr>
                <w:rFonts w:ascii="Times New Roman"/>
                <w:sz w:val="18"/>
              </w:rPr>
            </w:pPr>
          </w:p>
        </w:tc>
      </w:tr>
      <w:tr>
        <w:trPr>
          <w:trHeight w:val="234"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line="215" w:lineRule="exact"/>
              <w:ind w:left="107"/>
              <w:rPr>
                <w:b/>
                <w:sz w:val="22"/>
              </w:rPr>
            </w:pPr>
            <w:r>
              <w:rPr>
                <w:b/>
                <w:spacing w:val="-2"/>
                <w:sz w:val="22"/>
              </w:rPr>
              <w:t>BUILDINGS</w:t>
            </w:r>
          </w:p>
        </w:tc>
        <w:tc>
          <w:tcPr>
            <w:tcW w:w="7328" w:type="dxa"/>
            <w:gridSpan w:val="7"/>
            <w:tcBorders>
              <w:top w:val="thinThickMediumGap" w:sz="9" w:space="0" w:color="000000"/>
              <w:left w:val="single" w:sz="12" w:space="0" w:color="000000"/>
              <w:bottom w:val="thickThinMediumGap" w:sz="9" w:space="0" w:color="000000"/>
              <w:right w:val="single" w:sz="12" w:space="0" w:color="000000"/>
            </w:tcBorders>
          </w:tcPr>
          <w:p>
            <w:pPr>
              <w:pStyle w:val="TableParagraph"/>
              <w:spacing w:before="2"/>
              <w:rPr>
                <w:b/>
                <w:sz w:val="4"/>
              </w:rPr>
            </w:pPr>
          </w:p>
          <w:p>
            <w:pPr>
              <w:pStyle w:val="TableParagraph"/>
              <w:tabs>
                <w:tab w:pos="2260" w:val="left" w:leader="none"/>
                <w:tab w:pos="3272" w:val="left" w:leader="none"/>
                <w:tab w:pos="4288" w:val="left" w:leader="none"/>
                <w:tab w:pos="5298" w:val="left" w:leader="none"/>
                <w:tab w:pos="6311" w:val="left" w:leader="none"/>
              </w:tabs>
              <w:spacing w:line="115" w:lineRule="exact"/>
              <w:ind w:left="1247"/>
              <w:rPr>
                <w:sz w:val="11"/>
              </w:rPr>
            </w:pPr>
            <w:r>
              <w:rPr>
                <w:position w:val="-1"/>
                <w:sz w:val="11"/>
              </w:rPr>
              <w:pict>
                <v:group style="width:.5pt;height:5.8pt;mso-position-horizontal-relative:char;mso-position-vertical-relative:line" id="docshapegroup110" coordorigin="0,0" coordsize="10,116">
                  <v:shape style="position:absolute;left:0;top:0;width:10;height:116" id="docshape11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12" coordorigin="0,0" coordsize="10,116">
                  <v:shape style="position:absolute;left:0;top:0;width:10;height:116" id="docshape11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14" coordorigin="0,0" coordsize="10,116">
                  <v:shape style="position:absolute;left:0;top:0;width:10;height:116" id="docshape11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16" coordorigin="0,0" coordsize="10,116">
                  <v:shape style="position:absolute;left:-1;top:0;width:10;height:116" id="docshape11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18" coordorigin="0,0" coordsize="10,116">
                  <v:shape style="position:absolute;left:0;top:0;width:10;height:116" id="docshape11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20" coordorigin="0,0" coordsize="10,116">
                  <v:shape style="position:absolute;left:0;top:0;width:10;height:116" id="docshape121" coordorigin="0,0" coordsize="10,116" path="m10,77l0,77,0,115,10,115,10,77xm10,0l0,0,0,38,10,38,10,0xe" filled="true" fillcolor="#000000" stroked="false">
                    <v:path arrowok="t"/>
                    <v:fill type="solid"/>
                  </v:shape>
                </v:group>
              </w:pict>
            </w:r>
            <w:r>
              <w:rPr>
                <w:position w:val="-1"/>
                <w:sz w:val="11"/>
              </w:rPr>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6"/>
              </w:rPr>
            </w:pP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6"/>
              </w:rPr>
            </w:pPr>
          </w:p>
        </w:tc>
        <w:tc>
          <w:tcPr>
            <w:tcW w:w="1365" w:type="dxa"/>
            <w:tcBorders>
              <w:top w:val="dashSmallGap" w:sz="4" w:space="0" w:color="000000"/>
              <w:left w:val="single" w:sz="12" w:space="0" w:color="000000"/>
              <w:bottom w:val="dashSmallGap" w:sz="4" w:space="0" w:color="000000"/>
              <w:right w:val="dashed" w:sz="12" w:space="0" w:color="000000"/>
            </w:tcBorders>
          </w:tcPr>
          <w:p>
            <w:pPr>
              <w:pStyle w:val="TableParagraph"/>
              <w:rPr>
                <w:rFonts w:ascii="Times New Roman"/>
                <w:sz w:val="16"/>
              </w:rPr>
            </w:pPr>
          </w:p>
        </w:tc>
      </w:tr>
      <w:tr>
        <w:trPr>
          <w:trHeight w:val="267"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before="12"/>
              <w:ind w:left="107"/>
              <w:rPr>
                <w:sz w:val="18"/>
              </w:rPr>
            </w:pPr>
            <w:r>
              <w:rPr>
                <w:sz w:val="18"/>
              </w:rPr>
              <w:t>Capital</w:t>
            </w:r>
            <w:r>
              <w:rPr>
                <w:spacing w:val="-2"/>
                <w:sz w:val="18"/>
              </w:rPr>
              <w:t> </w:t>
            </w:r>
            <w:r>
              <w:rPr>
                <w:sz w:val="18"/>
              </w:rPr>
              <w:t>Funding</w:t>
            </w:r>
            <w:r>
              <w:rPr>
                <w:spacing w:val="-1"/>
                <w:sz w:val="18"/>
              </w:rPr>
              <w:t> </w:t>
            </w:r>
            <w:r>
              <w:rPr>
                <w:sz w:val="18"/>
              </w:rPr>
              <w:t>for</w:t>
            </w:r>
            <w:r>
              <w:rPr>
                <w:spacing w:val="-2"/>
                <w:sz w:val="18"/>
              </w:rPr>
              <w:t> </w:t>
            </w:r>
            <w:r>
              <w:rPr>
                <w:sz w:val="18"/>
              </w:rPr>
              <w:t>Community</w:t>
            </w:r>
            <w:r>
              <w:rPr>
                <w:spacing w:val="-1"/>
                <w:sz w:val="18"/>
              </w:rPr>
              <w:t> </w:t>
            </w:r>
            <w:r>
              <w:rPr>
                <w:spacing w:val="-2"/>
                <w:sz w:val="18"/>
              </w:rPr>
              <w:t>Groups</w:t>
            </w:r>
          </w:p>
        </w:tc>
        <w:tc>
          <w:tcPr>
            <w:tcW w:w="1253" w:type="dxa"/>
            <w:tcBorders>
              <w:top w:val="dashed" w:sz="4" w:space="0" w:color="000000"/>
              <w:left w:val="single" w:sz="12" w:space="0" w:color="000000"/>
              <w:bottom w:val="dashed" w:sz="4" w:space="0" w:color="000000"/>
              <w:right w:val="nil"/>
            </w:tcBorders>
          </w:tcPr>
          <w:p>
            <w:pPr>
              <w:pStyle w:val="TableParagraph"/>
              <w:spacing w:before="12"/>
              <w:ind w:right="76"/>
              <w:jc w:val="right"/>
              <w:rPr>
                <w:sz w:val="18"/>
              </w:rPr>
            </w:pPr>
            <w:r>
              <w:rPr>
                <w:spacing w:val="-5"/>
                <w:sz w:val="18"/>
              </w:rPr>
              <w:t>380</w:t>
            </w:r>
          </w:p>
        </w:tc>
        <w:tc>
          <w:tcPr>
            <w:tcW w:w="1013" w:type="dxa"/>
            <w:tcBorders>
              <w:top w:val="dashed" w:sz="4" w:space="0" w:color="000000"/>
              <w:left w:val="nil"/>
              <w:bottom w:val="dashed" w:sz="4" w:space="0" w:color="000000"/>
              <w:right w:val="nil"/>
            </w:tcBorders>
          </w:tcPr>
          <w:p>
            <w:pPr>
              <w:pStyle w:val="TableParagraph"/>
              <w:spacing w:before="12"/>
              <w:ind w:right="90"/>
              <w:jc w:val="right"/>
              <w:rPr>
                <w:sz w:val="18"/>
              </w:rPr>
            </w:pPr>
            <w:r>
              <w:rPr>
                <w:spacing w:val="-5"/>
                <w:sz w:val="18"/>
              </w:rPr>
              <w:t>190</w:t>
            </w:r>
          </w:p>
        </w:tc>
        <w:tc>
          <w:tcPr>
            <w:tcW w:w="1013" w:type="dxa"/>
            <w:tcBorders>
              <w:top w:val="dashed" w:sz="4" w:space="0" w:color="000000"/>
              <w:left w:val="nil"/>
              <w:bottom w:val="dashed" w:sz="4" w:space="0" w:color="000000"/>
              <w:right w:val="nil"/>
            </w:tcBorders>
          </w:tcPr>
          <w:p>
            <w:pPr>
              <w:pStyle w:val="TableParagraph"/>
              <w:rPr>
                <w:b/>
                <w:sz w:val="4"/>
              </w:rPr>
            </w:pPr>
          </w:p>
          <w:p>
            <w:pPr>
              <w:pStyle w:val="TableParagraph"/>
              <w:tabs>
                <w:tab w:pos="1021" w:val="left" w:leader="none"/>
              </w:tabs>
              <w:spacing w:line="115" w:lineRule="exact"/>
              <w:ind w:left="9" w:right="-87"/>
              <w:rPr>
                <w:sz w:val="11"/>
              </w:rPr>
            </w:pPr>
            <w:r>
              <w:rPr>
                <w:position w:val="-1"/>
                <w:sz w:val="11"/>
              </w:rPr>
              <w:pict>
                <v:group style="width:.5pt;height:5.8pt;mso-position-horizontal-relative:char;mso-position-vertical-relative:line" id="docshapegroup122" coordorigin="0,0" coordsize="10,116">
                  <v:shape style="position:absolute;left:0;top:0;width:10;height:116" id="docshape12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24" coordorigin="0,0" coordsize="10,116">
                  <v:shape style="position:absolute;left:0;top:0;width:10;height:116" id="docshape125" coordorigin="0,0" coordsize="10,116" path="m10,77l0,77,0,115,10,115,10,77xm10,0l0,0,0,38,10,38,10,0xe" filled="true" fillcolor="#000000" stroked="false">
                    <v:path arrowok="t"/>
                    <v:fill type="solid"/>
                  </v:shape>
                </v:group>
              </w:pict>
            </w:r>
            <w:r>
              <w:rPr>
                <w:position w:val="-1"/>
                <w:sz w:val="11"/>
              </w:rPr>
            </w:r>
          </w:p>
        </w:tc>
        <w:tc>
          <w:tcPr>
            <w:tcW w:w="1015" w:type="dxa"/>
            <w:tcBorders>
              <w:top w:val="dashed" w:sz="4" w:space="0" w:color="000000"/>
              <w:left w:val="nil"/>
              <w:bottom w:val="dashed" w:sz="4" w:space="0" w:color="000000"/>
              <w:right w:val="nil"/>
            </w:tcBorders>
          </w:tcPr>
          <w:p>
            <w:pPr>
              <w:pStyle w:val="TableParagraph"/>
              <w:spacing w:before="12"/>
              <w:ind w:right="91"/>
              <w:jc w:val="right"/>
              <w:rPr>
                <w:sz w:val="18"/>
              </w:rPr>
            </w:pPr>
            <w:r>
              <w:rPr>
                <w:spacing w:val="-5"/>
                <w:sz w:val="18"/>
              </w:rPr>
              <w:t>190</w:t>
            </w:r>
          </w:p>
        </w:tc>
        <w:tc>
          <w:tcPr>
            <w:tcW w:w="1010" w:type="dxa"/>
            <w:tcBorders>
              <w:top w:val="dashSmallGap" w:sz="4" w:space="0" w:color="000000"/>
              <w:left w:val="nil"/>
              <w:bottom w:val="dashSmallGap" w:sz="4" w:space="0" w:color="000000"/>
              <w:right w:val="nil"/>
            </w:tcBorders>
          </w:tcPr>
          <w:p>
            <w:pPr>
              <w:pStyle w:val="TableParagraph"/>
              <w:spacing w:before="12"/>
              <w:ind w:right="88"/>
              <w:jc w:val="right"/>
              <w:rPr>
                <w:sz w:val="18"/>
              </w:rPr>
            </w:pPr>
            <w:r>
              <w:rPr>
                <w:spacing w:val="-5"/>
                <w:sz w:val="18"/>
              </w:rPr>
              <w:t>190</w:t>
            </w:r>
          </w:p>
        </w:tc>
        <w:tc>
          <w:tcPr>
            <w:tcW w:w="1012" w:type="dxa"/>
            <w:tcBorders>
              <w:top w:val="dashSmallGap" w:sz="4" w:space="0" w:color="000000"/>
              <w:left w:val="nil"/>
              <w:bottom w:val="dashSmallGap" w:sz="4" w:space="0" w:color="000000"/>
              <w:right w:val="nil"/>
            </w:tcBorders>
          </w:tcPr>
          <w:p>
            <w:pPr>
              <w:pStyle w:val="TableParagraph"/>
              <w:spacing w:before="12"/>
              <w:ind w:right="90"/>
              <w:jc w:val="right"/>
              <w:rPr>
                <w:sz w:val="18"/>
              </w:rPr>
            </w:pPr>
            <w:r>
              <w:rPr>
                <w:spacing w:val="-5"/>
                <w:sz w:val="18"/>
              </w:rPr>
              <w:t>190</w:t>
            </w:r>
          </w:p>
        </w:tc>
        <w:tc>
          <w:tcPr>
            <w:tcW w:w="1012" w:type="dxa"/>
            <w:tcBorders>
              <w:top w:val="dashSmallGap" w:sz="4" w:space="0" w:color="000000"/>
              <w:left w:val="nil"/>
              <w:bottom w:val="dashSmallGap" w:sz="4" w:space="0" w:color="000000"/>
              <w:right w:val="single" w:sz="12" w:space="0" w:color="000000"/>
            </w:tcBorders>
          </w:tcPr>
          <w:p>
            <w:pPr>
              <w:pStyle w:val="TableParagraph"/>
              <w:rPr>
                <w:b/>
                <w:sz w:val="4"/>
              </w:rPr>
            </w:pPr>
          </w:p>
          <w:p>
            <w:pPr>
              <w:pStyle w:val="TableParagraph"/>
              <w:spacing w:line="115" w:lineRule="exact"/>
              <w:ind w:left="-5"/>
              <w:rPr>
                <w:sz w:val="11"/>
              </w:rPr>
            </w:pPr>
            <w:r>
              <w:rPr>
                <w:position w:val="-1"/>
                <w:sz w:val="11"/>
              </w:rPr>
              <w:pict>
                <v:group style="width:.5pt;height:5.8pt;mso-position-horizontal-relative:char;mso-position-vertical-relative:line" id="docshapegroup126" coordorigin="0,0" coordsize="10,116">
                  <v:shape style="position:absolute;left:0;top:0;width:10;height:116" id="docshape127" coordorigin="0,0" coordsize="10,116" path="m10,77l0,77,0,115,10,115,10,77xm10,0l0,0,0,38,10,38,10,0xe" filled="true" fillcolor="#000000" stroked="false">
                    <v:path arrowok="t"/>
                    <v:fill type="solid"/>
                  </v:shape>
                </v:group>
              </w:pict>
            </w:r>
            <w:r>
              <w:rPr>
                <w:position w:val="-1"/>
                <w:sz w:val="11"/>
              </w:rPr>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12"/>
              <w:ind w:right="73"/>
              <w:jc w:val="right"/>
              <w:rPr>
                <w:sz w:val="18"/>
              </w:rPr>
            </w:pPr>
            <w:r>
              <w:rPr>
                <w:spacing w:val="-5"/>
                <w:sz w:val="18"/>
              </w:rPr>
              <w:t>380</w:t>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12"/>
              <w:ind w:right="73"/>
              <w:jc w:val="right"/>
              <w:rPr>
                <w:sz w:val="18"/>
              </w:rPr>
            </w:pPr>
            <w:r>
              <w:rPr>
                <w:spacing w:val="-5"/>
                <w:sz w:val="18"/>
              </w:rPr>
              <w:t>400</w:t>
            </w:r>
          </w:p>
        </w:tc>
        <w:tc>
          <w:tcPr>
            <w:tcW w:w="1365" w:type="dxa"/>
            <w:tcBorders>
              <w:top w:val="dashSmallGap" w:sz="4" w:space="0" w:color="000000"/>
              <w:left w:val="single" w:sz="12" w:space="0" w:color="000000"/>
              <w:bottom w:val="dashSmallGap" w:sz="4" w:space="0" w:color="000000"/>
              <w:right w:val="dashed" w:sz="12" w:space="0" w:color="000000"/>
            </w:tcBorders>
          </w:tcPr>
          <w:p>
            <w:pPr>
              <w:pStyle w:val="TableParagraph"/>
              <w:spacing w:before="12"/>
              <w:ind w:right="70"/>
              <w:jc w:val="right"/>
              <w:rPr>
                <w:sz w:val="18"/>
              </w:rPr>
            </w:pPr>
            <w:r>
              <w:rPr>
                <w:spacing w:val="-5"/>
                <w:sz w:val="18"/>
              </w:rPr>
              <w:t>400</w:t>
            </w:r>
          </w:p>
        </w:tc>
      </w:tr>
      <w:tr>
        <w:trPr>
          <w:trHeight w:val="299"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before="47"/>
              <w:ind w:left="107"/>
              <w:rPr>
                <w:sz w:val="18"/>
              </w:rPr>
            </w:pPr>
            <w:r>
              <w:rPr>
                <w:sz w:val="18"/>
              </w:rPr>
              <w:t>Community</w:t>
            </w:r>
            <w:r>
              <w:rPr>
                <w:spacing w:val="-5"/>
                <w:sz w:val="18"/>
              </w:rPr>
              <w:t> </w:t>
            </w:r>
            <w:r>
              <w:rPr>
                <w:sz w:val="18"/>
              </w:rPr>
              <w:t>Facilities</w:t>
            </w:r>
            <w:r>
              <w:rPr>
                <w:spacing w:val="-1"/>
                <w:sz w:val="18"/>
              </w:rPr>
              <w:t> </w:t>
            </w:r>
            <w:r>
              <w:rPr>
                <w:sz w:val="18"/>
              </w:rPr>
              <w:t>-</w:t>
            </w:r>
            <w:r>
              <w:rPr>
                <w:spacing w:val="-1"/>
                <w:sz w:val="18"/>
              </w:rPr>
              <w:t> </w:t>
            </w:r>
            <w:r>
              <w:rPr>
                <w:sz w:val="18"/>
              </w:rPr>
              <w:t>Access</w:t>
            </w:r>
            <w:r>
              <w:rPr>
                <w:spacing w:val="-2"/>
                <w:sz w:val="18"/>
              </w:rPr>
              <w:t> </w:t>
            </w:r>
            <w:r>
              <w:rPr>
                <w:sz w:val="18"/>
              </w:rPr>
              <w:t>&amp;</w:t>
            </w:r>
            <w:r>
              <w:rPr>
                <w:spacing w:val="-4"/>
                <w:sz w:val="18"/>
              </w:rPr>
              <w:t> </w:t>
            </w:r>
            <w:r>
              <w:rPr>
                <w:spacing w:val="-2"/>
                <w:sz w:val="18"/>
              </w:rPr>
              <w:t>Inclusion</w:t>
            </w:r>
          </w:p>
        </w:tc>
        <w:tc>
          <w:tcPr>
            <w:tcW w:w="1253" w:type="dxa"/>
            <w:tcBorders>
              <w:top w:val="dashed" w:sz="4" w:space="0" w:color="000000"/>
              <w:left w:val="single" w:sz="12" w:space="0" w:color="000000"/>
              <w:bottom w:val="dashed" w:sz="4" w:space="0" w:color="000000"/>
              <w:right w:val="nil"/>
            </w:tcBorders>
          </w:tcPr>
          <w:p>
            <w:pPr>
              <w:pStyle w:val="TableParagraph"/>
              <w:spacing w:before="47"/>
              <w:ind w:right="74"/>
              <w:jc w:val="right"/>
              <w:rPr>
                <w:sz w:val="18"/>
              </w:rPr>
            </w:pPr>
            <w:r>
              <w:rPr>
                <w:spacing w:val="-5"/>
                <w:sz w:val="18"/>
              </w:rPr>
              <w:t>240</w:t>
            </w:r>
          </w:p>
        </w:tc>
        <w:tc>
          <w:tcPr>
            <w:tcW w:w="1013" w:type="dxa"/>
            <w:tcBorders>
              <w:top w:val="dashed" w:sz="4" w:space="0" w:color="000000"/>
              <w:left w:val="nil"/>
              <w:bottom w:val="dashed" w:sz="4" w:space="0" w:color="000000"/>
              <w:right w:val="nil"/>
            </w:tcBorders>
          </w:tcPr>
          <w:p>
            <w:pPr>
              <w:pStyle w:val="TableParagraph"/>
              <w:spacing w:before="47"/>
              <w:ind w:right="90"/>
              <w:jc w:val="right"/>
              <w:rPr>
                <w:sz w:val="18"/>
              </w:rPr>
            </w:pPr>
            <w:r>
              <w:rPr>
                <w:spacing w:val="-5"/>
                <w:sz w:val="18"/>
              </w:rPr>
              <w:t>240</w:t>
            </w:r>
          </w:p>
        </w:tc>
        <w:tc>
          <w:tcPr>
            <w:tcW w:w="1013" w:type="dxa"/>
            <w:tcBorders>
              <w:top w:val="dashed" w:sz="4" w:space="0" w:color="000000"/>
              <w:left w:val="nil"/>
              <w:bottom w:val="dashed" w:sz="4" w:space="0" w:color="000000"/>
              <w:right w:val="nil"/>
            </w:tcBorders>
          </w:tcPr>
          <w:p>
            <w:pPr>
              <w:pStyle w:val="TableParagraph"/>
              <w:spacing w:before="7"/>
              <w:rPr>
                <w:b/>
                <w:sz w:val="6"/>
              </w:rPr>
            </w:pPr>
          </w:p>
          <w:p>
            <w:pPr>
              <w:pStyle w:val="TableParagraph"/>
              <w:tabs>
                <w:tab w:pos="1021" w:val="left" w:leader="none"/>
              </w:tabs>
              <w:spacing w:line="115" w:lineRule="exact"/>
              <w:ind w:left="9" w:right="-87"/>
              <w:rPr>
                <w:sz w:val="11"/>
              </w:rPr>
            </w:pPr>
            <w:r>
              <w:rPr>
                <w:position w:val="-1"/>
                <w:sz w:val="11"/>
              </w:rPr>
              <w:pict>
                <v:group style="width:.5pt;height:5.8pt;mso-position-horizontal-relative:char;mso-position-vertical-relative:line" id="docshapegroup128" coordorigin="0,0" coordsize="10,116">
                  <v:shape style="position:absolute;left:0;top:0;width:10;height:116" id="docshape12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30" coordorigin="0,0" coordsize="10,116">
                  <v:shape style="position:absolute;left:0;top:0;width:10;height:116" id="docshape131" coordorigin="0,0" coordsize="10,116" path="m10,77l0,77,0,115,10,115,10,77xm10,0l0,0,0,38,10,38,10,0xe" filled="true" fillcolor="#000000" stroked="false">
                    <v:path arrowok="t"/>
                    <v:fill type="solid"/>
                  </v:shape>
                </v:group>
              </w:pict>
            </w:r>
            <w:r>
              <w:rPr>
                <w:position w:val="-1"/>
                <w:sz w:val="11"/>
              </w:rPr>
            </w:r>
          </w:p>
        </w:tc>
        <w:tc>
          <w:tcPr>
            <w:tcW w:w="1015" w:type="dxa"/>
            <w:tcBorders>
              <w:top w:val="dashed" w:sz="4" w:space="0" w:color="000000"/>
              <w:left w:val="nil"/>
              <w:bottom w:val="dashed" w:sz="4" w:space="0" w:color="000000"/>
              <w:right w:val="nil"/>
            </w:tcBorders>
          </w:tcPr>
          <w:p>
            <w:pPr>
              <w:pStyle w:val="TableParagraph"/>
              <w:spacing w:before="7"/>
              <w:rPr>
                <w:b/>
                <w:sz w:val="6"/>
              </w:rPr>
            </w:pPr>
          </w:p>
          <w:p>
            <w:pPr>
              <w:pStyle w:val="TableParagraph"/>
              <w:spacing w:line="115" w:lineRule="exact"/>
              <w:ind w:left="1024" w:right="-87"/>
              <w:rPr>
                <w:sz w:val="11"/>
              </w:rPr>
            </w:pPr>
            <w:r>
              <w:rPr>
                <w:position w:val="-1"/>
                <w:sz w:val="11"/>
              </w:rPr>
              <w:pict>
                <v:group style="width:.5pt;height:5.8pt;mso-position-horizontal-relative:char;mso-position-vertical-relative:line" id="docshapegroup132" coordorigin="0,0" coordsize="10,116">
                  <v:shape style="position:absolute;left:-1;top:0;width:10;height:116" id="docshape133"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47"/>
              <w:ind w:right="88"/>
              <w:jc w:val="right"/>
              <w:rPr>
                <w:sz w:val="18"/>
              </w:rPr>
            </w:pPr>
            <w:r>
              <w:rPr>
                <w:spacing w:val="-5"/>
                <w:sz w:val="18"/>
              </w:rPr>
              <w:t>192</w:t>
            </w:r>
          </w:p>
        </w:tc>
        <w:tc>
          <w:tcPr>
            <w:tcW w:w="1012" w:type="dxa"/>
            <w:tcBorders>
              <w:top w:val="dashSmallGap" w:sz="4" w:space="0" w:color="000000"/>
              <w:left w:val="nil"/>
              <w:bottom w:val="dashed" w:sz="4" w:space="0" w:color="000000"/>
              <w:right w:val="nil"/>
            </w:tcBorders>
          </w:tcPr>
          <w:p>
            <w:pPr>
              <w:pStyle w:val="TableParagraph"/>
              <w:spacing w:before="47"/>
              <w:ind w:right="89"/>
              <w:jc w:val="right"/>
              <w:rPr>
                <w:sz w:val="18"/>
              </w:rPr>
            </w:pPr>
            <w:r>
              <w:rPr>
                <w:spacing w:val="-5"/>
                <w:sz w:val="18"/>
              </w:rPr>
              <w:t>48</w:t>
            </w:r>
          </w:p>
        </w:tc>
        <w:tc>
          <w:tcPr>
            <w:tcW w:w="1012" w:type="dxa"/>
            <w:tcBorders>
              <w:top w:val="dashSmallGap" w:sz="4" w:space="0" w:color="000000"/>
              <w:left w:val="nil"/>
              <w:bottom w:val="dashSmallGap" w:sz="4" w:space="0" w:color="000000"/>
              <w:right w:val="single" w:sz="12" w:space="0" w:color="000000"/>
            </w:tcBorders>
          </w:tcPr>
          <w:p>
            <w:pPr>
              <w:pStyle w:val="TableParagraph"/>
              <w:spacing w:before="7"/>
              <w:rPr>
                <w:b/>
                <w:sz w:val="6"/>
              </w:rPr>
            </w:pPr>
          </w:p>
          <w:p>
            <w:pPr>
              <w:pStyle w:val="TableParagraph"/>
              <w:spacing w:line="115" w:lineRule="exact"/>
              <w:ind w:left="-5"/>
              <w:rPr>
                <w:sz w:val="11"/>
              </w:rPr>
            </w:pPr>
            <w:r>
              <w:rPr>
                <w:position w:val="-1"/>
                <w:sz w:val="11"/>
              </w:rPr>
              <w:pict>
                <v:group style="width:.5pt;height:5.8pt;mso-position-horizontal-relative:char;mso-position-vertical-relative:line" id="docshapegroup134" coordorigin="0,0" coordsize="10,116">
                  <v:shape style="position:absolute;left:0;top:0;width:10;height:116" id="docshape135" coordorigin="0,0" coordsize="10,116" path="m10,77l0,77,0,115,10,115,10,77xm10,0l0,0,0,38,10,38,10,0xe" filled="true" fillcolor="#000000" stroked="false">
                    <v:path arrowok="t"/>
                    <v:fill type="solid"/>
                  </v:shape>
                </v:group>
              </w:pict>
            </w:r>
            <w:r>
              <w:rPr>
                <w:position w:val="-1"/>
                <w:sz w:val="11"/>
              </w:rPr>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right="74"/>
              <w:jc w:val="right"/>
              <w:rPr>
                <w:sz w:val="18"/>
              </w:rPr>
            </w:pPr>
            <w:r>
              <w:rPr>
                <w:spacing w:val="-5"/>
                <w:sz w:val="18"/>
              </w:rPr>
              <w:t>240</w:t>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right="73"/>
              <w:jc w:val="right"/>
              <w:rPr>
                <w:sz w:val="18"/>
              </w:rPr>
            </w:pPr>
            <w:r>
              <w:rPr>
                <w:spacing w:val="-5"/>
                <w:sz w:val="18"/>
              </w:rPr>
              <w:t>250</w:t>
            </w:r>
          </w:p>
        </w:tc>
        <w:tc>
          <w:tcPr>
            <w:tcW w:w="1365" w:type="dxa"/>
            <w:tcBorders>
              <w:top w:val="dashSmallGap" w:sz="4" w:space="0" w:color="000000"/>
              <w:left w:val="single" w:sz="12" w:space="0" w:color="000000"/>
              <w:bottom w:val="dashSmallGap" w:sz="4" w:space="0" w:color="000000"/>
              <w:right w:val="dashed" w:sz="12" w:space="0" w:color="000000"/>
            </w:tcBorders>
          </w:tcPr>
          <w:p>
            <w:pPr>
              <w:pStyle w:val="TableParagraph"/>
              <w:spacing w:before="47"/>
              <w:ind w:right="70"/>
              <w:jc w:val="right"/>
              <w:rPr>
                <w:sz w:val="18"/>
              </w:rPr>
            </w:pPr>
            <w:r>
              <w:rPr>
                <w:spacing w:val="-5"/>
                <w:sz w:val="18"/>
              </w:rPr>
              <w:t>270</w:t>
            </w:r>
          </w:p>
        </w:tc>
      </w:tr>
      <w:tr>
        <w:trPr>
          <w:trHeight w:val="299"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before="47"/>
              <w:ind w:left="107"/>
              <w:rPr>
                <w:sz w:val="18"/>
              </w:rPr>
            </w:pPr>
            <w:r>
              <w:rPr>
                <w:sz w:val="18"/>
              </w:rPr>
              <w:t>Public Toilet</w:t>
            </w:r>
            <w:r>
              <w:rPr>
                <w:spacing w:val="-2"/>
                <w:sz w:val="18"/>
              </w:rPr>
              <w:t> </w:t>
            </w:r>
            <w:r>
              <w:rPr>
                <w:sz w:val="18"/>
              </w:rPr>
              <w:t>Improvement </w:t>
            </w:r>
            <w:r>
              <w:rPr>
                <w:spacing w:val="-2"/>
                <w:sz w:val="18"/>
              </w:rPr>
              <w:t>Program</w:t>
            </w:r>
          </w:p>
        </w:tc>
        <w:tc>
          <w:tcPr>
            <w:tcW w:w="1253" w:type="dxa"/>
            <w:tcBorders>
              <w:top w:val="dashed" w:sz="4" w:space="0" w:color="000000"/>
              <w:left w:val="single" w:sz="12" w:space="0" w:color="000000"/>
              <w:bottom w:val="dashed" w:sz="4" w:space="0" w:color="000000"/>
              <w:right w:val="nil"/>
            </w:tcBorders>
          </w:tcPr>
          <w:p>
            <w:pPr>
              <w:pStyle w:val="TableParagraph"/>
              <w:spacing w:before="47"/>
              <w:ind w:right="75"/>
              <w:jc w:val="right"/>
              <w:rPr>
                <w:sz w:val="18"/>
              </w:rPr>
            </w:pPr>
            <w:r>
              <w:rPr>
                <w:spacing w:val="-5"/>
                <w:sz w:val="18"/>
              </w:rPr>
              <w:t>300</w:t>
            </w:r>
          </w:p>
        </w:tc>
        <w:tc>
          <w:tcPr>
            <w:tcW w:w="1013" w:type="dxa"/>
            <w:tcBorders>
              <w:top w:val="dashed" w:sz="4" w:space="0" w:color="000000"/>
              <w:left w:val="nil"/>
              <w:bottom w:val="dashed" w:sz="4" w:space="0" w:color="000000"/>
              <w:right w:val="nil"/>
            </w:tcBorders>
          </w:tcPr>
          <w:p>
            <w:pPr>
              <w:pStyle w:val="TableParagraph"/>
              <w:spacing w:before="47"/>
              <w:ind w:right="91"/>
              <w:jc w:val="right"/>
              <w:rPr>
                <w:sz w:val="18"/>
              </w:rPr>
            </w:pPr>
            <w:r>
              <w:rPr>
                <w:spacing w:val="-5"/>
                <w:sz w:val="18"/>
              </w:rPr>
              <w:t>300</w:t>
            </w:r>
          </w:p>
        </w:tc>
        <w:tc>
          <w:tcPr>
            <w:tcW w:w="1013" w:type="dxa"/>
            <w:tcBorders>
              <w:top w:val="dashed" w:sz="4" w:space="0" w:color="000000"/>
              <w:left w:val="nil"/>
              <w:bottom w:val="dashed" w:sz="4" w:space="0" w:color="000000"/>
              <w:right w:val="nil"/>
            </w:tcBorders>
          </w:tcPr>
          <w:p>
            <w:pPr>
              <w:pStyle w:val="TableParagraph"/>
              <w:spacing w:before="5"/>
              <w:rPr>
                <w:b/>
                <w:sz w:val="6"/>
              </w:rPr>
            </w:pPr>
          </w:p>
          <w:p>
            <w:pPr>
              <w:pStyle w:val="TableParagraph"/>
              <w:tabs>
                <w:tab w:pos="1021" w:val="left" w:leader="none"/>
              </w:tabs>
              <w:spacing w:line="115" w:lineRule="exact"/>
              <w:ind w:left="9" w:right="-87"/>
              <w:rPr>
                <w:sz w:val="11"/>
              </w:rPr>
            </w:pPr>
            <w:r>
              <w:rPr>
                <w:position w:val="-1"/>
                <w:sz w:val="11"/>
              </w:rPr>
              <w:pict>
                <v:group style="width:.5pt;height:5.8pt;mso-position-horizontal-relative:char;mso-position-vertical-relative:line" id="docshapegroup136" coordorigin="0,0" coordsize="10,116">
                  <v:shape style="position:absolute;left:0;top:0;width:10;height:116" id="docshape13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38" coordorigin="0,0" coordsize="10,116">
                  <v:shape style="position:absolute;left:0;top:0;width:10;height:116" id="docshape139" coordorigin="0,0" coordsize="10,116" path="m10,77l0,77,0,115,10,115,10,77xm10,0l0,0,0,38,10,38,10,0xe" filled="true" fillcolor="#000000" stroked="false">
                    <v:path arrowok="t"/>
                    <v:fill type="solid"/>
                  </v:shape>
                </v:group>
              </w:pict>
            </w:r>
            <w:r>
              <w:rPr>
                <w:position w:val="-1"/>
                <w:sz w:val="11"/>
              </w:rPr>
            </w:r>
          </w:p>
        </w:tc>
        <w:tc>
          <w:tcPr>
            <w:tcW w:w="1015" w:type="dxa"/>
            <w:tcBorders>
              <w:top w:val="dashed" w:sz="4" w:space="0" w:color="000000"/>
              <w:left w:val="nil"/>
              <w:bottom w:val="dashed" w:sz="4" w:space="0" w:color="000000"/>
              <w:right w:val="nil"/>
            </w:tcBorders>
          </w:tcPr>
          <w:p>
            <w:pPr>
              <w:pStyle w:val="TableParagraph"/>
              <w:spacing w:before="5"/>
              <w:rPr>
                <w:b/>
                <w:sz w:val="6"/>
              </w:rPr>
            </w:pPr>
          </w:p>
          <w:p>
            <w:pPr>
              <w:pStyle w:val="TableParagraph"/>
              <w:spacing w:line="115" w:lineRule="exact"/>
              <w:ind w:left="1024" w:right="-87"/>
              <w:rPr>
                <w:sz w:val="11"/>
              </w:rPr>
            </w:pPr>
            <w:r>
              <w:rPr>
                <w:position w:val="-1"/>
                <w:sz w:val="11"/>
              </w:rPr>
              <w:pict>
                <v:group style="width:.5pt;height:5.8pt;mso-position-horizontal-relative:char;mso-position-vertical-relative:line" id="docshapegroup140" coordorigin="0,0" coordsize="10,116">
                  <v:shape style="position:absolute;left:-1;top:0;width:10;height:116" id="docshape141"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47"/>
              <w:ind w:right="86"/>
              <w:jc w:val="right"/>
              <w:rPr>
                <w:sz w:val="18"/>
              </w:rPr>
            </w:pPr>
            <w:r>
              <w:rPr>
                <w:spacing w:val="-5"/>
                <w:sz w:val="18"/>
              </w:rPr>
              <w:t>300</w:t>
            </w:r>
          </w:p>
        </w:tc>
        <w:tc>
          <w:tcPr>
            <w:tcW w:w="1012" w:type="dxa"/>
            <w:tcBorders>
              <w:top w:val="dashed" w:sz="4" w:space="0" w:color="000000"/>
              <w:left w:val="nil"/>
              <w:bottom w:val="dashed" w:sz="4" w:space="0" w:color="000000"/>
              <w:right w:val="nil"/>
            </w:tcBorders>
          </w:tcPr>
          <w:p>
            <w:pPr>
              <w:pStyle w:val="TableParagraph"/>
              <w:spacing w:before="5"/>
              <w:rPr>
                <w:b/>
                <w:sz w:val="6"/>
              </w:rPr>
            </w:pPr>
          </w:p>
          <w:p>
            <w:pPr>
              <w:pStyle w:val="TableParagraph"/>
              <w:tabs>
                <w:tab w:pos="1022" w:val="left" w:leader="none"/>
              </w:tabs>
              <w:spacing w:line="115" w:lineRule="exact"/>
              <w:ind w:left="9" w:right="-87"/>
              <w:rPr>
                <w:sz w:val="11"/>
              </w:rPr>
            </w:pPr>
            <w:r>
              <w:rPr>
                <w:position w:val="-1"/>
                <w:sz w:val="11"/>
              </w:rPr>
              <w:pict>
                <v:group style="width:.5pt;height:5.8pt;mso-position-horizontal-relative:char;mso-position-vertical-relative:line" id="docshapegroup142" coordorigin="0,0" coordsize="10,116">
                  <v:shape style="position:absolute;left:0;top:0;width:10;height:116" id="docshape14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144" coordorigin="0,0" coordsize="10,116">
                  <v:shape style="position:absolute;left:0;top:0;width:10;height:116" id="docshape145" coordorigin="0,0" coordsize="10,116" path="m10,77l0,77,0,115,10,115,10,77xm10,0l0,0,0,38,10,38,10,0xe" filled="true" fillcolor="#000000" stroked="false">
                    <v:path arrowok="t"/>
                    <v:fill type="solid"/>
                  </v:shape>
                </v:group>
              </w:pict>
            </w:r>
            <w:r>
              <w:rPr>
                <w:position w:val="-1"/>
                <w:sz w:val="11"/>
              </w:rPr>
            </w:r>
          </w:p>
        </w:tc>
        <w:tc>
          <w:tcPr>
            <w:tcW w:w="1012" w:type="dxa"/>
            <w:tcBorders>
              <w:top w:val="dashSmallGap" w:sz="4" w:space="0" w:color="000000"/>
              <w:left w:val="nil"/>
              <w:bottom w:val="dashSmallGap" w:sz="4" w:space="0" w:color="000000"/>
              <w:right w:val="single" w:sz="12" w:space="0" w:color="000000"/>
            </w:tcBorders>
          </w:tcPr>
          <w:p>
            <w:pPr>
              <w:pStyle w:val="TableParagraph"/>
              <w:rPr>
                <w:rFonts w:ascii="Times New Roman"/>
                <w:sz w:val="18"/>
              </w:rPr>
            </w:pP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right="74"/>
              <w:jc w:val="right"/>
              <w:rPr>
                <w:sz w:val="18"/>
              </w:rPr>
            </w:pPr>
            <w:r>
              <w:rPr>
                <w:spacing w:val="-5"/>
                <w:sz w:val="18"/>
              </w:rPr>
              <w:t>310</w:t>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right="73"/>
              <w:jc w:val="right"/>
              <w:rPr>
                <w:sz w:val="18"/>
              </w:rPr>
            </w:pPr>
            <w:r>
              <w:rPr>
                <w:spacing w:val="-5"/>
                <w:sz w:val="18"/>
              </w:rPr>
              <w:t>320</w:t>
            </w:r>
          </w:p>
        </w:tc>
        <w:tc>
          <w:tcPr>
            <w:tcW w:w="1365" w:type="dxa"/>
            <w:tcBorders>
              <w:top w:val="dashSmallGap" w:sz="4" w:space="0" w:color="000000"/>
              <w:left w:val="single" w:sz="12" w:space="0" w:color="000000"/>
              <w:bottom w:val="dashSmallGap" w:sz="4" w:space="0" w:color="000000"/>
              <w:right w:val="dashed" w:sz="12" w:space="0" w:color="000000"/>
            </w:tcBorders>
          </w:tcPr>
          <w:p>
            <w:pPr>
              <w:pStyle w:val="TableParagraph"/>
              <w:spacing w:before="47"/>
              <w:ind w:right="70"/>
              <w:jc w:val="right"/>
              <w:rPr>
                <w:sz w:val="18"/>
              </w:rPr>
            </w:pPr>
            <w:r>
              <w:rPr>
                <w:spacing w:val="-5"/>
                <w:sz w:val="18"/>
              </w:rPr>
              <w:t>330</w:t>
            </w:r>
          </w:p>
        </w:tc>
      </w:tr>
      <w:tr>
        <w:trPr>
          <w:trHeight w:val="301" w:hRule="atLeast"/>
        </w:trPr>
        <w:tc>
          <w:tcPr>
            <w:tcW w:w="4661" w:type="dxa"/>
            <w:tcBorders>
              <w:top w:val="dashed" w:sz="4" w:space="0" w:color="000000"/>
              <w:left w:val="single" w:sz="12" w:space="0" w:color="000000"/>
              <w:bottom w:val="dashSmallGap" w:sz="4" w:space="0" w:color="000000"/>
              <w:right w:val="single" w:sz="12" w:space="0" w:color="000000"/>
            </w:tcBorders>
          </w:tcPr>
          <w:p>
            <w:pPr>
              <w:pStyle w:val="TableParagraph"/>
              <w:spacing w:before="47"/>
              <w:ind w:left="107"/>
              <w:rPr>
                <w:sz w:val="18"/>
              </w:rPr>
            </w:pPr>
            <w:r>
              <w:rPr>
                <w:sz w:val="18"/>
              </w:rPr>
              <w:t>Community</w:t>
            </w:r>
            <w:r>
              <w:rPr>
                <w:spacing w:val="-4"/>
                <w:sz w:val="18"/>
              </w:rPr>
              <w:t> </w:t>
            </w:r>
            <w:r>
              <w:rPr>
                <w:sz w:val="18"/>
              </w:rPr>
              <w:t>Facilities</w:t>
            </w:r>
            <w:r>
              <w:rPr>
                <w:spacing w:val="-2"/>
                <w:sz w:val="18"/>
              </w:rPr>
              <w:t> </w:t>
            </w:r>
            <w:r>
              <w:rPr>
                <w:sz w:val="18"/>
              </w:rPr>
              <w:t>Major</w:t>
            </w:r>
            <w:r>
              <w:rPr>
                <w:spacing w:val="-2"/>
                <w:sz w:val="18"/>
              </w:rPr>
              <w:t> </w:t>
            </w:r>
            <w:r>
              <w:rPr>
                <w:sz w:val="18"/>
              </w:rPr>
              <w:t>Plant</w:t>
            </w:r>
            <w:r>
              <w:rPr>
                <w:spacing w:val="1"/>
                <w:sz w:val="18"/>
              </w:rPr>
              <w:t> </w:t>
            </w:r>
            <w:r>
              <w:rPr>
                <w:spacing w:val="-2"/>
                <w:sz w:val="18"/>
              </w:rPr>
              <w:t>Renewal</w:t>
            </w:r>
          </w:p>
        </w:tc>
        <w:tc>
          <w:tcPr>
            <w:tcW w:w="1253" w:type="dxa"/>
            <w:tcBorders>
              <w:top w:val="dashed" w:sz="4" w:space="0" w:color="000000"/>
              <w:left w:val="single" w:sz="12" w:space="0" w:color="000000"/>
              <w:bottom w:val="dashSmallGap" w:sz="4" w:space="0" w:color="000000"/>
              <w:right w:val="nil"/>
            </w:tcBorders>
          </w:tcPr>
          <w:p>
            <w:pPr>
              <w:pStyle w:val="TableParagraph"/>
              <w:spacing w:before="47"/>
              <w:ind w:right="76"/>
              <w:jc w:val="right"/>
              <w:rPr>
                <w:sz w:val="18"/>
              </w:rPr>
            </w:pPr>
            <w:r>
              <w:rPr>
                <w:spacing w:val="-5"/>
                <w:sz w:val="18"/>
              </w:rPr>
              <w:t>400</w:t>
            </w:r>
          </w:p>
        </w:tc>
        <w:tc>
          <w:tcPr>
            <w:tcW w:w="1013" w:type="dxa"/>
            <w:tcBorders>
              <w:top w:val="dashed" w:sz="4" w:space="0" w:color="000000"/>
              <w:left w:val="nil"/>
              <w:bottom w:val="dashSmallGap" w:sz="4" w:space="0" w:color="000000"/>
              <w:right w:val="nil"/>
            </w:tcBorders>
          </w:tcPr>
          <w:p>
            <w:pPr>
              <w:pStyle w:val="TableParagraph"/>
              <w:spacing w:before="47"/>
              <w:ind w:right="89"/>
              <w:jc w:val="right"/>
              <w:rPr>
                <w:sz w:val="18"/>
              </w:rPr>
            </w:pPr>
            <w:r>
              <w:rPr>
                <w:spacing w:val="-5"/>
                <w:sz w:val="18"/>
              </w:rPr>
              <w:t>400</w:t>
            </w:r>
          </w:p>
        </w:tc>
        <w:tc>
          <w:tcPr>
            <w:tcW w:w="1013" w:type="dxa"/>
            <w:tcBorders>
              <w:top w:val="dashed" w:sz="4" w:space="0" w:color="000000"/>
              <w:left w:val="nil"/>
              <w:bottom w:val="dashSmallGap" w:sz="4" w:space="0" w:color="000000"/>
              <w:right w:val="nil"/>
            </w:tcBorders>
          </w:tcPr>
          <w:p>
            <w:pPr>
              <w:pStyle w:val="TableParagraph"/>
              <w:spacing w:before="2"/>
              <w:rPr>
                <w:b/>
                <w:sz w:val="6"/>
              </w:rPr>
            </w:pPr>
          </w:p>
          <w:p>
            <w:pPr>
              <w:pStyle w:val="TableParagraph"/>
              <w:tabs>
                <w:tab w:pos="1021" w:val="left" w:leader="none"/>
              </w:tabs>
              <w:spacing w:line="192" w:lineRule="exact"/>
              <w:ind w:left="9" w:right="-87"/>
              <w:rPr>
                <w:sz w:val="19"/>
              </w:rPr>
            </w:pPr>
            <w:r>
              <w:rPr>
                <w:position w:val="-3"/>
                <w:sz w:val="19"/>
              </w:rPr>
              <w:pict>
                <v:group style="width:.5pt;height:9.6pt;mso-position-horizontal-relative:char;mso-position-vertical-relative:line" id="docshapegroup146" coordorigin="0,0" coordsize="10,192">
                  <v:shape style="position:absolute;left:0;top:0;width:10;height:192" id="docshape14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48" coordorigin="0,0" coordsize="10,192">
                  <v:shape style="position:absolute;left:0;top:0;width:10;height:192" id="docshape149"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ed" w:sz="4" w:space="0" w:color="000000"/>
              <w:left w:val="nil"/>
              <w:bottom w:val="dashSmallGap" w:sz="4" w:space="0" w:color="000000"/>
              <w:right w:val="nil"/>
            </w:tcBorders>
          </w:tcPr>
          <w:p>
            <w:pPr>
              <w:pStyle w:val="TableParagraph"/>
              <w:spacing w:before="2"/>
              <w:rPr>
                <w:b/>
                <w:sz w:val="6"/>
              </w:rPr>
            </w:pPr>
          </w:p>
          <w:p>
            <w:pPr>
              <w:pStyle w:val="TableParagraph"/>
              <w:spacing w:line="192" w:lineRule="exact"/>
              <w:ind w:left="1024" w:right="-87"/>
              <w:rPr>
                <w:sz w:val="19"/>
              </w:rPr>
            </w:pPr>
            <w:r>
              <w:rPr>
                <w:position w:val="-3"/>
                <w:sz w:val="19"/>
              </w:rPr>
              <w:pict>
                <v:group style="width:.5pt;height:9.6pt;mso-position-horizontal-relative:char;mso-position-vertical-relative:line" id="docshapegroup150" coordorigin="0,0" coordsize="10,192">
                  <v:shape style="position:absolute;left:-1;top:0;width:10;height:192" id="docshape151"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SmallGap" w:sz="4" w:space="0" w:color="000000"/>
              <w:left w:val="nil"/>
              <w:bottom w:val="dashed" w:sz="4" w:space="0" w:color="000000"/>
              <w:right w:val="nil"/>
            </w:tcBorders>
          </w:tcPr>
          <w:p>
            <w:pPr>
              <w:pStyle w:val="TableParagraph"/>
              <w:spacing w:before="47"/>
              <w:ind w:right="87"/>
              <w:jc w:val="right"/>
              <w:rPr>
                <w:sz w:val="18"/>
              </w:rPr>
            </w:pPr>
            <w:r>
              <w:rPr>
                <w:spacing w:val="-5"/>
                <w:sz w:val="18"/>
              </w:rPr>
              <w:t>400</w:t>
            </w:r>
          </w:p>
        </w:tc>
        <w:tc>
          <w:tcPr>
            <w:tcW w:w="1012" w:type="dxa"/>
            <w:tcBorders>
              <w:top w:val="dashed" w:sz="4" w:space="0" w:color="000000"/>
              <w:left w:val="nil"/>
              <w:bottom w:val="dashed" w:sz="4" w:space="0" w:color="000000"/>
              <w:right w:val="nil"/>
            </w:tcBorders>
          </w:tcPr>
          <w:p>
            <w:pPr>
              <w:pStyle w:val="TableParagraph"/>
              <w:spacing w:before="2"/>
              <w:rPr>
                <w:b/>
                <w:sz w:val="6"/>
              </w:rPr>
            </w:pPr>
          </w:p>
          <w:p>
            <w:pPr>
              <w:pStyle w:val="TableParagraph"/>
              <w:tabs>
                <w:tab w:pos="1022" w:val="left" w:leader="none"/>
              </w:tabs>
              <w:spacing w:line="192" w:lineRule="exact"/>
              <w:ind w:left="9" w:right="-87"/>
              <w:rPr>
                <w:sz w:val="19"/>
              </w:rPr>
            </w:pPr>
            <w:r>
              <w:rPr>
                <w:position w:val="-3"/>
                <w:sz w:val="19"/>
              </w:rPr>
              <w:pict>
                <v:group style="width:.5pt;height:9.6pt;mso-position-horizontal-relative:char;mso-position-vertical-relative:line" id="docshapegroup152" coordorigin="0,0" coordsize="10,192">
                  <v:shape style="position:absolute;left:0;top:0;width:10;height:192" id="docshape15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54" coordorigin="0,0" coordsize="10,192">
                  <v:shape style="position:absolute;left:0;top:0;width:10;height:192" id="docshape155" coordorigin="0,0" coordsize="10,192" path="m10,154l0,154,0,192,10,192,10,154xm10,77l0,77,0,115,10,115,10,77xm10,0l0,0,0,38,10,38,10,0xe" filled="true" fillcolor="#000000" stroked="false">
                    <v:path arrowok="t"/>
                    <v:fill type="solid"/>
                  </v:shape>
                </v:group>
              </w:pict>
            </w:r>
            <w:r>
              <w:rPr>
                <w:position w:val="-3"/>
                <w:sz w:val="19"/>
              </w:rPr>
            </w:r>
          </w:p>
        </w:tc>
        <w:tc>
          <w:tcPr>
            <w:tcW w:w="1012" w:type="dxa"/>
            <w:tcBorders>
              <w:top w:val="dashSmallGap" w:sz="4" w:space="0" w:color="000000"/>
              <w:left w:val="nil"/>
              <w:bottom w:val="dashed" w:sz="4" w:space="0" w:color="000000"/>
              <w:right w:val="single" w:sz="12" w:space="0" w:color="000000"/>
            </w:tcBorders>
          </w:tcPr>
          <w:p>
            <w:pPr>
              <w:pStyle w:val="TableParagraph"/>
              <w:rPr>
                <w:rFonts w:ascii="Times New Roman"/>
                <w:sz w:val="18"/>
              </w:rPr>
            </w:pPr>
          </w:p>
        </w:tc>
        <w:tc>
          <w:tcPr>
            <w:tcW w:w="1252" w:type="dxa"/>
            <w:tcBorders>
              <w:top w:val="dashSmallGap"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300</w:t>
            </w:r>
          </w:p>
        </w:tc>
        <w:tc>
          <w:tcPr>
            <w:tcW w:w="1252" w:type="dxa"/>
            <w:tcBorders>
              <w:top w:val="dashSmallGap" w:sz="4" w:space="0" w:color="000000"/>
              <w:left w:val="single" w:sz="12" w:space="0" w:color="000000"/>
              <w:bottom w:val="dashed" w:sz="4" w:space="0" w:color="000000"/>
              <w:right w:val="single" w:sz="12" w:space="0" w:color="000000"/>
            </w:tcBorders>
          </w:tcPr>
          <w:p>
            <w:pPr>
              <w:pStyle w:val="TableParagraph"/>
              <w:spacing w:before="47"/>
              <w:ind w:right="73"/>
              <w:jc w:val="right"/>
              <w:rPr>
                <w:sz w:val="18"/>
              </w:rPr>
            </w:pPr>
            <w:r>
              <w:rPr>
                <w:spacing w:val="-5"/>
                <w:sz w:val="18"/>
              </w:rPr>
              <w:t>340</w:t>
            </w:r>
          </w:p>
        </w:tc>
        <w:tc>
          <w:tcPr>
            <w:tcW w:w="1365" w:type="dxa"/>
            <w:tcBorders>
              <w:top w:val="dashSmallGap" w:sz="4" w:space="0" w:color="000000"/>
              <w:left w:val="single" w:sz="12" w:space="0" w:color="000000"/>
              <w:bottom w:val="dashed" w:sz="4" w:space="0" w:color="000000"/>
              <w:right w:val="dashed" w:sz="12" w:space="0" w:color="000000"/>
            </w:tcBorders>
          </w:tcPr>
          <w:p>
            <w:pPr>
              <w:pStyle w:val="TableParagraph"/>
              <w:spacing w:before="47"/>
              <w:ind w:right="70"/>
              <w:jc w:val="right"/>
              <w:rPr>
                <w:sz w:val="18"/>
              </w:rPr>
            </w:pPr>
            <w:r>
              <w:rPr>
                <w:spacing w:val="-5"/>
                <w:sz w:val="18"/>
              </w:rPr>
              <w:t>400</w:t>
            </w:r>
          </w:p>
        </w:tc>
      </w:tr>
      <w:tr>
        <w:trPr>
          <w:trHeight w:val="299" w:hRule="atLeast"/>
        </w:trPr>
        <w:tc>
          <w:tcPr>
            <w:tcW w:w="4661" w:type="dxa"/>
            <w:tcBorders>
              <w:top w:val="dashSmallGap" w:sz="4" w:space="0" w:color="000000"/>
              <w:left w:val="single" w:sz="12" w:space="0" w:color="000000"/>
              <w:bottom w:val="dashSmallGap" w:sz="4" w:space="0" w:color="000000"/>
              <w:right w:val="single" w:sz="12" w:space="0" w:color="000000"/>
            </w:tcBorders>
          </w:tcPr>
          <w:p>
            <w:pPr>
              <w:pStyle w:val="TableParagraph"/>
              <w:spacing w:before="44"/>
              <w:ind w:left="107"/>
              <w:rPr>
                <w:sz w:val="18"/>
              </w:rPr>
            </w:pPr>
            <w:r>
              <w:rPr>
                <w:sz w:val="18"/>
              </w:rPr>
              <w:t>Community</w:t>
            </w:r>
            <w:r>
              <w:rPr>
                <w:spacing w:val="-3"/>
                <w:sz w:val="18"/>
              </w:rPr>
              <w:t> </w:t>
            </w:r>
            <w:r>
              <w:rPr>
                <w:sz w:val="18"/>
              </w:rPr>
              <w:t>Facilities</w:t>
            </w:r>
            <w:r>
              <w:rPr>
                <w:spacing w:val="-2"/>
                <w:sz w:val="18"/>
              </w:rPr>
              <w:t> </w:t>
            </w:r>
            <w:r>
              <w:rPr>
                <w:sz w:val="18"/>
              </w:rPr>
              <w:t>Replacement</w:t>
            </w:r>
            <w:r>
              <w:rPr>
                <w:spacing w:val="-2"/>
                <w:sz w:val="18"/>
              </w:rPr>
              <w:t> Program</w:t>
            </w:r>
          </w:p>
        </w:tc>
        <w:tc>
          <w:tcPr>
            <w:tcW w:w="1253" w:type="dxa"/>
            <w:tcBorders>
              <w:top w:val="dashSmallGap" w:sz="4" w:space="0" w:color="000000"/>
              <w:left w:val="single" w:sz="12" w:space="0" w:color="000000"/>
              <w:bottom w:val="dashSmallGap" w:sz="4" w:space="0" w:color="000000"/>
              <w:right w:val="nil"/>
            </w:tcBorders>
          </w:tcPr>
          <w:p>
            <w:pPr>
              <w:pStyle w:val="TableParagraph"/>
              <w:spacing w:before="44"/>
              <w:ind w:right="78"/>
              <w:jc w:val="right"/>
              <w:rPr>
                <w:sz w:val="18"/>
              </w:rPr>
            </w:pPr>
            <w:r>
              <w:rPr>
                <w:sz w:val="18"/>
              </w:rPr>
              <w:t>0</w:t>
            </w:r>
          </w:p>
        </w:tc>
        <w:tc>
          <w:tcPr>
            <w:tcW w:w="1013" w:type="dxa"/>
            <w:tcBorders>
              <w:top w:val="dashSmallGap" w:sz="4" w:space="0" w:color="000000"/>
              <w:left w:val="nil"/>
              <w:bottom w:val="dashSmallGap" w:sz="4" w:space="0" w:color="000000"/>
              <w:right w:val="nil"/>
            </w:tcBorders>
          </w:tcPr>
          <w:p>
            <w:pPr>
              <w:pStyle w:val="TableParagraph"/>
              <w:spacing w:before="44"/>
              <w:ind w:right="93"/>
              <w:jc w:val="right"/>
              <w:rPr>
                <w:sz w:val="18"/>
              </w:rPr>
            </w:pPr>
            <w:r>
              <w:rPr>
                <w:sz w:val="18"/>
              </w:rPr>
              <w:t>0</w:t>
            </w:r>
          </w:p>
        </w:tc>
        <w:tc>
          <w:tcPr>
            <w:tcW w:w="1013" w:type="dxa"/>
            <w:tcBorders>
              <w:top w:val="dashSmallGap" w:sz="4" w:space="0" w:color="000000"/>
              <w:left w:val="nil"/>
              <w:bottom w:val="dashSmallGap" w:sz="4" w:space="0" w:color="000000"/>
              <w:right w:val="nil"/>
            </w:tcBorders>
          </w:tcPr>
          <w:p>
            <w:pPr>
              <w:pStyle w:val="TableParagraph"/>
              <w:spacing w:before="9"/>
              <w:rPr>
                <w:b/>
                <w:sz w:val="5"/>
              </w:rPr>
            </w:pPr>
          </w:p>
          <w:p>
            <w:pPr>
              <w:pStyle w:val="TableParagraph"/>
              <w:tabs>
                <w:tab w:pos="1021" w:val="left" w:leader="none"/>
              </w:tabs>
              <w:spacing w:line="192" w:lineRule="exact"/>
              <w:ind w:left="9" w:right="-87"/>
              <w:rPr>
                <w:sz w:val="19"/>
              </w:rPr>
            </w:pPr>
            <w:r>
              <w:rPr>
                <w:position w:val="-3"/>
                <w:sz w:val="19"/>
              </w:rPr>
              <w:pict>
                <v:group style="width:.5pt;height:9.6pt;mso-position-horizontal-relative:char;mso-position-vertical-relative:line" id="docshapegroup156" coordorigin="0,0" coordsize="10,192">
                  <v:shape style="position:absolute;left:0;top:0;width:10;height:192" id="docshape15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58" coordorigin="0,0" coordsize="10,192">
                  <v:shape style="position:absolute;left:0;top:0;width:10;height:192" id="docshape159"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9"/>
              <w:rPr>
                <w:b/>
                <w:sz w:val="5"/>
              </w:rPr>
            </w:pPr>
          </w:p>
          <w:p>
            <w:pPr>
              <w:pStyle w:val="TableParagraph"/>
              <w:spacing w:line="192" w:lineRule="exact"/>
              <w:ind w:left="1024" w:right="-87"/>
              <w:rPr>
                <w:sz w:val="19"/>
              </w:rPr>
            </w:pPr>
            <w:r>
              <w:rPr>
                <w:position w:val="-3"/>
                <w:sz w:val="19"/>
              </w:rPr>
              <w:pict>
                <v:group style="width:.5pt;height:9.6pt;mso-position-horizontal-relative:char;mso-position-vertical-relative:line" id="docshapegroup160" coordorigin="0,0" coordsize="10,192">
                  <v:shape style="position:absolute;left:-1;top:0;width:10;height:192" id="docshape161"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4"/>
              <w:ind w:right="89"/>
              <w:jc w:val="right"/>
              <w:rPr>
                <w:sz w:val="18"/>
              </w:rPr>
            </w:pPr>
            <w:r>
              <w:rPr>
                <w:sz w:val="18"/>
              </w:rPr>
              <w:t>0</w:t>
            </w:r>
          </w:p>
        </w:tc>
        <w:tc>
          <w:tcPr>
            <w:tcW w:w="1012" w:type="dxa"/>
            <w:tcBorders>
              <w:top w:val="dashed" w:sz="4" w:space="0" w:color="000000"/>
              <w:left w:val="nil"/>
              <w:bottom w:val="dashed" w:sz="4" w:space="0" w:color="000000"/>
              <w:right w:val="nil"/>
            </w:tcBorders>
          </w:tcPr>
          <w:p>
            <w:pPr>
              <w:pStyle w:val="TableParagraph"/>
              <w:spacing w:before="44"/>
              <w:ind w:right="92"/>
              <w:jc w:val="right"/>
              <w:rPr>
                <w:sz w:val="18"/>
              </w:rPr>
            </w:pPr>
            <w:r>
              <w:rPr>
                <w:sz w:val="18"/>
              </w:rPr>
              <w:t>0</w:t>
            </w:r>
          </w:p>
        </w:tc>
        <w:tc>
          <w:tcPr>
            <w:tcW w:w="1012" w:type="dxa"/>
            <w:tcBorders>
              <w:top w:val="dashed" w:sz="4" w:space="0" w:color="000000"/>
              <w:left w:val="nil"/>
              <w:bottom w:val="dashed" w:sz="4" w:space="0" w:color="000000"/>
              <w:right w:val="single" w:sz="12" w:space="0" w:color="000000"/>
            </w:tcBorders>
          </w:tcPr>
          <w:p>
            <w:pPr>
              <w:pStyle w:val="TableParagraph"/>
              <w:spacing w:before="9"/>
              <w:rPr>
                <w:b/>
                <w:sz w:val="5"/>
              </w:rPr>
            </w:pPr>
          </w:p>
          <w:p>
            <w:pPr>
              <w:pStyle w:val="TableParagraph"/>
              <w:spacing w:line="192" w:lineRule="exact"/>
              <w:ind w:left="-5"/>
              <w:rPr>
                <w:sz w:val="19"/>
              </w:rPr>
            </w:pPr>
            <w:r>
              <w:rPr>
                <w:position w:val="-3"/>
                <w:sz w:val="19"/>
              </w:rPr>
              <w:pict>
                <v:group style="width:.5pt;height:9.6pt;mso-position-horizontal-relative:char;mso-position-vertical-relative:line" id="docshapegroup162" coordorigin="0,0" coordsize="10,192">
                  <v:shape style="position:absolute;left:0;top:0;width:10;height:192" id="docshape163" coordorigin="0,0" coordsize="10,192" path="m10,154l0,154,0,192,10,192,10,154xm10,77l0,77,0,115,10,115,10,77xm10,0l0,0,0,38,10,38,10,0xe" filled="true" fillcolor="#000000" stroked="false">
                    <v:path arrowok="t"/>
                    <v:fill type="solid"/>
                  </v:shape>
                </v:group>
              </w:pict>
            </w:r>
            <w:r>
              <w:rPr>
                <w:position w:val="-3"/>
                <w:sz w:val="19"/>
              </w:rPr>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5"/>
              <w:jc w:val="right"/>
              <w:rPr>
                <w:sz w:val="18"/>
              </w:rPr>
            </w:pPr>
            <w:r>
              <w:rPr>
                <w:sz w:val="18"/>
              </w:rPr>
              <w:t>0</w:t>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4"/>
              <w:jc w:val="right"/>
              <w:rPr>
                <w:sz w:val="18"/>
              </w:rPr>
            </w:pPr>
            <w:r>
              <w:rPr>
                <w:sz w:val="18"/>
              </w:rPr>
              <w:t>0</w:t>
            </w:r>
          </w:p>
        </w:tc>
        <w:tc>
          <w:tcPr>
            <w:tcW w:w="1365" w:type="dxa"/>
            <w:tcBorders>
              <w:top w:val="dashed" w:sz="4" w:space="0" w:color="000000"/>
              <w:left w:val="single" w:sz="12" w:space="0" w:color="000000"/>
              <w:bottom w:val="dashed" w:sz="4" w:space="0" w:color="000000"/>
              <w:right w:val="dashed" w:sz="12" w:space="0" w:color="000000"/>
            </w:tcBorders>
          </w:tcPr>
          <w:p>
            <w:pPr>
              <w:pStyle w:val="TableParagraph"/>
              <w:spacing w:before="44"/>
              <w:ind w:right="68"/>
              <w:jc w:val="right"/>
              <w:rPr>
                <w:sz w:val="18"/>
              </w:rPr>
            </w:pPr>
            <w:r>
              <w:rPr>
                <w:spacing w:val="-2"/>
                <w:sz w:val="18"/>
              </w:rPr>
              <w:t>1,200</w:t>
            </w:r>
          </w:p>
        </w:tc>
      </w:tr>
      <w:tr>
        <w:trPr>
          <w:trHeight w:val="299" w:hRule="atLeast"/>
        </w:trPr>
        <w:tc>
          <w:tcPr>
            <w:tcW w:w="4661" w:type="dxa"/>
            <w:tcBorders>
              <w:top w:val="dashSmallGap" w:sz="4" w:space="0" w:color="000000"/>
              <w:left w:val="single" w:sz="12" w:space="0" w:color="000000"/>
              <w:bottom w:val="dashSmallGap" w:sz="4" w:space="0" w:color="000000"/>
              <w:right w:val="single" w:sz="12" w:space="0" w:color="000000"/>
            </w:tcBorders>
          </w:tcPr>
          <w:p>
            <w:pPr>
              <w:pStyle w:val="TableParagraph"/>
              <w:spacing w:before="44"/>
              <w:ind w:left="107"/>
              <w:rPr>
                <w:sz w:val="18"/>
              </w:rPr>
            </w:pPr>
            <w:r>
              <w:rPr>
                <w:sz w:val="18"/>
              </w:rPr>
              <w:t>Carbon</w:t>
            </w:r>
            <w:r>
              <w:rPr>
                <w:spacing w:val="-1"/>
                <w:sz w:val="18"/>
              </w:rPr>
              <w:t> </w:t>
            </w:r>
            <w:r>
              <w:rPr>
                <w:sz w:val="18"/>
              </w:rPr>
              <w:t>Neutral-Energy</w:t>
            </w:r>
            <w:r>
              <w:rPr>
                <w:spacing w:val="-3"/>
                <w:sz w:val="18"/>
              </w:rPr>
              <w:t> </w:t>
            </w:r>
            <w:r>
              <w:rPr>
                <w:sz w:val="18"/>
              </w:rPr>
              <w:t>Revolving </w:t>
            </w:r>
            <w:r>
              <w:rPr>
                <w:spacing w:val="-4"/>
                <w:sz w:val="18"/>
              </w:rPr>
              <w:t>Fund</w:t>
            </w:r>
          </w:p>
        </w:tc>
        <w:tc>
          <w:tcPr>
            <w:tcW w:w="1253" w:type="dxa"/>
            <w:tcBorders>
              <w:top w:val="dashSmallGap" w:sz="4" w:space="0" w:color="000000"/>
              <w:left w:val="single" w:sz="12" w:space="0" w:color="000000"/>
              <w:bottom w:val="dashSmallGap" w:sz="4" w:space="0" w:color="000000"/>
              <w:right w:val="nil"/>
            </w:tcBorders>
          </w:tcPr>
          <w:p>
            <w:pPr>
              <w:pStyle w:val="TableParagraph"/>
              <w:spacing w:before="44"/>
              <w:ind w:right="74"/>
              <w:jc w:val="right"/>
              <w:rPr>
                <w:sz w:val="18"/>
              </w:rPr>
            </w:pPr>
            <w:r>
              <w:rPr>
                <w:spacing w:val="-5"/>
                <w:sz w:val="18"/>
              </w:rPr>
              <w:t>500</w:t>
            </w:r>
          </w:p>
        </w:tc>
        <w:tc>
          <w:tcPr>
            <w:tcW w:w="1013"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5"/>
                <w:sz w:val="18"/>
              </w:rPr>
              <w:t>500</w:t>
            </w:r>
          </w:p>
        </w:tc>
        <w:tc>
          <w:tcPr>
            <w:tcW w:w="1013" w:type="dxa"/>
            <w:tcBorders>
              <w:top w:val="dashSmallGap" w:sz="4" w:space="0" w:color="000000"/>
              <w:left w:val="nil"/>
              <w:bottom w:val="dashSmallGap" w:sz="4" w:space="0" w:color="000000"/>
              <w:right w:val="nil"/>
            </w:tcBorders>
          </w:tcPr>
          <w:p>
            <w:pPr>
              <w:pStyle w:val="TableParagraph"/>
              <w:spacing w:before="7"/>
              <w:rPr>
                <w:b/>
                <w:sz w:val="5"/>
              </w:rPr>
            </w:pPr>
          </w:p>
          <w:p>
            <w:pPr>
              <w:pStyle w:val="TableParagraph"/>
              <w:tabs>
                <w:tab w:pos="1021" w:val="left" w:leader="none"/>
              </w:tabs>
              <w:spacing w:line="192" w:lineRule="exact"/>
              <w:ind w:left="9" w:right="-87"/>
              <w:rPr>
                <w:sz w:val="19"/>
              </w:rPr>
            </w:pPr>
            <w:r>
              <w:rPr>
                <w:position w:val="-3"/>
                <w:sz w:val="19"/>
              </w:rPr>
              <w:pict>
                <v:group style="width:.5pt;height:9.6pt;mso-position-horizontal-relative:char;mso-position-vertical-relative:line" id="docshapegroup164" coordorigin="0,0" coordsize="10,192">
                  <v:shape style="position:absolute;left:0;top:0;width:10;height:193" id="docshape165"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66" coordorigin="0,0" coordsize="10,192">
                  <v:shape style="position:absolute;left:0;top:0;width:10;height:193" id="docshape167" coordorigin="0,0" coordsize="10,193"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7"/>
              <w:rPr>
                <w:b/>
                <w:sz w:val="5"/>
              </w:rPr>
            </w:pPr>
          </w:p>
          <w:p>
            <w:pPr>
              <w:pStyle w:val="TableParagraph"/>
              <w:spacing w:line="192" w:lineRule="exact"/>
              <w:ind w:left="1024" w:right="-87"/>
              <w:rPr>
                <w:sz w:val="19"/>
              </w:rPr>
            </w:pPr>
            <w:r>
              <w:rPr>
                <w:position w:val="-3"/>
                <w:sz w:val="19"/>
              </w:rPr>
              <w:pict>
                <v:group style="width:.5pt;height:9.6pt;mso-position-horizontal-relative:char;mso-position-vertical-relative:line" id="docshapegroup168" coordorigin="0,0" coordsize="10,192">
                  <v:shape style="position:absolute;left:-1;top:0;width:10;height:193" id="docshape169"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92" w:lineRule="exact"/>
              <w:ind w:left="1019" w:right="-87"/>
              <w:rPr>
                <w:sz w:val="19"/>
              </w:rPr>
            </w:pPr>
            <w:r>
              <w:rPr>
                <w:position w:val="-3"/>
                <w:sz w:val="19"/>
              </w:rPr>
              <w:pict>
                <v:group style="width:.5pt;height:9.6pt;mso-position-horizontal-relative:char;mso-position-vertical-relative:line" id="docshapegroup170" coordorigin="0,0" coordsize="10,192">
                  <v:shape style="position:absolute;left:0;top:0;width:10;height:193" id="docshape171" coordorigin="0,0" coordsize="10,193" path="m10,154l0,154,0,192,10,192,10,154xm10,77l0,77,0,115,10,115,10,77xm10,0l0,0,0,38,10,38,10,0xe" filled="true" fillcolor="#000000" stroked="false">
                    <v:path arrowok="t"/>
                    <v:fill type="solid"/>
                  </v:shape>
                </v:group>
              </w:pict>
            </w:r>
            <w:r>
              <w:rPr>
                <w:position w:val="-3"/>
                <w:sz w:val="19"/>
              </w:rPr>
            </w:r>
          </w:p>
        </w:tc>
        <w:tc>
          <w:tcPr>
            <w:tcW w:w="1012"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500</w:t>
            </w:r>
          </w:p>
        </w:tc>
        <w:tc>
          <w:tcPr>
            <w:tcW w:w="1012" w:type="dxa"/>
            <w:tcBorders>
              <w:top w:val="dashed" w:sz="4" w:space="0" w:color="000000"/>
              <w:left w:val="nil"/>
              <w:bottom w:val="dashed" w:sz="4" w:space="0" w:color="000000"/>
              <w:right w:val="single" w:sz="12" w:space="0" w:color="000000"/>
            </w:tcBorders>
          </w:tcPr>
          <w:p>
            <w:pPr>
              <w:pStyle w:val="TableParagraph"/>
              <w:spacing w:before="7"/>
              <w:rPr>
                <w:b/>
                <w:sz w:val="5"/>
              </w:rPr>
            </w:pPr>
          </w:p>
          <w:p>
            <w:pPr>
              <w:pStyle w:val="TableParagraph"/>
              <w:spacing w:line="192" w:lineRule="exact"/>
              <w:ind w:left="-5"/>
              <w:rPr>
                <w:sz w:val="19"/>
              </w:rPr>
            </w:pPr>
            <w:r>
              <w:rPr>
                <w:position w:val="-3"/>
                <w:sz w:val="19"/>
              </w:rPr>
              <w:pict>
                <v:group style="width:.5pt;height:9.6pt;mso-position-horizontal-relative:char;mso-position-vertical-relative:line" id="docshapegroup172" coordorigin="0,0" coordsize="10,192">
                  <v:shape style="position:absolute;left:0;top:0;width:10;height:193" id="docshape173" coordorigin="0,0" coordsize="10,193" path="m10,154l0,154,0,192,10,192,10,154xm10,77l0,77,0,115,10,115,10,77xm10,0l0,0,0,38,10,38,10,0xe" filled="true" fillcolor="#000000" stroked="false">
                    <v:path arrowok="t"/>
                    <v:fill type="solid"/>
                  </v:shape>
                </v:group>
              </w:pict>
            </w:r>
            <w:r>
              <w:rPr>
                <w:position w:val="-3"/>
                <w:sz w:val="19"/>
              </w:rPr>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4"/>
              <w:jc w:val="right"/>
              <w:rPr>
                <w:sz w:val="18"/>
              </w:rPr>
            </w:pPr>
            <w:r>
              <w:rPr>
                <w:spacing w:val="-5"/>
                <w:sz w:val="18"/>
              </w:rPr>
              <w:t>500</w:t>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3"/>
              <w:jc w:val="right"/>
              <w:rPr>
                <w:sz w:val="18"/>
              </w:rPr>
            </w:pPr>
            <w:r>
              <w:rPr>
                <w:spacing w:val="-5"/>
                <w:sz w:val="18"/>
              </w:rPr>
              <w:t>550</w:t>
            </w:r>
          </w:p>
        </w:tc>
        <w:tc>
          <w:tcPr>
            <w:tcW w:w="1365" w:type="dxa"/>
            <w:tcBorders>
              <w:top w:val="dashed" w:sz="4" w:space="0" w:color="000000"/>
              <w:left w:val="single" w:sz="12" w:space="0" w:color="000000"/>
              <w:bottom w:val="dashed" w:sz="4" w:space="0" w:color="000000"/>
              <w:right w:val="dashed" w:sz="12" w:space="0" w:color="000000"/>
            </w:tcBorders>
          </w:tcPr>
          <w:p>
            <w:pPr>
              <w:pStyle w:val="TableParagraph"/>
              <w:spacing w:before="44"/>
              <w:ind w:right="70"/>
              <w:jc w:val="right"/>
              <w:rPr>
                <w:sz w:val="18"/>
              </w:rPr>
            </w:pPr>
            <w:r>
              <w:rPr>
                <w:spacing w:val="-5"/>
                <w:sz w:val="18"/>
              </w:rPr>
              <w:t>550</w:t>
            </w:r>
          </w:p>
        </w:tc>
      </w:tr>
      <w:tr>
        <w:trPr>
          <w:trHeight w:val="299" w:hRule="atLeast"/>
        </w:trPr>
        <w:tc>
          <w:tcPr>
            <w:tcW w:w="4661" w:type="dxa"/>
            <w:tcBorders>
              <w:top w:val="dashSmallGap" w:sz="4" w:space="0" w:color="000000"/>
              <w:left w:val="single" w:sz="12" w:space="0" w:color="000000"/>
              <w:bottom w:val="dashSmallGap" w:sz="4" w:space="0" w:color="000000"/>
              <w:right w:val="single" w:sz="12" w:space="0" w:color="000000"/>
            </w:tcBorders>
          </w:tcPr>
          <w:p>
            <w:pPr>
              <w:pStyle w:val="TableParagraph"/>
              <w:spacing w:before="44"/>
              <w:ind w:left="107"/>
              <w:rPr>
                <w:sz w:val="18"/>
              </w:rPr>
            </w:pPr>
            <w:r>
              <w:rPr>
                <w:sz w:val="18"/>
              </w:rPr>
              <w:t>Community</w:t>
            </w:r>
            <w:r>
              <w:rPr>
                <w:spacing w:val="-3"/>
                <w:sz w:val="18"/>
              </w:rPr>
              <w:t> </w:t>
            </w:r>
            <w:r>
              <w:rPr>
                <w:sz w:val="18"/>
              </w:rPr>
              <w:t>Facilities</w:t>
            </w:r>
            <w:r>
              <w:rPr>
                <w:spacing w:val="-2"/>
                <w:sz w:val="18"/>
              </w:rPr>
              <w:t> </w:t>
            </w:r>
            <w:r>
              <w:rPr>
                <w:sz w:val="18"/>
              </w:rPr>
              <w:t>Improvement</w:t>
            </w:r>
            <w:r>
              <w:rPr>
                <w:spacing w:val="-1"/>
                <w:sz w:val="18"/>
              </w:rPr>
              <w:t> </w:t>
            </w:r>
            <w:r>
              <w:rPr>
                <w:spacing w:val="-2"/>
                <w:sz w:val="18"/>
              </w:rPr>
              <w:t>Program</w:t>
            </w:r>
          </w:p>
        </w:tc>
        <w:tc>
          <w:tcPr>
            <w:tcW w:w="1253" w:type="dxa"/>
            <w:tcBorders>
              <w:top w:val="dashSmallGap" w:sz="4" w:space="0" w:color="000000"/>
              <w:left w:val="single" w:sz="12" w:space="0" w:color="000000"/>
              <w:bottom w:val="dashSmallGap" w:sz="4" w:space="0" w:color="000000"/>
              <w:right w:val="nil"/>
            </w:tcBorders>
          </w:tcPr>
          <w:p>
            <w:pPr>
              <w:pStyle w:val="TableParagraph"/>
              <w:spacing w:before="44"/>
              <w:ind w:right="76"/>
              <w:jc w:val="right"/>
              <w:rPr>
                <w:sz w:val="18"/>
              </w:rPr>
            </w:pPr>
            <w:r>
              <w:rPr>
                <w:spacing w:val="-2"/>
                <w:sz w:val="18"/>
              </w:rPr>
              <w:t>3,366</w:t>
            </w:r>
          </w:p>
        </w:tc>
        <w:tc>
          <w:tcPr>
            <w:tcW w:w="1013"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2"/>
                <w:sz w:val="18"/>
              </w:rPr>
              <w:t>3,366</w:t>
            </w:r>
          </w:p>
        </w:tc>
        <w:tc>
          <w:tcPr>
            <w:tcW w:w="1013" w:type="dxa"/>
            <w:tcBorders>
              <w:top w:val="dashSmallGap" w:sz="4" w:space="0" w:color="000000"/>
              <w:left w:val="nil"/>
              <w:bottom w:val="dashSmallGap" w:sz="4" w:space="0" w:color="000000"/>
              <w:right w:val="nil"/>
            </w:tcBorders>
          </w:tcPr>
          <w:p>
            <w:pPr>
              <w:pStyle w:val="TableParagraph"/>
              <w:spacing w:before="4"/>
              <w:rPr>
                <w:b/>
                <w:sz w:val="5"/>
              </w:rPr>
            </w:pPr>
          </w:p>
          <w:p>
            <w:pPr>
              <w:pStyle w:val="TableParagraph"/>
              <w:tabs>
                <w:tab w:pos="1021" w:val="left" w:leader="none"/>
              </w:tabs>
              <w:spacing w:line="192" w:lineRule="exact"/>
              <w:ind w:left="9" w:right="-87"/>
              <w:rPr>
                <w:sz w:val="19"/>
              </w:rPr>
            </w:pPr>
            <w:r>
              <w:rPr>
                <w:position w:val="-3"/>
                <w:sz w:val="19"/>
              </w:rPr>
              <w:pict>
                <v:group style="width:.5pt;height:9.6pt;mso-position-horizontal-relative:char;mso-position-vertical-relative:line" id="docshapegroup174" coordorigin="0,0" coordsize="10,192">
                  <v:shape style="position:absolute;left:0;top:0;width:10;height:192" id="docshape17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76" coordorigin="0,0" coordsize="10,192">
                  <v:shape style="position:absolute;left:0;top:0;width:10;height:192" id="docshape177"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4"/>
              <w:rPr>
                <w:b/>
                <w:sz w:val="5"/>
              </w:rPr>
            </w:pPr>
          </w:p>
          <w:p>
            <w:pPr>
              <w:pStyle w:val="TableParagraph"/>
              <w:spacing w:line="192" w:lineRule="exact"/>
              <w:ind w:left="1024" w:right="-87"/>
              <w:rPr>
                <w:sz w:val="19"/>
              </w:rPr>
            </w:pPr>
            <w:r>
              <w:rPr>
                <w:position w:val="-3"/>
                <w:sz w:val="19"/>
              </w:rPr>
              <w:pict>
                <v:group style="width:.5pt;height:9.6pt;mso-position-horizontal-relative:char;mso-position-vertical-relative:line" id="docshapegroup178" coordorigin="0,0" coordsize="10,192">
                  <v:shape style="position:absolute;left:-1;top:0;width:10;height:192" id="docshape17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4"/>
              <w:ind w:right="87"/>
              <w:jc w:val="right"/>
              <w:rPr>
                <w:sz w:val="18"/>
              </w:rPr>
            </w:pPr>
            <w:r>
              <w:rPr>
                <w:spacing w:val="-2"/>
                <w:sz w:val="18"/>
              </w:rPr>
              <w:t>2,693</w:t>
            </w:r>
          </w:p>
        </w:tc>
        <w:tc>
          <w:tcPr>
            <w:tcW w:w="1012"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673</w:t>
            </w:r>
          </w:p>
        </w:tc>
        <w:tc>
          <w:tcPr>
            <w:tcW w:w="1012" w:type="dxa"/>
            <w:tcBorders>
              <w:top w:val="dashed" w:sz="4" w:space="0" w:color="000000"/>
              <w:left w:val="nil"/>
              <w:bottom w:val="dashed" w:sz="4" w:space="0" w:color="000000"/>
              <w:right w:val="single" w:sz="12" w:space="0" w:color="000000"/>
            </w:tcBorders>
          </w:tcPr>
          <w:p>
            <w:pPr>
              <w:pStyle w:val="TableParagraph"/>
              <w:spacing w:before="4"/>
              <w:rPr>
                <w:b/>
                <w:sz w:val="5"/>
              </w:rPr>
            </w:pPr>
          </w:p>
          <w:p>
            <w:pPr>
              <w:pStyle w:val="TableParagraph"/>
              <w:spacing w:line="192" w:lineRule="exact"/>
              <w:ind w:left="-5"/>
              <w:rPr>
                <w:sz w:val="19"/>
              </w:rPr>
            </w:pPr>
            <w:r>
              <w:rPr>
                <w:position w:val="-3"/>
                <w:sz w:val="19"/>
              </w:rPr>
              <w:pict>
                <v:group style="width:.5pt;height:9.6pt;mso-position-horizontal-relative:char;mso-position-vertical-relative:line" id="docshapegroup180" coordorigin="0,0" coordsize="10,192">
                  <v:shape style="position:absolute;left:0;top:0;width:10;height:192" id="docshape181" coordorigin="0,0" coordsize="10,192" path="m10,154l0,154,0,192,10,192,10,154xm10,77l0,77,0,115,10,115,10,77xm10,0l0,0,0,38,10,38,10,0xe" filled="true" fillcolor="#000000" stroked="false">
                    <v:path arrowok="t"/>
                    <v:fill type="solid"/>
                  </v:shape>
                </v:group>
              </w:pict>
            </w:r>
            <w:r>
              <w:rPr>
                <w:position w:val="-3"/>
                <w:sz w:val="19"/>
              </w:rPr>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2"/>
              <w:jc w:val="right"/>
              <w:rPr>
                <w:sz w:val="18"/>
              </w:rPr>
            </w:pPr>
            <w:r>
              <w:rPr>
                <w:spacing w:val="-2"/>
                <w:sz w:val="18"/>
              </w:rPr>
              <w:t>4,407</w:t>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1"/>
              <w:jc w:val="right"/>
              <w:rPr>
                <w:sz w:val="18"/>
              </w:rPr>
            </w:pPr>
            <w:r>
              <w:rPr>
                <w:spacing w:val="-2"/>
                <w:sz w:val="18"/>
              </w:rPr>
              <w:t>4,099</w:t>
            </w:r>
          </w:p>
        </w:tc>
        <w:tc>
          <w:tcPr>
            <w:tcW w:w="1365" w:type="dxa"/>
            <w:tcBorders>
              <w:top w:val="dashed" w:sz="4" w:space="0" w:color="000000"/>
              <w:left w:val="single" w:sz="12" w:space="0" w:color="000000"/>
              <w:bottom w:val="dashed" w:sz="4" w:space="0" w:color="000000"/>
              <w:right w:val="dashed" w:sz="12" w:space="0" w:color="000000"/>
            </w:tcBorders>
          </w:tcPr>
          <w:p>
            <w:pPr>
              <w:pStyle w:val="TableParagraph"/>
              <w:spacing w:before="44"/>
              <w:ind w:right="68"/>
              <w:jc w:val="right"/>
              <w:rPr>
                <w:sz w:val="18"/>
              </w:rPr>
            </w:pPr>
            <w:r>
              <w:rPr>
                <w:spacing w:val="-2"/>
                <w:sz w:val="18"/>
              </w:rPr>
              <w:t>4,743</w:t>
            </w:r>
          </w:p>
        </w:tc>
      </w:tr>
      <w:tr>
        <w:trPr>
          <w:trHeight w:val="479" w:hRule="atLeast"/>
        </w:trPr>
        <w:tc>
          <w:tcPr>
            <w:tcW w:w="4661" w:type="dxa"/>
            <w:tcBorders>
              <w:top w:val="dashSmallGap" w:sz="4" w:space="0" w:color="000000"/>
              <w:left w:val="single" w:sz="12" w:space="0" w:color="000000"/>
              <w:bottom w:val="dashed" w:sz="4" w:space="0" w:color="000000"/>
              <w:right w:val="single" w:sz="12" w:space="0" w:color="000000"/>
            </w:tcBorders>
          </w:tcPr>
          <w:p>
            <w:pPr>
              <w:pStyle w:val="TableParagraph"/>
              <w:spacing w:before="32"/>
              <w:ind w:left="107" w:right="187"/>
              <w:rPr>
                <w:sz w:val="18"/>
              </w:rPr>
            </w:pPr>
            <w:r>
              <w:rPr>
                <w:sz w:val="18"/>
              </w:rPr>
              <w:t>Croydon</w:t>
            </w:r>
            <w:r>
              <w:rPr>
                <w:spacing w:val="-9"/>
                <w:sz w:val="18"/>
              </w:rPr>
              <w:t> </w:t>
            </w:r>
            <w:r>
              <w:rPr>
                <w:sz w:val="18"/>
              </w:rPr>
              <w:t>Community</w:t>
            </w:r>
            <w:r>
              <w:rPr>
                <w:spacing w:val="-9"/>
                <w:sz w:val="18"/>
              </w:rPr>
              <w:t> </w:t>
            </w:r>
            <w:r>
              <w:rPr>
                <w:sz w:val="18"/>
              </w:rPr>
              <w:t>Wellbeing</w:t>
            </w:r>
            <w:r>
              <w:rPr>
                <w:spacing w:val="-5"/>
                <w:sz w:val="18"/>
              </w:rPr>
              <w:t> </w:t>
            </w:r>
            <w:r>
              <w:rPr>
                <w:sz w:val="18"/>
              </w:rPr>
              <w:t>Precinct</w:t>
            </w:r>
            <w:r>
              <w:rPr>
                <w:spacing w:val="-7"/>
                <w:sz w:val="18"/>
              </w:rPr>
              <w:t> </w:t>
            </w:r>
            <w:r>
              <w:rPr>
                <w:sz w:val="18"/>
              </w:rPr>
              <w:t>Hub</w:t>
            </w:r>
            <w:r>
              <w:rPr>
                <w:spacing w:val="-5"/>
                <w:sz w:val="18"/>
              </w:rPr>
              <w:t> </w:t>
            </w:r>
            <w:r>
              <w:rPr>
                <w:sz w:val="18"/>
              </w:rPr>
              <w:t>A (Subject to Funding)</w:t>
            </w:r>
          </w:p>
        </w:tc>
        <w:tc>
          <w:tcPr>
            <w:tcW w:w="1253" w:type="dxa"/>
            <w:tcBorders>
              <w:top w:val="dashSmallGap" w:sz="4" w:space="0" w:color="000000"/>
              <w:left w:val="single" w:sz="12" w:space="0" w:color="000000"/>
              <w:bottom w:val="dashed" w:sz="4" w:space="0" w:color="000000"/>
              <w:right w:val="nil"/>
            </w:tcBorders>
          </w:tcPr>
          <w:p>
            <w:pPr>
              <w:pStyle w:val="TableParagraph"/>
              <w:spacing w:before="135"/>
              <w:ind w:right="76"/>
              <w:jc w:val="right"/>
              <w:rPr>
                <w:sz w:val="18"/>
              </w:rPr>
            </w:pPr>
            <w:r>
              <w:rPr>
                <w:spacing w:val="-2"/>
                <w:sz w:val="18"/>
              </w:rPr>
              <w:t>10,850</w:t>
            </w:r>
          </w:p>
        </w:tc>
        <w:tc>
          <w:tcPr>
            <w:tcW w:w="1013" w:type="dxa"/>
            <w:tcBorders>
              <w:top w:val="dashSmallGap" w:sz="4" w:space="0" w:color="000000"/>
              <w:left w:val="nil"/>
              <w:bottom w:val="dashed" w:sz="4" w:space="0" w:color="000000"/>
              <w:right w:val="nil"/>
            </w:tcBorders>
          </w:tcPr>
          <w:p>
            <w:pPr>
              <w:pStyle w:val="TableParagraph"/>
              <w:spacing w:before="135"/>
              <w:ind w:right="92"/>
              <w:jc w:val="right"/>
              <w:rPr>
                <w:sz w:val="18"/>
              </w:rPr>
            </w:pPr>
            <w:r>
              <w:rPr>
                <w:spacing w:val="-2"/>
                <w:sz w:val="18"/>
              </w:rPr>
              <w:t>7,850</w:t>
            </w:r>
          </w:p>
        </w:tc>
        <w:tc>
          <w:tcPr>
            <w:tcW w:w="1013" w:type="dxa"/>
            <w:tcBorders>
              <w:top w:val="dashSmallGap" w:sz="4" w:space="0" w:color="000000"/>
              <w:left w:val="nil"/>
              <w:bottom w:val="dashed" w:sz="4" w:space="0" w:color="000000"/>
              <w:right w:val="nil"/>
            </w:tcBorders>
          </w:tcPr>
          <w:p>
            <w:pPr>
              <w:pStyle w:val="TableParagraph"/>
              <w:spacing w:before="135"/>
              <w:ind w:right="90"/>
              <w:jc w:val="right"/>
              <w:rPr>
                <w:sz w:val="18"/>
              </w:rPr>
            </w:pPr>
            <w:r>
              <w:rPr>
                <w:spacing w:val="-2"/>
                <w:sz w:val="18"/>
              </w:rPr>
              <w:t>2,000</w:t>
            </w:r>
          </w:p>
        </w:tc>
        <w:tc>
          <w:tcPr>
            <w:tcW w:w="1015" w:type="dxa"/>
            <w:tcBorders>
              <w:top w:val="dashSmallGap" w:sz="4" w:space="0" w:color="000000"/>
              <w:left w:val="nil"/>
              <w:bottom w:val="dashSmallGap" w:sz="4" w:space="0" w:color="000000"/>
              <w:right w:val="nil"/>
            </w:tcBorders>
          </w:tcPr>
          <w:p>
            <w:pPr>
              <w:pStyle w:val="TableParagraph"/>
              <w:spacing w:before="135"/>
              <w:ind w:right="90"/>
              <w:jc w:val="right"/>
              <w:rPr>
                <w:sz w:val="18"/>
              </w:rPr>
            </w:pPr>
            <w:r>
              <w:rPr>
                <w:spacing w:val="-2"/>
                <w:sz w:val="18"/>
              </w:rPr>
              <w:t>1,000</w:t>
            </w:r>
          </w:p>
        </w:tc>
        <w:tc>
          <w:tcPr>
            <w:tcW w:w="1010" w:type="dxa"/>
            <w:tcBorders>
              <w:top w:val="dashed" w:sz="4" w:space="0" w:color="000000"/>
              <w:left w:val="nil"/>
              <w:bottom w:val="dashSmallGap" w:sz="4" w:space="0" w:color="000000"/>
              <w:right w:val="nil"/>
            </w:tcBorders>
          </w:tcPr>
          <w:p>
            <w:pPr>
              <w:pStyle w:val="TableParagraph"/>
              <w:spacing w:before="135"/>
              <w:ind w:right="87"/>
              <w:jc w:val="right"/>
              <w:rPr>
                <w:sz w:val="18"/>
              </w:rPr>
            </w:pPr>
            <w:r>
              <w:rPr>
                <w:spacing w:val="-2"/>
                <w:sz w:val="18"/>
              </w:rPr>
              <w:t>8,680</w:t>
            </w:r>
          </w:p>
        </w:tc>
        <w:tc>
          <w:tcPr>
            <w:tcW w:w="1012" w:type="dxa"/>
            <w:tcBorders>
              <w:top w:val="dashed" w:sz="4" w:space="0" w:color="000000"/>
              <w:left w:val="nil"/>
              <w:bottom w:val="dashSmallGap" w:sz="4" w:space="0" w:color="000000"/>
              <w:right w:val="nil"/>
            </w:tcBorders>
          </w:tcPr>
          <w:p>
            <w:pPr>
              <w:pStyle w:val="TableParagraph"/>
              <w:spacing w:before="135"/>
              <w:ind w:right="89"/>
              <w:jc w:val="right"/>
              <w:rPr>
                <w:sz w:val="18"/>
              </w:rPr>
            </w:pPr>
            <w:r>
              <w:rPr>
                <w:spacing w:val="-2"/>
                <w:sz w:val="18"/>
              </w:rPr>
              <w:t>2,170</w:t>
            </w:r>
          </w:p>
        </w:tc>
        <w:tc>
          <w:tcPr>
            <w:tcW w:w="1012" w:type="dxa"/>
            <w:tcBorders>
              <w:top w:val="dashed" w:sz="4" w:space="0" w:color="000000"/>
              <w:left w:val="nil"/>
              <w:bottom w:val="dashSmallGap" w:sz="4" w:space="0" w:color="000000"/>
              <w:right w:val="single" w:sz="12" w:space="0" w:color="000000"/>
            </w:tcBorders>
          </w:tcPr>
          <w:p>
            <w:pPr>
              <w:pStyle w:val="TableParagraph"/>
              <w:spacing w:before="2"/>
              <w:rPr>
                <w:b/>
                <w:sz w:val="5"/>
              </w:rPr>
            </w:pPr>
          </w:p>
          <w:p>
            <w:pPr>
              <w:pStyle w:val="TableParagraph"/>
              <w:ind w:left="-5"/>
              <w:rPr>
                <w:sz w:val="20"/>
              </w:rPr>
            </w:pPr>
            <w:r>
              <w:rPr>
                <w:sz w:val="20"/>
              </w:rPr>
              <w:pict>
                <v:group style="width:.5pt;height:17.3pt;mso-position-horizontal-relative:char;mso-position-vertical-relative:line" id="docshapegroup182" coordorigin="0,0" coordsize="10,346">
                  <v:shape style="position:absolute;left:0;top:0;width:10;height:346" id="docshape183"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252" w:type="dxa"/>
            <w:tcBorders>
              <w:top w:val="dashed" w:sz="4" w:space="0" w:color="000000"/>
              <w:left w:val="single" w:sz="12" w:space="0" w:color="000000"/>
              <w:bottom w:val="dashSmallGap" w:sz="4" w:space="0" w:color="000000"/>
              <w:right w:val="single" w:sz="12" w:space="0" w:color="000000"/>
            </w:tcBorders>
          </w:tcPr>
          <w:p>
            <w:pPr>
              <w:pStyle w:val="TableParagraph"/>
              <w:spacing w:before="135"/>
              <w:ind w:right="72"/>
              <w:jc w:val="right"/>
              <w:rPr>
                <w:sz w:val="18"/>
              </w:rPr>
            </w:pPr>
            <w:r>
              <w:rPr>
                <w:spacing w:val="-2"/>
                <w:sz w:val="18"/>
              </w:rPr>
              <w:t>10,000</w:t>
            </w:r>
          </w:p>
        </w:tc>
        <w:tc>
          <w:tcPr>
            <w:tcW w:w="1252" w:type="dxa"/>
            <w:tcBorders>
              <w:top w:val="dashed" w:sz="4" w:space="0" w:color="000000"/>
              <w:left w:val="single" w:sz="12" w:space="0" w:color="000000"/>
              <w:bottom w:val="dashSmallGap" w:sz="4" w:space="0" w:color="000000"/>
              <w:right w:val="single" w:sz="12" w:space="0" w:color="000000"/>
            </w:tcBorders>
          </w:tcPr>
          <w:p>
            <w:pPr>
              <w:pStyle w:val="TableParagraph"/>
              <w:spacing w:before="135"/>
              <w:ind w:right="71"/>
              <w:jc w:val="right"/>
              <w:rPr>
                <w:sz w:val="18"/>
              </w:rPr>
            </w:pPr>
            <w:r>
              <w:rPr>
                <w:spacing w:val="-2"/>
                <w:sz w:val="18"/>
              </w:rPr>
              <w:t>8,150</w:t>
            </w:r>
          </w:p>
        </w:tc>
        <w:tc>
          <w:tcPr>
            <w:tcW w:w="1365" w:type="dxa"/>
            <w:tcBorders>
              <w:top w:val="dashed"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719"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before="49"/>
              <w:ind w:left="107" w:right="187"/>
              <w:rPr>
                <w:sz w:val="18"/>
              </w:rPr>
            </w:pPr>
            <w:r>
              <w:rPr>
                <w:sz w:val="18"/>
              </w:rPr>
              <w:t>Croydon Community Wellbeing Precinct Redevelopment</w:t>
            </w:r>
            <w:r>
              <w:rPr>
                <w:spacing w:val="-7"/>
                <w:sz w:val="18"/>
              </w:rPr>
              <w:t> </w:t>
            </w:r>
            <w:r>
              <w:rPr>
                <w:sz w:val="18"/>
              </w:rPr>
              <w:t>-</w:t>
            </w:r>
            <w:r>
              <w:rPr>
                <w:spacing w:val="-7"/>
                <w:sz w:val="18"/>
              </w:rPr>
              <w:t> </w:t>
            </w:r>
            <w:r>
              <w:rPr>
                <w:sz w:val="18"/>
              </w:rPr>
              <w:t>Multipurpose</w:t>
            </w:r>
            <w:r>
              <w:rPr>
                <w:spacing w:val="-10"/>
                <w:sz w:val="18"/>
              </w:rPr>
              <w:t> </w:t>
            </w:r>
            <w:r>
              <w:rPr>
                <w:sz w:val="18"/>
              </w:rPr>
              <w:t>Pavilion</w:t>
            </w:r>
            <w:r>
              <w:rPr>
                <w:spacing w:val="-9"/>
                <w:sz w:val="18"/>
              </w:rPr>
              <w:t> </w:t>
            </w:r>
            <w:r>
              <w:rPr>
                <w:sz w:val="18"/>
              </w:rPr>
              <w:t>and</w:t>
            </w:r>
            <w:r>
              <w:rPr>
                <w:spacing w:val="-6"/>
                <w:sz w:val="18"/>
              </w:rPr>
              <w:t> </w:t>
            </w:r>
            <w:r>
              <w:rPr>
                <w:sz w:val="18"/>
              </w:rPr>
              <w:t>Bowling Greens (Subject to Funding)</w:t>
            </w:r>
          </w:p>
        </w:tc>
        <w:tc>
          <w:tcPr>
            <w:tcW w:w="1253" w:type="dxa"/>
            <w:tcBorders>
              <w:top w:val="dashed" w:sz="4" w:space="0" w:color="000000"/>
              <w:left w:val="single" w:sz="12" w:space="0" w:color="000000"/>
              <w:bottom w:val="dashed" w:sz="4" w:space="0" w:color="000000"/>
              <w:right w:val="nil"/>
            </w:tcBorders>
          </w:tcPr>
          <w:p>
            <w:pPr>
              <w:pStyle w:val="TableParagraph"/>
              <w:spacing w:before="2"/>
              <w:rPr>
                <w:b/>
                <w:sz w:val="22"/>
              </w:rPr>
            </w:pPr>
          </w:p>
          <w:p>
            <w:pPr>
              <w:pStyle w:val="TableParagraph"/>
              <w:ind w:right="77"/>
              <w:jc w:val="right"/>
              <w:rPr>
                <w:sz w:val="18"/>
              </w:rPr>
            </w:pPr>
            <w:r>
              <w:rPr>
                <w:sz w:val="18"/>
              </w:rPr>
              <w:t>0</w:t>
            </w:r>
          </w:p>
        </w:tc>
        <w:tc>
          <w:tcPr>
            <w:tcW w:w="1013" w:type="dxa"/>
            <w:tcBorders>
              <w:top w:val="dashed" w:sz="4" w:space="0" w:color="000000"/>
              <w:left w:val="nil"/>
              <w:bottom w:val="dashed" w:sz="4" w:space="0" w:color="000000"/>
              <w:right w:val="nil"/>
            </w:tcBorders>
          </w:tcPr>
          <w:p>
            <w:pPr>
              <w:pStyle w:val="TableParagraph"/>
              <w:spacing w:before="2"/>
              <w:rPr>
                <w:b/>
                <w:sz w:val="22"/>
              </w:rPr>
            </w:pPr>
          </w:p>
          <w:p>
            <w:pPr>
              <w:pStyle w:val="TableParagraph"/>
              <w:ind w:right="93"/>
              <w:jc w:val="right"/>
              <w:rPr>
                <w:sz w:val="18"/>
              </w:rPr>
            </w:pPr>
            <w:r>
              <w:rPr>
                <w:sz w:val="18"/>
              </w:rPr>
              <w:t>0</w:t>
            </w:r>
          </w:p>
        </w:tc>
        <w:tc>
          <w:tcPr>
            <w:tcW w:w="1013" w:type="dxa"/>
            <w:tcBorders>
              <w:top w:val="dashed" w:sz="4" w:space="0" w:color="000000"/>
              <w:left w:val="nil"/>
              <w:bottom w:val="dashed" w:sz="4" w:space="0" w:color="000000"/>
              <w:right w:val="nil"/>
            </w:tcBorders>
          </w:tcPr>
          <w:p>
            <w:pPr>
              <w:pStyle w:val="TableParagraph"/>
              <w:rPr>
                <w:rFonts w:ascii="Times New Roman"/>
                <w:sz w:val="18"/>
              </w:rPr>
            </w:pPr>
          </w:p>
        </w:tc>
        <w:tc>
          <w:tcPr>
            <w:tcW w:w="1015" w:type="dxa"/>
            <w:tcBorders>
              <w:top w:val="dashSmallGap" w:sz="4" w:space="0" w:color="000000"/>
              <w:left w:val="nil"/>
              <w:bottom w:val="dashed" w:sz="4" w:space="0" w:color="000000"/>
              <w:right w:val="nil"/>
            </w:tcBorders>
          </w:tcPr>
          <w:p>
            <w:pPr>
              <w:pStyle w:val="TableParagraph"/>
              <w:rPr>
                <w:rFonts w:ascii="Times New Roman"/>
                <w:sz w:val="18"/>
              </w:rPr>
            </w:pPr>
          </w:p>
        </w:tc>
        <w:tc>
          <w:tcPr>
            <w:tcW w:w="1010" w:type="dxa"/>
            <w:tcBorders>
              <w:top w:val="dashSmallGap" w:sz="4" w:space="0" w:color="000000"/>
              <w:left w:val="nil"/>
              <w:bottom w:val="dashSmallGap" w:sz="4" w:space="0" w:color="000000"/>
              <w:right w:val="nil"/>
            </w:tcBorders>
          </w:tcPr>
          <w:p>
            <w:pPr>
              <w:pStyle w:val="TableParagraph"/>
              <w:spacing w:before="2"/>
              <w:rPr>
                <w:b/>
                <w:sz w:val="22"/>
              </w:rPr>
            </w:pPr>
          </w:p>
          <w:p>
            <w:pPr>
              <w:pStyle w:val="TableParagraph"/>
              <w:ind w:right="90"/>
              <w:jc w:val="right"/>
              <w:rPr>
                <w:sz w:val="18"/>
              </w:rPr>
            </w:pPr>
            <w:r>
              <w:rPr>
                <w:sz w:val="18"/>
              </w:rPr>
              <w:t>0</w:t>
            </w:r>
          </w:p>
        </w:tc>
        <w:tc>
          <w:tcPr>
            <w:tcW w:w="1012" w:type="dxa"/>
            <w:tcBorders>
              <w:top w:val="dashSmallGap" w:sz="4" w:space="0" w:color="000000"/>
              <w:left w:val="nil"/>
              <w:bottom w:val="dashed" w:sz="4" w:space="0" w:color="000000"/>
              <w:right w:val="nil"/>
            </w:tcBorders>
          </w:tcPr>
          <w:p>
            <w:pPr>
              <w:pStyle w:val="TableParagraph"/>
              <w:spacing w:before="2"/>
              <w:rPr>
                <w:b/>
                <w:sz w:val="22"/>
              </w:rPr>
            </w:pPr>
          </w:p>
          <w:p>
            <w:pPr>
              <w:pStyle w:val="TableParagraph"/>
              <w:ind w:right="91"/>
              <w:jc w:val="right"/>
              <w:rPr>
                <w:sz w:val="18"/>
              </w:rPr>
            </w:pPr>
            <w:r>
              <w:rPr>
                <w:sz w:val="18"/>
              </w:rPr>
              <w:t>0</w:t>
            </w:r>
          </w:p>
        </w:tc>
        <w:tc>
          <w:tcPr>
            <w:tcW w:w="1012" w:type="dxa"/>
            <w:tcBorders>
              <w:top w:val="dashSmallGap" w:sz="4" w:space="0" w:color="000000"/>
              <w:left w:val="nil"/>
              <w:bottom w:val="dashSmallGap" w:sz="4" w:space="0" w:color="000000"/>
              <w:right w:val="single" w:sz="12" w:space="0" w:color="000000"/>
            </w:tcBorders>
          </w:tcPr>
          <w:p>
            <w:pPr>
              <w:pStyle w:val="TableParagraph"/>
              <w:rPr>
                <w:rFonts w:ascii="Times New Roman"/>
                <w:sz w:val="18"/>
              </w:rPr>
            </w:pP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365" w:type="dxa"/>
            <w:tcBorders>
              <w:top w:val="dashSmallGap" w:sz="4" w:space="0" w:color="000000"/>
              <w:left w:val="single" w:sz="12" w:space="0" w:color="000000"/>
              <w:bottom w:val="dashSmallGap" w:sz="4" w:space="0" w:color="000000"/>
              <w:right w:val="single" w:sz="12" w:space="0" w:color="000000"/>
            </w:tcBorders>
          </w:tcPr>
          <w:p>
            <w:pPr>
              <w:pStyle w:val="TableParagraph"/>
              <w:spacing w:before="2"/>
              <w:rPr>
                <w:b/>
                <w:sz w:val="22"/>
              </w:rPr>
            </w:pPr>
          </w:p>
          <w:p>
            <w:pPr>
              <w:pStyle w:val="TableParagraph"/>
              <w:ind w:right="68"/>
              <w:jc w:val="right"/>
              <w:rPr>
                <w:sz w:val="18"/>
              </w:rPr>
            </w:pPr>
            <w:r>
              <w:rPr>
                <w:spacing w:val="-2"/>
                <w:sz w:val="18"/>
              </w:rPr>
              <w:t>7,500</w:t>
            </w:r>
          </w:p>
        </w:tc>
      </w:tr>
      <w:tr>
        <w:trPr>
          <w:trHeight w:val="721" w:hRule="atLeast"/>
        </w:trPr>
        <w:tc>
          <w:tcPr>
            <w:tcW w:w="4661" w:type="dxa"/>
            <w:tcBorders>
              <w:top w:val="dashed" w:sz="4" w:space="0" w:color="000000"/>
              <w:left w:val="single" w:sz="12" w:space="0" w:color="000000"/>
              <w:bottom w:val="dashed" w:sz="4" w:space="0" w:color="000000"/>
              <w:right w:val="single" w:sz="12" w:space="0" w:color="000000"/>
            </w:tcBorders>
          </w:tcPr>
          <w:p>
            <w:pPr>
              <w:pStyle w:val="TableParagraph"/>
              <w:spacing w:before="152"/>
              <w:ind w:left="107" w:right="187"/>
              <w:rPr>
                <w:sz w:val="18"/>
              </w:rPr>
            </w:pPr>
            <w:r>
              <w:rPr>
                <w:sz w:val="18"/>
              </w:rPr>
              <w:t>Croydon Community Wellbeing Precinct Redevelopment</w:t>
            </w:r>
            <w:r>
              <w:rPr>
                <w:spacing w:val="-9"/>
                <w:sz w:val="18"/>
              </w:rPr>
              <w:t> </w:t>
            </w:r>
            <w:r>
              <w:rPr>
                <w:sz w:val="18"/>
              </w:rPr>
              <w:t>-</w:t>
            </w:r>
            <w:r>
              <w:rPr>
                <w:spacing w:val="-9"/>
                <w:sz w:val="18"/>
              </w:rPr>
              <w:t> </w:t>
            </w:r>
            <w:r>
              <w:rPr>
                <w:sz w:val="18"/>
              </w:rPr>
              <w:t>Play</w:t>
            </w:r>
            <w:r>
              <w:rPr>
                <w:spacing w:val="-9"/>
                <w:sz w:val="18"/>
              </w:rPr>
              <w:t> </w:t>
            </w:r>
            <w:r>
              <w:rPr>
                <w:sz w:val="18"/>
              </w:rPr>
              <w:t>and</w:t>
            </w:r>
            <w:r>
              <w:rPr>
                <w:spacing w:val="-7"/>
                <w:sz w:val="18"/>
              </w:rPr>
              <w:t> </w:t>
            </w:r>
            <w:r>
              <w:rPr>
                <w:sz w:val="18"/>
              </w:rPr>
              <w:t>Gathering</w:t>
            </w:r>
            <w:r>
              <w:rPr>
                <w:spacing w:val="-7"/>
                <w:sz w:val="18"/>
              </w:rPr>
              <w:t> </w:t>
            </w:r>
            <w:r>
              <w:rPr>
                <w:sz w:val="18"/>
              </w:rPr>
              <w:t>Improvements</w:t>
            </w:r>
          </w:p>
        </w:tc>
        <w:tc>
          <w:tcPr>
            <w:tcW w:w="1253" w:type="dxa"/>
            <w:tcBorders>
              <w:top w:val="dashed" w:sz="4" w:space="0" w:color="000000"/>
              <w:left w:val="single" w:sz="12" w:space="0" w:color="000000"/>
              <w:bottom w:val="dashed" w:sz="4" w:space="0" w:color="000000"/>
              <w:right w:val="dashed" w:sz="4" w:space="0" w:color="000000"/>
            </w:tcBorders>
          </w:tcPr>
          <w:p>
            <w:pPr>
              <w:pStyle w:val="TableParagraph"/>
              <w:spacing w:before="2"/>
              <w:rPr>
                <w:b/>
                <w:sz w:val="22"/>
              </w:rPr>
            </w:pPr>
          </w:p>
          <w:p>
            <w:pPr>
              <w:pStyle w:val="TableParagraph"/>
              <w:ind w:right="77"/>
              <w:jc w:val="right"/>
              <w:rPr>
                <w:sz w:val="18"/>
              </w:rPr>
            </w:pPr>
            <w:r>
              <w:rPr>
                <w:sz w:val="18"/>
              </w:rPr>
              <w:t>0</w:t>
            </w:r>
          </w:p>
        </w:tc>
        <w:tc>
          <w:tcPr>
            <w:tcW w:w="1013" w:type="dxa"/>
            <w:tcBorders>
              <w:top w:val="dashed" w:sz="4" w:space="0" w:color="000000"/>
              <w:left w:val="dashed" w:sz="4" w:space="0" w:color="000000"/>
              <w:bottom w:val="dashed" w:sz="4" w:space="0" w:color="000000"/>
              <w:right w:val="dashed" w:sz="4" w:space="0" w:color="000000"/>
            </w:tcBorders>
          </w:tcPr>
          <w:p>
            <w:pPr>
              <w:pStyle w:val="TableParagraph"/>
              <w:spacing w:before="2"/>
              <w:rPr>
                <w:b/>
                <w:sz w:val="22"/>
              </w:rPr>
            </w:pPr>
          </w:p>
          <w:p>
            <w:pPr>
              <w:pStyle w:val="TableParagraph"/>
              <w:ind w:right="88"/>
              <w:jc w:val="right"/>
              <w:rPr>
                <w:sz w:val="18"/>
              </w:rPr>
            </w:pPr>
            <w:r>
              <w:rPr>
                <w:sz w:val="18"/>
              </w:rPr>
              <w:t>0</w:t>
            </w:r>
          </w:p>
        </w:tc>
        <w:tc>
          <w:tcPr>
            <w:tcW w:w="1013" w:type="dxa"/>
            <w:tcBorders>
              <w:top w:val="dashed" w:sz="4" w:space="0" w:color="000000"/>
              <w:left w:val="dashed" w:sz="4" w:space="0" w:color="000000"/>
              <w:bottom w:val="dashed" w:sz="4" w:space="0" w:color="000000"/>
              <w:right w:val="dashed" w:sz="4" w:space="0" w:color="000000"/>
            </w:tcBorders>
          </w:tcPr>
          <w:p>
            <w:pPr>
              <w:pStyle w:val="TableParagraph"/>
              <w:rPr>
                <w:rFonts w:ascii="Times New Roman"/>
                <w:sz w:val="18"/>
              </w:rPr>
            </w:pPr>
          </w:p>
        </w:tc>
        <w:tc>
          <w:tcPr>
            <w:tcW w:w="1015" w:type="dxa"/>
            <w:tcBorders>
              <w:top w:val="dashed" w:sz="4" w:space="0" w:color="000000"/>
              <w:left w:val="dashed" w:sz="4" w:space="0" w:color="000000"/>
              <w:bottom w:val="dashed" w:sz="4" w:space="0" w:color="000000"/>
              <w:right w:val="dashed" w:sz="4" w:space="0" w:color="000000"/>
            </w:tcBorders>
          </w:tcPr>
          <w:p>
            <w:pPr>
              <w:pStyle w:val="TableParagraph"/>
              <w:rPr>
                <w:rFonts w:ascii="Times New Roman"/>
                <w:sz w:val="18"/>
              </w:rPr>
            </w:pPr>
          </w:p>
        </w:tc>
        <w:tc>
          <w:tcPr>
            <w:tcW w:w="1010" w:type="dxa"/>
            <w:tcBorders>
              <w:top w:val="dashSmallGap" w:sz="4" w:space="0" w:color="000000"/>
              <w:left w:val="dashed" w:sz="4" w:space="0" w:color="000000"/>
              <w:bottom w:val="dashSmallGap" w:sz="4" w:space="0" w:color="000000"/>
              <w:right w:val="dashed" w:sz="4" w:space="0" w:color="000000"/>
            </w:tcBorders>
          </w:tcPr>
          <w:p>
            <w:pPr>
              <w:pStyle w:val="TableParagraph"/>
              <w:spacing w:before="2"/>
              <w:rPr>
                <w:b/>
                <w:sz w:val="22"/>
              </w:rPr>
            </w:pPr>
          </w:p>
          <w:p>
            <w:pPr>
              <w:pStyle w:val="TableParagraph"/>
              <w:ind w:right="85"/>
              <w:jc w:val="right"/>
              <w:rPr>
                <w:sz w:val="18"/>
              </w:rPr>
            </w:pPr>
            <w:r>
              <w:rPr>
                <w:sz w:val="18"/>
              </w:rPr>
              <w:t>0</w:t>
            </w:r>
          </w:p>
        </w:tc>
        <w:tc>
          <w:tcPr>
            <w:tcW w:w="1012" w:type="dxa"/>
            <w:tcBorders>
              <w:top w:val="dashed" w:sz="4" w:space="0" w:color="000000"/>
              <w:left w:val="dashed" w:sz="4" w:space="0" w:color="000000"/>
              <w:bottom w:val="dashSmallGap" w:sz="4" w:space="0" w:color="000000"/>
              <w:right w:val="dashed" w:sz="4" w:space="0" w:color="000000"/>
            </w:tcBorders>
          </w:tcPr>
          <w:p>
            <w:pPr>
              <w:pStyle w:val="TableParagraph"/>
              <w:spacing w:before="2"/>
              <w:rPr>
                <w:b/>
                <w:sz w:val="22"/>
              </w:rPr>
            </w:pPr>
          </w:p>
          <w:p>
            <w:pPr>
              <w:pStyle w:val="TableParagraph"/>
              <w:ind w:right="86"/>
              <w:jc w:val="right"/>
              <w:rPr>
                <w:sz w:val="18"/>
              </w:rPr>
            </w:pPr>
            <w:r>
              <w:rPr>
                <w:sz w:val="18"/>
              </w:rPr>
              <w:t>0</w:t>
            </w:r>
          </w:p>
        </w:tc>
        <w:tc>
          <w:tcPr>
            <w:tcW w:w="1012" w:type="dxa"/>
            <w:tcBorders>
              <w:top w:val="dashSmallGap" w:sz="4" w:space="0" w:color="000000"/>
              <w:left w:val="dashed" w:sz="4" w:space="0" w:color="000000"/>
              <w:bottom w:val="dashSmallGap" w:sz="4" w:space="0" w:color="000000"/>
              <w:right w:val="single" w:sz="12" w:space="0" w:color="000000"/>
            </w:tcBorders>
          </w:tcPr>
          <w:p>
            <w:pPr>
              <w:pStyle w:val="TableParagraph"/>
              <w:rPr>
                <w:rFonts w:ascii="Times New Roman"/>
                <w:sz w:val="18"/>
              </w:rPr>
            </w:pP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2"/>
              <w:rPr>
                <w:b/>
                <w:sz w:val="22"/>
              </w:rPr>
            </w:pPr>
          </w:p>
          <w:p>
            <w:pPr>
              <w:pStyle w:val="TableParagraph"/>
              <w:ind w:right="72"/>
              <w:jc w:val="right"/>
              <w:rPr>
                <w:sz w:val="18"/>
              </w:rPr>
            </w:pPr>
            <w:r>
              <w:rPr>
                <w:spacing w:val="-2"/>
                <w:sz w:val="18"/>
              </w:rPr>
              <w:t>2,139</w:t>
            </w:r>
          </w:p>
        </w:tc>
        <w:tc>
          <w:tcPr>
            <w:tcW w:w="1252" w:type="dxa"/>
            <w:tcBorders>
              <w:top w:val="dashSmallGap" w:sz="4" w:space="0" w:color="000000"/>
              <w:left w:val="single" w:sz="12" w:space="0" w:color="000000"/>
              <w:bottom w:val="dashSmallGap" w:sz="4" w:space="0" w:color="000000"/>
              <w:right w:val="single" w:sz="12" w:space="0" w:color="000000"/>
            </w:tcBorders>
          </w:tcPr>
          <w:p>
            <w:pPr>
              <w:pStyle w:val="TableParagraph"/>
              <w:spacing w:before="2"/>
              <w:rPr>
                <w:b/>
                <w:sz w:val="22"/>
              </w:rPr>
            </w:pPr>
          </w:p>
          <w:p>
            <w:pPr>
              <w:pStyle w:val="TableParagraph"/>
              <w:ind w:right="71"/>
              <w:jc w:val="right"/>
              <w:rPr>
                <w:sz w:val="18"/>
              </w:rPr>
            </w:pPr>
            <w:r>
              <w:rPr>
                <w:spacing w:val="-2"/>
                <w:sz w:val="18"/>
              </w:rPr>
              <w:t>1,000</w:t>
            </w:r>
          </w:p>
        </w:tc>
        <w:tc>
          <w:tcPr>
            <w:tcW w:w="1365"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394" w:hRule="atLeast"/>
        </w:trPr>
        <w:tc>
          <w:tcPr>
            <w:tcW w:w="4661" w:type="dxa"/>
            <w:tcBorders>
              <w:top w:val="dashed" w:sz="4" w:space="0" w:color="000000"/>
              <w:left w:val="single" w:sz="12" w:space="0" w:color="000000"/>
              <w:bottom w:val="dashSmallGap" w:sz="4" w:space="0" w:color="000000"/>
              <w:right w:val="single" w:sz="12" w:space="0" w:color="000000"/>
            </w:tcBorders>
          </w:tcPr>
          <w:p>
            <w:pPr>
              <w:pStyle w:val="TableParagraph"/>
              <w:spacing w:line="206" w:lineRule="exact"/>
              <w:ind w:left="107" w:right="187"/>
              <w:rPr>
                <w:sz w:val="18"/>
              </w:rPr>
            </w:pPr>
            <w:r>
              <w:rPr>
                <w:sz w:val="18"/>
              </w:rPr>
              <w:t>Croydon</w:t>
            </w:r>
            <w:r>
              <w:rPr>
                <w:spacing w:val="-13"/>
                <w:sz w:val="18"/>
              </w:rPr>
              <w:t> </w:t>
            </w:r>
            <w:r>
              <w:rPr>
                <w:sz w:val="18"/>
              </w:rPr>
              <w:t>Community</w:t>
            </w:r>
            <w:r>
              <w:rPr>
                <w:spacing w:val="-12"/>
                <w:sz w:val="18"/>
              </w:rPr>
              <w:t> </w:t>
            </w:r>
            <w:r>
              <w:rPr>
                <w:sz w:val="18"/>
              </w:rPr>
              <w:t>Wellbeing</w:t>
            </w:r>
            <w:r>
              <w:rPr>
                <w:spacing w:val="-12"/>
                <w:sz w:val="18"/>
              </w:rPr>
              <w:t> </w:t>
            </w:r>
            <w:r>
              <w:rPr>
                <w:sz w:val="18"/>
              </w:rPr>
              <w:t>Precinct Redevelopment - Commercial Space</w:t>
            </w:r>
          </w:p>
        </w:tc>
        <w:tc>
          <w:tcPr>
            <w:tcW w:w="7328" w:type="dxa"/>
            <w:gridSpan w:val="7"/>
            <w:tcBorders>
              <w:top w:val="single" w:sz="4" w:space="0" w:color="000000"/>
              <w:left w:val="single" w:sz="12" w:space="0" w:color="000000"/>
              <w:right w:val="single" w:sz="12" w:space="0" w:color="000000"/>
            </w:tcBorders>
          </w:tcPr>
          <w:p>
            <w:pPr>
              <w:pStyle w:val="TableParagraph"/>
              <w:spacing w:before="1" w:after="1"/>
              <w:rPr>
                <w:b/>
                <w:sz w:val="9"/>
              </w:rPr>
            </w:pPr>
          </w:p>
          <w:p>
            <w:pPr>
              <w:pStyle w:val="TableParagraph"/>
              <w:tabs>
                <w:tab w:pos="2260" w:val="left" w:leader="none"/>
                <w:tab w:pos="3272" w:val="left" w:leader="none"/>
                <w:tab w:pos="4288" w:val="left" w:leader="none"/>
                <w:tab w:pos="5298" w:val="left" w:leader="none"/>
                <w:tab w:pos="6311" w:val="left" w:leader="none"/>
              </w:tabs>
              <w:ind w:left="1247"/>
              <w:rPr>
                <w:sz w:val="20"/>
              </w:rPr>
            </w:pPr>
            <w:r>
              <w:rPr>
                <w:sz w:val="20"/>
              </w:rPr>
              <w:pict>
                <v:group style="width:.5pt;height:13.45pt;mso-position-horizontal-relative:char;mso-position-vertical-relative:line" id="docshapegroup184" coordorigin="0,0" coordsize="10,269">
                  <v:shape style="position:absolute;left:0;top:0;width:10;height:269" id="docshape185"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186" coordorigin="0,0" coordsize="10,269">
                  <v:shape style="position:absolute;left:0;top:0;width:10;height:269" id="docshape187"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188" coordorigin="0,0" coordsize="10,269">
                  <v:shape style="position:absolute;left:0;top:0;width:10;height:269" id="docshape189"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190" coordorigin="0,0" coordsize="10,269">
                  <v:shape style="position:absolute;left:-1;top:0;width:10;height:269" id="docshape191"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192" coordorigin="0,0" coordsize="10,269">
                  <v:shape style="position:absolute;left:0;top:0;width:10;height:269" id="docshape193"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194" coordorigin="0,0" coordsize="10,269">
                  <v:shape style="position:absolute;left:0;top:0;width:10;height:269" id="docshape195" coordorigin="0,0" coordsize="10,269" path="m10,230l0,230,0,269,10,269,10,230xm10,154l0,154,0,192,10,192,10,154xm10,77l0,77,0,115,10,115,10,77xm10,0l0,0,0,38,10,38,10,0xe" filled="true" fillcolor="#000000" stroked="false">
                    <v:path arrowok="t"/>
                    <v:fill type="solid"/>
                  </v:shape>
                </v:group>
              </w:pict>
            </w:r>
            <w:r>
              <w:rPr>
                <w:sz w:val="20"/>
              </w:rPr>
            </w:r>
          </w:p>
        </w:tc>
        <w:tc>
          <w:tcPr>
            <w:tcW w:w="1252" w:type="dxa"/>
            <w:tcBorders>
              <w:top w:val="dashSmallGap" w:sz="4" w:space="0" w:color="000000"/>
              <w:left w:val="single" w:sz="12" w:space="0" w:color="000000"/>
              <w:bottom w:val="dashed" w:sz="4" w:space="0" w:color="000000"/>
              <w:right w:val="single" w:sz="12" w:space="0" w:color="000000"/>
            </w:tcBorders>
          </w:tcPr>
          <w:p>
            <w:pPr>
              <w:pStyle w:val="TableParagraph"/>
              <w:spacing w:before="102"/>
              <w:ind w:right="72"/>
              <w:jc w:val="right"/>
              <w:rPr>
                <w:sz w:val="18"/>
              </w:rPr>
            </w:pPr>
            <w:r>
              <w:rPr>
                <w:spacing w:val="-2"/>
                <w:sz w:val="18"/>
              </w:rPr>
              <w:t>3,000</w:t>
            </w:r>
          </w:p>
        </w:tc>
        <w:tc>
          <w:tcPr>
            <w:tcW w:w="1252" w:type="dxa"/>
            <w:tcBorders>
              <w:top w:val="dashSmallGap"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365" w:type="dxa"/>
            <w:tcBorders>
              <w:top w:val="dashSmallGap" w:sz="4"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247" w:hRule="atLeast"/>
        </w:trPr>
        <w:tc>
          <w:tcPr>
            <w:tcW w:w="4661" w:type="dxa"/>
            <w:tcBorders>
              <w:top w:val="dashSmallGap" w:sz="4" w:space="0" w:color="000000"/>
              <w:left w:val="single" w:sz="12" w:space="0" w:color="000000"/>
              <w:bottom w:val="dashSmallGap" w:sz="4" w:space="0" w:color="000000"/>
              <w:right w:val="single" w:sz="12" w:space="0" w:color="000000"/>
            </w:tcBorders>
          </w:tcPr>
          <w:p>
            <w:pPr>
              <w:pStyle w:val="TableParagraph"/>
              <w:spacing w:before="12"/>
              <w:ind w:left="107"/>
              <w:rPr>
                <w:sz w:val="18"/>
              </w:rPr>
            </w:pPr>
            <w:r>
              <w:rPr>
                <w:sz w:val="18"/>
              </w:rPr>
              <w:t>Ringwood</w:t>
            </w:r>
            <w:r>
              <w:rPr>
                <w:spacing w:val="-3"/>
                <w:sz w:val="18"/>
              </w:rPr>
              <w:t> </w:t>
            </w:r>
            <w:r>
              <w:rPr>
                <w:sz w:val="18"/>
              </w:rPr>
              <w:t>Activity Centre</w:t>
            </w:r>
            <w:r>
              <w:rPr>
                <w:spacing w:val="-1"/>
                <w:sz w:val="18"/>
              </w:rPr>
              <w:t> </w:t>
            </w:r>
            <w:r>
              <w:rPr>
                <w:spacing w:val="-2"/>
                <w:sz w:val="18"/>
              </w:rPr>
              <w:t>Carpark</w:t>
            </w:r>
          </w:p>
        </w:tc>
        <w:tc>
          <w:tcPr>
            <w:tcW w:w="1253" w:type="dxa"/>
            <w:tcBorders>
              <w:top w:val="dashSmallGap" w:sz="4" w:space="0" w:color="000000"/>
              <w:left w:val="single" w:sz="12" w:space="0" w:color="000000"/>
              <w:bottom w:val="dashSmallGap" w:sz="4" w:space="0" w:color="000000"/>
              <w:right w:val="nil"/>
            </w:tcBorders>
          </w:tcPr>
          <w:p>
            <w:pPr>
              <w:pStyle w:val="TableParagraph"/>
              <w:spacing w:before="12"/>
              <w:ind w:right="75"/>
              <w:jc w:val="right"/>
              <w:rPr>
                <w:sz w:val="18"/>
              </w:rPr>
            </w:pPr>
            <w:r>
              <w:rPr>
                <w:spacing w:val="-2"/>
                <w:sz w:val="18"/>
              </w:rPr>
              <w:t>27,700</w:t>
            </w:r>
          </w:p>
        </w:tc>
        <w:tc>
          <w:tcPr>
            <w:tcW w:w="1013" w:type="dxa"/>
            <w:tcBorders>
              <w:top w:val="dashSmallGap" w:sz="4" w:space="0" w:color="000000"/>
              <w:left w:val="nil"/>
              <w:bottom w:val="dashSmallGap" w:sz="4" w:space="0" w:color="000000"/>
              <w:right w:val="nil"/>
            </w:tcBorders>
          </w:tcPr>
          <w:p>
            <w:pPr>
              <w:pStyle w:val="TableParagraph"/>
              <w:spacing w:before="12"/>
              <w:ind w:right="89"/>
              <w:jc w:val="right"/>
              <w:rPr>
                <w:sz w:val="18"/>
              </w:rPr>
            </w:pPr>
            <w:r>
              <w:rPr>
                <w:spacing w:val="-2"/>
                <w:sz w:val="18"/>
              </w:rPr>
              <w:t>3,500</w:t>
            </w:r>
          </w:p>
        </w:tc>
        <w:tc>
          <w:tcPr>
            <w:tcW w:w="1013" w:type="dxa"/>
            <w:tcBorders>
              <w:top w:val="dashSmallGap" w:sz="4" w:space="0" w:color="000000"/>
              <w:left w:val="nil"/>
              <w:bottom w:val="dashSmallGap" w:sz="4" w:space="0" w:color="000000"/>
              <w:right w:val="nil"/>
            </w:tcBorders>
          </w:tcPr>
          <w:p>
            <w:pPr>
              <w:pStyle w:val="TableParagraph"/>
              <w:spacing w:before="12"/>
              <w:ind w:right="91"/>
              <w:jc w:val="right"/>
              <w:rPr>
                <w:sz w:val="18"/>
              </w:rPr>
            </w:pPr>
            <w:r>
              <w:rPr>
                <w:spacing w:val="-2"/>
                <w:sz w:val="18"/>
              </w:rPr>
              <w:t>24,200</w:t>
            </w:r>
          </w:p>
        </w:tc>
        <w:tc>
          <w:tcPr>
            <w:tcW w:w="1015" w:type="dxa"/>
            <w:tcBorders>
              <w:top w:val="dashSmallGap" w:sz="4" w:space="0" w:color="000000"/>
              <w:left w:val="nil"/>
              <w:bottom w:val="dashSmallGap" w:sz="4" w:space="0" w:color="000000"/>
              <w:right w:val="nil"/>
            </w:tcBorders>
          </w:tcPr>
          <w:p>
            <w:pPr>
              <w:pStyle w:val="TableParagraph"/>
              <w:spacing w:before="9"/>
              <w:rPr>
                <w:b/>
                <w:sz w:val="2"/>
              </w:rPr>
            </w:pPr>
          </w:p>
          <w:p>
            <w:pPr>
              <w:pStyle w:val="TableParagraph"/>
              <w:tabs>
                <w:tab w:pos="1024" w:val="left" w:leader="none"/>
              </w:tabs>
              <w:spacing w:line="192" w:lineRule="exact"/>
              <w:ind w:left="8" w:right="-87"/>
              <w:rPr>
                <w:sz w:val="19"/>
              </w:rPr>
            </w:pPr>
            <w:r>
              <w:rPr>
                <w:position w:val="-3"/>
                <w:sz w:val="19"/>
              </w:rPr>
              <w:pict>
                <v:group style="width:.5pt;height:9.6pt;mso-position-horizontal-relative:char;mso-position-vertical-relative:line" id="docshapegroup196" coordorigin="0,0" coordsize="10,192">
                  <v:shape style="position:absolute;left:0;top:0;width:10;height:192" id="docshape19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198" coordorigin="0,0" coordsize="10,192">
                  <v:shape style="position:absolute;left:-1;top:0;width:10;height:192" id="docshape19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9"/>
              <w:rPr>
                <w:b/>
                <w:sz w:val="2"/>
              </w:rPr>
            </w:pPr>
          </w:p>
          <w:p>
            <w:pPr>
              <w:pStyle w:val="TableParagraph"/>
              <w:spacing w:line="192" w:lineRule="exact"/>
              <w:ind w:left="1019" w:right="-87"/>
              <w:rPr>
                <w:sz w:val="19"/>
              </w:rPr>
            </w:pPr>
            <w:r>
              <w:rPr>
                <w:position w:val="-3"/>
                <w:sz w:val="19"/>
              </w:rPr>
              <w:pict>
                <v:group style="width:.5pt;height:9.6pt;mso-position-horizontal-relative:char;mso-position-vertical-relative:line" id="docshapegroup200" coordorigin="0,0" coordsize="10,192">
                  <v:shape style="position:absolute;left:0;top:0;width:10;height:192" id="docshape201" coordorigin="0,0" coordsize="10,192" path="m10,154l0,154,0,192,10,192,10,154xm10,77l0,77,0,115,10,115,10,77xm10,0l0,0,0,38,10,38,10,0xe" filled="true" fillcolor="#000000" stroked="false">
                    <v:path arrowok="t"/>
                    <v:fill type="solid"/>
                  </v:shape>
                </v:group>
              </w:pict>
            </w:r>
            <w:r>
              <w:rPr>
                <w:position w:val="-3"/>
                <w:sz w:val="19"/>
              </w:rPr>
            </w:r>
          </w:p>
        </w:tc>
        <w:tc>
          <w:tcPr>
            <w:tcW w:w="1012" w:type="dxa"/>
            <w:tcBorders>
              <w:top w:val="dashed" w:sz="4" w:space="0" w:color="000000"/>
              <w:left w:val="nil"/>
              <w:bottom w:val="dashed" w:sz="4" w:space="0" w:color="000000"/>
              <w:right w:val="nil"/>
            </w:tcBorders>
          </w:tcPr>
          <w:p>
            <w:pPr>
              <w:pStyle w:val="TableParagraph"/>
              <w:spacing w:before="9"/>
              <w:rPr>
                <w:b/>
                <w:sz w:val="2"/>
              </w:rPr>
            </w:pPr>
          </w:p>
          <w:p>
            <w:pPr>
              <w:pStyle w:val="TableParagraph"/>
              <w:spacing w:line="192" w:lineRule="exact"/>
              <w:ind w:left="1022" w:right="-87"/>
              <w:rPr>
                <w:sz w:val="19"/>
              </w:rPr>
            </w:pPr>
            <w:r>
              <w:rPr>
                <w:position w:val="-3"/>
                <w:sz w:val="19"/>
              </w:rPr>
              <w:pict>
                <v:group style="width:.5pt;height:9.6pt;mso-position-horizontal-relative:char;mso-position-vertical-relative:line" id="docshapegroup202" coordorigin="0,0" coordsize="10,192">
                  <v:shape style="position:absolute;left:0;top:0;width:10;height:192" id="docshape203" coordorigin="0,0" coordsize="10,192" path="m10,154l0,154,0,192,10,192,10,154xm10,77l0,77,0,115,10,115,10,77xm10,0l0,0,0,38,10,38,10,0xe" filled="true" fillcolor="#000000" stroked="false">
                    <v:path arrowok="t"/>
                    <v:fill type="solid"/>
                  </v:shape>
                </v:group>
              </w:pict>
            </w:r>
            <w:r>
              <w:rPr>
                <w:position w:val="-3"/>
                <w:sz w:val="19"/>
              </w:rPr>
            </w:r>
          </w:p>
        </w:tc>
        <w:tc>
          <w:tcPr>
            <w:tcW w:w="1012" w:type="dxa"/>
            <w:tcBorders>
              <w:top w:val="dashed" w:sz="4" w:space="0" w:color="000000"/>
              <w:left w:val="nil"/>
              <w:bottom w:val="dashed" w:sz="4" w:space="0" w:color="000000"/>
              <w:right w:val="single" w:sz="12" w:space="0" w:color="000000"/>
            </w:tcBorders>
          </w:tcPr>
          <w:p>
            <w:pPr>
              <w:pStyle w:val="TableParagraph"/>
              <w:spacing w:before="12"/>
              <w:ind w:right="73"/>
              <w:jc w:val="right"/>
              <w:rPr>
                <w:sz w:val="18"/>
              </w:rPr>
            </w:pPr>
            <w:r>
              <w:rPr>
                <w:spacing w:val="-2"/>
                <w:sz w:val="18"/>
              </w:rPr>
              <w:t>27,700</w:t>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365"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267" w:hRule="atLeast"/>
        </w:trPr>
        <w:tc>
          <w:tcPr>
            <w:tcW w:w="4661" w:type="dxa"/>
            <w:tcBorders>
              <w:top w:val="dashSmallGap" w:sz="4" w:space="0" w:color="000000"/>
              <w:left w:val="single" w:sz="12" w:space="0" w:color="000000"/>
              <w:bottom w:val="dashSmallGap" w:sz="4" w:space="0" w:color="000000"/>
              <w:right w:val="single" w:sz="12" w:space="0" w:color="000000"/>
            </w:tcBorders>
          </w:tcPr>
          <w:p>
            <w:pPr>
              <w:pStyle w:val="TableParagraph"/>
              <w:spacing w:before="29"/>
              <w:ind w:left="107"/>
              <w:rPr>
                <w:sz w:val="18"/>
              </w:rPr>
            </w:pPr>
            <w:r>
              <w:rPr>
                <w:sz w:val="18"/>
              </w:rPr>
              <w:t>Rings</w:t>
            </w:r>
            <w:r>
              <w:rPr>
                <w:spacing w:val="-4"/>
                <w:sz w:val="18"/>
              </w:rPr>
              <w:t> </w:t>
            </w:r>
            <w:r>
              <w:rPr>
                <w:sz w:val="18"/>
              </w:rPr>
              <w:t>and</w:t>
            </w:r>
            <w:r>
              <w:rPr>
                <w:spacing w:val="1"/>
                <w:sz w:val="18"/>
              </w:rPr>
              <w:t> </w:t>
            </w:r>
            <w:r>
              <w:rPr>
                <w:sz w:val="18"/>
              </w:rPr>
              <w:t>Golf</w:t>
            </w:r>
            <w:r>
              <w:rPr>
                <w:spacing w:val="-1"/>
                <w:sz w:val="18"/>
              </w:rPr>
              <w:t> </w:t>
            </w:r>
            <w:r>
              <w:rPr>
                <w:sz w:val="18"/>
              </w:rPr>
              <w:t>Redevelopment</w:t>
            </w:r>
            <w:r>
              <w:rPr>
                <w:spacing w:val="-1"/>
                <w:sz w:val="18"/>
              </w:rPr>
              <w:t> </w:t>
            </w:r>
            <w:r>
              <w:rPr>
                <w:sz w:val="18"/>
              </w:rPr>
              <w:t>(Subject</w:t>
            </w:r>
            <w:r>
              <w:rPr>
                <w:spacing w:val="-1"/>
                <w:sz w:val="18"/>
              </w:rPr>
              <w:t> </w:t>
            </w:r>
            <w:r>
              <w:rPr>
                <w:sz w:val="18"/>
              </w:rPr>
              <w:t>to</w:t>
            </w:r>
            <w:r>
              <w:rPr>
                <w:spacing w:val="-1"/>
                <w:sz w:val="18"/>
              </w:rPr>
              <w:t> </w:t>
            </w:r>
            <w:r>
              <w:rPr>
                <w:spacing w:val="-2"/>
                <w:sz w:val="18"/>
              </w:rPr>
              <w:t>Funding)</w:t>
            </w:r>
          </w:p>
        </w:tc>
        <w:tc>
          <w:tcPr>
            <w:tcW w:w="7328" w:type="dxa"/>
            <w:gridSpan w:val="7"/>
            <w:tcBorders>
              <w:left w:val="single" w:sz="12" w:space="0" w:color="000000"/>
              <w:right w:val="single" w:sz="12" w:space="0" w:color="000000"/>
            </w:tcBorders>
          </w:tcPr>
          <w:p>
            <w:pPr>
              <w:pStyle w:val="TableParagraph"/>
              <w:spacing w:before="1"/>
              <w:rPr>
                <w:b/>
                <w:sz w:val="4"/>
              </w:rPr>
            </w:pPr>
          </w:p>
          <w:p>
            <w:pPr>
              <w:pStyle w:val="TableParagraph"/>
              <w:tabs>
                <w:tab w:pos="2260" w:val="left" w:leader="none"/>
                <w:tab w:pos="3272" w:val="left" w:leader="none"/>
                <w:tab w:pos="4288" w:val="left" w:leader="none"/>
                <w:tab w:pos="5298" w:val="left" w:leader="none"/>
                <w:tab w:pos="6311" w:val="left" w:leader="none"/>
              </w:tabs>
              <w:spacing w:line="192" w:lineRule="exact"/>
              <w:ind w:left="1247"/>
              <w:rPr>
                <w:sz w:val="19"/>
              </w:rPr>
            </w:pPr>
            <w:r>
              <w:rPr>
                <w:position w:val="-3"/>
                <w:sz w:val="19"/>
              </w:rPr>
              <w:pict>
                <v:group style="width:.5pt;height:9.6pt;mso-position-horizontal-relative:char;mso-position-vertical-relative:line" id="docshapegroup204" coordorigin="0,0" coordsize="10,192">
                  <v:shape style="position:absolute;left:0;top:0;width:10;height:192" id="docshape20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06" coordorigin="0,0" coordsize="10,192">
                  <v:shape style="position:absolute;left:0;top:0;width:10;height:192" id="docshape20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08" coordorigin="0,0" coordsize="10,192">
                  <v:shape style="position:absolute;left:0;top:0;width:10;height:192" id="docshape209"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10" coordorigin="0,0" coordsize="10,192">
                  <v:shape style="position:absolute;left:-1;top:0;width:10;height:192" id="docshape21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12" coordorigin="0,0" coordsize="10,192">
                  <v:shape style="position:absolute;left:0;top:0;width:10;height:192" id="docshape21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14" coordorigin="0,0" coordsize="10,192">
                  <v:shape style="position:absolute;left:0;top:0;width:10;height:192" id="docshape215" coordorigin="0,0" coordsize="10,192" path="m10,154l0,154,0,192,10,192,10,154xm10,77l0,77,0,115,10,115,10,77xm10,0l0,0,0,38,10,38,10,0xe" filled="true" fillcolor="#000000" stroked="false">
                    <v:path arrowok="t"/>
                    <v:fill type="solid"/>
                  </v:shape>
                </v:group>
              </w:pict>
            </w:r>
            <w:r>
              <w:rPr>
                <w:position w:val="-3"/>
                <w:sz w:val="19"/>
              </w:rPr>
            </w: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52"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365" w:type="dxa"/>
            <w:tcBorders>
              <w:top w:val="dashed" w:sz="4" w:space="0" w:color="000000"/>
              <w:left w:val="single" w:sz="12" w:space="0" w:color="000000"/>
              <w:bottom w:val="dashed" w:sz="4" w:space="0" w:color="000000"/>
              <w:right w:val="single" w:sz="12" w:space="0" w:color="000000"/>
            </w:tcBorders>
          </w:tcPr>
          <w:p>
            <w:pPr>
              <w:pStyle w:val="TableParagraph"/>
              <w:spacing w:before="29"/>
              <w:ind w:right="68"/>
              <w:jc w:val="right"/>
              <w:rPr>
                <w:sz w:val="18"/>
              </w:rPr>
            </w:pPr>
            <w:r>
              <w:rPr>
                <w:spacing w:val="-2"/>
                <w:sz w:val="18"/>
              </w:rPr>
              <w:t>15,000</w:t>
            </w:r>
          </w:p>
        </w:tc>
      </w:tr>
      <w:tr>
        <w:trPr>
          <w:trHeight w:val="394" w:hRule="atLeast"/>
        </w:trPr>
        <w:tc>
          <w:tcPr>
            <w:tcW w:w="4661" w:type="dxa"/>
            <w:tcBorders>
              <w:top w:val="dashSmallGap" w:sz="4" w:space="0" w:color="000000"/>
              <w:left w:val="single" w:sz="12" w:space="0" w:color="000000"/>
              <w:bottom w:val="dashed" w:sz="4" w:space="0" w:color="000000"/>
              <w:right w:val="single" w:sz="12" w:space="0" w:color="000000"/>
            </w:tcBorders>
          </w:tcPr>
          <w:p>
            <w:pPr>
              <w:pStyle w:val="TableParagraph"/>
              <w:spacing w:line="188" w:lineRule="exact"/>
              <w:ind w:left="107"/>
              <w:rPr>
                <w:sz w:val="18"/>
              </w:rPr>
            </w:pPr>
            <w:r>
              <w:rPr>
                <w:sz w:val="18"/>
              </w:rPr>
              <w:t>Karralyka</w:t>
            </w:r>
            <w:r>
              <w:rPr>
                <w:spacing w:val="-4"/>
                <w:sz w:val="18"/>
              </w:rPr>
              <w:t> </w:t>
            </w:r>
            <w:r>
              <w:rPr>
                <w:sz w:val="18"/>
              </w:rPr>
              <w:t>Redevelopment</w:t>
            </w:r>
            <w:r>
              <w:rPr>
                <w:spacing w:val="1"/>
                <w:sz w:val="18"/>
              </w:rPr>
              <w:t> </w:t>
            </w:r>
            <w:r>
              <w:rPr>
                <w:sz w:val="18"/>
              </w:rPr>
              <w:t>-</w:t>
            </w:r>
            <w:r>
              <w:rPr>
                <w:spacing w:val="-1"/>
                <w:sz w:val="18"/>
              </w:rPr>
              <w:t> </w:t>
            </w:r>
            <w:r>
              <w:rPr>
                <w:sz w:val="18"/>
              </w:rPr>
              <w:t>Stage</w:t>
            </w:r>
            <w:r>
              <w:rPr>
                <w:spacing w:val="1"/>
                <w:sz w:val="18"/>
              </w:rPr>
              <w:t> </w:t>
            </w:r>
            <w:r>
              <w:rPr>
                <w:sz w:val="18"/>
              </w:rPr>
              <w:t>2,</w:t>
            </w:r>
            <w:r>
              <w:rPr>
                <w:spacing w:val="-3"/>
                <w:sz w:val="18"/>
              </w:rPr>
              <w:t> </w:t>
            </w:r>
            <w:r>
              <w:rPr>
                <w:sz w:val="18"/>
              </w:rPr>
              <w:t>3</w:t>
            </w:r>
            <w:r>
              <w:rPr>
                <w:spacing w:val="1"/>
                <w:sz w:val="18"/>
              </w:rPr>
              <w:t> </w:t>
            </w:r>
            <w:r>
              <w:rPr>
                <w:sz w:val="18"/>
              </w:rPr>
              <w:t>and</w:t>
            </w:r>
            <w:r>
              <w:rPr>
                <w:spacing w:val="1"/>
                <w:sz w:val="18"/>
              </w:rPr>
              <w:t> </w:t>
            </w:r>
            <w:r>
              <w:rPr>
                <w:sz w:val="18"/>
              </w:rPr>
              <w:t>4</w:t>
            </w:r>
            <w:r>
              <w:rPr>
                <w:spacing w:val="-4"/>
                <w:sz w:val="18"/>
              </w:rPr>
              <w:t> </w:t>
            </w:r>
            <w:r>
              <w:rPr>
                <w:spacing w:val="-2"/>
                <w:sz w:val="18"/>
              </w:rPr>
              <w:t>(Subject</w:t>
            </w:r>
          </w:p>
          <w:p>
            <w:pPr>
              <w:pStyle w:val="TableParagraph"/>
              <w:spacing w:line="187" w:lineRule="exact"/>
              <w:ind w:left="107"/>
              <w:rPr>
                <w:sz w:val="18"/>
              </w:rPr>
            </w:pPr>
            <w:r>
              <w:rPr>
                <w:sz w:val="18"/>
              </w:rPr>
              <w:t>to</w:t>
            </w:r>
            <w:r>
              <w:rPr>
                <w:spacing w:val="2"/>
                <w:sz w:val="18"/>
              </w:rPr>
              <w:t> </w:t>
            </w:r>
            <w:r>
              <w:rPr>
                <w:spacing w:val="-2"/>
                <w:sz w:val="18"/>
              </w:rPr>
              <w:t>Funding)</w:t>
            </w:r>
          </w:p>
        </w:tc>
        <w:tc>
          <w:tcPr>
            <w:tcW w:w="7328" w:type="dxa"/>
            <w:gridSpan w:val="7"/>
            <w:tcBorders>
              <w:left w:val="single" w:sz="12" w:space="0" w:color="000000"/>
              <w:bottom w:val="nil"/>
              <w:right w:val="single" w:sz="12" w:space="0" w:color="000000"/>
            </w:tcBorders>
          </w:tcPr>
          <w:p>
            <w:pPr>
              <w:pStyle w:val="TableParagraph"/>
              <w:spacing w:before="7"/>
              <w:rPr>
                <w:b/>
                <w:sz w:val="3"/>
              </w:rPr>
            </w:pPr>
          </w:p>
          <w:p>
            <w:pPr>
              <w:pStyle w:val="TableParagraph"/>
              <w:tabs>
                <w:tab w:pos="2260" w:val="left" w:leader="none"/>
                <w:tab w:pos="3272" w:val="left" w:leader="none"/>
                <w:tab w:pos="4288" w:val="left" w:leader="none"/>
                <w:tab w:pos="5298" w:val="left" w:leader="none"/>
                <w:tab w:pos="6311" w:val="left" w:leader="none"/>
              </w:tabs>
              <w:ind w:left="1247"/>
              <w:rPr>
                <w:sz w:val="20"/>
              </w:rPr>
            </w:pPr>
            <w:r>
              <w:rPr>
                <w:sz w:val="20"/>
              </w:rPr>
              <w:pict>
                <v:group style="width:.5pt;height:13.45pt;mso-position-horizontal-relative:char;mso-position-vertical-relative:line" id="docshapegroup216" coordorigin="0,0" coordsize="10,269">
                  <v:shape style="position:absolute;left:0;top:0;width:10;height:269" id="docshape217"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218" coordorigin="0,0" coordsize="10,269">
                  <v:shape style="position:absolute;left:0;top:0;width:10;height:269" id="docshape219"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220" coordorigin="0,0" coordsize="10,269">
                  <v:shape style="position:absolute;left:0;top:0;width:10;height:269" id="docshape221"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222" coordorigin="0,0" coordsize="10,269">
                  <v:shape style="position:absolute;left:-1;top:0;width:10;height:269" id="docshape223"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224" coordorigin="0,0" coordsize="10,269">
                  <v:shape style="position:absolute;left:0;top:0;width:10;height:269" id="docshape225"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226" coordorigin="0,0" coordsize="10,269">
                  <v:shape style="position:absolute;left:0;top:0;width:10;height:269" id="docshape227" coordorigin="0,0" coordsize="10,269" path="m10,230l0,230,0,269,10,269,10,230xm10,154l0,154,0,192,10,192,10,154xm10,77l0,77,0,115,10,115,10,77xm10,0l0,0,0,38,10,38,10,0xe" filled="true" fillcolor="#000000" stroked="false">
                    <v:path arrowok="t"/>
                    <v:fill type="solid"/>
                  </v:shape>
                </v:group>
              </w:pict>
            </w:r>
            <w:r>
              <w:rPr>
                <w:sz w:val="20"/>
              </w:rPr>
            </w:r>
          </w:p>
        </w:tc>
        <w:tc>
          <w:tcPr>
            <w:tcW w:w="1252" w:type="dxa"/>
            <w:tcBorders>
              <w:top w:val="dashed"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2" w:type="dxa"/>
            <w:tcBorders>
              <w:top w:val="dashed" w:sz="4" w:space="0" w:color="000000"/>
              <w:left w:val="single" w:sz="12" w:space="0" w:color="000000"/>
              <w:bottom w:val="dashSmallGap" w:sz="4" w:space="0" w:color="000000"/>
              <w:right w:val="single" w:sz="12" w:space="0" w:color="000000"/>
            </w:tcBorders>
          </w:tcPr>
          <w:p>
            <w:pPr>
              <w:pStyle w:val="TableParagraph"/>
              <w:spacing w:before="84"/>
              <w:ind w:right="71"/>
              <w:jc w:val="right"/>
              <w:rPr>
                <w:sz w:val="18"/>
              </w:rPr>
            </w:pPr>
            <w:r>
              <w:rPr>
                <w:spacing w:val="-2"/>
                <w:sz w:val="18"/>
              </w:rPr>
              <w:t>12,500</w:t>
            </w:r>
          </w:p>
        </w:tc>
        <w:tc>
          <w:tcPr>
            <w:tcW w:w="1365" w:type="dxa"/>
            <w:tcBorders>
              <w:top w:val="dashed" w:sz="4" w:space="0" w:color="000000"/>
              <w:left w:val="single" w:sz="12" w:space="0" w:color="000000"/>
              <w:bottom w:val="dashSmallGap" w:sz="4" w:space="0" w:color="000000"/>
              <w:right w:val="single" w:sz="12" w:space="0" w:color="000000"/>
            </w:tcBorders>
          </w:tcPr>
          <w:p>
            <w:pPr>
              <w:pStyle w:val="TableParagraph"/>
              <w:spacing w:before="84"/>
              <w:ind w:right="68"/>
              <w:jc w:val="right"/>
              <w:rPr>
                <w:sz w:val="18"/>
              </w:rPr>
            </w:pPr>
            <w:r>
              <w:rPr>
                <w:spacing w:val="-2"/>
                <w:sz w:val="18"/>
              </w:rPr>
              <w:t>12,500</w:t>
            </w:r>
          </w:p>
        </w:tc>
      </w:tr>
      <w:tr>
        <w:trPr>
          <w:trHeight w:val="315" w:hRule="atLeast"/>
        </w:trPr>
        <w:tc>
          <w:tcPr>
            <w:tcW w:w="4661" w:type="dxa"/>
            <w:tcBorders>
              <w:top w:val="dashed" w:sz="4" w:space="0" w:color="000000"/>
              <w:left w:val="single" w:sz="12" w:space="0" w:color="000000"/>
              <w:bottom w:val="single" w:sz="12" w:space="0" w:color="000000"/>
              <w:right w:val="single" w:sz="12" w:space="0" w:color="000000"/>
            </w:tcBorders>
          </w:tcPr>
          <w:p>
            <w:pPr>
              <w:pStyle w:val="TableParagraph"/>
              <w:spacing w:before="31"/>
              <w:ind w:left="107"/>
              <w:rPr>
                <w:b/>
                <w:sz w:val="22"/>
              </w:rPr>
            </w:pPr>
            <w:r>
              <w:rPr>
                <w:b/>
                <w:sz w:val="22"/>
              </w:rPr>
              <w:t>TOTAL</w:t>
            </w:r>
            <w:r>
              <w:rPr>
                <w:b/>
                <w:spacing w:val="-2"/>
                <w:sz w:val="22"/>
              </w:rPr>
              <w:t> BUILDINGS</w:t>
            </w:r>
          </w:p>
        </w:tc>
        <w:tc>
          <w:tcPr>
            <w:tcW w:w="1253" w:type="dxa"/>
            <w:tcBorders>
              <w:top w:val="dashed" w:sz="4" w:space="0" w:color="000000"/>
              <w:left w:val="single" w:sz="12" w:space="0" w:color="000000"/>
              <w:bottom w:val="single" w:sz="12" w:space="0" w:color="000000"/>
              <w:right w:val="nil"/>
            </w:tcBorders>
          </w:tcPr>
          <w:p>
            <w:pPr>
              <w:pStyle w:val="TableParagraph"/>
              <w:spacing w:before="54"/>
              <w:ind w:right="76"/>
              <w:jc w:val="right"/>
              <w:rPr>
                <w:b/>
                <w:sz w:val="18"/>
              </w:rPr>
            </w:pPr>
            <w:r>
              <w:rPr>
                <w:b/>
                <w:spacing w:val="-2"/>
                <w:sz w:val="18"/>
              </w:rPr>
              <w:t>43,736</w:t>
            </w:r>
          </w:p>
        </w:tc>
        <w:tc>
          <w:tcPr>
            <w:tcW w:w="1013" w:type="dxa"/>
            <w:tcBorders>
              <w:top w:val="dashed" w:sz="4" w:space="0" w:color="000000"/>
              <w:left w:val="nil"/>
              <w:bottom w:val="single" w:sz="12" w:space="0" w:color="000000"/>
              <w:right w:val="nil"/>
            </w:tcBorders>
          </w:tcPr>
          <w:p>
            <w:pPr>
              <w:pStyle w:val="TableParagraph"/>
              <w:spacing w:before="54"/>
              <w:ind w:right="89"/>
              <w:jc w:val="right"/>
              <w:rPr>
                <w:b/>
                <w:sz w:val="18"/>
              </w:rPr>
            </w:pPr>
            <w:r>
              <w:rPr>
                <w:b/>
                <w:spacing w:val="-2"/>
                <w:sz w:val="18"/>
              </w:rPr>
              <w:t>16,346</w:t>
            </w:r>
          </w:p>
        </w:tc>
        <w:tc>
          <w:tcPr>
            <w:tcW w:w="1013" w:type="dxa"/>
            <w:tcBorders>
              <w:top w:val="dashed" w:sz="4" w:space="0" w:color="000000"/>
              <w:left w:val="nil"/>
              <w:bottom w:val="single" w:sz="12" w:space="0" w:color="000000"/>
              <w:right w:val="nil"/>
            </w:tcBorders>
          </w:tcPr>
          <w:p>
            <w:pPr>
              <w:pStyle w:val="TableParagraph"/>
              <w:spacing w:before="54"/>
              <w:ind w:right="91"/>
              <w:jc w:val="right"/>
              <w:rPr>
                <w:b/>
                <w:sz w:val="18"/>
              </w:rPr>
            </w:pPr>
            <w:r>
              <w:rPr>
                <w:b/>
                <w:spacing w:val="-2"/>
                <w:sz w:val="18"/>
              </w:rPr>
              <w:t>26,200</w:t>
            </w:r>
          </w:p>
        </w:tc>
        <w:tc>
          <w:tcPr>
            <w:tcW w:w="1015" w:type="dxa"/>
            <w:tcBorders>
              <w:top w:val="dashed" w:sz="4" w:space="0" w:color="000000"/>
              <w:left w:val="nil"/>
              <w:bottom w:val="single" w:sz="12" w:space="0" w:color="000000"/>
              <w:right w:val="nil"/>
            </w:tcBorders>
          </w:tcPr>
          <w:p>
            <w:pPr>
              <w:pStyle w:val="TableParagraph"/>
              <w:spacing w:before="54"/>
              <w:ind w:right="91"/>
              <w:jc w:val="right"/>
              <w:rPr>
                <w:b/>
                <w:sz w:val="18"/>
              </w:rPr>
            </w:pPr>
            <w:r>
              <w:rPr>
                <w:b/>
                <w:spacing w:val="-2"/>
                <w:sz w:val="18"/>
              </w:rPr>
              <w:t>1,190</w:t>
            </w:r>
          </w:p>
        </w:tc>
        <w:tc>
          <w:tcPr>
            <w:tcW w:w="1010" w:type="dxa"/>
            <w:tcBorders>
              <w:top w:val="dashSmallGap" w:sz="4" w:space="0" w:color="000000"/>
              <w:left w:val="nil"/>
              <w:bottom w:val="single" w:sz="12" w:space="0" w:color="000000"/>
              <w:right w:val="nil"/>
            </w:tcBorders>
          </w:tcPr>
          <w:p>
            <w:pPr>
              <w:pStyle w:val="TableParagraph"/>
              <w:spacing w:before="54"/>
              <w:ind w:right="88"/>
              <w:jc w:val="right"/>
              <w:rPr>
                <w:b/>
                <w:sz w:val="18"/>
              </w:rPr>
            </w:pPr>
            <w:r>
              <w:rPr>
                <w:b/>
                <w:spacing w:val="-2"/>
                <w:sz w:val="18"/>
              </w:rPr>
              <w:t>12,455</w:t>
            </w:r>
          </w:p>
        </w:tc>
        <w:tc>
          <w:tcPr>
            <w:tcW w:w="1012" w:type="dxa"/>
            <w:tcBorders>
              <w:top w:val="dashSmallGap" w:sz="4" w:space="0" w:color="000000"/>
              <w:left w:val="nil"/>
              <w:bottom w:val="single" w:sz="12" w:space="0" w:color="000000"/>
              <w:right w:val="nil"/>
            </w:tcBorders>
          </w:tcPr>
          <w:p>
            <w:pPr>
              <w:pStyle w:val="TableParagraph"/>
              <w:spacing w:before="54"/>
              <w:ind w:right="88"/>
              <w:jc w:val="right"/>
              <w:rPr>
                <w:b/>
                <w:sz w:val="18"/>
              </w:rPr>
            </w:pPr>
            <w:r>
              <w:rPr>
                <w:b/>
                <w:spacing w:val="-2"/>
                <w:sz w:val="18"/>
              </w:rPr>
              <w:t>3,581</w:t>
            </w:r>
          </w:p>
        </w:tc>
        <w:tc>
          <w:tcPr>
            <w:tcW w:w="1012" w:type="dxa"/>
            <w:tcBorders>
              <w:top w:val="dashSmallGap" w:sz="4" w:space="0" w:color="000000"/>
              <w:left w:val="nil"/>
              <w:bottom w:val="single" w:sz="12" w:space="0" w:color="000000"/>
              <w:right w:val="single" w:sz="12" w:space="0" w:color="000000"/>
            </w:tcBorders>
          </w:tcPr>
          <w:p>
            <w:pPr>
              <w:pStyle w:val="TableParagraph"/>
              <w:spacing w:before="54"/>
              <w:ind w:right="73"/>
              <w:jc w:val="right"/>
              <w:rPr>
                <w:b/>
                <w:sz w:val="18"/>
              </w:rPr>
            </w:pPr>
            <w:r>
              <w:rPr>
                <w:b/>
                <w:spacing w:val="-2"/>
                <w:sz w:val="18"/>
              </w:rPr>
              <w:t>27,700</w:t>
            </w:r>
          </w:p>
        </w:tc>
        <w:tc>
          <w:tcPr>
            <w:tcW w:w="1252"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73"/>
              <w:jc w:val="right"/>
              <w:rPr>
                <w:b/>
                <w:sz w:val="18"/>
              </w:rPr>
            </w:pPr>
            <w:r>
              <w:rPr>
                <w:b/>
                <w:spacing w:val="-2"/>
                <w:sz w:val="18"/>
              </w:rPr>
              <w:t>21,276</w:t>
            </w:r>
          </w:p>
        </w:tc>
        <w:tc>
          <w:tcPr>
            <w:tcW w:w="1252"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72"/>
              <w:jc w:val="right"/>
              <w:rPr>
                <w:b/>
                <w:sz w:val="18"/>
              </w:rPr>
            </w:pPr>
            <w:r>
              <w:rPr>
                <w:b/>
                <w:spacing w:val="-2"/>
                <w:sz w:val="18"/>
              </w:rPr>
              <w:t>27,609</w:t>
            </w:r>
          </w:p>
        </w:tc>
        <w:tc>
          <w:tcPr>
            <w:tcW w:w="1365"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69"/>
              <w:jc w:val="right"/>
              <w:rPr>
                <w:b/>
                <w:sz w:val="18"/>
              </w:rPr>
            </w:pPr>
            <w:r>
              <w:rPr>
                <w:b/>
                <w:spacing w:val="-2"/>
                <w:sz w:val="18"/>
              </w:rPr>
              <w:t>42,893</w:t>
            </w:r>
          </w:p>
        </w:tc>
      </w:tr>
      <w:tr>
        <w:trPr>
          <w:trHeight w:val="390" w:hRule="atLeast"/>
        </w:trPr>
        <w:tc>
          <w:tcPr>
            <w:tcW w:w="4661" w:type="dxa"/>
            <w:tcBorders>
              <w:top w:val="single" w:sz="12" w:space="0" w:color="000000"/>
              <w:left w:val="single" w:sz="12" w:space="0" w:color="000000"/>
              <w:bottom w:val="single" w:sz="12" w:space="0" w:color="000000"/>
              <w:right w:val="single" w:sz="12" w:space="0" w:color="000000"/>
            </w:tcBorders>
          </w:tcPr>
          <w:p>
            <w:pPr>
              <w:pStyle w:val="TableParagraph"/>
              <w:spacing w:before="32"/>
              <w:ind w:left="107"/>
              <w:rPr>
                <w:b/>
                <w:sz w:val="28"/>
              </w:rPr>
            </w:pPr>
            <w:r>
              <w:rPr>
                <w:b/>
                <w:sz w:val="28"/>
              </w:rPr>
              <w:t>TOTAL</w:t>
            </w:r>
            <w:r>
              <w:rPr>
                <w:b/>
                <w:spacing w:val="-4"/>
                <w:sz w:val="28"/>
              </w:rPr>
              <w:t> </w:t>
            </w:r>
            <w:r>
              <w:rPr>
                <w:b/>
                <w:spacing w:val="-2"/>
                <w:sz w:val="28"/>
              </w:rPr>
              <w:t>BUILDINGS</w:t>
            </w:r>
          </w:p>
        </w:tc>
        <w:tc>
          <w:tcPr>
            <w:tcW w:w="1253" w:type="dxa"/>
            <w:tcBorders>
              <w:top w:val="single" w:sz="12" w:space="0" w:color="000000"/>
              <w:left w:val="single" w:sz="12" w:space="0" w:color="000000"/>
              <w:bottom w:val="single" w:sz="12" w:space="0" w:color="000000"/>
              <w:right w:val="nil"/>
            </w:tcBorders>
          </w:tcPr>
          <w:p>
            <w:pPr>
              <w:pStyle w:val="TableParagraph"/>
              <w:spacing w:before="89"/>
              <w:ind w:right="76"/>
              <w:jc w:val="right"/>
              <w:rPr>
                <w:b/>
                <w:sz w:val="18"/>
              </w:rPr>
            </w:pPr>
            <w:r>
              <w:rPr>
                <w:b/>
                <w:spacing w:val="-2"/>
                <w:sz w:val="18"/>
              </w:rPr>
              <w:t>43,736</w:t>
            </w:r>
          </w:p>
        </w:tc>
        <w:tc>
          <w:tcPr>
            <w:tcW w:w="1013" w:type="dxa"/>
            <w:tcBorders>
              <w:top w:val="single" w:sz="12" w:space="0" w:color="000000"/>
              <w:left w:val="nil"/>
              <w:bottom w:val="single" w:sz="12" w:space="0" w:color="000000"/>
              <w:right w:val="nil"/>
            </w:tcBorders>
          </w:tcPr>
          <w:p>
            <w:pPr>
              <w:pStyle w:val="TableParagraph"/>
              <w:spacing w:before="89"/>
              <w:ind w:right="89"/>
              <w:jc w:val="right"/>
              <w:rPr>
                <w:b/>
                <w:sz w:val="18"/>
              </w:rPr>
            </w:pPr>
            <w:r>
              <w:rPr>
                <w:b/>
                <w:spacing w:val="-2"/>
                <w:sz w:val="18"/>
              </w:rPr>
              <w:t>16,346</w:t>
            </w:r>
          </w:p>
        </w:tc>
        <w:tc>
          <w:tcPr>
            <w:tcW w:w="1013" w:type="dxa"/>
            <w:tcBorders>
              <w:top w:val="single" w:sz="12" w:space="0" w:color="000000"/>
              <w:left w:val="nil"/>
              <w:bottom w:val="single" w:sz="12" w:space="0" w:color="000000"/>
              <w:right w:val="nil"/>
            </w:tcBorders>
          </w:tcPr>
          <w:p>
            <w:pPr>
              <w:pStyle w:val="TableParagraph"/>
              <w:spacing w:before="89"/>
              <w:ind w:right="91"/>
              <w:jc w:val="right"/>
              <w:rPr>
                <w:b/>
                <w:sz w:val="18"/>
              </w:rPr>
            </w:pPr>
            <w:r>
              <w:rPr>
                <w:b/>
                <w:spacing w:val="-2"/>
                <w:sz w:val="18"/>
              </w:rPr>
              <w:t>26,200</w:t>
            </w:r>
          </w:p>
        </w:tc>
        <w:tc>
          <w:tcPr>
            <w:tcW w:w="1015" w:type="dxa"/>
            <w:tcBorders>
              <w:top w:val="single" w:sz="12" w:space="0" w:color="000000"/>
              <w:left w:val="nil"/>
              <w:bottom w:val="single" w:sz="12" w:space="0" w:color="000000"/>
              <w:right w:val="nil"/>
            </w:tcBorders>
          </w:tcPr>
          <w:p>
            <w:pPr>
              <w:pStyle w:val="TableParagraph"/>
              <w:spacing w:before="89"/>
              <w:ind w:right="91"/>
              <w:jc w:val="right"/>
              <w:rPr>
                <w:b/>
                <w:sz w:val="18"/>
              </w:rPr>
            </w:pPr>
            <w:r>
              <w:rPr>
                <w:b/>
                <w:spacing w:val="-2"/>
                <w:sz w:val="18"/>
              </w:rPr>
              <w:t>1,190</w:t>
            </w:r>
          </w:p>
        </w:tc>
        <w:tc>
          <w:tcPr>
            <w:tcW w:w="1010" w:type="dxa"/>
            <w:tcBorders>
              <w:top w:val="single" w:sz="12" w:space="0" w:color="000000"/>
              <w:left w:val="nil"/>
              <w:bottom w:val="single" w:sz="12" w:space="0" w:color="000000"/>
              <w:right w:val="nil"/>
            </w:tcBorders>
          </w:tcPr>
          <w:p>
            <w:pPr>
              <w:pStyle w:val="TableParagraph"/>
              <w:spacing w:before="89"/>
              <w:ind w:right="88"/>
              <w:jc w:val="right"/>
              <w:rPr>
                <w:b/>
                <w:sz w:val="18"/>
              </w:rPr>
            </w:pPr>
            <w:r>
              <w:rPr>
                <w:b/>
                <w:spacing w:val="-2"/>
                <w:sz w:val="18"/>
              </w:rPr>
              <w:t>12,455</w:t>
            </w:r>
          </w:p>
        </w:tc>
        <w:tc>
          <w:tcPr>
            <w:tcW w:w="1012" w:type="dxa"/>
            <w:tcBorders>
              <w:top w:val="single" w:sz="12" w:space="0" w:color="000000"/>
              <w:left w:val="nil"/>
              <w:bottom w:val="single" w:sz="12" w:space="0" w:color="000000"/>
              <w:right w:val="nil"/>
            </w:tcBorders>
          </w:tcPr>
          <w:p>
            <w:pPr>
              <w:pStyle w:val="TableParagraph"/>
              <w:spacing w:before="89"/>
              <w:ind w:right="88"/>
              <w:jc w:val="right"/>
              <w:rPr>
                <w:b/>
                <w:sz w:val="18"/>
              </w:rPr>
            </w:pPr>
            <w:r>
              <w:rPr>
                <w:b/>
                <w:spacing w:val="-2"/>
                <w:sz w:val="18"/>
              </w:rPr>
              <w:t>3,581</w:t>
            </w:r>
          </w:p>
        </w:tc>
        <w:tc>
          <w:tcPr>
            <w:tcW w:w="1012" w:type="dxa"/>
            <w:tcBorders>
              <w:top w:val="single" w:sz="12" w:space="0" w:color="000000"/>
              <w:left w:val="nil"/>
              <w:bottom w:val="single" w:sz="12" w:space="0" w:color="000000"/>
              <w:right w:val="single" w:sz="12" w:space="0" w:color="000000"/>
            </w:tcBorders>
          </w:tcPr>
          <w:p>
            <w:pPr>
              <w:pStyle w:val="TableParagraph"/>
              <w:spacing w:before="89"/>
              <w:ind w:right="73"/>
              <w:jc w:val="right"/>
              <w:rPr>
                <w:b/>
                <w:sz w:val="18"/>
              </w:rPr>
            </w:pPr>
            <w:r>
              <w:rPr>
                <w:b/>
                <w:spacing w:val="-2"/>
                <w:sz w:val="18"/>
              </w:rPr>
              <w:t>27,700</w:t>
            </w:r>
          </w:p>
        </w:tc>
        <w:tc>
          <w:tcPr>
            <w:tcW w:w="1252" w:type="dxa"/>
            <w:tcBorders>
              <w:top w:val="single" w:sz="12" w:space="0" w:color="000000"/>
              <w:left w:val="single" w:sz="12" w:space="0" w:color="000000"/>
              <w:bottom w:val="single" w:sz="12" w:space="0" w:color="000000"/>
              <w:right w:val="single" w:sz="12" w:space="0" w:color="000000"/>
            </w:tcBorders>
          </w:tcPr>
          <w:p>
            <w:pPr>
              <w:pStyle w:val="TableParagraph"/>
              <w:spacing w:before="89"/>
              <w:ind w:right="72"/>
              <w:jc w:val="right"/>
              <w:rPr>
                <w:b/>
                <w:sz w:val="18"/>
              </w:rPr>
            </w:pPr>
            <w:r>
              <w:rPr>
                <w:b/>
                <w:spacing w:val="-2"/>
                <w:sz w:val="18"/>
              </w:rPr>
              <w:t>21,276</w:t>
            </w:r>
          </w:p>
        </w:tc>
        <w:tc>
          <w:tcPr>
            <w:tcW w:w="1252" w:type="dxa"/>
            <w:tcBorders>
              <w:top w:val="single" w:sz="12" w:space="0" w:color="000000"/>
              <w:left w:val="single" w:sz="12" w:space="0" w:color="000000"/>
              <w:bottom w:val="single" w:sz="12" w:space="0" w:color="000000"/>
              <w:right w:val="single" w:sz="12" w:space="0" w:color="000000"/>
            </w:tcBorders>
          </w:tcPr>
          <w:p>
            <w:pPr>
              <w:pStyle w:val="TableParagraph"/>
              <w:spacing w:before="89"/>
              <w:ind w:right="71"/>
              <w:jc w:val="right"/>
              <w:rPr>
                <w:b/>
                <w:sz w:val="18"/>
              </w:rPr>
            </w:pPr>
            <w:r>
              <w:rPr>
                <w:b/>
                <w:spacing w:val="-2"/>
                <w:sz w:val="18"/>
              </w:rPr>
              <w:t>27,609</w:t>
            </w:r>
          </w:p>
        </w:tc>
        <w:tc>
          <w:tcPr>
            <w:tcW w:w="1365" w:type="dxa"/>
            <w:tcBorders>
              <w:top w:val="single" w:sz="12" w:space="0" w:color="000000"/>
              <w:left w:val="single" w:sz="12" w:space="0" w:color="000000"/>
              <w:bottom w:val="single" w:sz="12" w:space="0" w:color="000000"/>
              <w:right w:val="single" w:sz="12" w:space="0" w:color="000000"/>
            </w:tcBorders>
          </w:tcPr>
          <w:p>
            <w:pPr>
              <w:pStyle w:val="TableParagraph"/>
              <w:spacing w:before="89"/>
              <w:ind w:right="68"/>
              <w:jc w:val="right"/>
              <w:rPr>
                <w:b/>
                <w:sz w:val="18"/>
              </w:rPr>
            </w:pPr>
            <w:r>
              <w:rPr>
                <w:b/>
                <w:spacing w:val="-2"/>
                <w:sz w:val="18"/>
              </w:rPr>
              <w:t>42,893</w:t>
            </w:r>
          </w:p>
        </w:tc>
      </w:tr>
    </w:tbl>
    <w:p>
      <w:pPr>
        <w:spacing w:after="0"/>
        <w:jc w:val="right"/>
        <w:rPr>
          <w:sz w:val="18"/>
        </w:rPr>
        <w:sectPr>
          <w:pgSz w:w="16840" w:h="11910" w:orient="landscape"/>
          <w:pgMar w:header="0" w:footer="546" w:top="640" w:bottom="1543" w:left="600" w:right="120"/>
        </w:sect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663"/>
        <w:gridCol w:w="1255"/>
        <w:gridCol w:w="1010"/>
        <w:gridCol w:w="1010"/>
        <w:gridCol w:w="1015"/>
        <w:gridCol w:w="1010"/>
        <w:gridCol w:w="1010"/>
        <w:gridCol w:w="1010"/>
        <w:gridCol w:w="1255"/>
        <w:gridCol w:w="1253"/>
        <w:gridCol w:w="1258"/>
      </w:tblGrid>
      <w:tr>
        <w:trPr>
          <w:trHeight w:val="526" w:hRule="atLeast"/>
        </w:trPr>
        <w:tc>
          <w:tcPr>
            <w:tcW w:w="15749" w:type="dxa"/>
            <w:gridSpan w:val="11"/>
            <w:tcBorders>
              <w:left w:val="single" w:sz="12" w:space="0" w:color="000000"/>
              <w:right w:val="single" w:sz="12" w:space="0" w:color="000000"/>
            </w:tcBorders>
            <w:shd w:val="clear" w:color="auto" w:fill="629CD1"/>
          </w:tcPr>
          <w:p>
            <w:pPr>
              <w:pStyle w:val="TableParagraph"/>
              <w:spacing w:before="100"/>
              <w:ind w:left="3829" w:right="3800"/>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6"/>
                <w:sz w:val="28"/>
              </w:rPr>
              <w:t> </w:t>
            </w:r>
            <w:r>
              <w:rPr>
                <w:b/>
                <w:color w:val="FFFFFF"/>
                <w:sz w:val="28"/>
              </w:rPr>
              <w:t>PROGRAM</w:t>
            </w:r>
            <w:r>
              <w:rPr>
                <w:b/>
                <w:color w:val="FFFFFF"/>
                <w:spacing w:val="-3"/>
                <w:sz w:val="28"/>
              </w:rPr>
              <w:t> </w:t>
            </w:r>
            <w:r>
              <w:rPr>
                <w:b/>
                <w:color w:val="FFFFFF"/>
                <w:sz w:val="28"/>
              </w:rPr>
              <w:t>2024/2025</w:t>
            </w:r>
            <w:r>
              <w:rPr>
                <w:b/>
                <w:color w:val="FFFFFF"/>
                <w:spacing w:val="-6"/>
                <w:sz w:val="28"/>
              </w:rPr>
              <w:t> </w:t>
            </w:r>
            <w:r>
              <w:rPr>
                <w:b/>
                <w:color w:val="FFFFFF"/>
                <w:sz w:val="28"/>
              </w:rPr>
              <w:t>TO</w:t>
            </w:r>
            <w:r>
              <w:rPr>
                <w:b/>
                <w:color w:val="FFFFFF"/>
                <w:spacing w:val="-3"/>
                <w:sz w:val="28"/>
              </w:rPr>
              <w:t> </w:t>
            </w:r>
            <w:r>
              <w:rPr>
                <w:b/>
                <w:color w:val="FFFFFF"/>
                <w:spacing w:val="-2"/>
                <w:sz w:val="28"/>
              </w:rPr>
              <w:t>2027/2028</w:t>
            </w:r>
          </w:p>
        </w:tc>
      </w:tr>
      <w:tr>
        <w:trPr>
          <w:trHeight w:val="569" w:hRule="atLeast"/>
        </w:trPr>
        <w:tc>
          <w:tcPr>
            <w:tcW w:w="4663"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7320" w:type="dxa"/>
            <w:gridSpan w:val="7"/>
            <w:tcBorders>
              <w:left w:val="single" w:sz="12" w:space="0" w:color="000000"/>
              <w:right w:val="single" w:sz="12" w:space="0" w:color="000000"/>
            </w:tcBorders>
            <w:shd w:val="clear" w:color="auto" w:fill="629CD1"/>
          </w:tcPr>
          <w:p>
            <w:pPr>
              <w:pStyle w:val="TableParagraph"/>
              <w:spacing w:before="168"/>
              <w:ind w:left="2806" w:right="2779"/>
              <w:jc w:val="center"/>
              <w:rPr>
                <w:b/>
                <w:sz w:val="20"/>
              </w:rPr>
            </w:pPr>
            <w:r>
              <w:rPr>
                <w:b/>
                <w:color w:val="FFFFFF"/>
                <w:sz w:val="20"/>
              </w:rPr>
              <w:t>Budget</w:t>
            </w:r>
            <w:r>
              <w:rPr>
                <w:b/>
                <w:color w:val="FFFFFF"/>
                <w:spacing w:val="-7"/>
                <w:sz w:val="20"/>
              </w:rPr>
              <w:t> </w:t>
            </w:r>
            <w:r>
              <w:rPr>
                <w:b/>
                <w:color w:val="FFFFFF"/>
                <w:spacing w:val="-2"/>
                <w:sz w:val="20"/>
              </w:rPr>
              <w:t>2024/2025</w:t>
            </w:r>
          </w:p>
        </w:tc>
        <w:tc>
          <w:tcPr>
            <w:tcW w:w="1255" w:type="dxa"/>
            <w:tcBorders>
              <w:left w:val="single" w:sz="12" w:space="0" w:color="000000"/>
              <w:right w:val="single" w:sz="12" w:space="0" w:color="000000"/>
            </w:tcBorders>
            <w:shd w:val="clear" w:color="auto" w:fill="629CD1"/>
          </w:tcPr>
          <w:p>
            <w:pPr>
              <w:pStyle w:val="TableParagraph"/>
              <w:spacing w:before="52"/>
              <w:ind w:left="155" w:right="122" w:firstLine="127"/>
              <w:rPr>
                <w:b/>
                <w:sz w:val="20"/>
              </w:rPr>
            </w:pPr>
            <w:r>
              <w:rPr>
                <w:b/>
                <w:color w:val="FFFFFF"/>
                <w:spacing w:val="-2"/>
                <w:sz w:val="20"/>
              </w:rPr>
              <w:t>Budget 2025/2026</w:t>
            </w:r>
          </w:p>
        </w:tc>
        <w:tc>
          <w:tcPr>
            <w:tcW w:w="1253" w:type="dxa"/>
            <w:tcBorders>
              <w:left w:val="single" w:sz="12" w:space="0" w:color="000000"/>
              <w:right w:val="single" w:sz="12" w:space="0" w:color="000000"/>
            </w:tcBorders>
            <w:shd w:val="clear" w:color="auto" w:fill="629CD1"/>
          </w:tcPr>
          <w:p>
            <w:pPr>
              <w:pStyle w:val="TableParagraph"/>
              <w:spacing w:before="52"/>
              <w:ind w:left="155" w:right="120" w:firstLine="127"/>
              <w:rPr>
                <w:b/>
                <w:sz w:val="20"/>
              </w:rPr>
            </w:pPr>
            <w:r>
              <w:rPr>
                <w:b/>
                <w:color w:val="FFFFFF"/>
                <w:spacing w:val="-2"/>
                <w:sz w:val="20"/>
              </w:rPr>
              <w:t>Budget 2026/2027</w:t>
            </w:r>
          </w:p>
        </w:tc>
        <w:tc>
          <w:tcPr>
            <w:tcW w:w="1258" w:type="dxa"/>
            <w:tcBorders>
              <w:left w:val="single" w:sz="12" w:space="0" w:color="000000"/>
              <w:right w:val="single" w:sz="12" w:space="0" w:color="000000"/>
            </w:tcBorders>
            <w:shd w:val="clear" w:color="auto" w:fill="629CD1"/>
          </w:tcPr>
          <w:p>
            <w:pPr>
              <w:pStyle w:val="TableParagraph"/>
              <w:spacing w:before="52"/>
              <w:ind w:left="158" w:right="122" w:firstLine="127"/>
              <w:rPr>
                <w:b/>
                <w:sz w:val="20"/>
              </w:rPr>
            </w:pPr>
            <w:r>
              <w:rPr>
                <w:b/>
                <w:color w:val="FFFFFF"/>
                <w:spacing w:val="-2"/>
                <w:sz w:val="20"/>
              </w:rPr>
              <w:t>Budget 2027/2028</w:t>
            </w:r>
          </w:p>
        </w:tc>
      </w:tr>
      <w:tr>
        <w:trPr>
          <w:trHeight w:val="770" w:hRule="atLeast"/>
        </w:trPr>
        <w:tc>
          <w:tcPr>
            <w:tcW w:w="4663"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255" w:type="dxa"/>
            <w:tcBorders>
              <w:left w:val="single" w:sz="12" w:space="0" w:color="000000"/>
              <w:bottom w:val="single" w:sz="12" w:space="0" w:color="000000"/>
              <w:right w:val="single" w:sz="12" w:space="0" w:color="000000"/>
            </w:tcBorders>
            <w:shd w:val="clear" w:color="auto" w:fill="629CD1"/>
          </w:tcPr>
          <w:p>
            <w:pPr>
              <w:pStyle w:val="TableParagraph"/>
              <w:spacing w:before="40"/>
              <w:ind w:left="162" w:right="133" w:hanging="2"/>
              <w:jc w:val="center"/>
              <w:rPr>
                <w:b/>
                <w:sz w:val="16"/>
              </w:rPr>
            </w:pPr>
            <w:r>
              <w:rPr>
                <w:b/>
                <w:color w:val="FFFFFF"/>
                <w:spacing w:val="-2"/>
                <w:sz w:val="16"/>
              </w:rPr>
              <w:t>Total Expenditure</w:t>
            </w:r>
          </w:p>
          <w:p>
            <w:pPr>
              <w:pStyle w:val="TableParagraph"/>
              <w:spacing w:before="114"/>
              <w:ind w:left="433" w:right="406"/>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40"/>
              <w:ind w:left="107" w:right="75"/>
              <w:jc w:val="center"/>
              <w:rPr>
                <w:b/>
                <w:sz w:val="16"/>
              </w:rPr>
            </w:pPr>
            <w:r>
              <w:rPr>
                <w:b/>
                <w:color w:val="FFFFFF"/>
                <w:spacing w:val="-2"/>
                <w:sz w:val="16"/>
              </w:rPr>
              <w:t>Council </w:t>
            </w:r>
            <w:r>
              <w:rPr>
                <w:b/>
                <w:color w:val="FFFFFF"/>
                <w:spacing w:val="-4"/>
                <w:sz w:val="16"/>
              </w:rPr>
              <w:t>Cash</w:t>
            </w:r>
          </w:p>
          <w:p>
            <w:pPr>
              <w:pStyle w:val="TableParagraph"/>
              <w:spacing w:before="114"/>
              <w:ind w:left="103" w:right="75"/>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131"/>
              <w:ind w:left="247"/>
              <w:rPr>
                <w:b/>
                <w:sz w:val="16"/>
              </w:rPr>
            </w:pPr>
            <w:r>
              <w:rPr>
                <w:b/>
                <w:color w:val="FFFFFF"/>
                <w:spacing w:val="-2"/>
                <w:sz w:val="16"/>
              </w:rPr>
              <w:t>Grants</w:t>
            </w:r>
          </w:p>
          <w:p>
            <w:pPr>
              <w:pStyle w:val="TableParagraph"/>
              <w:rPr>
                <w:b/>
                <w:sz w:val="18"/>
              </w:rPr>
            </w:pPr>
          </w:p>
          <w:p>
            <w:pPr>
              <w:pStyle w:val="TableParagraph"/>
              <w:ind w:left="326"/>
              <w:rPr>
                <w:b/>
                <w:sz w:val="16"/>
              </w:rPr>
            </w:pPr>
            <w:r>
              <w:rPr>
                <w:b/>
                <w:color w:val="FFFFFF"/>
                <w:spacing w:val="-4"/>
                <w:sz w:val="16"/>
              </w:rPr>
              <w:t>$000</w:t>
            </w:r>
          </w:p>
        </w:tc>
        <w:tc>
          <w:tcPr>
            <w:tcW w:w="1015" w:type="dxa"/>
            <w:tcBorders>
              <w:left w:val="single" w:sz="12" w:space="0" w:color="000000"/>
              <w:bottom w:val="single" w:sz="12" w:space="0" w:color="000000"/>
              <w:right w:val="single" w:sz="12" w:space="0" w:color="000000"/>
            </w:tcBorders>
            <w:shd w:val="clear" w:color="auto" w:fill="629CD1"/>
          </w:tcPr>
          <w:p>
            <w:pPr>
              <w:pStyle w:val="TableParagraph"/>
              <w:spacing w:before="40"/>
              <w:ind w:left="127" w:right="97" w:hanging="1"/>
              <w:jc w:val="center"/>
              <w:rPr>
                <w:b/>
                <w:sz w:val="16"/>
              </w:rPr>
            </w:pPr>
            <w:r>
              <w:rPr>
                <w:b/>
                <w:color w:val="FFFFFF"/>
                <w:spacing w:val="-2"/>
                <w:sz w:val="16"/>
              </w:rPr>
              <w:t>Others </w:t>
            </w:r>
            <w:r>
              <w:rPr>
                <w:b/>
                <w:color w:val="FFFFFF"/>
                <w:sz w:val="16"/>
              </w:rPr>
              <w:t>Contrib</w:t>
            </w:r>
            <w:r>
              <w:rPr>
                <w:b/>
                <w:color w:val="FFFFFF"/>
                <w:spacing w:val="-12"/>
                <w:sz w:val="16"/>
              </w:rPr>
              <w:t> </w:t>
            </w:r>
            <w:r>
              <w:rPr>
                <w:b/>
                <w:color w:val="FFFFFF"/>
                <w:sz w:val="16"/>
              </w:rPr>
              <w:t>‘n</w:t>
            </w:r>
          </w:p>
          <w:p>
            <w:pPr>
              <w:pStyle w:val="TableParagraph"/>
              <w:spacing w:before="114"/>
              <w:ind w:left="109" w:right="80"/>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40"/>
              <w:ind w:left="180" w:right="147" w:firstLine="1"/>
              <w:jc w:val="center"/>
              <w:rPr>
                <w:b/>
                <w:sz w:val="16"/>
              </w:rPr>
            </w:pPr>
            <w:r>
              <w:rPr>
                <w:b/>
                <w:color w:val="FFFFFF"/>
                <w:spacing w:val="-2"/>
                <w:sz w:val="16"/>
              </w:rPr>
              <w:t>Asset Renewal</w:t>
            </w:r>
          </w:p>
          <w:p>
            <w:pPr>
              <w:pStyle w:val="TableParagraph"/>
              <w:spacing w:before="114"/>
              <w:ind w:left="105" w:right="75"/>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131"/>
              <w:ind w:left="108" w:right="75"/>
              <w:jc w:val="center"/>
              <w:rPr>
                <w:b/>
                <w:sz w:val="16"/>
              </w:rPr>
            </w:pPr>
            <w:r>
              <w:rPr>
                <w:b/>
                <w:color w:val="FFFFFF"/>
                <w:spacing w:val="-2"/>
                <w:sz w:val="16"/>
              </w:rPr>
              <w:t>Upgrade</w:t>
            </w:r>
          </w:p>
          <w:p>
            <w:pPr>
              <w:pStyle w:val="TableParagraph"/>
              <w:rPr>
                <w:b/>
                <w:sz w:val="18"/>
              </w:rPr>
            </w:pPr>
          </w:p>
          <w:p>
            <w:pPr>
              <w:pStyle w:val="TableParagraph"/>
              <w:ind w:left="105" w:right="75"/>
              <w:jc w:val="center"/>
              <w:rPr>
                <w:b/>
                <w:sz w:val="16"/>
              </w:rPr>
            </w:pPr>
            <w:r>
              <w:rPr>
                <w:b/>
                <w:color w:val="FFFFFF"/>
                <w:spacing w:val="-4"/>
                <w:sz w:val="16"/>
              </w:rPr>
              <w:t>$000</w:t>
            </w:r>
          </w:p>
        </w:tc>
        <w:tc>
          <w:tcPr>
            <w:tcW w:w="1010" w:type="dxa"/>
            <w:tcBorders>
              <w:left w:val="single" w:sz="12" w:space="0" w:color="000000"/>
              <w:bottom w:val="single" w:sz="12" w:space="0" w:color="000000"/>
              <w:right w:val="single" w:sz="12" w:space="0" w:color="000000"/>
            </w:tcBorders>
            <w:shd w:val="clear" w:color="auto" w:fill="629CD1"/>
          </w:tcPr>
          <w:p>
            <w:pPr>
              <w:pStyle w:val="TableParagraph"/>
              <w:spacing w:before="131"/>
              <w:ind w:left="108" w:right="75"/>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rPr>
                <w:b/>
                <w:sz w:val="18"/>
              </w:rPr>
            </w:pPr>
          </w:p>
          <w:p>
            <w:pPr>
              <w:pStyle w:val="TableParagraph"/>
              <w:ind w:left="106" w:right="75"/>
              <w:jc w:val="center"/>
              <w:rPr>
                <w:b/>
                <w:sz w:val="16"/>
              </w:rPr>
            </w:pPr>
            <w:r>
              <w:rPr>
                <w:b/>
                <w:color w:val="FFFFFF"/>
                <w:spacing w:val="-4"/>
                <w:sz w:val="16"/>
              </w:rPr>
              <w:t>$000</w:t>
            </w:r>
          </w:p>
        </w:tc>
        <w:tc>
          <w:tcPr>
            <w:tcW w:w="1255" w:type="dxa"/>
            <w:tcBorders>
              <w:left w:val="single" w:sz="12" w:space="0" w:color="000000"/>
              <w:bottom w:val="single" w:sz="12" w:space="0" w:color="000000"/>
              <w:right w:val="single" w:sz="12" w:space="0" w:color="000000"/>
            </w:tcBorders>
            <w:shd w:val="clear" w:color="auto" w:fill="629CD1"/>
          </w:tcPr>
          <w:p>
            <w:pPr>
              <w:pStyle w:val="TableParagraph"/>
              <w:spacing w:before="40"/>
              <w:ind w:left="165" w:right="131" w:hanging="2"/>
              <w:jc w:val="center"/>
              <w:rPr>
                <w:b/>
                <w:sz w:val="16"/>
              </w:rPr>
            </w:pPr>
            <w:r>
              <w:rPr>
                <w:b/>
                <w:color w:val="FFFFFF"/>
                <w:spacing w:val="-2"/>
                <w:sz w:val="16"/>
              </w:rPr>
              <w:t>Total Expenditure</w:t>
            </w:r>
          </w:p>
          <w:p>
            <w:pPr>
              <w:pStyle w:val="TableParagraph"/>
              <w:spacing w:before="114"/>
              <w:ind w:left="436" w:right="404"/>
              <w:jc w:val="center"/>
              <w:rPr>
                <w:b/>
                <w:sz w:val="16"/>
              </w:rPr>
            </w:pPr>
            <w:r>
              <w:rPr>
                <w:b/>
                <w:color w:val="FFFFFF"/>
                <w:spacing w:val="-4"/>
                <w:sz w:val="16"/>
              </w:rPr>
              <w:t>$000</w:t>
            </w:r>
          </w:p>
        </w:tc>
        <w:tc>
          <w:tcPr>
            <w:tcW w:w="1253" w:type="dxa"/>
            <w:tcBorders>
              <w:left w:val="single" w:sz="12" w:space="0" w:color="000000"/>
              <w:bottom w:val="single" w:sz="12" w:space="0" w:color="000000"/>
              <w:right w:val="single" w:sz="12" w:space="0" w:color="000000"/>
            </w:tcBorders>
            <w:shd w:val="clear" w:color="auto" w:fill="629CD1"/>
          </w:tcPr>
          <w:p>
            <w:pPr>
              <w:pStyle w:val="TableParagraph"/>
              <w:spacing w:before="40"/>
              <w:ind w:left="165" w:right="129" w:hanging="2"/>
              <w:jc w:val="center"/>
              <w:rPr>
                <w:b/>
                <w:sz w:val="16"/>
              </w:rPr>
            </w:pPr>
            <w:r>
              <w:rPr>
                <w:b/>
                <w:color w:val="FFFFFF"/>
                <w:spacing w:val="-2"/>
                <w:sz w:val="16"/>
              </w:rPr>
              <w:t>Total Expenditure</w:t>
            </w:r>
          </w:p>
          <w:p>
            <w:pPr>
              <w:pStyle w:val="TableParagraph"/>
              <w:spacing w:before="114"/>
              <w:ind w:left="435" w:right="401"/>
              <w:jc w:val="center"/>
              <w:rPr>
                <w:b/>
                <w:sz w:val="16"/>
              </w:rPr>
            </w:pPr>
            <w:r>
              <w:rPr>
                <w:b/>
                <w:color w:val="FFFFFF"/>
                <w:spacing w:val="-4"/>
                <w:sz w:val="16"/>
              </w:rPr>
              <w:t>$000</w:t>
            </w:r>
          </w:p>
        </w:tc>
        <w:tc>
          <w:tcPr>
            <w:tcW w:w="1258" w:type="dxa"/>
            <w:tcBorders>
              <w:left w:val="single" w:sz="12" w:space="0" w:color="000000"/>
              <w:bottom w:val="single" w:sz="12" w:space="0" w:color="000000"/>
              <w:right w:val="single" w:sz="12" w:space="0" w:color="000000"/>
            </w:tcBorders>
            <w:shd w:val="clear" w:color="auto" w:fill="629CD1"/>
          </w:tcPr>
          <w:p>
            <w:pPr>
              <w:pStyle w:val="TableParagraph"/>
              <w:spacing w:before="40"/>
              <w:ind w:left="167" w:right="131" w:hanging="2"/>
              <w:jc w:val="center"/>
              <w:rPr>
                <w:b/>
                <w:sz w:val="16"/>
              </w:rPr>
            </w:pPr>
            <w:r>
              <w:rPr>
                <w:b/>
                <w:color w:val="FFFFFF"/>
                <w:spacing w:val="-2"/>
                <w:sz w:val="16"/>
              </w:rPr>
              <w:t>Total Expenditure</w:t>
            </w:r>
          </w:p>
          <w:p>
            <w:pPr>
              <w:pStyle w:val="TableParagraph"/>
              <w:spacing w:before="114"/>
              <w:ind w:left="441" w:right="407"/>
              <w:jc w:val="center"/>
              <w:rPr>
                <w:b/>
                <w:sz w:val="16"/>
              </w:rPr>
            </w:pPr>
            <w:r>
              <w:rPr>
                <w:b/>
                <w:color w:val="FFFFFF"/>
                <w:spacing w:val="-4"/>
                <w:sz w:val="16"/>
              </w:rPr>
              <w:t>$000</w:t>
            </w:r>
          </w:p>
        </w:tc>
      </w:tr>
      <w:tr>
        <w:trPr>
          <w:trHeight w:val="375" w:hRule="atLeast"/>
        </w:trPr>
        <w:tc>
          <w:tcPr>
            <w:tcW w:w="4663" w:type="dxa"/>
            <w:tcBorders>
              <w:top w:val="single" w:sz="12" w:space="0" w:color="000000"/>
              <w:left w:val="single" w:sz="12" w:space="0" w:color="000000"/>
              <w:bottom w:val="dashed" w:sz="4" w:space="0" w:color="000000"/>
              <w:right w:val="single" w:sz="8" w:space="0" w:color="000000"/>
            </w:tcBorders>
          </w:tcPr>
          <w:p>
            <w:pPr>
              <w:pStyle w:val="TableParagraph"/>
              <w:spacing w:before="27"/>
              <w:ind w:left="107"/>
              <w:rPr>
                <w:b/>
                <w:sz w:val="28"/>
              </w:rPr>
            </w:pPr>
            <w:r>
              <w:rPr>
                <w:b/>
                <w:sz w:val="28"/>
              </w:rPr>
              <w:t>ROADS</w:t>
            </w:r>
            <w:r>
              <w:rPr>
                <w:b/>
                <w:spacing w:val="-3"/>
                <w:sz w:val="28"/>
              </w:rPr>
              <w:t> </w:t>
            </w:r>
            <w:r>
              <w:rPr>
                <w:b/>
                <w:sz w:val="28"/>
              </w:rPr>
              <w:t>AND</w:t>
            </w:r>
            <w:r>
              <w:rPr>
                <w:b/>
                <w:spacing w:val="-2"/>
                <w:sz w:val="28"/>
              </w:rPr>
              <w:t> DRAINAGE</w:t>
            </w:r>
          </w:p>
        </w:tc>
        <w:tc>
          <w:tcPr>
            <w:tcW w:w="7320" w:type="dxa"/>
            <w:gridSpan w:val="7"/>
            <w:tcBorders>
              <w:top w:val="single" w:sz="12" w:space="0" w:color="000000"/>
              <w:left w:val="single" w:sz="8" w:space="0" w:color="000000"/>
              <w:bottom w:val="nil"/>
              <w:right w:val="single" w:sz="12" w:space="0" w:color="000000"/>
            </w:tcBorders>
          </w:tcPr>
          <w:p>
            <w:pPr>
              <w:pStyle w:val="TableParagraph"/>
              <w:spacing w:before="5"/>
              <w:rPr>
                <w:b/>
                <w:sz w:val="8"/>
              </w:rPr>
            </w:pPr>
          </w:p>
          <w:p>
            <w:pPr>
              <w:pStyle w:val="TableParagraph"/>
              <w:tabs>
                <w:tab w:pos="2260" w:val="left" w:leader="none"/>
                <w:tab w:pos="3270" w:val="left" w:leader="none"/>
                <w:tab w:pos="4286" w:val="left" w:leader="none"/>
                <w:tab w:pos="5296" w:val="left" w:leader="none"/>
                <w:tab w:pos="6306" w:val="left" w:leader="none"/>
              </w:tabs>
              <w:spacing w:line="192" w:lineRule="exact"/>
              <w:ind w:left="1250"/>
              <w:rPr>
                <w:sz w:val="19"/>
              </w:rPr>
            </w:pPr>
            <w:r>
              <w:rPr>
                <w:position w:val="-3"/>
                <w:sz w:val="19"/>
              </w:rPr>
              <w:pict>
                <v:group style="width:.5pt;height:9.6pt;mso-position-horizontal-relative:char;mso-position-vertical-relative:line" id="docshapegroup228" coordorigin="0,0" coordsize="10,192">
                  <v:shape style="position:absolute;left:0;top:0;width:10;height:193" id="docshape229"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30" coordorigin="0,0" coordsize="10,192">
                  <v:shape style="position:absolute;left:0;top:0;width:10;height:193" id="docshape231"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32" coordorigin="0,0" coordsize="10,192">
                  <v:shape style="position:absolute;left:0;top:0;width:10;height:193" id="docshape233"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34" coordorigin="0,0" coordsize="10,192">
                  <v:shape style="position:absolute;left:-1;top:0;width:10;height:193" id="docshape235"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36" coordorigin="0,0" coordsize="10,192">
                  <v:shape style="position:absolute;left:0;top:0;width:10;height:193" id="docshape237"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38" coordorigin="0,0" coordsize="10,192">
                  <v:shape style="position:absolute;left:0;top:0;width:10;height:193" id="docshape239" coordorigin="0,0" coordsize="10,193" path="m10,154l0,154,0,192,10,192,10,154xm10,77l0,77,0,115,10,115,10,77xm10,0l0,0,0,38,10,38,10,0xe" filled="true" fillcolor="#000000" stroked="false">
                    <v:path arrowok="t"/>
                    <v:fill type="solid"/>
                  </v:shape>
                </v:group>
              </w:pict>
            </w:r>
            <w:r>
              <w:rPr>
                <w:position w:val="-3"/>
                <w:sz w:val="19"/>
              </w:rPr>
            </w:r>
          </w:p>
        </w:tc>
        <w:tc>
          <w:tcPr>
            <w:tcW w:w="1255"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3"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8"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299" w:hRule="atLeast"/>
        </w:trPr>
        <w:tc>
          <w:tcPr>
            <w:tcW w:w="4663" w:type="dxa"/>
            <w:tcBorders>
              <w:top w:val="dashed" w:sz="4" w:space="0" w:color="000000"/>
              <w:left w:val="single" w:sz="12" w:space="0" w:color="000000"/>
              <w:bottom w:val="dashed" w:sz="4" w:space="0" w:color="000000"/>
              <w:right w:val="single" w:sz="8" w:space="0" w:color="000000"/>
            </w:tcBorders>
          </w:tcPr>
          <w:p>
            <w:pPr>
              <w:pStyle w:val="TableParagraph"/>
              <w:spacing w:before="24"/>
              <w:ind w:left="107"/>
              <w:rPr>
                <w:b/>
                <w:sz w:val="22"/>
              </w:rPr>
            </w:pPr>
            <w:r>
              <w:rPr>
                <w:b/>
                <w:spacing w:val="-2"/>
                <w:sz w:val="22"/>
              </w:rPr>
              <w:t>ROADS</w:t>
            </w:r>
          </w:p>
        </w:tc>
        <w:tc>
          <w:tcPr>
            <w:tcW w:w="7320" w:type="dxa"/>
            <w:gridSpan w:val="7"/>
            <w:tcBorders>
              <w:top w:val="nil"/>
              <w:left w:val="single" w:sz="8" w:space="0" w:color="000000"/>
              <w:bottom w:val="single" w:sz="4" w:space="0" w:color="000000"/>
              <w:right w:val="single" w:sz="12" w:space="0" w:color="000000"/>
            </w:tcBorders>
          </w:tcPr>
          <w:p>
            <w:pPr>
              <w:pStyle w:val="TableParagraph"/>
              <w:spacing w:before="3"/>
              <w:rPr>
                <w:b/>
                <w:sz w:val="8"/>
              </w:rPr>
            </w:pPr>
          </w:p>
          <w:p>
            <w:pPr>
              <w:pStyle w:val="TableParagraph"/>
              <w:tabs>
                <w:tab w:pos="2260" w:val="left" w:leader="none"/>
                <w:tab w:pos="3270" w:val="left" w:leader="none"/>
                <w:tab w:pos="4286" w:val="left" w:leader="none"/>
                <w:tab w:pos="5296" w:val="left" w:leader="none"/>
                <w:tab w:pos="6306" w:val="left" w:leader="none"/>
              </w:tabs>
              <w:spacing w:line="115" w:lineRule="exact"/>
              <w:ind w:left="1250"/>
              <w:rPr>
                <w:sz w:val="11"/>
              </w:rPr>
            </w:pPr>
            <w:r>
              <w:rPr>
                <w:position w:val="-1"/>
                <w:sz w:val="11"/>
              </w:rPr>
              <w:pict>
                <v:group style="width:.5pt;height:5.8pt;mso-position-horizontal-relative:char;mso-position-vertical-relative:line" id="docshapegroup240" coordorigin="0,0" coordsize="10,116">
                  <v:shape style="position:absolute;left:0;top:0;width:10;height:116" id="docshape24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242" coordorigin="0,0" coordsize="10,116">
                  <v:shape style="position:absolute;left:0;top:0;width:10;height:116" id="docshape24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244" coordorigin="0,0" coordsize="10,116">
                  <v:shape style="position:absolute;left:0;top:0;width:10;height:116" id="docshape24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246" coordorigin="0,0" coordsize="10,116">
                  <v:shape style="position:absolute;left:-1;top:0;width:10;height:116" id="docshape24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248" coordorigin="0,0" coordsize="10,116">
                  <v:shape style="position:absolute;left:0;top:0;width:10;height:116" id="docshape24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250" coordorigin="0,0" coordsize="10,116">
                  <v:shape style="position:absolute;left:0;top:0;width:10;height:116" id="docshape251" coordorigin="0,0" coordsize="10,116" path="m10,77l0,77,0,115,10,115,10,77xm10,0l0,0,0,38,10,38,10,0xe" filled="true" fillcolor="#000000" stroked="false">
                    <v:path arrowok="t"/>
                    <v:fill type="solid"/>
                  </v:shape>
                </v:group>
              </w:pict>
            </w:r>
            <w:r>
              <w:rPr>
                <w:position w:val="-1"/>
                <w:sz w:val="11"/>
              </w:rPr>
            </w:r>
          </w:p>
        </w:tc>
        <w:tc>
          <w:tcPr>
            <w:tcW w:w="1255"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3"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8"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479" w:hRule="atLeast"/>
        </w:trPr>
        <w:tc>
          <w:tcPr>
            <w:tcW w:w="4663" w:type="dxa"/>
            <w:tcBorders>
              <w:top w:val="dashed" w:sz="4" w:space="0" w:color="000000"/>
              <w:left w:val="single" w:sz="12" w:space="0" w:color="000000"/>
              <w:bottom w:val="dashSmallGap" w:sz="4" w:space="0" w:color="000000"/>
              <w:right w:val="single" w:sz="8" w:space="0" w:color="000000"/>
            </w:tcBorders>
          </w:tcPr>
          <w:p>
            <w:pPr>
              <w:pStyle w:val="TableParagraph"/>
              <w:spacing w:before="32"/>
              <w:ind w:left="107" w:right="53"/>
              <w:rPr>
                <w:sz w:val="18"/>
              </w:rPr>
            </w:pPr>
            <w:r>
              <w:rPr>
                <w:sz w:val="18"/>
              </w:rPr>
              <w:t>Roads</w:t>
            </w:r>
            <w:r>
              <w:rPr>
                <w:spacing w:val="-7"/>
                <w:sz w:val="18"/>
              </w:rPr>
              <w:t> </w:t>
            </w:r>
            <w:r>
              <w:rPr>
                <w:sz w:val="18"/>
              </w:rPr>
              <w:t>to</w:t>
            </w:r>
            <w:r>
              <w:rPr>
                <w:spacing w:val="-5"/>
                <w:sz w:val="18"/>
              </w:rPr>
              <w:t> </w:t>
            </w:r>
            <w:r>
              <w:rPr>
                <w:sz w:val="18"/>
              </w:rPr>
              <w:t>Recovery</w:t>
            </w:r>
            <w:r>
              <w:rPr>
                <w:spacing w:val="-5"/>
                <w:sz w:val="18"/>
              </w:rPr>
              <w:t> </w:t>
            </w:r>
            <w:r>
              <w:rPr>
                <w:sz w:val="18"/>
              </w:rPr>
              <w:t>Funding</w:t>
            </w:r>
            <w:r>
              <w:rPr>
                <w:spacing w:val="-7"/>
                <w:sz w:val="18"/>
              </w:rPr>
              <w:t> </w:t>
            </w:r>
            <w:r>
              <w:rPr>
                <w:sz w:val="18"/>
              </w:rPr>
              <w:t>of</w:t>
            </w:r>
            <w:r>
              <w:rPr>
                <w:spacing w:val="-7"/>
                <w:sz w:val="18"/>
              </w:rPr>
              <w:t> </w:t>
            </w:r>
            <w:r>
              <w:rPr>
                <w:sz w:val="18"/>
              </w:rPr>
              <w:t>Local</w:t>
            </w:r>
            <w:r>
              <w:rPr>
                <w:spacing w:val="-4"/>
                <w:sz w:val="18"/>
              </w:rPr>
              <w:t> </w:t>
            </w:r>
            <w:r>
              <w:rPr>
                <w:sz w:val="18"/>
              </w:rPr>
              <w:t>Road Improvements</w:t>
            </w:r>
            <w:r>
              <w:rPr>
                <w:spacing w:val="-1"/>
                <w:sz w:val="18"/>
              </w:rPr>
              <w:t> </w:t>
            </w:r>
            <w:r>
              <w:rPr>
                <w:sz w:val="18"/>
              </w:rPr>
              <w:t>by</w:t>
            </w:r>
            <w:r>
              <w:rPr>
                <w:spacing w:val="-1"/>
                <w:sz w:val="18"/>
              </w:rPr>
              <w:t> </w:t>
            </w:r>
            <w:r>
              <w:rPr>
                <w:sz w:val="18"/>
              </w:rPr>
              <w:t>the</w:t>
            </w:r>
            <w:r>
              <w:rPr>
                <w:spacing w:val="-2"/>
                <w:sz w:val="18"/>
              </w:rPr>
              <w:t> </w:t>
            </w:r>
            <w:r>
              <w:rPr>
                <w:sz w:val="18"/>
              </w:rPr>
              <w:t>Federal</w:t>
            </w:r>
            <w:r>
              <w:rPr>
                <w:spacing w:val="-5"/>
                <w:sz w:val="18"/>
              </w:rPr>
              <w:t> </w:t>
            </w:r>
            <w:r>
              <w:rPr>
                <w:spacing w:val="-2"/>
                <w:sz w:val="18"/>
              </w:rPr>
              <w:t>Government</w:t>
            </w:r>
          </w:p>
        </w:tc>
        <w:tc>
          <w:tcPr>
            <w:tcW w:w="1255" w:type="dxa"/>
            <w:tcBorders>
              <w:top w:val="dashed" w:sz="4" w:space="0" w:color="000000"/>
              <w:left w:val="single" w:sz="8" w:space="0" w:color="000000"/>
              <w:bottom w:val="dashSmallGap" w:sz="4" w:space="0" w:color="000000"/>
              <w:right w:val="nil"/>
            </w:tcBorders>
          </w:tcPr>
          <w:p>
            <w:pPr>
              <w:pStyle w:val="TableParagraph"/>
              <w:spacing w:before="135"/>
              <w:ind w:right="83"/>
              <w:jc w:val="right"/>
              <w:rPr>
                <w:sz w:val="18"/>
              </w:rPr>
            </w:pPr>
            <w:r>
              <w:rPr>
                <w:spacing w:val="-5"/>
                <w:sz w:val="18"/>
              </w:rPr>
              <w:t>508</w:t>
            </w:r>
          </w:p>
        </w:tc>
        <w:tc>
          <w:tcPr>
            <w:tcW w:w="1010" w:type="dxa"/>
            <w:tcBorders>
              <w:top w:val="dashed" w:sz="4" w:space="0" w:color="000000"/>
              <w:left w:val="nil"/>
              <w:bottom w:val="dashSmallGap" w:sz="4" w:space="0" w:color="000000"/>
              <w:right w:val="nil"/>
            </w:tcBorders>
          </w:tcPr>
          <w:p>
            <w:pPr>
              <w:pStyle w:val="TableParagraph"/>
              <w:spacing w:before="1"/>
              <w:rPr>
                <w:b/>
                <w:sz w:val="8"/>
              </w:rPr>
            </w:pPr>
          </w:p>
          <w:p>
            <w:pPr>
              <w:pStyle w:val="TableParagraph"/>
              <w:tabs>
                <w:tab w:pos="1020" w:val="left" w:leader="none"/>
              </w:tabs>
              <w:ind w:left="10" w:right="-87"/>
              <w:rPr>
                <w:sz w:val="20"/>
              </w:rPr>
            </w:pPr>
            <w:r>
              <w:rPr>
                <w:sz w:val="20"/>
              </w:rPr>
              <w:pict>
                <v:group style="width:.5pt;height:17.3pt;mso-position-horizontal-relative:char;mso-position-vertical-relative:line" id="docshapegroup252" coordorigin="0,0" coordsize="10,346">
                  <v:shape style="position:absolute;left:0;top:0;width:10;height:346" id="docshape253"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254" coordorigin="0,0" coordsize="10,346">
                  <v:shape style="position:absolute;left:0;top:0;width:10;height:346" id="docshape255"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10" w:type="dxa"/>
            <w:tcBorders>
              <w:top w:val="dashed" w:sz="4" w:space="0" w:color="000000"/>
              <w:left w:val="nil"/>
              <w:bottom w:val="dashSmallGap" w:sz="4" w:space="0" w:color="000000"/>
              <w:right w:val="nil"/>
            </w:tcBorders>
          </w:tcPr>
          <w:p>
            <w:pPr>
              <w:pStyle w:val="TableParagraph"/>
              <w:spacing w:before="135"/>
              <w:ind w:right="90"/>
              <w:jc w:val="right"/>
              <w:rPr>
                <w:sz w:val="18"/>
              </w:rPr>
            </w:pPr>
            <w:r>
              <w:rPr>
                <w:spacing w:val="-5"/>
                <w:sz w:val="18"/>
              </w:rPr>
              <w:t>508</w:t>
            </w:r>
          </w:p>
        </w:tc>
        <w:tc>
          <w:tcPr>
            <w:tcW w:w="1015" w:type="dxa"/>
            <w:tcBorders>
              <w:top w:val="dashed" w:sz="4" w:space="0" w:color="000000"/>
              <w:left w:val="nil"/>
              <w:bottom w:val="dashSmallGap" w:sz="4" w:space="0" w:color="000000"/>
              <w:right w:val="nil"/>
            </w:tcBorders>
          </w:tcPr>
          <w:p>
            <w:pPr>
              <w:pStyle w:val="TableParagraph"/>
              <w:spacing w:before="1"/>
              <w:rPr>
                <w:b/>
                <w:sz w:val="8"/>
              </w:rPr>
            </w:pPr>
          </w:p>
          <w:p>
            <w:pPr>
              <w:pStyle w:val="TableParagraph"/>
              <w:tabs>
                <w:tab w:pos="1026" w:val="left" w:leader="none"/>
              </w:tabs>
              <w:ind w:left="10" w:right="-87"/>
              <w:rPr>
                <w:sz w:val="20"/>
              </w:rPr>
            </w:pPr>
            <w:r>
              <w:rPr>
                <w:sz w:val="20"/>
              </w:rPr>
              <w:pict>
                <v:group style="width:.5pt;height:17.3pt;mso-position-horizontal-relative:char;mso-position-vertical-relative:line" id="docshapegroup256" coordorigin="0,0" coordsize="10,346">
                  <v:shape style="position:absolute;left:0;top:0;width:10;height:346" id="docshape257"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258" coordorigin="0,0" coordsize="10,346">
                  <v:shape style="position:absolute;left:-1;top:0;width:10;height:346" id="docshape259"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10" w:type="dxa"/>
            <w:tcBorders>
              <w:top w:val="dashSmallGap" w:sz="4" w:space="0" w:color="000000"/>
              <w:left w:val="nil"/>
              <w:bottom w:val="dashed" w:sz="4" w:space="0" w:color="000000"/>
              <w:right w:val="nil"/>
            </w:tcBorders>
          </w:tcPr>
          <w:p>
            <w:pPr>
              <w:pStyle w:val="TableParagraph"/>
              <w:spacing w:before="135"/>
              <w:ind w:right="87"/>
              <w:jc w:val="right"/>
              <w:rPr>
                <w:sz w:val="18"/>
              </w:rPr>
            </w:pPr>
            <w:r>
              <w:rPr>
                <w:spacing w:val="-5"/>
                <w:sz w:val="18"/>
              </w:rPr>
              <w:t>406</w:t>
            </w:r>
          </w:p>
        </w:tc>
        <w:tc>
          <w:tcPr>
            <w:tcW w:w="1010" w:type="dxa"/>
            <w:tcBorders>
              <w:top w:val="dashSmallGap" w:sz="4" w:space="0" w:color="000000"/>
              <w:left w:val="nil"/>
              <w:bottom w:val="dashed" w:sz="4" w:space="0" w:color="000000"/>
              <w:right w:val="nil"/>
            </w:tcBorders>
          </w:tcPr>
          <w:p>
            <w:pPr>
              <w:pStyle w:val="TableParagraph"/>
              <w:spacing w:before="135"/>
              <w:ind w:right="86"/>
              <w:jc w:val="right"/>
              <w:rPr>
                <w:sz w:val="18"/>
              </w:rPr>
            </w:pPr>
            <w:r>
              <w:rPr>
                <w:spacing w:val="-5"/>
                <w:sz w:val="18"/>
              </w:rPr>
              <w:t>102</w:t>
            </w:r>
          </w:p>
        </w:tc>
        <w:tc>
          <w:tcPr>
            <w:tcW w:w="1010" w:type="dxa"/>
            <w:tcBorders>
              <w:top w:val="dashSmallGap" w:sz="4" w:space="0" w:color="000000"/>
              <w:left w:val="nil"/>
              <w:bottom w:val="dashed" w:sz="4" w:space="0" w:color="000000"/>
              <w:right w:val="single" w:sz="12" w:space="0" w:color="000000"/>
            </w:tcBorders>
          </w:tcPr>
          <w:p>
            <w:pPr>
              <w:pStyle w:val="TableParagraph"/>
              <w:spacing w:before="1"/>
              <w:rPr>
                <w:b/>
                <w:sz w:val="8"/>
              </w:rPr>
            </w:pPr>
          </w:p>
          <w:p>
            <w:pPr>
              <w:pStyle w:val="TableParagraph"/>
              <w:ind w:left="-4"/>
              <w:rPr>
                <w:sz w:val="20"/>
              </w:rPr>
            </w:pPr>
            <w:r>
              <w:rPr>
                <w:sz w:val="20"/>
              </w:rPr>
              <w:pict>
                <v:group style="width:.5pt;height:17.3pt;mso-position-horizontal-relative:char;mso-position-vertical-relative:line" id="docshapegroup260" coordorigin="0,0" coordsize="10,346">
                  <v:shape style="position:absolute;left:0;top:0;width:10;height:346" id="docshape261"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255" w:type="dxa"/>
            <w:tcBorders>
              <w:top w:val="dashSmallGap" w:sz="4" w:space="0" w:color="000000"/>
              <w:left w:val="single" w:sz="12" w:space="0" w:color="000000"/>
              <w:bottom w:val="dashed" w:sz="4" w:space="0" w:color="000000"/>
              <w:right w:val="single" w:sz="12" w:space="0" w:color="000000"/>
            </w:tcBorders>
          </w:tcPr>
          <w:p>
            <w:pPr>
              <w:pStyle w:val="TableParagraph"/>
              <w:spacing w:before="135"/>
              <w:ind w:right="76"/>
              <w:jc w:val="right"/>
              <w:rPr>
                <w:sz w:val="18"/>
              </w:rPr>
            </w:pPr>
            <w:r>
              <w:rPr>
                <w:spacing w:val="-5"/>
                <w:sz w:val="18"/>
              </w:rPr>
              <w:t>508</w:t>
            </w:r>
          </w:p>
        </w:tc>
        <w:tc>
          <w:tcPr>
            <w:tcW w:w="1253" w:type="dxa"/>
            <w:tcBorders>
              <w:top w:val="dashSmallGap" w:sz="4" w:space="0" w:color="000000"/>
              <w:left w:val="single" w:sz="12" w:space="0" w:color="000000"/>
              <w:bottom w:val="dashed" w:sz="4" w:space="0" w:color="000000"/>
              <w:right w:val="single" w:sz="12" w:space="0" w:color="000000"/>
            </w:tcBorders>
          </w:tcPr>
          <w:p>
            <w:pPr>
              <w:pStyle w:val="TableParagraph"/>
              <w:spacing w:before="135"/>
              <w:ind w:right="73"/>
              <w:jc w:val="right"/>
              <w:rPr>
                <w:sz w:val="18"/>
              </w:rPr>
            </w:pPr>
            <w:r>
              <w:rPr>
                <w:spacing w:val="-5"/>
                <w:sz w:val="18"/>
              </w:rPr>
              <w:t>508</w:t>
            </w:r>
          </w:p>
        </w:tc>
        <w:tc>
          <w:tcPr>
            <w:tcW w:w="1258" w:type="dxa"/>
            <w:tcBorders>
              <w:top w:val="dashSmallGap" w:sz="4" w:space="0" w:color="000000"/>
              <w:left w:val="single" w:sz="12" w:space="0" w:color="000000"/>
              <w:bottom w:val="dashed" w:sz="4" w:space="0" w:color="000000"/>
              <w:right w:val="single" w:sz="12" w:space="0" w:color="000000"/>
            </w:tcBorders>
          </w:tcPr>
          <w:p>
            <w:pPr>
              <w:pStyle w:val="TableParagraph"/>
              <w:spacing w:before="135"/>
              <w:ind w:right="74"/>
              <w:jc w:val="right"/>
              <w:rPr>
                <w:sz w:val="18"/>
              </w:rPr>
            </w:pPr>
            <w:r>
              <w:rPr>
                <w:spacing w:val="-5"/>
                <w:sz w:val="18"/>
              </w:rPr>
              <w:t>508</w:t>
            </w:r>
          </w:p>
        </w:tc>
      </w:tr>
      <w:tr>
        <w:trPr>
          <w:trHeight w:val="301"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Local</w:t>
            </w:r>
            <w:r>
              <w:rPr>
                <w:spacing w:val="-1"/>
                <w:sz w:val="18"/>
              </w:rPr>
              <w:t> </w:t>
            </w:r>
            <w:r>
              <w:rPr>
                <w:sz w:val="18"/>
              </w:rPr>
              <w:t>Road</w:t>
            </w:r>
            <w:r>
              <w:rPr>
                <w:spacing w:val="-1"/>
                <w:sz w:val="18"/>
              </w:rPr>
              <w:t> </w:t>
            </w:r>
            <w:r>
              <w:rPr>
                <w:sz w:val="18"/>
              </w:rPr>
              <w:t>Reconstruction</w:t>
            </w:r>
            <w:r>
              <w:rPr>
                <w:spacing w:val="-2"/>
                <w:sz w:val="18"/>
              </w:rPr>
              <w:t> Program</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2"/>
              <w:jc w:val="right"/>
              <w:rPr>
                <w:sz w:val="18"/>
              </w:rPr>
            </w:pPr>
            <w:r>
              <w:rPr>
                <w:spacing w:val="-5"/>
                <w:sz w:val="18"/>
              </w:rPr>
              <w:t>550</w:t>
            </w:r>
          </w:p>
        </w:tc>
        <w:tc>
          <w:tcPr>
            <w:tcW w:w="1010" w:type="dxa"/>
            <w:tcBorders>
              <w:top w:val="dashSmallGap" w:sz="4" w:space="0" w:color="000000"/>
              <w:left w:val="nil"/>
              <w:bottom w:val="dashSmallGap" w:sz="4" w:space="0" w:color="000000"/>
              <w:right w:val="nil"/>
            </w:tcBorders>
          </w:tcPr>
          <w:p>
            <w:pPr>
              <w:pStyle w:val="TableParagraph"/>
              <w:spacing w:before="47"/>
              <w:ind w:right="90"/>
              <w:jc w:val="right"/>
              <w:rPr>
                <w:sz w:val="18"/>
              </w:rPr>
            </w:pPr>
            <w:r>
              <w:rPr>
                <w:spacing w:val="-5"/>
                <w:sz w:val="18"/>
              </w:rPr>
              <w:t>550</w:t>
            </w:r>
          </w:p>
        </w:tc>
        <w:tc>
          <w:tcPr>
            <w:tcW w:w="1010" w:type="dxa"/>
            <w:tcBorders>
              <w:top w:val="dashSmallGap" w:sz="4" w:space="0" w:color="000000"/>
              <w:left w:val="nil"/>
              <w:bottom w:val="dashSmallGap" w:sz="4" w:space="0" w:color="000000"/>
              <w:right w:val="nil"/>
            </w:tcBorders>
          </w:tcPr>
          <w:p>
            <w:pPr>
              <w:pStyle w:val="TableParagraph"/>
              <w:spacing w:before="7"/>
              <w:rPr>
                <w:b/>
                <w:sz w:val="5"/>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262" coordorigin="0,0" coordsize="10,192">
                  <v:shape style="position:absolute;left:0;top:0;width:10;height:193" id="docshape263"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64" coordorigin="0,0" coordsize="10,192">
                  <v:shape style="position:absolute;left:0;top:0;width:10;height:193" id="docshape265" coordorigin="0,0" coordsize="10,193"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7"/>
              <w:rPr>
                <w:b/>
                <w:sz w:val="5"/>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266" coordorigin="0,0" coordsize="10,192">
                  <v:shape style="position:absolute;left:-1;top:0;width:10;height:193" id="docshape267"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7"/>
              <w:ind w:right="87"/>
              <w:jc w:val="right"/>
              <w:rPr>
                <w:sz w:val="18"/>
              </w:rPr>
            </w:pPr>
            <w:r>
              <w:rPr>
                <w:spacing w:val="-5"/>
                <w:sz w:val="18"/>
              </w:rPr>
              <w:t>550</w:t>
            </w:r>
          </w:p>
        </w:tc>
        <w:tc>
          <w:tcPr>
            <w:tcW w:w="1010" w:type="dxa"/>
            <w:tcBorders>
              <w:top w:val="dashed" w:sz="4" w:space="0" w:color="000000"/>
              <w:left w:val="nil"/>
              <w:bottom w:val="dashed" w:sz="4" w:space="0" w:color="000000"/>
              <w:right w:val="nil"/>
            </w:tcBorders>
          </w:tcPr>
          <w:p>
            <w:pPr>
              <w:pStyle w:val="TableParagraph"/>
              <w:spacing w:before="7"/>
              <w:rPr>
                <w:b/>
                <w:sz w:val="5"/>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268" coordorigin="0,0" coordsize="10,192">
                  <v:shape style="position:absolute;left:0;top:0;width:10;height:193" id="docshape269"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70" coordorigin="0,0" coordsize="10,192">
                  <v:shape style="position:absolute;left:0;top:0;width:10;height:193" id="docshape271"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5"/>
              <w:jc w:val="right"/>
              <w:rPr>
                <w:sz w:val="18"/>
              </w:rPr>
            </w:pPr>
            <w:r>
              <w:rPr>
                <w:spacing w:val="-5"/>
                <w:sz w:val="18"/>
              </w:rPr>
              <w:t>550</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600</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620</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4"/>
              <w:ind w:left="107"/>
              <w:rPr>
                <w:sz w:val="18"/>
              </w:rPr>
            </w:pPr>
            <w:r>
              <w:rPr>
                <w:sz w:val="18"/>
              </w:rPr>
              <w:t>Local Area</w:t>
            </w:r>
            <w:r>
              <w:rPr>
                <w:spacing w:val="-2"/>
                <w:sz w:val="18"/>
              </w:rPr>
              <w:t> </w:t>
            </w:r>
            <w:r>
              <w:rPr>
                <w:sz w:val="18"/>
              </w:rPr>
              <w:t>Traffic</w:t>
            </w:r>
            <w:r>
              <w:rPr>
                <w:spacing w:val="-2"/>
                <w:sz w:val="18"/>
              </w:rPr>
              <w:t> Management</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4"/>
              <w:ind w:right="82"/>
              <w:jc w:val="right"/>
              <w:rPr>
                <w:sz w:val="18"/>
              </w:rPr>
            </w:pPr>
            <w:r>
              <w:rPr>
                <w:spacing w:val="-5"/>
                <w:sz w:val="18"/>
              </w:rPr>
              <w:t>250</w:t>
            </w:r>
          </w:p>
        </w:tc>
        <w:tc>
          <w:tcPr>
            <w:tcW w:w="1010" w:type="dxa"/>
            <w:tcBorders>
              <w:top w:val="dashSmallGap" w:sz="4" w:space="0" w:color="000000"/>
              <w:left w:val="nil"/>
              <w:bottom w:val="dashSmallGap" w:sz="4" w:space="0" w:color="000000"/>
              <w:right w:val="nil"/>
            </w:tcBorders>
          </w:tcPr>
          <w:p>
            <w:pPr>
              <w:pStyle w:val="TableParagraph"/>
              <w:spacing w:before="44"/>
              <w:ind w:right="88"/>
              <w:jc w:val="right"/>
              <w:rPr>
                <w:sz w:val="18"/>
              </w:rPr>
            </w:pPr>
            <w:r>
              <w:rPr>
                <w:spacing w:val="-5"/>
                <w:sz w:val="18"/>
              </w:rPr>
              <w:t>250</w:t>
            </w:r>
          </w:p>
        </w:tc>
        <w:tc>
          <w:tcPr>
            <w:tcW w:w="1010" w:type="dxa"/>
            <w:tcBorders>
              <w:top w:val="dashSmallGap" w:sz="4" w:space="0" w:color="000000"/>
              <w:left w:val="nil"/>
              <w:bottom w:val="dashSmallGap" w:sz="4" w:space="0" w:color="000000"/>
              <w:right w:val="nil"/>
            </w:tcBorders>
          </w:tcPr>
          <w:p>
            <w:pPr>
              <w:pStyle w:val="TableParagraph"/>
              <w:spacing w:before="2"/>
              <w:rPr>
                <w:b/>
                <w:sz w:val="5"/>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272" coordorigin="0,0" coordsize="10,192">
                  <v:shape style="position:absolute;left:0;top:0;width:10;height:192" id="docshape27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74" coordorigin="0,0" coordsize="10,192">
                  <v:shape style="position:absolute;left:0;top:0;width:10;height:192" id="docshape275"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2"/>
              <w:rPr>
                <w:b/>
                <w:sz w:val="5"/>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276" coordorigin="0,0" coordsize="10,192">
                  <v:shape style="position:absolute;left:-1;top:0;width:10;height:192" id="docshape277"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125</w:t>
            </w:r>
          </w:p>
        </w:tc>
        <w:tc>
          <w:tcPr>
            <w:tcW w:w="1010"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125</w:t>
            </w:r>
          </w:p>
        </w:tc>
        <w:tc>
          <w:tcPr>
            <w:tcW w:w="1010" w:type="dxa"/>
            <w:tcBorders>
              <w:top w:val="dashed" w:sz="4" w:space="0" w:color="000000"/>
              <w:left w:val="nil"/>
              <w:bottom w:val="dashed" w:sz="4" w:space="0" w:color="000000"/>
              <w:right w:val="dashed" w:sz="12" w:space="0" w:color="000000"/>
            </w:tcBorders>
          </w:tcPr>
          <w:p>
            <w:pPr>
              <w:pStyle w:val="TableParagraph"/>
              <w:spacing w:before="2"/>
              <w:rPr>
                <w:b/>
                <w:sz w:val="5"/>
              </w:rPr>
            </w:pPr>
          </w:p>
          <w:p>
            <w:pPr>
              <w:pStyle w:val="TableParagraph"/>
              <w:spacing w:line="192" w:lineRule="exact"/>
              <w:ind w:left="-4"/>
              <w:rPr>
                <w:sz w:val="19"/>
              </w:rPr>
            </w:pPr>
            <w:r>
              <w:rPr>
                <w:position w:val="-3"/>
                <w:sz w:val="19"/>
              </w:rPr>
              <w:pict>
                <v:group style="width:.5pt;height:9.6pt;mso-position-horizontal-relative:char;mso-position-vertical-relative:line" id="docshapegroup278" coordorigin="0,0" coordsize="10,192">
                  <v:shape style="position:absolute;left:0;top:0;width:10;height:192" id="docshape279" coordorigin="0,0" coordsize="10,192" path="m10,154l0,154,0,192,10,192,10,154xm10,77l0,77,0,115,10,115,10,77xm10,0l0,0,0,38,10,38,10,0xe" filled="true" fillcolor="#000000" stroked="false">
                    <v:path arrowok="t"/>
                    <v:fill type="solid"/>
                  </v:shape>
                </v:group>
              </w:pict>
            </w:r>
            <w:r>
              <w:rPr>
                <w:position w:val="-3"/>
                <w:sz w:val="19"/>
              </w:rPr>
            </w: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6"/>
              <w:jc w:val="right"/>
              <w:rPr>
                <w:sz w:val="18"/>
              </w:rPr>
            </w:pPr>
            <w:r>
              <w:rPr>
                <w:spacing w:val="-5"/>
                <w:sz w:val="18"/>
              </w:rPr>
              <w:t>250</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3"/>
              <w:jc w:val="right"/>
              <w:rPr>
                <w:sz w:val="18"/>
              </w:rPr>
            </w:pPr>
            <w:r>
              <w:rPr>
                <w:spacing w:val="-5"/>
                <w:sz w:val="18"/>
              </w:rPr>
              <w:t>250</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4"/>
              <w:jc w:val="right"/>
              <w:rPr>
                <w:sz w:val="18"/>
              </w:rPr>
            </w:pPr>
            <w:r>
              <w:rPr>
                <w:spacing w:val="-5"/>
                <w:sz w:val="18"/>
              </w:rPr>
              <w:t>250</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4"/>
              <w:ind w:left="107"/>
              <w:rPr>
                <w:sz w:val="18"/>
              </w:rPr>
            </w:pPr>
            <w:r>
              <w:rPr>
                <w:sz w:val="18"/>
              </w:rPr>
              <w:t>Local</w:t>
            </w:r>
            <w:r>
              <w:rPr>
                <w:spacing w:val="-1"/>
                <w:sz w:val="18"/>
              </w:rPr>
              <w:t> </w:t>
            </w:r>
            <w:r>
              <w:rPr>
                <w:sz w:val="18"/>
              </w:rPr>
              <w:t>Area</w:t>
            </w:r>
            <w:r>
              <w:rPr>
                <w:spacing w:val="-2"/>
                <w:sz w:val="18"/>
              </w:rPr>
              <w:t> </w:t>
            </w:r>
            <w:r>
              <w:rPr>
                <w:sz w:val="18"/>
              </w:rPr>
              <w:t>Traffic</w:t>
            </w:r>
            <w:r>
              <w:rPr>
                <w:spacing w:val="-3"/>
                <w:sz w:val="18"/>
              </w:rPr>
              <w:t> </w:t>
            </w:r>
            <w:r>
              <w:rPr>
                <w:sz w:val="18"/>
              </w:rPr>
              <w:t>Management</w:t>
            </w:r>
            <w:r>
              <w:rPr>
                <w:spacing w:val="1"/>
                <w:sz w:val="18"/>
              </w:rPr>
              <w:t> </w:t>
            </w:r>
            <w:r>
              <w:rPr>
                <w:sz w:val="18"/>
              </w:rPr>
              <w:t>-</w:t>
            </w:r>
            <w:r>
              <w:rPr>
                <w:spacing w:val="-1"/>
                <w:sz w:val="18"/>
              </w:rPr>
              <w:t> </w:t>
            </w:r>
            <w:r>
              <w:rPr>
                <w:spacing w:val="-2"/>
                <w:sz w:val="18"/>
              </w:rPr>
              <w:t>Renewal</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4"/>
              <w:ind w:right="82"/>
              <w:jc w:val="right"/>
              <w:rPr>
                <w:sz w:val="18"/>
              </w:rPr>
            </w:pPr>
            <w:r>
              <w:rPr>
                <w:spacing w:val="-5"/>
                <w:sz w:val="18"/>
              </w:rPr>
              <w:t>75</w:t>
            </w:r>
          </w:p>
        </w:tc>
        <w:tc>
          <w:tcPr>
            <w:tcW w:w="1010"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5"/>
                <w:sz w:val="18"/>
              </w:rPr>
              <w:t>75</w:t>
            </w:r>
          </w:p>
        </w:tc>
        <w:tc>
          <w:tcPr>
            <w:tcW w:w="1010" w:type="dxa"/>
            <w:tcBorders>
              <w:top w:val="dashSmallGap" w:sz="4" w:space="0" w:color="000000"/>
              <w:left w:val="nil"/>
              <w:bottom w:val="dashSmallGap" w:sz="4" w:space="0" w:color="000000"/>
              <w:right w:val="nil"/>
            </w:tcBorders>
          </w:tcPr>
          <w:p>
            <w:pPr>
              <w:pStyle w:val="TableParagraph"/>
              <w:spacing w:before="11"/>
              <w:rPr>
                <w:b/>
                <w:sz w:val="4"/>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280" coordorigin="0,0" coordsize="10,192">
                  <v:shape style="position:absolute;left:0;top:0;width:10;height:192" id="docshape28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82" coordorigin="0,0" coordsize="10,192">
                  <v:shape style="position:absolute;left:0;top:0;width:10;height:192" id="docshape283"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11"/>
              <w:rPr>
                <w:b/>
                <w:sz w:val="4"/>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284" coordorigin="0,0" coordsize="10,192">
                  <v:shape style="position:absolute;left:-1;top:0;width:10;height:192" id="docshape285"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75</w:t>
            </w:r>
          </w:p>
        </w:tc>
        <w:tc>
          <w:tcPr>
            <w:tcW w:w="1010" w:type="dxa"/>
            <w:tcBorders>
              <w:top w:val="dashed" w:sz="4" w:space="0" w:color="000000"/>
              <w:left w:val="nil"/>
              <w:bottom w:val="dashed" w:sz="4" w:space="0" w:color="000000"/>
              <w:right w:val="nil"/>
            </w:tcBorders>
          </w:tcPr>
          <w:p>
            <w:pPr>
              <w:pStyle w:val="TableParagraph"/>
              <w:spacing w:before="11"/>
              <w:rPr>
                <w:b/>
                <w:sz w:val="4"/>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286" coordorigin="0,0" coordsize="10,192">
                  <v:shape style="position:absolute;left:0;top:0;width:10;height:192" id="docshape28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88" coordorigin="0,0" coordsize="10,192">
                  <v:shape style="position:absolute;left:0;top:0;width:10;height:192" id="docshape28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4"/>
              <w:jc w:val="right"/>
              <w:rPr>
                <w:sz w:val="18"/>
              </w:rPr>
            </w:pPr>
            <w:r>
              <w:rPr>
                <w:spacing w:val="-5"/>
                <w:sz w:val="18"/>
              </w:rPr>
              <w:t>95</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3"/>
              <w:jc w:val="right"/>
              <w:rPr>
                <w:sz w:val="18"/>
              </w:rPr>
            </w:pPr>
            <w:r>
              <w:rPr>
                <w:spacing w:val="-5"/>
                <w:sz w:val="18"/>
              </w:rPr>
              <w:t>105</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4"/>
              <w:jc w:val="right"/>
              <w:rPr>
                <w:sz w:val="18"/>
              </w:rPr>
            </w:pPr>
            <w:r>
              <w:rPr>
                <w:spacing w:val="-5"/>
                <w:sz w:val="18"/>
              </w:rPr>
              <w:t>125</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4"/>
              <w:ind w:left="107"/>
              <w:rPr>
                <w:sz w:val="18"/>
              </w:rPr>
            </w:pPr>
            <w:r>
              <w:rPr>
                <w:sz w:val="18"/>
              </w:rPr>
              <w:t>Traffic</w:t>
            </w:r>
            <w:r>
              <w:rPr>
                <w:spacing w:val="-2"/>
                <w:sz w:val="18"/>
              </w:rPr>
              <w:t> </w:t>
            </w:r>
            <w:r>
              <w:rPr>
                <w:sz w:val="18"/>
              </w:rPr>
              <w:t>Lights</w:t>
            </w:r>
            <w:r>
              <w:rPr>
                <w:spacing w:val="-1"/>
                <w:sz w:val="18"/>
              </w:rPr>
              <w:t> </w:t>
            </w:r>
            <w:r>
              <w:rPr>
                <w:sz w:val="18"/>
              </w:rPr>
              <w:t>and</w:t>
            </w:r>
            <w:r>
              <w:rPr>
                <w:spacing w:val="1"/>
                <w:sz w:val="18"/>
              </w:rPr>
              <w:t> </w:t>
            </w:r>
            <w:r>
              <w:rPr>
                <w:sz w:val="18"/>
              </w:rPr>
              <w:t>Pedestrian</w:t>
            </w:r>
            <w:r>
              <w:rPr>
                <w:spacing w:val="-3"/>
                <w:sz w:val="18"/>
              </w:rPr>
              <w:t> </w:t>
            </w:r>
            <w:r>
              <w:rPr>
                <w:spacing w:val="-2"/>
                <w:sz w:val="18"/>
              </w:rPr>
              <w:t>Crossings</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4"/>
              <w:ind w:right="83"/>
              <w:jc w:val="right"/>
              <w:rPr>
                <w:sz w:val="18"/>
              </w:rPr>
            </w:pPr>
            <w:r>
              <w:rPr>
                <w:spacing w:val="-5"/>
                <w:sz w:val="18"/>
              </w:rPr>
              <w:t>80</w:t>
            </w:r>
          </w:p>
        </w:tc>
        <w:tc>
          <w:tcPr>
            <w:tcW w:w="1010"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5"/>
                <w:sz w:val="18"/>
              </w:rPr>
              <w:t>80</w:t>
            </w:r>
          </w:p>
        </w:tc>
        <w:tc>
          <w:tcPr>
            <w:tcW w:w="1010" w:type="dxa"/>
            <w:tcBorders>
              <w:top w:val="dashSmallGap" w:sz="4" w:space="0" w:color="000000"/>
              <w:left w:val="nil"/>
              <w:bottom w:val="dashSmallGap" w:sz="4" w:space="0" w:color="000000"/>
              <w:right w:val="nil"/>
            </w:tcBorders>
          </w:tcPr>
          <w:p>
            <w:pPr>
              <w:pStyle w:val="TableParagraph"/>
              <w:spacing w:before="9"/>
              <w:rPr>
                <w:b/>
                <w:sz w:val="4"/>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290" coordorigin="0,0" coordsize="10,192">
                  <v:shape style="position:absolute;left:0;top:0;width:10;height:193" id="docshape291"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92" coordorigin="0,0" coordsize="10,192">
                  <v:shape style="position:absolute;left:0;top:0;width:10;height:193" id="docshape293" coordorigin="0,0" coordsize="10,193"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9"/>
              <w:rPr>
                <w:b/>
                <w:sz w:val="4"/>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294" coordorigin="0,0" coordsize="10,192">
                  <v:shape style="position:absolute;left:-1;top:0;width:10;height:193" id="docshape295"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4"/>
              <w:ind w:right="88"/>
              <w:jc w:val="right"/>
              <w:rPr>
                <w:sz w:val="18"/>
              </w:rPr>
            </w:pPr>
            <w:r>
              <w:rPr>
                <w:spacing w:val="-5"/>
                <w:sz w:val="18"/>
              </w:rPr>
              <w:t>80</w:t>
            </w:r>
          </w:p>
        </w:tc>
        <w:tc>
          <w:tcPr>
            <w:tcW w:w="1010" w:type="dxa"/>
            <w:tcBorders>
              <w:top w:val="dashed" w:sz="4" w:space="0" w:color="000000"/>
              <w:left w:val="nil"/>
              <w:bottom w:val="dashed" w:sz="4" w:space="0" w:color="000000"/>
              <w:right w:val="nil"/>
            </w:tcBorders>
          </w:tcPr>
          <w:p>
            <w:pPr>
              <w:pStyle w:val="TableParagraph"/>
              <w:spacing w:before="9"/>
              <w:rPr>
                <w:b/>
                <w:sz w:val="4"/>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296" coordorigin="0,0" coordsize="10,192">
                  <v:shape style="position:absolute;left:0;top:0;width:10;height:193" id="docshape297"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298" coordorigin="0,0" coordsize="10,192">
                  <v:shape style="position:absolute;left:0;top:0;width:10;height:193" id="docshape299"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4"/>
              <w:jc w:val="right"/>
              <w:rPr>
                <w:sz w:val="18"/>
              </w:rPr>
            </w:pPr>
            <w:r>
              <w:rPr>
                <w:spacing w:val="-5"/>
                <w:sz w:val="18"/>
              </w:rPr>
              <w:t>90</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3"/>
              <w:jc w:val="right"/>
              <w:rPr>
                <w:sz w:val="18"/>
              </w:rPr>
            </w:pPr>
            <w:r>
              <w:rPr>
                <w:spacing w:val="-5"/>
                <w:sz w:val="18"/>
              </w:rPr>
              <w:t>100</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4"/>
              <w:ind w:right="74"/>
              <w:jc w:val="right"/>
              <w:rPr>
                <w:sz w:val="18"/>
              </w:rPr>
            </w:pPr>
            <w:r>
              <w:rPr>
                <w:spacing w:val="-5"/>
                <w:sz w:val="18"/>
              </w:rPr>
              <w:t>100</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Local</w:t>
            </w:r>
            <w:r>
              <w:rPr>
                <w:spacing w:val="-3"/>
                <w:sz w:val="18"/>
              </w:rPr>
              <w:t> </w:t>
            </w:r>
            <w:r>
              <w:rPr>
                <w:sz w:val="18"/>
              </w:rPr>
              <w:t>Road</w:t>
            </w:r>
            <w:r>
              <w:rPr>
                <w:spacing w:val="-1"/>
                <w:sz w:val="18"/>
              </w:rPr>
              <w:t> </w:t>
            </w:r>
            <w:r>
              <w:rPr>
                <w:sz w:val="18"/>
              </w:rPr>
              <w:t>Renewal </w:t>
            </w:r>
            <w:r>
              <w:rPr>
                <w:spacing w:val="-2"/>
                <w:sz w:val="18"/>
              </w:rPr>
              <w:t>Program</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2"/>
              <w:jc w:val="right"/>
              <w:rPr>
                <w:sz w:val="18"/>
              </w:rPr>
            </w:pPr>
            <w:r>
              <w:rPr>
                <w:spacing w:val="-2"/>
                <w:sz w:val="18"/>
              </w:rPr>
              <w:t>2,197</w:t>
            </w:r>
          </w:p>
        </w:tc>
        <w:tc>
          <w:tcPr>
            <w:tcW w:w="1010" w:type="dxa"/>
            <w:tcBorders>
              <w:top w:val="dashSmallGap" w:sz="4" w:space="0" w:color="000000"/>
              <w:left w:val="nil"/>
              <w:bottom w:val="dashSmallGap" w:sz="4" w:space="0" w:color="000000"/>
              <w:right w:val="nil"/>
            </w:tcBorders>
          </w:tcPr>
          <w:p>
            <w:pPr>
              <w:pStyle w:val="TableParagraph"/>
              <w:spacing w:before="47"/>
              <w:ind w:right="89"/>
              <w:jc w:val="right"/>
              <w:rPr>
                <w:sz w:val="18"/>
              </w:rPr>
            </w:pPr>
            <w:r>
              <w:rPr>
                <w:spacing w:val="-2"/>
                <w:sz w:val="18"/>
              </w:rPr>
              <w:t>2,197</w:t>
            </w:r>
          </w:p>
        </w:tc>
        <w:tc>
          <w:tcPr>
            <w:tcW w:w="1010" w:type="dxa"/>
            <w:tcBorders>
              <w:top w:val="dashSmallGap" w:sz="4" w:space="0" w:color="000000"/>
              <w:left w:val="nil"/>
              <w:bottom w:val="dashSmallGap" w:sz="4" w:space="0" w:color="000000"/>
              <w:right w:val="nil"/>
            </w:tcBorders>
          </w:tcPr>
          <w:p>
            <w:pPr>
              <w:pStyle w:val="TableParagraph"/>
              <w:spacing w:before="6"/>
              <w:rPr>
                <w:b/>
                <w:sz w:val="4"/>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300" coordorigin="0,0" coordsize="10,192">
                  <v:shape style="position:absolute;left:0;top:0;width:10;height:192" id="docshape30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02" coordorigin="0,0" coordsize="10,192">
                  <v:shape style="position:absolute;left:0;top:0;width:10;height:192" id="docshape303"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6"/>
              <w:rPr>
                <w:b/>
                <w:sz w:val="4"/>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304" coordorigin="0,0" coordsize="10,192">
                  <v:shape style="position:absolute;left:-1;top:0;width:10;height:192" id="docshape305"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7"/>
              <w:ind w:right="88"/>
              <w:jc w:val="right"/>
              <w:rPr>
                <w:sz w:val="18"/>
              </w:rPr>
            </w:pPr>
            <w:r>
              <w:rPr>
                <w:spacing w:val="-2"/>
                <w:sz w:val="18"/>
              </w:rPr>
              <w:t>2,197</w:t>
            </w:r>
          </w:p>
        </w:tc>
        <w:tc>
          <w:tcPr>
            <w:tcW w:w="1010" w:type="dxa"/>
            <w:tcBorders>
              <w:top w:val="dashed" w:sz="4" w:space="0" w:color="000000"/>
              <w:left w:val="nil"/>
              <w:bottom w:val="dashed" w:sz="4" w:space="0" w:color="000000"/>
              <w:right w:val="nil"/>
            </w:tcBorders>
          </w:tcPr>
          <w:p>
            <w:pPr>
              <w:pStyle w:val="TableParagraph"/>
              <w:spacing w:before="6"/>
              <w:rPr>
                <w:b/>
                <w:sz w:val="4"/>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306" coordorigin="0,0" coordsize="10,192">
                  <v:shape style="position:absolute;left:0;top:0;width:10;height:192" id="docshape30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08" coordorigin="0,0" coordsize="10,192">
                  <v:shape style="position:absolute;left:0;top:0;width:10;height:192" id="docshape30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5"/>
              <w:jc w:val="right"/>
              <w:rPr>
                <w:sz w:val="18"/>
              </w:rPr>
            </w:pPr>
            <w:r>
              <w:rPr>
                <w:spacing w:val="-2"/>
                <w:sz w:val="18"/>
              </w:rPr>
              <w:t>2,298</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sz w:val="18"/>
              </w:rPr>
            </w:pPr>
            <w:r>
              <w:rPr>
                <w:spacing w:val="-2"/>
                <w:sz w:val="18"/>
              </w:rPr>
              <w:t>2,348</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sz w:val="18"/>
              </w:rPr>
            </w:pPr>
            <w:r>
              <w:rPr>
                <w:spacing w:val="-2"/>
                <w:sz w:val="18"/>
              </w:rPr>
              <w:t>2,398</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Kerb</w:t>
            </w:r>
            <w:r>
              <w:rPr>
                <w:spacing w:val="-3"/>
                <w:sz w:val="18"/>
              </w:rPr>
              <w:t> </w:t>
            </w:r>
            <w:r>
              <w:rPr>
                <w:sz w:val="18"/>
              </w:rPr>
              <w:t>and Channel</w:t>
            </w:r>
            <w:r>
              <w:rPr>
                <w:spacing w:val="-2"/>
                <w:sz w:val="18"/>
              </w:rPr>
              <w:t> </w:t>
            </w:r>
            <w:r>
              <w:rPr>
                <w:sz w:val="18"/>
              </w:rPr>
              <w:t>Replacement </w:t>
            </w:r>
            <w:r>
              <w:rPr>
                <w:spacing w:val="-4"/>
                <w:sz w:val="18"/>
              </w:rPr>
              <w:t>Works</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sz w:val="18"/>
              </w:rPr>
            </w:pPr>
            <w:r>
              <w:rPr>
                <w:spacing w:val="-5"/>
                <w:sz w:val="18"/>
              </w:rPr>
              <w:t>635</w:t>
            </w:r>
          </w:p>
        </w:tc>
        <w:tc>
          <w:tcPr>
            <w:tcW w:w="1010" w:type="dxa"/>
            <w:tcBorders>
              <w:top w:val="dashSmallGap" w:sz="4" w:space="0" w:color="000000"/>
              <w:left w:val="nil"/>
              <w:bottom w:val="dashSmallGap" w:sz="4" w:space="0" w:color="000000"/>
              <w:right w:val="nil"/>
            </w:tcBorders>
          </w:tcPr>
          <w:p>
            <w:pPr>
              <w:pStyle w:val="TableParagraph"/>
              <w:spacing w:before="47"/>
              <w:ind w:right="89"/>
              <w:jc w:val="right"/>
              <w:rPr>
                <w:sz w:val="18"/>
              </w:rPr>
            </w:pPr>
            <w:r>
              <w:rPr>
                <w:spacing w:val="-5"/>
                <w:sz w:val="18"/>
              </w:rPr>
              <w:t>635</w:t>
            </w:r>
          </w:p>
        </w:tc>
        <w:tc>
          <w:tcPr>
            <w:tcW w:w="1010" w:type="dxa"/>
            <w:tcBorders>
              <w:top w:val="dashSmallGap" w:sz="4" w:space="0" w:color="000000"/>
              <w:left w:val="nil"/>
              <w:bottom w:val="dashSmallGap" w:sz="4" w:space="0" w:color="000000"/>
              <w:right w:val="nil"/>
            </w:tcBorders>
          </w:tcPr>
          <w:p>
            <w:pPr>
              <w:pStyle w:val="TableParagraph"/>
              <w:spacing w:before="4"/>
              <w:rPr>
                <w:b/>
                <w:sz w:val="4"/>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310" coordorigin="0,0" coordsize="10,192">
                  <v:shape style="position:absolute;left:0;top:0;width:10;height:192" id="docshape31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12" coordorigin="0,0" coordsize="10,192">
                  <v:shape style="position:absolute;left:0;top:0;width:10;height:192" id="docshape313"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4"/>
              <w:rPr>
                <w:b/>
                <w:sz w:val="4"/>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314" coordorigin="0,0" coordsize="10,192">
                  <v:shape style="position:absolute;left:-1;top:0;width:10;height:192" id="docshape315"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47"/>
              <w:ind w:right="87"/>
              <w:jc w:val="right"/>
              <w:rPr>
                <w:sz w:val="18"/>
              </w:rPr>
            </w:pPr>
            <w:r>
              <w:rPr>
                <w:spacing w:val="-5"/>
                <w:sz w:val="18"/>
              </w:rPr>
              <w:t>635</w:t>
            </w:r>
          </w:p>
        </w:tc>
        <w:tc>
          <w:tcPr>
            <w:tcW w:w="1010" w:type="dxa"/>
            <w:tcBorders>
              <w:top w:val="dashed" w:sz="4" w:space="0" w:color="000000"/>
              <w:left w:val="nil"/>
              <w:bottom w:val="dashed" w:sz="4" w:space="0" w:color="000000"/>
              <w:right w:val="nil"/>
            </w:tcBorders>
          </w:tcPr>
          <w:p>
            <w:pPr>
              <w:pStyle w:val="TableParagraph"/>
              <w:spacing w:before="4"/>
              <w:rPr>
                <w:b/>
                <w:sz w:val="4"/>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316" coordorigin="0,0" coordsize="10,192">
                  <v:shape style="position:absolute;left:0;top:0;width:10;height:192" id="docshape31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18" coordorigin="0,0" coordsize="10,192">
                  <v:shape style="position:absolute;left:0;top:0;width:10;height:192" id="docshape31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5"/>
              <w:jc w:val="right"/>
              <w:rPr>
                <w:sz w:val="18"/>
              </w:rPr>
            </w:pPr>
            <w:r>
              <w:rPr>
                <w:spacing w:val="-5"/>
                <w:sz w:val="18"/>
              </w:rPr>
              <w:t>635</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685</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695</w:t>
            </w:r>
          </w:p>
        </w:tc>
      </w:tr>
      <w:tr>
        <w:trPr>
          <w:trHeight w:val="284"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line="241" w:lineRule="exact" w:before="24"/>
              <w:ind w:left="107"/>
              <w:rPr>
                <w:b/>
                <w:sz w:val="22"/>
              </w:rPr>
            </w:pPr>
            <w:r>
              <w:rPr>
                <w:b/>
                <w:sz w:val="22"/>
              </w:rPr>
              <w:t>TOTAL</w:t>
            </w:r>
            <w:r>
              <w:rPr>
                <w:b/>
                <w:spacing w:val="-2"/>
                <w:sz w:val="22"/>
              </w:rPr>
              <w:t> ROADS</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b/>
                <w:sz w:val="18"/>
              </w:rPr>
            </w:pPr>
            <w:r>
              <w:rPr>
                <w:b/>
                <w:spacing w:val="-2"/>
                <w:sz w:val="18"/>
              </w:rPr>
              <w:t>4,295</w:t>
            </w:r>
          </w:p>
        </w:tc>
        <w:tc>
          <w:tcPr>
            <w:tcW w:w="1010" w:type="dxa"/>
            <w:tcBorders>
              <w:top w:val="dashSmallGap" w:sz="4" w:space="0" w:color="000000"/>
              <w:left w:val="nil"/>
              <w:bottom w:val="dashSmallGap" w:sz="4" w:space="0" w:color="000000"/>
              <w:right w:val="nil"/>
            </w:tcBorders>
          </w:tcPr>
          <w:p>
            <w:pPr>
              <w:pStyle w:val="TableParagraph"/>
              <w:spacing w:before="47"/>
              <w:ind w:right="88"/>
              <w:jc w:val="right"/>
              <w:rPr>
                <w:b/>
                <w:sz w:val="18"/>
              </w:rPr>
            </w:pPr>
            <w:r>
              <w:rPr>
                <w:b/>
                <w:spacing w:val="-2"/>
                <w:sz w:val="18"/>
              </w:rPr>
              <w:t>3,787</w:t>
            </w:r>
          </w:p>
        </w:tc>
        <w:tc>
          <w:tcPr>
            <w:tcW w:w="1010" w:type="dxa"/>
            <w:tcBorders>
              <w:top w:val="dashSmallGap" w:sz="4" w:space="0" w:color="000000"/>
              <w:left w:val="nil"/>
              <w:bottom w:val="dashSmallGap" w:sz="4" w:space="0" w:color="000000"/>
              <w:right w:val="nil"/>
            </w:tcBorders>
          </w:tcPr>
          <w:p>
            <w:pPr>
              <w:pStyle w:val="TableParagraph"/>
              <w:spacing w:before="47"/>
              <w:ind w:right="90"/>
              <w:jc w:val="right"/>
              <w:rPr>
                <w:b/>
                <w:sz w:val="18"/>
              </w:rPr>
            </w:pPr>
            <w:r>
              <w:rPr>
                <w:b/>
                <w:spacing w:val="-5"/>
                <w:sz w:val="18"/>
              </w:rPr>
              <w:t>508</w:t>
            </w:r>
          </w:p>
        </w:tc>
        <w:tc>
          <w:tcPr>
            <w:tcW w:w="1015" w:type="dxa"/>
            <w:tcBorders>
              <w:top w:val="dashSmallGap" w:sz="4" w:space="0" w:color="000000"/>
              <w:left w:val="nil"/>
              <w:bottom w:val="dashSmallGap" w:sz="4" w:space="0" w:color="000000"/>
              <w:right w:val="nil"/>
            </w:tcBorders>
          </w:tcPr>
          <w:p>
            <w:pPr>
              <w:pStyle w:val="TableParagraph"/>
              <w:spacing w:before="47"/>
              <w:ind w:right="93"/>
              <w:jc w:val="right"/>
              <w:rPr>
                <w:b/>
                <w:sz w:val="18"/>
              </w:rPr>
            </w:pPr>
            <w:r>
              <w:rPr>
                <w:b/>
                <w:sz w:val="18"/>
              </w:rPr>
              <w:t>0</w:t>
            </w:r>
          </w:p>
        </w:tc>
        <w:tc>
          <w:tcPr>
            <w:tcW w:w="1010" w:type="dxa"/>
            <w:tcBorders>
              <w:top w:val="dashed" w:sz="4" w:space="0" w:color="000000"/>
              <w:left w:val="nil"/>
              <w:bottom w:val="dashed" w:sz="4" w:space="0" w:color="000000"/>
              <w:right w:val="nil"/>
            </w:tcBorders>
          </w:tcPr>
          <w:p>
            <w:pPr>
              <w:pStyle w:val="TableParagraph"/>
              <w:spacing w:before="47"/>
              <w:ind w:right="87"/>
              <w:jc w:val="right"/>
              <w:rPr>
                <w:b/>
                <w:sz w:val="18"/>
              </w:rPr>
            </w:pPr>
            <w:r>
              <w:rPr>
                <w:b/>
                <w:spacing w:val="-2"/>
                <w:sz w:val="18"/>
              </w:rPr>
              <w:t>4,068</w:t>
            </w:r>
          </w:p>
        </w:tc>
        <w:tc>
          <w:tcPr>
            <w:tcW w:w="1010" w:type="dxa"/>
            <w:tcBorders>
              <w:top w:val="dashed" w:sz="4" w:space="0" w:color="000000"/>
              <w:left w:val="nil"/>
              <w:bottom w:val="dashed" w:sz="4" w:space="0" w:color="000000"/>
              <w:right w:val="nil"/>
            </w:tcBorders>
          </w:tcPr>
          <w:p>
            <w:pPr>
              <w:pStyle w:val="TableParagraph"/>
              <w:spacing w:before="47"/>
              <w:ind w:right="88"/>
              <w:jc w:val="right"/>
              <w:rPr>
                <w:b/>
                <w:sz w:val="18"/>
              </w:rPr>
            </w:pPr>
            <w:r>
              <w:rPr>
                <w:b/>
                <w:spacing w:val="-5"/>
                <w:sz w:val="18"/>
              </w:rPr>
              <w:t>227</w:t>
            </w:r>
          </w:p>
        </w:tc>
        <w:tc>
          <w:tcPr>
            <w:tcW w:w="1010" w:type="dxa"/>
            <w:tcBorders>
              <w:top w:val="dashed" w:sz="4" w:space="0" w:color="000000"/>
              <w:left w:val="nil"/>
              <w:bottom w:val="dashed" w:sz="4" w:space="0" w:color="000000"/>
              <w:right w:val="dashed" w:sz="12" w:space="0" w:color="000000"/>
            </w:tcBorders>
          </w:tcPr>
          <w:p>
            <w:pPr>
              <w:pStyle w:val="TableParagraph"/>
              <w:spacing w:before="47"/>
              <w:ind w:right="74"/>
              <w:jc w:val="right"/>
              <w:rPr>
                <w:b/>
                <w:sz w:val="18"/>
              </w:rPr>
            </w:pPr>
            <w:r>
              <w:rPr>
                <w:b/>
                <w:sz w:val="18"/>
              </w:rPr>
              <w:t>0</w:t>
            </w: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5"/>
              <w:jc w:val="right"/>
              <w:rPr>
                <w:b/>
                <w:sz w:val="18"/>
              </w:rPr>
            </w:pPr>
            <w:r>
              <w:rPr>
                <w:b/>
                <w:spacing w:val="-2"/>
                <w:sz w:val="18"/>
              </w:rPr>
              <w:t>4,426</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b/>
                <w:sz w:val="18"/>
              </w:rPr>
            </w:pPr>
            <w:r>
              <w:rPr>
                <w:b/>
                <w:spacing w:val="-2"/>
                <w:sz w:val="18"/>
              </w:rPr>
              <w:t>4,596</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b/>
                <w:sz w:val="18"/>
              </w:rPr>
            </w:pPr>
            <w:r>
              <w:rPr>
                <w:b/>
                <w:spacing w:val="-2"/>
                <w:sz w:val="18"/>
              </w:rPr>
              <w:t>4,696</w:t>
            </w:r>
          </w:p>
        </w:tc>
      </w:tr>
      <w:tr>
        <w:trPr>
          <w:trHeight w:val="264"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line="241" w:lineRule="exact" w:before="4"/>
              <w:ind w:left="107"/>
              <w:rPr>
                <w:b/>
                <w:sz w:val="22"/>
              </w:rPr>
            </w:pPr>
            <w:r>
              <w:rPr>
                <w:b/>
                <w:sz w:val="22"/>
              </w:rPr>
              <w:t>FOOTPATHS</w:t>
            </w:r>
            <w:r>
              <w:rPr>
                <w:b/>
                <w:spacing w:val="-5"/>
                <w:sz w:val="22"/>
              </w:rPr>
              <w:t> </w:t>
            </w:r>
            <w:r>
              <w:rPr>
                <w:b/>
                <w:sz w:val="22"/>
              </w:rPr>
              <w:t>AND</w:t>
            </w:r>
            <w:r>
              <w:rPr>
                <w:b/>
                <w:spacing w:val="-1"/>
                <w:sz w:val="22"/>
              </w:rPr>
              <w:t> </w:t>
            </w:r>
            <w:r>
              <w:rPr>
                <w:b/>
                <w:spacing w:val="-2"/>
                <w:sz w:val="22"/>
              </w:rPr>
              <w:t>CYCLEWAYS</w:t>
            </w:r>
          </w:p>
        </w:tc>
        <w:tc>
          <w:tcPr>
            <w:tcW w:w="7320" w:type="dxa"/>
            <w:gridSpan w:val="7"/>
            <w:tcBorders>
              <w:left w:val="dashed" w:sz="8" w:space="0" w:color="000000"/>
              <w:right w:val="dashed" w:sz="12" w:space="0" w:color="000000"/>
            </w:tcBorders>
          </w:tcPr>
          <w:p>
            <w:pPr>
              <w:pStyle w:val="TableParagraph"/>
              <w:spacing w:before="2"/>
              <w:rPr>
                <w:b/>
                <w:sz w:val="2"/>
              </w:rPr>
            </w:pPr>
          </w:p>
          <w:p>
            <w:pPr>
              <w:pStyle w:val="TableParagraph"/>
              <w:tabs>
                <w:tab w:pos="2260" w:val="left" w:leader="none"/>
                <w:tab w:pos="3270" w:val="left" w:leader="none"/>
                <w:tab w:pos="4286" w:val="left" w:leader="none"/>
                <w:tab w:pos="5296" w:val="left" w:leader="none"/>
                <w:tab w:pos="6306" w:val="left" w:leader="none"/>
              </w:tabs>
              <w:spacing w:line="192" w:lineRule="exact"/>
              <w:ind w:left="1250"/>
              <w:rPr>
                <w:sz w:val="19"/>
              </w:rPr>
            </w:pPr>
            <w:r>
              <w:rPr>
                <w:position w:val="-3"/>
                <w:sz w:val="19"/>
              </w:rPr>
              <w:pict>
                <v:group style="width:.5pt;height:9.6pt;mso-position-horizontal-relative:char;mso-position-vertical-relative:line" id="docshapegroup320" coordorigin="0,0" coordsize="10,192">
                  <v:shape style="position:absolute;left:0;top:0;width:10;height:192" id="docshape32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22" coordorigin="0,0" coordsize="10,192">
                  <v:shape style="position:absolute;left:0;top:0;width:10;height:192" id="docshape32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24" coordorigin="0,0" coordsize="10,192">
                  <v:shape style="position:absolute;left:0;top:0;width:10;height:192" id="docshape32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26" coordorigin="0,0" coordsize="10,192">
                  <v:shape style="position:absolute;left:-1;top:0;width:10;height:192" id="docshape32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28" coordorigin="0,0" coordsize="10,192">
                  <v:shape style="position:absolute;left:0;top:0;width:10;height:192" id="docshape329"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30" coordorigin="0,0" coordsize="10,192">
                  <v:shape style="position:absolute;left:0;top:0;width:10;height:192" id="docshape331" coordorigin="0,0" coordsize="10,192" path="m10,154l0,154,0,192,10,192,10,154xm10,77l0,77,0,115,10,115,10,77xm10,0l0,0,0,38,10,38,10,0xe" filled="true" fillcolor="#000000" stroked="false">
                    <v:path arrowok="t"/>
                    <v:fill type="solid"/>
                  </v:shape>
                </v:group>
              </w:pict>
            </w:r>
            <w:r>
              <w:rPr>
                <w:position w:val="-3"/>
                <w:sz w:val="19"/>
              </w:rPr>
            </w: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r>
      <w:tr>
        <w:trPr>
          <w:trHeight w:val="282"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27"/>
              <w:ind w:left="107"/>
              <w:rPr>
                <w:sz w:val="18"/>
              </w:rPr>
            </w:pPr>
            <w:r>
              <w:rPr>
                <w:sz w:val="18"/>
              </w:rPr>
              <w:t>Shared</w:t>
            </w:r>
            <w:r>
              <w:rPr>
                <w:spacing w:val="1"/>
                <w:sz w:val="18"/>
              </w:rPr>
              <w:t> </w:t>
            </w:r>
            <w:r>
              <w:rPr>
                <w:sz w:val="18"/>
              </w:rPr>
              <w:t>(Bike)</w:t>
            </w:r>
            <w:r>
              <w:rPr>
                <w:spacing w:val="-3"/>
                <w:sz w:val="18"/>
              </w:rPr>
              <w:t> </w:t>
            </w:r>
            <w:r>
              <w:rPr>
                <w:sz w:val="18"/>
              </w:rPr>
              <w:t>Path</w:t>
            </w:r>
            <w:r>
              <w:rPr>
                <w:spacing w:val="-2"/>
                <w:sz w:val="18"/>
              </w:rPr>
              <w:t> </w:t>
            </w:r>
            <w:r>
              <w:rPr>
                <w:sz w:val="18"/>
              </w:rPr>
              <w:t>Improvement</w:t>
            </w:r>
            <w:r>
              <w:rPr>
                <w:spacing w:val="2"/>
                <w:sz w:val="18"/>
              </w:rPr>
              <w:t> </w:t>
            </w:r>
            <w:r>
              <w:rPr>
                <w:spacing w:val="-2"/>
                <w:sz w:val="18"/>
              </w:rPr>
              <w:t>Program</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27"/>
              <w:ind w:right="81"/>
              <w:jc w:val="right"/>
              <w:rPr>
                <w:sz w:val="18"/>
              </w:rPr>
            </w:pPr>
            <w:r>
              <w:rPr>
                <w:spacing w:val="-5"/>
                <w:sz w:val="18"/>
              </w:rPr>
              <w:t>400</w:t>
            </w:r>
          </w:p>
        </w:tc>
        <w:tc>
          <w:tcPr>
            <w:tcW w:w="1010" w:type="dxa"/>
            <w:tcBorders>
              <w:top w:val="dashSmallGap" w:sz="4" w:space="0" w:color="000000"/>
              <w:left w:val="nil"/>
              <w:bottom w:val="dashSmallGap" w:sz="4" w:space="0" w:color="000000"/>
              <w:right w:val="nil"/>
            </w:tcBorders>
          </w:tcPr>
          <w:p>
            <w:pPr>
              <w:pStyle w:val="TableParagraph"/>
              <w:spacing w:before="27"/>
              <w:ind w:right="88"/>
              <w:jc w:val="right"/>
              <w:rPr>
                <w:sz w:val="18"/>
              </w:rPr>
            </w:pPr>
            <w:r>
              <w:rPr>
                <w:spacing w:val="-5"/>
                <w:sz w:val="18"/>
              </w:rPr>
              <w:t>400</w:t>
            </w:r>
          </w:p>
        </w:tc>
        <w:tc>
          <w:tcPr>
            <w:tcW w:w="1010" w:type="dxa"/>
            <w:tcBorders>
              <w:top w:val="dashSmallGap" w:sz="4" w:space="0" w:color="000000"/>
              <w:left w:val="nil"/>
              <w:bottom w:val="dashSmallGap" w:sz="4" w:space="0" w:color="000000"/>
              <w:right w:val="nil"/>
            </w:tcBorders>
          </w:tcPr>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332" coordorigin="0,0" coordsize="10,192">
                  <v:shape style="position:absolute;left:0;top:0;width:10;height:193" id="docshape333"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34" coordorigin="0,0" coordsize="10,192">
                  <v:shape style="position:absolute;left:0;top:0;width:10;height:193" id="docshape335" coordorigin="0,0" coordsize="10,193"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line="192" w:lineRule="exact"/>
              <w:ind w:left="1026" w:right="-87"/>
              <w:rPr>
                <w:sz w:val="19"/>
              </w:rPr>
            </w:pPr>
            <w:r>
              <w:rPr>
                <w:position w:val="-3"/>
                <w:sz w:val="19"/>
              </w:rPr>
              <w:pict>
                <v:group style="width:.5pt;height:9.6pt;mso-position-horizontal-relative:char;mso-position-vertical-relative:line" id="docshapegroup336" coordorigin="0,0" coordsize="10,192">
                  <v:shape style="position:absolute;left:-1;top:0;width:10;height:193" id="docshape337" coordorigin="0,0" coordsize="10,193"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ed" w:sz="4" w:space="0" w:color="000000"/>
              <w:right w:val="nil"/>
            </w:tcBorders>
          </w:tcPr>
          <w:p>
            <w:pPr>
              <w:pStyle w:val="TableParagraph"/>
              <w:spacing w:before="27"/>
              <w:ind w:right="89"/>
              <w:jc w:val="right"/>
              <w:rPr>
                <w:sz w:val="18"/>
              </w:rPr>
            </w:pPr>
            <w:r>
              <w:rPr>
                <w:spacing w:val="-5"/>
                <w:sz w:val="18"/>
              </w:rPr>
              <w:t>267</w:t>
            </w:r>
          </w:p>
        </w:tc>
        <w:tc>
          <w:tcPr>
            <w:tcW w:w="1010" w:type="dxa"/>
            <w:tcBorders>
              <w:top w:val="dashed" w:sz="4" w:space="0" w:color="000000"/>
              <w:left w:val="nil"/>
              <w:bottom w:val="dashed" w:sz="4" w:space="0" w:color="000000"/>
              <w:right w:val="nil"/>
            </w:tcBorders>
          </w:tcPr>
          <w:p>
            <w:pPr>
              <w:pStyle w:val="TableParagraph"/>
              <w:spacing w:before="27"/>
              <w:ind w:right="89"/>
              <w:jc w:val="right"/>
              <w:rPr>
                <w:sz w:val="18"/>
              </w:rPr>
            </w:pPr>
            <w:r>
              <w:rPr>
                <w:spacing w:val="-5"/>
                <w:sz w:val="18"/>
              </w:rPr>
              <w:t>133</w:t>
            </w:r>
          </w:p>
        </w:tc>
        <w:tc>
          <w:tcPr>
            <w:tcW w:w="1010" w:type="dxa"/>
            <w:tcBorders>
              <w:top w:val="dashed" w:sz="4" w:space="0" w:color="000000"/>
              <w:left w:val="nil"/>
              <w:bottom w:val="dashed" w:sz="4" w:space="0" w:color="000000"/>
              <w:right w:val="dashed" w:sz="12" w:space="0" w:color="000000"/>
            </w:tcBorders>
          </w:tcPr>
          <w:p>
            <w:pPr>
              <w:pStyle w:val="TableParagraph"/>
              <w:spacing w:line="192" w:lineRule="exact"/>
              <w:ind w:left="-4"/>
              <w:rPr>
                <w:sz w:val="19"/>
              </w:rPr>
            </w:pPr>
            <w:r>
              <w:rPr>
                <w:position w:val="-3"/>
                <w:sz w:val="19"/>
              </w:rPr>
              <w:pict>
                <v:group style="width:.5pt;height:9.6pt;mso-position-horizontal-relative:char;mso-position-vertical-relative:line" id="docshapegroup338" coordorigin="0,0" coordsize="10,192">
                  <v:shape style="position:absolute;left:0;top:0;width:10;height:193" id="docshape339" coordorigin="0,0" coordsize="10,193" path="m10,154l0,154,0,192,10,192,10,154xm10,77l0,77,0,115,10,115,10,77xm10,0l0,0,0,38,10,38,10,0xe" filled="true" fillcolor="#000000" stroked="false">
                    <v:path arrowok="t"/>
                    <v:fill type="solid"/>
                  </v:shape>
                </v:group>
              </w:pict>
            </w:r>
            <w:r>
              <w:rPr>
                <w:position w:val="-3"/>
                <w:sz w:val="19"/>
              </w:rPr>
            </w:r>
          </w:p>
        </w:tc>
        <w:tc>
          <w:tcPr>
            <w:tcW w:w="1255" w:type="dxa"/>
            <w:tcBorders>
              <w:top w:val="dashed" w:sz="4" w:space="0" w:color="000000"/>
              <w:left w:val="dashed" w:sz="12" w:space="0" w:color="000000"/>
              <w:bottom w:val="dashed" w:sz="4" w:space="0" w:color="000000"/>
              <w:right w:val="dashed" w:sz="12" w:space="0" w:color="000000"/>
            </w:tcBorders>
          </w:tcPr>
          <w:p>
            <w:pPr>
              <w:pStyle w:val="TableParagraph"/>
              <w:spacing w:before="27"/>
              <w:ind w:right="74"/>
              <w:jc w:val="right"/>
              <w:rPr>
                <w:sz w:val="18"/>
              </w:rPr>
            </w:pPr>
            <w:r>
              <w:rPr>
                <w:spacing w:val="-5"/>
                <w:sz w:val="18"/>
              </w:rPr>
              <w:t>430</w:t>
            </w:r>
          </w:p>
        </w:tc>
        <w:tc>
          <w:tcPr>
            <w:tcW w:w="1253" w:type="dxa"/>
            <w:tcBorders>
              <w:top w:val="dashed" w:sz="4" w:space="0" w:color="000000"/>
              <w:left w:val="dashed" w:sz="12" w:space="0" w:color="000000"/>
              <w:bottom w:val="dashed" w:sz="4" w:space="0" w:color="000000"/>
              <w:right w:val="dashed" w:sz="12" w:space="0" w:color="000000"/>
            </w:tcBorders>
          </w:tcPr>
          <w:p>
            <w:pPr>
              <w:pStyle w:val="TableParagraph"/>
              <w:spacing w:before="27"/>
              <w:ind w:right="73"/>
              <w:jc w:val="right"/>
              <w:rPr>
                <w:sz w:val="18"/>
              </w:rPr>
            </w:pPr>
            <w:r>
              <w:rPr>
                <w:spacing w:val="-5"/>
                <w:sz w:val="18"/>
              </w:rPr>
              <w:t>530</w:t>
            </w:r>
          </w:p>
        </w:tc>
        <w:tc>
          <w:tcPr>
            <w:tcW w:w="1258" w:type="dxa"/>
            <w:tcBorders>
              <w:top w:val="dashed" w:sz="4" w:space="0" w:color="000000"/>
              <w:left w:val="dashed" w:sz="12" w:space="0" w:color="000000"/>
              <w:bottom w:val="dashed" w:sz="4" w:space="0" w:color="000000"/>
              <w:right w:val="dashed" w:sz="12" w:space="0" w:color="000000"/>
            </w:tcBorders>
          </w:tcPr>
          <w:p>
            <w:pPr>
              <w:pStyle w:val="TableParagraph"/>
              <w:spacing w:before="27"/>
              <w:ind w:right="74"/>
              <w:jc w:val="right"/>
              <w:rPr>
                <w:sz w:val="18"/>
              </w:rPr>
            </w:pPr>
            <w:r>
              <w:rPr>
                <w:spacing w:val="-5"/>
                <w:sz w:val="18"/>
              </w:rPr>
              <w:t>610</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4"/>
              <w:ind w:left="107"/>
              <w:rPr>
                <w:sz w:val="18"/>
              </w:rPr>
            </w:pPr>
            <w:r>
              <w:rPr>
                <w:sz w:val="18"/>
              </w:rPr>
              <w:t>Footpath</w:t>
            </w:r>
            <w:r>
              <w:rPr>
                <w:spacing w:val="-1"/>
                <w:sz w:val="18"/>
              </w:rPr>
              <w:t> </w:t>
            </w:r>
            <w:r>
              <w:rPr>
                <w:sz w:val="18"/>
              </w:rPr>
              <w:t>Replacement</w:t>
            </w:r>
            <w:r>
              <w:rPr>
                <w:spacing w:val="-4"/>
                <w:sz w:val="18"/>
              </w:rPr>
              <w:t> Works</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4"/>
              <w:ind w:right="81"/>
              <w:jc w:val="right"/>
              <w:rPr>
                <w:sz w:val="18"/>
              </w:rPr>
            </w:pPr>
            <w:r>
              <w:rPr>
                <w:spacing w:val="-2"/>
                <w:sz w:val="18"/>
              </w:rPr>
              <w:t>1,080</w:t>
            </w:r>
          </w:p>
        </w:tc>
        <w:tc>
          <w:tcPr>
            <w:tcW w:w="1010"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2"/>
                <w:sz w:val="18"/>
              </w:rPr>
              <w:t>1,080</w:t>
            </w:r>
          </w:p>
        </w:tc>
        <w:tc>
          <w:tcPr>
            <w:tcW w:w="1010" w:type="dxa"/>
            <w:tcBorders>
              <w:top w:val="dashSmallGap" w:sz="4" w:space="0" w:color="000000"/>
              <w:left w:val="nil"/>
              <w:bottom w:val="dashSmallGap" w:sz="4" w:space="0" w:color="000000"/>
              <w:right w:val="nil"/>
            </w:tcBorders>
          </w:tcPr>
          <w:p>
            <w:pPr>
              <w:pStyle w:val="TableParagraph"/>
              <w:spacing w:before="3"/>
              <w:rPr>
                <w:b/>
                <w:sz w:val="3"/>
              </w:rPr>
            </w:pPr>
          </w:p>
          <w:p>
            <w:pPr>
              <w:pStyle w:val="TableParagraph"/>
              <w:tabs>
                <w:tab w:pos="1020" w:val="left" w:leader="none"/>
              </w:tabs>
              <w:spacing w:line="192" w:lineRule="exact"/>
              <w:ind w:left="10" w:right="-87"/>
              <w:rPr>
                <w:sz w:val="19"/>
              </w:rPr>
            </w:pPr>
            <w:r>
              <w:rPr>
                <w:position w:val="-3"/>
                <w:sz w:val="19"/>
              </w:rPr>
              <w:pict>
                <v:group style="width:.5pt;height:9.6pt;mso-position-horizontal-relative:char;mso-position-vertical-relative:line" id="docshapegroup340" coordorigin="0,0" coordsize="10,192">
                  <v:shape style="position:absolute;left:0;top:0;width:10;height:192" id="docshape34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42" coordorigin="0,0" coordsize="10,192">
                  <v:shape style="position:absolute;left:0;top:0;width:10;height:192" id="docshape343" coordorigin="0,0" coordsize="10,192" path="m10,154l0,154,0,192,10,192,10,154xm10,77l0,77,0,115,10,115,10,77xm10,0l0,0,0,38,10,38,10,0xe" filled="true" fillcolor="#000000" stroked="false">
                    <v:path arrowok="t"/>
                    <v:fill type="solid"/>
                  </v:shape>
                </v:group>
              </w:pict>
            </w:r>
            <w:r>
              <w:rPr>
                <w:position w:val="-3"/>
                <w:sz w:val="19"/>
              </w:rPr>
            </w:r>
          </w:p>
        </w:tc>
        <w:tc>
          <w:tcPr>
            <w:tcW w:w="1015" w:type="dxa"/>
            <w:tcBorders>
              <w:top w:val="dashSmallGap" w:sz="4" w:space="0" w:color="000000"/>
              <w:left w:val="nil"/>
              <w:bottom w:val="dashSmallGap" w:sz="4" w:space="0" w:color="000000"/>
              <w:right w:val="nil"/>
            </w:tcBorders>
          </w:tcPr>
          <w:p>
            <w:pPr>
              <w:pStyle w:val="TableParagraph"/>
              <w:spacing w:before="3"/>
              <w:rPr>
                <w:b/>
                <w:sz w:val="3"/>
              </w:rPr>
            </w:pPr>
          </w:p>
          <w:p>
            <w:pPr>
              <w:pStyle w:val="TableParagraph"/>
              <w:spacing w:line="192" w:lineRule="exact"/>
              <w:ind w:left="1026" w:right="-87"/>
              <w:rPr>
                <w:sz w:val="19"/>
              </w:rPr>
            </w:pPr>
            <w:r>
              <w:rPr>
                <w:position w:val="-3"/>
                <w:sz w:val="19"/>
              </w:rPr>
              <w:pict>
                <v:group style="width:.5pt;height:9.6pt;mso-position-horizontal-relative:char;mso-position-vertical-relative:line" id="docshapegroup344" coordorigin="0,0" coordsize="10,192">
                  <v:shape style="position:absolute;left:-1;top:0;width:10;height:192" id="docshape345"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SmallGap" w:sz="4" w:space="0" w:color="000000"/>
              <w:right w:val="nil"/>
            </w:tcBorders>
          </w:tcPr>
          <w:p>
            <w:pPr>
              <w:pStyle w:val="TableParagraph"/>
              <w:spacing w:before="44"/>
              <w:ind w:right="87"/>
              <w:jc w:val="right"/>
              <w:rPr>
                <w:sz w:val="18"/>
              </w:rPr>
            </w:pPr>
            <w:r>
              <w:rPr>
                <w:spacing w:val="-2"/>
                <w:sz w:val="18"/>
              </w:rPr>
              <w:t>1,080</w:t>
            </w:r>
          </w:p>
        </w:tc>
        <w:tc>
          <w:tcPr>
            <w:tcW w:w="1010"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tabs>
                <w:tab w:pos="1021" w:val="left" w:leader="none"/>
              </w:tabs>
              <w:spacing w:line="192" w:lineRule="exact"/>
              <w:ind w:left="11" w:right="-87"/>
              <w:rPr>
                <w:sz w:val="19"/>
              </w:rPr>
            </w:pPr>
            <w:r>
              <w:rPr>
                <w:position w:val="-3"/>
                <w:sz w:val="19"/>
              </w:rPr>
              <w:pict>
                <v:group style="width:.5pt;height:9.6pt;mso-position-horizontal-relative:char;mso-position-vertical-relative:line" id="docshapegroup346" coordorigin="0,0" coordsize="10,192">
                  <v:shape style="position:absolute;left:0;top:0;width:10;height:192" id="docshape34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348" coordorigin="0,0" coordsize="10,192">
                  <v:shape style="position:absolute;left:0;top:0;width:10;height:192" id="docshape349" coordorigin="0,0" coordsize="10,192" path="m10,154l0,154,0,192,10,192,10,154xm10,77l0,77,0,115,10,115,10,77xm10,0l0,0,0,38,10,38,10,0xe" filled="true" fillcolor="#000000" stroked="false">
                    <v:path arrowok="t"/>
                    <v:fill type="solid"/>
                  </v:shape>
                </v:group>
              </w:pict>
            </w:r>
            <w:r>
              <w:rPr>
                <w:position w:val="-3"/>
                <w:sz w:val="19"/>
              </w:rPr>
            </w:r>
          </w:p>
        </w:tc>
        <w:tc>
          <w:tcPr>
            <w:tcW w:w="1010" w:type="dxa"/>
            <w:tcBorders>
              <w:top w:val="dashed" w:sz="4" w:space="0" w:color="000000"/>
              <w:left w:val="nil"/>
              <w:bottom w:val="dashSmallGap" w:sz="4" w:space="0" w:color="000000"/>
              <w:right w:val="dashed" w:sz="12" w:space="0" w:color="000000"/>
            </w:tcBorders>
          </w:tcPr>
          <w:p>
            <w:pPr>
              <w:pStyle w:val="TableParagraph"/>
              <w:rPr>
                <w:rFonts w:ascii="Times New Roman"/>
                <w:sz w:val="18"/>
              </w:rPr>
            </w:pPr>
          </w:p>
        </w:tc>
        <w:tc>
          <w:tcPr>
            <w:tcW w:w="1255" w:type="dxa"/>
            <w:tcBorders>
              <w:top w:val="dashed" w:sz="4" w:space="0" w:color="000000"/>
              <w:left w:val="dashed" w:sz="12" w:space="0" w:color="000000"/>
              <w:bottom w:val="dashSmallGap" w:sz="4" w:space="0" w:color="000000"/>
              <w:right w:val="dashed" w:sz="12" w:space="0" w:color="000000"/>
            </w:tcBorders>
          </w:tcPr>
          <w:p>
            <w:pPr>
              <w:pStyle w:val="TableParagraph"/>
              <w:spacing w:before="44"/>
              <w:ind w:right="74"/>
              <w:jc w:val="right"/>
              <w:rPr>
                <w:sz w:val="18"/>
              </w:rPr>
            </w:pPr>
            <w:r>
              <w:rPr>
                <w:spacing w:val="-2"/>
                <w:sz w:val="18"/>
              </w:rPr>
              <w:t>1,120</w:t>
            </w:r>
          </w:p>
        </w:tc>
        <w:tc>
          <w:tcPr>
            <w:tcW w:w="1253" w:type="dxa"/>
            <w:tcBorders>
              <w:top w:val="dashed" w:sz="4" w:space="0" w:color="000000"/>
              <w:left w:val="dashed" w:sz="12" w:space="0" w:color="000000"/>
              <w:bottom w:val="dashSmallGap" w:sz="4" w:space="0" w:color="000000"/>
              <w:right w:val="dashed" w:sz="12" w:space="0" w:color="000000"/>
            </w:tcBorders>
          </w:tcPr>
          <w:p>
            <w:pPr>
              <w:pStyle w:val="TableParagraph"/>
              <w:spacing w:before="44"/>
              <w:ind w:right="72"/>
              <w:jc w:val="right"/>
              <w:rPr>
                <w:sz w:val="18"/>
              </w:rPr>
            </w:pPr>
            <w:r>
              <w:rPr>
                <w:spacing w:val="-2"/>
                <w:sz w:val="18"/>
              </w:rPr>
              <w:t>1,120</w:t>
            </w:r>
          </w:p>
        </w:tc>
        <w:tc>
          <w:tcPr>
            <w:tcW w:w="1258" w:type="dxa"/>
            <w:tcBorders>
              <w:top w:val="dashed" w:sz="4" w:space="0" w:color="000000"/>
              <w:left w:val="dashed" w:sz="12" w:space="0" w:color="000000"/>
              <w:bottom w:val="dashSmallGap" w:sz="4" w:space="0" w:color="000000"/>
              <w:right w:val="dashed" w:sz="12" w:space="0" w:color="000000"/>
            </w:tcBorders>
          </w:tcPr>
          <w:p>
            <w:pPr>
              <w:pStyle w:val="TableParagraph"/>
              <w:spacing w:before="44"/>
              <w:ind w:right="72"/>
              <w:jc w:val="right"/>
              <w:rPr>
                <w:sz w:val="18"/>
              </w:rPr>
            </w:pPr>
            <w:r>
              <w:rPr>
                <w:spacing w:val="-2"/>
                <w:sz w:val="18"/>
              </w:rPr>
              <w:t>1,150</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Footpath</w:t>
            </w:r>
            <w:r>
              <w:rPr>
                <w:spacing w:val="-1"/>
                <w:sz w:val="18"/>
              </w:rPr>
              <w:t> </w:t>
            </w:r>
            <w:r>
              <w:rPr>
                <w:sz w:val="18"/>
              </w:rPr>
              <w:t>Construction</w:t>
            </w:r>
            <w:r>
              <w:rPr>
                <w:spacing w:val="-2"/>
                <w:sz w:val="18"/>
              </w:rPr>
              <w:t> Program</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sz w:val="18"/>
              </w:rPr>
            </w:pPr>
            <w:r>
              <w:rPr>
                <w:spacing w:val="-2"/>
                <w:sz w:val="18"/>
              </w:rPr>
              <w:t>1,487</w:t>
            </w:r>
          </w:p>
        </w:tc>
        <w:tc>
          <w:tcPr>
            <w:tcW w:w="1010" w:type="dxa"/>
            <w:tcBorders>
              <w:top w:val="dashSmallGap" w:sz="4" w:space="0" w:color="000000"/>
              <w:left w:val="nil"/>
              <w:bottom w:val="dashSmallGap" w:sz="4" w:space="0" w:color="000000"/>
              <w:right w:val="nil"/>
            </w:tcBorders>
          </w:tcPr>
          <w:p>
            <w:pPr>
              <w:pStyle w:val="TableParagraph"/>
              <w:spacing w:before="47"/>
              <w:ind w:right="90"/>
              <w:jc w:val="right"/>
              <w:rPr>
                <w:sz w:val="18"/>
              </w:rPr>
            </w:pPr>
            <w:r>
              <w:rPr>
                <w:spacing w:val="-2"/>
                <w:sz w:val="18"/>
              </w:rPr>
              <w:t>1,487</w:t>
            </w:r>
          </w:p>
        </w:tc>
        <w:tc>
          <w:tcPr>
            <w:tcW w:w="1010" w:type="dxa"/>
            <w:tcBorders>
              <w:top w:val="dashSmallGap" w:sz="4" w:space="0" w:color="000000"/>
              <w:left w:val="nil"/>
              <w:bottom w:val="dashSmallGap" w:sz="4" w:space="0" w:color="000000"/>
              <w:right w:val="nil"/>
            </w:tcBorders>
          </w:tcPr>
          <w:p>
            <w:pPr>
              <w:pStyle w:val="TableParagraph"/>
              <w:spacing w:before="9"/>
              <w:rPr>
                <w:b/>
                <w:sz w:val="9"/>
              </w:rPr>
            </w:pPr>
          </w:p>
          <w:p>
            <w:pPr>
              <w:pStyle w:val="TableParagraph"/>
              <w:tabs>
                <w:tab w:pos="1020" w:val="left" w:leader="none"/>
              </w:tabs>
              <w:spacing w:line="115" w:lineRule="exact"/>
              <w:ind w:left="10" w:right="-87"/>
              <w:rPr>
                <w:sz w:val="11"/>
              </w:rPr>
            </w:pPr>
            <w:r>
              <w:rPr>
                <w:position w:val="-1"/>
                <w:sz w:val="11"/>
              </w:rPr>
              <w:pict>
                <v:group style="width:.5pt;height:5.8pt;mso-position-horizontal-relative:char;mso-position-vertical-relative:line" id="docshapegroup350" coordorigin="0,0" coordsize="10,116">
                  <v:shape style="position:absolute;left:0;top:0;width:10;height:116" id="docshape35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52" coordorigin="0,0" coordsize="10,116">
                  <v:shape style="position:absolute;left:0;top:0;width:10;height:116" id="docshape353" coordorigin="0,0" coordsize="10,116" path="m10,77l0,77,0,115,10,115,10,77xm10,0l0,0,0,38,10,38,10,0xe" filled="true" fillcolor="#000000" stroked="false">
                    <v:path arrowok="t"/>
                    <v:fill type="solid"/>
                  </v:shape>
                </v:group>
              </w:pict>
            </w:r>
            <w:r>
              <w:rPr>
                <w:position w:val="-1"/>
                <w:sz w:val="11"/>
              </w:rPr>
            </w:r>
          </w:p>
        </w:tc>
        <w:tc>
          <w:tcPr>
            <w:tcW w:w="1015" w:type="dxa"/>
            <w:tcBorders>
              <w:top w:val="dashSmallGap" w:sz="4" w:space="0" w:color="000000"/>
              <w:left w:val="nil"/>
              <w:bottom w:val="dashSmallGap" w:sz="4" w:space="0" w:color="000000"/>
              <w:right w:val="nil"/>
            </w:tcBorders>
          </w:tcPr>
          <w:p>
            <w:pPr>
              <w:pStyle w:val="TableParagraph"/>
              <w:spacing w:before="9"/>
              <w:rPr>
                <w:b/>
                <w:sz w:val="9"/>
              </w:rPr>
            </w:pPr>
          </w:p>
          <w:p>
            <w:pPr>
              <w:pStyle w:val="TableParagraph"/>
              <w:spacing w:line="115" w:lineRule="exact"/>
              <w:ind w:left="1026" w:right="-87"/>
              <w:rPr>
                <w:sz w:val="11"/>
              </w:rPr>
            </w:pPr>
            <w:r>
              <w:rPr>
                <w:position w:val="-1"/>
                <w:sz w:val="11"/>
              </w:rPr>
              <w:pict>
                <v:group style="width:.5pt;height:5.8pt;mso-position-horizontal-relative:char;mso-position-vertical-relative:line" id="docshapegroup354" coordorigin="0,0" coordsize="10,116">
                  <v:shape style="position:absolute;left:-1;top:0;width:10;height:116" id="docshape355"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9"/>
              <w:rPr>
                <w:b/>
                <w:sz w:val="9"/>
              </w:rPr>
            </w:pPr>
          </w:p>
          <w:p>
            <w:pPr>
              <w:pStyle w:val="TableParagraph"/>
              <w:spacing w:line="115" w:lineRule="exact"/>
              <w:ind w:left="1021" w:right="-87"/>
              <w:rPr>
                <w:sz w:val="11"/>
              </w:rPr>
            </w:pPr>
            <w:r>
              <w:rPr>
                <w:position w:val="-1"/>
                <w:sz w:val="11"/>
              </w:rPr>
              <w:pict>
                <v:group style="width:.5pt;height:5.8pt;mso-position-horizontal-relative:char;mso-position-vertical-relative:line" id="docshapegroup356" coordorigin="0,0" coordsize="10,116">
                  <v:shape style="position:absolute;left:0;top:0;width:10;height:116" id="docshape357"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9"/>
              <w:rPr>
                <w:b/>
                <w:sz w:val="9"/>
              </w:rPr>
            </w:pPr>
          </w:p>
          <w:p>
            <w:pPr>
              <w:pStyle w:val="TableParagraph"/>
              <w:spacing w:line="115" w:lineRule="exact"/>
              <w:ind w:left="1021" w:right="-87"/>
              <w:rPr>
                <w:sz w:val="11"/>
              </w:rPr>
            </w:pPr>
            <w:r>
              <w:rPr>
                <w:position w:val="-1"/>
                <w:sz w:val="11"/>
              </w:rPr>
              <w:pict>
                <v:group style="width:.5pt;height:5.8pt;mso-position-horizontal-relative:char;mso-position-vertical-relative:line" id="docshapegroup358" coordorigin="0,0" coordsize="10,116">
                  <v:shape style="position:absolute;left:0;top:0;width:10;height:116" id="docshape359"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dashed" w:sz="12" w:space="0" w:color="000000"/>
            </w:tcBorders>
          </w:tcPr>
          <w:p>
            <w:pPr>
              <w:pStyle w:val="TableParagraph"/>
              <w:spacing w:before="47"/>
              <w:ind w:right="72"/>
              <w:jc w:val="right"/>
              <w:rPr>
                <w:sz w:val="18"/>
              </w:rPr>
            </w:pPr>
            <w:r>
              <w:rPr>
                <w:spacing w:val="-2"/>
                <w:sz w:val="18"/>
              </w:rPr>
              <w:t>1,487</w:t>
            </w:r>
          </w:p>
        </w:tc>
        <w:tc>
          <w:tcPr>
            <w:tcW w:w="1255"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4"/>
              <w:jc w:val="right"/>
              <w:rPr>
                <w:sz w:val="18"/>
              </w:rPr>
            </w:pPr>
            <w:r>
              <w:rPr>
                <w:spacing w:val="-2"/>
                <w:sz w:val="18"/>
              </w:rPr>
              <w:t>1,502</w:t>
            </w:r>
          </w:p>
        </w:tc>
        <w:tc>
          <w:tcPr>
            <w:tcW w:w="1253"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2"/>
              <w:jc w:val="right"/>
              <w:rPr>
                <w:sz w:val="18"/>
              </w:rPr>
            </w:pPr>
            <w:r>
              <w:rPr>
                <w:spacing w:val="-2"/>
                <w:sz w:val="18"/>
              </w:rPr>
              <w:t>1,535</w:t>
            </w:r>
          </w:p>
        </w:tc>
        <w:tc>
          <w:tcPr>
            <w:tcW w:w="1258"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2"/>
              <w:jc w:val="right"/>
              <w:rPr>
                <w:sz w:val="18"/>
              </w:rPr>
            </w:pPr>
            <w:r>
              <w:rPr>
                <w:spacing w:val="-2"/>
                <w:sz w:val="18"/>
              </w:rPr>
              <w:t>1,573</w:t>
            </w:r>
          </w:p>
        </w:tc>
      </w:tr>
      <w:tr>
        <w:trPr>
          <w:trHeight w:val="299" w:hRule="atLeast"/>
        </w:trPr>
        <w:tc>
          <w:tcPr>
            <w:tcW w:w="4663"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Accessibility</w:t>
            </w:r>
            <w:r>
              <w:rPr>
                <w:spacing w:val="-3"/>
                <w:sz w:val="18"/>
              </w:rPr>
              <w:t> </w:t>
            </w:r>
            <w:r>
              <w:rPr>
                <w:sz w:val="18"/>
              </w:rPr>
              <w:t>Improvement</w:t>
            </w:r>
            <w:r>
              <w:rPr>
                <w:spacing w:val="-1"/>
                <w:sz w:val="18"/>
              </w:rPr>
              <w:t> </w:t>
            </w:r>
            <w:r>
              <w:rPr>
                <w:spacing w:val="-2"/>
                <w:sz w:val="18"/>
              </w:rPr>
              <w:t>Program</w:t>
            </w:r>
          </w:p>
        </w:tc>
        <w:tc>
          <w:tcPr>
            <w:tcW w:w="1255" w:type="dxa"/>
            <w:tcBorders>
              <w:top w:val="dashSmallGap" w:sz="4" w:space="0" w:color="000000"/>
              <w:left w:val="dashed" w:sz="8" w:space="0" w:color="000000"/>
              <w:bottom w:val="dashSmallGap" w:sz="4" w:space="0" w:color="000000"/>
              <w:right w:val="nil"/>
            </w:tcBorders>
          </w:tcPr>
          <w:p>
            <w:pPr>
              <w:pStyle w:val="TableParagraph"/>
              <w:spacing w:before="47"/>
              <w:ind w:right="83"/>
              <w:jc w:val="right"/>
              <w:rPr>
                <w:sz w:val="18"/>
              </w:rPr>
            </w:pPr>
            <w:r>
              <w:rPr>
                <w:spacing w:val="-5"/>
                <w:sz w:val="18"/>
              </w:rPr>
              <w:t>325</w:t>
            </w:r>
          </w:p>
        </w:tc>
        <w:tc>
          <w:tcPr>
            <w:tcW w:w="1010" w:type="dxa"/>
            <w:tcBorders>
              <w:top w:val="dashSmallGap" w:sz="4" w:space="0" w:color="000000"/>
              <w:left w:val="nil"/>
              <w:bottom w:val="dashSmallGap" w:sz="4" w:space="0" w:color="000000"/>
              <w:right w:val="nil"/>
            </w:tcBorders>
          </w:tcPr>
          <w:p>
            <w:pPr>
              <w:pStyle w:val="TableParagraph"/>
              <w:spacing w:before="47"/>
              <w:ind w:right="88"/>
              <w:jc w:val="right"/>
              <w:rPr>
                <w:sz w:val="18"/>
              </w:rPr>
            </w:pPr>
            <w:r>
              <w:rPr>
                <w:spacing w:val="-5"/>
                <w:sz w:val="18"/>
              </w:rPr>
              <w:t>325</w:t>
            </w:r>
          </w:p>
        </w:tc>
        <w:tc>
          <w:tcPr>
            <w:tcW w:w="1010" w:type="dxa"/>
            <w:tcBorders>
              <w:top w:val="dashSmallGap" w:sz="4" w:space="0" w:color="000000"/>
              <w:left w:val="nil"/>
              <w:bottom w:val="dashSmallGap" w:sz="4" w:space="0" w:color="000000"/>
              <w:right w:val="nil"/>
            </w:tcBorders>
          </w:tcPr>
          <w:p>
            <w:pPr>
              <w:pStyle w:val="TableParagraph"/>
              <w:spacing w:before="6"/>
              <w:rPr>
                <w:b/>
                <w:sz w:val="9"/>
              </w:rPr>
            </w:pPr>
          </w:p>
          <w:p>
            <w:pPr>
              <w:pStyle w:val="TableParagraph"/>
              <w:tabs>
                <w:tab w:pos="1020" w:val="left" w:leader="none"/>
              </w:tabs>
              <w:spacing w:line="115" w:lineRule="exact"/>
              <w:ind w:left="10" w:right="-87"/>
              <w:rPr>
                <w:sz w:val="11"/>
              </w:rPr>
            </w:pPr>
            <w:r>
              <w:rPr>
                <w:position w:val="-1"/>
                <w:sz w:val="11"/>
              </w:rPr>
              <w:pict>
                <v:group style="width:.5pt;height:5.8pt;mso-position-horizontal-relative:char;mso-position-vertical-relative:line" id="docshapegroup360" coordorigin="0,0" coordsize="10,116">
                  <v:shape style="position:absolute;left:0;top:0;width:10;height:116" id="docshape36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62" coordorigin="0,0" coordsize="10,116">
                  <v:shape style="position:absolute;left:0;top:0;width:10;height:116" id="docshape363" coordorigin="0,0" coordsize="10,116" path="m10,77l0,77,0,115,10,115,10,77xm10,0l0,0,0,38,10,38,10,0xe" filled="true" fillcolor="#000000" stroked="false">
                    <v:path arrowok="t"/>
                    <v:fill type="solid"/>
                  </v:shape>
                </v:group>
              </w:pict>
            </w:r>
            <w:r>
              <w:rPr>
                <w:position w:val="-1"/>
                <w:sz w:val="11"/>
              </w:rPr>
            </w:r>
          </w:p>
        </w:tc>
        <w:tc>
          <w:tcPr>
            <w:tcW w:w="1015" w:type="dxa"/>
            <w:tcBorders>
              <w:top w:val="dashSmallGap" w:sz="4" w:space="0" w:color="000000"/>
              <w:left w:val="nil"/>
              <w:bottom w:val="dashSmallGap" w:sz="4" w:space="0" w:color="000000"/>
              <w:right w:val="nil"/>
            </w:tcBorders>
          </w:tcPr>
          <w:p>
            <w:pPr>
              <w:pStyle w:val="TableParagraph"/>
              <w:spacing w:before="6"/>
              <w:rPr>
                <w:b/>
                <w:sz w:val="9"/>
              </w:rPr>
            </w:pPr>
          </w:p>
          <w:p>
            <w:pPr>
              <w:pStyle w:val="TableParagraph"/>
              <w:spacing w:line="115" w:lineRule="exact"/>
              <w:ind w:left="1026" w:right="-87"/>
              <w:rPr>
                <w:sz w:val="11"/>
              </w:rPr>
            </w:pPr>
            <w:r>
              <w:rPr>
                <w:position w:val="-1"/>
                <w:sz w:val="11"/>
              </w:rPr>
              <w:pict>
                <v:group style="width:.5pt;height:5.8pt;mso-position-horizontal-relative:char;mso-position-vertical-relative:line" id="docshapegroup364" coordorigin="0,0" coordsize="10,116">
                  <v:shape style="position:absolute;left:-1;top:0;width:10;height:116" id="docshape365"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47"/>
              <w:ind w:right="89"/>
              <w:jc w:val="right"/>
              <w:rPr>
                <w:sz w:val="18"/>
              </w:rPr>
            </w:pPr>
            <w:r>
              <w:rPr>
                <w:spacing w:val="-5"/>
                <w:sz w:val="18"/>
              </w:rPr>
              <w:t>260</w:t>
            </w:r>
          </w:p>
        </w:tc>
        <w:tc>
          <w:tcPr>
            <w:tcW w:w="1010" w:type="dxa"/>
            <w:tcBorders>
              <w:top w:val="dashSmallGap" w:sz="4" w:space="0" w:color="000000"/>
              <w:left w:val="nil"/>
              <w:bottom w:val="dashSmallGap" w:sz="4" w:space="0" w:color="000000"/>
              <w:right w:val="nil"/>
            </w:tcBorders>
          </w:tcPr>
          <w:p>
            <w:pPr>
              <w:pStyle w:val="TableParagraph"/>
              <w:spacing w:before="47"/>
              <w:ind w:right="88"/>
              <w:jc w:val="right"/>
              <w:rPr>
                <w:sz w:val="18"/>
              </w:rPr>
            </w:pPr>
            <w:r>
              <w:rPr>
                <w:spacing w:val="-5"/>
                <w:sz w:val="18"/>
              </w:rPr>
              <w:t>65</w:t>
            </w:r>
          </w:p>
        </w:tc>
        <w:tc>
          <w:tcPr>
            <w:tcW w:w="1010" w:type="dxa"/>
            <w:tcBorders>
              <w:top w:val="dashSmallGap" w:sz="4" w:space="0" w:color="000000"/>
              <w:left w:val="nil"/>
              <w:bottom w:val="dashSmallGap" w:sz="4" w:space="0" w:color="000000"/>
              <w:right w:val="dashed" w:sz="12" w:space="0" w:color="000000"/>
            </w:tcBorders>
          </w:tcPr>
          <w:p>
            <w:pPr>
              <w:pStyle w:val="TableParagraph"/>
              <w:spacing w:before="6"/>
              <w:rPr>
                <w:b/>
                <w:sz w:val="9"/>
              </w:rPr>
            </w:pPr>
          </w:p>
          <w:p>
            <w:pPr>
              <w:pStyle w:val="TableParagraph"/>
              <w:spacing w:line="115" w:lineRule="exact"/>
              <w:ind w:left="-4"/>
              <w:rPr>
                <w:sz w:val="11"/>
              </w:rPr>
            </w:pPr>
            <w:r>
              <w:rPr>
                <w:position w:val="-1"/>
                <w:sz w:val="11"/>
              </w:rPr>
              <w:pict>
                <v:group style="width:.5pt;height:5.8pt;mso-position-horizontal-relative:char;mso-position-vertical-relative:line" id="docshapegroup366" coordorigin="0,0" coordsize="10,116">
                  <v:shape style="position:absolute;left:0;top:0;width:10;height:116" id="docshape367" coordorigin="0,0" coordsize="10,116" path="m10,77l0,77,0,115,10,115,10,77xm10,0l0,0,0,38,10,38,10,0xe" filled="true" fillcolor="#000000" stroked="false">
                    <v:path arrowok="t"/>
                    <v:fill type="solid"/>
                  </v:shape>
                </v:group>
              </w:pict>
            </w:r>
            <w:r>
              <w:rPr>
                <w:position w:val="-1"/>
                <w:sz w:val="11"/>
              </w:rPr>
            </w:r>
          </w:p>
        </w:tc>
        <w:tc>
          <w:tcPr>
            <w:tcW w:w="1255"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6"/>
              <w:jc w:val="right"/>
              <w:rPr>
                <w:sz w:val="18"/>
              </w:rPr>
            </w:pPr>
            <w:r>
              <w:rPr>
                <w:spacing w:val="-5"/>
                <w:sz w:val="18"/>
              </w:rPr>
              <w:t>335</w:t>
            </w:r>
          </w:p>
        </w:tc>
        <w:tc>
          <w:tcPr>
            <w:tcW w:w="1253"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3"/>
              <w:jc w:val="right"/>
              <w:rPr>
                <w:sz w:val="18"/>
              </w:rPr>
            </w:pPr>
            <w:r>
              <w:rPr>
                <w:spacing w:val="-5"/>
                <w:sz w:val="18"/>
              </w:rPr>
              <w:t>343</w:t>
            </w:r>
          </w:p>
        </w:tc>
        <w:tc>
          <w:tcPr>
            <w:tcW w:w="1258" w:type="dxa"/>
            <w:tcBorders>
              <w:top w:val="dashSmallGap" w:sz="4" w:space="0" w:color="000000"/>
              <w:left w:val="dashed" w:sz="12" w:space="0" w:color="000000"/>
              <w:bottom w:val="dashSmallGap" w:sz="4" w:space="0" w:color="000000"/>
              <w:right w:val="dashed" w:sz="12" w:space="0" w:color="000000"/>
            </w:tcBorders>
          </w:tcPr>
          <w:p>
            <w:pPr>
              <w:pStyle w:val="TableParagraph"/>
              <w:spacing w:before="47"/>
              <w:ind w:right="74"/>
              <w:jc w:val="right"/>
              <w:rPr>
                <w:sz w:val="18"/>
              </w:rPr>
            </w:pPr>
            <w:r>
              <w:rPr>
                <w:spacing w:val="-5"/>
                <w:sz w:val="18"/>
              </w:rPr>
              <w:t>352</w:t>
            </w:r>
          </w:p>
        </w:tc>
      </w:tr>
      <w:tr>
        <w:trPr>
          <w:trHeight w:val="584" w:hRule="atLeast"/>
        </w:trPr>
        <w:tc>
          <w:tcPr>
            <w:tcW w:w="4663" w:type="dxa"/>
            <w:tcBorders>
              <w:top w:val="dashSmallGap" w:sz="4" w:space="0" w:color="000000"/>
              <w:left w:val="single" w:sz="12" w:space="0" w:color="000000"/>
              <w:bottom w:val="dashSmallGap" w:sz="4" w:space="0" w:color="000000"/>
              <w:right w:val="single" w:sz="8" w:space="0" w:color="000000"/>
            </w:tcBorders>
          </w:tcPr>
          <w:p>
            <w:pPr>
              <w:pStyle w:val="TableParagraph"/>
              <w:spacing w:before="175"/>
              <w:ind w:left="107"/>
              <w:rPr>
                <w:b/>
                <w:sz w:val="22"/>
              </w:rPr>
            </w:pPr>
            <w:r>
              <w:rPr>
                <w:b/>
                <w:sz w:val="22"/>
              </w:rPr>
              <w:t>TOTAL</w:t>
            </w:r>
            <w:r>
              <w:rPr>
                <w:b/>
                <w:spacing w:val="-5"/>
                <w:sz w:val="22"/>
              </w:rPr>
              <w:t> </w:t>
            </w:r>
            <w:r>
              <w:rPr>
                <w:b/>
                <w:sz w:val="22"/>
              </w:rPr>
              <w:t>FOOTPATHS</w:t>
            </w:r>
            <w:r>
              <w:rPr>
                <w:b/>
                <w:spacing w:val="-6"/>
                <w:sz w:val="22"/>
              </w:rPr>
              <w:t> </w:t>
            </w:r>
            <w:r>
              <w:rPr>
                <w:b/>
                <w:sz w:val="22"/>
              </w:rPr>
              <w:t>AND</w:t>
            </w:r>
            <w:r>
              <w:rPr>
                <w:b/>
                <w:spacing w:val="-4"/>
                <w:sz w:val="22"/>
              </w:rPr>
              <w:t> </w:t>
            </w:r>
            <w:r>
              <w:rPr>
                <w:b/>
                <w:spacing w:val="-2"/>
                <w:sz w:val="22"/>
              </w:rPr>
              <w:t>CYCLEWAYS</w:t>
            </w:r>
          </w:p>
        </w:tc>
        <w:tc>
          <w:tcPr>
            <w:tcW w:w="1255" w:type="dxa"/>
            <w:tcBorders>
              <w:top w:val="dashSmallGap" w:sz="4" w:space="0" w:color="000000"/>
              <w:left w:val="single" w:sz="8" w:space="0" w:color="000000"/>
              <w:bottom w:val="dashSmallGap" w:sz="4" w:space="0" w:color="000000"/>
              <w:right w:val="nil"/>
            </w:tcBorders>
          </w:tcPr>
          <w:p>
            <w:pPr>
              <w:pStyle w:val="TableParagraph"/>
              <w:rPr>
                <w:b/>
                <w:sz w:val="17"/>
              </w:rPr>
            </w:pPr>
          </w:p>
          <w:p>
            <w:pPr>
              <w:pStyle w:val="TableParagraph"/>
              <w:ind w:right="81"/>
              <w:jc w:val="right"/>
              <w:rPr>
                <w:b/>
                <w:sz w:val="18"/>
              </w:rPr>
            </w:pPr>
            <w:r>
              <w:rPr>
                <w:b/>
                <w:spacing w:val="-2"/>
                <w:sz w:val="18"/>
              </w:rPr>
              <w:t>3,292</w:t>
            </w:r>
          </w:p>
        </w:tc>
        <w:tc>
          <w:tcPr>
            <w:tcW w:w="1010" w:type="dxa"/>
            <w:tcBorders>
              <w:top w:val="dashSmallGap" w:sz="4" w:space="0" w:color="000000"/>
              <w:left w:val="nil"/>
              <w:bottom w:val="dashSmallGap" w:sz="4" w:space="0" w:color="000000"/>
              <w:right w:val="nil"/>
            </w:tcBorders>
          </w:tcPr>
          <w:p>
            <w:pPr>
              <w:pStyle w:val="TableParagraph"/>
              <w:rPr>
                <w:b/>
                <w:sz w:val="17"/>
              </w:rPr>
            </w:pPr>
          </w:p>
          <w:p>
            <w:pPr>
              <w:pStyle w:val="TableParagraph"/>
              <w:ind w:right="88"/>
              <w:jc w:val="right"/>
              <w:rPr>
                <w:b/>
                <w:sz w:val="18"/>
              </w:rPr>
            </w:pPr>
            <w:r>
              <w:rPr>
                <w:b/>
                <w:spacing w:val="-2"/>
                <w:sz w:val="18"/>
              </w:rPr>
              <w:t>3,292</w:t>
            </w:r>
          </w:p>
        </w:tc>
        <w:tc>
          <w:tcPr>
            <w:tcW w:w="1010" w:type="dxa"/>
            <w:tcBorders>
              <w:top w:val="dashSmallGap" w:sz="4" w:space="0" w:color="000000"/>
              <w:left w:val="nil"/>
              <w:bottom w:val="dashSmallGap" w:sz="4" w:space="0" w:color="000000"/>
              <w:right w:val="nil"/>
            </w:tcBorders>
          </w:tcPr>
          <w:p>
            <w:pPr>
              <w:pStyle w:val="TableParagraph"/>
              <w:rPr>
                <w:b/>
                <w:sz w:val="17"/>
              </w:rPr>
            </w:pPr>
          </w:p>
          <w:p>
            <w:pPr>
              <w:pStyle w:val="TableParagraph"/>
              <w:ind w:right="90"/>
              <w:jc w:val="right"/>
              <w:rPr>
                <w:b/>
                <w:sz w:val="18"/>
              </w:rPr>
            </w:pPr>
            <w:r>
              <w:rPr>
                <w:b/>
                <w:sz w:val="18"/>
              </w:rPr>
              <w:t>0</w:t>
            </w:r>
          </w:p>
        </w:tc>
        <w:tc>
          <w:tcPr>
            <w:tcW w:w="1015" w:type="dxa"/>
            <w:tcBorders>
              <w:top w:val="dashSmallGap" w:sz="4" w:space="0" w:color="000000"/>
              <w:left w:val="nil"/>
              <w:bottom w:val="dashSmallGap" w:sz="4" w:space="0" w:color="000000"/>
              <w:right w:val="nil"/>
            </w:tcBorders>
          </w:tcPr>
          <w:p>
            <w:pPr>
              <w:pStyle w:val="TableParagraph"/>
              <w:rPr>
                <w:b/>
                <w:sz w:val="17"/>
              </w:rPr>
            </w:pPr>
          </w:p>
          <w:p>
            <w:pPr>
              <w:pStyle w:val="TableParagraph"/>
              <w:ind w:right="92"/>
              <w:jc w:val="right"/>
              <w:rPr>
                <w:b/>
                <w:sz w:val="18"/>
              </w:rPr>
            </w:pPr>
            <w:r>
              <w:rPr>
                <w:b/>
                <w:sz w:val="18"/>
              </w:rPr>
              <w:t>0</w:t>
            </w:r>
          </w:p>
        </w:tc>
        <w:tc>
          <w:tcPr>
            <w:tcW w:w="1010" w:type="dxa"/>
            <w:tcBorders>
              <w:top w:val="dashSmallGap" w:sz="4" w:space="0" w:color="000000"/>
              <w:left w:val="nil"/>
              <w:bottom w:val="dashSmallGap" w:sz="4" w:space="0" w:color="000000"/>
              <w:right w:val="nil"/>
            </w:tcBorders>
          </w:tcPr>
          <w:p>
            <w:pPr>
              <w:pStyle w:val="TableParagraph"/>
              <w:rPr>
                <w:b/>
                <w:sz w:val="17"/>
              </w:rPr>
            </w:pPr>
          </w:p>
          <w:p>
            <w:pPr>
              <w:pStyle w:val="TableParagraph"/>
              <w:ind w:right="88"/>
              <w:jc w:val="right"/>
              <w:rPr>
                <w:b/>
                <w:sz w:val="18"/>
              </w:rPr>
            </w:pPr>
            <w:r>
              <w:rPr>
                <w:b/>
                <w:spacing w:val="-2"/>
                <w:sz w:val="18"/>
              </w:rPr>
              <w:t>1,607</w:t>
            </w:r>
          </w:p>
        </w:tc>
        <w:tc>
          <w:tcPr>
            <w:tcW w:w="1010" w:type="dxa"/>
            <w:tcBorders>
              <w:top w:val="dashSmallGap" w:sz="4" w:space="0" w:color="000000"/>
              <w:left w:val="nil"/>
              <w:bottom w:val="dashSmallGap" w:sz="4" w:space="0" w:color="000000"/>
              <w:right w:val="nil"/>
            </w:tcBorders>
          </w:tcPr>
          <w:p>
            <w:pPr>
              <w:pStyle w:val="TableParagraph"/>
              <w:rPr>
                <w:b/>
                <w:sz w:val="17"/>
              </w:rPr>
            </w:pPr>
          </w:p>
          <w:p>
            <w:pPr>
              <w:pStyle w:val="TableParagraph"/>
              <w:ind w:right="88"/>
              <w:jc w:val="right"/>
              <w:rPr>
                <w:b/>
                <w:sz w:val="18"/>
              </w:rPr>
            </w:pPr>
            <w:r>
              <w:rPr>
                <w:b/>
                <w:spacing w:val="-5"/>
                <w:sz w:val="18"/>
              </w:rPr>
              <w:t>198</w:t>
            </w:r>
          </w:p>
        </w:tc>
        <w:tc>
          <w:tcPr>
            <w:tcW w:w="1010" w:type="dxa"/>
            <w:tcBorders>
              <w:top w:val="dashSmallGap" w:sz="4" w:space="0" w:color="000000"/>
              <w:left w:val="nil"/>
              <w:bottom w:val="dashSmallGap" w:sz="4" w:space="0" w:color="000000"/>
              <w:right w:val="single" w:sz="12" w:space="0" w:color="000000"/>
            </w:tcBorders>
          </w:tcPr>
          <w:p>
            <w:pPr>
              <w:pStyle w:val="TableParagraph"/>
              <w:rPr>
                <w:b/>
                <w:sz w:val="17"/>
              </w:rPr>
            </w:pPr>
          </w:p>
          <w:p>
            <w:pPr>
              <w:pStyle w:val="TableParagraph"/>
              <w:ind w:right="71"/>
              <w:jc w:val="right"/>
              <w:rPr>
                <w:b/>
                <w:sz w:val="18"/>
              </w:rPr>
            </w:pPr>
            <w:r>
              <w:rPr>
                <w:b/>
                <w:spacing w:val="-2"/>
                <w:sz w:val="18"/>
              </w:rPr>
              <w:t>1,487</w:t>
            </w:r>
          </w:p>
        </w:tc>
        <w:tc>
          <w:tcPr>
            <w:tcW w:w="1255" w:type="dxa"/>
            <w:tcBorders>
              <w:top w:val="dashSmallGap" w:sz="4" w:space="0" w:color="000000"/>
              <w:left w:val="single" w:sz="12" w:space="0" w:color="000000"/>
              <w:bottom w:val="dashSmallGap" w:sz="4" w:space="0" w:color="000000"/>
              <w:right w:val="single" w:sz="12" w:space="0" w:color="000000"/>
            </w:tcBorders>
          </w:tcPr>
          <w:p>
            <w:pPr>
              <w:pStyle w:val="TableParagraph"/>
              <w:rPr>
                <w:b/>
                <w:sz w:val="17"/>
              </w:rPr>
            </w:pPr>
          </w:p>
          <w:p>
            <w:pPr>
              <w:pStyle w:val="TableParagraph"/>
              <w:ind w:right="74"/>
              <w:jc w:val="right"/>
              <w:rPr>
                <w:b/>
                <w:sz w:val="18"/>
              </w:rPr>
            </w:pPr>
            <w:r>
              <w:rPr>
                <w:b/>
                <w:spacing w:val="-2"/>
                <w:sz w:val="18"/>
              </w:rPr>
              <w:t>3,387</w:t>
            </w:r>
          </w:p>
        </w:tc>
        <w:tc>
          <w:tcPr>
            <w:tcW w:w="1253" w:type="dxa"/>
            <w:tcBorders>
              <w:top w:val="dashSmallGap" w:sz="4" w:space="0" w:color="000000"/>
              <w:left w:val="single" w:sz="12" w:space="0" w:color="000000"/>
              <w:bottom w:val="dashSmallGap" w:sz="4" w:space="0" w:color="000000"/>
              <w:right w:val="single" w:sz="12" w:space="0" w:color="000000"/>
            </w:tcBorders>
          </w:tcPr>
          <w:p>
            <w:pPr>
              <w:pStyle w:val="TableParagraph"/>
              <w:rPr>
                <w:b/>
                <w:sz w:val="17"/>
              </w:rPr>
            </w:pPr>
          </w:p>
          <w:p>
            <w:pPr>
              <w:pStyle w:val="TableParagraph"/>
              <w:ind w:right="72"/>
              <w:jc w:val="right"/>
              <w:rPr>
                <w:b/>
                <w:sz w:val="18"/>
              </w:rPr>
            </w:pPr>
            <w:r>
              <w:rPr>
                <w:b/>
                <w:spacing w:val="-2"/>
                <w:sz w:val="18"/>
              </w:rPr>
              <w:t>3,528</w:t>
            </w:r>
          </w:p>
        </w:tc>
        <w:tc>
          <w:tcPr>
            <w:tcW w:w="1258" w:type="dxa"/>
            <w:tcBorders>
              <w:top w:val="dashSmallGap" w:sz="4" w:space="0" w:color="000000"/>
              <w:left w:val="single" w:sz="12" w:space="0" w:color="000000"/>
              <w:bottom w:val="dashSmallGap" w:sz="4" w:space="0" w:color="000000"/>
              <w:right w:val="single" w:sz="12" w:space="0" w:color="000000"/>
            </w:tcBorders>
          </w:tcPr>
          <w:p>
            <w:pPr>
              <w:pStyle w:val="TableParagraph"/>
              <w:rPr>
                <w:b/>
                <w:sz w:val="17"/>
              </w:rPr>
            </w:pPr>
          </w:p>
          <w:p>
            <w:pPr>
              <w:pStyle w:val="TableParagraph"/>
              <w:ind w:right="72"/>
              <w:jc w:val="right"/>
              <w:rPr>
                <w:b/>
                <w:sz w:val="18"/>
              </w:rPr>
            </w:pPr>
            <w:r>
              <w:rPr>
                <w:b/>
                <w:spacing w:val="-2"/>
                <w:sz w:val="18"/>
              </w:rPr>
              <w:t>3,685</w:t>
            </w:r>
          </w:p>
        </w:tc>
      </w:tr>
      <w:tr>
        <w:trPr>
          <w:trHeight w:val="257" w:hRule="atLeast"/>
        </w:trPr>
        <w:tc>
          <w:tcPr>
            <w:tcW w:w="4663" w:type="dxa"/>
            <w:tcBorders>
              <w:top w:val="dashSmallGap" w:sz="4" w:space="0" w:color="000000"/>
              <w:left w:val="single" w:sz="12" w:space="0" w:color="000000"/>
              <w:bottom w:val="dashSmallGap" w:sz="4" w:space="0" w:color="000000"/>
              <w:right w:val="single" w:sz="8" w:space="0" w:color="000000"/>
            </w:tcBorders>
          </w:tcPr>
          <w:p>
            <w:pPr>
              <w:pStyle w:val="TableParagraph"/>
              <w:spacing w:line="233" w:lineRule="exact" w:before="4"/>
              <w:ind w:left="107"/>
              <w:rPr>
                <w:b/>
                <w:sz w:val="22"/>
              </w:rPr>
            </w:pPr>
            <w:r>
              <w:rPr>
                <w:b/>
                <w:spacing w:val="-2"/>
                <w:sz w:val="22"/>
              </w:rPr>
              <w:t>CARPARKS</w:t>
            </w:r>
          </w:p>
        </w:tc>
        <w:tc>
          <w:tcPr>
            <w:tcW w:w="7320" w:type="dxa"/>
            <w:gridSpan w:val="7"/>
            <w:tcBorders>
              <w:left w:val="single" w:sz="8" w:space="0" w:color="000000"/>
              <w:bottom w:val="single" w:sz="24" w:space="0" w:color="000000"/>
              <w:right w:val="single" w:sz="12" w:space="0" w:color="000000"/>
            </w:tcBorders>
          </w:tcPr>
          <w:p>
            <w:pPr>
              <w:pStyle w:val="TableParagraph"/>
              <w:rPr>
                <w:b/>
                <w:sz w:val="8"/>
              </w:rPr>
            </w:pPr>
          </w:p>
          <w:p>
            <w:pPr>
              <w:pStyle w:val="TableParagraph"/>
              <w:tabs>
                <w:tab w:pos="2260" w:val="left" w:leader="none"/>
                <w:tab w:pos="3270" w:val="left" w:leader="none"/>
                <w:tab w:pos="4286" w:val="left" w:leader="none"/>
                <w:tab w:pos="5296" w:val="left" w:leader="none"/>
                <w:tab w:pos="6306" w:val="left" w:leader="none"/>
              </w:tabs>
              <w:spacing w:line="115" w:lineRule="exact"/>
              <w:ind w:left="1250"/>
              <w:rPr>
                <w:sz w:val="11"/>
              </w:rPr>
            </w:pPr>
            <w:r>
              <w:rPr>
                <w:position w:val="-1"/>
                <w:sz w:val="11"/>
              </w:rPr>
              <w:pict>
                <v:group style="width:.5pt;height:5.8pt;mso-position-horizontal-relative:char;mso-position-vertical-relative:line" id="docshapegroup368" coordorigin="0,0" coordsize="10,116">
                  <v:shape style="position:absolute;left:0;top:0;width:10;height:116" id="docshape36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70" coordorigin="0,0" coordsize="10,116">
                  <v:shape style="position:absolute;left:0;top:0;width:10;height:116" id="docshape37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72" coordorigin="0,0" coordsize="10,116">
                  <v:shape style="position:absolute;left:0;top:0;width:10;height:116" id="docshape37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74" coordorigin="0,0" coordsize="10,116">
                  <v:shape style="position:absolute;left:-1;top:0;width:10;height:116" id="docshape37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76" coordorigin="0,0" coordsize="10,116">
                  <v:shape style="position:absolute;left:0;top:0;width:10;height:116" id="docshape37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78" coordorigin="0,0" coordsize="10,116">
                  <v:shape style="position:absolute;left:0;top:0;width:10;height:116" id="docshape379" coordorigin="0,0" coordsize="10,116" path="m10,77l0,77,0,115,10,115,10,77xm10,0l0,0,0,38,10,38,10,0xe" filled="true" fillcolor="#000000" stroked="false">
                    <v:path arrowok="t"/>
                    <v:fill type="solid"/>
                  </v:shape>
                </v:group>
              </w:pict>
            </w:r>
            <w:r>
              <w:rPr>
                <w:position w:val="-1"/>
                <w:sz w:val="11"/>
              </w:rPr>
            </w:r>
          </w:p>
        </w:tc>
        <w:tc>
          <w:tcPr>
            <w:tcW w:w="1255"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3"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58"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274" w:hRule="atLeast"/>
        </w:trPr>
        <w:tc>
          <w:tcPr>
            <w:tcW w:w="4663" w:type="dxa"/>
            <w:tcBorders>
              <w:top w:val="dashSmallGap" w:sz="4" w:space="0" w:color="000000"/>
              <w:left w:val="single" w:sz="12" w:space="0" w:color="000000"/>
              <w:bottom w:val="dashed" w:sz="4" w:space="0" w:color="000000"/>
              <w:right w:val="single" w:sz="8" w:space="0" w:color="000000"/>
            </w:tcBorders>
          </w:tcPr>
          <w:p>
            <w:pPr>
              <w:pStyle w:val="TableParagraph"/>
              <w:spacing w:before="19"/>
              <w:ind w:left="107"/>
              <w:rPr>
                <w:sz w:val="18"/>
              </w:rPr>
            </w:pPr>
            <w:r>
              <w:rPr>
                <w:sz w:val="18"/>
              </w:rPr>
              <w:t>Car</w:t>
            </w:r>
            <w:r>
              <w:rPr>
                <w:spacing w:val="-2"/>
                <w:sz w:val="18"/>
              </w:rPr>
              <w:t> </w:t>
            </w:r>
            <w:r>
              <w:rPr>
                <w:sz w:val="18"/>
              </w:rPr>
              <w:t>Park</w:t>
            </w:r>
            <w:r>
              <w:rPr>
                <w:spacing w:val="-1"/>
                <w:sz w:val="18"/>
              </w:rPr>
              <w:t> </w:t>
            </w:r>
            <w:r>
              <w:rPr>
                <w:sz w:val="18"/>
              </w:rPr>
              <w:t>Improvement</w:t>
            </w:r>
            <w:r>
              <w:rPr>
                <w:spacing w:val="-2"/>
                <w:sz w:val="18"/>
              </w:rPr>
              <w:t> Program</w:t>
            </w:r>
          </w:p>
        </w:tc>
        <w:tc>
          <w:tcPr>
            <w:tcW w:w="1255" w:type="dxa"/>
            <w:tcBorders>
              <w:top w:val="dashSmallGap" w:sz="4" w:space="0" w:color="000000"/>
              <w:left w:val="single" w:sz="8" w:space="0" w:color="000000"/>
              <w:bottom w:val="dashed" w:sz="4" w:space="0" w:color="000000"/>
              <w:right w:val="nil"/>
            </w:tcBorders>
          </w:tcPr>
          <w:p>
            <w:pPr>
              <w:pStyle w:val="TableParagraph"/>
              <w:spacing w:before="19"/>
              <w:ind w:right="81"/>
              <w:jc w:val="right"/>
              <w:rPr>
                <w:sz w:val="18"/>
              </w:rPr>
            </w:pPr>
            <w:r>
              <w:rPr>
                <w:spacing w:val="-5"/>
                <w:sz w:val="18"/>
              </w:rPr>
              <w:t>420</w:t>
            </w:r>
          </w:p>
        </w:tc>
        <w:tc>
          <w:tcPr>
            <w:tcW w:w="1010" w:type="dxa"/>
            <w:tcBorders>
              <w:top w:val="dashSmallGap" w:sz="4" w:space="0" w:color="000000"/>
              <w:left w:val="nil"/>
              <w:bottom w:val="dashed" w:sz="4" w:space="0" w:color="000000"/>
              <w:right w:val="nil"/>
            </w:tcBorders>
          </w:tcPr>
          <w:p>
            <w:pPr>
              <w:pStyle w:val="TableParagraph"/>
              <w:spacing w:before="19"/>
              <w:ind w:right="89"/>
              <w:jc w:val="right"/>
              <w:rPr>
                <w:sz w:val="18"/>
              </w:rPr>
            </w:pPr>
            <w:r>
              <w:rPr>
                <w:spacing w:val="-5"/>
                <w:sz w:val="18"/>
              </w:rPr>
              <w:t>420</w:t>
            </w:r>
          </w:p>
        </w:tc>
        <w:tc>
          <w:tcPr>
            <w:tcW w:w="1010" w:type="dxa"/>
            <w:tcBorders>
              <w:top w:val="dashSmallGap" w:sz="4" w:space="0" w:color="000000"/>
              <w:left w:val="nil"/>
              <w:bottom w:val="dashed" w:sz="4" w:space="0" w:color="000000"/>
              <w:right w:val="nil"/>
            </w:tcBorders>
          </w:tcPr>
          <w:p>
            <w:pPr>
              <w:pStyle w:val="TableParagraph"/>
              <w:spacing w:before="2"/>
              <w:rPr>
                <w:b/>
                <w:sz w:val="7"/>
              </w:rPr>
            </w:pPr>
          </w:p>
          <w:p>
            <w:pPr>
              <w:pStyle w:val="TableParagraph"/>
              <w:tabs>
                <w:tab w:pos="1020" w:val="left" w:leader="none"/>
              </w:tabs>
              <w:spacing w:line="115" w:lineRule="exact"/>
              <w:ind w:left="10" w:right="-87"/>
              <w:rPr>
                <w:sz w:val="11"/>
              </w:rPr>
            </w:pPr>
            <w:r>
              <w:rPr>
                <w:position w:val="-1"/>
                <w:sz w:val="11"/>
              </w:rPr>
              <w:pict>
                <v:group style="width:.5pt;height:5.8pt;mso-position-horizontal-relative:char;mso-position-vertical-relative:line" id="docshapegroup380" coordorigin="0,0" coordsize="10,116">
                  <v:shape style="position:absolute;left:0;top:0;width:10;height:116" id="docshape38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382" coordorigin="0,0" coordsize="10,116">
                  <v:shape style="position:absolute;left:0;top:0;width:10;height:116" id="docshape383" coordorigin="0,0" coordsize="10,116" path="m10,77l0,77,0,115,10,115,10,77xm10,0l0,0,0,38,10,38,10,0xe" filled="true" fillcolor="#000000" stroked="false">
                    <v:path arrowok="t"/>
                    <v:fill type="solid"/>
                  </v:shape>
                </v:group>
              </w:pict>
            </w:r>
            <w:r>
              <w:rPr>
                <w:position w:val="-1"/>
                <w:sz w:val="11"/>
              </w:rPr>
            </w:r>
          </w:p>
        </w:tc>
        <w:tc>
          <w:tcPr>
            <w:tcW w:w="1015" w:type="dxa"/>
            <w:tcBorders>
              <w:top w:val="dashSmallGap" w:sz="4" w:space="0" w:color="000000"/>
              <w:left w:val="nil"/>
              <w:bottom w:val="dashed" w:sz="4" w:space="0" w:color="000000"/>
              <w:right w:val="nil"/>
            </w:tcBorders>
          </w:tcPr>
          <w:p>
            <w:pPr>
              <w:pStyle w:val="TableParagraph"/>
              <w:spacing w:before="2"/>
              <w:rPr>
                <w:b/>
                <w:sz w:val="7"/>
              </w:rPr>
            </w:pPr>
          </w:p>
          <w:p>
            <w:pPr>
              <w:pStyle w:val="TableParagraph"/>
              <w:spacing w:line="115" w:lineRule="exact"/>
              <w:ind w:left="1026" w:right="-87"/>
              <w:rPr>
                <w:sz w:val="11"/>
              </w:rPr>
            </w:pPr>
            <w:r>
              <w:rPr>
                <w:position w:val="-1"/>
                <w:sz w:val="11"/>
              </w:rPr>
              <w:pict>
                <v:group style="width:.5pt;height:5.8pt;mso-position-horizontal-relative:char;mso-position-vertical-relative:line" id="docshapegroup384" coordorigin="0,0" coordsize="10,116">
                  <v:shape style="position:absolute;left:-1;top:0;width:10;height:116" id="docshape385" coordorigin="0,0" coordsize="10,116" path="m10,77l0,77,0,115,10,115,10,77xm10,0l0,0,0,38,10,38,10,0xe" filled="true" fillcolor="#000000" stroked="false">
                    <v:path arrowok="t"/>
                    <v:fill type="solid"/>
                  </v:shape>
                </v:group>
              </w:pict>
            </w:r>
            <w:r>
              <w:rPr>
                <w:position w:val="-1"/>
                <w:sz w:val="11"/>
              </w:rPr>
            </w:r>
          </w:p>
        </w:tc>
        <w:tc>
          <w:tcPr>
            <w:tcW w:w="1010" w:type="dxa"/>
            <w:tcBorders>
              <w:top w:val="dashSmallGap" w:sz="4" w:space="0" w:color="000000"/>
              <w:left w:val="nil"/>
              <w:bottom w:val="dashSmallGap" w:sz="4" w:space="0" w:color="000000"/>
              <w:right w:val="nil"/>
            </w:tcBorders>
          </w:tcPr>
          <w:p>
            <w:pPr>
              <w:pStyle w:val="TableParagraph"/>
              <w:spacing w:before="19"/>
              <w:ind w:right="87"/>
              <w:jc w:val="right"/>
              <w:rPr>
                <w:sz w:val="18"/>
              </w:rPr>
            </w:pPr>
            <w:r>
              <w:rPr>
                <w:spacing w:val="-5"/>
                <w:sz w:val="18"/>
              </w:rPr>
              <w:t>210</w:t>
            </w:r>
          </w:p>
        </w:tc>
        <w:tc>
          <w:tcPr>
            <w:tcW w:w="1010" w:type="dxa"/>
            <w:tcBorders>
              <w:top w:val="dashSmallGap" w:sz="4" w:space="0" w:color="000000"/>
              <w:left w:val="nil"/>
              <w:bottom w:val="dashSmallGap" w:sz="4" w:space="0" w:color="000000"/>
              <w:right w:val="nil"/>
            </w:tcBorders>
          </w:tcPr>
          <w:p>
            <w:pPr>
              <w:pStyle w:val="TableParagraph"/>
              <w:spacing w:before="19"/>
              <w:ind w:right="87"/>
              <w:jc w:val="right"/>
              <w:rPr>
                <w:sz w:val="18"/>
              </w:rPr>
            </w:pPr>
            <w:r>
              <w:rPr>
                <w:spacing w:val="-5"/>
                <w:sz w:val="18"/>
              </w:rPr>
              <w:t>210</w:t>
            </w:r>
          </w:p>
        </w:tc>
        <w:tc>
          <w:tcPr>
            <w:tcW w:w="1010" w:type="dxa"/>
            <w:tcBorders>
              <w:top w:val="dashSmallGap" w:sz="4" w:space="0" w:color="000000"/>
              <w:left w:val="nil"/>
              <w:bottom w:val="dashSmallGap" w:sz="4" w:space="0" w:color="000000"/>
              <w:right w:val="single" w:sz="12" w:space="0" w:color="000000"/>
            </w:tcBorders>
          </w:tcPr>
          <w:p>
            <w:pPr>
              <w:pStyle w:val="TableParagraph"/>
              <w:spacing w:before="2"/>
              <w:rPr>
                <w:b/>
                <w:sz w:val="7"/>
              </w:rPr>
            </w:pPr>
          </w:p>
          <w:p>
            <w:pPr>
              <w:pStyle w:val="TableParagraph"/>
              <w:spacing w:line="115" w:lineRule="exact"/>
              <w:ind w:left="-4"/>
              <w:rPr>
                <w:sz w:val="11"/>
              </w:rPr>
            </w:pPr>
            <w:r>
              <w:rPr>
                <w:position w:val="-1"/>
                <w:sz w:val="11"/>
              </w:rPr>
              <w:pict>
                <v:group style="width:.5pt;height:5.8pt;mso-position-horizontal-relative:char;mso-position-vertical-relative:line" id="docshapegroup386" coordorigin="0,0" coordsize="10,116">
                  <v:shape style="position:absolute;left:0;top:0;width:10;height:116" id="docshape387" coordorigin="0,0" coordsize="10,116" path="m10,77l0,77,0,115,10,115,10,77xm10,0l0,0,0,38,10,38,10,0xe" filled="true" fillcolor="#000000" stroked="false">
                    <v:path arrowok="t"/>
                    <v:fill type="solid"/>
                  </v:shape>
                </v:group>
              </w:pict>
            </w:r>
            <w:r>
              <w:rPr>
                <w:position w:val="-1"/>
                <w:sz w:val="11"/>
              </w:rPr>
            </w:r>
          </w:p>
        </w:tc>
        <w:tc>
          <w:tcPr>
            <w:tcW w:w="1255" w:type="dxa"/>
            <w:tcBorders>
              <w:top w:val="dashSmallGap" w:sz="4" w:space="0" w:color="000000"/>
              <w:left w:val="single" w:sz="12" w:space="0" w:color="000000"/>
              <w:bottom w:val="dashSmallGap" w:sz="4" w:space="0" w:color="000000"/>
              <w:right w:val="single" w:sz="12" w:space="0" w:color="000000"/>
            </w:tcBorders>
          </w:tcPr>
          <w:p>
            <w:pPr>
              <w:pStyle w:val="TableParagraph"/>
              <w:spacing w:before="19"/>
              <w:ind w:right="73"/>
              <w:jc w:val="right"/>
              <w:rPr>
                <w:sz w:val="18"/>
              </w:rPr>
            </w:pPr>
            <w:r>
              <w:rPr>
                <w:spacing w:val="-5"/>
                <w:sz w:val="18"/>
              </w:rPr>
              <w:t>440</w:t>
            </w:r>
          </w:p>
        </w:tc>
        <w:tc>
          <w:tcPr>
            <w:tcW w:w="1253" w:type="dxa"/>
            <w:tcBorders>
              <w:top w:val="dashSmallGap" w:sz="4" w:space="0" w:color="000000"/>
              <w:left w:val="single" w:sz="12" w:space="0" w:color="000000"/>
              <w:bottom w:val="dashSmallGap" w:sz="4" w:space="0" w:color="000000"/>
              <w:right w:val="single" w:sz="12" w:space="0" w:color="000000"/>
            </w:tcBorders>
          </w:tcPr>
          <w:p>
            <w:pPr>
              <w:pStyle w:val="TableParagraph"/>
              <w:spacing w:before="19"/>
              <w:ind w:right="73"/>
              <w:jc w:val="right"/>
              <w:rPr>
                <w:sz w:val="18"/>
              </w:rPr>
            </w:pPr>
            <w:r>
              <w:rPr>
                <w:spacing w:val="-5"/>
                <w:sz w:val="18"/>
              </w:rPr>
              <w:t>470</w:t>
            </w:r>
          </w:p>
        </w:tc>
        <w:tc>
          <w:tcPr>
            <w:tcW w:w="1258" w:type="dxa"/>
            <w:tcBorders>
              <w:top w:val="dashSmallGap" w:sz="4" w:space="0" w:color="000000"/>
              <w:left w:val="single" w:sz="12" w:space="0" w:color="000000"/>
              <w:bottom w:val="dashSmallGap" w:sz="4" w:space="0" w:color="000000"/>
              <w:right w:val="single" w:sz="12" w:space="0" w:color="000000"/>
            </w:tcBorders>
          </w:tcPr>
          <w:p>
            <w:pPr>
              <w:pStyle w:val="TableParagraph"/>
              <w:spacing w:before="19"/>
              <w:ind w:right="74"/>
              <w:jc w:val="right"/>
              <w:rPr>
                <w:sz w:val="18"/>
              </w:rPr>
            </w:pPr>
            <w:r>
              <w:rPr>
                <w:spacing w:val="-5"/>
                <w:sz w:val="18"/>
              </w:rPr>
              <w:t>530</w:t>
            </w:r>
          </w:p>
        </w:tc>
      </w:tr>
      <w:tr>
        <w:trPr>
          <w:trHeight w:val="315" w:hRule="atLeast"/>
        </w:trPr>
        <w:tc>
          <w:tcPr>
            <w:tcW w:w="4663" w:type="dxa"/>
            <w:tcBorders>
              <w:top w:val="dashed" w:sz="4" w:space="0" w:color="000000"/>
              <w:left w:val="single" w:sz="12" w:space="0" w:color="000000"/>
              <w:bottom w:val="single" w:sz="12" w:space="0" w:color="000000"/>
              <w:right w:val="single" w:sz="8" w:space="0" w:color="000000"/>
            </w:tcBorders>
          </w:tcPr>
          <w:p>
            <w:pPr>
              <w:pStyle w:val="TableParagraph"/>
              <w:spacing w:line="234" w:lineRule="exact" w:before="62"/>
              <w:ind w:left="107"/>
              <w:rPr>
                <w:b/>
                <w:sz w:val="22"/>
              </w:rPr>
            </w:pPr>
            <w:r>
              <w:rPr>
                <w:b/>
                <w:sz w:val="22"/>
              </w:rPr>
              <w:t>TOTAL</w:t>
            </w:r>
            <w:r>
              <w:rPr>
                <w:b/>
                <w:spacing w:val="-2"/>
                <w:sz w:val="22"/>
              </w:rPr>
              <w:t> CARPARKS</w:t>
            </w:r>
          </w:p>
        </w:tc>
        <w:tc>
          <w:tcPr>
            <w:tcW w:w="1255" w:type="dxa"/>
            <w:tcBorders>
              <w:top w:val="dashed" w:sz="4" w:space="0" w:color="000000"/>
              <w:left w:val="single" w:sz="8" w:space="0" w:color="000000"/>
              <w:bottom w:val="single" w:sz="12" w:space="0" w:color="000000"/>
              <w:right w:val="nil"/>
            </w:tcBorders>
          </w:tcPr>
          <w:p>
            <w:pPr>
              <w:pStyle w:val="TableParagraph"/>
              <w:spacing w:before="54"/>
              <w:ind w:right="83"/>
              <w:jc w:val="right"/>
              <w:rPr>
                <w:b/>
                <w:sz w:val="18"/>
              </w:rPr>
            </w:pPr>
            <w:r>
              <w:rPr>
                <w:b/>
                <w:spacing w:val="-5"/>
                <w:sz w:val="18"/>
              </w:rPr>
              <w:t>420</w:t>
            </w:r>
          </w:p>
        </w:tc>
        <w:tc>
          <w:tcPr>
            <w:tcW w:w="1010" w:type="dxa"/>
            <w:tcBorders>
              <w:top w:val="dashed" w:sz="4" w:space="0" w:color="000000"/>
              <w:left w:val="nil"/>
              <w:bottom w:val="single" w:sz="12" w:space="0" w:color="000000"/>
              <w:right w:val="nil"/>
            </w:tcBorders>
          </w:tcPr>
          <w:p>
            <w:pPr>
              <w:pStyle w:val="TableParagraph"/>
              <w:spacing w:before="54"/>
              <w:ind w:right="88"/>
              <w:jc w:val="right"/>
              <w:rPr>
                <w:b/>
                <w:sz w:val="18"/>
              </w:rPr>
            </w:pPr>
            <w:r>
              <w:rPr>
                <w:b/>
                <w:spacing w:val="-5"/>
                <w:sz w:val="18"/>
              </w:rPr>
              <w:t>420</w:t>
            </w:r>
          </w:p>
        </w:tc>
        <w:tc>
          <w:tcPr>
            <w:tcW w:w="1010" w:type="dxa"/>
            <w:tcBorders>
              <w:top w:val="dashed" w:sz="4" w:space="0" w:color="000000"/>
              <w:left w:val="nil"/>
              <w:bottom w:val="single" w:sz="12" w:space="0" w:color="000000"/>
              <w:right w:val="nil"/>
            </w:tcBorders>
          </w:tcPr>
          <w:p>
            <w:pPr>
              <w:pStyle w:val="TableParagraph"/>
              <w:spacing w:before="54"/>
              <w:ind w:right="90"/>
              <w:jc w:val="right"/>
              <w:rPr>
                <w:b/>
                <w:sz w:val="18"/>
              </w:rPr>
            </w:pPr>
            <w:r>
              <w:rPr>
                <w:b/>
                <w:sz w:val="18"/>
              </w:rPr>
              <w:t>0</w:t>
            </w:r>
          </w:p>
        </w:tc>
        <w:tc>
          <w:tcPr>
            <w:tcW w:w="1015" w:type="dxa"/>
            <w:tcBorders>
              <w:top w:val="dashed" w:sz="4" w:space="0" w:color="000000"/>
              <w:left w:val="nil"/>
              <w:bottom w:val="single" w:sz="12" w:space="0" w:color="000000"/>
              <w:right w:val="nil"/>
            </w:tcBorders>
          </w:tcPr>
          <w:p>
            <w:pPr>
              <w:pStyle w:val="TableParagraph"/>
              <w:spacing w:before="54"/>
              <w:ind w:right="93"/>
              <w:jc w:val="right"/>
              <w:rPr>
                <w:b/>
                <w:sz w:val="18"/>
              </w:rPr>
            </w:pPr>
            <w:r>
              <w:rPr>
                <w:b/>
                <w:sz w:val="18"/>
              </w:rPr>
              <w:t>0</w:t>
            </w:r>
          </w:p>
        </w:tc>
        <w:tc>
          <w:tcPr>
            <w:tcW w:w="1010" w:type="dxa"/>
            <w:tcBorders>
              <w:top w:val="dashSmallGap" w:sz="4" w:space="0" w:color="000000"/>
              <w:left w:val="nil"/>
              <w:bottom w:val="single" w:sz="12" w:space="0" w:color="000000"/>
              <w:right w:val="nil"/>
            </w:tcBorders>
          </w:tcPr>
          <w:p>
            <w:pPr>
              <w:pStyle w:val="TableParagraph"/>
              <w:spacing w:before="54"/>
              <w:ind w:right="87"/>
              <w:jc w:val="right"/>
              <w:rPr>
                <w:b/>
                <w:sz w:val="18"/>
              </w:rPr>
            </w:pPr>
            <w:r>
              <w:rPr>
                <w:b/>
                <w:spacing w:val="-5"/>
                <w:sz w:val="18"/>
              </w:rPr>
              <w:t>210</w:t>
            </w:r>
          </w:p>
        </w:tc>
        <w:tc>
          <w:tcPr>
            <w:tcW w:w="1010" w:type="dxa"/>
            <w:tcBorders>
              <w:top w:val="dashSmallGap" w:sz="4" w:space="0" w:color="000000"/>
              <w:left w:val="nil"/>
              <w:bottom w:val="single" w:sz="12" w:space="0" w:color="000000"/>
              <w:right w:val="nil"/>
            </w:tcBorders>
          </w:tcPr>
          <w:p>
            <w:pPr>
              <w:pStyle w:val="TableParagraph"/>
              <w:spacing w:before="54"/>
              <w:ind w:right="89"/>
              <w:jc w:val="right"/>
              <w:rPr>
                <w:b/>
                <w:sz w:val="18"/>
              </w:rPr>
            </w:pPr>
            <w:r>
              <w:rPr>
                <w:b/>
                <w:spacing w:val="-5"/>
                <w:sz w:val="18"/>
              </w:rPr>
              <w:t>210</w:t>
            </w:r>
          </w:p>
        </w:tc>
        <w:tc>
          <w:tcPr>
            <w:tcW w:w="1010" w:type="dxa"/>
            <w:tcBorders>
              <w:top w:val="dashSmallGap" w:sz="4" w:space="0" w:color="000000"/>
              <w:left w:val="nil"/>
              <w:bottom w:val="single" w:sz="12" w:space="0" w:color="000000"/>
              <w:right w:val="single" w:sz="12" w:space="0" w:color="000000"/>
            </w:tcBorders>
          </w:tcPr>
          <w:p>
            <w:pPr>
              <w:pStyle w:val="TableParagraph"/>
              <w:spacing w:before="54"/>
              <w:ind w:right="75"/>
              <w:jc w:val="right"/>
              <w:rPr>
                <w:b/>
                <w:sz w:val="18"/>
              </w:rPr>
            </w:pPr>
            <w:r>
              <w:rPr>
                <w:b/>
                <w:sz w:val="18"/>
              </w:rPr>
              <w:t>0</w:t>
            </w:r>
          </w:p>
        </w:tc>
        <w:tc>
          <w:tcPr>
            <w:tcW w:w="1255"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75"/>
              <w:jc w:val="right"/>
              <w:rPr>
                <w:b/>
                <w:sz w:val="18"/>
              </w:rPr>
            </w:pPr>
            <w:r>
              <w:rPr>
                <w:b/>
                <w:spacing w:val="-5"/>
                <w:sz w:val="18"/>
              </w:rPr>
              <w:t>440</w:t>
            </w:r>
          </w:p>
        </w:tc>
        <w:tc>
          <w:tcPr>
            <w:tcW w:w="1253"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73"/>
              <w:jc w:val="right"/>
              <w:rPr>
                <w:b/>
                <w:sz w:val="18"/>
              </w:rPr>
            </w:pPr>
            <w:r>
              <w:rPr>
                <w:b/>
                <w:spacing w:val="-5"/>
                <w:sz w:val="18"/>
              </w:rPr>
              <w:t>470</w:t>
            </w:r>
          </w:p>
        </w:tc>
        <w:tc>
          <w:tcPr>
            <w:tcW w:w="1258" w:type="dxa"/>
            <w:tcBorders>
              <w:top w:val="dashSmallGap" w:sz="4" w:space="0" w:color="000000"/>
              <w:left w:val="single" w:sz="12" w:space="0" w:color="000000"/>
              <w:bottom w:val="single" w:sz="12" w:space="0" w:color="000000"/>
              <w:right w:val="single" w:sz="12" w:space="0" w:color="000000"/>
            </w:tcBorders>
          </w:tcPr>
          <w:p>
            <w:pPr>
              <w:pStyle w:val="TableParagraph"/>
              <w:spacing w:before="54"/>
              <w:ind w:right="74"/>
              <w:jc w:val="right"/>
              <w:rPr>
                <w:b/>
                <w:sz w:val="18"/>
              </w:rPr>
            </w:pPr>
            <w:r>
              <w:rPr>
                <w:b/>
                <w:spacing w:val="-5"/>
                <w:sz w:val="18"/>
              </w:rPr>
              <w:t>530</w:t>
            </w:r>
          </w:p>
        </w:tc>
      </w:tr>
    </w:tbl>
    <w:p>
      <w:pPr>
        <w:rPr>
          <w:sz w:val="2"/>
          <w:szCs w:val="2"/>
        </w:rPr>
      </w:pPr>
      <w:r>
        <w:rPr/>
        <w:pict>
          <v:shape style="position:absolute;margin-left:534.720032pt;margin-top:176.640991pt;width:.5pt;height:17.3pt;mso-position-horizontal-relative:page;mso-position-vertical-relative:page;z-index:-37964288" id="docshape388" coordorigin="10694,3533" coordsize="10,346" path="m10704,3840l10694,3840,10694,3878,10704,3878,10704,3840xm10704,3763l10694,3763,10694,3802,10704,3802,10704,3763xm10704,3686l10694,3686,10694,3725,10704,3725,10704,3686xm10704,3610l10694,3610,10694,3648,10704,3648,10704,3610xm10704,3533l10694,3533,10694,3571,10704,3571,10704,3533xe" filled="true" fillcolor="#000000" stroked="false">
            <v:path arrowok="t"/>
            <v:fill type="solid"/>
            <w10:wrap type="none"/>
          </v:shape>
        </w:pict>
      </w:r>
      <w:r>
        <w:rPr/>
        <w:pict>
          <v:shape style="position:absolute;margin-left:332.400024pt;margin-top:199.679993pt;width:.5pt;height:9.65pt;mso-position-horizontal-relative:page;mso-position-vertical-relative:page;z-index:-37963776" id="docshape389" coordorigin="6648,3994" coordsize="10,193" path="m6658,4147l6648,4147,6648,4186,6658,4186,6658,4147xm6658,4070l6648,4070,6648,4109,6658,4109,6658,4070xm6658,3994l6648,3994,6648,4032,6658,4032,6658,3994xe" filled="true" fillcolor="#000000" stroked="false">
            <v:path arrowok="t"/>
            <v:fill type="solid"/>
            <w10:wrap type="none"/>
          </v:shape>
        </w:pict>
      </w:r>
      <w:r>
        <w:rPr/>
        <w:pict>
          <v:shape style="position:absolute;margin-left:332.400024pt;margin-top:215.040985pt;width:.5pt;height:9.6pt;mso-position-horizontal-relative:page;mso-position-vertical-relative:page;z-index:-37963264" id="docshape390" coordorigin="6648,4301" coordsize="10,192" path="m6658,4454l6648,4454,6648,4493,6658,4493,6658,4454xm6658,4378l6648,4378,6648,4416,6658,4416,6658,4378xm6658,4301l6648,4301,6648,4339,6658,4339,6658,4301xe" filled="true" fillcolor="#000000" stroked="false">
            <v:path arrowok="t"/>
            <v:fill type="solid"/>
            <w10:wrap type="none"/>
          </v:shape>
        </w:pict>
      </w:r>
      <w:r>
        <w:rPr/>
        <w:pict>
          <v:shape style="position:absolute;margin-left:534.720032pt;margin-top:215.040985pt;width:.5pt;height:9.6pt;mso-position-horizontal-relative:page;mso-position-vertical-relative:page;z-index:-37962752" id="docshape391" coordorigin="10694,4301" coordsize="10,192" path="m10704,4454l10694,4454,10694,4493,10704,4493,10704,4454xm10704,4378l10694,4378,10694,4416,10704,4416,10704,4378xm10704,4301l10694,4301,10694,4339,10704,4339,10704,4301xe" filled="true" fillcolor="#000000" stroked="false">
            <v:path arrowok="t"/>
            <v:fill type="solid"/>
            <w10:wrap type="none"/>
          </v:shape>
        </w:pict>
      </w:r>
      <w:r>
        <w:rPr/>
        <w:pict>
          <v:shape style="position:absolute;margin-left:332.400024pt;margin-top:230.400986pt;width:.5pt;height:9.6pt;mso-position-horizontal-relative:page;mso-position-vertical-relative:page;z-index:-37962240" id="docshape392" coordorigin="6648,4608" coordsize="10,192" path="m6658,4762l6648,4762,6648,4800,6658,4800,6658,4762xm6658,4685l6648,4685,6648,4723,6658,4723,6658,4685xm6658,4608l6648,4608,6648,4646,6658,4646,6658,4608xe" filled="true" fillcolor="#000000" stroked="false">
            <v:path arrowok="t"/>
            <v:fill type="solid"/>
            <w10:wrap type="none"/>
          </v:shape>
        </w:pict>
      </w:r>
      <w:r>
        <w:rPr/>
        <w:pict>
          <v:shape style="position:absolute;margin-left:332.400024pt;margin-top:245.759995pt;width:.5pt;height:9.65pt;mso-position-horizontal-relative:page;mso-position-vertical-relative:page;z-index:-37961728" id="docshape393" coordorigin="6648,4915" coordsize="10,193" path="m6658,5069l6648,5069,6648,5107,6658,5107,6658,5069xm6658,4992l6648,4992,6648,5030,6658,5030,6658,4992xm6658,4915l6648,4915,6648,4954,6658,4954,6658,4915xe" filled="true" fillcolor="#000000" stroked="false">
            <v:path arrowok="t"/>
            <v:fill type="solid"/>
            <w10:wrap type="none"/>
          </v:shape>
        </w:pict>
      </w:r>
      <w:r>
        <w:rPr/>
        <w:pict>
          <v:shape style="position:absolute;margin-left:332.400024pt;margin-top:261.121002pt;width:.5pt;height:9.6pt;mso-position-horizontal-relative:page;mso-position-vertical-relative:page;z-index:-37961216" id="docshape394" coordorigin="6648,5222" coordsize="10,192" path="m6658,5376l6648,5376,6648,5414,6658,5414,6658,5376xm6658,5299l6648,5299,6648,5338,6658,5338,6658,5299xm6658,5222l6648,5222,6648,5261,6658,5261,6658,5222xe" filled="true" fillcolor="#000000" stroked="false">
            <v:path arrowok="t"/>
            <v:fill type="solid"/>
            <w10:wrap type="none"/>
          </v:shape>
        </w:pict>
      </w:r>
      <w:r>
        <w:rPr/>
        <w:pict>
          <v:shape style="position:absolute;margin-left:332.400024pt;margin-top:276.480988pt;width:.5pt;height:9.6pt;mso-position-horizontal-relative:page;mso-position-vertical-relative:page;z-index:-37960704" id="docshape395" coordorigin="6648,5530" coordsize="10,192" path="m6658,5683l6648,5683,6648,5722,6658,5722,6658,5683xm6658,5606l6648,5606,6648,5645,6658,5645,6658,5606xm6658,5530l6648,5530,6648,5568,6658,5568,6658,5530xe" filled="true" fillcolor="#000000" stroked="false">
            <v:path arrowok="t"/>
            <v:fill type="solid"/>
            <w10:wrap type="none"/>
          </v:shape>
        </w:pict>
      </w:r>
      <w:r>
        <w:rPr/>
        <w:pict>
          <v:shape style="position:absolute;margin-left:332.400024pt;margin-top:291.839996pt;width:.5pt;height:9.65pt;mso-position-horizontal-relative:page;mso-position-vertical-relative:page;z-index:-37960192" id="docshape396" coordorigin="6648,5837" coordsize="10,193" path="m6658,5990l6648,5990,6648,6029,6658,6029,6658,5990xm6658,5914l6648,5914,6648,5952,6658,5952,6658,5914xm6658,5837l6648,5837,6648,5875,6658,5875,6658,5837xe" filled="true" fillcolor="#000000" stroked="false">
            <v:path arrowok="t"/>
            <v:fill type="solid"/>
            <w10:wrap type="none"/>
          </v:shape>
        </w:pict>
      </w:r>
      <w:r>
        <w:rPr/>
        <w:pict>
          <v:shape style="position:absolute;margin-left:382.920013pt;margin-top:291.839996pt;width:.5pt;height:9.65pt;mso-position-horizontal-relative:page;mso-position-vertical-relative:page;z-index:-37959680" id="docshape397" coordorigin="7658,5837" coordsize="10,193" path="m7668,5990l7658,5990,7658,6029,7668,6029,7668,5990xm7668,5914l7658,5914,7658,5952,7668,5952,7668,5914xm7668,5837l7658,5837,7658,5875,7668,5875,7668,5837xe" filled="true" fillcolor="#000000" stroked="false">
            <v:path arrowok="t"/>
            <v:fill type="solid"/>
            <w10:wrap type="none"/>
          </v:shape>
        </w:pict>
      </w:r>
      <w:r>
        <w:rPr/>
        <w:pict>
          <v:shape style="position:absolute;margin-left:433.440033pt;margin-top:291.839996pt;width:.5pt;height:9.65pt;mso-position-horizontal-relative:page;mso-position-vertical-relative:page;z-index:-37959168" id="docshape398" coordorigin="8669,5837" coordsize="10,193" path="m8678,5990l8669,5990,8669,6029,8678,6029,8678,5990xm8678,5914l8669,5914,8669,5952,8678,5952,8678,5914xm8678,5837l8669,5837,8669,5875,8678,5875,8678,5837xe" filled="true" fillcolor="#000000" stroked="false">
            <v:path arrowok="t"/>
            <v:fill type="solid"/>
            <w10:wrap type="none"/>
          </v:shape>
        </w:pict>
      </w:r>
      <w:r>
        <w:rPr/>
        <w:pict>
          <v:shape style="position:absolute;margin-left:484.199036pt;margin-top:291.839996pt;width:.5pt;height:9.65pt;mso-position-horizontal-relative:page;mso-position-vertical-relative:page;z-index:-37958656" id="docshape399" coordorigin="9684,5837" coordsize="10,193" path="m9694,5990l9684,5990,9684,6029,9694,6029,9694,5990xm9694,5914l9684,5914,9684,5952,9694,5952,9694,5914xm9694,5837l9684,5837,9684,5875,9694,5875,9694,5837xe" filled="true" fillcolor="#000000" stroked="false">
            <v:path arrowok="t"/>
            <v:fill type="solid"/>
            <w10:wrap type="none"/>
          </v:shape>
        </w:pict>
      </w:r>
      <w:r>
        <w:rPr/>
        <w:pict>
          <v:shape style="position:absolute;margin-left:534.720032pt;margin-top:291.839996pt;width:.5pt;height:9.65pt;mso-position-horizontal-relative:page;mso-position-vertical-relative:page;z-index:-37958144" id="docshape400" coordorigin="10694,5837" coordsize="10,193" path="m10704,5990l10694,5990,10694,6029,10704,6029,10704,5990xm10704,5914l10694,5914,10694,5952,10704,5952,10704,5914xm10704,5837l10694,5837,10694,5875,10704,5875,10704,5837xe" filled="true" fillcolor="#000000" stroked="false">
            <v:path arrowok="t"/>
            <v:fill type="solid"/>
            <w10:wrap type="none"/>
          </v:shape>
        </w:pict>
      </w:r>
      <w:r>
        <w:rPr/>
        <w:pict>
          <v:shape style="position:absolute;margin-left:585.240051pt;margin-top:291.839996pt;width:.5pt;height:9.65pt;mso-position-horizontal-relative:page;mso-position-vertical-relative:page;z-index:-37957632" id="docshape401" coordorigin="11705,5837" coordsize="10,193" path="m11714,5990l11705,5990,11705,6029,11714,6029,11714,5990xm11714,5914l11705,5914,11705,5952,11714,5952,11714,5914xm11714,5837l11705,5837,11705,5875,11714,5875,11714,5837xe" filled="true" fillcolor="#000000" stroked="false">
            <v:path arrowok="t"/>
            <v:fill type="solid"/>
            <w10:wrap type="none"/>
          </v:shape>
        </w:pict>
      </w:r>
      <w:r>
        <w:rPr/>
        <w:pict>
          <v:shape style="position:absolute;margin-left:332.400024pt;margin-top:322.559998pt;width:.5pt;height:9.65pt;mso-position-horizontal-relative:page;mso-position-vertical-relative:page;z-index:-37957120" id="docshape402" coordorigin="6648,6451" coordsize="10,193" path="m6658,6605l6648,6605,6648,6643,6658,6643,6658,6605xm6658,6528l6648,6528,6648,6566,6658,6566,6658,6528xm6658,6451l6648,6451,6648,6490,6658,6490,6658,6451xe" filled="true" fillcolor="#000000" stroked="false">
            <v:path arrowok="t"/>
            <v:fill type="solid"/>
            <w10:wrap type="none"/>
          </v:shape>
        </w:pict>
      </w:r>
      <w:r>
        <w:rPr/>
        <w:pict>
          <v:shape style="position:absolute;margin-left:534.720032pt;margin-top:322.559998pt;width:.5pt;height:9.65pt;mso-position-horizontal-relative:page;mso-position-vertical-relative:page;z-index:-37956608" id="docshape403" coordorigin="10694,6451" coordsize="10,193" path="m10704,6605l10694,6605,10694,6643,10704,6643,10704,6605xm10704,6528l10694,6528,10694,6566,10704,6566,10704,6528xm10704,6451l10694,6451,10694,6490,10704,6490,10704,6451xe" filled="true" fillcolor="#000000" stroked="false">
            <v:path arrowok="t"/>
            <v:fill type="solid"/>
            <w10:wrap type="none"/>
          </v:shape>
        </w:pict>
      </w:r>
      <w:r>
        <w:rPr/>
        <w:pict>
          <v:shape style="position:absolute;margin-left:332.400024pt;margin-top:337.92099pt;width:.5pt;height:9.6pt;mso-position-horizontal-relative:page;mso-position-vertical-relative:page;z-index:-37956096" id="docshape404" coordorigin="6648,6758" coordsize="10,192" path="m6658,6912l6648,6912,6648,6950,6658,6950,6658,6912xm6658,6835l6648,6835,6648,6874,6658,6874,6658,6835xm6658,6758l6648,6758,6648,6797,6658,6797,6658,6758xe" filled="true" fillcolor="#000000" stroked="false">
            <v:path arrowok="t"/>
            <v:fill type="solid"/>
            <w10:wrap type="none"/>
          </v:shape>
        </w:pict>
      </w:r>
      <w:r>
        <w:rPr/>
        <w:pict>
          <v:shape style="position:absolute;margin-left:332.400024pt;margin-top:357.121002pt;width:.5pt;height:5.8pt;mso-position-horizontal-relative:page;mso-position-vertical-relative:page;z-index:-37955584" id="docshape405" coordorigin="6648,7142" coordsize="10,116" path="m6658,7219l6648,7219,6648,7258,6658,7258,6658,7219xm6658,7142l6648,7142,6648,7181,6658,7181,6658,7142xe" filled="true" fillcolor="#000000" stroked="false">
            <v:path arrowok="t"/>
            <v:fill type="solid"/>
            <w10:wrap type="none"/>
          </v:shape>
        </w:pict>
      </w:r>
      <w:r>
        <w:rPr/>
        <w:pict>
          <v:shape style="position:absolute;margin-left:332.400024pt;margin-top:372.480988pt;width:.5pt;height:5.8pt;mso-position-horizontal-relative:page;mso-position-vertical-relative:page;z-index:-37955072" id="docshape406" coordorigin="6648,7450" coordsize="10,116" path="m6658,7526l6648,7526,6648,7565,6658,7565,6658,7526xm6658,7450l6648,7450,6648,7488,6658,7488,6658,7450xe" filled="true" fillcolor="#000000" stroked="false">
            <v:path arrowok="t"/>
            <v:fill type="solid"/>
            <w10:wrap type="none"/>
          </v:shape>
        </w:pict>
      </w:r>
      <w:r>
        <w:rPr/>
        <w:pict>
          <v:shape style="position:absolute;margin-left:534.720032pt;margin-top:372.480988pt;width:.5pt;height:5.8pt;mso-position-horizontal-relative:page;mso-position-vertical-relative:page;z-index:-37954560" id="docshape407" coordorigin="10694,7450" coordsize="10,116" path="m10704,7526l10694,7526,10694,7565,10704,7565,10704,7526xm10704,7450l10694,7450,10694,7488,10704,7488,10704,7450xe" filled="true" fillcolor="#000000" stroked="false">
            <v:path arrowok="t"/>
            <v:fill type="solid"/>
            <w10:wrap type="none"/>
          </v:shape>
        </w:pict>
      </w:r>
      <w:r>
        <w:rPr/>
        <w:pict>
          <v:shape style="position:absolute;margin-left:332.400024pt;margin-top:387.841003pt;width:.5pt;height:21.15pt;mso-position-horizontal-relative:page;mso-position-vertical-relative:page;z-index:-37954048" id="docshape408" coordorigin="6648,7757" coordsize="10,423" path="m6658,8141l6648,8141,6648,8179,6658,8179,6658,8141xm6658,8064l6648,8064,6648,8102,6658,8102,6658,8064xm6658,7987l6648,7987,6648,8026,6658,8026,6658,7987xm6658,7910l6648,7910,6648,7949,6658,7949,6658,7910xm6658,7834l6648,7834,6648,7872,6658,7872,6658,7834xm6658,7757l6648,7757,6648,7795,6658,7795,6658,7757xe" filled="true" fillcolor="#000000" stroked="false">
            <v:path arrowok="t"/>
            <v:fill type="solid"/>
            <w10:wrap type="none"/>
          </v:shape>
        </w:pict>
      </w:r>
      <w:r>
        <w:rPr/>
        <w:pict>
          <v:shape style="position:absolute;margin-left:382.920013pt;margin-top:387.841003pt;width:.5pt;height:21.15pt;mso-position-horizontal-relative:page;mso-position-vertical-relative:page;z-index:-37953536" id="docshape409" coordorigin="7658,7757" coordsize="10,423" path="m7668,8141l7658,8141,7658,8179,7668,8179,7668,8141xm7668,8064l7658,8064,7658,8102,7668,8102,7668,8064xm7668,7987l7658,7987,7658,8026,7668,8026,7668,7987xm7668,7910l7658,7910,7658,7949,7668,7949,7668,7910xm7668,7834l7658,7834,7658,7872,7668,7872,7668,7834xm7668,7757l7658,7757,7658,7795,7668,7795,7668,7757xe" filled="true" fillcolor="#000000" stroked="false">
            <v:path arrowok="t"/>
            <v:fill type="solid"/>
            <w10:wrap type="none"/>
          </v:shape>
        </w:pict>
      </w:r>
      <w:r>
        <w:rPr/>
        <w:pict>
          <v:shape style="position:absolute;margin-left:433.440033pt;margin-top:387.841003pt;width:.5pt;height:21.15pt;mso-position-horizontal-relative:page;mso-position-vertical-relative:page;z-index:-37953024" id="docshape410" coordorigin="8669,7757" coordsize="10,423" path="m8678,8141l8669,8141,8669,8179,8678,8179,8678,8141xm8678,8064l8669,8064,8669,8102,8678,8102,8678,8064xm8678,7987l8669,7987,8669,8026,8678,8026,8678,7987xm8678,7910l8669,7910,8669,7949,8678,7949,8678,7910xm8678,7834l8669,7834,8669,7872,8678,7872,8678,7834xm8678,7757l8669,7757,8669,7795,8678,7795,8678,7757xe" filled="true" fillcolor="#000000" stroked="false">
            <v:path arrowok="t"/>
            <v:fill type="solid"/>
            <w10:wrap type="none"/>
          </v:shape>
        </w:pict>
      </w:r>
      <w:r>
        <w:rPr/>
        <w:pict>
          <v:shape style="position:absolute;margin-left:484.199036pt;margin-top:387.841003pt;width:.5pt;height:21.15pt;mso-position-horizontal-relative:page;mso-position-vertical-relative:page;z-index:-37952512" id="docshape411" coordorigin="9684,7757" coordsize="10,423" path="m9694,8141l9684,8141,9684,8179,9694,8179,9694,8141xm9694,8064l9684,8064,9684,8102,9694,8102,9694,8064xm9694,7987l9684,7987,9684,8026,9694,8026,9694,7987xm9694,7910l9684,7910,9684,7949,9694,7949,9694,7910xm9694,7834l9684,7834,9684,7872,9694,7872,9694,7834xm9694,7757l9684,7757,9684,7795,9694,7795,9694,7757xe" filled="true" fillcolor="#000000" stroked="false">
            <v:path arrowok="t"/>
            <v:fill type="solid"/>
            <w10:wrap type="none"/>
          </v:shape>
        </w:pict>
      </w:r>
      <w:r>
        <w:rPr/>
        <w:pict>
          <v:shape style="position:absolute;margin-left:534.720032pt;margin-top:387.841003pt;width:.5pt;height:21.15pt;mso-position-horizontal-relative:page;mso-position-vertical-relative:page;z-index:-37952000" id="docshape412" coordorigin="10694,7757" coordsize="10,423" path="m10704,8141l10694,8141,10694,8179,10704,8179,10704,8141xm10704,8064l10694,8064,10694,8102,10704,8102,10704,8064xm10704,7987l10694,7987,10694,8026,10704,8026,10704,7987xm10704,7910l10694,7910,10694,7949,10704,7949,10704,7910xm10704,7834l10694,7834,10694,7872,10704,7872,10704,7834xm10704,7757l10694,7757,10694,7795,10704,7795,10704,7757xe" filled="true" fillcolor="#000000" stroked="false">
            <v:path arrowok="t"/>
            <v:fill type="solid"/>
            <w10:wrap type="none"/>
          </v:shape>
        </w:pict>
      </w:r>
      <w:r>
        <w:rPr/>
        <w:pict>
          <v:shape style="position:absolute;margin-left:585.240051pt;margin-top:387.841003pt;width:.5pt;height:21.15pt;mso-position-horizontal-relative:page;mso-position-vertical-relative:page;z-index:-37951488" id="docshape413" coordorigin="11705,7757" coordsize="10,423" path="m11714,8141l11705,8141,11705,8179,11714,8179,11714,8141xm11714,8064l11705,8064,11705,8102,11714,8102,11714,8064xm11714,7987l11705,7987,11705,8026,11714,8026,11714,7987xm11714,7910l11705,7910,11705,7949,11714,7949,11714,7910xm11714,7834l11705,7834,11705,7872,11714,7872,11714,7834xm11714,7757l11705,7757,11705,7795,11714,7795,11714,7757xe" filled="true" fillcolor="#000000" stroked="false">
            <v:path arrowok="t"/>
            <v:fill type="solid"/>
            <w10:wrap type="none"/>
          </v:shape>
        </w:pict>
      </w:r>
      <w:r>
        <w:rPr/>
        <w:pict>
          <v:shape style="position:absolute;margin-left:332.400024pt;margin-top:433.92099pt;width:.5pt;height:5.8pt;mso-position-horizontal-relative:page;mso-position-vertical-relative:page;z-index:-37950976" id="docshape414" coordorigin="6648,8678" coordsize="10,116" path="m6658,8755l6648,8755,6648,8794,6658,8794,6658,8755xm6658,8678l6648,8678,6648,8717,6658,8717,6658,8678xe" filled="true" fillcolor="#000000" stroked="false">
            <v:path arrowok="t"/>
            <v:fill type="solid"/>
            <w10:wrap type="none"/>
          </v:shape>
        </w:pict>
      </w:r>
      <w:r>
        <w:rPr/>
        <w:pict>
          <v:shape style="position:absolute;margin-left:534.720032pt;margin-top:433.92099pt;width:.5pt;height:5.8pt;mso-position-horizontal-relative:page;mso-position-vertical-relative:page;z-index:-37950464" id="docshape415" coordorigin="10694,8678" coordsize="10,116" path="m10704,8755l10694,8755,10694,8794,10704,8794,10704,8755xm10704,8678l10694,8678,10694,8717,10704,8717,10704,8678xe" filled="true" fillcolor="#000000" stroked="false">
            <v:path arrowok="t"/>
            <v:fill type="solid"/>
            <w10:wrap type="none"/>
          </v:shape>
        </w:pict>
      </w:r>
      <w:r>
        <w:rPr/>
        <w:pict>
          <v:shape style="position:absolute;margin-left:332.400024pt;margin-top:449.279999pt;width:.5pt;height:5.8pt;mso-position-horizontal-relative:page;mso-position-vertical-relative:page;z-index:-37949952" id="docshape416" coordorigin="6648,8986" coordsize="10,116" path="m6658,9062l6648,9062,6648,9101,6658,9101,6658,9062xm6658,8986l6648,8986,6648,9024,6658,9024,6658,8986xe" filled="true" fillcolor="#000000" stroked="false">
            <v:path arrowok="t"/>
            <v:fill type="solid"/>
            <w10:wrap type="none"/>
          </v:shape>
        </w:pict>
      </w:r>
      <w:r>
        <w:rPr/>
        <w:pict>
          <v:shape style="position:absolute;margin-left:382.920013pt;margin-top:449.279999pt;width:.5pt;height:5.8pt;mso-position-horizontal-relative:page;mso-position-vertical-relative:page;z-index:-37949440" id="docshape417" coordorigin="7658,8986" coordsize="10,116" path="m7668,9062l7658,9062,7658,9101,7668,9101,7668,9062xm7668,8986l7658,8986,7658,9024,7668,9024,7668,8986xe" filled="true" fillcolor="#000000" stroked="false">
            <v:path arrowok="t"/>
            <v:fill type="solid"/>
            <w10:wrap type="none"/>
          </v:shape>
        </w:pict>
      </w:r>
      <w:r>
        <w:rPr/>
        <w:pict>
          <v:shape style="position:absolute;margin-left:433.440033pt;margin-top:449.279999pt;width:.5pt;height:5.8pt;mso-position-horizontal-relative:page;mso-position-vertical-relative:page;z-index:-37948928" id="docshape418" coordorigin="8669,8986" coordsize="10,116" path="m8678,9062l8669,9062,8669,9101,8678,9101,8678,9062xm8678,8986l8669,8986,8669,9024,8678,9024,8678,8986xe" filled="true" fillcolor="#000000" stroked="false">
            <v:path arrowok="t"/>
            <v:fill type="solid"/>
            <w10:wrap type="none"/>
          </v:shape>
        </w:pict>
      </w:r>
      <w:r>
        <w:rPr/>
        <w:pict>
          <v:shape style="position:absolute;margin-left:484.199036pt;margin-top:449.279999pt;width:.5pt;height:5.8pt;mso-position-horizontal-relative:page;mso-position-vertical-relative:page;z-index:-37948416" id="docshape419" coordorigin="9684,8986" coordsize="10,116" path="m9694,9062l9684,9062,9684,9101,9694,9101,9694,9062xm9694,8986l9684,8986,9684,9024,9694,9024,9694,8986xe" filled="true" fillcolor="#000000" stroked="false">
            <v:path arrowok="t"/>
            <v:fill type="solid"/>
            <w10:wrap type="none"/>
          </v:shape>
        </w:pict>
      </w:r>
      <w:r>
        <w:rPr/>
        <w:pict>
          <v:shape style="position:absolute;margin-left:534.720032pt;margin-top:449.279999pt;width:.5pt;height:5.8pt;mso-position-horizontal-relative:page;mso-position-vertical-relative:page;z-index:-37947904" id="docshape420" coordorigin="10694,8986" coordsize="10,116" path="m10704,9062l10694,9062,10694,9101,10704,9101,10704,9062xm10704,8986l10694,8986,10694,9024,10704,9024,10704,8986xe" filled="true" fillcolor="#000000" stroked="false">
            <v:path arrowok="t"/>
            <v:fill type="solid"/>
            <w10:wrap type="none"/>
          </v:shape>
        </w:pict>
      </w:r>
      <w:r>
        <w:rPr/>
        <w:pict>
          <v:shape style="position:absolute;margin-left:585.240051pt;margin-top:449.279999pt;width:.5pt;height:5.8pt;mso-position-horizontal-relative:page;mso-position-vertical-relative:page;z-index:-37947392" id="docshape421" coordorigin="11705,8986" coordsize="10,116" path="m11714,9062l11705,9062,11705,9101,11714,9101,11714,9062xm11714,8986l11705,8986,11705,9024,11714,9024,11714,8986xe" filled="true" fillcolor="#000000" stroked="false">
            <v:path arrowok="t"/>
            <v:fill type="solid"/>
            <w10:wrap type="none"/>
          </v:shape>
        </w:pict>
      </w:r>
    </w:p>
    <w:p>
      <w:pPr>
        <w:spacing w:after="0"/>
        <w:rPr>
          <w:sz w:val="2"/>
          <w:szCs w:val="2"/>
        </w:rPr>
        <w:sectPr>
          <w:type w:val="continuous"/>
          <w:pgSz w:w="16840" w:h="11910" w:orient="landscape"/>
          <w:pgMar w:header="0" w:footer="546" w:top="700" w:bottom="740" w:left="600" w:right="120"/>
        </w:sect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296"/>
        <w:gridCol w:w="1210"/>
        <w:gridCol w:w="1020"/>
        <w:gridCol w:w="1020"/>
        <w:gridCol w:w="1022"/>
        <w:gridCol w:w="1020"/>
        <w:gridCol w:w="1022"/>
        <w:gridCol w:w="1024"/>
        <w:gridCol w:w="1250"/>
        <w:gridCol w:w="1248"/>
        <w:gridCol w:w="1250"/>
      </w:tblGrid>
      <w:tr>
        <w:trPr>
          <w:trHeight w:val="346" w:hRule="atLeast"/>
        </w:trPr>
        <w:tc>
          <w:tcPr>
            <w:tcW w:w="15382" w:type="dxa"/>
            <w:gridSpan w:val="11"/>
            <w:tcBorders>
              <w:left w:val="single" w:sz="12" w:space="0" w:color="000000"/>
              <w:right w:val="single" w:sz="12" w:space="0" w:color="000000"/>
            </w:tcBorders>
            <w:shd w:val="clear" w:color="auto" w:fill="629CD1"/>
          </w:tcPr>
          <w:p>
            <w:pPr>
              <w:pStyle w:val="TableParagraph"/>
              <w:spacing w:line="315" w:lineRule="exact" w:before="11"/>
              <w:ind w:left="3649" w:right="3613"/>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6"/>
                <w:sz w:val="28"/>
              </w:rPr>
              <w:t> </w:t>
            </w:r>
            <w:r>
              <w:rPr>
                <w:b/>
                <w:color w:val="FFFFFF"/>
                <w:sz w:val="28"/>
              </w:rPr>
              <w:t>PROGRAM</w:t>
            </w:r>
            <w:r>
              <w:rPr>
                <w:b/>
                <w:color w:val="FFFFFF"/>
                <w:spacing w:val="-3"/>
                <w:sz w:val="28"/>
              </w:rPr>
              <w:t> </w:t>
            </w:r>
            <w:r>
              <w:rPr>
                <w:b/>
                <w:color w:val="FFFFFF"/>
                <w:sz w:val="28"/>
              </w:rPr>
              <w:t>2024/2025</w:t>
            </w:r>
            <w:r>
              <w:rPr>
                <w:b/>
                <w:color w:val="FFFFFF"/>
                <w:spacing w:val="-6"/>
                <w:sz w:val="28"/>
              </w:rPr>
              <w:t> </w:t>
            </w:r>
            <w:r>
              <w:rPr>
                <w:b/>
                <w:color w:val="FFFFFF"/>
                <w:sz w:val="28"/>
              </w:rPr>
              <w:t>TO</w:t>
            </w:r>
            <w:r>
              <w:rPr>
                <w:b/>
                <w:color w:val="FFFFFF"/>
                <w:spacing w:val="-3"/>
                <w:sz w:val="28"/>
              </w:rPr>
              <w:t> </w:t>
            </w:r>
            <w:r>
              <w:rPr>
                <w:b/>
                <w:color w:val="FFFFFF"/>
                <w:spacing w:val="-2"/>
                <w:sz w:val="28"/>
              </w:rPr>
              <w:t>2027/2028</w:t>
            </w:r>
          </w:p>
        </w:tc>
      </w:tr>
      <w:tr>
        <w:trPr>
          <w:trHeight w:val="499" w:hRule="atLeast"/>
        </w:trPr>
        <w:tc>
          <w:tcPr>
            <w:tcW w:w="4296"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7338" w:type="dxa"/>
            <w:gridSpan w:val="7"/>
            <w:tcBorders>
              <w:left w:val="single" w:sz="12" w:space="0" w:color="000000"/>
              <w:right w:val="single" w:sz="12" w:space="0" w:color="000000"/>
            </w:tcBorders>
            <w:shd w:val="clear" w:color="auto" w:fill="629CD1"/>
          </w:tcPr>
          <w:p>
            <w:pPr>
              <w:pStyle w:val="TableParagraph"/>
              <w:spacing w:before="134"/>
              <w:ind w:left="2815" w:right="2787"/>
              <w:jc w:val="center"/>
              <w:rPr>
                <w:b/>
                <w:sz w:val="20"/>
              </w:rPr>
            </w:pPr>
            <w:r>
              <w:rPr>
                <w:b/>
                <w:color w:val="FFFFFF"/>
                <w:sz w:val="20"/>
              </w:rPr>
              <w:t>Budget</w:t>
            </w:r>
            <w:r>
              <w:rPr>
                <w:b/>
                <w:color w:val="FFFFFF"/>
                <w:spacing w:val="-7"/>
                <w:sz w:val="20"/>
              </w:rPr>
              <w:t> </w:t>
            </w:r>
            <w:r>
              <w:rPr>
                <w:b/>
                <w:color w:val="FFFFFF"/>
                <w:spacing w:val="-2"/>
                <w:sz w:val="20"/>
              </w:rPr>
              <w:t>2024/2025</w:t>
            </w:r>
          </w:p>
        </w:tc>
        <w:tc>
          <w:tcPr>
            <w:tcW w:w="1250" w:type="dxa"/>
            <w:tcBorders>
              <w:left w:val="single" w:sz="12" w:space="0" w:color="000000"/>
              <w:right w:val="single" w:sz="12" w:space="0" w:color="000000"/>
            </w:tcBorders>
            <w:shd w:val="clear" w:color="auto" w:fill="629CD1"/>
          </w:tcPr>
          <w:p>
            <w:pPr>
              <w:pStyle w:val="TableParagraph"/>
              <w:spacing w:before="19"/>
              <w:ind w:left="264" w:right="227" w:firstLine="16"/>
              <w:rPr>
                <w:b/>
                <w:sz w:val="20"/>
              </w:rPr>
            </w:pPr>
            <w:r>
              <w:rPr>
                <w:b/>
                <w:color w:val="FFFFFF"/>
                <w:spacing w:val="-2"/>
                <w:sz w:val="20"/>
              </w:rPr>
              <w:t>Budget 2025/26</w:t>
            </w:r>
          </w:p>
        </w:tc>
        <w:tc>
          <w:tcPr>
            <w:tcW w:w="1248" w:type="dxa"/>
            <w:tcBorders>
              <w:left w:val="single" w:sz="12" w:space="0" w:color="000000"/>
              <w:right w:val="single" w:sz="12" w:space="0" w:color="000000"/>
            </w:tcBorders>
            <w:shd w:val="clear" w:color="auto" w:fill="629CD1"/>
          </w:tcPr>
          <w:p>
            <w:pPr>
              <w:pStyle w:val="TableParagraph"/>
              <w:spacing w:before="19"/>
              <w:ind w:left="152" w:right="118" w:firstLine="129"/>
              <w:rPr>
                <w:b/>
                <w:sz w:val="20"/>
              </w:rPr>
            </w:pPr>
            <w:r>
              <w:rPr>
                <w:b/>
                <w:color w:val="FFFFFF"/>
                <w:spacing w:val="-2"/>
                <w:sz w:val="20"/>
              </w:rPr>
              <w:t>Budget 2026/2027</w:t>
            </w:r>
          </w:p>
        </w:tc>
        <w:tc>
          <w:tcPr>
            <w:tcW w:w="1250" w:type="dxa"/>
            <w:tcBorders>
              <w:left w:val="single" w:sz="12" w:space="0" w:color="000000"/>
              <w:right w:val="single" w:sz="12" w:space="0" w:color="000000"/>
            </w:tcBorders>
            <w:shd w:val="clear" w:color="auto" w:fill="629CD1"/>
          </w:tcPr>
          <w:p>
            <w:pPr>
              <w:pStyle w:val="TableParagraph"/>
              <w:spacing w:before="19"/>
              <w:ind w:left="154" w:right="118" w:firstLine="129"/>
              <w:rPr>
                <w:b/>
                <w:sz w:val="20"/>
              </w:rPr>
            </w:pPr>
            <w:r>
              <w:rPr>
                <w:b/>
                <w:color w:val="FFFFFF"/>
                <w:spacing w:val="-2"/>
                <w:sz w:val="20"/>
              </w:rPr>
              <w:t>Budget 2027/2028</w:t>
            </w:r>
          </w:p>
        </w:tc>
      </w:tr>
      <w:tr>
        <w:trPr>
          <w:trHeight w:val="694" w:hRule="atLeast"/>
        </w:trPr>
        <w:tc>
          <w:tcPr>
            <w:tcW w:w="4296"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210" w:type="dxa"/>
            <w:tcBorders>
              <w:left w:val="single" w:sz="12" w:space="0" w:color="000000"/>
              <w:bottom w:val="single" w:sz="12" w:space="0" w:color="000000"/>
              <w:right w:val="single" w:sz="12" w:space="0" w:color="000000"/>
            </w:tcBorders>
            <w:shd w:val="clear" w:color="auto" w:fill="629CD1"/>
          </w:tcPr>
          <w:p>
            <w:pPr>
              <w:pStyle w:val="TableParagraph"/>
              <w:spacing w:before="49"/>
              <w:ind w:left="141" w:right="110" w:hanging="2"/>
              <w:jc w:val="center"/>
              <w:rPr>
                <w:b/>
                <w:sz w:val="16"/>
              </w:rPr>
            </w:pPr>
            <w:r>
              <w:rPr>
                <w:b/>
                <w:color w:val="FFFFFF"/>
                <w:spacing w:val="-2"/>
                <w:sz w:val="16"/>
              </w:rPr>
              <w:t>Total Expenditure</w:t>
            </w:r>
          </w:p>
          <w:p>
            <w:pPr>
              <w:pStyle w:val="TableParagraph"/>
              <w:spacing w:line="169" w:lineRule="exact" w:before="88"/>
              <w:ind w:left="414" w:right="386"/>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9"/>
              <w:ind w:left="313" w:right="183" w:hanging="99"/>
              <w:rPr>
                <w:b/>
                <w:sz w:val="16"/>
              </w:rPr>
            </w:pPr>
            <w:r>
              <w:rPr>
                <w:b/>
                <w:color w:val="FFFFFF"/>
                <w:spacing w:val="-2"/>
                <w:sz w:val="16"/>
              </w:rPr>
              <w:t>Council </w:t>
            </w:r>
            <w:r>
              <w:rPr>
                <w:b/>
                <w:color w:val="FFFFFF"/>
                <w:spacing w:val="-4"/>
                <w:sz w:val="16"/>
              </w:rPr>
              <w:t>Cash</w:t>
            </w:r>
          </w:p>
          <w:p>
            <w:pPr>
              <w:pStyle w:val="TableParagraph"/>
              <w:spacing w:line="169" w:lineRule="exact" w:before="88"/>
              <w:ind w:left="330"/>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143"/>
              <w:ind w:left="251"/>
              <w:rPr>
                <w:b/>
                <w:sz w:val="16"/>
              </w:rPr>
            </w:pPr>
            <w:r>
              <w:rPr>
                <w:b/>
                <w:color w:val="FFFFFF"/>
                <w:spacing w:val="-2"/>
                <w:sz w:val="16"/>
              </w:rPr>
              <w:t>Grants</w:t>
            </w:r>
          </w:p>
          <w:p>
            <w:pPr>
              <w:pStyle w:val="TableParagraph"/>
              <w:spacing w:before="5"/>
              <w:rPr>
                <w:b/>
                <w:sz w:val="15"/>
              </w:rPr>
            </w:pPr>
          </w:p>
          <w:p>
            <w:pPr>
              <w:pStyle w:val="TableParagraph"/>
              <w:spacing w:line="169" w:lineRule="exact" w:before="1"/>
              <w:ind w:left="330"/>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49"/>
              <w:ind w:left="131" w:right="97" w:firstLine="120"/>
              <w:rPr>
                <w:b/>
                <w:sz w:val="16"/>
              </w:rPr>
            </w:pPr>
            <w:r>
              <w:rPr>
                <w:b/>
                <w:color w:val="FFFFFF"/>
                <w:spacing w:val="-2"/>
                <w:sz w:val="16"/>
              </w:rPr>
              <w:t>Others </w:t>
            </w:r>
            <w:r>
              <w:rPr>
                <w:b/>
                <w:color w:val="FFFFFF"/>
                <w:sz w:val="16"/>
              </w:rPr>
              <w:t>Contrib</w:t>
            </w:r>
            <w:r>
              <w:rPr>
                <w:b/>
                <w:color w:val="FFFFFF"/>
                <w:spacing w:val="-12"/>
                <w:sz w:val="16"/>
              </w:rPr>
              <w:t> </w:t>
            </w:r>
            <w:r>
              <w:rPr>
                <w:b/>
                <w:color w:val="FFFFFF"/>
                <w:sz w:val="16"/>
              </w:rPr>
              <w:t>‘n</w:t>
            </w:r>
          </w:p>
          <w:p>
            <w:pPr>
              <w:pStyle w:val="TableParagraph"/>
              <w:spacing w:line="169" w:lineRule="exact" w:before="88"/>
              <w:ind w:left="330"/>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9"/>
              <w:ind w:left="184" w:right="150" w:firstLine="108"/>
              <w:rPr>
                <w:b/>
                <w:sz w:val="16"/>
              </w:rPr>
            </w:pPr>
            <w:r>
              <w:rPr>
                <w:b/>
                <w:color w:val="FFFFFF"/>
                <w:spacing w:val="-2"/>
                <w:sz w:val="16"/>
              </w:rPr>
              <w:t>Asset Renewal</w:t>
            </w:r>
          </w:p>
          <w:p>
            <w:pPr>
              <w:pStyle w:val="TableParagraph"/>
              <w:spacing w:line="169" w:lineRule="exact" w:before="88"/>
              <w:ind w:left="330"/>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143"/>
              <w:ind w:left="171" w:right="144"/>
              <w:jc w:val="center"/>
              <w:rPr>
                <w:b/>
                <w:sz w:val="16"/>
              </w:rPr>
            </w:pPr>
            <w:r>
              <w:rPr>
                <w:b/>
                <w:color w:val="FFFFFF"/>
                <w:spacing w:val="-2"/>
                <w:sz w:val="16"/>
              </w:rPr>
              <w:t>Upgrade</w:t>
            </w:r>
          </w:p>
          <w:p>
            <w:pPr>
              <w:pStyle w:val="TableParagraph"/>
              <w:spacing w:before="5"/>
              <w:rPr>
                <w:b/>
                <w:sz w:val="15"/>
              </w:rPr>
            </w:pPr>
          </w:p>
          <w:p>
            <w:pPr>
              <w:pStyle w:val="TableParagraph"/>
              <w:spacing w:line="169" w:lineRule="exact" w:before="1"/>
              <w:ind w:left="168" w:right="144"/>
              <w:jc w:val="center"/>
              <w:rPr>
                <w:b/>
                <w:sz w:val="16"/>
              </w:rPr>
            </w:pPr>
            <w:r>
              <w:rPr>
                <w:b/>
                <w:color w:val="FFFFFF"/>
                <w:spacing w:val="-4"/>
                <w:sz w:val="16"/>
              </w:rPr>
              <w:t>$000</w:t>
            </w:r>
          </w:p>
        </w:tc>
        <w:tc>
          <w:tcPr>
            <w:tcW w:w="1024" w:type="dxa"/>
            <w:tcBorders>
              <w:left w:val="single" w:sz="12" w:space="0" w:color="000000"/>
              <w:bottom w:val="single" w:sz="12" w:space="0" w:color="000000"/>
              <w:right w:val="single" w:sz="12" w:space="0" w:color="000000"/>
            </w:tcBorders>
            <w:shd w:val="clear" w:color="auto" w:fill="629CD1"/>
          </w:tcPr>
          <w:p>
            <w:pPr>
              <w:pStyle w:val="TableParagraph"/>
              <w:spacing w:before="143"/>
              <w:ind w:left="113" w:right="83"/>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spacing w:before="5"/>
              <w:rPr>
                <w:b/>
                <w:sz w:val="15"/>
              </w:rPr>
            </w:pPr>
          </w:p>
          <w:p>
            <w:pPr>
              <w:pStyle w:val="TableParagraph"/>
              <w:spacing w:line="169" w:lineRule="exact" w:before="1"/>
              <w:ind w:left="111" w:right="83"/>
              <w:jc w:val="center"/>
              <w:rPr>
                <w:b/>
                <w:sz w:val="16"/>
              </w:rPr>
            </w:pPr>
            <w:r>
              <w:rPr>
                <w:b/>
                <w:color w:val="FFFFFF"/>
                <w:spacing w:val="-4"/>
                <w:sz w:val="16"/>
              </w:rPr>
              <w:t>$000</w:t>
            </w:r>
          </w:p>
        </w:tc>
        <w:tc>
          <w:tcPr>
            <w:tcW w:w="1250" w:type="dxa"/>
            <w:tcBorders>
              <w:left w:val="single" w:sz="12" w:space="0" w:color="000000"/>
              <w:bottom w:val="single" w:sz="12" w:space="0" w:color="000000"/>
              <w:right w:val="single" w:sz="12" w:space="0" w:color="000000"/>
            </w:tcBorders>
            <w:shd w:val="clear" w:color="auto" w:fill="629CD1"/>
          </w:tcPr>
          <w:p>
            <w:pPr>
              <w:pStyle w:val="TableParagraph"/>
              <w:spacing w:before="49"/>
              <w:ind w:left="163" w:right="127" w:hanging="6"/>
              <w:jc w:val="center"/>
              <w:rPr>
                <w:b/>
                <w:sz w:val="16"/>
              </w:rPr>
            </w:pPr>
            <w:r>
              <w:rPr>
                <w:b/>
                <w:color w:val="FFFFFF"/>
                <w:spacing w:val="-2"/>
                <w:sz w:val="16"/>
              </w:rPr>
              <w:t>Total Expenditure</w:t>
            </w:r>
          </w:p>
          <w:p>
            <w:pPr>
              <w:pStyle w:val="TableParagraph"/>
              <w:spacing w:line="169" w:lineRule="exact" w:before="88"/>
              <w:ind w:left="434" w:right="405"/>
              <w:jc w:val="center"/>
              <w:rPr>
                <w:b/>
                <w:sz w:val="16"/>
              </w:rPr>
            </w:pPr>
            <w:r>
              <w:rPr>
                <w:b/>
                <w:color w:val="FFFFFF"/>
                <w:spacing w:val="-4"/>
                <w:sz w:val="16"/>
              </w:rPr>
              <w:t>$000</w:t>
            </w:r>
          </w:p>
        </w:tc>
        <w:tc>
          <w:tcPr>
            <w:tcW w:w="1248" w:type="dxa"/>
            <w:tcBorders>
              <w:left w:val="single" w:sz="12" w:space="0" w:color="000000"/>
              <w:bottom w:val="single" w:sz="12" w:space="0" w:color="000000"/>
              <w:right w:val="single" w:sz="12" w:space="0" w:color="000000"/>
            </w:tcBorders>
            <w:shd w:val="clear" w:color="auto" w:fill="629CD1"/>
          </w:tcPr>
          <w:p>
            <w:pPr>
              <w:pStyle w:val="TableParagraph"/>
              <w:spacing w:before="49"/>
              <w:ind w:left="164" w:right="125" w:hanging="6"/>
              <w:jc w:val="center"/>
              <w:rPr>
                <w:b/>
                <w:sz w:val="16"/>
              </w:rPr>
            </w:pPr>
            <w:r>
              <w:rPr>
                <w:b/>
                <w:color w:val="FFFFFF"/>
                <w:spacing w:val="-2"/>
                <w:sz w:val="16"/>
              </w:rPr>
              <w:t>Total Expenditure</w:t>
            </w:r>
          </w:p>
          <w:p>
            <w:pPr>
              <w:pStyle w:val="TableParagraph"/>
              <w:spacing w:line="169" w:lineRule="exact" w:before="88"/>
              <w:ind w:left="116" w:right="84"/>
              <w:jc w:val="center"/>
              <w:rPr>
                <w:b/>
                <w:sz w:val="16"/>
              </w:rPr>
            </w:pPr>
            <w:r>
              <w:rPr>
                <w:b/>
                <w:color w:val="FFFFFF"/>
                <w:spacing w:val="-4"/>
                <w:sz w:val="16"/>
              </w:rPr>
              <w:t>$000</w:t>
            </w:r>
          </w:p>
        </w:tc>
        <w:tc>
          <w:tcPr>
            <w:tcW w:w="1250" w:type="dxa"/>
            <w:tcBorders>
              <w:left w:val="single" w:sz="12" w:space="0" w:color="000000"/>
              <w:bottom w:val="single" w:sz="12" w:space="0" w:color="000000"/>
              <w:right w:val="single" w:sz="12" w:space="0" w:color="000000"/>
            </w:tcBorders>
            <w:shd w:val="clear" w:color="auto" w:fill="629CD1"/>
          </w:tcPr>
          <w:p>
            <w:pPr>
              <w:pStyle w:val="TableParagraph"/>
              <w:spacing w:before="49"/>
              <w:ind w:left="164" w:right="127" w:hanging="6"/>
              <w:jc w:val="center"/>
              <w:rPr>
                <w:b/>
                <w:sz w:val="16"/>
              </w:rPr>
            </w:pPr>
            <w:r>
              <w:rPr>
                <w:b/>
                <w:color w:val="FFFFFF"/>
                <w:spacing w:val="-2"/>
                <w:sz w:val="16"/>
              </w:rPr>
              <w:t>Total Expenditure</w:t>
            </w:r>
          </w:p>
          <w:p>
            <w:pPr>
              <w:pStyle w:val="TableParagraph"/>
              <w:spacing w:line="169" w:lineRule="exact" w:before="88"/>
              <w:ind w:left="434" w:right="404"/>
              <w:jc w:val="center"/>
              <w:rPr>
                <w:b/>
                <w:sz w:val="16"/>
              </w:rPr>
            </w:pPr>
            <w:r>
              <w:rPr>
                <w:b/>
                <w:color w:val="FFFFFF"/>
                <w:spacing w:val="-4"/>
                <w:sz w:val="16"/>
              </w:rPr>
              <w:t>$000</w:t>
            </w:r>
          </w:p>
        </w:tc>
      </w:tr>
      <w:tr>
        <w:trPr>
          <w:trHeight w:val="604" w:hRule="atLeast"/>
        </w:trPr>
        <w:tc>
          <w:tcPr>
            <w:tcW w:w="4296" w:type="dxa"/>
            <w:tcBorders>
              <w:top w:val="single" w:sz="12" w:space="0" w:color="000000"/>
              <w:left w:val="single" w:sz="12" w:space="0" w:color="000000"/>
              <w:bottom w:val="dashSmallGap" w:sz="4" w:space="0" w:color="000000"/>
              <w:right w:val="single" w:sz="8" w:space="0" w:color="000000"/>
            </w:tcBorders>
          </w:tcPr>
          <w:p>
            <w:pPr>
              <w:pStyle w:val="TableParagraph"/>
              <w:spacing w:line="302" w:lineRule="exact"/>
              <w:ind w:left="107"/>
              <w:rPr>
                <w:b/>
                <w:sz w:val="28"/>
              </w:rPr>
            </w:pPr>
            <w:r>
              <w:rPr>
                <w:b/>
                <w:sz w:val="28"/>
              </w:rPr>
              <w:t>ROADS</w:t>
            </w:r>
            <w:r>
              <w:rPr>
                <w:b/>
                <w:spacing w:val="-3"/>
                <w:sz w:val="28"/>
              </w:rPr>
              <w:t> </w:t>
            </w:r>
            <w:r>
              <w:rPr>
                <w:b/>
                <w:sz w:val="28"/>
              </w:rPr>
              <w:t>AND</w:t>
            </w:r>
            <w:r>
              <w:rPr>
                <w:b/>
                <w:spacing w:val="-2"/>
                <w:sz w:val="28"/>
              </w:rPr>
              <w:t> DRAINAGE</w:t>
            </w:r>
          </w:p>
          <w:p>
            <w:pPr>
              <w:pStyle w:val="TableParagraph"/>
              <w:spacing w:line="282" w:lineRule="exact"/>
              <w:ind w:left="107"/>
              <w:rPr>
                <w:b/>
                <w:sz w:val="28"/>
              </w:rPr>
            </w:pPr>
            <w:r>
              <w:rPr>
                <w:b/>
                <w:spacing w:val="-2"/>
                <w:sz w:val="28"/>
              </w:rPr>
              <w:t>Continuation…</w:t>
            </w:r>
          </w:p>
        </w:tc>
        <w:tc>
          <w:tcPr>
            <w:tcW w:w="7338" w:type="dxa"/>
            <w:gridSpan w:val="7"/>
            <w:tcBorders>
              <w:top w:val="thinThickMediumGap" w:sz="9" w:space="0" w:color="000000"/>
              <w:left w:val="single" w:sz="8" w:space="0" w:color="000000"/>
              <w:bottom w:val="single" w:sz="24" w:space="0" w:color="000000"/>
              <w:right w:val="single" w:sz="12" w:space="0" w:color="000000"/>
            </w:tcBorders>
          </w:tcPr>
          <w:p>
            <w:pPr>
              <w:pStyle w:val="TableParagraph"/>
              <w:rPr>
                <w:rFonts w:ascii="Times New Roman"/>
                <w:sz w:val="18"/>
              </w:rPr>
            </w:pPr>
          </w:p>
        </w:tc>
        <w:tc>
          <w:tcPr>
            <w:tcW w:w="1250"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8"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50"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277" w:hRule="atLeast"/>
        </w:trPr>
        <w:tc>
          <w:tcPr>
            <w:tcW w:w="4296" w:type="dxa"/>
            <w:tcBorders>
              <w:top w:val="dashSmallGap" w:sz="4" w:space="0" w:color="000000"/>
              <w:left w:val="single" w:sz="12" w:space="0" w:color="000000"/>
              <w:bottom w:val="dashSmallGap" w:sz="4" w:space="0" w:color="000000"/>
              <w:right w:val="single" w:sz="8" w:space="0" w:color="000000"/>
            </w:tcBorders>
          </w:tcPr>
          <w:p>
            <w:pPr>
              <w:pStyle w:val="TableParagraph"/>
              <w:spacing w:line="252" w:lineRule="exact"/>
              <w:ind w:left="107"/>
              <w:rPr>
                <w:b/>
                <w:sz w:val="22"/>
              </w:rPr>
            </w:pPr>
            <w:r>
              <w:rPr>
                <w:b/>
                <w:spacing w:val="-2"/>
                <w:sz w:val="22"/>
              </w:rPr>
              <w:t>DRAINAGE</w:t>
            </w:r>
          </w:p>
        </w:tc>
        <w:tc>
          <w:tcPr>
            <w:tcW w:w="7338" w:type="dxa"/>
            <w:gridSpan w:val="7"/>
            <w:tcBorders>
              <w:top w:val="single" w:sz="24" w:space="0" w:color="000000"/>
              <w:left w:val="single" w:sz="8" w:space="0" w:color="000000"/>
              <w:bottom w:val="nil"/>
              <w:right w:val="single" w:sz="12" w:space="0" w:color="000000"/>
            </w:tcBorders>
          </w:tcPr>
          <w:p>
            <w:pPr>
              <w:pStyle w:val="TableParagraph"/>
              <w:spacing w:before="2"/>
              <w:rPr>
                <w:b/>
                <w:sz w:val="7"/>
              </w:rPr>
            </w:pPr>
          </w:p>
          <w:p>
            <w:pPr>
              <w:pStyle w:val="TableParagraph"/>
              <w:tabs>
                <w:tab w:pos="2224" w:val="left" w:leader="none"/>
                <w:tab w:pos="3244" w:val="left" w:leader="none"/>
                <w:tab w:pos="4266" w:val="left" w:leader="none"/>
                <w:tab w:pos="5286" w:val="left" w:leader="none"/>
                <w:tab w:pos="6309" w:val="left" w:leader="none"/>
              </w:tabs>
              <w:spacing w:line="115" w:lineRule="exact"/>
              <w:ind w:left="1204"/>
              <w:rPr>
                <w:sz w:val="11"/>
              </w:rPr>
            </w:pPr>
            <w:r>
              <w:rPr>
                <w:position w:val="-1"/>
                <w:sz w:val="11"/>
              </w:rPr>
              <w:pict>
                <v:group style="width:.5pt;height:5.8pt;mso-position-horizontal-relative:char;mso-position-vertical-relative:line" id="docshapegroup422" coordorigin="0,0" coordsize="10,116">
                  <v:shape style="position:absolute;left:0;top:0;width:10;height:116" id="docshape42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24" coordorigin="0,0" coordsize="10,116">
                  <v:shape style="position:absolute;left:0;top:0;width:10;height:116" id="docshape42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26" coordorigin="0,0" coordsize="10,116">
                  <v:shape style="position:absolute;left:0;top:0;width:10;height:116" id="docshape42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28" coordorigin="0,0" coordsize="10,116">
                  <v:shape style="position:absolute;left:0;top:0;width:10;height:116" id="docshape42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30" coordorigin="0,0" coordsize="10,116">
                  <v:shape style="position:absolute;left:0;top:0;width:10;height:116" id="docshape43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32" coordorigin="0,0" coordsize="10,116">
                  <v:shape style="position:absolute;left:0;top:0;width:10;height:116" id="docshape433"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484" w:hRule="atLeast"/>
        </w:trPr>
        <w:tc>
          <w:tcPr>
            <w:tcW w:w="4296" w:type="dxa"/>
            <w:tcBorders>
              <w:top w:val="dashSmallGap" w:sz="4" w:space="0" w:color="000000"/>
              <w:left w:val="single" w:sz="12" w:space="0" w:color="000000"/>
              <w:bottom w:val="dashSmallGap" w:sz="4" w:space="0" w:color="000000"/>
              <w:right w:val="single" w:sz="8" w:space="0" w:color="000000"/>
            </w:tcBorders>
          </w:tcPr>
          <w:p>
            <w:pPr>
              <w:pStyle w:val="TableParagraph"/>
              <w:spacing w:before="35"/>
              <w:ind w:left="107"/>
              <w:rPr>
                <w:sz w:val="18"/>
              </w:rPr>
            </w:pPr>
            <w:r>
              <w:rPr>
                <w:sz w:val="18"/>
              </w:rPr>
              <w:t>Ringwood</w:t>
            </w:r>
            <w:r>
              <w:rPr>
                <w:spacing w:val="-10"/>
                <w:sz w:val="18"/>
              </w:rPr>
              <w:t> </w:t>
            </w:r>
            <w:r>
              <w:rPr>
                <w:sz w:val="18"/>
              </w:rPr>
              <w:t>Metropolitan</w:t>
            </w:r>
            <w:r>
              <w:rPr>
                <w:spacing w:val="-7"/>
                <w:sz w:val="18"/>
              </w:rPr>
              <w:t> </w:t>
            </w:r>
            <w:r>
              <w:rPr>
                <w:sz w:val="18"/>
              </w:rPr>
              <w:t>Activities</w:t>
            </w:r>
            <w:r>
              <w:rPr>
                <w:spacing w:val="-8"/>
                <w:sz w:val="18"/>
              </w:rPr>
              <w:t> </w:t>
            </w:r>
            <w:r>
              <w:rPr>
                <w:sz w:val="18"/>
              </w:rPr>
              <w:t>Centre</w:t>
            </w:r>
            <w:r>
              <w:rPr>
                <w:spacing w:val="-8"/>
                <w:sz w:val="18"/>
              </w:rPr>
              <w:t> </w:t>
            </w:r>
            <w:r>
              <w:rPr>
                <w:sz w:val="18"/>
              </w:rPr>
              <w:t>-Drainage </w:t>
            </w:r>
            <w:r>
              <w:rPr>
                <w:spacing w:val="-2"/>
                <w:sz w:val="18"/>
              </w:rPr>
              <w:t>Infrastructure</w:t>
            </w:r>
          </w:p>
        </w:tc>
        <w:tc>
          <w:tcPr>
            <w:tcW w:w="1210" w:type="dxa"/>
            <w:tcBorders>
              <w:top w:val="dashSmallGap" w:sz="4" w:space="0" w:color="000000"/>
              <w:left w:val="single" w:sz="8" w:space="0" w:color="000000"/>
              <w:bottom w:val="dashSmallGap" w:sz="4" w:space="0" w:color="000000"/>
              <w:right w:val="nil"/>
            </w:tcBorders>
          </w:tcPr>
          <w:p>
            <w:pPr>
              <w:pStyle w:val="TableParagraph"/>
              <w:spacing w:before="138"/>
              <w:ind w:right="81"/>
              <w:jc w:val="right"/>
              <w:rPr>
                <w:sz w:val="18"/>
              </w:rPr>
            </w:pPr>
            <w:r>
              <w:rPr>
                <w:spacing w:val="-5"/>
                <w:sz w:val="18"/>
              </w:rPr>
              <w:t>700</w:t>
            </w:r>
          </w:p>
        </w:tc>
        <w:tc>
          <w:tcPr>
            <w:tcW w:w="1020" w:type="dxa"/>
            <w:tcBorders>
              <w:top w:val="dashSmallGap" w:sz="4" w:space="0" w:color="000000"/>
              <w:left w:val="nil"/>
              <w:bottom w:val="dashed" w:sz="4" w:space="0" w:color="000000"/>
              <w:right w:val="nil"/>
            </w:tcBorders>
          </w:tcPr>
          <w:p>
            <w:pPr>
              <w:pStyle w:val="TableParagraph"/>
              <w:spacing w:before="138"/>
              <w:ind w:right="90"/>
              <w:jc w:val="right"/>
              <w:rPr>
                <w:sz w:val="18"/>
              </w:rPr>
            </w:pPr>
            <w:r>
              <w:rPr>
                <w:spacing w:val="-5"/>
                <w:sz w:val="18"/>
              </w:rPr>
              <w:t>700</w:t>
            </w:r>
          </w:p>
        </w:tc>
        <w:tc>
          <w:tcPr>
            <w:tcW w:w="1020" w:type="dxa"/>
            <w:tcBorders>
              <w:top w:val="dashSmallGap" w:sz="4" w:space="0" w:color="000000"/>
              <w:left w:val="nil"/>
              <w:bottom w:val="dashSmallGap" w:sz="4" w:space="0" w:color="000000"/>
              <w:right w:val="nil"/>
            </w:tcBorders>
          </w:tcPr>
          <w:p>
            <w:pPr>
              <w:pStyle w:val="TableParagraph"/>
              <w:spacing w:before="11"/>
              <w:rPr>
                <w:b/>
                <w:sz w:val="8"/>
              </w:rPr>
            </w:pPr>
          </w:p>
          <w:p>
            <w:pPr>
              <w:pStyle w:val="TableParagraph"/>
              <w:tabs>
                <w:tab w:pos="1029" w:val="left" w:leader="none"/>
              </w:tabs>
              <w:ind w:left="9" w:right="-87"/>
              <w:rPr>
                <w:sz w:val="20"/>
              </w:rPr>
            </w:pPr>
            <w:r>
              <w:rPr>
                <w:sz w:val="20"/>
              </w:rPr>
              <w:pict>
                <v:group style="width:.5pt;height:13.45pt;mso-position-horizontal-relative:char;mso-position-vertical-relative:line" id="docshapegroup434" coordorigin="0,0" coordsize="10,269">
                  <v:shape style="position:absolute;left:0;top:0;width:10;height:269" id="docshape435"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436" coordorigin="0,0" coordsize="10,269">
                  <v:shape style="position:absolute;left:0;top:0;width:10;height:269" id="docshape437" coordorigin="0,0" coordsize="10,269" path="m10,230l0,230,0,269,10,269,10,230xm10,154l0,154,0,192,10,192,10,154xm10,77l0,77,0,115,10,115,10,77xm10,0l0,0,0,38,10,38,10,0xe" filled="true" fillcolor="#000000" stroked="false">
                    <v:path arrowok="t"/>
                    <v:fill type="solid"/>
                  </v:shape>
                </v:group>
              </w:pict>
            </w:r>
            <w:r>
              <w:rPr>
                <w:sz w:val="20"/>
              </w:rPr>
            </w:r>
          </w:p>
        </w:tc>
        <w:tc>
          <w:tcPr>
            <w:tcW w:w="1022" w:type="dxa"/>
            <w:tcBorders>
              <w:top w:val="dashSmallGap" w:sz="4" w:space="0" w:color="000000"/>
              <w:left w:val="nil"/>
              <w:bottom w:val="dashed" w:sz="4" w:space="0" w:color="000000"/>
              <w:right w:val="nil"/>
            </w:tcBorders>
          </w:tcPr>
          <w:p>
            <w:pPr>
              <w:pStyle w:val="TableParagraph"/>
              <w:spacing w:before="11"/>
              <w:rPr>
                <w:b/>
                <w:sz w:val="8"/>
              </w:rPr>
            </w:pPr>
          </w:p>
          <w:p>
            <w:pPr>
              <w:pStyle w:val="TableParagraph"/>
              <w:ind w:left="1031" w:right="-87"/>
              <w:rPr>
                <w:sz w:val="20"/>
              </w:rPr>
            </w:pPr>
            <w:r>
              <w:rPr>
                <w:sz w:val="20"/>
              </w:rPr>
              <w:pict>
                <v:group style="width:.5pt;height:13.45pt;mso-position-horizontal-relative:char;mso-position-vertical-relative:line" id="docshapegroup438" coordorigin="0,0" coordsize="10,269">
                  <v:shape style="position:absolute;left:0;top:0;width:10;height:269" id="docshape439" coordorigin="0,0" coordsize="10,269" path="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SmallGap" w:sz="4" w:space="0" w:color="000000"/>
              <w:right w:val="nil"/>
            </w:tcBorders>
          </w:tcPr>
          <w:p>
            <w:pPr>
              <w:pStyle w:val="TableParagraph"/>
              <w:spacing w:before="138"/>
              <w:ind w:right="91"/>
              <w:jc w:val="right"/>
              <w:rPr>
                <w:sz w:val="18"/>
              </w:rPr>
            </w:pPr>
            <w:r>
              <w:rPr>
                <w:spacing w:val="-5"/>
                <w:sz w:val="18"/>
              </w:rPr>
              <w:t>700</w:t>
            </w:r>
          </w:p>
        </w:tc>
        <w:tc>
          <w:tcPr>
            <w:tcW w:w="1022" w:type="dxa"/>
            <w:tcBorders>
              <w:top w:val="dashed" w:sz="4" w:space="0" w:color="000000"/>
              <w:left w:val="nil"/>
              <w:bottom w:val="dashed" w:sz="4" w:space="0" w:color="000000"/>
              <w:right w:val="nil"/>
            </w:tcBorders>
          </w:tcPr>
          <w:p>
            <w:pPr>
              <w:pStyle w:val="TableParagraph"/>
              <w:spacing w:before="11"/>
              <w:rPr>
                <w:b/>
                <w:sz w:val="8"/>
              </w:rPr>
            </w:pPr>
          </w:p>
          <w:p>
            <w:pPr>
              <w:pStyle w:val="TableParagraph"/>
              <w:tabs>
                <w:tab w:pos="1032" w:val="left" w:leader="none"/>
              </w:tabs>
              <w:ind w:left="9" w:right="-87"/>
              <w:rPr>
                <w:sz w:val="20"/>
              </w:rPr>
            </w:pPr>
            <w:r>
              <w:rPr>
                <w:sz w:val="20"/>
              </w:rPr>
              <w:pict>
                <v:group style="width:.5pt;height:13.45pt;mso-position-horizontal-relative:char;mso-position-vertical-relative:line" id="docshapegroup440" coordorigin="0,0" coordsize="10,269">
                  <v:shape style="position:absolute;left:0;top:0;width:10;height:269" id="docshape441"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442" coordorigin="0,0" coordsize="10,269">
                  <v:shape style="position:absolute;left:0;top:0;width:10;height:269" id="docshape443" coordorigin="0,0" coordsize="10,269" path="m10,230l0,230,0,269,10,269,10,230xm10,154l0,154,0,192,10,192,10,154xm10,77l0,77,0,115,10,115,10,77xm10,0l0,0,0,38,10,38,10,0xe" filled="true" fillcolor="#000000" stroked="false">
                    <v:path arrowok="t"/>
                    <v:fill type="solid"/>
                  </v:shape>
                </v:group>
              </w:pict>
            </w:r>
            <w:r>
              <w:rPr>
                <w:sz w:val="20"/>
              </w:rPr>
            </w:r>
          </w:p>
        </w:tc>
        <w:tc>
          <w:tcPr>
            <w:tcW w:w="1024"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2"/>
              <w:jc w:val="right"/>
              <w:rPr>
                <w:sz w:val="18"/>
              </w:rPr>
            </w:pPr>
            <w:r>
              <w:rPr>
                <w:spacing w:val="-5"/>
                <w:sz w:val="18"/>
              </w:rPr>
              <w:t>700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2"/>
              <w:jc w:val="right"/>
              <w:rPr>
                <w:sz w:val="18"/>
              </w:rPr>
            </w:pPr>
            <w:r>
              <w:rPr>
                <w:spacing w:val="-5"/>
                <w:sz w:val="18"/>
              </w:rPr>
              <w:t>700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4"/>
              <w:jc w:val="right"/>
              <w:rPr>
                <w:sz w:val="18"/>
              </w:rPr>
            </w:pPr>
            <w:r>
              <w:rPr>
                <w:spacing w:val="-5"/>
                <w:sz w:val="18"/>
              </w:rPr>
              <w:t>700</w:t>
            </w:r>
          </w:p>
        </w:tc>
      </w:tr>
      <w:tr>
        <w:trPr>
          <w:trHeight w:val="302" w:hRule="atLeast"/>
        </w:trPr>
        <w:tc>
          <w:tcPr>
            <w:tcW w:w="4296" w:type="dxa"/>
            <w:tcBorders>
              <w:top w:val="dashSmallGap" w:sz="4" w:space="0" w:color="000000"/>
              <w:left w:val="single" w:sz="12" w:space="0" w:color="000000"/>
              <w:bottom w:val="dashSmallGap" w:sz="4" w:space="0" w:color="000000"/>
              <w:right w:val="single" w:sz="8" w:space="0" w:color="000000"/>
            </w:tcBorders>
          </w:tcPr>
          <w:p>
            <w:pPr>
              <w:pStyle w:val="TableParagraph"/>
              <w:spacing w:before="47"/>
              <w:ind w:left="107"/>
              <w:rPr>
                <w:sz w:val="18"/>
              </w:rPr>
            </w:pPr>
            <w:r>
              <w:rPr>
                <w:sz w:val="18"/>
              </w:rPr>
              <w:t>Waterway Improvement</w:t>
            </w:r>
            <w:r>
              <w:rPr>
                <w:spacing w:val="1"/>
                <w:sz w:val="18"/>
              </w:rPr>
              <w:t> </w:t>
            </w:r>
            <w:r>
              <w:rPr>
                <w:spacing w:val="-2"/>
                <w:sz w:val="18"/>
              </w:rPr>
              <w:t>Program</w:t>
            </w:r>
          </w:p>
        </w:tc>
        <w:tc>
          <w:tcPr>
            <w:tcW w:w="1210" w:type="dxa"/>
            <w:tcBorders>
              <w:top w:val="dashSmallGap" w:sz="4" w:space="0" w:color="000000"/>
              <w:left w:val="single" w:sz="8" w:space="0" w:color="000000"/>
              <w:bottom w:val="dashSmallGap" w:sz="4" w:space="0" w:color="000000"/>
              <w:right w:val="nil"/>
            </w:tcBorders>
          </w:tcPr>
          <w:p>
            <w:pPr>
              <w:pStyle w:val="TableParagraph"/>
              <w:spacing w:before="47"/>
              <w:ind w:right="79"/>
              <w:jc w:val="right"/>
              <w:rPr>
                <w:sz w:val="18"/>
              </w:rPr>
            </w:pPr>
            <w:r>
              <w:rPr>
                <w:spacing w:val="-5"/>
                <w:sz w:val="18"/>
              </w:rPr>
              <w:t>140</w:t>
            </w:r>
          </w:p>
        </w:tc>
        <w:tc>
          <w:tcPr>
            <w:tcW w:w="1020" w:type="dxa"/>
            <w:tcBorders>
              <w:top w:val="dashed" w:sz="4" w:space="0" w:color="000000"/>
              <w:left w:val="nil"/>
              <w:bottom w:val="dotted" w:sz="4" w:space="0" w:color="000000"/>
              <w:right w:val="nil"/>
            </w:tcBorders>
          </w:tcPr>
          <w:p>
            <w:pPr>
              <w:pStyle w:val="TableParagraph"/>
              <w:spacing w:before="47"/>
              <w:ind w:right="89"/>
              <w:jc w:val="right"/>
              <w:rPr>
                <w:sz w:val="18"/>
              </w:rPr>
            </w:pPr>
            <w:r>
              <w:rPr>
                <w:spacing w:val="-5"/>
                <w:sz w:val="18"/>
              </w:rPr>
              <w:t>140</w:t>
            </w:r>
          </w:p>
        </w:tc>
        <w:tc>
          <w:tcPr>
            <w:tcW w:w="1020" w:type="dxa"/>
            <w:tcBorders>
              <w:top w:val="dashSmallGap" w:sz="4" w:space="0" w:color="000000"/>
              <w:left w:val="nil"/>
              <w:bottom w:val="dotted" w:sz="4" w:space="0" w:color="000000"/>
              <w:right w:val="nil"/>
            </w:tcBorders>
          </w:tcPr>
          <w:p>
            <w:pPr>
              <w:pStyle w:val="TableParagraph"/>
              <w:rPr>
                <w:b/>
                <w:sz w:val="6"/>
              </w:rPr>
            </w:pPr>
          </w:p>
          <w:p>
            <w:pPr>
              <w:pStyle w:val="TableParagraph"/>
              <w:tabs>
                <w:tab w:pos="1029" w:val="left" w:leader="none"/>
              </w:tabs>
              <w:spacing w:line="192" w:lineRule="exact"/>
              <w:ind w:left="9" w:right="-87"/>
              <w:rPr>
                <w:sz w:val="19"/>
              </w:rPr>
            </w:pPr>
            <w:r>
              <w:rPr>
                <w:position w:val="-3"/>
                <w:sz w:val="19"/>
              </w:rPr>
              <w:pict>
                <v:group style="width:.5pt;height:9.6pt;mso-position-horizontal-relative:char;mso-position-vertical-relative:line" id="docshapegroup444" coordorigin="0,0" coordsize="10,192">
                  <v:shape style="position:absolute;left:0;top:0;width:10;height:192" id="docshape44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46" coordorigin="0,0" coordsize="10,192">
                  <v:shape style="position:absolute;left:0;top:0;width:10;height:192" id="docshape447" coordorigin="0,0" coordsize="10,192"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rPr>
                <w:b/>
                <w:sz w:val="6"/>
              </w:rPr>
            </w:pPr>
          </w:p>
          <w:p>
            <w:pPr>
              <w:pStyle w:val="TableParagraph"/>
              <w:spacing w:line="192" w:lineRule="exact"/>
              <w:ind w:left="1031" w:right="-87"/>
              <w:rPr>
                <w:sz w:val="19"/>
              </w:rPr>
            </w:pPr>
            <w:r>
              <w:rPr>
                <w:position w:val="-3"/>
                <w:sz w:val="19"/>
              </w:rPr>
              <w:pict>
                <v:group style="width:.5pt;height:9.6pt;mso-position-horizontal-relative:char;mso-position-vertical-relative:line" id="docshapegroup448" coordorigin="0,0" coordsize="10,192">
                  <v:shape style="position:absolute;left:0;top:0;width:10;height:192" id="docshape449"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SmallGap" w:sz="4" w:space="0" w:color="000000"/>
              <w:left w:val="nil"/>
              <w:bottom w:val="dashed" w:sz="4" w:space="0" w:color="000000"/>
              <w:right w:val="nil"/>
            </w:tcBorders>
          </w:tcPr>
          <w:p>
            <w:pPr>
              <w:pStyle w:val="TableParagraph"/>
              <w:spacing w:before="47"/>
              <w:ind w:right="91"/>
              <w:jc w:val="right"/>
              <w:rPr>
                <w:sz w:val="18"/>
              </w:rPr>
            </w:pPr>
            <w:r>
              <w:rPr>
                <w:spacing w:val="-5"/>
                <w:sz w:val="18"/>
              </w:rPr>
              <w:t>140</w:t>
            </w:r>
          </w:p>
        </w:tc>
        <w:tc>
          <w:tcPr>
            <w:tcW w:w="1022" w:type="dxa"/>
            <w:tcBorders>
              <w:top w:val="dashed" w:sz="4" w:space="0" w:color="000000"/>
              <w:left w:val="nil"/>
              <w:bottom w:val="dashed" w:sz="4" w:space="0" w:color="000000"/>
              <w:right w:val="nil"/>
            </w:tcBorders>
          </w:tcPr>
          <w:p>
            <w:pPr>
              <w:pStyle w:val="TableParagraph"/>
              <w:rPr>
                <w:b/>
                <w:sz w:val="6"/>
              </w:rPr>
            </w:pPr>
          </w:p>
          <w:p>
            <w:pPr>
              <w:pStyle w:val="TableParagraph"/>
              <w:tabs>
                <w:tab w:pos="1032" w:val="left" w:leader="none"/>
              </w:tabs>
              <w:spacing w:line="192" w:lineRule="exact"/>
              <w:ind w:left="9" w:right="-87"/>
              <w:rPr>
                <w:sz w:val="19"/>
              </w:rPr>
            </w:pPr>
            <w:r>
              <w:rPr>
                <w:position w:val="-3"/>
                <w:sz w:val="19"/>
              </w:rPr>
              <w:pict>
                <v:group style="width:.5pt;height:9.6pt;mso-position-horizontal-relative:char;mso-position-vertical-relative:line" id="docshapegroup450" coordorigin="0,0" coordsize="10,192">
                  <v:shape style="position:absolute;left:0;top:0;width:10;height:192" id="docshape45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52" coordorigin="0,0" coordsize="10,192">
                  <v:shape style="position:absolute;left:0;top:0;width:10;height:192" id="docshape453" coordorigin="0,0" coordsize="10,192" path="m10,154l0,154,0,192,10,192,10,154xm10,77l0,77,0,115,10,115,10,77xm10,0l0,0,0,38,10,38,10,0xe" filled="true" fillcolor="#000000" stroked="false">
                    <v:path arrowok="t"/>
                    <v:fill type="solid"/>
                  </v:shape>
                </v:group>
              </w:pict>
            </w:r>
            <w:r>
              <w:rPr>
                <w:position w:val="-3"/>
                <w:sz w:val="19"/>
              </w:rPr>
            </w:r>
          </w:p>
        </w:tc>
        <w:tc>
          <w:tcPr>
            <w:tcW w:w="1024"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150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160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180</w:t>
            </w:r>
          </w:p>
        </w:tc>
      </w:tr>
      <w:tr>
        <w:trPr>
          <w:trHeight w:val="302" w:hRule="atLeast"/>
        </w:trPr>
        <w:tc>
          <w:tcPr>
            <w:tcW w:w="4296" w:type="dxa"/>
            <w:tcBorders>
              <w:top w:val="dashSmallGap" w:sz="4" w:space="0" w:color="000000"/>
              <w:left w:val="single" w:sz="12" w:space="0" w:color="000000"/>
              <w:bottom w:val="dashSmallGap" w:sz="4" w:space="0" w:color="000000"/>
              <w:right w:val="single" w:sz="8" w:space="0" w:color="000000"/>
            </w:tcBorders>
          </w:tcPr>
          <w:p>
            <w:pPr>
              <w:pStyle w:val="TableParagraph"/>
              <w:spacing w:before="47"/>
              <w:ind w:left="107"/>
              <w:rPr>
                <w:sz w:val="18"/>
              </w:rPr>
            </w:pPr>
            <w:r>
              <w:rPr>
                <w:sz w:val="18"/>
              </w:rPr>
              <w:t>Stormwater</w:t>
            </w:r>
            <w:r>
              <w:rPr>
                <w:spacing w:val="-1"/>
                <w:sz w:val="18"/>
              </w:rPr>
              <w:t> </w:t>
            </w:r>
            <w:r>
              <w:rPr>
                <w:sz w:val="18"/>
              </w:rPr>
              <w:t>drainage renewal</w:t>
            </w:r>
            <w:r>
              <w:rPr>
                <w:spacing w:val="-2"/>
                <w:sz w:val="18"/>
              </w:rPr>
              <w:t> program</w:t>
            </w:r>
          </w:p>
        </w:tc>
        <w:tc>
          <w:tcPr>
            <w:tcW w:w="1210" w:type="dxa"/>
            <w:tcBorders>
              <w:top w:val="dashSmallGap" w:sz="4" w:space="0" w:color="000000"/>
              <w:left w:val="single" w:sz="8" w:space="0" w:color="000000"/>
              <w:bottom w:val="dashSmallGap" w:sz="4" w:space="0" w:color="000000"/>
              <w:right w:val="nil"/>
            </w:tcBorders>
          </w:tcPr>
          <w:p>
            <w:pPr>
              <w:pStyle w:val="TableParagraph"/>
              <w:spacing w:before="47"/>
              <w:ind w:right="79"/>
              <w:jc w:val="right"/>
              <w:rPr>
                <w:sz w:val="18"/>
              </w:rPr>
            </w:pPr>
            <w:r>
              <w:rPr>
                <w:spacing w:val="-2"/>
                <w:sz w:val="18"/>
              </w:rPr>
              <w:t>2,945</w:t>
            </w:r>
          </w:p>
        </w:tc>
        <w:tc>
          <w:tcPr>
            <w:tcW w:w="1020" w:type="dxa"/>
            <w:tcBorders>
              <w:top w:val="dotted" w:sz="4" w:space="0" w:color="000000"/>
              <w:left w:val="nil"/>
              <w:bottom w:val="dotted" w:sz="4" w:space="0" w:color="000000"/>
              <w:right w:val="nil"/>
            </w:tcBorders>
          </w:tcPr>
          <w:p>
            <w:pPr>
              <w:pStyle w:val="TableParagraph"/>
              <w:spacing w:before="47"/>
              <w:ind w:right="91"/>
              <w:jc w:val="right"/>
              <w:rPr>
                <w:sz w:val="18"/>
              </w:rPr>
            </w:pPr>
            <w:r>
              <w:rPr>
                <w:spacing w:val="-2"/>
                <w:sz w:val="18"/>
              </w:rPr>
              <w:t>2,945</w:t>
            </w:r>
          </w:p>
        </w:tc>
        <w:tc>
          <w:tcPr>
            <w:tcW w:w="1020" w:type="dxa"/>
            <w:tcBorders>
              <w:top w:val="dotted" w:sz="4" w:space="0" w:color="000000"/>
              <w:left w:val="nil"/>
              <w:bottom w:val="dotted" w:sz="4" w:space="0" w:color="000000"/>
              <w:right w:val="nil"/>
            </w:tcBorders>
          </w:tcPr>
          <w:p>
            <w:pPr>
              <w:pStyle w:val="TableParagraph"/>
              <w:spacing w:before="7"/>
              <w:rPr>
                <w:b/>
                <w:sz w:val="5"/>
              </w:rPr>
            </w:pPr>
          </w:p>
          <w:p>
            <w:pPr>
              <w:pStyle w:val="TableParagraph"/>
              <w:tabs>
                <w:tab w:pos="1029" w:val="left" w:leader="none"/>
              </w:tabs>
              <w:spacing w:line="192" w:lineRule="exact"/>
              <w:ind w:left="9" w:right="-87"/>
              <w:rPr>
                <w:sz w:val="19"/>
              </w:rPr>
            </w:pPr>
            <w:r>
              <w:rPr>
                <w:position w:val="-3"/>
                <w:sz w:val="19"/>
              </w:rPr>
              <w:pict>
                <v:group style="width:.5pt;height:9.6pt;mso-position-horizontal-relative:char;mso-position-vertical-relative:line" id="docshapegroup454" coordorigin="0,0" coordsize="10,192">
                  <v:shape style="position:absolute;left:0;top:0;width:10;height:193" id="docshape455"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56" coordorigin="0,0" coordsize="10,192">
                  <v:shape style="position:absolute;left:0;top:0;width:10;height:193" id="docshape457" coordorigin="0,0" coordsize="10,193"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92" w:lineRule="exact"/>
              <w:ind w:left="1031" w:right="-87"/>
              <w:rPr>
                <w:sz w:val="19"/>
              </w:rPr>
            </w:pPr>
            <w:r>
              <w:rPr>
                <w:position w:val="-3"/>
                <w:sz w:val="19"/>
              </w:rPr>
              <w:pict>
                <v:group style="width:.5pt;height:9.6pt;mso-position-horizontal-relative:char;mso-position-vertical-relative:line" id="docshapegroup458" coordorigin="0,0" coordsize="10,192">
                  <v:shape style="position:absolute;left:0;top:0;width:10;height:193" id="docshape459"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47"/>
              <w:ind w:right="91"/>
              <w:jc w:val="right"/>
              <w:rPr>
                <w:sz w:val="18"/>
              </w:rPr>
            </w:pPr>
            <w:r>
              <w:rPr>
                <w:spacing w:val="-2"/>
                <w:sz w:val="18"/>
              </w:rPr>
              <w:t>2,356</w:t>
            </w:r>
          </w:p>
        </w:tc>
        <w:tc>
          <w:tcPr>
            <w:tcW w:w="1022" w:type="dxa"/>
            <w:tcBorders>
              <w:top w:val="dashed" w:sz="4" w:space="0" w:color="000000"/>
              <w:left w:val="nil"/>
              <w:bottom w:val="dashed" w:sz="4" w:space="0" w:color="000000"/>
              <w:right w:val="nil"/>
            </w:tcBorders>
          </w:tcPr>
          <w:p>
            <w:pPr>
              <w:pStyle w:val="TableParagraph"/>
              <w:spacing w:before="47"/>
              <w:ind w:right="91"/>
              <w:jc w:val="right"/>
              <w:rPr>
                <w:sz w:val="18"/>
              </w:rPr>
            </w:pPr>
            <w:r>
              <w:rPr>
                <w:spacing w:val="-5"/>
                <w:sz w:val="18"/>
              </w:rPr>
              <w:t>589</w:t>
            </w:r>
          </w:p>
        </w:tc>
        <w:tc>
          <w:tcPr>
            <w:tcW w:w="1024" w:type="dxa"/>
            <w:tcBorders>
              <w:top w:val="dashed" w:sz="4" w:space="0" w:color="000000"/>
              <w:left w:val="nil"/>
              <w:bottom w:val="dashed" w:sz="4" w:space="0" w:color="000000"/>
              <w:right w:val="single" w:sz="12" w:space="0" w:color="000000"/>
            </w:tcBorders>
          </w:tcPr>
          <w:p>
            <w:pPr>
              <w:pStyle w:val="TableParagraph"/>
              <w:spacing w:before="7"/>
              <w:rPr>
                <w:b/>
                <w:sz w:val="5"/>
              </w:rPr>
            </w:pPr>
          </w:p>
          <w:p>
            <w:pPr>
              <w:pStyle w:val="TableParagraph"/>
              <w:spacing w:line="192" w:lineRule="exact"/>
              <w:ind w:left="-5"/>
              <w:rPr>
                <w:sz w:val="19"/>
              </w:rPr>
            </w:pPr>
            <w:r>
              <w:rPr>
                <w:position w:val="-3"/>
                <w:sz w:val="19"/>
              </w:rPr>
              <w:pict>
                <v:group style="width:.5pt;height:9.6pt;mso-position-horizontal-relative:char;mso-position-vertical-relative:line" id="docshapegroup460" coordorigin="0,0" coordsize="10,192">
                  <v:shape style="position:absolute;left:0;top:0;width:10;height:193" id="docshape461" coordorigin="0,0" coordsize="10,193" path="m10,154l0,154,0,192,10,192,10,154xm10,77l0,77,0,115,10,115,10,77xm10,0l0,0,0,38,10,38,10,0xe" filled="true" fillcolor="#000000" stroked="false">
                    <v:path arrowok="t"/>
                    <v:fill type="solid"/>
                  </v:shape>
                </v:group>
              </w:pict>
            </w:r>
            <w:r>
              <w:rPr>
                <w:position w:val="-3"/>
                <w:sz w:val="19"/>
              </w:rPr>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2"/>
                <w:sz w:val="18"/>
              </w:rPr>
              <w:t>3,580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0"/>
              <w:jc w:val="right"/>
              <w:rPr>
                <w:sz w:val="18"/>
              </w:rPr>
            </w:pPr>
            <w:r>
              <w:rPr>
                <w:spacing w:val="-2"/>
                <w:sz w:val="18"/>
              </w:rPr>
              <w:t>3,610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2"/>
                <w:sz w:val="18"/>
              </w:rPr>
              <w:t>3,620</w:t>
            </w:r>
          </w:p>
        </w:tc>
      </w:tr>
      <w:tr>
        <w:trPr>
          <w:trHeight w:val="289" w:hRule="atLeast"/>
        </w:trPr>
        <w:tc>
          <w:tcPr>
            <w:tcW w:w="4296" w:type="dxa"/>
            <w:tcBorders>
              <w:top w:val="dashSmallGap" w:sz="4" w:space="0" w:color="000000"/>
              <w:left w:val="single" w:sz="12" w:space="0" w:color="000000"/>
              <w:bottom w:val="single" w:sz="8" w:space="0" w:color="000000"/>
              <w:right w:val="single" w:sz="8" w:space="0" w:color="000000"/>
            </w:tcBorders>
          </w:tcPr>
          <w:p>
            <w:pPr>
              <w:pStyle w:val="TableParagraph"/>
              <w:spacing w:line="221" w:lineRule="exact" w:before="48"/>
              <w:ind w:left="107"/>
              <w:rPr>
                <w:b/>
                <w:sz w:val="22"/>
              </w:rPr>
            </w:pPr>
            <w:r>
              <w:rPr>
                <w:b/>
                <w:sz w:val="22"/>
              </w:rPr>
              <w:t>TOTAL</w:t>
            </w:r>
            <w:r>
              <w:rPr>
                <w:b/>
                <w:spacing w:val="-2"/>
                <w:sz w:val="22"/>
              </w:rPr>
              <w:t> DRAINAGE</w:t>
            </w:r>
          </w:p>
        </w:tc>
        <w:tc>
          <w:tcPr>
            <w:tcW w:w="1210" w:type="dxa"/>
            <w:tcBorders>
              <w:top w:val="dashSmallGap" w:sz="4" w:space="0" w:color="000000"/>
              <w:left w:val="single" w:sz="8" w:space="0" w:color="000000"/>
              <w:bottom w:val="single" w:sz="8" w:space="0" w:color="000000"/>
              <w:right w:val="nil"/>
            </w:tcBorders>
          </w:tcPr>
          <w:p>
            <w:pPr>
              <w:pStyle w:val="TableParagraph"/>
              <w:spacing w:before="47"/>
              <w:ind w:right="80"/>
              <w:jc w:val="right"/>
              <w:rPr>
                <w:b/>
                <w:sz w:val="18"/>
              </w:rPr>
            </w:pPr>
            <w:r>
              <w:rPr>
                <w:b/>
                <w:spacing w:val="-2"/>
                <w:sz w:val="18"/>
              </w:rPr>
              <w:t>3,785</w:t>
            </w:r>
          </w:p>
        </w:tc>
        <w:tc>
          <w:tcPr>
            <w:tcW w:w="1020" w:type="dxa"/>
            <w:tcBorders>
              <w:top w:val="dotted" w:sz="4" w:space="0" w:color="000000"/>
              <w:left w:val="nil"/>
              <w:bottom w:val="single" w:sz="8" w:space="0" w:color="000000"/>
              <w:right w:val="nil"/>
            </w:tcBorders>
          </w:tcPr>
          <w:p>
            <w:pPr>
              <w:pStyle w:val="TableParagraph"/>
              <w:spacing w:before="47"/>
              <w:ind w:right="89"/>
              <w:jc w:val="right"/>
              <w:rPr>
                <w:b/>
                <w:sz w:val="18"/>
              </w:rPr>
            </w:pPr>
            <w:r>
              <w:rPr>
                <w:b/>
                <w:spacing w:val="-2"/>
                <w:sz w:val="18"/>
              </w:rPr>
              <w:t>3,785</w:t>
            </w:r>
          </w:p>
        </w:tc>
        <w:tc>
          <w:tcPr>
            <w:tcW w:w="1020" w:type="dxa"/>
            <w:tcBorders>
              <w:top w:val="dotted" w:sz="4" w:space="0" w:color="000000"/>
              <w:left w:val="nil"/>
              <w:bottom w:val="single" w:sz="8" w:space="0" w:color="000000"/>
              <w:right w:val="nil"/>
            </w:tcBorders>
          </w:tcPr>
          <w:p>
            <w:pPr>
              <w:pStyle w:val="TableParagraph"/>
              <w:spacing w:before="47"/>
              <w:ind w:right="92"/>
              <w:jc w:val="right"/>
              <w:rPr>
                <w:b/>
                <w:sz w:val="18"/>
              </w:rPr>
            </w:pPr>
            <w:r>
              <w:rPr>
                <w:b/>
                <w:sz w:val="18"/>
              </w:rPr>
              <w:t>0</w:t>
            </w:r>
          </w:p>
        </w:tc>
        <w:tc>
          <w:tcPr>
            <w:tcW w:w="1022" w:type="dxa"/>
            <w:tcBorders>
              <w:top w:val="dashed" w:sz="4" w:space="0" w:color="000000"/>
              <w:left w:val="nil"/>
              <w:bottom w:val="single" w:sz="8" w:space="0" w:color="000000"/>
              <w:right w:val="nil"/>
            </w:tcBorders>
          </w:tcPr>
          <w:p>
            <w:pPr>
              <w:pStyle w:val="TableParagraph"/>
              <w:spacing w:before="47"/>
              <w:ind w:right="94"/>
              <w:jc w:val="right"/>
              <w:rPr>
                <w:b/>
                <w:sz w:val="18"/>
              </w:rPr>
            </w:pPr>
            <w:r>
              <w:rPr>
                <w:b/>
                <w:sz w:val="18"/>
              </w:rPr>
              <w:t>0</w:t>
            </w:r>
          </w:p>
        </w:tc>
        <w:tc>
          <w:tcPr>
            <w:tcW w:w="1020" w:type="dxa"/>
            <w:tcBorders>
              <w:top w:val="dashed" w:sz="4" w:space="0" w:color="000000"/>
              <w:left w:val="nil"/>
              <w:bottom w:val="single" w:sz="8" w:space="0" w:color="000000"/>
              <w:right w:val="nil"/>
            </w:tcBorders>
          </w:tcPr>
          <w:p>
            <w:pPr>
              <w:pStyle w:val="TableParagraph"/>
              <w:spacing w:before="47"/>
              <w:ind w:right="89"/>
              <w:jc w:val="right"/>
              <w:rPr>
                <w:b/>
                <w:sz w:val="18"/>
              </w:rPr>
            </w:pPr>
            <w:r>
              <w:rPr>
                <w:b/>
                <w:spacing w:val="-2"/>
                <w:sz w:val="18"/>
              </w:rPr>
              <w:t>3,196</w:t>
            </w:r>
          </w:p>
        </w:tc>
        <w:tc>
          <w:tcPr>
            <w:tcW w:w="1022" w:type="dxa"/>
            <w:tcBorders>
              <w:top w:val="dashed" w:sz="4" w:space="0" w:color="000000"/>
              <w:left w:val="nil"/>
              <w:bottom w:val="single" w:sz="8" w:space="0" w:color="000000"/>
              <w:right w:val="nil"/>
            </w:tcBorders>
          </w:tcPr>
          <w:p>
            <w:pPr>
              <w:pStyle w:val="TableParagraph"/>
              <w:spacing w:before="47"/>
              <w:ind w:right="91"/>
              <w:jc w:val="right"/>
              <w:rPr>
                <w:b/>
                <w:sz w:val="18"/>
              </w:rPr>
            </w:pPr>
            <w:r>
              <w:rPr>
                <w:b/>
                <w:spacing w:val="-5"/>
                <w:sz w:val="18"/>
              </w:rPr>
              <w:t>589</w:t>
            </w:r>
          </w:p>
        </w:tc>
        <w:tc>
          <w:tcPr>
            <w:tcW w:w="1024" w:type="dxa"/>
            <w:tcBorders>
              <w:top w:val="dashed" w:sz="4" w:space="0" w:color="000000"/>
              <w:left w:val="nil"/>
              <w:bottom w:val="single" w:sz="8" w:space="0" w:color="000000"/>
              <w:right w:val="single" w:sz="12" w:space="0" w:color="000000"/>
            </w:tcBorders>
          </w:tcPr>
          <w:p>
            <w:pPr>
              <w:pStyle w:val="TableParagraph"/>
              <w:spacing w:before="47"/>
              <w:ind w:right="76"/>
              <w:jc w:val="right"/>
              <w:rPr>
                <w:b/>
                <w:sz w:val="18"/>
              </w:rPr>
            </w:pPr>
            <w:r>
              <w:rPr>
                <w:b/>
                <w:sz w:val="18"/>
              </w:rPr>
              <w:t>0</w:t>
            </w:r>
          </w:p>
        </w:tc>
        <w:tc>
          <w:tcPr>
            <w:tcW w:w="1250" w:type="dxa"/>
            <w:tcBorders>
              <w:top w:val="dashed" w:sz="4" w:space="0" w:color="000000"/>
              <w:left w:val="single" w:sz="12" w:space="0" w:color="000000"/>
              <w:bottom w:val="single" w:sz="8" w:space="0" w:color="000000"/>
              <w:right w:val="single" w:sz="12" w:space="0" w:color="000000"/>
            </w:tcBorders>
          </w:tcPr>
          <w:p>
            <w:pPr>
              <w:pStyle w:val="TableParagraph"/>
              <w:spacing w:before="47"/>
              <w:ind w:right="72"/>
              <w:jc w:val="right"/>
              <w:rPr>
                <w:b/>
                <w:sz w:val="18"/>
              </w:rPr>
            </w:pPr>
            <w:r>
              <w:rPr>
                <w:b/>
                <w:spacing w:val="-2"/>
                <w:sz w:val="18"/>
              </w:rPr>
              <w:t>4,430</w:t>
            </w:r>
          </w:p>
        </w:tc>
        <w:tc>
          <w:tcPr>
            <w:tcW w:w="1248" w:type="dxa"/>
            <w:tcBorders>
              <w:top w:val="dashed" w:sz="4" w:space="0" w:color="000000"/>
              <w:left w:val="single" w:sz="12" w:space="0" w:color="000000"/>
              <w:bottom w:val="single" w:sz="8" w:space="0" w:color="000000"/>
              <w:right w:val="single" w:sz="12" w:space="0" w:color="000000"/>
            </w:tcBorders>
          </w:tcPr>
          <w:p>
            <w:pPr>
              <w:pStyle w:val="TableParagraph"/>
              <w:spacing w:before="47"/>
              <w:ind w:right="70"/>
              <w:jc w:val="right"/>
              <w:rPr>
                <w:b/>
                <w:sz w:val="18"/>
              </w:rPr>
            </w:pPr>
            <w:r>
              <w:rPr>
                <w:b/>
                <w:spacing w:val="-2"/>
                <w:sz w:val="18"/>
              </w:rPr>
              <w:t>4,470</w:t>
            </w:r>
          </w:p>
        </w:tc>
        <w:tc>
          <w:tcPr>
            <w:tcW w:w="1250" w:type="dxa"/>
            <w:tcBorders>
              <w:top w:val="dashed" w:sz="4" w:space="0" w:color="000000"/>
              <w:left w:val="single" w:sz="12" w:space="0" w:color="000000"/>
              <w:bottom w:val="single" w:sz="8" w:space="0" w:color="000000"/>
              <w:right w:val="single" w:sz="12" w:space="0" w:color="000000"/>
            </w:tcBorders>
          </w:tcPr>
          <w:p>
            <w:pPr>
              <w:pStyle w:val="TableParagraph"/>
              <w:spacing w:before="47"/>
              <w:ind w:right="72"/>
              <w:jc w:val="right"/>
              <w:rPr>
                <w:b/>
                <w:sz w:val="18"/>
              </w:rPr>
            </w:pPr>
            <w:r>
              <w:rPr>
                <w:b/>
                <w:spacing w:val="-2"/>
                <w:sz w:val="18"/>
              </w:rPr>
              <w:t>4,500</w:t>
            </w:r>
          </w:p>
        </w:tc>
      </w:tr>
      <w:tr>
        <w:trPr>
          <w:trHeight w:val="271" w:hRule="atLeast"/>
        </w:trPr>
        <w:tc>
          <w:tcPr>
            <w:tcW w:w="4296" w:type="dxa"/>
            <w:tcBorders>
              <w:top w:val="single" w:sz="8" w:space="0" w:color="000000"/>
              <w:left w:val="single" w:sz="12" w:space="0" w:color="000000"/>
              <w:bottom w:val="dashSmallGap" w:sz="4" w:space="0" w:color="000000"/>
              <w:right w:val="dashed" w:sz="8" w:space="0" w:color="000000"/>
            </w:tcBorders>
          </w:tcPr>
          <w:p>
            <w:pPr>
              <w:pStyle w:val="TableParagraph"/>
              <w:spacing w:line="241" w:lineRule="exact" w:before="11"/>
              <w:ind w:left="107"/>
              <w:rPr>
                <w:b/>
                <w:sz w:val="22"/>
              </w:rPr>
            </w:pPr>
            <w:r>
              <w:rPr>
                <w:b/>
                <w:sz w:val="22"/>
              </w:rPr>
              <w:t>WASTE</w:t>
            </w:r>
            <w:r>
              <w:rPr>
                <w:b/>
                <w:spacing w:val="-3"/>
                <w:sz w:val="22"/>
              </w:rPr>
              <w:t> </w:t>
            </w:r>
            <w:r>
              <w:rPr>
                <w:b/>
                <w:spacing w:val="-2"/>
                <w:sz w:val="22"/>
              </w:rPr>
              <w:t>MANAGEMENT</w:t>
            </w:r>
          </w:p>
        </w:tc>
        <w:tc>
          <w:tcPr>
            <w:tcW w:w="7338" w:type="dxa"/>
            <w:gridSpan w:val="7"/>
            <w:tcBorders>
              <w:left w:val="dashed" w:sz="8" w:space="0" w:color="000000"/>
              <w:right w:val="dashed" w:sz="12" w:space="0" w:color="000000"/>
            </w:tcBorders>
          </w:tcPr>
          <w:p>
            <w:pPr>
              <w:pStyle w:val="TableParagraph"/>
              <w:spacing w:before="9"/>
              <w:rPr>
                <w:b/>
                <w:sz w:val="2"/>
              </w:rPr>
            </w:pPr>
          </w:p>
          <w:p>
            <w:pPr>
              <w:pStyle w:val="TableParagraph"/>
              <w:tabs>
                <w:tab w:pos="2224" w:val="left" w:leader="none"/>
                <w:tab w:pos="3244" w:val="left" w:leader="none"/>
                <w:tab w:pos="4266" w:val="left" w:leader="none"/>
                <w:tab w:pos="5286" w:val="left" w:leader="none"/>
                <w:tab w:pos="6309" w:val="left" w:leader="none"/>
              </w:tabs>
              <w:spacing w:line="192" w:lineRule="exact"/>
              <w:ind w:left="1204"/>
              <w:rPr>
                <w:sz w:val="19"/>
              </w:rPr>
            </w:pPr>
            <w:r>
              <w:rPr>
                <w:position w:val="-3"/>
                <w:sz w:val="19"/>
              </w:rPr>
              <w:pict>
                <v:group style="width:.5pt;height:9.6pt;mso-position-horizontal-relative:char;mso-position-vertical-relative:line" id="docshapegroup462" coordorigin="0,0" coordsize="10,192">
                  <v:shape style="position:absolute;left:0;top:0;width:10;height:192" id="docshape46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64" coordorigin="0,0" coordsize="10,192">
                  <v:shape style="position:absolute;left:0;top:0;width:10;height:192" id="docshape46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66" coordorigin="0,0" coordsize="10,192">
                  <v:shape style="position:absolute;left:0;top:0;width:10;height:192" id="docshape46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68" coordorigin="0,0" coordsize="10,192">
                  <v:shape style="position:absolute;left:0;top:0;width:10;height:192" id="docshape469"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70" coordorigin="0,0" coordsize="10,192">
                  <v:shape style="position:absolute;left:0;top:0;width:10;height:192" id="docshape47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72" coordorigin="0,0" coordsize="10,192">
                  <v:shape style="position:absolute;left:0;top:0;width:10;height:192" id="docshape473" coordorigin="0,0" coordsize="10,192" path="m10,154l0,154,0,192,10,192,10,154xm10,77l0,77,0,115,10,115,10,77xm10,0l0,0,0,38,10,38,10,0xe" filled="true" fillcolor="#000000" stroked="false">
                    <v:path arrowok="t"/>
                    <v:fill type="solid"/>
                  </v:shape>
                </v:group>
              </w:pict>
            </w:r>
            <w:r>
              <w:rPr>
                <w:position w:val="-3"/>
                <w:sz w:val="19"/>
              </w:rPr>
            </w:r>
          </w:p>
        </w:tc>
        <w:tc>
          <w:tcPr>
            <w:tcW w:w="1250" w:type="dxa"/>
            <w:tcBorders>
              <w:top w:val="single" w:sz="8"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48" w:type="dxa"/>
            <w:tcBorders>
              <w:top w:val="single" w:sz="8"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50" w:type="dxa"/>
            <w:tcBorders>
              <w:top w:val="single" w:sz="8" w:space="0" w:color="000000"/>
              <w:left w:val="dashed" w:sz="12" w:space="0" w:color="000000"/>
              <w:bottom w:val="dashed" w:sz="4" w:space="0" w:color="000000"/>
              <w:right w:val="dashed" w:sz="12" w:space="0" w:color="000000"/>
            </w:tcBorders>
          </w:tcPr>
          <w:p>
            <w:pPr>
              <w:pStyle w:val="TableParagraph"/>
              <w:rPr>
                <w:rFonts w:ascii="Times New Roman"/>
                <w:sz w:val="18"/>
              </w:rPr>
            </w:pPr>
          </w:p>
        </w:tc>
      </w:tr>
      <w:tr>
        <w:trPr>
          <w:trHeight w:val="267"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29"/>
              <w:ind w:left="107"/>
              <w:rPr>
                <w:sz w:val="18"/>
              </w:rPr>
            </w:pPr>
            <w:r>
              <w:rPr>
                <w:sz w:val="18"/>
              </w:rPr>
              <w:t>Waste</w:t>
            </w:r>
            <w:r>
              <w:rPr>
                <w:spacing w:val="-4"/>
                <w:sz w:val="18"/>
              </w:rPr>
              <w:t> </w:t>
            </w:r>
            <w:r>
              <w:rPr>
                <w:sz w:val="18"/>
              </w:rPr>
              <w:t>Vehicles Turning</w:t>
            </w:r>
            <w:r>
              <w:rPr>
                <w:spacing w:val="-1"/>
                <w:sz w:val="18"/>
              </w:rPr>
              <w:t> </w:t>
            </w:r>
            <w:r>
              <w:rPr>
                <w:spacing w:val="-2"/>
                <w:sz w:val="18"/>
              </w:rPr>
              <w:t>Points</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29"/>
              <w:ind w:right="81"/>
              <w:jc w:val="right"/>
              <w:rPr>
                <w:sz w:val="18"/>
              </w:rPr>
            </w:pPr>
            <w:r>
              <w:rPr>
                <w:spacing w:val="-5"/>
                <w:sz w:val="18"/>
              </w:rPr>
              <w:t>50</w:t>
            </w:r>
          </w:p>
        </w:tc>
        <w:tc>
          <w:tcPr>
            <w:tcW w:w="1020" w:type="dxa"/>
            <w:tcBorders>
              <w:top w:val="dotted" w:sz="4" w:space="0" w:color="000000"/>
              <w:left w:val="nil"/>
              <w:bottom w:val="dotted" w:sz="4" w:space="0" w:color="000000"/>
              <w:right w:val="nil"/>
            </w:tcBorders>
          </w:tcPr>
          <w:p>
            <w:pPr>
              <w:pStyle w:val="TableParagraph"/>
              <w:spacing w:before="29"/>
              <w:ind w:right="91"/>
              <w:jc w:val="right"/>
              <w:rPr>
                <w:sz w:val="18"/>
              </w:rPr>
            </w:pPr>
            <w:r>
              <w:rPr>
                <w:spacing w:val="-5"/>
                <w:sz w:val="18"/>
              </w:rPr>
              <w:t>50</w:t>
            </w:r>
          </w:p>
        </w:tc>
        <w:tc>
          <w:tcPr>
            <w:tcW w:w="1020" w:type="dxa"/>
            <w:tcBorders>
              <w:top w:val="dotted" w:sz="4" w:space="0" w:color="000000"/>
              <w:left w:val="nil"/>
              <w:bottom w:val="dotted" w:sz="4" w:space="0" w:color="000000"/>
              <w:right w:val="nil"/>
            </w:tcBorders>
          </w:tcPr>
          <w:p>
            <w:pPr>
              <w:pStyle w:val="TableParagraph"/>
              <w:tabs>
                <w:tab w:pos="1029" w:val="left" w:leader="none"/>
              </w:tabs>
              <w:spacing w:line="192" w:lineRule="exact"/>
              <w:ind w:left="9" w:right="-87"/>
              <w:rPr>
                <w:sz w:val="19"/>
              </w:rPr>
            </w:pPr>
            <w:r>
              <w:rPr>
                <w:position w:val="-3"/>
                <w:sz w:val="19"/>
              </w:rPr>
              <w:pict>
                <v:group style="width:.5pt;height:9.6pt;mso-position-horizontal-relative:char;mso-position-vertical-relative:line" id="docshapegroup474" coordorigin="0,0" coordsize="10,192">
                  <v:shape style="position:absolute;left:0;top:0;width:10;height:193" id="docshape475"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476" coordorigin="0,0" coordsize="10,192">
                  <v:shape style="position:absolute;left:0;top:0;width:10;height:193" id="docshape477" coordorigin="0,0" coordsize="10,193"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spacing w:line="192" w:lineRule="exact"/>
              <w:ind w:left="1031" w:right="-87"/>
              <w:rPr>
                <w:sz w:val="19"/>
              </w:rPr>
            </w:pPr>
            <w:r>
              <w:rPr>
                <w:position w:val="-3"/>
                <w:sz w:val="19"/>
              </w:rPr>
              <w:pict>
                <v:group style="width:.5pt;height:9.6pt;mso-position-horizontal-relative:char;mso-position-vertical-relative:line" id="docshapegroup478" coordorigin="0,0" coordsize="10,192">
                  <v:shape style="position:absolute;left:0;top:0;width:10;height:193" id="docshape479"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line="192" w:lineRule="exact"/>
              <w:ind w:left="1029" w:right="-87"/>
              <w:rPr>
                <w:sz w:val="19"/>
              </w:rPr>
            </w:pPr>
            <w:r>
              <w:rPr>
                <w:position w:val="-3"/>
                <w:sz w:val="19"/>
              </w:rPr>
              <w:pict>
                <v:group style="width:.5pt;height:9.6pt;mso-position-horizontal-relative:char;mso-position-vertical-relative:line" id="docshapegroup480" coordorigin="0,0" coordsize="10,192">
                  <v:shape style="position:absolute;left:0;top:0;width:10;height:193" id="docshape481" coordorigin="0,0" coordsize="10,193"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spacing w:before="29"/>
              <w:ind w:right="93"/>
              <w:jc w:val="right"/>
              <w:rPr>
                <w:sz w:val="18"/>
              </w:rPr>
            </w:pPr>
            <w:r>
              <w:rPr>
                <w:spacing w:val="-5"/>
                <w:sz w:val="18"/>
              </w:rPr>
              <w:t>50</w:t>
            </w:r>
          </w:p>
        </w:tc>
        <w:tc>
          <w:tcPr>
            <w:tcW w:w="1024" w:type="dxa"/>
            <w:tcBorders>
              <w:top w:val="dashed" w:sz="4" w:space="0" w:color="000000"/>
              <w:left w:val="nil"/>
              <w:bottom w:val="dashed" w:sz="4" w:space="0" w:color="000000"/>
              <w:right w:val="dashed" w:sz="12" w:space="0" w:color="000000"/>
            </w:tcBorders>
          </w:tcPr>
          <w:p>
            <w:pPr>
              <w:pStyle w:val="TableParagraph"/>
              <w:spacing w:line="192" w:lineRule="exact"/>
              <w:ind w:left="-5"/>
              <w:rPr>
                <w:sz w:val="19"/>
              </w:rPr>
            </w:pPr>
            <w:r>
              <w:rPr>
                <w:position w:val="-3"/>
                <w:sz w:val="19"/>
              </w:rPr>
              <w:pict>
                <v:group style="width:.5pt;height:9.6pt;mso-position-horizontal-relative:char;mso-position-vertical-relative:line" id="docshapegroup482" coordorigin="0,0" coordsize="10,192">
                  <v:shape style="position:absolute;left:0;top:0;width:10;height:193" id="docshape483" coordorigin="0,0" coordsize="10,193" path="m10,154l0,154,0,192,10,192,10,154xm10,77l0,77,0,115,10,115,10,77xm10,0l0,0,0,38,10,38,10,0xe" filled="true" fillcolor="#000000" stroked="false">
                    <v:path arrowok="t"/>
                    <v:fill type="solid"/>
                  </v:shape>
                </v:group>
              </w:pict>
            </w:r>
            <w:r>
              <w:rPr>
                <w:position w:val="-3"/>
                <w:sz w:val="19"/>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29"/>
              <w:ind w:right="74"/>
              <w:jc w:val="right"/>
              <w:rPr>
                <w:sz w:val="18"/>
              </w:rPr>
            </w:pPr>
            <w:r>
              <w:rPr>
                <w:spacing w:val="-5"/>
                <w:sz w:val="18"/>
              </w:rPr>
              <w:t>50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29"/>
              <w:ind w:right="71"/>
              <w:jc w:val="right"/>
              <w:rPr>
                <w:sz w:val="18"/>
              </w:rPr>
            </w:pPr>
            <w:r>
              <w:rPr>
                <w:spacing w:val="-5"/>
                <w:sz w:val="18"/>
              </w:rPr>
              <w:t>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29"/>
              <w:ind w:right="73"/>
              <w:jc w:val="right"/>
              <w:rPr>
                <w:sz w:val="18"/>
              </w:rPr>
            </w:pPr>
            <w:r>
              <w:rPr>
                <w:spacing w:val="-5"/>
                <w:sz w:val="18"/>
              </w:rPr>
              <w:t>50</w:t>
            </w:r>
          </w:p>
        </w:tc>
      </w:tr>
      <w:tr>
        <w:trPr>
          <w:trHeight w:val="259"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29"/>
              <w:ind w:left="107"/>
              <w:rPr>
                <w:sz w:val="18"/>
              </w:rPr>
            </w:pPr>
            <w:r>
              <w:rPr>
                <w:sz w:val="18"/>
              </w:rPr>
              <w:t>Glass</w:t>
            </w:r>
            <w:r>
              <w:rPr>
                <w:spacing w:val="-4"/>
                <w:sz w:val="18"/>
              </w:rPr>
              <w:t> </w:t>
            </w:r>
            <w:r>
              <w:rPr>
                <w:sz w:val="18"/>
              </w:rPr>
              <w:t>Bin</w:t>
            </w:r>
            <w:r>
              <w:rPr>
                <w:spacing w:val="-3"/>
                <w:sz w:val="18"/>
              </w:rPr>
              <w:t> </w:t>
            </w:r>
            <w:r>
              <w:rPr>
                <w:sz w:val="18"/>
              </w:rPr>
              <w:t>and Recycling</w:t>
            </w:r>
            <w:r>
              <w:rPr>
                <w:spacing w:val="-1"/>
                <w:sz w:val="18"/>
              </w:rPr>
              <w:t> </w:t>
            </w:r>
            <w:r>
              <w:rPr>
                <w:sz w:val="18"/>
              </w:rPr>
              <w:t>Bin</w:t>
            </w:r>
            <w:r>
              <w:rPr>
                <w:spacing w:val="-2"/>
                <w:sz w:val="18"/>
              </w:rPr>
              <w:t> Upgrade</w:t>
            </w:r>
          </w:p>
        </w:tc>
        <w:tc>
          <w:tcPr>
            <w:tcW w:w="7338" w:type="dxa"/>
            <w:gridSpan w:val="7"/>
            <w:tcBorders>
              <w:left w:val="dashed" w:sz="8" w:space="0" w:color="000000"/>
              <w:bottom w:val="single" w:sz="24" w:space="0" w:color="000000"/>
              <w:right w:val="dashed" w:sz="12" w:space="0" w:color="000000"/>
            </w:tcBorders>
          </w:tcPr>
          <w:p>
            <w:pPr>
              <w:pStyle w:val="TableParagraph"/>
              <w:spacing w:before="3"/>
              <w:rPr>
                <w:b/>
                <w:sz w:val="8"/>
              </w:rPr>
            </w:pPr>
          </w:p>
          <w:p>
            <w:pPr>
              <w:pStyle w:val="TableParagraph"/>
              <w:tabs>
                <w:tab w:pos="2224" w:val="left" w:leader="none"/>
                <w:tab w:pos="3244" w:val="left" w:leader="none"/>
                <w:tab w:pos="4266" w:val="left" w:leader="none"/>
                <w:tab w:pos="5286" w:val="left" w:leader="none"/>
                <w:tab w:pos="6309" w:val="left" w:leader="none"/>
              </w:tabs>
              <w:spacing w:line="115" w:lineRule="exact"/>
              <w:ind w:left="1204"/>
              <w:rPr>
                <w:sz w:val="11"/>
              </w:rPr>
            </w:pPr>
            <w:r>
              <w:rPr>
                <w:position w:val="-1"/>
                <w:sz w:val="11"/>
              </w:rPr>
              <w:pict>
                <v:group style="width:.5pt;height:5.8pt;mso-position-horizontal-relative:char;mso-position-vertical-relative:line" id="docshapegroup484" coordorigin="0,0" coordsize="10,116">
                  <v:shape style="position:absolute;left:0;top:0;width:10;height:116" id="docshape48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86" coordorigin="0,0" coordsize="10,116">
                  <v:shape style="position:absolute;left:0;top:0;width:10;height:116" id="docshape48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88" coordorigin="0,0" coordsize="10,116">
                  <v:shape style="position:absolute;left:0;top:0;width:10;height:116" id="docshape48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90" coordorigin="0,0" coordsize="10,116">
                  <v:shape style="position:absolute;left:0;top:0;width:10;height:116" id="docshape49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92" coordorigin="0,0" coordsize="10,116">
                  <v:shape style="position:absolute;left:0;top:0;width:10;height:116" id="docshape49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94" coordorigin="0,0" coordsize="10,116">
                  <v:shape style="position:absolute;left:0;top:0;width:10;height:116" id="docshape495"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29"/>
              <w:ind w:right="70"/>
              <w:jc w:val="right"/>
              <w:rPr>
                <w:sz w:val="18"/>
              </w:rPr>
            </w:pPr>
            <w:r>
              <w:rPr>
                <w:spacing w:val="-2"/>
                <w:sz w:val="18"/>
              </w:rPr>
              <w:t>3,500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29"/>
              <w:ind w:right="74"/>
              <w:jc w:val="right"/>
              <w:rPr>
                <w:sz w:val="18"/>
              </w:rPr>
            </w:pPr>
            <w:r>
              <w:rPr>
                <w:spacing w:val="-5"/>
                <w:sz w:val="18"/>
              </w:rPr>
              <w:t>500</w:t>
            </w:r>
          </w:p>
        </w:tc>
      </w:tr>
      <w:tr>
        <w:trPr>
          <w:trHeight w:val="277"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line="234" w:lineRule="exact" w:before="23"/>
              <w:ind w:left="107"/>
              <w:rPr>
                <w:b/>
                <w:sz w:val="22"/>
              </w:rPr>
            </w:pPr>
            <w:r>
              <w:rPr>
                <w:b/>
                <w:sz w:val="22"/>
              </w:rPr>
              <w:t>TOTAL</w:t>
            </w:r>
            <w:r>
              <w:rPr>
                <w:b/>
                <w:spacing w:val="-4"/>
                <w:sz w:val="22"/>
              </w:rPr>
              <w:t> </w:t>
            </w:r>
            <w:r>
              <w:rPr>
                <w:b/>
                <w:sz w:val="22"/>
              </w:rPr>
              <w:t>WASTE</w:t>
            </w:r>
            <w:r>
              <w:rPr>
                <w:b/>
                <w:spacing w:val="-5"/>
                <w:sz w:val="22"/>
              </w:rPr>
              <w:t> </w:t>
            </w:r>
            <w:r>
              <w:rPr>
                <w:b/>
                <w:spacing w:val="-2"/>
                <w:sz w:val="22"/>
              </w:rPr>
              <w:t>MANAGEMENT</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22"/>
              <w:ind w:right="82"/>
              <w:jc w:val="right"/>
              <w:rPr>
                <w:b/>
                <w:sz w:val="18"/>
              </w:rPr>
            </w:pPr>
            <w:r>
              <w:rPr>
                <w:b/>
                <w:spacing w:val="-5"/>
                <w:sz w:val="18"/>
              </w:rPr>
              <w:t>50</w:t>
            </w:r>
          </w:p>
        </w:tc>
        <w:tc>
          <w:tcPr>
            <w:tcW w:w="1020" w:type="dxa"/>
            <w:tcBorders>
              <w:top w:val="dotted" w:sz="4" w:space="0" w:color="000000"/>
              <w:left w:val="nil"/>
              <w:bottom w:val="dashSmallGap" w:sz="4" w:space="0" w:color="000000"/>
              <w:right w:val="nil"/>
            </w:tcBorders>
          </w:tcPr>
          <w:p>
            <w:pPr>
              <w:pStyle w:val="TableParagraph"/>
              <w:spacing w:before="22"/>
              <w:ind w:right="91"/>
              <w:jc w:val="right"/>
              <w:rPr>
                <w:b/>
                <w:sz w:val="18"/>
              </w:rPr>
            </w:pPr>
            <w:r>
              <w:rPr>
                <w:b/>
                <w:spacing w:val="-5"/>
                <w:sz w:val="18"/>
              </w:rPr>
              <w:t>50</w:t>
            </w:r>
          </w:p>
        </w:tc>
        <w:tc>
          <w:tcPr>
            <w:tcW w:w="1020" w:type="dxa"/>
            <w:tcBorders>
              <w:top w:val="dotted" w:sz="4" w:space="0" w:color="000000"/>
              <w:left w:val="nil"/>
              <w:bottom w:val="dashSmallGap" w:sz="4" w:space="0" w:color="000000"/>
              <w:right w:val="nil"/>
            </w:tcBorders>
          </w:tcPr>
          <w:p>
            <w:pPr>
              <w:pStyle w:val="TableParagraph"/>
              <w:spacing w:before="22"/>
              <w:ind w:right="92"/>
              <w:jc w:val="right"/>
              <w:rPr>
                <w:b/>
                <w:sz w:val="18"/>
              </w:rPr>
            </w:pPr>
            <w:r>
              <w:rPr>
                <w:b/>
                <w:sz w:val="18"/>
              </w:rPr>
              <w:t>0</w:t>
            </w:r>
          </w:p>
        </w:tc>
        <w:tc>
          <w:tcPr>
            <w:tcW w:w="1022" w:type="dxa"/>
            <w:tcBorders>
              <w:top w:val="dashed" w:sz="4" w:space="0" w:color="000000"/>
              <w:left w:val="nil"/>
              <w:bottom w:val="dashSmallGap" w:sz="4" w:space="0" w:color="000000"/>
              <w:right w:val="nil"/>
            </w:tcBorders>
          </w:tcPr>
          <w:p>
            <w:pPr>
              <w:pStyle w:val="TableParagraph"/>
              <w:spacing w:before="22"/>
              <w:ind w:right="94"/>
              <w:jc w:val="right"/>
              <w:rPr>
                <w:b/>
                <w:sz w:val="18"/>
              </w:rPr>
            </w:pPr>
            <w:r>
              <w:rPr>
                <w:b/>
                <w:sz w:val="18"/>
              </w:rPr>
              <w:t>0</w:t>
            </w:r>
          </w:p>
        </w:tc>
        <w:tc>
          <w:tcPr>
            <w:tcW w:w="1020" w:type="dxa"/>
            <w:tcBorders>
              <w:top w:val="dashed" w:sz="4" w:space="0" w:color="000000"/>
              <w:left w:val="nil"/>
              <w:bottom w:val="dashSmallGap" w:sz="4" w:space="0" w:color="000000"/>
              <w:right w:val="nil"/>
            </w:tcBorders>
          </w:tcPr>
          <w:p>
            <w:pPr>
              <w:pStyle w:val="TableParagraph"/>
              <w:spacing w:before="22"/>
              <w:ind w:right="92"/>
              <w:jc w:val="right"/>
              <w:rPr>
                <w:b/>
                <w:sz w:val="18"/>
              </w:rPr>
            </w:pPr>
            <w:r>
              <w:rPr>
                <w:b/>
                <w:sz w:val="18"/>
              </w:rPr>
              <w:t>0</w:t>
            </w:r>
          </w:p>
        </w:tc>
        <w:tc>
          <w:tcPr>
            <w:tcW w:w="1022" w:type="dxa"/>
            <w:tcBorders>
              <w:top w:val="dashed" w:sz="4" w:space="0" w:color="000000"/>
              <w:left w:val="nil"/>
              <w:bottom w:val="dashed" w:sz="4" w:space="0" w:color="000000"/>
              <w:right w:val="nil"/>
            </w:tcBorders>
          </w:tcPr>
          <w:p>
            <w:pPr>
              <w:pStyle w:val="TableParagraph"/>
              <w:spacing w:before="22"/>
              <w:ind w:right="92"/>
              <w:jc w:val="right"/>
              <w:rPr>
                <w:b/>
                <w:sz w:val="18"/>
              </w:rPr>
            </w:pPr>
            <w:r>
              <w:rPr>
                <w:b/>
                <w:spacing w:val="-5"/>
                <w:sz w:val="18"/>
              </w:rPr>
              <w:t>50</w:t>
            </w:r>
          </w:p>
        </w:tc>
        <w:tc>
          <w:tcPr>
            <w:tcW w:w="1024" w:type="dxa"/>
            <w:tcBorders>
              <w:top w:val="dashed" w:sz="4" w:space="0" w:color="000000"/>
              <w:left w:val="nil"/>
              <w:bottom w:val="dashed" w:sz="4" w:space="0" w:color="000000"/>
              <w:right w:val="dashed" w:sz="12" w:space="0" w:color="000000"/>
            </w:tcBorders>
          </w:tcPr>
          <w:p>
            <w:pPr>
              <w:pStyle w:val="TableParagraph"/>
              <w:spacing w:before="22"/>
              <w:ind w:right="76"/>
              <w:jc w:val="right"/>
              <w:rPr>
                <w:b/>
                <w:sz w:val="18"/>
              </w:rPr>
            </w:pPr>
            <w:r>
              <w:rPr>
                <w:b/>
                <w:sz w:val="18"/>
              </w:rPr>
              <w:t>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22"/>
              <w:ind w:right="73"/>
              <w:jc w:val="right"/>
              <w:rPr>
                <w:b/>
                <w:sz w:val="18"/>
              </w:rPr>
            </w:pPr>
            <w:r>
              <w:rPr>
                <w:b/>
                <w:spacing w:val="-5"/>
                <w:sz w:val="18"/>
              </w:rPr>
              <w:t>50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22"/>
              <w:ind w:right="70"/>
              <w:jc w:val="right"/>
              <w:rPr>
                <w:b/>
                <w:sz w:val="18"/>
              </w:rPr>
            </w:pPr>
            <w:r>
              <w:rPr>
                <w:b/>
                <w:spacing w:val="-2"/>
                <w:sz w:val="18"/>
              </w:rPr>
              <w:t>3,550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22"/>
              <w:ind w:right="74"/>
              <w:jc w:val="right"/>
              <w:rPr>
                <w:b/>
                <w:sz w:val="18"/>
              </w:rPr>
            </w:pPr>
            <w:r>
              <w:rPr>
                <w:b/>
                <w:spacing w:val="-5"/>
                <w:sz w:val="18"/>
              </w:rPr>
              <w:t>550</w:t>
            </w:r>
          </w:p>
        </w:tc>
      </w:tr>
      <w:tr>
        <w:trPr>
          <w:trHeight w:val="301"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24"/>
              <w:ind w:left="107"/>
              <w:rPr>
                <w:b/>
                <w:sz w:val="22"/>
              </w:rPr>
            </w:pPr>
            <w:r>
              <w:rPr>
                <w:b/>
                <w:spacing w:val="-2"/>
                <w:sz w:val="22"/>
              </w:rPr>
              <w:t>OTHER</w:t>
            </w:r>
          </w:p>
        </w:tc>
        <w:tc>
          <w:tcPr>
            <w:tcW w:w="7338" w:type="dxa"/>
            <w:gridSpan w:val="7"/>
            <w:tcBorders>
              <w:top w:val="nil"/>
              <w:left w:val="dashed" w:sz="8" w:space="0" w:color="000000"/>
              <w:bottom w:val="nil"/>
              <w:right w:val="dashed" w:sz="12" w:space="0" w:color="000000"/>
            </w:tcBorders>
          </w:tcPr>
          <w:p>
            <w:pPr>
              <w:pStyle w:val="TableParagraph"/>
              <w:spacing w:before="11"/>
              <w:rPr>
                <w:b/>
                <w:sz w:val="8"/>
              </w:rPr>
            </w:pPr>
          </w:p>
          <w:p>
            <w:pPr>
              <w:pStyle w:val="TableParagraph"/>
              <w:tabs>
                <w:tab w:pos="2224" w:val="left" w:leader="none"/>
                <w:tab w:pos="3244" w:val="left" w:leader="none"/>
                <w:tab w:pos="4266" w:val="left" w:leader="none"/>
                <w:tab w:pos="5286" w:val="left" w:leader="none"/>
                <w:tab w:pos="6309" w:val="left" w:leader="none"/>
              </w:tabs>
              <w:spacing w:line="115" w:lineRule="exact"/>
              <w:ind w:left="1204"/>
              <w:rPr>
                <w:sz w:val="11"/>
              </w:rPr>
            </w:pPr>
            <w:r>
              <w:rPr>
                <w:position w:val="-1"/>
                <w:sz w:val="11"/>
              </w:rPr>
              <w:pict>
                <v:group style="width:.5pt;height:5.8pt;mso-position-horizontal-relative:char;mso-position-vertical-relative:line" id="docshapegroup496" coordorigin="0,0" coordsize="10,116">
                  <v:shape style="position:absolute;left:0;top:0;width:10;height:116" id="docshape49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498" coordorigin="0,0" coordsize="10,116">
                  <v:shape style="position:absolute;left:0;top:0;width:10;height:116" id="docshape49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00" coordorigin="0,0" coordsize="10,116">
                  <v:shape style="position:absolute;left:0;top:0;width:10;height:116" id="docshape50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02" coordorigin="0,0" coordsize="10,116">
                  <v:shape style="position:absolute;left:0;top:0;width:10;height:116" id="docshape503"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04" coordorigin="0,0" coordsize="10,116">
                  <v:shape style="position:absolute;left:0;top:0;width:10;height:116" id="docshape505"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06" coordorigin="0,0" coordsize="10,116">
                  <v:shape style="position:absolute;left:0;top:0;width:10;height:116" id="docshape507"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rPr>
                <w:rFonts w:ascii="Times New Roman"/>
                <w:sz w:val="18"/>
              </w:rPr>
            </w:pPr>
          </w:p>
        </w:tc>
      </w:tr>
      <w:tr>
        <w:trPr>
          <w:trHeight w:val="302"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Commercial</w:t>
            </w:r>
            <w:r>
              <w:rPr>
                <w:spacing w:val="-1"/>
                <w:sz w:val="18"/>
              </w:rPr>
              <w:t> </w:t>
            </w:r>
            <w:r>
              <w:rPr>
                <w:sz w:val="18"/>
              </w:rPr>
              <w:t>Centres</w:t>
            </w:r>
            <w:r>
              <w:rPr>
                <w:spacing w:val="-2"/>
                <w:sz w:val="18"/>
              </w:rPr>
              <w:t> </w:t>
            </w:r>
            <w:r>
              <w:rPr>
                <w:sz w:val="18"/>
              </w:rPr>
              <w:t>Improvement </w:t>
            </w:r>
            <w:r>
              <w:rPr>
                <w:spacing w:val="-2"/>
                <w:sz w:val="18"/>
              </w:rPr>
              <w:t>Program</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79"/>
              <w:jc w:val="right"/>
              <w:rPr>
                <w:sz w:val="18"/>
              </w:rPr>
            </w:pPr>
            <w:r>
              <w:rPr>
                <w:spacing w:val="-5"/>
                <w:sz w:val="18"/>
              </w:rPr>
              <w:t>240</w:t>
            </w:r>
          </w:p>
        </w:tc>
        <w:tc>
          <w:tcPr>
            <w:tcW w:w="1020" w:type="dxa"/>
            <w:tcBorders>
              <w:top w:val="dashSmallGap" w:sz="4" w:space="0" w:color="000000"/>
              <w:left w:val="nil"/>
              <w:bottom w:val="dashSmallGap" w:sz="4" w:space="0" w:color="000000"/>
              <w:right w:val="nil"/>
            </w:tcBorders>
          </w:tcPr>
          <w:p>
            <w:pPr>
              <w:pStyle w:val="TableParagraph"/>
              <w:spacing w:before="47"/>
              <w:ind w:right="89"/>
              <w:jc w:val="right"/>
              <w:rPr>
                <w:sz w:val="18"/>
              </w:rPr>
            </w:pPr>
            <w:r>
              <w:rPr>
                <w:spacing w:val="-5"/>
                <w:sz w:val="18"/>
              </w:rPr>
              <w:t>240</w:t>
            </w:r>
          </w:p>
        </w:tc>
        <w:tc>
          <w:tcPr>
            <w:tcW w:w="1020" w:type="dxa"/>
            <w:tcBorders>
              <w:top w:val="dashSmallGap" w:sz="4" w:space="0" w:color="000000"/>
              <w:left w:val="nil"/>
              <w:bottom w:val="dashSmallGap" w:sz="4" w:space="0" w:color="000000"/>
              <w:right w:val="nil"/>
            </w:tcBorders>
          </w:tcPr>
          <w:p>
            <w:pPr>
              <w:pStyle w:val="TableParagraph"/>
              <w:spacing w:before="6"/>
              <w:rPr>
                <w:b/>
                <w:sz w:val="8"/>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08" coordorigin="0,0" coordsize="10,116">
                  <v:shape style="position:absolute;left:0;top:0;width:10;height:116" id="docshape509"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10" coordorigin="0,0" coordsize="10,116">
                  <v:shape style="position:absolute;left:0;top:0;width:10;height:116" id="docshape511" coordorigin="0,0" coordsize="10,116" path="m10,77l0,77,0,115,10,115,10,77xm10,0l0,0,0,38,10,38,10,0xe" filled="true" fillcolor="#000000" stroked="false">
                    <v:path arrowok="t"/>
                    <v:fill type="solid"/>
                  </v:shape>
                </v:group>
              </w:pict>
            </w:r>
            <w:r>
              <w:rPr>
                <w:position w:val="-1"/>
                <w:sz w:val="11"/>
              </w:rPr>
            </w:r>
          </w:p>
        </w:tc>
        <w:tc>
          <w:tcPr>
            <w:tcW w:w="1022" w:type="dxa"/>
            <w:tcBorders>
              <w:top w:val="dashSmallGap" w:sz="4" w:space="0" w:color="000000"/>
              <w:left w:val="nil"/>
              <w:bottom w:val="dashSmallGap" w:sz="4" w:space="0" w:color="000000"/>
              <w:right w:val="nil"/>
            </w:tcBorders>
          </w:tcPr>
          <w:p>
            <w:pPr>
              <w:pStyle w:val="TableParagraph"/>
              <w:spacing w:before="6"/>
              <w:rPr>
                <w:b/>
                <w:sz w:val="8"/>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12" coordorigin="0,0" coordsize="10,116">
                  <v:shape style="position:absolute;left:0;top:0;width:10;height:116" id="docshape513"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7"/>
              <w:ind w:right="89"/>
              <w:jc w:val="right"/>
              <w:rPr>
                <w:sz w:val="18"/>
              </w:rPr>
            </w:pPr>
            <w:r>
              <w:rPr>
                <w:spacing w:val="-5"/>
                <w:sz w:val="18"/>
              </w:rPr>
              <w:t>120</w:t>
            </w:r>
          </w:p>
        </w:tc>
        <w:tc>
          <w:tcPr>
            <w:tcW w:w="1022" w:type="dxa"/>
            <w:tcBorders>
              <w:top w:val="dashed" w:sz="4" w:space="0" w:color="000000"/>
              <w:left w:val="nil"/>
              <w:bottom w:val="dashed" w:sz="4" w:space="0" w:color="000000"/>
              <w:right w:val="nil"/>
            </w:tcBorders>
          </w:tcPr>
          <w:p>
            <w:pPr>
              <w:pStyle w:val="TableParagraph"/>
              <w:spacing w:before="47"/>
              <w:ind w:right="92"/>
              <w:jc w:val="right"/>
              <w:rPr>
                <w:sz w:val="18"/>
              </w:rPr>
            </w:pPr>
            <w:r>
              <w:rPr>
                <w:spacing w:val="-5"/>
                <w:sz w:val="18"/>
              </w:rPr>
              <w:t>120</w:t>
            </w:r>
          </w:p>
        </w:tc>
        <w:tc>
          <w:tcPr>
            <w:tcW w:w="1024" w:type="dxa"/>
            <w:tcBorders>
              <w:top w:val="dashed" w:sz="4" w:space="0" w:color="000000"/>
              <w:left w:val="nil"/>
              <w:bottom w:val="dashed" w:sz="4" w:space="0" w:color="000000"/>
              <w:right w:val="dashed" w:sz="12" w:space="0" w:color="000000"/>
            </w:tcBorders>
          </w:tcPr>
          <w:p>
            <w:pPr>
              <w:pStyle w:val="TableParagraph"/>
              <w:spacing w:before="6"/>
              <w:rPr>
                <w:b/>
                <w:sz w:val="8"/>
              </w:rPr>
            </w:pPr>
          </w:p>
          <w:p>
            <w:pPr>
              <w:pStyle w:val="TableParagraph"/>
              <w:spacing w:line="115" w:lineRule="exact"/>
              <w:ind w:left="-5"/>
              <w:rPr>
                <w:sz w:val="11"/>
              </w:rPr>
            </w:pPr>
            <w:r>
              <w:rPr>
                <w:position w:val="-1"/>
                <w:sz w:val="11"/>
              </w:rPr>
              <w:pict>
                <v:group style="width:.5pt;height:5.8pt;mso-position-horizontal-relative:char;mso-position-vertical-relative:line" id="docshapegroup514" coordorigin="0,0" coordsize="10,116">
                  <v:shape style="position:absolute;left:0;top:0;width:10;height:116" id="docshape515"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250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sz w:val="18"/>
              </w:rPr>
            </w:pPr>
            <w:r>
              <w:rPr>
                <w:spacing w:val="-5"/>
                <w:sz w:val="18"/>
              </w:rPr>
              <w:t>250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250</w:t>
            </w:r>
          </w:p>
        </w:tc>
      </w:tr>
      <w:tr>
        <w:trPr>
          <w:trHeight w:val="302"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Christmas</w:t>
            </w:r>
            <w:r>
              <w:rPr>
                <w:spacing w:val="-3"/>
                <w:sz w:val="18"/>
              </w:rPr>
              <w:t> </w:t>
            </w:r>
            <w:r>
              <w:rPr>
                <w:spacing w:val="-2"/>
                <w:sz w:val="18"/>
              </w:rPr>
              <w:t>Decorations</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sz w:val="18"/>
              </w:rPr>
            </w:pPr>
            <w:r>
              <w:rPr>
                <w:spacing w:val="-5"/>
                <w:sz w:val="18"/>
              </w:rPr>
              <w:t>50</w:t>
            </w:r>
          </w:p>
        </w:tc>
        <w:tc>
          <w:tcPr>
            <w:tcW w:w="1020" w:type="dxa"/>
            <w:tcBorders>
              <w:top w:val="dashSmallGap" w:sz="4" w:space="0" w:color="000000"/>
              <w:left w:val="nil"/>
              <w:bottom w:val="dashSmallGap" w:sz="4" w:space="0" w:color="000000"/>
              <w:right w:val="nil"/>
            </w:tcBorders>
          </w:tcPr>
          <w:p>
            <w:pPr>
              <w:pStyle w:val="TableParagraph"/>
              <w:spacing w:before="47"/>
              <w:ind w:right="91"/>
              <w:jc w:val="right"/>
              <w:rPr>
                <w:sz w:val="18"/>
              </w:rPr>
            </w:pPr>
            <w:r>
              <w:rPr>
                <w:spacing w:val="-5"/>
                <w:sz w:val="18"/>
              </w:rPr>
              <w:t>50</w:t>
            </w:r>
          </w:p>
        </w:tc>
        <w:tc>
          <w:tcPr>
            <w:tcW w:w="1020" w:type="dxa"/>
            <w:tcBorders>
              <w:top w:val="dashSmallGap" w:sz="4" w:space="0" w:color="000000"/>
              <w:left w:val="nil"/>
              <w:bottom w:val="dashSmallGap" w:sz="4" w:space="0" w:color="000000"/>
              <w:right w:val="nil"/>
            </w:tcBorders>
          </w:tcPr>
          <w:p>
            <w:pPr>
              <w:pStyle w:val="TableParagraph"/>
              <w:spacing w:before="1"/>
              <w:rPr>
                <w:b/>
                <w:sz w:val="8"/>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16" coordorigin="0,0" coordsize="10,116">
                  <v:shape style="position:absolute;left:0;top:0;width:10;height:116" id="docshape51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18" coordorigin="0,0" coordsize="10,116">
                  <v:shape style="position:absolute;left:0;top:0;width:10;height:116" id="docshape519" coordorigin="0,0" coordsize="10,116" path="m10,77l0,77,0,115,10,115,10,77xm10,0l0,0,0,38,10,38,10,0xe" filled="true" fillcolor="#000000" stroked="false">
                    <v:path arrowok="t"/>
                    <v:fill type="solid"/>
                  </v:shape>
                </v:group>
              </w:pict>
            </w:r>
            <w:r>
              <w:rPr>
                <w:position w:val="-1"/>
                <w:sz w:val="11"/>
              </w:rPr>
            </w:r>
          </w:p>
        </w:tc>
        <w:tc>
          <w:tcPr>
            <w:tcW w:w="1022" w:type="dxa"/>
            <w:tcBorders>
              <w:top w:val="dashSmallGap" w:sz="4" w:space="0" w:color="000000"/>
              <w:left w:val="nil"/>
              <w:bottom w:val="dashSmallGap" w:sz="4" w:space="0" w:color="000000"/>
              <w:right w:val="nil"/>
            </w:tcBorders>
          </w:tcPr>
          <w:p>
            <w:pPr>
              <w:pStyle w:val="TableParagraph"/>
              <w:spacing w:before="1"/>
              <w:rPr>
                <w:b/>
                <w:sz w:val="8"/>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20" coordorigin="0,0" coordsize="10,116">
                  <v:shape style="position:absolute;left:0;top:0;width:10;height:116" id="docshape521"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1"/>
              <w:rPr>
                <w:b/>
                <w:sz w:val="8"/>
              </w:rPr>
            </w:pPr>
          </w:p>
          <w:p>
            <w:pPr>
              <w:pStyle w:val="TableParagraph"/>
              <w:spacing w:line="115" w:lineRule="exact"/>
              <w:ind w:left="1029" w:right="-87"/>
              <w:rPr>
                <w:sz w:val="11"/>
              </w:rPr>
            </w:pPr>
            <w:r>
              <w:rPr>
                <w:position w:val="-1"/>
                <w:sz w:val="11"/>
              </w:rPr>
              <w:pict>
                <v:group style="width:.5pt;height:5.8pt;mso-position-horizontal-relative:char;mso-position-vertical-relative:line" id="docshapegroup522" coordorigin="0,0" coordsize="10,116">
                  <v:shape style="position:absolute;left:0;top:0;width:10;height:116" id="docshape523"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1"/>
              <w:rPr>
                <w:b/>
                <w:sz w:val="8"/>
              </w:rPr>
            </w:pPr>
          </w:p>
          <w:p>
            <w:pPr>
              <w:pStyle w:val="TableParagraph"/>
              <w:spacing w:line="115" w:lineRule="exact"/>
              <w:ind w:left="1032" w:right="-87"/>
              <w:rPr>
                <w:sz w:val="11"/>
              </w:rPr>
            </w:pPr>
            <w:r>
              <w:rPr>
                <w:position w:val="-1"/>
                <w:sz w:val="11"/>
              </w:rPr>
              <w:pict>
                <v:group style="width:.5pt;height:5.8pt;mso-position-horizontal-relative:char;mso-position-vertical-relative:line" id="docshapegroup524" coordorigin="0,0" coordsize="10,116">
                  <v:shape style="position:absolute;left:0;top:0;width:10;height:116" id="docshape525" coordorigin="0,0" coordsize="10,116" path="m10,77l0,77,0,115,10,115,10,77xm10,0l0,0,0,38,10,38,10,0xe" filled="true" fillcolor="#000000" stroked="false">
                    <v:path arrowok="t"/>
                    <v:fill type="solid"/>
                  </v:shape>
                </v:group>
              </w:pict>
            </w:r>
            <w:r>
              <w:rPr>
                <w:position w:val="-1"/>
                <w:sz w:val="11"/>
              </w:rPr>
            </w:r>
          </w:p>
        </w:tc>
        <w:tc>
          <w:tcPr>
            <w:tcW w:w="1024" w:type="dxa"/>
            <w:tcBorders>
              <w:top w:val="dashed" w:sz="4" w:space="0" w:color="000000"/>
              <w:left w:val="nil"/>
              <w:bottom w:val="dashed" w:sz="4" w:space="0" w:color="000000"/>
              <w:right w:val="dashed" w:sz="12" w:space="0" w:color="000000"/>
            </w:tcBorders>
          </w:tcPr>
          <w:p>
            <w:pPr>
              <w:pStyle w:val="TableParagraph"/>
              <w:spacing w:before="47"/>
              <w:ind w:right="75"/>
              <w:jc w:val="right"/>
              <w:rPr>
                <w:sz w:val="18"/>
              </w:rPr>
            </w:pPr>
            <w:r>
              <w:rPr>
                <w:spacing w:val="-5"/>
                <w:sz w:val="18"/>
              </w:rPr>
              <w:t>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50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1"/>
              <w:jc w:val="right"/>
              <w:rPr>
                <w:sz w:val="18"/>
              </w:rPr>
            </w:pPr>
            <w:r>
              <w:rPr>
                <w:spacing w:val="-5"/>
                <w:sz w:val="18"/>
              </w:rPr>
              <w:t>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50</w:t>
            </w:r>
          </w:p>
        </w:tc>
      </w:tr>
      <w:tr>
        <w:trPr>
          <w:trHeight w:val="302"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Ringwood</w:t>
            </w:r>
            <w:r>
              <w:rPr>
                <w:spacing w:val="-5"/>
                <w:sz w:val="18"/>
              </w:rPr>
              <w:t> </w:t>
            </w:r>
            <w:r>
              <w:rPr>
                <w:sz w:val="18"/>
              </w:rPr>
              <w:t>Metropolitan Activity</w:t>
            </w:r>
            <w:r>
              <w:rPr>
                <w:spacing w:val="-2"/>
                <w:sz w:val="18"/>
              </w:rPr>
              <w:t> Centre</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80"/>
              <w:jc w:val="right"/>
              <w:rPr>
                <w:sz w:val="18"/>
              </w:rPr>
            </w:pPr>
            <w:r>
              <w:rPr>
                <w:spacing w:val="-5"/>
                <w:sz w:val="18"/>
              </w:rPr>
              <w:t>600</w:t>
            </w:r>
          </w:p>
        </w:tc>
        <w:tc>
          <w:tcPr>
            <w:tcW w:w="1020" w:type="dxa"/>
            <w:tcBorders>
              <w:top w:val="dashSmallGap" w:sz="4" w:space="0" w:color="000000"/>
              <w:left w:val="nil"/>
              <w:bottom w:val="dashSmallGap" w:sz="4" w:space="0" w:color="000000"/>
              <w:right w:val="nil"/>
            </w:tcBorders>
          </w:tcPr>
          <w:p>
            <w:pPr>
              <w:pStyle w:val="TableParagraph"/>
              <w:spacing w:before="47"/>
              <w:ind w:right="90"/>
              <w:jc w:val="right"/>
              <w:rPr>
                <w:sz w:val="18"/>
              </w:rPr>
            </w:pPr>
            <w:r>
              <w:rPr>
                <w:spacing w:val="-5"/>
                <w:sz w:val="18"/>
              </w:rPr>
              <w:t>600</w:t>
            </w:r>
          </w:p>
        </w:tc>
        <w:tc>
          <w:tcPr>
            <w:tcW w:w="1020" w:type="dxa"/>
            <w:tcBorders>
              <w:top w:val="dashSmallGap" w:sz="4" w:space="0" w:color="000000"/>
              <w:left w:val="nil"/>
              <w:bottom w:val="dashSmallGap" w:sz="4" w:space="0" w:color="000000"/>
              <w:right w:val="nil"/>
            </w:tcBorders>
          </w:tcPr>
          <w:p>
            <w:pPr>
              <w:pStyle w:val="TableParagraph"/>
              <w:spacing w:before="8"/>
              <w:rPr>
                <w:b/>
                <w:sz w:val="7"/>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26" coordorigin="0,0" coordsize="10,116">
                  <v:shape style="position:absolute;left:0;top:0;width:10;height:116" id="docshape52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28" coordorigin="0,0" coordsize="10,116">
                  <v:shape style="position:absolute;left:0;top:0;width:10;height:116" id="docshape529" coordorigin="0,0" coordsize="10,116" path="m10,77l0,77,0,115,10,115,10,77xm10,0l0,0,0,38,10,38,10,0xe" filled="true" fillcolor="#000000" stroked="false">
                    <v:path arrowok="t"/>
                    <v:fill type="solid"/>
                  </v:shape>
                </v:group>
              </w:pict>
            </w:r>
            <w:r>
              <w:rPr>
                <w:position w:val="-1"/>
                <w:sz w:val="11"/>
              </w:rPr>
            </w:r>
          </w:p>
        </w:tc>
        <w:tc>
          <w:tcPr>
            <w:tcW w:w="1022" w:type="dxa"/>
            <w:tcBorders>
              <w:top w:val="dashSmallGap" w:sz="4" w:space="0" w:color="000000"/>
              <w:left w:val="nil"/>
              <w:bottom w:val="dashSmallGap" w:sz="4" w:space="0" w:color="000000"/>
              <w:right w:val="nil"/>
            </w:tcBorders>
          </w:tcPr>
          <w:p>
            <w:pPr>
              <w:pStyle w:val="TableParagraph"/>
              <w:spacing w:before="8"/>
              <w:rPr>
                <w:b/>
                <w:sz w:val="7"/>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30" coordorigin="0,0" coordsize="10,116">
                  <v:shape style="position:absolute;left:0;top:0;width:10;height:116" id="docshape531"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8"/>
              <w:rPr>
                <w:b/>
                <w:sz w:val="7"/>
              </w:rPr>
            </w:pPr>
          </w:p>
          <w:p>
            <w:pPr>
              <w:pStyle w:val="TableParagraph"/>
              <w:spacing w:line="115" w:lineRule="exact"/>
              <w:ind w:left="1029" w:right="-87"/>
              <w:rPr>
                <w:sz w:val="11"/>
              </w:rPr>
            </w:pPr>
            <w:r>
              <w:rPr>
                <w:position w:val="-1"/>
                <w:sz w:val="11"/>
              </w:rPr>
              <w:pict>
                <v:group style="width:.5pt;height:5.8pt;mso-position-horizontal-relative:char;mso-position-vertical-relative:line" id="docshapegroup532" coordorigin="0,0" coordsize="10,116">
                  <v:shape style="position:absolute;left:0;top:0;width:10;height:116" id="docshape533"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47"/>
              <w:ind w:right="92"/>
              <w:jc w:val="right"/>
              <w:rPr>
                <w:sz w:val="18"/>
              </w:rPr>
            </w:pPr>
            <w:r>
              <w:rPr>
                <w:spacing w:val="-5"/>
                <w:sz w:val="18"/>
              </w:rPr>
              <w:t>600</w:t>
            </w:r>
          </w:p>
        </w:tc>
        <w:tc>
          <w:tcPr>
            <w:tcW w:w="1024" w:type="dxa"/>
            <w:tcBorders>
              <w:top w:val="dashed" w:sz="4" w:space="0" w:color="000000"/>
              <w:left w:val="nil"/>
              <w:bottom w:val="dashed" w:sz="4" w:space="0" w:color="000000"/>
              <w:right w:val="dashed" w:sz="12" w:space="0" w:color="000000"/>
            </w:tcBorders>
          </w:tcPr>
          <w:p>
            <w:pPr>
              <w:pStyle w:val="TableParagraph"/>
              <w:spacing w:before="8"/>
              <w:rPr>
                <w:b/>
                <w:sz w:val="7"/>
              </w:rPr>
            </w:pPr>
          </w:p>
          <w:p>
            <w:pPr>
              <w:pStyle w:val="TableParagraph"/>
              <w:spacing w:line="115" w:lineRule="exact"/>
              <w:ind w:left="-5"/>
              <w:rPr>
                <w:sz w:val="11"/>
              </w:rPr>
            </w:pPr>
            <w:r>
              <w:rPr>
                <w:position w:val="-1"/>
                <w:sz w:val="11"/>
              </w:rPr>
              <w:pict>
                <v:group style="width:.5pt;height:5.8pt;mso-position-horizontal-relative:char;mso-position-vertical-relative:line" id="docshapegroup534" coordorigin="0,0" coordsize="10,116">
                  <v:shape style="position:absolute;left:0;top:0;width:10;height:116" id="docshape535"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600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sz w:val="18"/>
              </w:rPr>
            </w:pPr>
            <w:r>
              <w:rPr>
                <w:spacing w:val="-5"/>
                <w:sz w:val="18"/>
              </w:rPr>
              <w:t>600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600</w:t>
            </w:r>
          </w:p>
        </w:tc>
      </w:tr>
      <w:tr>
        <w:trPr>
          <w:trHeight w:val="302"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Bus</w:t>
            </w:r>
            <w:r>
              <w:rPr>
                <w:spacing w:val="1"/>
                <w:sz w:val="18"/>
              </w:rPr>
              <w:t> </w:t>
            </w:r>
            <w:r>
              <w:rPr>
                <w:spacing w:val="-2"/>
                <w:sz w:val="18"/>
              </w:rPr>
              <w:t>Shelters</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sz w:val="18"/>
              </w:rPr>
            </w:pPr>
            <w:r>
              <w:rPr>
                <w:spacing w:val="-5"/>
                <w:sz w:val="18"/>
              </w:rPr>
              <w:t>30</w:t>
            </w:r>
          </w:p>
        </w:tc>
        <w:tc>
          <w:tcPr>
            <w:tcW w:w="1020" w:type="dxa"/>
            <w:tcBorders>
              <w:top w:val="dashSmallGap" w:sz="4" w:space="0" w:color="000000"/>
              <w:left w:val="nil"/>
              <w:bottom w:val="dashSmallGap" w:sz="4" w:space="0" w:color="000000"/>
              <w:right w:val="nil"/>
            </w:tcBorders>
          </w:tcPr>
          <w:p>
            <w:pPr>
              <w:pStyle w:val="TableParagraph"/>
              <w:spacing w:before="47"/>
              <w:ind w:right="91"/>
              <w:jc w:val="right"/>
              <w:rPr>
                <w:sz w:val="18"/>
              </w:rPr>
            </w:pPr>
            <w:r>
              <w:rPr>
                <w:spacing w:val="-5"/>
                <w:sz w:val="18"/>
              </w:rPr>
              <w:t>30</w:t>
            </w:r>
          </w:p>
        </w:tc>
        <w:tc>
          <w:tcPr>
            <w:tcW w:w="1020" w:type="dxa"/>
            <w:tcBorders>
              <w:top w:val="dashSmallGap" w:sz="4" w:space="0" w:color="000000"/>
              <w:left w:val="nil"/>
              <w:bottom w:val="dashSmallGap" w:sz="4" w:space="0" w:color="000000"/>
              <w:right w:val="nil"/>
            </w:tcBorders>
          </w:tcPr>
          <w:p>
            <w:pPr>
              <w:pStyle w:val="TableParagraph"/>
              <w:spacing w:before="3"/>
              <w:rPr>
                <w:b/>
                <w:sz w:val="7"/>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36" coordorigin="0,0" coordsize="10,116">
                  <v:shape style="position:absolute;left:0;top:0;width:10;height:116" id="docshape53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38" coordorigin="0,0" coordsize="10,116">
                  <v:shape style="position:absolute;left:0;top:0;width:10;height:116" id="docshape539" coordorigin="0,0" coordsize="10,116" path="m10,77l0,77,0,115,10,115,10,77xm10,0l0,0,0,38,10,38,10,0xe" filled="true" fillcolor="#000000" stroked="false">
                    <v:path arrowok="t"/>
                    <v:fill type="solid"/>
                  </v:shape>
                </v:group>
              </w:pict>
            </w:r>
            <w:r>
              <w:rPr>
                <w:position w:val="-1"/>
                <w:sz w:val="11"/>
              </w:rPr>
            </w:r>
          </w:p>
        </w:tc>
        <w:tc>
          <w:tcPr>
            <w:tcW w:w="1022" w:type="dxa"/>
            <w:tcBorders>
              <w:top w:val="dashSmallGap" w:sz="4" w:space="0" w:color="000000"/>
              <w:left w:val="nil"/>
              <w:bottom w:val="dashSmallGap" w:sz="4" w:space="0" w:color="000000"/>
              <w:right w:val="nil"/>
            </w:tcBorders>
          </w:tcPr>
          <w:p>
            <w:pPr>
              <w:pStyle w:val="TableParagraph"/>
              <w:spacing w:before="3"/>
              <w:rPr>
                <w:b/>
                <w:sz w:val="7"/>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40" coordorigin="0,0" coordsize="10,116">
                  <v:shape style="position:absolute;left:0;top:0;width:10;height:116" id="docshape541"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3"/>
              <w:rPr>
                <w:b/>
                <w:sz w:val="7"/>
              </w:rPr>
            </w:pPr>
          </w:p>
          <w:p>
            <w:pPr>
              <w:pStyle w:val="TableParagraph"/>
              <w:spacing w:line="115" w:lineRule="exact"/>
              <w:ind w:left="1029" w:right="-87"/>
              <w:rPr>
                <w:sz w:val="11"/>
              </w:rPr>
            </w:pPr>
            <w:r>
              <w:rPr>
                <w:position w:val="-1"/>
                <w:sz w:val="11"/>
              </w:rPr>
              <w:pict>
                <v:group style="width:.5pt;height:5.8pt;mso-position-horizontal-relative:char;mso-position-vertical-relative:line" id="docshapegroup542" coordorigin="0,0" coordsize="10,116">
                  <v:shape style="position:absolute;left:0;top:0;width:10;height:116" id="docshape543"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3"/>
              <w:rPr>
                <w:b/>
                <w:sz w:val="7"/>
              </w:rPr>
            </w:pPr>
          </w:p>
          <w:p>
            <w:pPr>
              <w:pStyle w:val="TableParagraph"/>
              <w:spacing w:line="115" w:lineRule="exact"/>
              <w:ind w:left="1032" w:right="-87"/>
              <w:rPr>
                <w:sz w:val="11"/>
              </w:rPr>
            </w:pPr>
            <w:r>
              <w:rPr>
                <w:position w:val="-1"/>
                <w:sz w:val="11"/>
              </w:rPr>
              <w:pict>
                <v:group style="width:.5pt;height:5.8pt;mso-position-horizontal-relative:char;mso-position-vertical-relative:line" id="docshapegroup544" coordorigin="0,0" coordsize="10,116">
                  <v:shape style="position:absolute;left:0;top:0;width:10;height:116" id="docshape545" coordorigin="0,0" coordsize="10,116" path="m10,77l0,77,0,115,10,115,10,77xm10,0l0,0,0,38,10,38,10,0xe" filled="true" fillcolor="#000000" stroked="false">
                    <v:path arrowok="t"/>
                    <v:fill type="solid"/>
                  </v:shape>
                </v:group>
              </w:pict>
            </w:r>
            <w:r>
              <w:rPr>
                <w:position w:val="-1"/>
                <w:sz w:val="11"/>
              </w:rPr>
            </w:r>
          </w:p>
        </w:tc>
        <w:tc>
          <w:tcPr>
            <w:tcW w:w="1024" w:type="dxa"/>
            <w:tcBorders>
              <w:top w:val="dashed" w:sz="4" w:space="0" w:color="000000"/>
              <w:left w:val="nil"/>
              <w:bottom w:val="dashed" w:sz="4" w:space="0" w:color="000000"/>
              <w:right w:val="dashed" w:sz="12" w:space="0" w:color="000000"/>
            </w:tcBorders>
          </w:tcPr>
          <w:p>
            <w:pPr>
              <w:pStyle w:val="TableParagraph"/>
              <w:spacing w:before="47"/>
              <w:ind w:right="74"/>
              <w:jc w:val="right"/>
              <w:rPr>
                <w:sz w:val="18"/>
              </w:rPr>
            </w:pPr>
            <w:r>
              <w:rPr>
                <w:spacing w:val="-5"/>
                <w:sz w:val="18"/>
              </w:rPr>
              <w:t>30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40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1"/>
              <w:jc w:val="right"/>
              <w:rPr>
                <w:sz w:val="18"/>
              </w:rPr>
            </w:pPr>
            <w:r>
              <w:rPr>
                <w:spacing w:val="-5"/>
                <w:sz w:val="18"/>
              </w:rPr>
              <w:t>40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40</w:t>
            </w:r>
          </w:p>
        </w:tc>
      </w:tr>
      <w:tr>
        <w:trPr>
          <w:trHeight w:val="301"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Carbon</w:t>
            </w:r>
            <w:r>
              <w:rPr>
                <w:spacing w:val="1"/>
                <w:sz w:val="18"/>
              </w:rPr>
              <w:t> </w:t>
            </w:r>
            <w:r>
              <w:rPr>
                <w:sz w:val="18"/>
              </w:rPr>
              <w:t>Neutral - </w:t>
            </w:r>
            <w:r>
              <w:rPr>
                <w:spacing w:val="-2"/>
                <w:sz w:val="18"/>
              </w:rPr>
              <w:t>Greenpower</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81"/>
              <w:jc w:val="right"/>
              <w:rPr>
                <w:sz w:val="18"/>
              </w:rPr>
            </w:pPr>
            <w:r>
              <w:rPr>
                <w:spacing w:val="-5"/>
                <w:sz w:val="18"/>
              </w:rPr>
              <w:t>75</w:t>
            </w:r>
          </w:p>
        </w:tc>
        <w:tc>
          <w:tcPr>
            <w:tcW w:w="1020" w:type="dxa"/>
            <w:tcBorders>
              <w:top w:val="dashSmallGap" w:sz="4" w:space="0" w:color="000000"/>
              <w:left w:val="nil"/>
              <w:bottom w:val="dashed" w:sz="4" w:space="0" w:color="000000"/>
              <w:right w:val="nil"/>
            </w:tcBorders>
          </w:tcPr>
          <w:p>
            <w:pPr>
              <w:pStyle w:val="TableParagraph"/>
              <w:spacing w:before="47"/>
              <w:ind w:right="91"/>
              <w:jc w:val="right"/>
              <w:rPr>
                <w:sz w:val="18"/>
              </w:rPr>
            </w:pPr>
            <w:r>
              <w:rPr>
                <w:spacing w:val="-5"/>
                <w:sz w:val="18"/>
              </w:rPr>
              <w:t>75</w:t>
            </w:r>
          </w:p>
        </w:tc>
        <w:tc>
          <w:tcPr>
            <w:tcW w:w="1020" w:type="dxa"/>
            <w:tcBorders>
              <w:top w:val="dashSmallGap" w:sz="4" w:space="0" w:color="000000"/>
              <w:left w:val="nil"/>
              <w:bottom w:val="dashSmallGap" w:sz="4" w:space="0" w:color="000000"/>
              <w:right w:val="nil"/>
            </w:tcBorders>
          </w:tcPr>
          <w:p>
            <w:pPr>
              <w:pStyle w:val="TableParagraph"/>
              <w:spacing w:before="10"/>
              <w:rPr>
                <w:b/>
                <w:sz w:val="6"/>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46" coordorigin="0,0" coordsize="10,116">
                  <v:shape style="position:absolute;left:0;top:0;width:10;height:116" id="docshape54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48" coordorigin="0,0" coordsize="10,116">
                  <v:shape style="position:absolute;left:0;top:0;width:10;height:116" id="docshape549" coordorigin="0,0" coordsize="10,116" path="m10,77l0,77,0,115,10,115,10,77xm10,0l0,0,0,38,10,38,10,0xe" filled="true" fillcolor="#000000" stroked="false">
                    <v:path arrowok="t"/>
                    <v:fill type="solid"/>
                  </v:shape>
                </v:group>
              </w:pict>
            </w:r>
            <w:r>
              <w:rPr>
                <w:position w:val="-1"/>
                <w:sz w:val="11"/>
              </w:rPr>
            </w:r>
          </w:p>
        </w:tc>
        <w:tc>
          <w:tcPr>
            <w:tcW w:w="1022" w:type="dxa"/>
            <w:tcBorders>
              <w:top w:val="dashSmallGap" w:sz="4" w:space="0" w:color="000000"/>
              <w:left w:val="nil"/>
              <w:bottom w:val="dashed" w:sz="4" w:space="0" w:color="000000"/>
              <w:right w:val="nil"/>
            </w:tcBorders>
          </w:tcPr>
          <w:p>
            <w:pPr>
              <w:pStyle w:val="TableParagraph"/>
              <w:spacing w:before="10"/>
              <w:rPr>
                <w:b/>
                <w:sz w:val="6"/>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50" coordorigin="0,0" coordsize="10,116">
                  <v:shape style="position:absolute;left:0;top:0;width:10;height:116" id="docshape551"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10"/>
              <w:rPr>
                <w:b/>
                <w:sz w:val="6"/>
              </w:rPr>
            </w:pPr>
          </w:p>
          <w:p>
            <w:pPr>
              <w:pStyle w:val="TableParagraph"/>
              <w:spacing w:line="115" w:lineRule="exact"/>
              <w:ind w:left="1029" w:right="-87"/>
              <w:rPr>
                <w:sz w:val="11"/>
              </w:rPr>
            </w:pPr>
            <w:r>
              <w:rPr>
                <w:position w:val="-1"/>
                <w:sz w:val="11"/>
              </w:rPr>
              <w:pict>
                <v:group style="width:.5pt;height:5.8pt;mso-position-horizontal-relative:char;mso-position-vertical-relative:line" id="docshapegroup552" coordorigin="0,0" coordsize="10,116">
                  <v:shape style="position:absolute;left:0;top:0;width:10;height:116" id="docshape553"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47"/>
              <w:ind w:right="93"/>
              <w:jc w:val="right"/>
              <w:rPr>
                <w:sz w:val="18"/>
              </w:rPr>
            </w:pPr>
            <w:r>
              <w:rPr>
                <w:spacing w:val="-5"/>
                <w:sz w:val="18"/>
              </w:rPr>
              <w:t>75</w:t>
            </w:r>
          </w:p>
        </w:tc>
        <w:tc>
          <w:tcPr>
            <w:tcW w:w="1024" w:type="dxa"/>
            <w:tcBorders>
              <w:top w:val="dashed" w:sz="4" w:space="0" w:color="000000"/>
              <w:left w:val="nil"/>
              <w:bottom w:val="dashed" w:sz="4" w:space="0" w:color="000000"/>
              <w:right w:val="dashed" w:sz="12" w:space="0" w:color="000000"/>
            </w:tcBorders>
          </w:tcPr>
          <w:p>
            <w:pPr>
              <w:pStyle w:val="TableParagraph"/>
              <w:spacing w:before="10"/>
              <w:rPr>
                <w:b/>
                <w:sz w:val="6"/>
              </w:rPr>
            </w:pPr>
          </w:p>
          <w:p>
            <w:pPr>
              <w:pStyle w:val="TableParagraph"/>
              <w:spacing w:line="115" w:lineRule="exact"/>
              <w:ind w:left="-5"/>
              <w:rPr>
                <w:sz w:val="11"/>
              </w:rPr>
            </w:pPr>
            <w:r>
              <w:rPr>
                <w:position w:val="-1"/>
                <w:sz w:val="11"/>
              </w:rPr>
              <w:pict>
                <v:group style="width:.5pt;height:5.8pt;mso-position-horizontal-relative:char;mso-position-vertical-relative:line" id="docshapegroup554" coordorigin="0,0" coordsize="10,116">
                  <v:shape style="position:absolute;left:0;top:0;width:10;height:116" id="docshape555" coordorigin="0,0" coordsize="10,116" path="m10,77l0,77,0,115,10,115,10,77xm10,0l0,0,0,38,10,38,10,0xe" filled="true" fillcolor="#000000" stroked="false">
                    <v:path arrowok="t"/>
                    <v:fill type="solid"/>
                  </v:shape>
                </v:group>
              </w:pict>
            </w:r>
            <w:r>
              <w:rPr>
                <w:position w:val="-1"/>
                <w:sz w:val="11"/>
              </w:rPr>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75</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1"/>
              <w:jc w:val="right"/>
              <w:rPr>
                <w:sz w:val="18"/>
              </w:rPr>
            </w:pPr>
            <w:r>
              <w:rPr>
                <w:spacing w:val="-5"/>
                <w:sz w:val="18"/>
              </w:rPr>
              <w:t>75</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75</w:t>
            </w:r>
          </w:p>
        </w:tc>
      </w:tr>
      <w:tr>
        <w:trPr>
          <w:trHeight w:val="301"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Sustainable</w:t>
            </w:r>
            <w:r>
              <w:rPr>
                <w:spacing w:val="-6"/>
                <w:sz w:val="18"/>
              </w:rPr>
              <w:t> </w:t>
            </w:r>
            <w:r>
              <w:rPr>
                <w:sz w:val="18"/>
              </w:rPr>
              <w:t>Maroondah</w:t>
            </w:r>
            <w:r>
              <w:rPr>
                <w:spacing w:val="1"/>
                <w:sz w:val="18"/>
              </w:rPr>
              <w:t> </w:t>
            </w:r>
            <w:r>
              <w:rPr>
                <w:spacing w:val="-4"/>
                <w:sz w:val="18"/>
              </w:rPr>
              <w:t>Fund</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80"/>
              <w:jc w:val="right"/>
              <w:rPr>
                <w:sz w:val="18"/>
              </w:rPr>
            </w:pPr>
            <w:r>
              <w:rPr>
                <w:spacing w:val="-5"/>
                <w:sz w:val="18"/>
              </w:rPr>
              <w:t>70</w:t>
            </w:r>
          </w:p>
        </w:tc>
        <w:tc>
          <w:tcPr>
            <w:tcW w:w="1020" w:type="dxa"/>
            <w:tcBorders>
              <w:top w:val="dashed" w:sz="4" w:space="0" w:color="000000"/>
              <w:left w:val="nil"/>
              <w:bottom w:val="dashed" w:sz="4" w:space="0" w:color="000000"/>
              <w:right w:val="nil"/>
            </w:tcBorders>
          </w:tcPr>
          <w:p>
            <w:pPr>
              <w:pStyle w:val="TableParagraph"/>
              <w:spacing w:before="47"/>
              <w:ind w:right="90"/>
              <w:jc w:val="right"/>
              <w:rPr>
                <w:sz w:val="18"/>
              </w:rPr>
            </w:pPr>
            <w:r>
              <w:rPr>
                <w:spacing w:val="-5"/>
                <w:sz w:val="18"/>
              </w:rPr>
              <w:t>70</w:t>
            </w:r>
          </w:p>
        </w:tc>
        <w:tc>
          <w:tcPr>
            <w:tcW w:w="1020" w:type="dxa"/>
            <w:tcBorders>
              <w:top w:val="dashSmallGap" w:sz="4" w:space="0" w:color="000000"/>
              <w:left w:val="nil"/>
              <w:bottom w:val="dashSmallGap" w:sz="4" w:space="0" w:color="000000"/>
              <w:right w:val="nil"/>
            </w:tcBorders>
          </w:tcPr>
          <w:p>
            <w:pPr>
              <w:pStyle w:val="TableParagraph"/>
              <w:spacing w:before="5"/>
              <w:rPr>
                <w:b/>
                <w:sz w:val="6"/>
              </w:rPr>
            </w:pPr>
          </w:p>
          <w:p>
            <w:pPr>
              <w:pStyle w:val="TableParagraph"/>
              <w:tabs>
                <w:tab w:pos="1029" w:val="left" w:leader="none"/>
              </w:tabs>
              <w:spacing w:line="115" w:lineRule="exact"/>
              <w:ind w:left="9" w:right="-87"/>
              <w:rPr>
                <w:sz w:val="11"/>
              </w:rPr>
            </w:pPr>
            <w:r>
              <w:rPr>
                <w:position w:val="-1"/>
                <w:sz w:val="11"/>
              </w:rPr>
              <w:pict>
                <v:group style="width:.5pt;height:5.8pt;mso-position-horizontal-relative:char;mso-position-vertical-relative:line" id="docshapegroup556" coordorigin="0,0" coordsize="10,116">
                  <v:shape style="position:absolute;left:0;top:0;width:10;height:116" id="docshape557"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558" coordorigin="0,0" coordsize="10,116">
                  <v:shape style="position:absolute;left:0;top:0;width:10;height:116" id="docshape559"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5"/>
              <w:rPr>
                <w:b/>
                <w:sz w:val="6"/>
              </w:rPr>
            </w:pPr>
          </w:p>
          <w:p>
            <w:pPr>
              <w:pStyle w:val="TableParagraph"/>
              <w:spacing w:line="115" w:lineRule="exact"/>
              <w:ind w:left="1031" w:right="-87"/>
              <w:rPr>
                <w:sz w:val="11"/>
              </w:rPr>
            </w:pPr>
            <w:r>
              <w:rPr>
                <w:position w:val="-1"/>
                <w:sz w:val="11"/>
              </w:rPr>
              <w:pict>
                <v:group style="width:.5pt;height:5.8pt;mso-position-horizontal-relative:char;mso-position-vertical-relative:line" id="docshapegroup560" coordorigin="0,0" coordsize="10,116">
                  <v:shape style="position:absolute;left:0;top:0;width:10;height:116" id="docshape561"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5"/>
              <w:rPr>
                <w:b/>
                <w:sz w:val="6"/>
              </w:rPr>
            </w:pPr>
          </w:p>
          <w:p>
            <w:pPr>
              <w:pStyle w:val="TableParagraph"/>
              <w:spacing w:line="115" w:lineRule="exact"/>
              <w:ind w:left="1029" w:right="-87"/>
              <w:rPr>
                <w:sz w:val="11"/>
              </w:rPr>
            </w:pPr>
            <w:r>
              <w:rPr>
                <w:position w:val="-1"/>
                <w:sz w:val="11"/>
              </w:rPr>
              <w:pict>
                <v:group style="width:.5pt;height:5.8pt;mso-position-horizontal-relative:char;mso-position-vertical-relative:line" id="docshapegroup562" coordorigin="0,0" coordsize="10,116">
                  <v:shape style="position:absolute;left:0;top:0;width:10;height:116" id="docshape563"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5"/>
              <w:rPr>
                <w:b/>
                <w:sz w:val="6"/>
              </w:rPr>
            </w:pPr>
          </w:p>
          <w:p>
            <w:pPr>
              <w:pStyle w:val="TableParagraph"/>
              <w:spacing w:line="115" w:lineRule="exact"/>
              <w:ind w:left="1032" w:right="-87"/>
              <w:rPr>
                <w:sz w:val="11"/>
              </w:rPr>
            </w:pPr>
            <w:r>
              <w:rPr>
                <w:position w:val="-1"/>
                <w:sz w:val="11"/>
              </w:rPr>
              <w:pict>
                <v:group style="width:.5pt;height:5.8pt;mso-position-horizontal-relative:char;mso-position-vertical-relative:line" id="docshapegroup564" coordorigin="0,0" coordsize="10,116">
                  <v:shape style="position:absolute;left:0;top:0;width:10;height:116" id="docshape565" coordorigin="0,0" coordsize="10,116" path="m10,77l0,77,0,115,10,115,10,77xm10,0l0,0,0,38,10,38,10,0xe" filled="true" fillcolor="#000000" stroked="false">
                    <v:path arrowok="t"/>
                    <v:fill type="solid"/>
                  </v:shape>
                </v:group>
              </w:pict>
            </w:r>
            <w:r>
              <w:rPr>
                <w:position w:val="-1"/>
                <w:sz w:val="11"/>
              </w:rPr>
            </w:r>
          </w:p>
        </w:tc>
        <w:tc>
          <w:tcPr>
            <w:tcW w:w="1024" w:type="dxa"/>
            <w:tcBorders>
              <w:top w:val="dashed" w:sz="4" w:space="0" w:color="000000"/>
              <w:left w:val="nil"/>
              <w:bottom w:val="dashed" w:sz="4" w:space="0" w:color="000000"/>
              <w:right w:val="dashed" w:sz="12" w:space="0" w:color="000000"/>
            </w:tcBorders>
          </w:tcPr>
          <w:p>
            <w:pPr>
              <w:pStyle w:val="TableParagraph"/>
              <w:spacing w:before="47"/>
              <w:ind w:right="74"/>
              <w:jc w:val="right"/>
              <w:rPr>
                <w:sz w:val="18"/>
              </w:rPr>
            </w:pPr>
            <w:r>
              <w:rPr>
                <w:spacing w:val="-5"/>
                <w:sz w:val="18"/>
              </w:rPr>
              <w:t>70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80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1"/>
              <w:jc w:val="right"/>
              <w:rPr>
                <w:sz w:val="18"/>
              </w:rPr>
            </w:pPr>
            <w:r>
              <w:rPr>
                <w:spacing w:val="-5"/>
                <w:sz w:val="18"/>
              </w:rPr>
              <w:t>80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3"/>
              <w:jc w:val="right"/>
              <w:rPr>
                <w:sz w:val="18"/>
              </w:rPr>
            </w:pPr>
            <w:r>
              <w:rPr>
                <w:spacing w:val="-5"/>
                <w:sz w:val="18"/>
              </w:rPr>
              <w:t>80</w:t>
            </w:r>
          </w:p>
        </w:tc>
      </w:tr>
      <w:tr>
        <w:trPr>
          <w:trHeight w:val="302" w:hRule="atLeast"/>
        </w:trPr>
        <w:tc>
          <w:tcPr>
            <w:tcW w:w="4296" w:type="dxa"/>
            <w:tcBorders>
              <w:top w:val="dashSmallGap" w:sz="4" w:space="0" w:color="000000"/>
              <w:left w:val="single" w:sz="12" w:space="0" w:color="000000"/>
              <w:bottom w:val="dashSmallGap" w:sz="4" w:space="0" w:color="000000"/>
              <w:right w:val="dashed" w:sz="8" w:space="0" w:color="000000"/>
            </w:tcBorders>
          </w:tcPr>
          <w:p>
            <w:pPr>
              <w:pStyle w:val="TableParagraph"/>
              <w:spacing w:before="47"/>
              <w:ind w:left="107"/>
              <w:rPr>
                <w:sz w:val="18"/>
              </w:rPr>
            </w:pPr>
            <w:r>
              <w:rPr>
                <w:sz w:val="18"/>
              </w:rPr>
              <w:t>Street</w:t>
            </w:r>
            <w:r>
              <w:rPr>
                <w:spacing w:val="3"/>
                <w:sz w:val="18"/>
              </w:rPr>
              <w:t> </w:t>
            </w:r>
            <w:r>
              <w:rPr>
                <w:spacing w:val="-2"/>
                <w:sz w:val="18"/>
              </w:rPr>
              <w:t>Appurtenance</w:t>
            </w:r>
          </w:p>
        </w:tc>
        <w:tc>
          <w:tcPr>
            <w:tcW w:w="1210" w:type="dxa"/>
            <w:tcBorders>
              <w:top w:val="dashSmallGap" w:sz="4" w:space="0" w:color="000000"/>
              <w:left w:val="dashed" w:sz="8" w:space="0" w:color="000000"/>
              <w:bottom w:val="dashSmallGap" w:sz="4" w:space="0" w:color="000000"/>
              <w:right w:val="nil"/>
            </w:tcBorders>
          </w:tcPr>
          <w:p>
            <w:pPr>
              <w:pStyle w:val="TableParagraph"/>
              <w:spacing w:before="47"/>
              <w:ind w:right="79"/>
              <w:jc w:val="right"/>
              <w:rPr>
                <w:sz w:val="18"/>
              </w:rPr>
            </w:pPr>
            <w:r>
              <w:rPr>
                <w:spacing w:val="-5"/>
                <w:sz w:val="18"/>
              </w:rPr>
              <w:t>150</w:t>
            </w:r>
          </w:p>
        </w:tc>
        <w:tc>
          <w:tcPr>
            <w:tcW w:w="1020" w:type="dxa"/>
            <w:tcBorders>
              <w:top w:val="dashed" w:sz="4" w:space="0" w:color="000000"/>
              <w:left w:val="nil"/>
              <w:bottom w:val="dotted" w:sz="4" w:space="0" w:color="000000"/>
              <w:right w:val="nil"/>
            </w:tcBorders>
          </w:tcPr>
          <w:p>
            <w:pPr>
              <w:pStyle w:val="TableParagraph"/>
              <w:spacing w:before="47"/>
              <w:ind w:right="90"/>
              <w:jc w:val="right"/>
              <w:rPr>
                <w:sz w:val="18"/>
              </w:rPr>
            </w:pPr>
            <w:r>
              <w:rPr>
                <w:spacing w:val="-5"/>
                <w:sz w:val="18"/>
              </w:rPr>
              <w:t>150</w:t>
            </w:r>
          </w:p>
        </w:tc>
        <w:tc>
          <w:tcPr>
            <w:tcW w:w="1020" w:type="dxa"/>
            <w:tcBorders>
              <w:top w:val="dashSmallGap" w:sz="4" w:space="0" w:color="000000"/>
              <w:left w:val="nil"/>
              <w:bottom w:val="dotted" w:sz="4" w:space="0" w:color="000000"/>
              <w:right w:val="nil"/>
            </w:tcBorders>
          </w:tcPr>
          <w:p>
            <w:pPr>
              <w:pStyle w:val="TableParagraph"/>
              <w:rPr>
                <w:b/>
                <w:sz w:val="6"/>
              </w:rPr>
            </w:pPr>
          </w:p>
          <w:p>
            <w:pPr>
              <w:pStyle w:val="TableParagraph"/>
              <w:tabs>
                <w:tab w:pos="1029" w:val="left" w:leader="none"/>
              </w:tabs>
              <w:spacing w:line="192" w:lineRule="exact"/>
              <w:ind w:left="9" w:right="-87"/>
              <w:rPr>
                <w:sz w:val="19"/>
              </w:rPr>
            </w:pPr>
            <w:r>
              <w:rPr>
                <w:position w:val="-3"/>
                <w:sz w:val="19"/>
              </w:rPr>
              <w:pict>
                <v:group style="width:.5pt;height:9.6pt;mso-position-horizontal-relative:char;mso-position-vertical-relative:line" id="docshapegroup566" coordorigin="0,0" coordsize="10,192">
                  <v:shape style="position:absolute;left:0;top:0;width:10;height:192" id="docshape56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568" coordorigin="0,0" coordsize="10,192">
                  <v:shape style="position:absolute;left:0;top:0;width:10;height:192" id="docshape569" coordorigin="0,0" coordsize="10,192"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rPr>
                <w:b/>
                <w:sz w:val="6"/>
              </w:rPr>
            </w:pPr>
          </w:p>
          <w:p>
            <w:pPr>
              <w:pStyle w:val="TableParagraph"/>
              <w:spacing w:line="192" w:lineRule="exact"/>
              <w:ind w:left="1031" w:right="-87"/>
              <w:rPr>
                <w:sz w:val="19"/>
              </w:rPr>
            </w:pPr>
            <w:r>
              <w:rPr>
                <w:position w:val="-3"/>
                <w:sz w:val="19"/>
              </w:rPr>
              <w:pict>
                <v:group style="width:.5pt;height:9.6pt;mso-position-horizontal-relative:char;mso-position-vertical-relative:line" id="docshapegroup570" coordorigin="0,0" coordsize="10,192">
                  <v:shape style="position:absolute;left:0;top:0;width:10;height:192" id="docshape571"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SmallGap" w:sz="4" w:space="0" w:color="000000"/>
              <w:left w:val="nil"/>
              <w:bottom w:val="dashed" w:sz="4" w:space="0" w:color="000000"/>
              <w:right w:val="nil"/>
            </w:tcBorders>
          </w:tcPr>
          <w:p>
            <w:pPr>
              <w:pStyle w:val="TableParagraph"/>
              <w:spacing w:before="47"/>
              <w:ind w:right="90"/>
              <w:jc w:val="right"/>
              <w:rPr>
                <w:sz w:val="18"/>
              </w:rPr>
            </w:pPr>
            <w:r>
              <w:rPr>
                <w:spacing w:val="-5"/>
                <w:sz w:val="18"/>
              </w:rPr>
              <w:t>150</w:t>
            </w:r>
          </w:p>
        </w:tc>
        <w:tc>
          <w:tcPr>
            <w:tcW w:w="1022" w:type="dxa"/>
            <w:tcBorders>
              <w:top w:val="dashed" w:sz="4" w:space="0" w:color="000000"/>
              <w:left w:val="nil"/>
              <w:bottom w:val="dashed" w:sz="4" w:space="0" w:color="000000"/>
              <w:right w:val="nil"/>
            </w:tcBorders>
          </w:tcPr>
          <w:p>
            <w:pPr>
              <w:pStyle w:val="TableParagraph"/>
              <w:rPr>
                <w:b/>
                <w:sz w:val="6"/>
              </w:rPr>
            </w:pPr>
          </w:p>
          <w:p>
            <w:pPr>
              <w:pStyle w:val="TableParagraph"/>
              <w:tabs>
                <w:tab w:pos="1032" w:val="left" w:leader="none"/>
              </w:tabs>
              <w:spacing w:line="192" w:lineRule="exact"/>
              <w:ind w:left="9" w:right="-87"/>
              <w:rPr>
                <w:sz w:val="19"/>
              </w:rPr>
            </w:pPr>
            <w:r>
              <w:rPr>
                <w:position w:val="-3"/>
                <w:sz w:val="19"/>
              </w:rPr>
              <w:pict>
                <v:group style="width:.5pt;height:9.6pt;mso-position-horizontal-relative:char;mso-position-vertical-relative:line" id="docshapegroup572" coordorigin="0,0" coordsize="10,192">
                  <v:shape style="position:absolute;left:0;top:0;width:10;height:192" id="docshape57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574" coordorigin="0,0" coordsize="10,192">
                  <v:shape style="position:absolute;left:0;top:0;width:10;height:192" id="docshape575" coordorigin="0,0" coordsize="10,192" path="m10,154l0,154,0,192,10,192,10,154xm10,77l0,77,0,115,10,115,10,77xm10,0l0,0,0,38,10,38,10,0xe" filled="true" fillcolor="#000000" stroked="false">
                    <v:path arrowok="t"/>
                    <v:fill type="solid"/>
                  </v:shape>
                </v:group>
              </w:pict>
            </w:r>
            <w:r>
              <w:rPr>
                <w:position w:val="-3"/>
                <w:sz w:val="19"/>
              </w:rPr>
            </w:r>
          </w:p>
        </w:tc>
        <w:tc>
          <w:tcPr>
            <w:tcW w:w="1024" w:type="dxa"/>
            <w:tcBorders>
              <w:top w:val="dashed" w:sz="4" w:space="0" w:color="000000"/>
              <w:left w:val="nil"/>
              <w:bottom w:val="dashed" w:sz="4" w:space="0" w:color="000000"/>
              <w:right w:val="dashed" w:sz="12" w:space="0" w:color="000000"/>
            </w:tcBorders>
          </w:tcPr>
          <w:p>
            <w:pPr>
              <w:pStyle w:val="TableParagraph"/>
              <w:rPr>
                <w:rFonts w:ascii="Times New Roman"/>
                <w:sz w:val="18"/>
              </w:rPr>
            </w:pP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150</w:t>
            </w:r>
          </w:p>
        </w:tc>
        <w:tc>
          <w:tcPr>
            <w:tcW w:w="1248"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2"/>
              <w:jc w:val="right"/>
              <w:rPr>
                <w:sz w:val="18"/>
              </w:rPr>
            </w:pPr>
            <w:r>
              <w:rPr>
                <w:spacing w:val="-5"/>
                <w:sz w:val="18"/>
              </w:rPr>
              <w:t>150</w:t>
            </w:r>
          </w:p>
        </w:tc>
        <w:tc>
          <w:tcPr>
            <w:tcW w:w="1250" w:type="dxa"/>
            <w:tcBorders>
              <w:top w:val="dashed" w:sz="4" w:space="0" w:color="000000"/>
              <w:left w:val="dashed" w:sz="12" w:space="0" w:color="000000"/>
              <w:bottom w:val="dashed" w:sz="4" w:space="0" w:color="000000"/>
              <w:right w:val="dashed" w:sz="12" w:space="0" w:color="000000"/>
            </w:tcBorders>
          </w:tcPr>
          <w:p>
            <w:pPr>
              <w:pStyle w:val="TableParagraph"/>
              <w:spacing w:before="47"/>
              <w:ind w:right="74"/>
              <w:jc w:val="right"/>
              <w:rPr>
                <w:sz w:val="18"/>
              </w:rPr>
            </w:pPr>
            <w:r>
              <w:rPr>
                <w:spacing w:val="-5"/>
                <w:sz w:val="18"/>
              </w:rPr>
              <w:t>150</w:t>
            </w:r>
          </w:p>
        </w:tc>
      </w:tr>
      <w:tr>
        <w:trPr>
          <w:trHeight w:val="316" w:hRule="atLeast"/>
        </w:trPr>
        <w:tc>
          <w:tcPr>
            <w:tcW w:w="4296" w:type="dxa"/>
            <w:tcBorders>
              <w:top w:val="dashSmallGap" w:sz="4" w:space="0" w:color="000000"/>
              <w:left w:val="single" w:sz="12" w:space="0" w:color="000000"/>
              <w:bottom w:val="single" w:sz="8" w:space="0" w:color="000000"/>
              <w:right w:val="dashed" w:sz="8" w:space="0" w:color="000000"/>
            </w:tcBorders>
          </w:tcPr>
          <w:p>
            <w:pPr>
              <w:pStyle w:val="TableParagraph"/>
              <w:spacing w:line="232" w:lineRule="exact" w:before="64"/>
              <w:ind w:left="107"/>
              <w:rPr>
                <w:b/>
                <w:sz w:val="22"/>
              </w:rPr>
            </w:pPr>
            <w:r>
              <w:rPr>
                <w:b/>
                <w:sz w:val="22"/>
              </w:rPr>
              <w:t>TOTAL</w:t>
            </w:r>
            <w:r>
              <w:rPr>
                <w:b/>
                <w:spacing w:val="-3"/>
                <w:sz w:val="22"/>
              </w:rPr>
              <w:t> </w:t>
            </w:r>
            <w:r>
              <w:rPr>
                <w:b/>
                <w:spacing w:val="-2"/>
                <w:sz w:val="22"/>
              </w:rPr>
              <w:t>OTHER</w:t>
            </w:r>
          </w:p>
        </w:tc>
        <w:tc>
          <w:tcPr>
            <w:tcW w:w="1210" w:type="dxa"/>
            <w:tcBorders>
              <w:top w:val="dashSmallGap" w:sz="4" w:space="0" w:color="000000"/>
              <w:left w:val="dashed" w:sz="8" w:space="0" w:color="000000"/>
              <w:bottom w:val="single" w:sz="8" w:space="0" w:color="000000"/>
              <w:right w:val="nil"/>
            </w:tcBorders>
          </w:tcPr>
          <w:p>
            <w:pPr>
              <w:pStyle w:val="TableParagraph"/>
              <w:spacing w:before="54"/>
              <w:ind w:right="80"/>
              <w:jc w:val="right"/>
              <w:rPr>
                <w:b/>
                <w:sz w:val="18"/>
              </w:rPr>
            </w:pPr>
            <w:r>
              <w:rPr>
                <w:b/>
                <w:spacing w:val="-2"/>
                <w:sz w:val="18"/>
              </w:rPr>
              <w:t>1,215</w:t>
            </w:r>
          </w:p>
        </w:tc>
        <w:tc>
          <w:tcPr>
            <w:tcW w:w="1020" w:type="dxa"/>
            <w:tcBorders>
              <w:top w:val="dotted" w:sz="4" w:space="0" w:color="000000"/>
              <w:left w:val="nil"/>
              <w:bottom w:val="single" w:sz="8" w:space="0" w:color="000000"/>
              <w:right w:val="nil"/>
            </w:tcBorders>
          </w:tcPr>
          <w:p>
            <w:pPr>
              <w:pStyle w:val="TableParagraph"/>
              <w:spacing w:before="54"/>
              <w:ind w:right="89"/>
              <w:jc w:val="right"/>
              <w:rPr>
                <w:b/>
                <w:sz w:val="18"/>
              </w:rPr>
            </w:pPr>
            <w:r>
              <w:rPr>
                <w:b/>
                <w:spacing w:val="-2"/>
                <w:sz w:val="18"/>
              </w:rPr>
              <w:t>1,215</w:t>
            </w:r>
          </w:p>
        </w:tc>
        <w:tc>
          <w:tcPr>
            <w:tcW w:w="1020" w:type="dxa"/>
            <w:tcBorders>
              <w:top w:val="dotted" w:sz="4" w:space="0" w:color="000000"/>
              <w:left w:val="nil"/>
              <w:bottom w:val="single" w:sz="8" w:space="0" w:color="000000"/>
              <w:right w:val="nil"/>
            </w:tcBorders>
          </w:tcPr>
          <w:p>
            <w:pPr>
              <w:pStyle w:val="TableParagraph"/>
              <w:spacing w:before="54"/>
              <w:ind w:right="92"/>
              <w:jc w:val="right"/>
              <w:rPr>
                <w:b/>
                <w:sz w:val="18"/>
              </w:rPr>
            </w:pPr>
            <w:r>
              <w:rPr>
                <w:b/>
                <w:sz w:val="18"/>
              </w:rPr>
              <w:t>0</w:t>
            </w:r>
          </w:p>
        </w:tc>
        <w:tc>
          <w:tcPr>
            <w:tcW w:w="1022" w:type="dxa"/>
            <w:tcBorders>
              <w:top w:val="dashed" w:sz="4" w:space="0" w:color="000000"/>
              <w:left w:val="nil"/>
              <w:bottom w:val="single" w:sz="8" w:space="0" w:color="000000"/>
              <w:right w:val="nil"/>
            </w:tcBorders>
          </w:tcPr>
          <w:p>
            <w:pPr>
              <w:pStyle w:val="TableParagraph"/>
              <w:spacing w:before="54"/>
              <w:ind w:right="94"/>
              <w:jc w:val="right"/>
              <w:rPr>
                <w:b/>
                <w:sz w:val="18"/>
              </w:rPr>
            </w:pPr>
            <w:r>
              <w:rPr>
                <w:b/>
                <w:sz w:val="18"/>
              </w:rPr>
              <w:t>0</w:t>
            </w:r>
          </w:p>
        </w:tc>
        <w:tc>
          <w:tcPr>
            <w:tcW w:w="1020" w:type="dxa"/>
            <w:tcBorders>
              <w:top w:val="dashed" w:sz="4" w:space="0" w:color="000000"/>
              <w:left w:val="nil"/>
              <w:bottom w:val="single" w:sz="8" w:space="0" w:color="000000"/>
              <w:right w:val="nil"/>
            </w:tcBorders>
          </w:tcPr>
          <w:p>
            <w:pPr>
              <w:pStyle w:val="TableParagraph"/>
              <w:spacing w:before="54"/>
              <w:ind w:right="91"/>
              <w:jc w:val="right"/>
              <w:rPr>
                <w:b/>
                <w:sz w:val="18"/>
              </w:rPr>
            </w:pPr>
            <w:r>
              <w:rPr>
                <w:b/>
                <w:spacing w:val="-5"/>
                <w:sz w:val="18"/>
              </w:rPr>
              <w:t>270</w:t>
            </w:r>
          </w:p>
        </w:tc>
        <w:tc>
          <w:tcPr>
            <w:tcW w:w="1022" w:type="dxa"/>
            <w:tcBorders>
              <w:top w:val="dashed" w:sz="4" w:space="0" w:color="000000"/>
              <w:left w:val="nil"/>
              <w:bottom w:val="single" w:sz="8" w:space="0" w:color="000000"/>
              <w:right w:val="nil"/>
            </w:tcBorders>
          </w:tcPr>
          <w:p>
            <w:pPr>
              <w:pStyle w:val="TableParagraph"/>
              <w:spacing w:before="54"/>
              <w:ind w:right="91"/>
              <w:jc w:val="right"/>
              <w:rPr>
                <w:b/>
                <w:sz w:val="18"/>
              </w:rPr>
            </w:pPr>
            <w:r>
              <w:rPr>
                <w:b/>
                <w:spacing w:val="-5"/>
                <w:sz w:val="18"/>
              </w:rPr>
              <w:t>795</w:t>
            </w:r>
          </w:p>
        </w:tc>
        <w:tc>
          <w:tcPr>
            <w:tcW w:w="1024" w:type="dxa"/>
            <w:tcBorders>
              <w:top w:val="dashed" w:sz="4" w:space="0" w:color="000000"/>
              <w:left w:val="nil"/>
              <w:bottom w:val="single" w:sz="8" w:space="0" w:color="000000"/>
              <w:right w:val="dashed" w:sz="12" w:space="0" w:color="000000"/>
            </w:tcBorders>
          </w:tcPr>
          <w:p>
            <w:pPr>
              <w:pStyle w:val="TableParagraph"/>
              <w:spacing w:before="54"/>
              <w:ind w:right="73"/>
              <w:jc w:val="right"/>
              <w:rPr>
                <w:b/>
                <w:sz w:val="18"/>
              </w:rPr>
            </w:pPr>
            <w:r>
              <w:rPr>
                <w:b/>
                <w:spacing w:val="-5"/>
                <w:sz w:val="18"/>
              </w:rPr>
              <w:t>150</w:t>
            </w:r>
          </w:p>
        </w:tc>
        <w:tc>
          <w:tcPr>
            <w:tcW w:w="1250" w:type="dxa"/>
            <w:tcBorders>
              <w:top w:val="dashed" w:sz="4" w:space="0" w:color="000000"/>
              <w:left w:val="dashed" w:sz="12" w:space="0" w:color="000000"/>
              <w:bottom w:val="single" w:sz="8" w:space="0" w:color="000000"/>
              <w:right w:val="dashed" w:sz="12" w:space="0" w:color="000000"/>
            </w:tcBorders>
          </w:tcPr>
          <w:p>
            <w:pPr>
              <w:pStyle w:val="TableParagraph"/>
              <w:spacing w:before="54"/>
              <w:ind w:right="74"/>
              <w:jc w:val="right"/>
              <w:rPr>
                <w:b/>
                <w:sz w:val="18"/>
              </w:rPr>
            </w:pPr>
            <w:r>
              <w:rPr>
                <w:b/>
                <w:spacing w:val="-2"/>
                <w:sz w:val="18"/>
              </w:rPr>
              <w:t>1,245</w:t>
            </w:r>
          </w:p>
        </w:tc>
        <w:tc>
          <w:tcPr>
            <w:tcW w:w="1248" w:type="dxa"/>
            <w:tcBorders>
              <w:top w:val="dashed" w:sz="4" w:space="0" w:color="000000"/>
              <w:left w:val="dashed" w:sz="12" w:space="0" w:color="000000"/>
              <w:bottom w:val="single" w:sz="8" w:space="0" w:color="000000"/>
              <w:right w:val="dashed" w:sz="12" w:space="0" w:color="000000"/>
            </w:tcBorders>
          </w:tcPr>
          <w:p>
            <w:pPr>
              <w:pStyle w:val="TableParagraph"/>
              <w:spacing w:before="54"/>
              <w:ind w:right="70"/>
              <w:jc w:val="right"/>
              <w:rPr>
                <w:b/>
                <w:sz w:val="18"/>
              </w:rPr>
            </w:pPr>
            <w:r>
              <w:rPr>
                <w:b/>
                <w:spacing w:val="-2"/>
                <w:sz w:val="18"/>
              </w:rPr>
              <w:t>1,245</w:t>
            </w:r>
          </w:p>
        </w:tc>
        <w:tc>
          <w:tcPr>
            <w:tcW w:w="1250" w:type="dxa"/>
            <w:tcBorders>
              <w:top w:val="dashed" w:sz="4" w:space="0" w:color="000000"/>
              <w:left w:val="dashed" w:sz="12" w:space="0" w:color="000000"/>
              <w:bottom w:val="single" w:sz="8" w:space="0" w:color="000000"/>
              <w:right w:val="dashed" w:sz="12" w:space="0" w:color="000000"/>
            </w:tcBorders>
          </w:tcPr>
          <w:p>
            <w:pPr>
              <w:pStyle w:val="TableParagraph"/>
              <w:spacing w:before="54"/>
              <w:ind w:right="72"/>
              <w:jc w:val="right"/>
              <w:rPr>
                <w:b/>
                <w:sz w:val="18"/>
              </w:rPr>
            </w:pPr>
            <w:r>
              <w:rPr>
                <w:b/>
                <w:spacing w:val="-2"/>
                <w:sz w:val="18"/>
              </w:rPr>
              <w:t>1,245</w:t>
            </w:r>
          </w:p>
        </w:tc>
      </w:tr>
      <w:tr>
        <w:trPr>
          <w:trHeight w:val="743" w:hRule="atLeast"/>
        </w:trPr>
        <w:tc>
          <w:tcPr>
            <w:tcW w:w="4296" w:type="dxa"/>
            <w:tcBorders>
              <w:top w:val="single" w:sz="8" w:space="0" w:color="000000"/>
              <w:left w:val="single" w:sz="12" w:space="0" w:color="000000"/>
              <w:bottom w:val="single" w:sz="12" w:space="0" w:color="000000"/>
              <w:right w:val="single" w:sz="8" w:space="0" w:color="000000"/>
            </w:tcBorders>
          </w:tcPr>
          <w:p>
            <w:pPr>
              <w:pStyle w:val="TableParagraph"/>
              <w:spacing w:before="49"/>
              <w:ind w:left="107" w:right="31"/>
              <w:rPr>
                <w:b/>
                <w:sz w:val="28"/>
              </w:rPr>
            </w:pPr>
            <w:r>
              <w:rPr>
                <w:b/>
                <w:sz w:val="28"/>
              </w:rPr>
              <w:t>TOTAL</w:t>
            </w:r>
            <w:r>
              <w:rPr>
                <w:b/>
                <w:spacing w:val="-16"/>
                <w:sz w:val="28"/>
              </w:rPr>
              <w:t> </w:t>
            </w:r>
            <w:r>
              <w:rPr>
                <w:b/>
                <w:sz w:val="28"/>
              </w:rPr>
              <w:t>ROADS</w:t>
            </w:r>
            <w:r>
              <w:rPr>
                <w:b/>
                <w:spacing w:val="-15"/>
                <w:sz w:val="28"/>
              </w:rPr>
              <w:t> </w:t>
            </w:r>
            <w:r>
              <w:rPr>
                <w:b/>
                <w:sz w:val="28"/>
              </w:rPr>
              <w:t>AND </w:t>
            </w:r>
            <w:r>
              <w:rPr>
                <w:b/>
                <w:spacing w:val="-2"/>
                <w:sz w:val="28"/>
              </w:rPr>
              <w:t>DRAINAGE</w:t>
            </w:r>
          </w:p>
        </w:tc>
        <w:tc>
          <w:tcPr>
            <w:tcW w:w="1210" w:type="dxa"/>
            <w:tcBorders>
              <w:top w:val="single" w:sz="8" w:space="0" w:color="000000"/>
              <w:left w:val="single" w:sz="8" w:space="0" w:color="000000"/>
              <w:bottom w:val="single" w:sz="12" w:space="0" w:color="000000"/>
              <w:right w:val="nil"/>
            </w:tcBorders>
          </w:tcPr>
          <w:p>
            <w:pPr>
              <w:pStyle w:val="TableParagraph"/>
              <w:spacing w:before="3"/>
              <w:rPr>
                <w:b/>
                <w:sz w:val="23"/>
              </w:rPr>
            </w:pPr>
          </w:p>
          <w:p>
            <w:pPr>
              <w:pStyle w:val="TableParagraph"/>
              <w:ind w:right="81"/>
              <w:jc w:val="right"/>
              <w:rPr>
                <w:b/>
                <w:sz w:val="18"/>
              </w:rPr>
            </w:pPr>
            <w:r>
              <w:rPr>
                <w:b/>
                <w:spacing w:val="-2"/>
                <w:sz w:val="18"/>
              </w:rPr>
              <w:t>13,057</w:t>
            </w:r>
          </w:p>
        </w:tc>
        <w:tc>
          <w:tcPr>
            <w:tcW w:w="1020" w:type="dxa"/>
            <w:tcBorders>
              <w:top w:val="single" w:sz="8" w:space="0" w:color="000000"/>
              <w:left w:val="nil"/>
              <w:bottom w:val="single" w:sz="12" w:space="0" w:color="000000"/>
              <w:right w:val="nil"/>
            </w:tcBorders>
          </w:tcPr>
          <w:p>
            <w:pPr>
              <w:pStyle w:val="TableParagraph"/>
              <w:spacing w:before="3"/>
              <w:rPr>
                <w:b/>
                <w:sz w:val="23"/>
              </w:rPr>
            </w:pPr>
          </w:p>
          <w:p>
            <w:pPr>
              <w:pStyle w:val="TableParagraph"/>
              <w:ind w:right="89"/>
              <w:jc w:val="right"/>
              <w:rPr>
                <w:b/>
                <w:sz w:val="18"/>
              </w:rPr>
            </w:pPr>
            <w:r>
              <w:rPr>
                <w:b/>
                <w:spacing w:val="-2"/>
                <w:sz w:val="18"/>
              </w:rPr>
              <w:t>12,549</w:t>
            </w:r>
          </w:p>
        </w:tc>
        <w:tc>
          <w:tcPr>
            <w:tcW w:w="1020" w:type="dxa"/>
            <w:tcBorders>
              <w:top w:val="single" w:sz="8" w:space="0" w:color="000000"/>
              <w:left w:val="nil"/>
              <w:bottom w:val="single" w:sz="12" w:space="0" w:color="000000"/>
              <w:right w:val="nil"/>
            </w:tcBorders>
          </w:tcPr>
          <w:p>
            <w:pPr>
              <w:pStyle w:val="TableParagraph"/>
              <w:spacing w:before="3"/>
              <w:rPr>
                <w:b/>
                <w:sz w:val="23"/>
              </w:rPr>
            </w:pPr>
          </w:p>
          <w:p>
            <w:pPr>
              <w:pStyle w:val="TableParagraph"/>
              <w:ind w:right="89"/>
              <w:jc w:val="right"/>
              <w:rPr>
                <w:b/>
                <w:sz w:val="18"/>
              </w:rPr>
            </w:pPr>
            <w:r>
              <w:rPr>
                <w:b/>
                <w:spacing w:val="-5"/>
                <w:sz w:val="18"/>
              </w:rPr>
              <w:t>508</w:t>
            </w:r>
          </w:p>
        </w:tc>
        <w:tc>
          <w:tcPr>
            <w:tcW w:w="1022" w:type="dxa"/>
            <w:tcBorders>
              <w:top w:val="single" w:sz="8" w:space="0" w:color="000000"/>
              <w:left w:val="nil"/>
              <w:bottom w:val="single" w:sz="12" w:space="0" w:color="000000"/>
              <w:right w:val="nil"/>
            </w:tcBorders>
          </w:tcPr>
          <w:p>
            <w:pPr>
              <w:pStyle w:val="TableParagraph"/>
              <w:spacing w:before="3"/>
              <w:rPr>
                <w:b/>
                <w:sz w:val="23"/>
              </w:rPr>
            </w:pPr>
          </w:p>
          <w:p>
            <w:pPr>
              <w:pStyle w:val="TableParagraph"/>
              <w:ind w:right="94"/>
              <w:jc w:val="right"/>
              <w:rPr>
                <w:b/>
                <w:sz w:val="18"/>
              </w:rPr>
            </w:pPr>
            <w:r>
              <w:rPr>
                <w:b/>
                <w:sz w:val="18"/>
              </w:rPr>
              <w:t>0</w:t>
            </w:r>
          </w:p>
        </w:tc>
        <w:tc>
          <w:tcPr>
            <w:tcW w:w="1020" w:type="dxa"/>
            <w:tcBorders>
              <w:top w:val="single" w:sz="8" w:space="0" w:color="000000"/>
              <w:left w:val="nil"/>
              <w:bottom w:val="single" w:sz="12" w:space="0" w:color="000000"/>
              <w:right w:val="nil"/>
            </w:tcBorders>
          </w:tcPr>
          <w:p>
            <w:pPr>
              <w:pStyle w:val="TableParagraph"/>
              <w:spacing w:before="3"/>
              <w:rPr>
                <w:b/>
                <w:sz w:val="23"/>
              </w:rPr>
            </w:pPr>
          </w:p>
          <w:p>
            <w:pPr>
              <w:pStyle w:val="TableParagraph"/>
              <w:ind w:right="89"/>
              <w:jc w:val="right"/>
              <w:rPr>
                <w:b/>
                <w:sz w:val="18"/>
              </w:rPr>
            </w:pPr>
            <w:r>
              <w:rPr>
                <w:b/>
                <w:spacing w:val="-2"/>
                <w:sz w:val="18"/>
              </w:rPr>
              <w:t>9,351</w:t>
            </w:r>
          </w:p>
        </w:tc>
        <w:tc>
          <w:tcPr>
            <w:tcW w:w="1022" w:type="dxa"/>
            <w:tcBorders>
              <w:top w:val="single" w:sz="8" w:space="0" w:color="000000"/>
              <w:left w:val="nil"/>
              <w:bottom w:val="single" w:sz="12" w:space="0" w:color="000000"/>
              <w:right w:val="nil"/>
            </w:tcBorders>
          </w:tcPr>
          <w:p>
            <w:pPr>
              <w:pStyle w:val="TableParagraph"/>
              <w:spacing w:before="3"/>
              <w:rPr>
                <w:b/>
                <w:sz w:val="23"/>
              </w:rPr>
            </w:pPr>
          </w:p>
          <w:p>
            <w:pPr>
              <w:pStyle w:val="TableParagraph"/>
              <w:ind w:right="93"/>
              <w:jc w:val="right"/>
              <w:rPr>
                <w:b/>
                <w:sz w:val="18"/>
              </w:rPr>
            </w:pPr>
            <w:r>
              <w:rPr>
                <w:b/>
                <w:spacing w:val="-2"/>
                <w:sz w:val="18"/>
              </w:rPr>
              <w:t>2,069</w:t>
            </w:r>
          </w:p>
        </w:tc>
        <w:tc>
          <w:tcPr>
            <w:tcW w:w="1024" w:type="dxa"/>
            <w:tcBorders>
              <w:top w:val="single" w:sz="8" w:space="0" w:color="000000"/>
              <w:left w:val="nil"/>
              <w:bottom w:val="single" w:sz="12" w:space="0" w:color="000000"/>
              <w:right w:val="single" w:sz="12" w:space="0" w:color="000000"/>
            </w:tcBorders>
          </w:tcPr>
          <w:p>
            <w:pPr>
              <w:pStyle w:val="TableParagraph"/>
              <w:spacing w:before="3"/>
              <w:rPr>
                <w:b/>
                <w:sz w:val="23"/>
              </w:rPr>
            </w:pPr>
          </w:p>
          <w:p>
            <w:pPr>
              <w:pStyle w:val="TableParagraph"/>
              <w:ind w:right="74"/>
              <w:jc w:val="right"/>
              <w:rPr>
                <w:b/>
                <w:sz w:val="18"/>
              </w:rPr>
            </w:pPr>
            <w:r>
              <w:rPr>
                <w:b/>
                <w:spacing w:val="-2"/>
                <w:sz w:val="18"/>
              </w:rPr>
              <w:t>1,637</w:t>
            </w:r>
          </w:p>
        </w:tc>
        <w:tc>
          <w:tcPr>
            <w:tcW w:w="1250" w:type="dxa"/>
            <w:tcBorders>
              <w:top w:val="single" w:sz="8" w:space="0" w:color="000000"/>
              <w:left w:val="single" w:sz="12" w:space="0" w:color="000000"/>
              <w:bottom w:val="single" w:sz="12" w:space="0" w:color="000000"/>
              <w:right w:val="single" w:sz="12" w:space="0" w:color="000000"/>
            </w:tcBorders>
          </w:tcPr>
          <w:p>
            <w:pPr>
              <w:pStyle w:val="TableParagraph"/>
              <w:spacing w:before="3"/>
              <w:rPr>
                <w:b/>
                <w:sz w:val="23"/>
              </w:rPr>
            </w:pPr>
          </w:p>
          <w:p>
            <w:pPr>
              <w:pStyle w:val="TableParagraph"/>
              <w:ind w:right="73"/>
              <w:jc w:val="right"/>
              <w:rPr>
                <w:b/>
                <w:sz w:val="18"/>
              </w:rPr>
            </w:pPr>
            <w:r>
              <w:rPr>
                <w:b/>
                <w:spacing w:val="-2"/>
                <w:sz w:val="18"/>
              </w:rPr>
              <w:t>13,978</w:t>
            </w:r>
          </w:p>
        </w:tc>
        <w:tc>
          <w:tcPr>
            <w:tcW w:w="1248" w:type="dxa"/>
            <w:tcBorders>
              <w:top w:val="single" w:sz="8" w:space="0" w:color="000000"/>
              <w:left w:val="single" w:sz="12" w:space="0" w:color="000000"/>
              <w:bottom w:val="single" w:sz="12" w:space="0" w:color="000000"/>
              <w:right w:val="single" w:sz="12" w:space="0" w:color="000000"/>
            </w:tcBorders>
          </w:tcPr>
          <w:p>
            <w:pPr>
              <w:pStyle w:val="TableParagraph"/>
              <w:spacing w:before="3"/>
              <w:rPr>
                <w:b/>
                <w:sz w:val="23"/>
              </w:rPr>
            </w:pPr>
          </w:p>
          <w:p>
            <w:pPr>
              <w:pStyle w:val="TableParagraph"/>
              <w:ind w:right="70"/>
              <w:jc w:val="right"/>
              <w:rPr>
                <w:b/>
                <w:sz w:val="18"/>
              </w:rPr>
            </w:pPr>
            <w:r>
              <w:rPr>
                <w:b/>
                <w:spacing w:val="-2"/>
                <w:sz w:val="18"/>
              </w:rPr>
              <w:t>17,859</w:t>
            </w:r>
          </w:p>
        </w:tc>
        <w:tc>
          <w:tcPr>
            <w:tcW w:w="1250" w:type="dxa"/>
            <w:tcBorders>
              <w:top w:val="single" w:sz="8" w:space="0" w:color="000000"/>
              <w:left w:val="single" w:sz="12" w:space="0" w:color="000000"/>
              <w:bottom w:val="single" w:sz="12" w:space="0" w:color="000000"/>
              <w:right w:val="single" w:sz="12" w:space="0" w:color="000000"/>
            </w:tcBorders>
          </w:tcPr>
          <w:p>
            <w:pPr>
              <w:pStyle w:val="TableParagraph"/>
              <w:spacing w:before="3"/>
              <w:rPr>
                <w:b/>
                <w:sz w:val="23"/>
              </w:rPr>
            </w:pPr>
          </w:p>
          <w:p>
            <w:pPr>
              <w:pStyle w:val="TableParagraph"/>
              <w:ind w:right="72"/>
              <w:jc w:val="right"/>
              <w:rPr>
                <w:b/>
                <w:sz w:val="18"/>
              </w:rPr>
            </w:pPr>
            <w:r>
              <w:rPr>
                <w:b/>
                <w:spacing w:val="-2"/>
                <w:sz w:val="18"/>
              </w:rPr>
              <w:t>15,206</w:t>
            </w:r>
          </w:p>
        </w:tc>
      </w:tr>
    </w:tbl>
    <w:p>
      <w:pPr>
        <w:rPr>
          <w:sz w:val="2"/>
          <w:szCs w:val="2"/>
        </w:rPr>
      </w:pPr>
      <w:r>
        <w:rPr/>
        <w:pict>
          <v:shape style="position:absolute;margin-left:311.760010pt;margin-top:138.240982pt;width:.5pt;height:25pt;mso-position-horizontal-relative:page;mso-position-vertical-relative:page;z-index:-37907456" id="docshape576" coordorigin="6235,2765" coordsize="10,500" path="m6245,3226l6235,3226,6235,3264,6245,3264,6245,3226xm6245,3149l6235,3149,6235,3187,6245,3187,6245,3149xm6245,3072l6235,3072,6235,3110,6245,3110,6245,3072xm6245,2995l6235,2995,6235,3034,6245,3034,6245,2995xm6245,2918l6235,2918,6235,2957,6245,2957,6245,2918xm6245,2842l6235,2842,6235,2880,6245,2880,6245,2842xm6245,2765l6235,2765,6235,2803,6245,2803,6245,2765xe" filled="true" fillcolor="#000000" stroked="false">
            <v:path arrowok="t"/>
            <v:fill type="solid"/>
            <w10:wrap type="none"/>
          </v:shape>
        </w:pict>
      </w:r>
      <w:r>
        <w:rPr/>
        <w:pict>
          <v:shape style="position:absolute;margin-left:362.76001pt;margin-top:138.240982pt;width:.5pt;height:25pt;mso-position-horizontal-relative:page;mso-position-vertical-relative:page;z-index:-37906944" id="docshape577" coordorigin="7255,2765" coordsize="10,500" path="m7265,3226l7255,3226,7255,3264,7265,3264,7265,3226xm7265,3149l7255,3149,7255,3187,7265,3187,7265,3149xm7265,3072l7255,3072,7255,3110,7265,3110,7265,3072xm7265,2995l7255,2995,7255,3034,7265,3034,7265,2995xm7265,2918l7255,2918,7255,2957,7265,2957,7265,2918xm7265,2842l7255,2842,7255,2880,7265,2880,7265,2842xm7265,2765l7255,2765,7255,2803,7265,2803,7265,2765xe" filled="true" fillcolor="#000000" stroked="false">
            <v:path arrowok="t"/>
            <v:fill type="solid"/>
            <w10:wrap type="none"/>
          </v:shape>
        </w:pict>
      </w:r>
      <w:r>
        <w:rPr/>
        <w:pict>
          <v:shape style="position:absolute;margin-left:413.76001pt;margin-top:138.240982pt;width:.5pt;height:25pt;mso-position-horizontal-relative:page;mso-position-vertical-relative:page;z-index:-37906432" id="docshape578" coordorigin="8275,2765" coordsize="10,500" path="m8285,3226l8275,3226,8275,3264,8285,3264,8285,3226xm8285,3149l8275,3149,8275,3187,8285,3187,8285,3149xm8285,3072l8275,3072,8275,3110,8285,3110,8285,3072xm8285,2995l8275,2995,8275,3034,8285,3034,8285,2995xm8285,2918l8275,2918,8275,2957,8285,2957,8285,2918xm8285,2842l8275,2842,8275,2880,8285,2880,8285,2842xm8285,2765l8275,2765,8275,2803,8285,2803,8285,2765xe" filled="true" fillcolor="#000000" stroked="false">
            <v:path arrowok="t"/>
            <v:fill type="solid"/>
            <w10:wrap type="none"/>
          </v:shape>
        </w:pict>
      </w:r>
      <w:r>
        <w:rPr/>
        <w:pict>
          <v:shape style="position:absolute;margin-left:464.880035pt;margin-top:138.240982pt;width:.5pt;height:25pt;mso-position-horizontal-relative:page;mso-position-vertical-relative:page;z-index:-37905920" id="docshape579" coordorigin="9298,2765" coordsize="10,500" path="m9307,3226l9298,3226,9298,3264,9307,3264,9307,3226xm9307,3149l9298,3149,9298,3187,9307,3187,9307,3149xm9307,3072l9298,3072,9298,3110,9307,3110,9307,3072xm9307,2995l9298,2995,9298,3034,9307,3034,9307,2995xm9307,2918l9298,2918,9298,2957,9307,2957,9307,2918xm9307,2842l9298,2842,9298,2880,9307,2880,9307,2842xm9307,2765l9298,2765,9298,2803,9307,2803,9307,2765xe" filled="true" fillcolor="#000000" stroked="false">
            <v:path arrowok="t"/>
            <v:fill type="solid"/>
            <w10:wrap type="none"/>
          </v:shape>
        </w:pict>
      </w:r>
      <w:r>
        <w:rPr/>
        <w:pict>
          <v:shape style="position:absolute;margin-left:515.880005pt;margin-top:138.240982pt;width:.5pt;height:25pt;mso-position-horizontal-relative:page;mso-position-vertical-relative:page;z-index:-37905408" id="docshape580" coordorigin="10318,2765" coordsize="10,500" path="m10327,3226l10318,3226,10318,3264,10327,3264,10327,3226xm10327,3149l10318,3149,10318,3187,10327,3187,10327,3149xm10327,3072l10318,3072,10318,3110,10327,3110,10327,3072xm10327,2995l10318,2995,10318,3034,10327,3034,10327,2995xm10327,2918l10318,2918,10318,2957,10327,2957,10327,2918xm10327,2842l10318,2842,10318,2880,10327,2880,10327,2842xm10327,2765l10318,2765,10318,2803,10327,2803,10327,2765xe" filled="true" fillcolor="#000000" stroked="false">
            <v:path arrowok="t"/>
            <v:fill type="solid"/>
            <w10:wrap type="none"/>
          </v:shape>
        </w:pict>
      </w:r>
      <w:r>
        <w:rPr/>
        <w:pict>
          <v:shape style="position:absolute;margin-left:567pt;margin-top:138.240982pt;width:.5pt;height:25pt;mso-position-horizontal-relative:page;mso-position-vertical-relative:page;z-index:-37904896" id="docshape581" coordorigin="11340,2765" coordsize="10,500" path="m11350,3226l11340,3226,11340,3264,11350,3264,11350,3226xm11350,3149l11340,3149,11340,3187,11350,3187,11350,3149xm11350,3072l11340,3072,11340,3110,11350,3110,11350,3072xm11350,2995l11340,2995,11340,3034,11350,3034,11350,2995xm11350,2918l11340,2918,11340,2957,11350,2957,11350,2918xm11350,2842l11340,2842,11340,2880,11350,2880,11350,2842xm11350,2765l11340,2765,11340,2803,11350,2803,11350,2765xe" filled="true" fillcolor="#000000" stroked="false">
            <v:path arrowok="t"/>
            <v:fill type="solid"/>
            <w10:wrap type="none"/>
          </v:shape>
        </w:pict>
      </w:r>
      <w:r>
        <w:rPr/>
        <w:pict>
          <v:shape style="position:absolute;margin-left:311.760010pt;margin-top:188.160995pt;width:.5pt;height:13.45pt;mso-position-horizontal-relative:page;mso-position-vertical-relative:page;z-index:-37904384" id="docshape582" coordorigin="6235,3763" coordsize="10,269" path="m6245,3994l6235,3994,6235,4032,6245,4032,6245,3994xm6245,3917l6235,3917,6235,3955,6245,3955,6245,3917xm6245,3840l6235,3840,6235,3878,6245,3878,6245,3840xm6245,3763l6235,3763,6235,3802,6245,3802,6245,3763xe" filled="true" fillcolor="#000000" stroked="false">
            <v:path arrowok="t"/>
            <v:fill type="solid"/>
            <w10:wrap type="none"/>
          </v:shape>
        </w:pict>
      </w:r>
      <w:r>
        <w:rPr/>
        <w:pict>
          <v:shape style="position:absolute;margin-left:311.760010pt;margin-top:211.200989pt;width:.5pt;height:9.6pt;mso-position-horizontal-relative:page;mso-position-vertical-relative:page;z-index:-37903872" id="docshape583" coordorigin="6235,4224" coordsize="10,192" path="m6245,4378l6235,4378,6235,4416,6245,4416,6245,4378xm6245,4301l6235,4301,6235,4339,6245,4339,6245,4301xm6245,4224l6235,4224,6235,4262,6245,4262,6245,4224xe" filled="true" fillcolor="#000000" stroked="false">
            <v:path arrowok="t"/>
            <v:fill type="solid"/>
            <w10:wrap type="none"/>
          </v:shape>
        </w:pict>
      </w:r>
      <w:r>
        <w:rPr/>
        <w:pict>
          <v:shape style="position:absolute;margin-left:311.760010pt;margin-top:226.559982pt;width:.5pt;height:9.65pt;mso-position-horizontal-relative:page;mso-position-vertical-relative:page;z-index:-37903360" id="docshape584" coordorigin="6235,4531" coordsize="10,193" path="m6245,4685l6235,4685,6235,4723,6245,4723,6245,4685xm6245,4608l6235,4608,6235,4646,6245,4646,6245,4608xm6245,4531l6235,4531,6235,4570,6245,4570,6245,4531xe" filled="true" fillcolor="#000000" stroked="false">
            <v:path arrowok="t"/>
            <v:fill type="solid"/>
            <w10:wrap type="none"/>
          </v:shape>
        </w:pict>
      </w:r>
      <w:r>
        <w:rPr/>
        <w:pict>
          <v:shape style="position:absolute;margin-left:515.880005pt;margin-top:226.559982pt;width:.5pt;height:9.65pt;mso-position-horizontal-relative:page;mso-position-vertical-relative:page;z-index:-37902848" id="docshape585" coordorigin="10318,4531" coordsize="10,193" path="m10327,4685l10318,4685,10318,4723,10327,4723,10327,4685xm10327,4608l10318,4608,10318,4646,10327,4646,10327,4608xm10327,4531l10318,4531,10318,4570,10327,4570,10327,4531xe" filled="true" fillcolor="#000000" stroked="false">
            <v:path arrowok="t"/>
            <v:fill type="solid"/>
            <w10:wrap type="none"/>
          </v:shape>
        </w:pict>
      </w:r>
      <w:r>
        <w:rPr/>
        <w:pict>
          <v:shape style="position:absolute;margin-left:311.760010pt;margin-top:241.919983pt;width:.5pt;height:9.6pt;mso-position-horizontal-relative:page;mso-position-vertical-relative:page;z-index:-37902336" id="docshape586" coordorigin="6235,4838" coordsize="10,192" path="m6245,4992l6235,4992,6235,5030,6245,5030,6245,4992xm6245,4915l6235,4915,6235,4954,6245,4954,6245,4915xm6245,4838l6235,4838,6235,4877,6245,4877,6245,4838xe" filled="true" fillcolor="#000000" stroked="false">
            <v:path arrowok="t"/>
            <v:fill type="solid"/>
            <w10:wrap type="none"/>
          </v:shape>
        </w:pict>
      </w:r>
      <w:r>
        <w:rPr/>
        <w:pict>
          <v:shape style="position:absolute;margin-left:362.76001pt;margin-top:241.919983pt;width:.5pt;height:9.6pt;mso-position-horizontal-relative:page;mso-position-vertical-relative:page;z-index:-37901824" id="docshape587" coordorigin="7255,4838" coordsize="10,192" path="m7265,4992l7255,4992,7255,5030,7265,5030,7265,4992xm7265,4915l7255,4915,7255,4954,7265,4954,7265,4915xm7265,4838l7255,4838,7255,4877,7265,4877,7265,4838xe" filled="true" fillcolor="#000000" stroked="false">
            <v:path arrowok="t"/>
            <v:fill type="solid"/>
            <w10:wrap type="none"/>
          </v:shape>
        </w:pict>
      </w:r>
      <w:r>
        <w:rPr/>
        <w:pict>
          <v:shape style="position:absolute;margin-left:413.76001pt;margin-top:241.919983pt;width:.5pt;height:9.6pt;mso-position-horizontal-relative:page;mso-position-vertical-relative:page;z-index:-37901312" id="docshape588" coordorigin="8275,4838" coordsize="10,192" path="m8285,4992l8275,4992,8275,5030,8285,5030,8285,4992xm8285,4915l8275,4915,8275,4954,8285,4954,8285,4915xm8285,4838l8275,4838,8275,4877,8285,4877,8285,4838xe" filled="true" fillcolor="#000000" stroked="false">
            <v:path arrowok="t"/>
            <v:fill type="solid"/>
            <w10:wrap type="none"/>
          </v:shape>
        </w:pict>
      </w:r>
      <w:r>
        <w:rPr/>
        <w:pict>
          <v:shape style="position:absolute;margin-left:464.880035pt;margin-top:241.919983pt;width:.5pt;height:9.6pt;mso-position-horizontal-relative:page;mso-position-vertical-relative:page;z-index:-37900800" id="docshape589" coordorigin="9298,4838" coordsize="10,192" path="m9307,4992l9298,4992,9298,5030,9307,5030,9307,4992xm9307,4915l9298,4915,9298,4954,9307,4954,9307,4915xm9307,4838l9298,4838,9298,4877,9307,4877,9307,4838xe" filled="true" fillcolor="#000000" stroked="false">
            <v:path arrowok="t"/>
            <v:fill type="solid"/>
            <w10:wrap type="none"/>
          </v:shape>
        </w:pict>
      </w:r>
      <w:r>
        <w:rPr/>
        <w:pict>
          <v:shape style="position:absolute;margin-left:515.880005pt;margin-top:241.919983pt;width:.5pt;height:9.6pt;mso-position-horizontal-relative:page;mso-position-vertical-relative:page;z-index:-37900288" id="docshape590" coordorigin="10318,4838" coordsize="10,192" path="m10327,4992l10318,4992,10318,5030,10327,5030,10327,4992xm10327,4915l10318,4915,10318,4954,10327,4954,10327,4915xm10327,4838l10318,4838,10318,4877,10327,4877,10327,4838xe" filled="true" fillcolor="#000000" stroked="false">
            <v:path arrowok="t"/>
            <v:fill type="solid"/>
            <w10:wrap type="none"/>
          </v:shape>
        </w:pict>
      </w:r>
      <w:r>
        <w:rPr/>
        <w:pict>
          <v:shape style="position:absolute;margin-left:567pt;margin-top:241.919983pt;width:.5pt;height:9.6pt;mso-position-horizontal-relative:page;mso-position-vertical-relative:page;z-index:-37899776" id="docshape591" coordorigin="11340,4838" coordsize="10,192" path="m11350,4992l11340,4992,11340,5030,11350,5030,11350,4992xm11350,4915l11340,4915,11340,4954,11350,4954,11350,4915xm11350,4838l11340,4838,11340,4877,11350,4877,11350,4838xe" filled="true" fillcolor="#000000" stroked="false">
            <v:path arrowok="t"/>
            <v:fill type="solid"/>
            <w10:wrap type="none"/>
          </v:shape>
        </w:pict>
      </w:r>
      <w:r>
        <w:rPr/>
        <w:pict>
          <v:shape style="position:absolute;margin-left:311.760010pt;margin-top:272.639984pt;width:.5pt;height:9.65pt;mso-position-horizontal-relative:page;mso-position-vertical-relative:page;z-index:-37899264" id="docshape592" coordorigin="6235,5453" coordsize="10,193" path="m6245,5606l6235,5606,6235,5645,6245,5645,6245,5606xm6245,5530l6235,5530,6235,5568,6245,5568,6245,5530xm6245,5453l6235,5453,6235,5491,6245,5491,6245,5453xe" filled="true" fillcolor="#000000" stroked="false">
            <v:path arrowok="t"/>
            <v:fill type="solid"/>
            <w10:wrap type="none"/>
          </v:shape>
        </w:pict>
      </w:r>
      <w:r>
        <w:rPr/>
        <w:pict>
          <v:shape style="position:absolute;margin-left:311.760010pt;margin-top:307.200989pt;width:.5pt;height:5.8pt;mso-position-horizontal-relative:page;mso-position-vertical-relative:page;z-index:-37898752" id="docshape593" coordorigin="6235,6144" coordsize="10,116" path="m6245,6221l6235,6221,6235,6259,6245,6259,6245,6221xm6245,6144l6235,6144,6235,6182,6245,6182,6245,6144xe" filled="true" fillcolor="#000000" stroked="false">
            <v:path arrowok="t"/>
            <v:fill type="solid"/>
            <w10:wrap type="none"/>
          </v:shape>
        </w:pict>
      </w:r>
      <w:r>
        <w:rPr/>
        <w:pict>
          <v:shape style="position:absolute;margin-left:362.76001pt;margin-top:307.200989pt;width:.5pt;height:5.8pt;mso-position-horizontal-relative:page;mso-position-vertical-relative:page;z-index:-37898240" id="docshape594" coordorigin="7255,6144" coordsize="10,116" path="m7265,6221l7255,6221,7255,6259,7265,6259,7265,6221xm7265,6144l7255,6144,7255,6182,7265,6182,7265,6144xe" filled="true" fillcolor="#000000" stroked="false">
            <v:path arrowok="t"/>
            <v:fill type="solid"/>
            <w10:wrap type="none"/>
          </v:shape>
        </w:pict>
      </w:r>
      <w:r>
        <w:rPr/>
        <w:pict>
          <v:shape style="position:absolute;margin-left:413.76001pt;margin-top:307.200989pt;width:.5pt;height:5.8pt;mso-position-horizontal-relative:page;mso-position-vertical-relative:page;z-index:-37897728" id="docshape595" coordorigin="8275,6144" coordsize="10,116" path="m8285,6221l8275,6221,8275,6259,8285,6259,8285,6221xm8285,6144l8275,6144,8275,6182,8285,6182,8285,6144xe" filled="true" fillcolor="#000000" stroked="false">
            <v:path arrowok="t"/>
            <v:fill type="solid"/>
            <w10:wrap type="none"/>
          </v:shape>
        </w:pict>
      </w:r>
      <w:r>
        <w:rPr/>
        <w:pict>
          <v:shape style="position:absolute;margin-left:464.880035pt;margin-top:307.200989pt;width:.5pt;height:5.8pt;mso-position-horizontal-relative:page;mso-position-vertical-relative:page;z-index:-37897216" id="docshape596" coordorigin="9298,6144" coordsize="10,116" path="m9307,6221l9298,6221,9298,6259,9307,6259,9307,6221xm9307,6144l9298,6144,9298,6182,9307,6182,9307,6144xe" filled="true" fillcolor="#000000" stroked="false">
            <v:path arrowok="t"/>
            <v:fill type="solid"/>
            <w10:wrap type="none"/>
          </v:shape>
        </w:pict>
      </w:r>
      <w:r>
        <w:rPr/>
        <w:pict>
          <v:shape style="position:absolute;margin-left:515.880005pt;margin-top:307.200989pt;width:.5pt;height:5.8pt;mso-position-horizontal-relative:page;mso-position-vertical-relative:page;z-index:-37896704" id="docshape597" coordorigin="10318,6144" coordsize="10,116" path="m10327,6221l10318,6221,10318,6259,10327,6259,10327,6221xm10327,6144l10318,6144,10318,6182,10327,6182,10327,6144xe" filled="true" fillcolor="#000000" stroked="false">
            <v:path arrowok="t"/>
            <v:fill type="solid"/>
            <w10:wrap type="none"/>
          </v:shape>
        </w:pict>
      </w:r>
      <w:r>
        <w:rPr/>
        <w:pict>
          <v:shape style="position:absolute;margin-left:567pt;margin-top:307.200989pt;width:.5pt;height:5.8pt;mso-position-horizontal-relative:page;mso-position-vertical-relative:page;z-index:-37896192" id="docshape598" coordorigin="11340,6144" coordsize="10,116" path="m11350,6221l11340,6221,11340,6259,11350,6259,11350,6221xm11350,6144l11340,6144,11340,6182,11350,6182,11350,6144xe" filled="true" fillcolor="#000000" stroked="false">
            <v:path arrowok="t"/>
            <v:fill type="solid"/>
            <w10:wrap type="none"/>
          </v:shape>
        </w:pict>
      </w:r>
      <w:r>
        <w:rPr/>
        <w:pict>
          <v:shape style="position:absolute;margin-left:311.760010pt;margin-top:337.92099pt;width:.5pt;height:5.8pt;mso-position-horizontal-relative:page;mso-position-vertical-relative:page;z-index:-37895680" id="docshape599" coordorigin="6235,6758" coordsize="10,116" path="m6245,6835l6235,6835,6235,6874,6245,6874,6245,6835xm6245,6758l6235,6758,6235,6797,6245,6797,6245,6758xe" filled="true" fillcolor="#000000" stroked="false">
            <v:path arrowok="t"/>
            <v:fill type="solid"/>
            <w10:wrap type="none"/>
          </v:shape>
        </w:pict>
      </w:r>
      <w:r>
        <w:rPr/>
        <w:pict>
          <v:shape style="position:absolute;margin-left:515.880005pt;margin-top:337.92099pt;width:.5pt;height:5.8pt;mso-position-horizontal-relative:page;mso-position-vertical-relative:page;z-index:-37895168" id="docshape600" coordorigin="10318,6758" coordsize="10,116" path="m10327,6835l10318,6835,10318,6874,10327,6874,10327,6835xm10327,6758l10318,6758,10318,6797,10327,6797,10327,6758xe" filled="true" fillcolor="#000000" stroked="false">
            <v:path arrowok="t"/>
            <v:fill type="solid"/>
            <w10:wrap type="none"/>
          </v:shape>
        </w:pict>
      </w:r>
      <w:r>
        <w:rPr/>
        <w:pict>
          <v:shape style="position:absolute;margin-left:311.760010pt;margin-top:353.281006pt;width:.5pt;height:5.8pt;mso-position-horizontal-relative:page;mso-position-vertical-relative:page;z-index:-37894656" id="docshape601" coordorigin="6235,7066" coordsize="10,116" path="m6245,7142l6235,7142,6235,7181,6245,7181,6245,7142xm6245,7066l6235,7066,6235,7104,6245,7104,6245,7066xe" filled="true" fillcolor="#000000" stroked="false">
            <v:path arrowok="t"/>
            <v:fill type="solid"/>
            <w10:wrap type="none"/>
          </v:shape>
        </w:pict>
      </w:r>
      <w:r>
        <w:rPr/>
        <w:pict>
          <v:shape style="position:absolute;margin-left:311.760010pt;margin-top:368.639984pt;width:.5pt;height:5.8pt;mso-position-horizontal-relative:page;mso-position-vertical-relative:page;z-index:-37894144" id="docshape602" coordorigin="6235,7373" coordsize="10,116" path="m6245,7450l6235,7450,6235,7488,6245,7488,6245,7450xm6245,7373l6235,7373,6235,7411,6245,7411,6245,7373xe" filled="true" fillcolor="#000000" stroked="false">
            <v:path arrowok="t"/>
            <v:fill type="solid"/>
            <w10:wrap type="none"/>
          </v:shape>
        </w:pict>
      </w:r>
      <w:r>
        <w:rPr/>
        <w:pict>
          <v:shape style="position:absolute;margin-left:311.760010pt;margin-top:384.001007pt;width:.5pt;height:5.8pt;mso-position-horizontal-relative:page;mso-position-vertical-relative:page;z-index:-37893632" id="docshape603" coordorigin="6235,7680" coordsize="10,116" path="m6245,7757l6235,7757,6235,7795,6245,7795,6245,7757xm6245,7680l6235,7680,6235,7718,6245,7718,6245,7680xe" filled="true" fillcolor="#000000" stroked="false">
            <v:path arrowok="t"/>
            <v:fill type="solid"/>
            <w10:wrap type="none"/>
          </v:shape>
        </w:pict>
      </w:r>
      <w:r>
        <w:rPr/>
        <w:pict>
          <v:shape style="position:absolute;margin-left:311.760010pt;margin-top:399.359985pt;width:.5pt;height:5.8pt;mso-position-horizontal-relative:page;mso-position-vertical-relative:page;z-index:-37893120" id="docshape604" coordorigin="6235,7987" coordsize="10,116" path="m6245,8064l6235,8064,6235,8102,6245,8102,6245,8064xm6245,7987l6235,7987,6235,8026,6245,8026,6245,7987xe" filled="true" fillcolor="#000000" stroked="false">
            <v:path arrowok="t"/>
            <v:fill type="solid"/>
            <w10:wrap type="none"/>
          </v:shape>
        </w:pict>
      </w:r>
      <w:r>
        <w:rPr/>
        <w:pict>
          <v:shape style="position:absolute;margin-left:311.760010pt;margin-top:414.721008pt;width:.5pt;height:5.8pt;mso-position-horizontal-relative:page;mso-position-vertical-relative:page;z-index:-37892608" id="docshape605" coordorigin="6235,8294" coordsize="10,116" path="m6245,8371l6235,8371,6235,8410,6245,8410,6245,8371xm6245,8294l6235,8294,6235,8333,6245,8333,6245,8294xe" filled="true" fillcolor="#000000" stroked="false">
            <v:path arrowok="t"/>
            <v:fill type="solid"/>
            <w10:wrap type="none"/>
          </v:shape>
        </w:pict>
      </w:r>
      <w:r>
        <w:rPr/>
        <w:pict>
          <v:shape style="position:absolute;margin-left:311.760010pt;margin-top:430.080994pt;width:.5pt;height:9.6pt;mso-position-horizontal-relative:page;mso-position-vertical-relative:page;z-index:-37892096" id="docshape606" coordorigin="6235,8602" coordsize="10,192" path="m6245,8755l6235,8755,6235,8794,6245,8794,6245,8755xm6245,8678l6235,8678,6235,8717,6245,8717,6245,8678xm6245,8602l6235,8602,6235,8640,6245,8640,6245,8602xe" filled="true" fillcolor="#000000" stroked="false">
            <v:path arrowok="t"/>
            <v:fill type="solid"/>
            <w10:wrap type="none"/>
          </v:shape>
        </w:pict>
      </w:r>
      <w:r>
        <w:rPr/>
        <w:pict>
          <v:shape style="position:absolute;margin-left:311.760010pt;margin-top:445.440002pt;width:.5pt;height:9.6pt;mso-position-horizontal-relative:page;mso-position-vertical-relative:page;z-index:-37891584" id="docshape607" coordorigin="6235,8909" coordsize="10,192" path="m6245,9062l6235,9062,6235,9101,6245,9101,6245,9062xm6245,8986l6235,8986,6235,9024,6245,9024,6245,8986xm6245,8909l6235,8909,6235,8947,6245,8947,6245,8909xe" filled="true" fillcolor="#000000" stroked="false">
            <v:path arrowok="t"/>
            <v:fill type="solid"/>
            <w10:wrap type="none"/>
          </v:shape>
        </w:pict>
      </w:r>
      <w:r>
        <w:rPr/>
        <w:pict>
          <v:shape style="position:absolute;margin-left:362.76001pt;margin-top:445.440002pt;width:.5pt;height:9.6pt;mso-position-horizontal-relative:page;mso-position-vertical-relative:page;z-index:-37891072" id="docshape608" coordorigin="7255,8909" coordsize="10,192" path="m7265,9062l7255,9062,7255,9101,7265,9101,7265,9062xm7265,8986l7255,8986,7255,9024,7265,9024,7265,8986xm7265,8909l7255,8909,7255,8947,7265,8947,7265,8909xe" filled="true" fillcolor="#000000" stroked="false">
            <v:path arrowok="t"/>
            <v:fill type="solid"/>
            <w10:wrap type="none"/>
          </v:shape>
        </w:pict>
      </w:r>
      <w:r>
        <w:rPr/>
        <w:pict>
          <v:shape style="position:absolute;margin-left:413.76001pt;margin-top:445.440002pt;width:.5pt;height:9.6pt;mso-position-horizontal-relative:page;mso-position-vertical-relative:page;z-index:-37890560" id="docshape609" coordorigin="8275,8909" coordsize="10,192" path="m8285,9062l8275,9062,8275,9101,8285,9101,8285,9062xm8285,8986l8275,8986,8275,9024,8285,9024,8285,8986xm8285,8909l8275,8909,8275,8947,8285,8947,8285,8909xe" filled="true" fillcolor="#000000" stroked="false">
            <v:path arrowok="t"/>
            <v:fill type="solid"/>
            <w10:wrap type="none"/>
          </v:shape>
        </w:pict>
      </w:r>
      <w:r>
        <w:rPr/>
        <w:pict>
          <v:shape style="position:absolute;margin-left:464.880035pt;margin-top:445.440002pt;width:.5pt;height:9.6pt;mso-position-horizontal-relative:page;mso-position-vertical-relative:page;z-index:-37890048" id="docshape610" coordorigin="9298,8909" coordsize="10,192" path="m9307,9062l9298,9062,9298,9101,9307,9101,9307,9062xm9307,8986l9298,8986,9298,9024,9307,9024,9307,8986xm9307,8909l9298,8909,9298,8947,9307,8947,9307,8909xe" filled="true" fillcolor="#000000" stroked="false">
            <v:path arrowok="t"/>
            <v:fill type="solid"/>
            <w10:wrap type="none"/>
          </v:shape>
        </w:pict>
      </w:r>
      <w:r>
        <w:rPr/>
        <w:pict>
          <v:shape style="position:absolute;margin-left:515.880005pt;margin-top:445.440002pt;width:.5pt;height:9.6pt;mso-position-horizontal-relative:page;mso-position-vertical-relative:page;z-index:-37889536" id="docshape611" coordorigin="10318,8909" coordsize="10,192" path="m10327,9062l10318,9062,10318,9101,10327,9101,10327,9062xm10327,8986l10318,8986,10318,9024,10327,9024,10327,8986xm10327,8909l10318,8909,10318,8947,10327,8947,10327,8909xe" filled="true" fillcolor="#000000" stroked="false">
            <v:path arrowok="t"/>
            <v:fill type="solid"/>
            <w10:wrap type="none"/>
          </v:shape>
        </w:pict>
      </w:r>
      <w:r>
        <w:rPr/>
        <w:pict>
          <v:shape style="position:absolute;margin-left:567pt;margin-top:445.440002pt;width:.5pt;height:9.6pt;mso-position-horizontal-relative:page;mso-position-vertical-relative:page;z-index:-37889024" id="docshape612" coordorigin="11340,8909" coordsize="10,192" path="m11350,9062l11340,9062,11340,9101,11350,9101,11350,9062xm11350,8986l11340,8986,11340,9024,11350,9024,11350,8986xm11350,8909l11340,8909,11340,8947,11350,8947,11350,8909xe" filled="true" fillcolor="#000000" stroked="false">
            <v:path arrowok="t"/>
            <v:fill type="solid"/>
            <w10:wrap type="none"/>
          </v:shape>
        </w:pict>
      </w:r>
      <w:r>
        <w:rPr/>
        <w:pict>
          <v:shape style="position:absolute;margin-left:311.760010pt;margin-top:460.800995pt;width:.5pt;height:32.65pt;mso-position-horizontal-relative:page;mso-position-vertical-relative:page;z-index:-37888512" id="docshape613" coordorigin="6235,9216" coordsize="10,653" path="m6245,9830l6235,9830,6235,9869,6245,9869,6245,9830xm6245,9754l6235,9754,6235,9792,6245,9792,6245,9754xm6245,9677l6235,9677,6235,9715,6245,9715,6245,9677xm6245,9600l6235,9600,6235,9638,6245,9638,6245,9600xm6245,9523l6235,9523,6235,9562,6245,9562,6245,9523xm6245,9446l6235,9446,6235,9485,6245,9485,6245,9446xm6245,9370l6235,9370,6235,9408,6245,9408,6245,9370xm6245,9293l6235,9293,6235,9331,6245,9331,6245,9293xm6245,9216l6235,9216,6235,9254,6245,9254,6245,9216xe" filled="true" fillcolor="#000000" stroked="false">
            <v:path arrowok="t"/>
            <v:fill type="solid"/>
            <w10:wrap type="none"/>
          </v:shape>
        </w:pict>
      </w:r>
      <w:r>
        <w:rPr/>
        <w:pict>
          <v:shape style="position:absolute;margin-left:362.76001pt;margin-top:460.800995pt;width:.5pt;height:32.65pt;mso-position-horizontal-relative:page;mso-position-vertical-relative:page;z-index:-37888000" id="docshape614" coordorigin="7255,9216" coordsize="10,653" path="m7265,9830l7255,9830,7255,9869,7265,9869,7265,9830xm7265,9754l7255,9754,7255,9792,7265,9792,7265,9754xm7265,9677l7255,9677,7255,9715,7265,9715,7265,9677xm7265,9600l7255,9600,7255,9638,7265,9638,7265,9600xm7265,9523l7255,9523,7255,9562,7265,9562,7265,9523xm7265,9446l7255,9446,7255,9485,7265,9485,7265,9446xm7265,9370l7255,9370,7255,9408,7265,9408,7265,9370xm7265,9293l7255,9293,7255,9331,7265,9331,7265,9293xm7265,9216l7255,9216,7255,9254,7265,9254,7265,9216xe" filled="true" fillcolor="#000000" stroked="false">
            <v:path arrowok="t"/>
            <v:fill type="solid"/>
            <w10:wrap type="none"/>
          </v:shape>
        </w:pict>
      </w:r>
      <w:r>
        <w:rPr/>
        <w:pict>
          <v:shape style="position:absolute;margin-left:413.76001pt;margin-top:460.800995pt;width:.5pt;height:32.65pt;mso-position-horizontal-relative:page;mso-position-vertical-relative:page;z-index:-37887488" id="docshape615" coordorigin="8275,9216" coordsize="10,653" path="m8285,9830l8275,9830,8275,9869,8285,9869,8285,9830xm8285,9754l8275,9754,8275,9792,8285,9792,8285,9754xm8285,9677l8275,9677,8275,9715,8285,9715,8285,9677xm8285,9600l8275,9600,8275,9638,8285,9638,8285,9600xm8285,9523l8275,9523,8275,9562,8285,9562,8285,9523xm8285,9446l8275,9446,8275,9485,8285,9485,8285,9446xm8285,9370l8275,9370,8275,9408,8285,9408,8285,9370xm8285,9293l8275,9293,8275,9331,8285,9331,8285,9293xm8285,9216l8275,9216,8275,9254,8285,9254,8285,9216xe" filled="true" fillcolor="#000000" stroked="false">
            <v:path arrowok="t"/>
            <v:fill type="solid"/>
            <w10:wrap type="none"/>
          </v:shape>
        </w:pict>
      </w:r>
      <w:r>
        <w:rPr/>
        <w:pict>
          <v:shape style="position:absolute;margin-left:464.880035pt;margin-top:460.800995pt;width:.5pt;height:32.65pt;mso-position-horizontal-relative:page;mso-position-vertical-relative:page;z-index:-37886976" id="docshape616" coordorigin="9298,9216" coordsize="10,653" path="m9307,9830l9298,9830,9298,9869,9307,9869,9307,9830xm9307,9754l9298,9754,9298,9792,9307,9792,9307,9754xm9307,9677l9298,9677,9298,9715,9307,9715,9307,9677xm9307,9600l9298,9600,9298,9638,9307,9638,9307,9600xm9307,9523l9298,9523,9298,9562,9307,9562,9307,9523xm9307,9446l9298,9446,9298,9485,9307,9485,9307,9446xm9307,9370l9298,9370,9298,9408,9307,9408,9307,9370xm9307,9293l9298,9293,9298,9331,9307,9331,9307,9293xm9307,9216l9298,9216,9298,9254,9307,9254,9307,9216xe" filled="true" fillcolor="#000000" stroked="false">
            <v:path arrowok="t"/>
            <v:fill type="solid"/>
            <w10:wrap type="none"/>
          </v:shape>
        </w:pict>
      </w:r>
      <w:r>
        <w:rPr/>
        <w:pict>
          <v:shape style="position:absolute;margin-left:515.880005pt;margin-top:460.800995pt;width:.5pt;height:32.65pt;mso-position-horizontal-relative:page;mso-position-vertical-relative:page;z-index:-37886464" id="docshape617" coordorigin="10318,9216" coordsize="10,653" path="m10327,9830l10318,9830,10318,9869,10327,9869,10327,9830xm10327,9754l10318,9754,10318,9792,10327,9792,10327,9754xm10327,9677l10318,9677,10318,9715,10327,9715,10327,9677xm10327,9600l10318,9600,10318,9638,10327,9638,10327,9600xm10327,9523l10318,9523,10318,9562,10327,9562,10327,9523xm10327,9446l10318,9446,10318,9485,10327,9485,10327,9446xm10327,9370l10318,9370,10318,9408,10327,9408,10327,9370xm10327,9293l10318,9293,10318,9331,10327,9331,10327,9293xm10327,9216l10318,9216,10318,9254,10327,9254,10327,9216xe" filled="true" fillcolor="#000000" stroked="false">
            <v:path arrowok="t"/>
            <v:fill type="solid"/>
            <w10:wrap type="none"/>
          </v:shape>
        </w:pict>
      </w:r>
      <w:r>
        <w:rPr/>
        <w:pict>
          <v:shape style="position:absolute;margin-left:567pt;margin-top:460.800995pt;width:.5pt;height:32.65pt;mso-position-horizontal-relative:page;mso-position-vertical-relative:page;z-index:-37885952" id="docshape618" coordorigin="11340,9216" coordsize="10,653" path="m11350,9830l11340,9830,11340,9869,11350,9869,11350,9830xm11350,9754l11340,9754,11340,9792,11350,9792,11350,9754xm11350,9677l11340,9677,11340,9715,11350,9715,11350,9677xm11350,9600l11340,9600,11340,9638,11350,9638,11350,9600xm11350,9523l11340,9523,11340,9562,11350,9562,11350,9523xm11350,9446l11340,9446,11340,9485,11350,9485,11350,9446xm11350,9370l11340,9370,11340,9408,11350,9408,11350,9370xm11350,9293l11340,9293,11340,9331,11350,9331,11350,9293xm11350,9216l11340,9216,11340,9254,11350,9254,11350,9216xe" filled="true" fillcolor="#000000" stroked="false">
            <v:path arrowok="t"/>
            <v:fill type="solid"/>
            <w10:wrap type="none"/>
          </v:shape>
        </w:pict>
      </w:r>
    </w:p>
    <w:p>
      <w:pPr>
        <w:spacing w:after="0"/>
        <w:rPr>
          <w:sz w:val="2"/>
          <w:szCs w:val="2"/>
        </w:rPr>
        <w:sectPr>
          <w:pgSz w:w="16840" w:h="11910" w:orient="landscape"/>
          <w:pgMar w:header="0" w:footer="546" w:top="940" w:bottom="1718" w:left="600" w:right="120"/>
        </w:sect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291"/>
        <w:gridCol w:w="1207"/>
        <w:gridCol w:w="1020"/>
        <w:gridCol w:w="1022"/>
        <w:gridCol w:w="1020"/>
        <w:gridCol w:w="1020"/>
        <w:gridCol w:w="1022"/>
        <w:gridCol w:w="1027"/>
        <w:gridCol w:w="1248"/>
        <w:gridCol w:w="1248"/>
        <w:gridCol w:w="1243"/>
      </w:tblGrid>
      <w:tr>
        <w:trPr>
          <w:trHeight w:val="526" w:hRule="atLeast"/>
        </w:trPr>
        <w:tc>
          <w:tcPr>
            <w:tcW w:w="15368" w:type="dxa"/>
            <w:gridSpan w:val="11"/>
            <w:tcBorders>
              <w:left w:val="single" w:sz="12" w:space="0" w:color="000000"/>
              <w:right w:val="single" w:sz="12" w:space="0" w:color="000000"/>
            </w:tcBorders>
            <w:shd w:val="clear" w:color="auto" w:fill="629CD1"/>
          </w:tcPr>
          <w:p>
            <w:pPr>
              <w:pStyle w:val="TableParagraph"/>
              <w:spacing w:before="100"/>
              <w:ind w:left="3639" w:right="3608"/>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6"/>
                <w:sz w:val="28"/>
              </w:rPr>
              <w:t> </w:t>
            </w:r>
            <w:r>
              <w:rPr>
                <w:b/>
                <w:color w:val="FFFFFF"/>
                <w:sz w:val="28"/>
              </w:rPr>
              <w:t>PROGRAM</w:t>
            </w:r>
            <w:r>
              <w:rPr>
                <w:b/>
                <w:color w:val="FFFFFF"/>
                <w:spacing w:val="-3"/>
                <w:sz w:val="28"/>
              </w:rPr>
              <w:t> </w:t>
            </w:r>
            <w:r>
              <w:rPr>
                <w:b/>
                <w:color w:val="FFFFFF"/>
                <w:sz w:val="28"/>
              </w:rPr>
              <w:t>2024/2025</w:t>
            </w:r>
            <w:r>
              <w:rPr>
                <w:b/>
                <w:color w:val="FFFFFF"/>
                <w:spacing w:val="-6"/>
                <w:sz w:val="28"/>
              </w:rPr>
              <w:t> </w:t>
            </w:r>
            <w:r>
              <w:rPr>
                <w:b/>
                <w:color w:val="FFFFFF"/>
                <w:sz w:val="28"/>
              </w:rPr>
              <w:t>TO</w:t>
            </w:r>
            <w:r>
              <w:rPr>
                <w:b/>
                <w:color w:val="FFFFFF"/>
                <w:spacing w:val="-3"/>
                <w:sz w:val="28"/>
              </w:rPr>
              <w:t> </w:t>
            </w:r>
            <w:r>
              <w:rPr>
                <w:b/>
                <w:color w:val="FFFFFF"/>
                <w:spacing w:val="-2"/>
                <w:sz w:val="28"/>
              </w:rPr>
              <w:t>2027/2028</w:t>
            </w:r>
          </w:p>
        </w:tc>
      </w:tr>
      <w:tr>
        <w:trPr>
          <w:trHeight w:val="574" w:hRule="atLeast"/>
        </w:trPr>
        <w:tc>
          <w:tcPr>
            <w:tcW w:w="4291"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7338" w:type="dxa"/>
            <w:gridSpan w:val="7"/>
            <w:tcBorders>
              <w:left w:val="single" w:sz="12" w:space="0" w:color="000000"/>
              <w:right w:val="single" w:sz="12" w:space="0" w:color="000000"/>
            </w:tcBorders>
            <w:shd w:val="clear" w:color="auto" w:fill="629CD1"/>
          </w:tcPr>
          <w:p>
            <w:pPr>
              <w:pStyle w:val="TableParagraph"/>
              <w:spacing w:before="170"/>
              <w:ind w:left="2815" w:right="2787"/>
              <w:jc w:val="center"/>
              <w:rPr>
                <w:b/>
                <w:sz w:val="20"/>
              </w:rPr>
            </w:pPr>
            <w:r>
              <w:rPr>
                <w:b/>
                <w:color w:val="FFFFFF"/>
                <w:sz w:val="20"/>
              </w:rPr>
              <w:t>Budget</w:t>
            </w:r>
            <w:r>
              <w:rPr>
                <w:b/>
                <w:color w:val="FFFFFF"/>
                <w:spacing w:val="-7"/>
                <w:sz w:val="20"/>
              </w:rPr>
              <w:t> </w:t>
            </w:r>
            <w:r>
              <w:rPr>
                <w:b/>
                <w:color w:val="FFFFFF"/>
                <w:spacing w:val="-2"/>
                <w:sz w:val="20"/>
              </w:rPr>
              <w:t>2024/2025</w:t>
            </w:r>
          </w:p>
        </w:tc>
        <w:tc>
          <w:tcPr>
            <w:tcW w:w="1248" w:type="dxa"/>
            <w:tcBorders>
              <w:left w:val="single" w:sz="12" w:space="0" w:color="000000"/>
              <w:right w:val="single" w:sz="12" w:space="0" w:color="000000"/>
            </w:tcBorders>
            <w:shd w:val="clear" w:color="auto" w:fill="629CD1"/>
          </w:tcPr>
          <w:p>
            <w:pPr>
              <w:pStyle w:val="TableParagraph"/>
              <w:spacing w:before="55"/>
              <w:ind w:left="152" w:right="118" w:firstLine="127"/>
              <w:rPr>
                <w:b/>
                <w:sz w:val="20"/>
              </w:rPr>
            </w:pPr>
            <w:r>
              <w:rPr>
                <w:b/>
                <w:color w:val="FFFFFF"/>
                <w:spacing w:val="-2"/>
                <w:sz w:val="20"/>
              </w:rPr>
              <w:t>Budget 2025/2026</w:t>
            </w:r>
          </w:p>
        </w:tc>
        <w:tc>
          <w:tcPr>
            <w:tcW w:w="1248" w:type="dxa"/>
            <w:tcBorders>
              <w:left w:val="single" w:sz="12" w:space="0" w:color="000000"/>
              <w:right w:val="single" w:sz="12" w:space="0" w:color="000000"/>
            </w:tcBorders>
            <w:shd w:val="clear" w:color="auto" w:fill="629CD1"/>
          </w:tcPr>
          <w:p>
            <w:pPr>
              <w:pStyle w:val="TableParagraph"/>
              <w:spacing w:before="55"/>
              <w:ind w:left="152" w:right="118" w:firstLine="127"/>
              <w:rPr>
                <w:b/>
                <w:sz w:val="20"/>
              </w:rPr>
            </w:pPr>
            <w:r>
              <w:rPr>
                <w:b/>
                <w:color w:val="FFFFFF"/>
                <w:spacing w:val="-2"/>
                <w:sz w:val="20"/>
              </w:rPr>
              <w:t>Budget 2026/2027</w:t>
            </w:r>
          </w:p>
        </w:tc>
        <w:tc>
          <w:tcPr>
            <w:tcW w:w="1243" w:type="dxa"/>
            <w:tcBorders>
              <w:left w:val="single" w:sz="12" w:space="0" w:color="000000"/>
              <w:right w:val="single" w:sz="12" w:space="0" w:color="000000"/>
            </w:tcBorders>
            <w:shd w:val="clear" w:color="auto" w:fill="629CD1"/>
          </w:tcPr>
          <w:p>
            <w:pPr>
              <w:pStyle w:val="TableParagraph"/>
              <w:spacing w:before="55"/>
              <w:ind w:left="149" w:right="116" w:firstLine="129"/>
              <w:rPr>
                <w:b/>
                <w:sz w:val="20"/>
              </w:rPr>
            </w:pPr>
            <w:r>
              <w:rPr>
                <w:b/>
                <w:color w:val="FFFFFF"/>
                <w:spacing w:val="-2"/>
                <w:sz w:val="20"/>
              </w:rPr>
              <w:t>Budget 2027/2028</w:t>
            </w:r>
          </w:p>
        </w:tc>
      </w:tr>
      <w:tr>
        <w:trPr>
          <w:trHeight w:val="774" w:hRule="atLeast"/>
        </w:trPr>
        <w:tc>
          <w:tcPr>
            <w:tcW w:w="4291"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207" w:type="dxa"/>
            <w:tcBorders>
              <w:left w:val="single" w:sz="12" w:space="0" w:color="000000"/>
              <w:bottom w:val="single" w:sz="12" w:space="0" w:color="000000"/>
              <w:right w:val="single" w:sz="12" w:space="0" w:color="000000"/>
            </w:tcBorders>
            <w:shd w:val="clear" w:color="auto" w:fill="629CD1"/>
          </w:tcPr>
          <w:p>
            <w:pPr>
              <w:pStyle w:val="TableParagraph"/>
              <w:spacing w:before="42"/>
              <w:ind w:left="141" w:right="107" w:hanging="6"/>
              <w:jc w:val="center"/>
              <w:rPr>
                <w:b/>
                <w:sz w:val="16"/>
              </w:rPr>
            </w:pPr>
            <w:r>
              <w:rPr>
                <w:b/>
                <w:color w:val="FFFFFF"/>
                <w:spacing w:val="-2"/>
                <w:sz w:val="16"/>
              </w:rPr>
              <w:t>Total Expenditure</w:t>
            </w:r>
          </w:p>
          <w:p>
            <w:pPr>
              <w:pStyle w:val="TableParagraph"/>
              <w:spacing w:before="114"/>
              <w:ind w:left="412" w:right="385"/>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12" w:right="81"/>
              <w:jc w:val="center"/>
              <w:rPr>
                <w:b/>
                <w:sz w:val="16"/>
              </w:rPr>
            </w:pPr>
            <w:r>
              <w:rPr>
                <w:b/>
                <w:color w:val="FFFFFF"/>
                <w:spacing w:val="-2"/>
                <w:sz w:val="16"/>
              </w:rPr>
              <w:t>Council </w:t>
            </w:r>
            <w:r>
              <w:rPr>
                <w:b/>
                <w:color w:val="FFFFFF"/>
                <w:spacing w:val="-4"/>
                <w:sz w:val="16"/>
              </w:rPr>
              <w:t>Cash</w:t>
            </w:r>
          </w:p>
          <w:p>
            <w:pPr>
              <w:pStyle w:val="TableParagraph"/>
              <w:spacing w:before="114"/>
              <w:ind w:left="108" w:right="81"/>
              <w:jc w:val="center"/>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133"/>
              <w:ind w:left="251"/>
              <w:rPr>
                <w:b/>
                <w:sz w:val="16"/>
              </w:rPr>
            </w:pPr>
            <w:r>
              <w:rPr>
                <w:b/>
                <w:color w:val="FFFFFF"/>
                <w:spacing w:val="-2"/>
                <w:sz w:val="16"/>
              </w:rPr>
              <w:t>Grants</w:t>
            </w:r>
          </w:p>
          <w:p>
            <w:pPr>
              <w:pStyle w:val="TableParagraph"/>
              <w:rPr>
                <w:b/>
                <w:sz w:val="18"/>
              </w:rPr>
            </w:pPr>
          </w:p>
          <w:p>
            <w:pPr>
              <w:pStyle w:val="TableParagraph"/>
              <w:ind w:left="331"/>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29" w:right="100" w:hanging="1"/>
              <w:jc w:val="center"/>
              <w:rPr>
                <w:b/>
                <w:sz w:val="16"/>
              </w:rPr>
            </w:pPr>
            <w:r>
              <w:rPr>
                <w:b/>
                <w:color w:val="FFFFFF"/>
                <w:spacing w:val="-2"/>
                <w:sz w:val="16"/>
              </w:rPr>
              <w:t>Others </w:t>
            </w:r>
            <w:r>
              <w:rPr>
                <w:b/>
                <w:color w:val="FFFFFF"/>
                <w:sz w:val="16"/>
              </w:rPr>
              <w:t>Contrib</w:t>
            </w:r>
            <w:r>
              <w:rPr>
                <w:b/>
                <w:color w:val="FFFFFF"/>
                <w:spacing w:val="-12"/>
                <w:sz w:val="16"/>
              </w:rPr>
              <w:t> </w:t>
            </w:r>
            <w:r>
              <w:rPr>
                <w:b/>
                <w:color w:val="FFFFFF"/>
                <w:sz w:val="16"/>
              </w:rPr>
              <w:t>‘n</w:t>
            </w:r>
          </w:p>
          <w:p>
            <w:pPr>
              <w:pStyle w:val="TableParagraph"/>
              <w:spacing w:before="114"/>
              <w:ind w:left="104" w:right="81"/>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85" w:right="153" w:firstLine="1"/>
              <w:jc w:val="center"/>
              <w:rPr>
                <w:b/>
                <w:sz w:val="16"/>
              </w:rPr>
            </w:pPr>
            <w:r>
              <w:rPr>
                <w:b/>
                <w:color w:val="FFFFFF"/>
                <w:spacing w:val="-2"/>
                <w:sz w:val="16"/>
              </w:rPr>
              <w:t>Asset Renewal</w:t>
            </w:r>
          </w:p>
          <w:p>
            <w:pPr>
              <w:pStyle w:val="TableParagraph"/>
              <w:spacing w:before="114"/>
              <w:ind w:left="109" w:right="81"/>
              <w:jc w:val="center"/>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133"/>
              <w:ind w:left="172" w:right="144"/>
              <w:jc w:val="center"/>
              <w:rPr>
                <w:b/>
                <w:sz w:val="16"/>
              </w:rPr>
            </w:pPr>
            <w:r>
              <w:rPr>
                <w:b/>
                <w:color w:val="FFFFFF"/>
                <w:spacing w:val="-2"/>
                <w:sz w:val="16"/>
              </w:rPr>
              <w:t>Upgrade</w:t>
            </w:r>
          </w:p>
          <w:p>
            <w:pPr>
              <w:pStyle w:val="TableParagraph"/>
              <w:rPr>
                <w:b/>
                <w:sz w:val="18"/>
              </w:rPr>
            </w:pPr>
          </w:p>
          <w:p>
            <w:pPr>
              <w:pStyle w:val="TableParagraph"/>
              <w:ind w:left="170" w:right="144"/>
              <w:jc w:val="center"/>
              <w:rPr>
                <w:b/>
                <w:sz w:val="16"/>
              </w:rPr>
            </w:pPr>
            <w:r>
              <w:rPr>
                <w:b/>
                <w:color w:val="FFFFFF"/>
                <w:spacing w:val="-4"/>
                <w:sz w:val="16"/>
              </w:rPr>
              <w:t>$000</w:t>
            </w:r>
          </w:p>
        </w:tc>
        <w:tc>
          <w:tcPr>
            <w:tcW w:w="1027" w:type="dxa"/>
            <w:tcBorders>
              <w:left w:val="single" w:sz="12" w:space="0" w:color="000000"/>
              <w:bottom w:val="single" w:sz="12" w:space="0" w:color="000000"/>
              <w:right w:val="single" w:sz="12" w:space="0" w:color="000000"/>
            </w:tcBorders>
            <w:shd w:val="clear" w:color="auto" w:fill="629CD1"/>
          </w:tcPr>
          <w:p>
            <w:pPr>
              <w:pStyle w:val="TableParagraph"/>
              <w:spacing w:before="133"/>
              <w:ind w:left="116" w:right="83"/>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rPr>
                <w:b/>
                <w:sz w:val="18"/>
              </w:rPr>
            </w:pPr>
          </w:p>
          <w:p>
            <w:pPr>
              <w:pStyle w:val="TableParagraph"/>
              <w:ind w:left="114" w:right="83"/>
              <w:jc w:val="center"/>
              <w:rPr>
                <w:b/>
                <w:sz w:val="16"/>
              </w:rPr>
            </w:pPr>
            <w:r>
              <w:rPr>
                <w:b/>
                <w:color w:val="FFFFFF"/>
                <w:spacing w:val="-4"/>
                <w:sz w:val="16"/>
              </w:rPr>
              <w:t>$000</w:t>
            </w:r>
          </w:p>
        </w:tc>
        <w:tc>
          <w:tcPr>
            <w:tcW w:w="1248" w:type="dxa"/>
            <w:tcBorders>
              <w:left w:val="single" w:sz="12" w:space="0" w:color="000000"/>
              <w:bottom w:val="single" w:sz="12" w:space="0" w:color="000000"/>
              <w:right w:val="single" w:sz="12" w:space="0" w:color="000000"/>
            </w:tcBorders>
            <w:shd w:val="clear" w:color="auto" w:fill="629CD1"/>
          </w:tcPr>
          <w:p>
            <w:pPr>
              <w:pStyle w:val="TableParagraph"/>
              <w:spacing w:before="42"/>
              <w:ind w:left="161" w:right="127" w:hanging="2"/>
              <w:jc w:val="center"/>
              <w:rPr>
                <w:b/>
                <w:sz w:val="16"/>
              </w:rPr>
            </w:pPr>
            <w:r>
              <w:rPr>
                <w:b/>
                <w:color w:val="FFFFFF"/>
                <w:spacing w:val="-2"/>
                <w:sz w:val="16"/>
              </w:rPr>
              <w:t>Total Expenditure</w:t>
            </w:r>
          </w:p>
          <w:p>
            <w:pPr>
              <w:pStyle w:val="TableParagraph"/>
              <w:spacing w:before="114"/>
              <w:ind w:left="116" w:right="84"/>
              <w:jc w:val="center"/>
              <w:rPr>
                <w:b/>
                <w:sz w:val="16"/>
              </w:rPr>
            </w:pPr>
            <w:r>
              <w:rPr>
                <w:b/>
                <w:color w:val="FFFFFF"/>
                <w:spacing w:val="-4"/>
                <w:sz w:val="16"/>
              </w:rPr>
              <w:t>$000</w:t>
            </w:r>
          </w:p>
        </w:tc>
        <w:tc>
          <w:tcPr>
            <w:tcW w:w="1248" w:type="dxa"/>
            <w:tcBorders>
              <w:left w:val="single" w:sz="12" w:space="0" w:color="000000"/>
              <w:bottom w:val="single" w:sz="12" w:space="0" w:color="000000"/>
              <w:right w:val="single" w:sz="12" w:space="0" w:color="000000"/>
            </w:tcBorders>
            <w:shd w:val="clear" w:color="auto" w:fill="629CD1"/>
          </w:tcPr>
          <w:p>
            <w:pPr>
              <w:pStyle w:val="TableParagraph"/>
              <w:spacing w:before="42"/>
              <w:ind w:left="161" w:right="127" w:hanging="2"/>
              <w:jc w:val="center"/>
              <w:rPr>
                <w:b/>
                <w:sz w:val="16"/>
              </w:rPr>
            </w:pPr>
            <w:r>
              <w:rPr>
                <w:b/>
                <w:color w:val="FFFFFF"/>
                <w:spacing w:val="-2"/>
                <w:sz w:val="16"/>
              </w:rPr>
              <w:t>Total Expenditure</w:t>
            </w:r>
          </w:p>
          <w:p>
            <w:pPr>
              <w:pStyle w:val="TableParagraph"/>
              <w:spacing w:before="114"/>
              <w:ind w:left="116" w:right="84"/>
              <w:jc w:val="center"/>
              <w:rPr>
                <w:b/>
                <w:sz w:val="16"/>
              </w:rPr>
            </w:pPr>
            <w:r>
              <w:rPr>
                <w:b/>
                <w:color w:val="FFFFFF"/>
                <w:spacing w:val="-4"/>
                <w:sz w:val="16"/>
              </w:rPr>
              <w:t>$000</w:t>
            </w:r>
          </w:p>
        </w:tc>
        <w:tc>
          <w:tcPr>
            <w:tcW w:w="1243" w:type="dxa"/>
            <w:tcBorders>
              <w:left w:val="single" w:sz="12" w:space="0" w:color="000000"/>
              <w:bottom w:val="single" w:sz="12" w:space="0" w:color="000000"/>
              <w:right w:val="single" w:sz="12" w:space="0" w:color="000000"/>
            </w:tcBorders>
            <w:shd w:val="clear" w:color="auto" w:fill="629CD1"/>
          </w:tcPr>
          <w:p>
            <w:pPr>
              <w:pStyle w:val="TableParagraph"/>
              <w:spacing w:before="42"/>
              <w:ind w:left="161" w:right="122" w:hanging="6"/>
              <w:jc w:val="center"/>
              <w:rPr>
                <w:b/>
                <w:sz w:val="16"/>
              </w:rPr>
            </w:pPr>
            <w:r>
              <w:rPr>
                <w:b/>
                <w:color w:val="FFFFFF"/>
                <w:spacing w:val="-2"/>
                <w:sz w:val="16"/>
              </w:rPr>
              <w:t>Total Expenditure</w:t>
            </w:r>
          </w:p>
          <w:p>
            <w:pPr>
              <w:pStyle w:val="TableParagraph"/>
              <w:spacing w:before="114"/>
              <w:ind w:left="432" w:right="400"/>
              <w:jc w:val="center"/>
              <w:rPr>
                <w:b/>
                <w:sz w:val="16"/>
              </w:rPr>
            </w:pPr>
            <w:r>
              <w:rPr>
                <w:b/>
                <w:color w:val="FFFFFF"/>
                <w:spacing w:val="-4"/>
                <w:sz w:val="16"/>
              </w:rPr>
              <w:t>$000</w:t>
            </w:r>
          </w:p>
        </w:tc>
      </w:tr>
      <w:tr>
        <w:trPr>
          <w:trHeight w:val="738" w:hRule="atLeast"/>
        </w:trPr>
        <w:tc>
          <w:tcPr>
            <w:tcW w:w="4291" w:type="dxa"/>
            <w:tcBorders>
              <w:top w:val="single" w:sz="12" w:space="0" w:color="000000"/>
              <w:left w:val="single" w:sz="12" w:space="0" w:color="000000"/>
              <w:bottom w:val="dashSmallGap" w:sz="4" w:space="0" w:color="000000"/>
              <w:right w:val="single" w:sz="12" w:space="0" w:color="000000"/>
            </w:tcBorders>
          </w:tcPr>
          <w:p>
            <w:pPr>
              <w:pStyle w:val="TableParagraph"/>
              <w:spacing w:before="46"/>
              <w:ind w:left="107"/>
              <w:rPr>
                <w:b/>
                <w:sz w:val="28"/>
              </w:rPr>
            </w:pPr>
            <w:r>
              <w:rPr>
                <w:b/>
                <w:spacing w:val="-2"/>
                <w:sz w:val="28"/>
              </w:rPr>
              <w:t>RECREATIONAL IMPROVEMENTS</w:t>
            </w:r>
          </w:p>
        </w:tc>
        <w:tc>
          <w:tcPr>
            <w:tcW w:w="1207" w:type="dxa"/>
            <w:tcBorders>
              <w:top w:val="single" w:sz="12" w:space="0" w:color="000000"/>
              <w:left w:val="single" w:sz="12" w:space="0" w:color="000000"/>
              <w:bottom w:val="dashSmallGap" w:sz="4"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dashSmallGap" w:sz="4" w:space="0" w:color="000000"/>
              <w:right w:val="dashSmallGap" w:sz="4" w:space="0" w:color="000000"/>
            </w:tcBorders>
          </w:tcPr>
          <w:p>
            <w:pPr>
              <w:pStyle w:val="TableParagraph"/>
              <w:rPr>
                <w:rFonts w:ascii="Times New Roman"/>
                <w:sz w:val="18"/>
              </w:rPr>
            </w:pPr>
          </w:p>
        </w:tc>
        <w:tc>
          <w:tcPr>
            <w:tcW w:w="1022" w:type="dxa"/>
            <w:tcBorders>
              <w:top w:val="single" w:sz="12" w:space="0" w:color="000000"/>
              <w:left w:val="dashSmallGap" w:sz="4" w:space="0" w:color="000000"/>
              <w:bottom w:val="dashSmallGap" w:sz="4"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dashSmallGap" w:sz="4"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dashSmallGap" w:sz="4" w:space="0" w:color="000000"/>
              <w:right w:val="dashSmallGap" w:sz="4" w:space="0" w:color="000000"/>
            </w:tcBorders>
          </w:tcPr>
          <w:p>
            <w:pPr>
              <w:pStyle w:val="TableParagraph"/>
              <w:rPr>
                <w:rFonts w:ascii="Times New Roman"/>
                <w:sz w:val="18"/>
              </w:rPr>
            </w:pPr>
          </w:p>
        </w:tc>
        <w:tc>
          <w:tcPr>
            <w:tcW w:w="1022" w:type="dxa"/>
            <w:tcBorders>
              <w:top w:val="single" w:sz="12" w:space="0" w:color="000000"/>
              <w:left w:val="dashSmallGap" w:sz="4" w:space="0" w:color="000000"/>
              <w:bottom w:val="dashed" w:sz="4" w:space="0" w:color="000000"/>
              <w:right w:val="dashSmallGap" w:sz="4" w:space="0" w:color="000000"/>
            </w:tcBorders>
          </w:tcPr>
          <w:p>
            <w:pPr>
              <w:pStyle w:val="TableParagraph"/>
              <w:rPr>
                <w:rFonts w:ascii="Times New Roman"/>
                <w:sz w:val="18"/>
              </w:rPr>
            </w:pPr>
          </w:p>
        </w:tc>
        <w:tc>
          <w:tcPr>
            <w:tcW w:w="1027" w:type="dxa"/>
            <w:tcBorders>
              <w:top w:val="single" w:sz="12" w:space="0" w:color="000000"/>
              <w:left w:val="dashSmallGap" w:sz="4" w:space="0" w:color="000000"/>
              <w:bottom w:val="dashed" w:sz="4" w:space="0" w:color="000000"/>
              <w:right w:val="single" w:sz="12" w:space="0" w:color="000000"/>
            </w:tcBorders>
          </w:tcPr>
          <w:p>
            <w:pPr>
              <w:pStyle w:val="TableParagraph"/>
              <w:rPr>
                <w:rFonts w:ascii="Times New Roman"/>
                <w:sz w:val="18"/>
              </w:rPr>
            </w:pPr>
          </w:p>
        </w:tc>
        <w:tc>
          <w:tcPr>
            <w:tcW w:w="1248"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8"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3" w:type="dxa"/>
            <w:tcBorders>
              <w:top w:val="single" w:sz="12"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58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8"/>
              <w:ind w:left="107"/>
              <w:rPr>
                <w:b/>
                <w:sz w:val="22"/>
              </w:rPr>
            </w:pPr>
            <w:r>
              <w:rPr>
                <w:b/>
                <w:sz w:val="22"/>
              </w:rPr>
              <w:t>RECREATIONAL,</w:t>
            </w:r>
            <w:r>
              <w:rPr>
                <w:b/>
                <w:spacing w:val="-16"/>
                <w:sz w:val="22"/>
              </w:rPr>
              <w:t> </w:t>
            </w:r>
            <w:r>
              <w:rPr>
                <w:b/>
                <w:sz w:val="22"/>
              </w:rPr>
              <w:t>LEISURE</w:t>
            </w:r>
            <w:r>
              <w:rPr>
                <w:b/>
                <w:spacing w:val="-15"/>
                <w:sz w:val="22"/>
              </w:rPr>
              <w:t> </w:t>
            </w:r>
            <w:r>
              <w:rPr>
                <w:b/>
                <w:sz w:val="22"/>
              </w:rPr>
              <w:t>AND COMMUNITY FACILITIES</w:t>
            </w:r>
          </w:p>
        </w:tc>
        <w:tc>
          <w:tcPr>
            <w:tcW w:w="7338" w:type="dxa"/>
            <w:gridSpan w:val="7"/>
            <w:tcBorders>
              <w:top w:val="single" w:sz="4" w:space="0" w:color="000000"/>
              <w:left w:val="single" w:sz="12" w:space="0" w:color="000000"/>
              <w:right w:val="single" w:sz="12" w:space="0" w:color="000000"/>
            </w:tcBorders>
          </w:tcPr>
          <w:p>
            <w:pPr>
              <w:pStyle w:val="TableParagraph"/>
              <w:spacing w:before="4"/>
              <w:rPr>
                <w:b/>
                <w:sz w:val="9"/>
              </w:rPr>
            </w:pPr>
          </w:p>
          <w:p>
            <w:pPr>
              <w:pStyle w:val="TableParagraph"/>
              <w:tabs>
                <w:tab w:pos="2222" w:val="left" w:leader="none"/>
                <w:tab w:pos="3244" w:val="left" w:leader="none"/>
                <w:tab w:pos="4264" w:val="left" w:leader="none"/>
                <w:tab w:pos="5284" w:val="left" w:leader="none"/>
                <w:tab w:pos="6306" w:val="left" w:leader="none"/>
              </w:tabs>
              <w:ind w:left="1202"/>
              <w:rPr>
                <w:sz w:val="20"/>
              </w:rPr>
            </w:pPr>
            <w:r>
              <w:rPr>
                <w:sz w:val="20"/>
              </w:rPr>
              <w:pict>
                <v:group style="width:.5pt;height:21.15pt;mso-position-horizontal-relative:char;mso-position-vertical-relative:line" id="docshapegroup619" coordorigin="0,0" coordsize="10,423">
                  <v:shape style="position:absolute;left:0;top:0;width:10;height:423" id="docshape620"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21.15pt;mso-position-horizontal-relative:char;mso-position-vertical-relative:line" id="docshapegroup621" coordorigin="0,0" coordsize="10,423">
                  <v:shape style="position:absolute;left:0;top:0;width:10;height:423" id="docshape622"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21.15pt;mso-position-horizontal-relative:char;mso-position-vertical-relative:line" id="docshapegroup623" coordorigin="0,0" coordsize="10,423">
                  <v:shape style="position:absolute;left:0;top:0;width:10;height:423" id="docshape624"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21.15pt;mso-position-horizontal-relative:char;mso-position-vertical-relative:line" id="docshapegroup625" coordorigin="0,0" coordsize="10,423">
                  <v:shape style="position:absolute;left:0;top:0;width:10;height:423" id="docshape626"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21.15pt;mso-position-horizontal-relative:char;mso-position-vertical-relative:line" id="docshapegroup627" coordorigin="0,0" coordsize="10,423">
                  <v:shape style="position:absolute;left:0;top:0;width:10;height:423" id="docshape628"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21.15pt;mso-position-horizontal-relative:char;mso-position-vertical-relative:line" id="docshapegroup629" coordorigin="0,0" coordsize="10,423">
                  <v:shape style="position:absolute;left:0;top:0;width:10;height:423" id="docshape630" coordorigin="0,0" coordsize="10,423" path="m10,384l0,384,0,422,10,422,10,384xm10,307l0,307,0,346,10,346,10,307xm10,230l0,230,0,269,10,269,10,230xm10,154l0,154,0,192,10,192,10,154xm10,77l0,77,0,115,10,115,10,77xm10,0l0,0,0,38,10,38,10,0xe" filled="true" fillcolor="#000000" stroked="false">
                    <v:path arrowok="t"/>
                    <v:fill type="solid"/>
                  </v:shape>
                </v:group>
              </w:pict>
            </w:r>
            <w:r>
              <w:rPr>
                <w:sz w:val="20"/>
              </w:rPr>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28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29"/>
              <w:ind w:left="107"/>
              <w:rPr>
                <w:sz w:val="18"/>
              </w:rPr>
            </w:pPr>
            <w:r>
              <w:rPr>
                <w:sz w:val="18"/>
              </w:rPr>
              <w:t>Sportsfield</w:t>
            </w:r>
            <w:r>
              <w:rPr>
                <w:spacing w:val="-2"/>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line="188" w:lineRule="exact"/>
              <w:ind w:right="75"/>
              <w:jc w:val="right"/>
              <w:rPr>
                <w:sz w:val="18"/>
              </w:rPr>
            </w:pPr>
            <w:r>
              <w:rPr>
                <w:spacing w:val="-5"/>
                <w:sz w:val="18"/>
              </w:rPr>
              <w:t>900</w:t>
            </w:r>
          </w:p>
        </w:tc>
        <w:tc>
          <w:tcPr>
            <w:tcW w:w="1020" w:type="dxa"/>
            <w:tcBorders>
              <w:top w:val="dashSmallGap" w:sz="4" w:space="0" w:color="000000"/>
              <w:left w:val="nil"/>
              <w:bottom w:val="dashSmallGap" w:sz="4" w:space="0" w:color="000000"/>
              <w:right w:val="nil"/>
            </w:tcBorders>
          </w:tcPr>
          <w:p>
            <w:pPr>
              <w:pStyle w:val="TableParagraph"/>
              <w:spacing w:line="188" w:lineRule="exact"/>
              <w:ind w:right="89"/>
              <w:jc w:val="right"/>
              <w:rPr>
                <w:sz w:val="18"/>
              </w:rPr>
            </w:pPr>
            <w:r>
              <w:rPr>
                <w:spacing w:val="-5"/>
                <w:sz w:val="18"/>
              </w:rPr>
              <w:t>900</w:t>
            </w:r>
          </w:p>
        </w:tc>
        <w:tc>
          <w:tcPr>
            <w:tcW w:w="1022" w:type="dxa"/>
            <w:tcBorders>
              <w:top w:val="dashSmallGap" w:sz="4" w:space="0" w:color="000000"/>
              <w:left w:val="nil"/>
              <w:bottom w:val="dashSmallGap" w:sz="4" w:space="0" w:color="000000"/>
              <w:right w:val="nil"/>
            </w:tcBorders>
          </w:tcPr>
          <w:p>
            <w:pPr>
              <w:pStyle w:val="TableParagraph"/>
              <w:rPr>
                <w:b/>
                <w:sz w:val="8"/>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31" coordorigin="0,0" coordsize="10,116">
                  <v:shape style="position:absolute;left:0;top:0;width:10;height:116" id="docshape632"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33" coordorigin="0,0" coordsize="10,116">
                  <v:shape style="position:absolute;left:0;top:0;width:10;height:116" id="docshape634"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rPr>
                <w:b/>
                <w:sz w:val="8"/>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635" coordorigin="0,0" coordsize="10,116">
                  <v:shape style="position:absolute;left:0;top:0;width:10;height:116" id="docshape636"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line="188" w:lineRule="exact"/>
              <w:ind w:right="89"/>
              <w:jc w:val="right"/>
              <w:rPr>
                <w:sz w:val="18"/>
              </w:rPr>
            </w:pPr>
            <w:r>
              <w:rPr>
                <w:spacing w:val="-5"/>
                <w:sz w:val="18"/>
              </w:rPr>
              <w:t>900</w:t>
            </w:r>
          </w:p>
        </w:tc>
        <w:tc>
          <w:tcPr>
            <w:tcW w:w="1022" w:type="dxa"/>
            <w:tcBorders>
              <w:top w:val="dashed" w:sz="4" w:space="0" w:color="000000"/>
              <w:left w:val="nil"/>
              <w:bottom w:val="dashed" w:sz="4" w:space="0" w:color="000000"/>
              <w:right w:val="nil"/>
            </w:tcBorders>
          </w:tcPr>
          <w:p>
            <w:pPr>
              <w:pStyle w:val="TableParagraph"/>
              <w:rPr>
                <w:b/>
                <w:sz w:val="8"/>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37" coordorigin="0,0" coordsize="10,116">
                  <v:shape style="position:absolute;left:0;top:0;width:10;height:116" id="docshape638"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39" coordorigin="0,0" coordsize="10,116">
                  <v:shape style="position:absolute;left:0;top:0;width:10;height:116" id="docshape640" coordorigin="0,0" coordsize="10,116" path="m10,77l0,77,0,115,10,115,10,77xm10,0l0,0,0,38,10,38,10,0xe" filled="true" fillcolor="#000000" stroked="false">
                    <v:path arrowok="t"/>
                    <v:fill type="solid"/>
                  </v:shape>
                </v:group>
              </w:pict>
            </w:r>
            <w:r>
              <w:rPr>
                <w:position w:val="-1"/>
                <w:sz w:val="11"/>
              </w:rPr>
            </w:r>
          </w:p>
        </w:tc>
        <w:tc>
          <w:tcPr>
            <w:tcW w:w="1027"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29"/>
              <w:ind w:right="74"/>
              <w:jc w:val="right"/>
              <w:rPr>
                <w:sz w:val="18"/>
              </w:rPr>
            </w:pPr>
            <w:r>
              <w:rPr>
                <w:spacing w:val="-5"/>
                <w:sz w:val="18"/>
              </w:rPr>
              <w:t>900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line="188" w:lineRule="exact"/>
              <w:ind w:right="74"/>
              <w:jc w:val="right"/>
              <w:rPr>
                <w:sz w:val="18"/>
              </w:rPr>
            </w:pPr>
            <w:r>
              <w:rPr>
                <w:spacing w:val="-5"/>
                <w:sz w:val="18"/>
              </w:rPr>
              <w:t>930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line="188" w:lineRule="exact"/>
              <w:ind w:right="72"/>
              <w:jc w:val="right"/>
              <w:rPr>
                <w:sz w:val="18"/>
              </w:rPr>
            </w:pPr>
            <w:r>
              <w:rPr>
                <w:spacing w:val="-5"/>
                <w:sz w:val="18"/>
              </w:rPr>
              <w:t>950</w:t>
            </w:r>
          </w:p>
        </w:tc>
      </w:tr>
      <w:tr>
        <w:trPr>
          <w:trHeight w:val="299"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4"/>
              <w:ind w:left="107"/>
              <w:rPr>
                <w:sz w:val="18"/>
              </w:rPr>
            </w:pPr>
            <w:r>
              <w:rPr>
                <w:sz w:val="18"/>
              </w:rPr>
              <w:t>Sportsfield</w:t>
            </w:r>
            <w:r>
              <w:rPr>
                <w:spacing w:val="-5"/>
                <w:sz w:val="18"/>
              </w:rPr>
              <w:t> </w:t>
            </w:r>
            <w:r>
              <w:rPr>
                <w:sz w:val="18"/>
              </w:rPr>
              <w:t>Lighting</w:t>
            </w:r>
            <w:r>
              <w:rPr>
                <w:spacing w:val="-1"/>
                <w:sz w:val="18"/>
              </w:rPr>
              <w:t> </w:t>
            </w:r>
            <w:r>
              <w:rPr>
                <w:sz w:val="18"/>
              </w:rPr>
              <w:t>Improvement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44"/>
              <w:ind w:right="74"/>
              <w:jc w:val="right"/>
              <w:rPr>
                <w:sz w:val="18"/>
              </w:rPr>
            </w:pPr>
            <w:r>
              <w:rPr>
                <w:spacing w:val="-5"/>
                <w:sz w:val="18"/>
              </w:rPr>
              <w:t>180</w:t>
            </w:r>
          </w:p>
        </w:tc>
        <w:tc>
          <w:tcPr>
            <w:tcW w:w="1020" w:type="dxa"/>
            <w:tcBorders>
              <w:top w:val="dashSmallGap" w:sz="4" w:space="0" w:color="000000"/>
              <w:left w:val="nil"/>
              <w:bottom w:val="dashSmallGap" w:sz="4" w:space="0" w:color="000000"/>
              <w:right w:val="nil"/>
            </w:tcBorders>
          </w:tcPr>
          <w:p>
            <w:pPr>
              <w:pStyle w:val="TableParagraph"/>
              <w:spacing w:before="44"/>
              <w:ind w:right="90"/>
              <w:jc w:val="right"/>
              <w:rPr>
                <w:sz w:val="18"/>
              </w:rPr>
            </w:pPr>
            <w:r>
              <w:rPr>
                <w:spacing w:val="-5"/>
                <w:sz w:val="18"/>
              </w:rPr>
              <w:t>180</w:t>
            </w:r>
          </w:p>
        </w:tc>
        <w:tc>
          <w:tcPr>
            <w:tcW w:w="1022" w:type="dxa"/>
            <w:tcBorders>
              <w:top w:val="dashSmallGap" w:sz="4" w:space="0" w:color="000000"/>
              <w:left w:val="nil"/>
              <w:bottom w:val="dashSmallGap" w:sz="4" w:space="0" w:color="000000"/>
              <w:right w:val="nil"/>
            </w:tcBorders>
          </w:tcPr>
          <w:p>
            <w:pPr>
              <w:pStyle w:val="TableParagraph"/>
              <w:spacing w:before="1" w:after="1"/>
              <w:rPr>
                <w:b/>
                <w:sz w:val="9"/>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41" coordorigin="0,0" coordsize="10,116">
                  <v:shape style="position:absolute;left:0;top:0;width:10;height:116" id="docshape642"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43" coordorigin="0,0" coordsize="10,116">
                  <v:shape style="position:absolute;left:0;top:0;width:10;height:116" id="docshape644"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1" w:after="1"/>
              <w:rPr>
                <w:b/>
                <w:sz w:val="9"/>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645" coordorigin="0,0" coordsize="10,116">
                  <v:shape style="position:absolute;left:0;top:0;width:10;height:116" id="docshape646"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4"/>
              <w:ind w:right="88"/>
              <w:jc w:val="right"/>
              <w:rPr>
                <w:sz w:val="18"/>
              </w:rPr>
            </w:pPr>
            <w:r>
              <w:rPr>
                <w:spacing w:val="-5"/>
                <w:sz w:val="18"/>
              </w:rPr>
              <w:t>144</w:t>
            </w:r>
          </w:p>
        </w:tc>
        <w:tc>
          <w:tcPr>
            <w:tcW w:w="1022" w:type="dxa"/>
            <w:tcBorders>
              <w:top w:val="dashed" w:sz="4" w:space="0" w:color="000000"/>
              <w:left w:val="nil"/>
              <w:bottom w:val="dashed" w:sz="4" w:space="0" w:color="000000"/>
              <w:right w:val="nil"/>
            </w:tcBorders>
          </w:tcPr>
          <w:p>
            <w:pPr>
              <w:pStyle w:val="TableParagraph"/>
              <w:spacing w:before="44"/>
              <w:ind w:right="92"/>
              <w:jc w:val="right"/>
              <w:rPr>
                <w:sz w:val="18"/>
              </w:rPr>
            </w:pPr>
            <w:r>
              <w:rPr>
                <w:spacing w:val="-5"/>
                <w:sz w:val="18"/>
              </w:rPr>
              <w:t>36</w:t>
            </w:r>
          </w:p>
        </w:tc>
        <w:tc>
          <w:tcPr>
            <w:tcW w:w="1027" w:type="dxa"/>
            <w:tcBorders>
              <w:top w:val="dashed" w:sz="4" w:space="0" w:color="000000"/>
              <w:left w:val="nil"/>
              <w:bottom w:val="dashed" w:sz="4" w:space="0" w:color="000000"/>
              <w:right w:val="single" w:sz="12" w:space="0" w:color="000000"/>
            </w:tcBorders>
          </w:tcPr>
          <w:p>
            <w:pPr>
              <w:pStyle w:val="TableParagraph"/>
              <w:spacing w:before="1" w:after="1"/>
              <w:rPr>
                <w:b/>
                <w:sz w:val="9"/>
              </w:rPr>
            </w:pPr>
          </w:p>
          <w:p>
            <w:pPr>
              <w:pStyle w:val="TableParagraph"/>
              <w:spacing w:line="115" w:lineRule="exact"/>
              <w:ind w:left="-5"/>
              <w:rPr>
                <w:sz w:val="11"/>
              </w:rPr>
            </w:pPr>
            <w:r>
              <w:rPr>
                <w:position w:val="-1"/>
                <w:sz w:val="11"/>
              </w:rPr>
              <w:pict>
                <v:group style="width:.5pt;height:5.8pt;mso-position-horizontal-relative:char;mso-position-vertical-relative:line" id="docshapegroup647" coordorigin="0,0" coordsize="10,116">
                  <v:shape style="position:absolute;left:0;top:0;width:10;height:116" id="docshape648" coordorigin="0,0" coordsize="10,116" path="m10,77l0,77,0,115,10,115,10,77xm10,0l0,0,0,38,10,38,10,0xe" filled="true" fillcolor="#000000" stroked="false">
                    <v:path arrowok="t"/>
                    <v:fill type="solid"/>
                  </v:shape>
                </v:group>
              </w:pict>
            </w:r>
            <w:r>
              <w:rPr>
                <w:position w:val="-1"/>
                <w:sz w:val="11"/>
              </w:rPr>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4"/>
              <w:jc w:val="right"/>
              <w:rPr>
                <w:sz w:val="18"/>
              </w:rPr>
            </w:pPr>
            <w:r>
              <w:rPr>
                <w:spacing w:val="-5"/>
                <w:sz w:val="18"/>
              </w:rPr>
              <w:t>180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2"/>
              <w:jc w:val="right"/>
              <w:rPr>
                <w:sz w:val="18"/>
              </w:rPr>
            </w:pPr>
            <w:r>
              <w:rPr>
                <w:spacing w:val="-5"/>
                <w:sz w:val="18"/>
              </w:rPr>
              <w:t>180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44"/>
              <w:ind w:right="72"/>
              <w:jc w:val="right"/>
              <w:rPr>
                <w:sz w:val="18"/>
              </w:rPr>
            </w:pPr>
            <w:r>
              <w:rPr>
                <w:spacing w:val="-5"/>
                <w:sz w:val="18"/>
              </w:rPr>
              <w:t>200</w:t>
            </w:r>
          </w:p>
        </w:tc>
      </w:tr>
      <w:tr>
        <w:trPr>
          <w:trHeight w:val="302"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left="107"/>
              <w:rPr>
                <w:sz w:val="18"/>
              </w:rPr>
            </w:pPr>
            <w:r>
              <w:rPr>
                <w:sz w:val="18"/>
              </w:rPr>
              <w:t>Sportsfield</w:t>
            </w:r>
            <w:r>
              <w:rPr>
                <w:spacing w:val="-3"/>
                <w:sz w:val="18"/>
              </w:rPr>
              <w:t> </w:t>
            </w:r>
            <w:r>
              <w:rPr>
                <w:sz w:val="18"/>
              </w:rPr>
              <w:t>Irrigation</w:t>
            </w:r>
            <w:r>
              <w:rPr>
                <w:spacing w:val="-1"/>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47"/>
              <w:ind w:right="75"/>
              <w:jc w:val="right"/>
              <w:rPr>
                <w:sz w:val="18"/>
              </w:rPr>
            </w:pPr>
            <w:r>
              <w:rPr>
                <w:spacing w:val="-5"/>
                <w:sz w:val="18"/>
              </w:rPr>
              <w:t>90</w:t>
            </w:r>
          </w:p>
        </w:tc>
        <w:tc>
          <w:tcPr>
            <w:tcW w:w="1020" w:type="dxa"/>
            <w:tcBorders>
              <w:top w:val="dashSmallGap" w:sz="4" w:space="0" w:color="000000"/>
              <w:left w:val="nil"/>
              <w:bottom w:val="dashSmallGap" w:sz="4" w:space="0" w:color="000000"/>
              <w:right w:val="nil"/>
            </w:tcBorders>
          </w:tcPr>
          <w:p>
            <w:pPr>
              <w:pStyle w:val="TableParagraph"/>
              <w:spacing w:before="47"/>
              <w:ind w:right="90"/>
              <w:jc w:val="right"/>
              <w:rPr>
                <w:sz w:val="18"/>
              </w:rPr>
            </w:pPr>
            <w:r>
              <w:rPr>
                <w:spacing w:val="-5"/>
                <w:sz w:val="18"/>
              </w:rPr>
              <w:t>90</w:t>
            </w:r>
          </w:p>
        </w:tc>
        <w:tc>
          <w:tcPr>
            <w:tcW w:w="1022" w:type="dxa"/>
            <w:tcBorders>
              <w:top w:val="dashSmallGap" w:sz="4" w:space="0" w:color="000000"/>
              <w:left w:val="nil"/>
              <w:bottom w:val="dashSmallGap" w:sz="4" w:space="0" w:color="000000"/>
              <w:right w:val="nil"/>
            </w:tcBorders>
          </w:tcPr>
          <w:p>
            <w:pPr>
              <w:pStyle w:val="TableParagraph"/>
              <w:spacing w:before="11"/>
              <w:rPr>
                <w:b/>
                <w:sz w:val="8"/>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49" coordorigin="0,0" coordsize="10,116">
                  <v:shape style="position:absolute;left:0;top:0;width:10;height:116" id="docshape650"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51" coordorigin="0,0" coordsize="10,116">
                  <v:shape style="position:absolute;left:0;top:0;width:10;height:116" id="docshape652"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11"/>
              <w:rPr>
                <w:b/>
                <w:sz w:val="8"/>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653" coordorigin="0,0" coordsize="10,116">
                  <v:shape style="position:absolute;left:0;top:0;width:10;height:116" id="docshape654"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7"/>
              <w:ind w:right="90"/>
              <w:jc w:val="right"/>
              <w:rPr>
                <w:sz w:val="18"/>
              </w:rPr>
            </w:pPr>
            <w:r>
              <w:rPr>
                <w:spacing w:val="-5"/>
                <w:sz w:val="18"/>
              </w:rPr>
              <w:t>90</w:t>
            </w:r>
          </w:p>
        </w:tc>
        <w:tc>
          <w:tcPr>
            <w:tcW w:w="1022" w:type="dxa"/>
            <w:tcBorders>
              <w:top w:val="dashed" w:sz="4" w:space="0" w:color="000000"/>
              <w:left w:val="nil"/>
              <w:bottom w:val="dashed" w:sz="4" w:space="0" w:color="000000"/>
              <w:right w:val="nil"/>
            </w:tcBorders>
          </w:tcPr>
          <w:p>
            <w:pPr>
              <w:pStyle w:val="TableParagraph"/>
              <w:spacing w:before="11"/>
              <w:rPr>
                <w:b/>
                <w:sz w:val="8"/>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55" coordorigin="0,0" coordsize="10,116">
                  <v:shape style="position:absolute;left:0;top:0;width:10;height:116" id="docshape656"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57" coordorigin="0,0" coordsize="10,116">
                  <v:shape style="position:absolute;left:0;top:0;width:10;height:116" id="docshape658" coordorigin="0,0" coordsize="10,116" path="m10,77l0,77,0,115,10,115,10,77xm10,0l0,0,0,38,10,38,10,0xe" filled="true" fillcolor="#000000" stroked="false">
                    <v:path arrowok="t"/>
                    <v:fill type="solid"/>
                  </v:shape>
                </v:group>
              </w:pict>
            </w:r>
            <w:r>
              <w:rPr>
                <w:position w:val="-1"/>
                <w:sz w:val="11"/>
              </w:rPr>
            </w:r>
          </w:p>
        </w:tc>
        <w:tc>
          <w:tcPr>
            <w:tcW w:w="1027"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100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100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100</w:t>
            </w:r>
          </w:p>
        </w:tc>
      </w:tr>
      <w:tr>
        <w:trPr>
          <w:trHeight w:val="299"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left="107"/>
              <w:rPr>
                <w:sz w:val="18"/>
              </w:rPr>
            </w:pPr>
            <w:r>
              <w:rPr>
                <w:sz w:val="18"/>
              </w:rPr>
              <w:t>Golf</w:t>
            </w:r>
            <w:r>
              <w:rPr>
                <w:spacing w:val="-1"/>
                <w:sz w:val="18"/>
              </w:rPr>
              <w:t> </w:t>
            </w:r>
            <w:r>
              <w:rPr>
                <w:sz w:val="18"/>
              </w:rPr>
              <w:t>Course</w:t>
            </w:r>
            <w:r>
              <w:rPr>
                <w:spacing w:val="-1"/>
                <w:sz w:val="18"/>
              </w:rPr>
              <w:t> </w:t>
            </w:r>
            <w:r>
              <w:rPr>
                <w:sz w:val="18"/>
              </w:rPr>
              <w:t>Improvement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47"/>
              <w:ind w:right="75"/>
              <w:jc w:val="right"/>
              <w:rPr>
                <w:sz w:val="18"/>
              </w:rPr>
            </w:pPr>
            <w:r>
              <w:rPr>
                <w:spacing w:val="-5"/>
                <w:sz w:val="18"/>
              </w:rPr>
              <w:t>450</w:t>
            </w:r>
          </w:p>
        </w:tc>
        <w:tc>
          <w:tcPr>
            <w:tcW w:w="1020" w:type="dxa"/>
            <w:tcBorders>
              <w:top w:val="dashSmallGap" w:sz="4" w:space="0" w:color="000000"/>
              <w:left w:val="nil"/>
              <w:bottom w:val="dashSmallGap" w:sz="4" w:space="0" w:color="000000"/>
              <w:right w:val="nil"/>
            </w:tcBorders>
          </w:tcPr>
          <w:p>
            <w:pPr>
              <w:pStyle w:val="TableParagraph"/>
              <w:spacing w:before="47"/>
              <w:ind w:right="88"/>
              <w:jc w:val="right"/>
              <w:rPr>
                <w:sz w:val="18"/>
              </w:rPr>
            </w:pPr>
            <w:r>
              <w:rPr>
                <w:spacing w:val="-5"/>
                <w:sz w:val="18"/>
              </w:rPr>
              <w:t>450</w:t>
            </w:r>
          </w:p>
        </w:tc>
        <w:tc>
          <w:tcPr>
            <w:tcW w:w="1022" w:type="dxa"/>
            <w:tcBorders>
              <w:top w:val="dashSmallGap" w:sz="4" w:space="0" w:color="000000"/>
              <w:left w:val="nil"/>
              <w:bottom w:val="dashSmallGap" w:sz="4" w:space="0" w:color="000000"/>
              <w:right w:val="nil"/>
            </w:tcBorders>
          </w:tcPr>
          <w:p>
            <w:pPr>
              <w:pStyle w:val="TableParagraph"/>
              <w:spacing w:before="6"/>
              <w:rPr>
                <w:b/>
                <w:sz w:val="8"/>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659" coordorigin="0,0" coordsize="10,116">
                  <v:shape style="position:absolute;left:0;top:0;width:10;height:116" id="docshape660"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661" coordorigin="0,0" coordsize="10,116">
                  <v:shape style="position:absolute;left:0;top:0;width:10;height:116" id="docshape662"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6"/>
              <w:rPr>
                <w:b/>
                <w:sz w:val="8"/>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663" coordorigin="0,0" coordsize="10,116">
                  <v:shape style="position:absolute;left:0;top:0;width:10;height:116" id="docshape664"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7"/>
              <w:ind w:right="88"/>
              <w:jc w:val="right"/>
              <w:rPr>
                <w:sz w:val="18"/>
              </w:rPr>
            </w:pPr>
            <w:r>
              <w:rPr>
                <w:spacing w:val="-5"/>
                <w:sz w:val="18"/>
              </w:rPr>
              <w:t>219</w:t>
            </w:r>
          </w:p>
        </w:tc>
        <w:tc>
          <w:tcPr>
            <w:tcW w:w="1022" w:type="dxa"/>
            <w:tcBorders>
              <w:top w:val="dashed" w:sz="4" w:space="0" w:color="000000"/>
              <w:left w:val="nil"/>
              <w:bottom w:val="dashed" w:sz="4" w:space="0" w:color="000000"/>
              <w:right w:val="nil"/>
            </w:tcBorders>
          </w:tcPr>
          <w:p>
            <w:pPr>
              <w:pStyle w:val="TableParagraph"/>
              <w:spacing w:before="47"/>
              <w:ind w:right="91"/>
              <w:jc w:val="right"/>
              <w:rPr>
                <w:sz w:val="18"/>
              </w:rPr>
            </w:pPr>
            <w:r>
              <w:rPr>
                <w:spacing w:val="-5"/>
                <w:sz w:val="18"/>
              </w:rPr>
              <w:t>231</w:t>
            </w:r>
          </w:p>
        </w:tc>
        <w:tc>
          <w:tcPr>
            <w:tcW w:w="1027" w:type="dxa"/>
            <w:tcBorders>
              <w:top w:val="dashed" w:sz="4" w:space="0" w:color="000000"/>
              <w:left w:val="nil"/>
              <w:bottom w:val="dashed" w:sz="4" w:space="0" w:color="000000"/>
              <w:right w:val="single" w:sz="12" w:space="0" w:color="000000"/>
            </w:tcBorders>
          </w:tcPr>
          <w:p>
            <w:pPr>
              <w:pStyle w:val="TableParagraph"/>
              <w:spacing w:before="6"/>
              <w:rPr>
                <w:b/>
                <w:sz w:val="8"/>
              </w:rPr>
            </w:pPr>
          </w:p>
          <w:p>
            <w:pPr>
              <w:pStyle w:val="TableParagraph"/>
              <w:spacing w:line="115" w:lineRule="exact"/>
              <w:ind w:left="-5"/>
              <w:rPr>
                <w:sz w:val="11"/>
              </w:rPr>
            </w:pPr>
            <w:r>
              <w:rPr>
                <w:position w:val="-1"/>
                <w:sz w:val="11"/>
              </w:rPr>
              <w:pict>
                <v:group style="width:.5pt;height:5.8pt;mso-position-horizontal-relative:char;mso-position-vertical-relative:line" id="docshapegroup665" coordorigin="0,0" coordsize="10,116">
                  <v:shape style="position:absolute;left:0;top:0;width:10;height:116" id="docshape666" coordorigin="0,0" coordsize="10,116" path="m10,77l0,77,0,115,10,115,10,77xm10,0l0,0,0,38,10,38,10,0xe" filled="true" fillcolor="#000000" stroked="false">
                    <v:path arrowok="t"/>
                    <v:fill type="solid"/>
                  </v:shape>
                </v:group>
              </w:pict>
            </w:r>
            <w:r>
              <w:rPr>
                <w:position w:val="-1"/>
                <w:sz w:val="11"/>
              </w:rPr>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450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450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450</w:t>
            </w:r>
          </w:p>
        </w:tc>
      </w:tr>
      <w:tr>
        <w:trPr>
          <w:trHeight w:val="482"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35"/>
              <w:ind w:left="107"/>
              <w:rPr>
                <w:sz w:val="18"/>
              </w:rPr>
            </w:pPr>
            <w:r>
              <w:rPr>
                <w:sz w:val="18"/>
              </w:rPr>
              <w:t>Sport</w:t>
            </w:r>
            <w:r>
              <w:rPr>
                <w:spacing w:val="-9"/>
                <w:sz w:val="18"/>
              </w:rPr>
              <w:t> </w:t>
            </w:r>
            <w:r>
              <w:rPr>
                <w:sz w:val="18"/>
              </w:rPr>
              <w:t>and</w:t>
            </w:r>
            <w:r>
              <w:rPr>
                <w:spacing w:val="-8"/>
                <w:sz w:val="18"/>
              </w:rPr>
              <w:t> </w:t>
            </w:r>
            <w:r>
              <w:rPr>
                <w:sz w:val="18"/>
              </w:rPr>
              <w:t>Recreation</w:t>
            </w:r>
            <w:r>
              <w:rPr>
                <w:spacing w:val="-11"/>
                <w:sz w:val="18"/>
              </w:rPr>
              <w:t> </w:t>
            </w:r>
            <w:r>
              <w:rPr>
                <w:sz w:val="18"/>
              </w:rPr>
              <w:t>Infrastructure</w:t>
            </w:r>
            <w:r>
              <w:rPr>
                <w:spacing w:val="-11"/>
                <w:sz w:val="18"/>
              </w:rPr>
              <w:t> </w:t>
            </w:r>
            <w:r>
              <w:rPr>
                <w:sz w:val="18"/>
              </w:rPr>
              <w:t>Improvement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138"/>
              <w:ind w:right="75"/>
              <w:jc w:val="right"/>
              <w:rPr>
                <w:sz w:val="18"/>
              </w:rPr>
            </w:pPr>
            <w:r>
              <w:rPr>
                <w:spacing w:val="-5"/>
                <w:sz w:val="18"/>
              </w:rPr>
              <w:t>230</w:t>
            </w:r>
          </w:p>
        </w:tc>
        <w:tc>
          <w:tcPr>
            <w:tcW w:w="1020" w:type="dxa"/>
            <w:tcBorders>
              <w:top w:val="dashSmallGap" w:sz="4" w:space="0" w:color="000000"/>
              <w:left w:val="nil"/>
              <w:bottom w:val="dashed" w:sz="4" w:space="0" w:color="000000"/>
              <w:right w:val="nil"/>
            </w:tcBorders>
          </w:tcPr>
          <w:p>
            <w:pPr>
              <w:pStyle w:val="TableParagraph"/>
              <w:spacing w:before="138"/>
              <w:ind w:right="89"/>
              <w:jc w:val="right"/>
              <w:rPr>
                <w:sz w:val="18"/>
              </w:rPr>
            </w:pPr>
            <w:r>
              <w:rPr>
                <w:spacing w:val="-5"/>
                <w:sz w:val="18"/>
              </w:rPr>
              <w:t>230</w:t>
            </w:r>
          </w:p>
        </w:tc>
        <w:tc>
          <w:tcPr>
            <w:tcW w:w="1022" w:type="dxa"/>
            <w:tcBorders>
              <w:top w:val="dashSmallGap" w:sz="4" w:space="0" w:color="000000"/>
              <w:left w:val="nil"/>
              <w:bottom w:val="dashed" w:sz="4" w:space="0" w:color="000000"/>
              <w:right w:val="nil"/>
            </w:tcBorders>
          </w:tcPr>
          <w:p>
            <w:pPr>
              <w:pStyle w:val="TableParagraph"/>
              <w:spacing w:before="3"/>
              <w:rPr>
                <w:b/>
                <w:sz w:val="8"/>
              </w:rPr>
            </w:pPr>
          </w:p>
          <w:p>
            <w:pPr>
              <w:pStyle w:val="TableParagraph"/>
              <w:tabs>
                <w:tab w:pos="1032" w:val="left" w:leader="none"/>
              </w:tabs>
              <w:ind w:left="10" w:right="-87"/>
              <w:rPr>
                <w:sz w:val="20"/>
              </w:rPr>
            </w:pPr>
            <w:r>
              <w:rPr>
                <w:sz w:val="20"/>
              </w:rPr>
              <w:pict>
                <v:group style="width:.5pt;height:17.3pt;mso-position-horizontal-relative:char;mso-position-vertical-relative:line" id="docshapegroup667" coordorigin="0,0" coordsize="10,346">
                  <v:shape style="position:absolute;left:0;top:0;width:10;height:346" id="docshape668"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669" coordorigin="0,0" coordsize="10,346">
                  <v:shape style="position:absolute;left:0;top:0;width:10;height:346" id="docshape670"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ed" w:sz="4" w:space="0" w:color="000000"/>
              <w:right w:val="nil"/>
            </w:tcBorders>
          </w:tcPr>
          <w:p>
            <w:pPr>
              <w:pStyle w:val="TableParagraph"/>
              <w:spacing w:before="3"/>
              <w:rPr>
                <w:b/>
                <w:sz w:val="8"/>
              </w:rPr>
            </w:pPr>
          </w:p>
          <w:p>
            <w:pPr>
              <w:pStyle w:val="TableParagraph"/>
              <w:ind w:left="1030" w:right="-87"/>
              <w:rPr>
                <w:sz w:val="20"/>
              </w:rPr>
            </w:pPr>
            <w:r>
              <w:rPr>
                <w:sz w:val="20"/>
              </w:rPr>
              <w:pict>
                <v:group style="width:.5pt;height:17.3pt;mso-position-horizontal-relative:char;mso-position-vertical-relative:line" id="docshapegroup671" coordorigin="0,0" coordsize="10,346">
                  <v:shape style="position:absolute;left:0;top:0;width:10;height:346" id="docshape672"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ed" w:sz="4" w:space="0" w:color="000000"/>
              <w:right w:val="nil"/>
            </w:tcBorders>
          </w:tcPr>
          <w:p>
            <w:pPr>
              <w:pStyle w:val="TableParagraph"/>
              <w:spacing w:before="138"/>
              <w:ind w:right="89"/>
              <w:jc w:val="right"/>
              <w:rPr>
                <w:sz w:val="18"/>
              </w:rPr>
            </w:pPr>
            <w:r>
              <w:rPr>
                <w:spacing w:val="-5"/>
                <w:sz w:val="18"/>
              </w:rPr>
              <w:t>230</w:t>
            </w:r>
          </w:p>
        </w:tc>
        <w:tc>
          <w:tcPr>
            <w:tcW w:w="1022" w:type="dxa"/>
            <w:tcBorders>
              <w:top w:val="dashed" w:sz="4" w:space="0" w:color="000000"/>
              <w:left w:val="nil"/>
              <w:bottom w:val="dashed" w:sz="4" w:space="0" w:color="000000"/>
              <w:right w:val="nil"/>
            </w:tcBorders>
          </w:tcPr>
          <w:p>
            <w:pPr>
              <w:pStyle w:val="TableParagraph"/>
              <w:spacing w:before="3"/>
              <w:rPr>
                <w:b/>
                <w:sz w:val="8"/>
              </w:rPr>
            </w:pPr>
          </w:p>
          <w:p>
            <w:pPr>
              <w:pStyle w:val="TableParagraph"/>
              <w:tabs>
                <w:tab w:pos="1032" w:val="left" w:leader="none"/>
              </w:tabs>
              <w:ind w:left="10" w:right="-87"/>
              <w:rPr>
                <w:sz w:val="20"/>
              </w:rPr>
            </w:pPr>
            <w:r>
              <w:rPr>
                <w:sz w:val="20"/>
              </w:rPr>
              <w:pict>
                <v:group style="width:.5pt;height:17.3pt;mso-position-horizontal-relative:char;mso-position-vertical-relative:line" id="docshapegroup673" coordorigin="0,0" coordsize="10,346">
                  <v:shape style="position:absolute;left:0;top:0;width:10;height:346" id="docshape674"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675" coordorigin="0,0" coordsize="10,346">
                  <v:shape style="position:absolute;left:0;top:0;width:10;height:346" id="docshape676"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27"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4"/>
              <w:jc w:val="right"/>
              <w:rPr>
                <w:sz w:val="18"/>
              </w:rPr>
            </w:pPr>
            <w:r>
              <w:rPr>
                <w:spacing w:val="-5"/>
                <w:sz w:val="18"/>
              </w:rPr>
              <w:t>220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2"/>
              <w:jc w:val="right"/>
              <w:rPr>
                <w:sz w:val="18"/>
              </w:rPr>
            </w:pPr>
            <w:r>
              <w:rPr>
                <w:spacing w:val="-5"/>
                <w:sz w:val="18"/>
              </w:rPr>
              <w:t>220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138"/>
              <w:ind w:right="72"/>
              <w:jc w:val="right"/>
              <w:rPr>
                <w:sz w:val="18"/>
              </w:rPr>
            </w:pPr>
            <w:r>
              <w:rPr>
                <w:spacing w:val="-5"/>
                <w:sz w:val="18"/>
              </w:rPr>
              <w:t>230</w:t>
            </w:r>
          </w:p>
        </w:tc>
      </w:tr>
      <w:tr>
        <w:trPr>
          <w:trHeight w:val="301"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left="107"/>
              <w:rPr>
                <w:sz w:val="18"/>
              </w:rPr>
            </w:pPr>
            <w:r>
              <w:rPr>
                <w:sz w:val="18"/>
              </w:rPr>
              <w:t>Sports</w:t>
            </w:r>
            <w:r>
              <w:rPr>
                <w:spacing w:val="-2"/>
                <w:sz w:val="18"/>
              </w:rPr>
              <w:t> </w:t>
            </w:r>
            <w:r>
              <w:rPr>
                <w:sz w:val="18"/>
              </w:rPr>
              <w:t>Oval</w:t>
            </w:r>
            <w:r>
              <w:rPr>
                <w:spacing w:val="-2"/>
                <w:sz w:val="18"/>
              </w:rPr>
              <w:t> </w:t>
            </w:r>
            <w:r>
              <w:rPr>
                <w:sz w:val="18"/>
              </w:rPr>
              <w:t>Fence</w:t>
            </w:r>
            <w:r>
              <w:rPr>
                <w:spacing w:val="-2"/>
                <w:sz w:val="18"/>
              </w:rPr>
              <w:t> </w:t>
            </w:r>
            <w:r>
              <w:rPr>
                <w:sz w:val="18"/>
              </w:rPr>
              <w:t>Replacement </w:t>
            </w:r>
            <w:r>
              <w:rPr>
                <w:spacing w:val="-2"/>
                <w:sz w:val="18"/>
              </w:rPr>
              <w:t>(ongoing)</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47"/>
              <w:ind w:right="75"/>
              <w:jc w:val="right"/>
              <w:rPr>
                <w:sz w:val="18"/>
              </w:rPr>
            </w:pPr>
            <w:r>
              <w:rPr>
                <w:spacing w:val="-5"/>
                <w:sz w:val="18"/>
              </w:rPr>
              <w:t>85</w:t>
            </w:r>
          </w:p>
        </w:tc>
        <w:tc>
          <w:tcPr>
            <w:tcW w:w="1020" w:type="dxa"/>
            <w:tcBorders>
              <w:top w:val="dashed" w:sz="4" w:space="0" w:color="000000"/>
              <w:left w:val="nil"/>
              <w:bottom w:val="dashed" w:sz="4" w:space="0" w:color="000000"/>
              <w:right w:val="nil"/>
            </w:tcBorders>
          </w:tcPr>
          <w:p>
            <w:pPr>
              <w:pStyle w:val="TableParagraph"/>
              <w:spacing w:before="47"/>
              <w:ind w:right="90"/>
              <w:jc w:val="right"/>
              <w:rPr>
                <w:sz w:val="18"/>
              </w:rPr>
            </w:pPr>
            <w:r>
              <w:rPr>
                <w:spacing w:val="-5"/>
                <w:sz w:val="18"/>
              </w:rPr>
              <w:t>85</w:t>
            </w:r>
          </w:p>
        </w:tc>
        <w:tc>
          <w:tcPr>
            <w:tcW w:w="1022" w:type="dxa"/>
            <w:tcBorders>
              <w:top w:val="dashed" w:sz="4" w:space="0" w:color="000000"/>
              <w:left w:val="nil"/>
              <w:bottom w:val="dashed" w:sz="4" w:space="0" w:color="000000"/>
              <w:right w:val="nil"/>
            </w:tcBorders>
          </w:tcPr>
          <w:p>
            <w:pPr>
              <w:pStyle w:val="TableParagraph"/>
              <w:spacing w:before="7"/>
              <w:rPr>
                <w:b/>
                <w:sz w:val="5"/>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677" coordorigin="0,0" coordsize="10,192">
                  <v:shape style="position:absolute;left:0;top:0;width:10;height:193" id="docshape678"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679" coordorigin="0,0" coordsize="10,192">
                  <v:shape style="position:absolute;left:0;top:0;width:10;height:193" id="docshape680"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681" coordorigin="0,0" coordsize="10,192">
                  <v:shape style="position:absolute;left:0;top:0;width:10;height:193" id="docshape682"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47"/>
              <w:ind w:right="90"/>
              <w:jc w:val="right"/>
              <w:rPr>
                <w:sz w:val="18"/>
              </w:rPr>
            </w:pPr>
            <w:r>
              <w:rPr>
                <w:spacing w:val="-5"/>
                <w:sz w:val="18"/>
              </w:rPr>
              <w:t>85</w:t>
            </w:r>
          </w:p>
        </w:tc>
        <w:tc>
          <w:tcPr>
            <w:tcW w:w="1022" w:type="dxa"/>
            <w:tcBorders>
              <w:top w:val="dashed" w:sz="4" w:space="0" w:color="000000"/>
              <w:left w:val="nil"/>
              <w:bottom w:val="dashed" w:sz="4" w:space="0" w:color="000000"/>
              <w:right w:val="nil"/>
            </w:tcBorders>
          </w:tcPr>
          <w:p>
            <w:pPr>
              <w:pStyle w:val="TableParagraph"/>
              <w:spacing w:before="7"/>
              <w:rPr>
                <w:b/>
                <w:sz w:val="5"/>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683" coordorigin="0,0" coordsize="10,192">
                  <v:shape style="position:absolute;left:0;top:0;width:10;height:193" id="docshape684"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685" coordorigin="0,0" coordsize="10,192">
                  <v:shape style="position:absolute;left:0;top:0;width:10;height:193" id="docshape686" coordorigin="0,0" coordsize="10,193" path="m10,154l0,154,0,192,10,192,10,154xm10,77l0,77,0,115,10,115,10,77xm10,0l0,0,0,38,10,38,10,0xe" filled="true" fillcolor="#000000" stroked="false">
                    <v:path arrowok="t"/>
                    <v:fill type="solid"/>
                  </v:shape>
                </v:group>
              </w:pict>
            </w:r>
            <w:r>
              <w:rPr>
                <w:position w:val="-3"/>
                <w:sz w:val="19"/>
              </w:rPr>
            </w:r>
          </w:p>
        </w:tc>
        <w:tc>
          <w:tcPr>
            <w:tcW w:w="1027"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85</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3"/>
              <w:jc w:val="right"/>
              <w:rPr>
                <w:sz w:val="18"/>
              </w:rPr>
            </w:pPr>
            <w:r>
              <w:rPr>
                <w:spacing w:val="-5"/>
                <w:sz w:val="18"/>
              </w:rPr>
              <w:t>90</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2"/>
              <w:jc w:val="right"/>
              <w:rPr>
                <w:sz w:val="18"/>
              </w:rPr>
            </w:pPr>
            <w:r>
              <w:rPr>
                <w:spacing w:val="-5"/>
                <w:sz w:val="18"/>
              </w:rPr>
              <w:t>100</w:t>
            </w:r>
          </w:p>
        </w:tc>
      </w:tr>
      <w:tr>
        <w:trPr>
          <w:trHeight w:val="302"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7"/>
              <w:ind w:left="107"/>
              <w:rPr>
                <w:sz w:val="18"/>
              </w:rPr>
            </w:pPr>
            <w:r>
              <w:rPr>
                <w:sz w:val="18"/>
              </w:rPr>
              <w:t>Bedford</w:t>
            </w:r>
            <w:r>
              <w:rPr>
                <w:spacing w:val="-3"/>
                <w:sz w:val="18"/>
              </w:rPr>
              <w:t> </w:t>
            </w:r>
            <w:r>
              <w:rPr>
                <w:sz w:val="18"/>
              </w:rPr>
              <w:t>Park</w:t>
            </w:r>
            <w:r>
              <w:rPr>
                <w:spacing w:val="-2"/>
                <w:sz w:val="18"/>
              </w:rPr>
              <w:t> </w:t>
            </w:r>
            <w:r>
              <w:rPr>
                <w:sz w:val="18"/>
              </w:rPr>
              <w:t>Advisory</w:t>
            </w:r>
            <w:r>
              <w:rPr>
                <w:spacing w:val="-1"/>
                <w:sz w:val="18"/>
              </w:rPr>
              <w:t> </w:t>
            </w:r>
            <w:r>
              <w:rPr>
                <w:sz w:val="18"/>
              </w:rPr>
              <w:t>Group</w:t>
            </w:r>
            <w:r>
              <w:rPr>
                <w:spacing w:val="-4"/>
                <w:sz w:val="18"/>
              </w:rPr>
              <w:t> </w:t>
            </w:r>
            <w:r>
              <w:rPr>
                <w:spacing w:val="-2"/>
                <w:sz w:val="18"/>
              </w:rPr>
              <w:t>Project</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47"/>
              <w:ind w:right="74"/>
              <w:jc w:val="right"/>
              <w:rPr>
                <w:sz w:val="18"/>
              </w:rPr>
            </w:pPr>
            <w:r>
              <w:rPr>
                <w:spacing w:val="-5"/>
                <w:sz w:val="18"/>
              </w:rPr>
              <w:t>36</w:t>
            </w:r>
          </w:p>
        </w:tc>
        <w:tc>
          <w:tcPr>
            <w:tcW w:w="1020" w:type="dxa"/>
            <w:tcBorders>
              <w:top w:val="dashed" w:sz="4" w:space="0" w:color="000000"/>
              <w:left w:val="nil"/>
              <w:bottom w:val="dashed" w:sz="4" w:space="0" w:color="000000"/>
              <w:right w:val="nil"/>
            </w:tcBorders>
          </w:tcPr>
          <w:p>
            <w:pPr>
              <w:pStyle w:val="TableParagraph"/>
              <w:spacing w:before="2"/>
              <w:rPr>
                <w:b/>
                <w:sz w:val="5"/>
              </w:rPr>
            </w:pPr>
          </w:p>
          <w:p>
            <w:pPr>
              <w:pStyle w:val="TableParagraph"/>
              <w:tabs>
                <w:tab w:pos="1030" w:val="left" w:leader="none"/>
              </w:tabs>
              <w:spacing w:line="192" w:lineRule="exact"/>
              <w:ind w:left="10" w:right="-87"/>
              <w:rPr>
                <w:sz w:val="19"/>
              </w:rPr>
            </w:pPr>
            <w:r>
              <w:rPr>
                <w:position w:val="-3"/>
                <w:sz w:val="19"/>
              </w:rPr>
              <w:pict>
                <v:group style="width:.5pt;height:9.6pt;mso-position-horizontal-relative:char;mso-position-vertical-relative:line" id="docshapegroup687" coordorigin="0,0" coordsize="10,192">
                  <v:shape style="position:absolute;left:0;top:0;width:10;height:192" id="docshape688"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689" coordorigin="0,0" coordsize="10,192">
                  <v:shape style="position:absolute;left:0;top:0;width:10;height:192" id="docshape690" coordorigin="0,0" coordsize="10,192"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spacing w:before="2"/>
              <w:rPr>
                <w:b/>
                <w:sz w:val="5"/>
              </w:rPr>
            </w:pPr>
          </w:p>
          <w:p>
            <w:pPr>
              <w:pStyle w:val="TableParagraph"/>
              <w:spacing w:line="192" w:lineRule="exact"/>
              <w:ind w:left="1032" w:right="-87"/>
              <w:rPr>
                <w:sz w:val="19"/>
              </w:rPr>
            </w:pPr>
            <w:r>
              <w:rPr>
                <w:position w:val="-3"/>
                <w:sz w:val="19"/>
              </w:rPr>
              <w:pict>
                <v:group style="width:.5pt;height:9.6pt;mso-position-horizontal-relative:char;mso-position-vertical-relative:line" id="docshapegroup691" coordorigin="0,0" coordsize="10,192">
                  <v:shape style="position:absolute;left:0;top:0;width:10;height:192" id="docshape692"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47"/>
              <w:ind w:right="91"/>
              <w:jc w:val="right"/>
              <w:rPr>
                <w:sz w:val="18"/>
              </w:rPr>
            </w:pPr>
            <w:r>
              <w:rPr>
                <w:spacing w:val="-5"/>
                <w:sz w:val="18"/>
              </w:rPr>
              <w:t>36</w:t>
            </w:r>
          </w:p>
        </w:tc>
        <w:tc>
          <w:tcPr>
            <w:tcW w:w="1020" w:type="dxa"/>
            <w:tcBorders>
              <w:top w:val="dashed" w:sz="4" w:space="0" w:color="000000"/>
              <w:left w:val="nil"/>
              <w:bottom w:val="dashed" w:sz="4" w:space="0" w:color="000000"/>
              <w:right w:val="nil"/>
            </w:tcBorders>
          </w:tcPr>
          <w:p>
            <w:pPr>
              <w:pStyle w:val="TableParagraph"/>
              <w:spacing w:before="47"/>
              <w:ind w:right="89"/>
              <w:jc w:val="right"/>
              <w:rPr>
                <w:sz w:val="18"/>
              </w:rPr>
            </w:pPr>
            <w:r>
              <w:rPr>
                <w:spacing w:val="-5"/>
                <w:sz w:val="18"/>
              </w:rPr>
              <w:t>36</w:t>
            </w:r>
          </w:p>
        </w:tc>
        <w:tc>
          <w:tcPr>
            <w:tcW w:w="1022" w:type="dxa"/>
            <w:tcBorders>
              <w:top w:val="dashed" w:sz="4" w:space="0" w:color="000000"/>
              <w:left w:val="nil"/>
              <w:bottom w:val="dashed" w:sz="4" w:space="0" w:color="000000"/>
              <w:right w:val="nil"/>
            </w:tcBorders>
          </w:tcPr>
          <w:p>
            <w:pPr>
              <w:pStyle w:val="TableParagraph"/>
              <w:spacing w:before="2"/>
              <w:rPr>
                <w:b/>
                <w:sz w:val="5"/>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693" coordorigin="0,0" coordsize="10,192">
                  <v:shape style="position:absolute;left:0;top:0;width:10;height:192" id="docshape694"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695" coordorigin="0,0" coordsize="10,192">
                  <v:shape style="position:absolute;left:0;top:0;width:10;height:192" id="docshape696" coordorigin="0,0" coordsize="10,192" path="m10,154l0,154,0,192,10,192,10,154xm10,77l0,77,0,115,10,115,10,77xm10,0l0,0,0,38,10,38,10,0xe" filled="true" fillcolor="#000000" stroked="false">
                    <v:path arrowok="t"/>
                    <v:fill type="solid"/>
                  </v:shape>
                </v:group>
              </w:pict>
            </w:r>
            <w:r>
              <w:rPr>
                <w:position w:val="-3"/>
                <w:sz w:val="19"/>
              </w:rPr>
            </w:r>
          </w:p>
        </w:tc>
        <w:tc>
          <w:tcPr>
            <w:tcW w:w="1027" w:type="dxa"/>
            <w:tcBorders>
              <w:top w:val="dashed" w:sz="4" w:space="0" w:color="000000"/>
              <w:left w:val="nil"/>
              <w:bottom w:val="dashed"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4"/>
              <w:jc w:val="right"/>
              <w:rPr>
                <w:sz w:val="18"/>
              </w:rPr>
            </w:pPr>
            <w:r>
              <w:rPr>
                <w:spacing w:val="-5"/>
                <w:sz w:val="18"/>
              </w:rPr>
              <w:t>36</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3"/>
              <w:jc w:val="right"/>
              <w:rPr>
                <w:sz w:val="18"/>
              </w:rPr>
            </w:pPr>
            <w:r>
              <w:rPr>
                <w:spacing w:val="-5"/>
                <w:sz w:val="18"/>
              </w:rPr>
              <w:t>36</w:t>
            </w:r>
          </w:p>
        </w:tc>
        <w:tc>
          <w:tcPr>
            <w:tcW w:w="1243" w:type="dxa"/>
            <w:tcBorders>
              <w:top w:val="dashed" w:sz="4" w:space="0" w:color="000000"/>
              <w:left w:val="single" w:sz="12" w:space="0" w:color="000000"/>
              <w:bottom w:val="dashed" w:sz="4" w:space="0" w:color="000000"/>
              <w:right w:val="single" w:sz="12" w:space="0" w:color="000000"/>
            </w:tcBorders>
          </w:tcPr>
          <w:p>
            <w:pPr>
              <w:pStyle w:val="TableParagraph"/>
              <w:spacing w:before="47"/>
              <w:ind w:right="71"/>
              <w:jc w:val="right"/>
              <w:rPr>
                <w:sz w:val="18"/>
              </w:rPr>
            </w:pPr>
            <w:r>
              <w:rPr>
                <w:spacing w:val="-5"/>
                <w:sz w:val="18"/>
              </w:rPr>
              <w:t>36</w:t>
            </w:r>
          </w:p>
        </w:tc>
      </w:tr>
      <w:tr>
        <w:trPr>
          <w:trHeight w:val="721" w:hRule="atLeast"/>
        </w:trPr>
        <w:tc>
          <w:tcPr>
            <w:tcW w:w="4291" w:type="dxa"/>
            <w:tcBorders>
              <w:top w:val="dashSmallGap" w:sz="4" w:space="0" w:color="000000"/>
              <w:left w:val="single" w:sz="12" w:space="0" w:color="000000"/>
              <w:bottom w:val="single" w:sz="12" w:space="0" w:color="000000"/>
              <w:right w:val="single" w:sz="12" w:space="0" w:color="000000"/>
            </w:tcBorders>
          </w:tcPr>
          <w:p>
            <w:pPr>
              <w:pStyle w:val="TableParagraph"/>
              <w:spacing w:line="250" w:lineRule="atLeast" w:before="196"/>
              <w:ind w:left="107" w:right="110"/>
              <w:rPr>
                <w:b/>
                <w:sz w:val="22"/>
              </w:rPr>
            </w:pPr>
            <w:r>
              <w:rPr>
                <w:b/>
                <w:sz w:val="22"/>
              </w:rPr>
              <w:t>TOTAL</w:t>
            </w:r>
            <w:r>
              <w:rPr>
                <w:b/>
                <w:spacing w:val="-16"/>
                <w:sz w:val="22"/>
              </w:rPr>
              <w:t> </w:t>
            </w:r>
            <w:r>
              <w:rPr>
                <w:b/>
                <w:sz w:val="22"/>
              </w:rPr>
              <w:t>RECREATIONAL,</w:t>
            </w:r>
            <w:r>
              <w:rPr>
                <w:b/>
                <w:spacing w:val="-15"/>
                <w:sz w:val="22"/>
              </w:rPr>
              <w:t> </w:t>
            </w:r>
            <w:r>
              <w:rPr>
                <w:b/>
                <w:sz w:val="22"/>
              </w:rPr>
              <w:t>LEISURE AND COMMUNITY FACILITIES</w:t>
            </w:r>
          </w:p>
        </w:tc>
        <w:tc>
          <w:tcPr>
            <w:tcW w:w="1207" w:type="dxa"/>
            <w:tcBorders>
              <w:top w:val="dashSmallGap" w:sz="4" w:space="0" w:color="000000"/>
              <w:left w:val="single" w:sz="12" w:space="0" w:color="000000"/>
              <w:bottom w:val="single" w:sz="12" w:space="0" w:color="000000"/>
              <w:right w:val="nil"/>
            </w:tcBorders>
          </w:tcPr>
          <w:p>
            <w:pPr>
              <w:pStyle w:val="TableParagraph"/>
              <w:spacing w:before="2"/>
              <w:rPr>
                <w:b/>
                <w:sz w:val="22"/>
              </w:rPr>
            </w:pPr>
          </w:p>
          <w:p>
            <w:pPr>
              <w:pStyle w:val="TableParagraph"/>
              <w:ind w:right="74"/>
              <w:jc w:val="right"/>
              <w:rPr>
                <w:b/>
                <w:sz w:val="18"/>
              </w:rPr>
            </w:pPr>
            <w:r>
              <w:rPr>
                <w:b/>
                <w:spacing w:val="-2"/>
                <w:sz w:val="18"/>
              </w:rPr>
              <w:t>1,971</w:t>
            </w:r>
          </w:p>
        </w:tc>
        <w:tc>
          <w:tcPr>
            <w:tcW w:w="1020" w:type="dxa"/>
            <w:tcBorders>
              <w:top w:val="dashed" w:sz="4" w:space="0" w:color="000000"/>
              <w:left w:val="nil"/>
              <w:bottom w:val="single" w:sz="12" w:space="0" w:color="000000"/>
              <w:right w:val="nil"/>
            </w:tcBorders>
          </w:tcPr>
          <w:p>
            <w:pPr>
              <w:pStyle w:val="TableParagraph"/>
              <w:spacing w:before="2"/>
              <w:rPr>
                <w:b/>
                <w:sz w:val="22"/>
              </w:rPr>
            </w:pPr>
          </w:p>
          <w:p>
            <w:pPr>
              <w:pStyle w:val="TableParagraph"/>
              <w:ind w:right="88"/>
              <w:jc w:val="right"/>
              <w:rPr>
                <w:b/>
                <w:sz w:val="18"/>
              </w:rPr>
            </w:pPr>
            <w:r>
              <w:rPr>
                <w:b/>
                <w:spacing w:val="-2"/>
                <w:sz w:val="18"/>
              </w:rPr>
              <w:t>1,935</w:t>
            </w:r>
          </w:p>
        </w:tc>
        <w:tc>
          <w:tcPr>
            <w:tcW w:w="1022" w:type="dxa"/>
            <w:tcBorders>
              <w:top w:val="dashed" w:sz="4" w:space="0" w:color="000000"/>
              <w:left w:val="nil"/>
              <w:bottom w:val="single" w:sz="12" w:space="0" w:color="000000"/>
              <w:right w:val="nil"/>
            </w:tcBorders>
          </w:tcPr>
          <w:p>
            <w:pPr>
              <w:pStyle w:val="TableParagraph"/>
              <w:spacing w:before="2"/>
              <w:rPr>
                <w:b/>
                <w:sz w:val="22"/>
              </w:rPr>
            </w:pPr>
          </w:p>
          <w:p>
            <w:pPr>
              <w:pStyle w:val="TableParagraph"/>
              <w:ind w:right="93"/>
              <w:jc w:val="right"/>
              <w:rPr>
                <w:b/>
                <w:sz w:val="18"/>
              </w:rPr>
            </w:pPr>
            <w:r>
              <w:rPr>
                <w:b/>
                <w:sz w:val="18"/>
              </w:rPr>
              <w:t>0</w:t>
            </w:r>
          </w:p>
        </w:tc>
        <w:tc>
          <w:tcPr>
            <w:tcW w:w="1020" w:type="dxa"/>
            <w:tcBorders>
              <w:top w:val="dashed" w:sz="4" w:space="0" w:color="000000"/>
              <w:left w:val="nil"/>
              <w:bottom w:val="single" w:sz="12" w:space="0" w:color="000000"/>
              <w:right w:val="nil"/>
            </w:tcBorders>
          </w:tcPr>
          <w:p>
            <w:pPr>
              <w:pStyle w:val="TableParagraph"/>
              <w:spacing w:before="2"/>
              <w:rPr>
                <w:b/>
                <w:sz w:val="22"/>
              </w:rPr>
            </w:pPr>
          </w:p>
          <w:p>
            <w:pPr>
              <w:pStyle w:val="TableParagraph"/>
              <w:ind w:right="92"/>
              <w:jc w:val="right"/>
              <w:rPr>
                <w:b/>
                <w:sz w:val="18"/>
              </w:rPr>
            </w:pPr>
            <w:r>
              <w:rPr>
                <w:b/>
                <w:spacing w:val="-5"/>
                <w:sz w:val="18"/>
              </w:rPr>
              <w:t>36</w:t>
            </w:r>
          </w:p>
        </w:tc>
        <w:tc>
          <w:tcPr>
            <w:tcW w:w="1020" w:type="dxa"/>
            <w:tcBorders>
              <w:top w:val="dashed" w:sz="4" w:space="0" w:color="000000"/>
              <w:left w:val="nil"/>
              <w:bottom w:val="single" w:sz="12" w:space="0" w:color="000000"/>
              <w:right w:val="nil"/>
            </w:tcBorders>
          </w:tcPr>
          <w:p>
            <w:pPr>
              <w:pStyle w:val="TableParagraph"/>
              <w:spacing w:before="2"/>
              <w:rPr>
                <w:b/>
                <w:sz w:val="22"/>
              </w:rPr>
            </w:pPr>
          </w:p>
          <w:p>
            <w:pPr>
              <w:pStyle w:val="TableParagraph"/>
              <w:ind w:right="88"/>
              <w:jc w:val="right"/>
              <w:rPr>
                <w:b/>
                <w:sz w:val="18"/>
              </w:rPr>
            </w:pPr>
            <w:r>
              <w:rPr>
                <w:b/>
                <w:spacing w:val="-2"/>
                <w:sz w:val="18"/>
              </w:rPr>
              <w:t>1,704</w:t>
            </w:r>
          </w:p>
        </w:tc>
        <w:tc>
          <w:tcPr>
            <w:tcW w:w="1022" w:type="dxa"/>
            <w:tcBorders>
              <w:top w:val="dashed" w:sz="4" w:space="0" w:color="000000"/>
              <w:left w:val="nil"/>
              <w:bottom w:val="single" w:sz="12" w:space="0" w:color="000000"/>
              <w:right w:val="nil"/>
            </w:tcBorders>
          </w:tcPr>
          <w:p>
            <w:pPr>
              <w:pStyle w:val="TableParagraph"/>
              <w:spacing w:before="2"/>
              <w:rPr>
                <w:b/>
                <w:sz w:val="22"/>
              </w:rPr>
            </w:pPr>
          </w:p>
          <w:p>
            <w:pPr>
              <w:pStyle w:val="TableParagraph"/>
              <w:ind w:right="90"/>
              <w:jc w:val="right"/>
              <w:rPr>
                <w:b/>
                <w:sz w:val="18"/>
              </w:rPr>
            </w:pPr>
            <w:r>
              <w:rPr>
                <w:b/>
                <w:spacing w:val="-5"/>
                <w:sz w:val="18"/>
              </w:rPr>
              <w:t>267</w:t>
            </w:r>
          </w:p>
        </w:tc>
        <w:tc>
          <w:tcPr>
            <w:tcW w:w="1027" w:type="dxa"/>
            <w:tcBorders>
              <w:top w:val="dashed" w:sz="4" w:space="0" w:color="000000"/>
              <w:left w:val="nil"/>
              <w:bottom w:val="single" w:sz="12" w:space="0" w:color="000000"/>
              <w:right w:val="single" w:sz="12" w:space="0" w:color="000000"/>
            </w:tcBorders>
          </w:tcPr>
          <w:p>
            <w:pPr>
              <w:pStyle w:val="TableParagraph"/>
              <w:spacing w:before="2"/>
              <w:rPr>
                <w:b/>
                <w:sz w:val="22"/>
              </w:rPr>
            </w:pPr>
          </w:p>
          <w:p>
            <w:pPr>
              <w:pStyle w:val="TableParagraph"/>
              <w:ind w:right="75"/>
              <w:jc w:val="right"/>
              <w:rPr>
                <w:b/>
                <w:sz w:val="18"/>
              </w:rPr>
            </w:pPr>
            <w:r>
              <w:rPr>
                <w:b/>
                <w:sz w:val="18"/>
              </w:rPr>
              <w:t>0</w:t>
            </w:r>
          </w:p>
        </w:tc>
        <w:tc>
          <w:tcPr>
            <w:tcW w:w="1248" w:type="dxa"/>
            <w:tcBorders>
              <w:top w:val="dashed" w:sz="4" w:space="0" w:color="000000"/>
              <w:left w:val="single" w:sz="12" w:space="0" w:color="000000"/>
              <w:bottom w:val="single" w:sz="12" w:space="0" w:color="000000"/>
              <w:right w:val="single" w:sz="12" w:space="0" w:color="000000"/>
            </w:tcBorders>
          </w:tcPr>
          <w:p>
            <w:pPr>
              <w:pStyle w:val="TableParagraph"/>
              <w:spacing w:before="2"/>
              <w:rPr>
                <w:b/>
                <w:sz w:val="22"/>
              </w:rPr>
            </w:pPr>
          </w:p>
          <w:p>
            <w:pPr>
              <w:pStyle w:val="TableParagraph"/>
              <w:ind w:right="73"/>
              <w:jc w:val="right"/>
              <w:rPr>
                <w:b/>
                <w:sz w:val="18"/>
              </w:rPr>
            </w:pPr>
            <w:r>
              <w:rPr>
                <w:b/>
                <w:spacing w:val="-2"/>
                <w:sz w:val="18"/>
              </w:rPr>
              <w:t>1,971</w:t>
            </w:r>
          </w:p>
        </w:tc>
        <w:tc>
          <w:tcPr>
            <w:tcW w:w="1248" w:type="dxa"/>
            <w:tcBorders>
              <w:top w:val="dashed" w:sz="4" w:space="0" w:color="000000"/>
              <w:left w:val="single" w:sz="12" w:space="0" w:color="000000"/>
              <w:bottom w:val="single" w:sz="12" w:space="0" w:color="000000"/>
              <w:right w:val="single" w:sz="12" w:space="0" w:color="000000"/>
            </w:tcBorders>
          </w:tcPr>
          <w:p>
            <w:pPr>
              <w:pStyle w:val="TableParagraph"/>
              <w:spacing w:before="2"/>
              <w:rPr>
                <w:b/>
                <w:sz w:val="22"/>
              </w:rPr>
            </w:pPr>
          </w:p>
          <w:p>
            <w:pPr>
              <w:pStyle w:val="TableParagraph"/>
              <w:ind w:right="74"/>
              <w:jc w:val="right"/>
              <w:rPr>
                <w:b/>
                <w:sz w:val="18"/>
              </w:rPr>
            </w:pPr>
            <w:r>
              <w:rPr>
                <w:b/>
                <w:spacing w:val="-2"/>
                <w:sz w:val="18"/>
              </w:rPr>
              <w:t>2,006</w:t>
            </w:r>
          </w:p>
        </w:tc>
        <w:tc>
          <w:tcPr>
            <w:tcW w:w="1243" w:type="dxa"/>
            <w:tcBorders>
              <w:top w:val="dashed" w:sz="4" w:space="0" w:color="000000"/>
              <w:left w:val="single" w:sz="12" w:space="0" w:color="000000"/>
              <w:bottom w:val="single" w:sz="12" w:space="0" w:color="000000"/>
              <w:right w:val="single" w:sz="12" w:space="0" w:color="000000"/>
            </w:tcBorders>
          </w:tcPr>
          <w:p>
            <w:pPr>
              <w:pStyle w:val="TableParagraph"/>
              <w:spacing w:before="2"/>
              <w:rPr>
                <w:b/>
                <w:sz w:val="22"/>
              </w:rPr>
            </w:pPr>
          </w:p>
          <w:p>
            <w:pPr>
              <w:pStyle w:val="TableParagraph"/>
              <w:ind w:right="70"/>
              <w:jc w:val="right"/>
              <w:rPr>
                <w:b/>
                <w:sz w:val="18"/>
              </w:rPr>
            </w:pPr>
            <w:r>
              <w:rPr>
                <w:b/>
                <w:spacing w:val="-2"/>
                <w:sz w:val="18"/>
              </w:rPr>
              <w:t>2,066</w:t>
            </w:r>
          </w:p>
        </w:tc>
      </w:tr>
    </w:tbl>
    <w:p>
      <w:pPr>
        <w:rPr>
          <w:sz w:val="2"/>
          <w:szCs w:val="2"/>
        </w:rPr>
      </w:pPr>
      <w:r>
        <w:rPr/>
        <w:pict>
          <v:shape style="position:absolute;margin-left:311.400024pt;margin-top:211.200989pt;width:.5pt;height:5.8pt;mso-position-horizontal-relative:page;mso-position-vertical-relative:page;z-index:-37865472" id="docshape697" coordorigin="6228,4224" coordsize="10,116" path="m6238,4301l6228,4301,6228,4339,6238,4339,6238,4301xm6238,4224l6228,4224,6228,4262,6238,4262,6238,4224xe" filled="true" fillcolor="#000000" stroked="false">
            <v:path arrowok="t"/>
            <v:fill type="solid"/>
            <w10:wrap type="none"/>
          </v:shape>
        </w:pict>
      </w:r>
      <w:r>
        <w:rPr/>
        <w:pict>
          <v:shape style="position:absolute;margin-left:311.400024pt;margin-top:226.559982pt;width:.5pt;height:5.8pt;mso-position-horizontal-relative:page;mso-position-vertical-relative:page;z-index:-37864960" id="docshape698" coordorigin="6228,4531" coordsize="10,116" path="m6238,4608l6228,4608,6228,4646,6238,4646,6238,4608xm6238,4531l6228,4531,6228,4570,6238,4570,6238,4531xe" filled="true" fillcolor="#000000" stroked="false">
            <v:path arrowok="t"/>
            <v:fill type="solid"/>
            <w10:wrap type="none"/>
          </v:shape>
        </w:pict>
      </w:r>
      <w:r>
        <w:rPr/>
        <w:pict>
          <v:shape style="position:absolute;margin-left:515.520020pt;margin-top:226.559982pt;width:.5pt;height:5.8pt;mso-position-horizontal-relative:page;mso-position-vertical-relative:page;z-index:-37864448" id="docshape699" coordorigin="10310,4531" coordsize="10,116" path="m10320,4608l10310,4608,10310,4646,10320,4646,10320,4608xm10320,4531l10310,4531,10310,4570,10320,4570,10320,4531xe" filled="true" fillcolor="#000000" stroked="false">
            <v:path arrowok="t"/>
            <v:fill type="solid"/>
            <w10:wrap type="none"/>
          </v:shape>
        </w:pict>
      </w:r>
      <w:r>
        <w:rPr/>
        <w:pict>
          <v:shape style="position:absolute;margin-left:311.400024pt;margin-top:241.919983pt;width:.5pt;height:5.8pt;mso-position-horizontal-relative:page;mso-position-vertical-relative:page;z-index:-37863936" id="docshape700" coordorigin="6228,4838" coordsize="10,116" path="m6238,4915l6228,4915,6228,4954,6238,4954,6238,4915xm6238,4838l6228,4838,6228,4877,6238,4877,6238,4838xe" filled="true" fillcolor="#000000" stroked="false">
            <v:path arrowok="t"/>
            <v:fill type="solid"/>
            <w10:wrap type="none"/>
          </v:shape>
        </w:pict>
      </w:r>
      <w:r>
        <w:rPr/>
        <w:pict>
          <v:shape style="position:absolute;margin-left:311.400024pt;margin-top:257.281006pt;width:.5pt;height:5.8pt;mso-position-horizontal-relative:page;mso-position-vertical-relative:page;z-index:-37863424" id="docshape701" coordorigin="6228,5146" coordsize="10,116" path="m6238,5222l6228,5222,6228,5261,6238,5261,6238,5222xm6238,5146l6228,5146,6228,5184,6238,5184,6238,5146xe" filled="true" fillcolor="#000000" stroked="false">
            <v:path arrowok="t"/>
            <v:fill type="solid"/>
            <w10:wrap type="none"/>
          </v:shape>
        </w:pict>
      </w:r>
      <w:r>
        <w:rPr/>
        <w:pict>
          <v:shape style="position:absolute;margin-left:515.520020pt;margin-top:257.281006pt;width:.5pt;height:5.8pt;mso-position-horizontal-relative:page;mso-position-vertical-relative:page;z-index:-37862912" id="docshape702" coordorigin="10310,5146" coordsize="10,116" path="m10320,5222l10310,5222,10310,5261,10320,5261,10320,5222xm10320,5146l10310,5146,10310,5184,10320,5184,10320,5146xe" filled="true" fillcolor="#000000" stroked="false">
            <v:path arrowok="t"/>
            <v:fill type="solid"/>
            <w10:wrap type="none"/>
          </v:shape>
        </w:pict>
      </w:r>
      <w:r>
        <w:rPr/>
        <w:pict>
          <v:shape style="position:absolute;margin-left:311.400024pt;margin-top:272.639984pt;width:.5pt;height:17.3pt;mso-position-horizontal-relative:page;mso-position-vertical-relative:page;z-index:-37862400" id="docshape703" coordorigin="6228,5453" coordsize="10,346" path="m6238,5760l6228,5760,6228,5798,6238,5798,6238,5760xm6238,5683l6228,5683,6228,5722,6238,5722,6238,5683xm6238,5606l6228,5606,6228,5645,6238,5645,6238,5606xm6238,5530l6228,5530,6228,5568,6238,5568,6238,5530xm6238,5453l6228,5453,6228,5491,6238,5491,6238,5453xe" filled="true" fillcolor="#000000" stroked="false">
            <v:path arrowok="t"/>
            <v:fill type="solid"/>
            <w10:wrap type="none"/>
          </v:shape>
        </w:pict>
      </w:r>
      <w:r>
        <w:rPr/>
        <w:pict>
          <v:shape style="position:absolute;margin-left:311.400024pt;margin-top:295.679993pt;width:.5pt;height:9.65pt;mso-position-horizontal-relative:page;mso-position-vertical-relative:page;z-index:-37861888" id="docshape704" coordorigin="6228,5914" coordsize="10,193" path="m6238,6067l6228,6067,6228,6106,6238,6106,6238,6067xm6238,5990l6228,5990,6228,6029,6238,6029,6238,5990xm6238,5914l6228,5914,6228,5952,6238,5952,6238,5914xe" filled="true" fillcolor="#000000" stroked="false">
            <v:path arrowok="t"/>
            <v:fill type="solid"/>
            <w10:wrap type="none"/>
          </v:shape>
        </w:pict>
      </w:r>
      <w:r>
        <w:rPr/>
        <w:pict>
          <v:shape style="position:absolute;margin-left:464.52002pt;margin-top:311.040985pt;width:.5pt;height:9.6pt;mso-position-horizontal-relative:page;mso-position-vertical-relative:page;z-index:-37861376" id="docshape705" coordorigin="9290,6221" coordsize="10,192" path="m9300,6374l9290,6374,9290,6413,9300,6413,9300,6374xm9300,6298l9290,6298,9290,6336,9300,6336,9300,6298xm9300,6221l9290,6221,9290,6259,9300,6259,9300,6221xe" filled="true" fillcolor="#000000" stroked="false">
            <v:path arrowok="t"/>
            <v:fill type="solid"/>
            <w10:wrap type="none"/>
          </v:shape>
        </w:pict>
      </w:r>
      <w:r>
        <w:rPr/>
        <w:pict>
          <v:shape style="position:absolute;margin-left:311.400024pt;margin-top:326.401001pt;width:.5pt;height:28.8pt;mso-position-horizontal-relative:page;mso-position-vertical-relative:page;z-index:-37860864" id="docshape706" coordorigin="6228,6528" coordsize="10,576" path="m6238,7066l6228,7066,6228,7104,6238,7104,6238,7066xm6238,6989l6228,6989,6228,7027,6238,7027,6238,6989xm6238,6912l6228,6912,6228,6950,6238,6950,6238,6912xm6238,6835l6228,6835,6228,6874,6238,6874,6238,6835xm6238,6758l6228,6758,6228,6797,6238,6797,6238,6758xm6238,6682l6228,6682,6228,6720,6238,6720,6238,6682xm6238,6605l6228,6605,6228,6643,6238,6643,6238,6605xm6238,6528l6228,6528,6228,6566,6238,6566,6238,6528xe" filled="true" fillcolor="#000000" stroked="false">
            <v:path arrowok="t"/>
            <v:fill type="solid"/>
            <w10:wrap type="none"/>
          </v:shape>
        </w:pict>
      </w:r>
      <w:r>
        <w:rPr/>
        <w:pict>
          <v:shape style="position:absolute;margin-left:362.400024pt;margin-top:326.401001pt;width:.5pt;height:28.8pt;mso-position-horizontal-relative:page;mso-position-vertical-relative:page;z-index:-37860352" id="docshape707" coordorigin="7248,6528" coordsize="10,576" path="m7258,7066l7248,7066,7248,7104,7258,7104,7258,7066xm7258,6989l7248,6989,7248,7027,7258,7027,7258,6989xm7258,6912l7248,6912,7248,6950,7258,6950,7258,6912xm7258,6835l7248,6835,7248,6874,7258,6874,7258,6835xm7258,6758l7248,6758,7248,6797,7258,6797,7258,6758xm7258,6682l7248,6682,7248,6720,7258,6720,7258,6682xm7258,6605l7248,6605,7248,6643,7258,6643,7258,6605xm7258,6528l7248,6528,7248,6566,7258,6566,7258,6528xe" filled="true" fillcolor="#000000" stroked="false">
            <v:path arrowok="t"/>
            <v:fill type="solid"/>
            <w10:wrap type="none"/>
          </v:shape>
        </w:pict>
      </w:r>
      <w:r>
        <w:rPr/>
        <w:pict>
          <v:shape style="position:absolute;margin-left:413.52002pt;margin-top:326.401001pt;width:.5pt;height:28.8pt;mso-position-horizontal-relative:page;mso-position-vertical-relative:page;z-index:-37859840" id="docshape708" coordorigin="8270,6528" coordsize="10,576" path="m8280,7066l8270,7066,8270,7104,8280,7104,8280,7066xm8280,6989l8270,6989,8270,7027,8280,7027,8280,6989xm8280,6912l8270,6912,8270,6950,8280,6950,8280,6912xm8280,6835l8270,6835,8270,6874,8280,6874,8280,6835xm8280,6758l8270,6758,8270,6797,8280,6797,8280,6758xm8280,6682l8270,6682,8270,6720,8280,6720,8280,6682xm8280,6605l8270,6605,8270,6643,8280,6643,8280,6605xm8280,6528l8270,6528,8270,6566,8280,6566,8280,6528xe" filled="true" fillcolor="#000000" stroked="false">
            <v:path arrowok="t"/>
            <v:fill type="solid"/>
            <w10:wrap type="none"/>
          </v:shape>
        </w:pict>
      </w:r>
      <w:r>
        <w:rPr/>
        <w:pict>
          <v:shape style="position:absolute;margin-left:464.52002pt;margin-top:326.401001pt;width:.5pt;height:28.8pt;mso-position-horizontal-relative:page;mso-position-vertical-relative:page;z-index:-37859328" id="docshape709" coordorigin="9290,6528" coordsize="10,576" path="m9300,7066l9290,7066,9290,7104,9300,7104,9300,7066xm9300,6989l9290,6989,9290,7027,9300,7027,9300,6989xm9300,6912l9290,6912,9290,6950,9300,6950,9300,6912xm9300,6835l9290,6835,9290,6874,9300,6874,9300,6835xm9300,6758l9290,6758,9290,6797,9300,6797,9300,6758xm9300,6682l9290,6682,9290,6720,9300,6720,9300,6682xm9300,6605l9290,6605,9290,6643,9300,6643,9300,6605xm9300,6528l9290,6528,9290,6566,9300,6566,9300,6528xe" filled="true" fillcolor="#000000" stroked="false">
            <v:path arrowok="t"/>
            <v:fill type="solid"/>
            <w10:wrap type="none"/>
          </v:shape>
        </w:pict>
      </w:r>
      <w:r>
        <w:rPr/>
        <w:pict>
          <v:shape style="position:absolute;margin-left:515.520020pt;margin-top:326.401001pt;width:.5pt;height:28.8pt;mso-position-horizontal-relative:page;mso-position-vertical-relative:page;z-index:-37858816" id="docshape710" coordorigin="10310,6528" coordsize="10,576" path="m10320,7066l10310,7066,10310,7104,10320,7104,10320,7066xm10320,6989l10310,6989,10310,7027,10320,7027,10320,6989xm10320,6912l10310,6912,10310,6950,10320,6950,10320,6912xm10320,6835l10310,6835,10310,6874,10320,6874,10320,6835xm10320,6758l10310,6758,10310,6797,10320,6797,10320,6758xm10320,6682l10310,6682,10310,6720,10320,6720,10320,6682xm10320,6605l10310,6605,10310,6643,10320,6643,10320,6605xm10320,6528l10310,6528,10310,6566,10320,6566,10320,6528xe" filled="true" fillcolor="#000000" stroked="false">
            <v:path arrowok="t"/>
            <v:fill type="solid"/>
            <w10:wrap type="none"/>
          </v:shape>
        </w:pict>
      </w:r>
      <w:r>
        <w:rPr/>
        <w:pict>
          <v:shape style="position:absolute;margin-left:566.640015pt;margin-top:326.401001pt;width:.5pt;height:28.8pt;mso-position-horizontal-relative:page;mso-position-vertical-relative:page;z-index:-37858304" id="docshape711" coordorigin="11333,6528" coordsize="10,576" path="m11342,7066l11333,7066,11333,7104,11342,7104,11342,7066xm11342,6989l11333,6989,11333,7027,11342,7027,11342,6989xm11342,6912l11333,6912,11333,6950,11342,6950,11342,6912xm11342,6835l11333,6835,11333,6874,11342,6874,11342,6835xm11342,6758l11333,6758,11333,6797,11342,6797,11342,6758xm11342,6682l11333,6682,11333,6720,11342,6720,11342,6682xm11342,6605l11333,6605,11333,6643,11342,6643,11342,6605xm11342,6528l11333,6528,11333,6566,11342,6566,11342,6528xe" filled="true" fillcolor="#000000" stroked="false">
            <v:path arrowok="t"/>
            <v:fill type="solid"/>
            <w10:wrap type="none"/>
          </v:shape>
        </w:pict>
      </w:r>
    </w:p>
    <w:p>
      <w:pPr>
        <w:spacing w:after="0"/>
        <w:rPr>
          <w:sz w:val="2"/>
          <w:szCs w:val="2"/>
        </w:rPr>
        <w:sectPr>
          <w:type w:val="continuous"/>
          <w:pgSz w:w="16840" w:h="11910" w:orient="landscape"/>
          <w:pgMar w:header="0" w:footer="546" w:top="700" w:bottom="740" w:left="600" w:right="120"/>
        </w:sect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291"/>
        <w:gridCol w:w="1207"/>
        <w:gridCol w:w="1020"/>
        <w:gridCol w:w="1022"/>
        <w:gridCol w:w="1020"/>
        <w:gridCol w:w="1020"/>
        <w:gridCol w:w="1022"/>
        <w:gridCol w:w="1020"/>
        <w:gridCol w:w="1248"/>
        <w:gridCol w:w="1248"/>
        <w:gridCol w:w="1250"/>
      </w:tblGrid>
      <w:tr>
        <w:trPr>
          <w:trHeight w:val="531" w:hRule="atLeast"/>
        </w:trPr>
        <w:tc>
          <w:tcPr>
            <w:tcW w:w="15368" w:type="dxa"/>
            <w:gridSpan w:val="11"/>
            <w:tcBorders>
              <w:left w:val="single" w:sz="12" w:space="0" w:color="000000"/>
              <w:right w:val="single" w:sz="12" w:space="0" w:color="000000"/>
            </w:tcBorders>
            <w:shd w:val="clear" w:color="auto" w:fill="629CD1"/>
          </w:tcPr>
          <w:p>
            <w:pPr>
              <w:pStyle w:val="TableParagraph"/>
              <w:spacing w:before="102"/>
              <w:ind w:left="3639" w:right="3608"/>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6"/>
                <w:sz w:val="28"/>
              </w:rPr>
              <w:t> </w:t>
            </w:r>
            <w:r>
              <w:rPr>
                <w:b/>
                <w:color w:val="FFFFFF"/>
                <w:sz w:val="28"/>
              </w:rPr>
              <w:t>PROGRAM</w:t>
            </w:r>
            <w:r>
              <w:rPr>
                <w:b/>
                <w:color w:val="FFFFFF"/>
                <w:spacing w:val="-3"/>
                <w:sz w:val="28"/>
              </w:rPr>
              <w:t> </w:t>
            </w:r>
            <w:r>
              <w:rPr>
                <w:b/>
                <w:color w:val="FFFFFF"/>
                <w:sz w:val="28"/>
              </w:rPr>
              <w:t>2024/2025</w:t>
            </w:r>
            <w:r>
              <w:rPr>
                <w:b/>
                <w:color w:val="FFFFFF"/>
                <w:spacing w:val="-6"/>
                <w:sz w:val="28"/>
              </w:rPr>
              <w:t> </w:t>
            </w:r>
            <w:r>
              <w:rPr>
                <w:b/>
                <w:color w:val="FFFFFF"/>
                <w:sz w:val="28"/>
              </w:rPr>
              <w:t>TO</w:t>
            </w:r>
            <w:r>
              <w:rPr>
                <w:b/>
                <w:color w:val="FFFFFF"/>
                <w:spacing w:val="-3"/>
                <w:sz w:val="28"/>
              </w:rPr>
              <w:t> </w:t>
            </w:r>
            <w:r>
              <w:rPr>
                <w:b/>
                <w:color w:val="FFFFFF"/>
                <w:spacing w:val="-2"/>
                <w:sz w:val="28"/>
              </w:rPr>
              <w:t>2027/2028</w:t>
            </w:r>
          </w:p>
        </w:tc>
      </w:tr>
      <w:tr>
        <w:trPr>
          <w:trHeight w:val="578" w:hRule="atLeast"/>
        </w:trPr>
        <w:tc>
          <w:tcPr>
            <w:tcW w:w="4291"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7331" w:type="dxa"/>
            <w:gridSpan w:val="7"/>
            <w:tcBorders>
              <w:left w:val="single" w:sz="12" w:space="0" w:color="000000"/>
              <w:right w:val="single" w:sz="12" w:space="0" w:color="000000"/>
            </w:tcBorders>
            <w:shd w:val="clear" w:color="auto" w:fill="629CD1"/>
          </w:tcPr>
          <w:p>
            <w:pPr>
              <w:pStyle w:val="TableParagraph"/>
              <w:spacing w:before="172"/>
              <w:ind w:left="2810" w:right="2785"/>
              <w:jc w:val="center"/>
              <w:rPr>
                <w:b/>
                <w:sz w:val="20"/>
              </w:rPr>
            </w:pPr>
            <w:r>
              <w:rPr>
                <w:b/>
                <w:color w:val="FFFFFF"/>
                <w:sz w:val="20"/>
              </w:rPr>
              <w:t>Budget</w:t>
            </w:r>
            <w:r>
              <w:rPr>
                <w:b/>
                <w:color w:val="FFFFFF"/>
                <w:spacing w:val="-7"/>
                <w:sz w:val="20"/>
              </w:rPr>
              <w:t> </w:t>
            </w:r>
            <w:r>
              <w:rPr>
                <w:b/>
                <w:color w:val="FFFFFF"/>
                <w:spacing w:val="-2"/>
                <w:sz w:val="20"/>
              </w:rPr>
              <w:t>2024/2025</w:t>
            </w:r>
          </w:p>
        </w:tc>
        <w:tc>
          <w:tcPr>
            <w:tcW w:w="1248" w:type="dxa"/>
            <w:tcBorders>
              <w:left w:val="single" w:sz="12" w:space="0" w:color="000000"/>
              <w:right w:val="single" w:sz="12" w:space="0" w:color="000000"/>
            </w:tcBorders>
            <w:shd w:val="clear" w:color="auto" w:fill="629CD1"/>
          </w:tcPr>
          <w:p>
            <w:pPr>
              <w:pStyle w:val="TableParagraph"/>
              <w:spacing w:before="57"/>
              <w:ind w:left="151" w:right="119" w:firstLine="127"/>
              <w:rPr>
                <w:b/>
                <w:sz w:val="20"/>
              </w:rPr>
            </w:pPr>
            <w:r>
              <w:rPr>
                <w:b/>
                <w:color w:val="FFFFFF"/>
                <w:spacing w:val="-2"/>
                <w:sz w:val="20"/>
              </w:rPr>
              <w:t>Budget 2025/2026</w:t>
            </w:r>
          </w:p>
        </w:tc>
        <w:tc>
          <w:tcPr>
            <w:tcW w:w="1248" w:type="dxa"/>
            <w:tcBorders>
              <w:left w:val="single" w:sz="12" w:space="0" w:color="000000"/>
              <w:right w:val="single" w:sz="12" w:space="0" w:color="000000"/>
            </w:tcBorders>
            <w:shd w:val="clear" w:color="auto" w:fill="629CD1"/>
          </w:tcPr>
          <w:p>
            <w:pPr>
              <w:pStyle w:val="TableParagraph"/>
              <w:spacing w:before="57"/>
              <w:ind w:left="262" w:right="227" w:firstLine="16"/>
              <w:rPr>
                <w:b/>
                <w:sz w:val="20"/>
              </w:rPr>
            </w:pPr>
            <w:r>
              <w:rPr>
                <w:b/>
                <w:color w:val="FFFFFF"/>
                <w:spacing w:val="-2"/>
                <w:sz w:val="20"/>
              </w:rPr>
              <w:t>Budget 2026/27</w:t>
            </w:r>
          </w:p>
        </w:tc>
        <w:tc>
          <w:tcPr>
            <w:tcW w:w="1250" w:type="dxa"/>
            <w:tcBorders>
              <w:left w:val="single" w:sz="12" w:space="0" w:color="000000"/>
              <w:right w:val="single" w:sz="12" w:space="0" w:color="000000"/>
            </w:tcBorders>
            <w:shd w:val="clear" w:color="auto" w:fill="629CD1"/>
          </w:tcPr>
          <w:p>
            <w:pPr>
              <w:pStyle w:val="TableParagraph"/>
              <w:spacing w:before="57"/>
              <w:ind w:left="264" w:right="227" w:firstLine="16"/>
              <w:rPr>
                <w:b/>
                <w:sz w:val="20"/>
              </w:rPr>
            </w:pPr>
            <w:r>
              <w:rPr>
                <w:b/>
                <w:color w:val="FFFFFF"/>
                <w:spacing w:val="-2"/>
                <w:sz w:val="20"/>
              </w:rPr>
              <w:t>Budget 2027/28</w:t>
            </w:r>
          </w:p>
        </w:tc>
      </w:tr>
      <w:tr>
        <w:trPr>
          <w:trHeight w:val="779" w:hRule="atLeast"/>
        </w:trPr>
        <w:tc>
          <w:tcPr>
            <w:tcW w:w="4291"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207" w:type="dxa"/>
            <w:tcBorders>
              <w:left w:val="single" w:sz="12" w:space="0" w:color="000000"/>
              <w:bottom w:val="single" w:sz="12" w:space="0" w:color="000000"/>
              <w:right w:val="single" w:sz="12" w:space="0" w:color="000000"/>
            </w:tcBorders>
            <w:shd w:val="clear" w:color="auto" w:fill="629CD1"/>
          </w:tcPr>
          <w:p>
            <w:pPr>
              <w:pStyle w:val="TableParagraph"/>
              <w:spacing w:before="42"/>
              <w:ind w:left="141" w:right="107" w:hanging="6"/>
              <w:jc w:val="center"/>
              <w:rPr>
                <w:b/>
                <w:sz w:val="16"/>
              </w:rPr>
            </w:pPr>
            <w:r>
              <w:rPr>
                <w:b/>
                <w:color w:val="FFFFFF"/>
                <w:spacing w:val="-2"/>
                <w:sz w:val="16"/>
              </w:rPr>
              <w:t>Total Expenditure</w:t>
            </w:r>
          </w:p>
          <w:p>
            <w:pPr>
              <w:pStyle w:val="TableParagraph"/>
              <w:spacing w:before="119"/>
              <w:ind w:left="412" w:right="385"/>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12" w:right="81"/>
              <w:jc w:val="center"/>
              <w:rPr>
                <w:b/>
                <w:sz w:val="16"/>
              </w:rPr>
            </w:pPr>
            <w:r>
              <w:rPr>
                <w:b/>
                <w:color w:val="FFFFFF"/>
                <w:spacing w:val="-2"/>
                <w:sz w:val="16"/>
              </w:rPr>
              <w:t>Council </w:t>
            </w:r>
            <w:r>
              <w:rPr>
                <w:b/>
                <w:color w:val="FFFFFF"/>
                <w:spacing w:val="-4"/>
                <w:sz w:val="16"/>
              </w:rPr>
              <w:t>Cash</w:t>
            </w:r>
          </w:p>
          <w:p>
            <w:pPr>
              <w:pStyle w:val="TableParagraph"/>
              <w:spacing w:before="119"/>
              <w:ind w:left="108" w:right="81"/>
              <w:jc w:val="center"/>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136"/>
              <w:ind w:left="251"/>
              <w:rPr>
                <w:b/>
                <w:sz w:val="16"/>
              </w:rPr>
            </w:pPr>
            <w:r>
              <w:rPr>
                <w:b/>
                <w:color w:val="FFFFFF"/>
                <w:spacing w:val="-2"/>
                <w:sz w:val="16"/>
              </w:rPr>
              <w:t>Grants</w:t>
            </w:r>
          </w:p>
          <w:p>
            <w:pPr>
              <w:pStyle w:val="TableParagraph"/>
              <w:spacing w:before="2"/>
              <w:rPr>
                <w:b/>
                <w:sz w:val="18"/>
              </w:rPr>
            </w:pPr>
          </w:p>
          <w:p>
            <w:pPr>
              <w:pStyle w:val="TableParagraph"/>
              <w:ind w:left="331"/>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29" w:right="100" w:hanging="1"/>
              <w:jc w:val="center"/>
              <w:rPr>
                <w:b/>
                <w:sz w:val="16"/>
              </w:rPr>
            </w:pPr>
            <w:r>
              <w:rPr>
                <w:b/>
                <w:color w:val="FFFFFF"/>
                <w:spacing w:val="-2"/>
                <w:sz w:val="16"/>
              </w:rPr>
              <w:t>Others </w:t>
            </w:r>
            <w:r>
              <w:rPr>
                <w:b/>
                <w:color w:val="FFFFFF"/>
                <w:sz w:val="16"/>
              </w:rPr>
              <w:t>Contrib</w:t>
            </w:r>
            <w:r>
              <w:rPr>
                <w:b/>
                <w:color w:val="FFFFFF"/>
                <w:spacing w:val="-12"/>
                <w:sz w:val="16"/>
              </w:rPr>
              <w:t> </w:t>
            </w:r>
            <w:r>
              <w:rPr>
                <w:b/>
                <w:color w:val="FFFFFF"/>
                <w:sz w:val="16"/>
              </w:rPr>
              <w:t>‘n</w:t>
            </w:r>
          </w:p>
          <w:p>
            <w:pPr>
              <w:pStyle w:val="TableParagraph"/>
              <w:spacing w:before="119"/>
              <w:ind w:left="104" w:right="81"/>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42"/>
              <w:ind w:left="185" w:right="153" w:firstLine="1"/>
              <w:jc w:val="center"/>
              <w:rPr>
                <w:b/>
                <w:sz w:val="16"/>
              </w:rPr>
            </w:pPr>
            <w:r>
              <w:rPr>
                <w:b/>
                <w:color w:val="FFFFFF"/>
                <w:spacing w:val="-2"/>
                <w:sz w:val="16"/>
              </w:rPr>
              <w:t>Asset Renewal</w:t>
            </w:r>
          </w:p>
          <w:p>
            <w:pPr>
              <w:pStyle w:val="TableParagraph"/>
              <w:spacing w:before="119"/>
              <w:ind w:left="109" w:right="81"/>
              <w:jc w:val="center"/>
              <w:rPr>
                <w:b/>
                <w:sz w:val="16"/>
              </w:rPr>
            </w:pPr>
            <w:r>
              <w:rPr>
                <w:b/>
                <w:color w:val="FFFFFF"/>
                <w:spacing w:val="-4"/>
                <w:sz w:val="16"/>
              </w:rPr>
              <w:t>$000</w:t>
            </w:r>
          </w:p>
        </w:tc>
        <w:tc>
          <w:tcPr>
            <w:tcW w:w="1022" w:type="dxa"/>
            <w:tcBorders>
              <w:left w:val="single" w:sz="12" w:space="0" w:color="000000"/>
              <w:bottom w:val="single" w:sz="12" w:space="0" w:color="000000"/>
              <w:right w:val="single" w:sz="12" w:space="0" w:color="000000"/>
            </w:tcBorders>
            <w:shd w:val="clear" w:color="auto" w:fill="629CD1"/>
          </w:tcPr>
          <w:p>
            <w:pPr>
              <w:pStyle w:val="TableParagraph"/>
              <w:spacing w:before="136"/>
              <w:ind w:left="172" w:right="144"/>
              <w:jc w:val="center"/>
              <w:rPr>
                <w:b/>
                <w:sz w:val="16"/>
              </w:rPr>
            </w:pPr>
            <w:r>
              <w:rPr>
                <w:b/>
                <w:color w:val="FFFFFF"/>
                <w:spacing w:val="-2"/>
                <w:sz w:val="16"/>
              </w:rPr>
              <w:t>Upgrade</w:t>
            </w:r>
          </w:p>
          <w:p>
            <w:pPr>
              <w:pStyle w:val="TableParagraph"/>
              <w:spacing w:before="2"/>
              <w:rPr>
                <w:b/>
                <w:sz w:val="18"/>
              </w:rPr>
            </w:pPr>
          </w:p>
          <w:p>
            <w:pPr>
              <w:pStyle w:val="TableParagraph"/>
              <w:ind w:left="170" w:right="144"/>
              <w:jc w:val="center"/>
              <w:rPr>
                <w:b/>
                <w:sz w:val="16"/>
              </w:rPr>
            </w:pPr>
            <w:r>
              <w:rPr>
                <w:b/>
                <w:color w:val="FFFFFF"/>
                <w:spacing w:val="-4"/>
                <w:sz w:val="16"/>
              </w:rPr>
              <w:t>$000</w:t>
            </w:r>
          </w:p>
        </w:tc>
        <w:tc>
          <w:tcPr>
            <w:tcW w:w="1020" w:type="dxa"/>
            <w:tcBorders>
              <w:left w:val="single" w:sz="12" w:space="0" w:color="000000"/>
              <w:bottom w:val="single" w:sz="12" w:space="0" w:color="000000"/>
              <w:right w:val="single" w:sz="12" w:space="0" w:color="000000"/>
            </w:tcBorders>
            <w:shd w:val="clear" w:color="auto" w:fill="629CD1"/>
          </w:tcPr>
          <w:p>
            <w:pPr>
              <w:pStyle w:val="TableParagraph"/>
              <w:spacing w:before="136"/>
              <w:ind w:left="112" w:right="81"/>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spacing w:before="2"/>
              <w:rPr>
                <w:b/>
                <w:sz w:val="18"/>
              </w:rPr>
            </w:pPr>
          </w:p>
          <w:p>
            <w:pPr>
              <w:pStyle w:val="TableParagraph"/>
              <w:ind w:left="110" w:right="81"/>
              <w:jc w:val="center"/>
              <w:rPr>
                <w:b/>
                <w:sz w:val="16"/>
              </w:rPr>
            </w:pPr>
            <w:r>
              <w:rPr>
                <w:b/>
                <w:color w:val="FFFFFF"/>
                <w:spacing w:val="-4"/>
                <w:sz w:val="16"/>
              </w:rPr>
              <w:t>$000</w:t>
            </w:r>
          </w:p>
        </w:tc>
        <w:tc>
          <w:tcPr>
            <w:tcW w:w="1248" w:type="dxa"/>
            <w:tcBorders>
              <w:left w:val="single" w:sz="12" w:space="0" w:color="000000"/>
              <w:bottom w:val="single" w:sz="12" w:space="0" w:color="000000"/>
              <w:right w:val="single" w:sz="12" w:space="0" w:color="000000"/>
            </w:tcBorders>
            <w:shd w:val="clear" w:color="auto" w:fill="629CD1"/>
          </w:tcPr>
          <w:p>
            <w:pPr>
              <w:pStyle w:val="TableParagraph"/>
              <w:spacing w:before="42"/>
              <w:ind w:left="161" w:right="128" w:hanging="2"/>
              <w:jc w:val="center"/>
              <w:rPr>
                <w:b/>
                <w:sz w:val="16"/>
              </w:rPr>
            </w:pPr>
            <w:r>
              <w:rPr>
                <w:b/>
                <w:color w:val="FFFFFF"/>
                <w:spacing w:val="-2"/>
                <w:sz w:val="16"/>
              </w:rPr>
              <w:t>Total Expenditure</w:t>
            </w:r>
          </w:p>
          <w:p>
            <w:pPr>
              <w:pStyle w:val="TableParagraph"/>
              <w:spacing w:before="119"/>
              <w:ind w:left="116" w:right="85"/>
              <w:jc w:val="center"/>
              <w:rPr>
                <w:b/>
                <w:sz w:val="16"/>
              </w:rPr>
            </w:pPr>
            <w:r>
              <w:rPr>
                <w:b/>
                <w:color w:val="FFFFFF"/>
                <w:spacing w:val="-4"/>
                <w:sz w:val="16"/>
              </w:rPr>
              <w:t>$000</w:t>
            </w:r>
          </w:p>
        </w:tc>
        <w:tc>
          <w:tcPr>
            <w:tcW w:w="1248" w:type="dxa"/>
            <w:tcBorders>
              <w:left w:val="single" w:sz="12" w:space="0" w:color="000000"/>
              <w:bottom w:val="single" w:sz="12" w:space="0" w:color="000000"/>
              <w:right w:val="single" w:sz="12" w:space="0" w:color="000000"/>
            </w:tcBorders>
            <w:shd w:val="clear" w:color="auto" w:fill="629CD1"/>
          </w:tcPr>
          <w:p>
            <w:pPr>
              <w:pStyle w:val="TableParagraph"/>
              <w:spacing w:before="42"/>
              <w:ind w:left="161" w:right="128" w:hanging="2"/>
              <w:jc w:val="center"/>
              <w:rPr>
                <w:b/>
                <w:sz w:val="16"/>
              </w:rPr>
            </w:pPr>
            <w:r>
              <w:rPr>
                <w:b/>
                <w:color w:val="FFFFFF"/>
                <w:spacing w:val="-2"/>
                <w:sz w:val="16"/>
              </w:rPr>
              <w:t>Total Expenditure</w:t>
            </w:r>
          </w:p>
          <w:p>
            <w:pPr>
              <w:pStyle w:val="TableParagraph"/>
              <w:spacing w:before="119"/>
              <w:ind w:left="116" w:right="85"/>
              <w:jc w:val="center"/>
              <w:rPr>
                <w:b/>
                <w:sz w:val="16"/>
              </w:rPr>
            </w:pPr>
            <w:r>
              <w:rPr>
                <w:b/>
                <w:color w:val="FFFFFF"/>
                <w:spacing w:val="-4"/>
                <w:sz w:val="16"/>
              </w:rPr>
              <w:t>$000</w:t>
            </w:r>
          </w:p>
        </w:tc>
        <w:tc>
          <w:tcPr>
            <w:tcW w:w="1250" w:type="dxa"/>
            <w:tcBorders>
              <w:left w:val="single" w:sz="12" w:space="0" w:color="000000"/>
              <w:bottom w:val="single" w:sz="12" w:space="0" w:color="000000"/>
              <w:right w:val="single" w:sz="12" w:space="0" w:color="000000"/>
            </w:tcBorders>
            <w:shd w:val="clear" w:color="auto" w:fill="629CD1"/>
          </w:tcPr>
          <w:p>
            <w:pPr>
              <w:pStyle w:val="TableParagraph"/>
              <w:spacing w:before="42"/>
              <w:ind w:left="163" w:right="127" w:hanging="6"/>
              <w:jc w:val="center"/>
              <w:rPr>
                <w:b/>
                <w:sz w:val="16"/>
              </w:rPr>
            </w:pPr>
            <w:r>
              <w:rPr>
                <w:b/>
                <w:color w:val="FFFFFF"/>
                <w:spacing w:val="-2"/>
                <w:sz w:val="16"/>
              </w:rPr>
              <w:t>Total Expenditure</w:t>
            </w:r>
          </w:p>
          <w:p>
            <w:pPr>
              <w:pStyle w:val="TableParagraph"/>
              <w:spacing w:before="119"/>
              <w:ind w:left="434" w:right="405"/>
              <w:jc w:val="center"/>
              <w:rPr>
                <w:b/>
                <w:sz w:val="16"/>
              </w:rPr>
            </w:pPr>
            <w:r>
              <w:rPr>
                <w:b/>
                <w:color w:val="FFFFFF"/>
                <w:spacing w:val="-4"/>
                <w:sz w:val="16"/>
              </w:rPr>
              <w:t>$000</w:t>
            </w:r>
          </w:p>
        </w:tc>
      </w:tr>
      <w:tr>
        <w:trPr>
          <w:trHeight w:val="1106" w:hRule="atLeast"/>
        </w:trPr>
        <w:tc>
          <w:tcPr>
            <w:tcW w:w="4291" w:type="dxa"/>
            <w:tcBorders>
              <w:top w:val="single" w:sz="12" w:space="0" w:color="000000"/>
              <w:left w:val="single" w:sz="12" w:space="0" w:color="000000"/>
              <w:bottom w:val="single" w:sz="8" w:space="0" w:color="000000"/>
              <w:right w:val="single" w:sz="12" w:space="0" w:color="000000"/>
            </w:tcBorders>
          </w:tcPr>
          <w:p>
            <w:pPr>
              <w:pStyle w:val="TableParagraph"/>
              <w:spacing w:before="80"/>
              <w:ind w:left="107"/>
              <w:rPr>
                <w:b/>
                <w:sz w:val="28"/>
              </w:rPr>
            </w:pPr>
            <w:r>
              <w:rPr>
                <w:b/>
                <w:spacing w:val="-2"/>
                <w:sz w:val="28"/>
              </w:rPr>
              <w:t>RECREATIONAL IMPROVEMENTS</w:t>
            </w:r>
          </w:p>
          <w:p>
            <w:pPr>
              <w:pStyle w:val="TableParagraph"/>
              <w:spacing w:line="321" w:lineRule="exact"/>
              <w:ind w:left="107"/>
              <w:rPr>
                <w:b/>
                <w:sz w:val="28"/>
              </w:rPr>
            </w:pPr>
            <w:r>
              <w:rPr>
                <w:b/>
                <w:spacing w:val="-2"/>
                <w:sz w:val="28"/>
              </w:rPr>
              <w:t>Continuation…</w:t>
            </w:r>
          </w:p>
        </w:tc>
        <w:tc>
          <w:tcPr>
            <w:tcW w:w="1207" w:type="dxa"/>
            <w:tcBorders>
              <w:top w:val="single" w:sz="12" w:space="0" w:color="000000"/>
              <w:left w:val="single" w:sz="12" w:space="0" w:color="000000"/>
              <w:bottom w:val="single" w:sz="8" w:space="0" w:color="000000"/>
              <w:right w:val="dashed" w:sz="4" w:space="0" w:color="000000"/>
            </w:tcBorders>
          </w:tcPr>
          <w:p>
            <w:pPr>
              <w:pStyle w:val="TableParagraph"/>
              <w:rPr>
                <w:rFonts w:ascii="Times New Roman"/>
                <w:sz w:val="18"/>
              </w:rPr>
            </w:pPr>
          </w:p>
        </w:tc>
        <w:tc>
          <w:tcPr>
            <w:tcW w:w="1020" w:type="dxa"/>
            <w:tcBorders>
              <w:top w:val="single" w:sz="12" w:space="0" w:color="000000"/>
              <w:left w:val="dashed" w:sz="4" w:space="0" w:color="000000"/>
              <w:bottom w:val="single" w:sz="8" w:space="0" w:color="000000"/>
              <w:right w:val="dashSmallGap" w:sz="4" w:space="0" w:color="000000"/>
            </w:tcBorders>
          </w:tcPr>
          <w:p>
            <w:pPr>
              <w:pStyle w:val="TableParagraph"/>
              <w:rPr>
                <w:rFonts w:ascii="Times New Roman"/>
                <w:sz w:val="18"/>
              </w:rPr>
            </w:pPr>
          </w:p>
        </w:tc>
        <w:tc>
          <w:tcPr>
            <w:tcW w:w="1022" w:type="dxa"/>
            <w:tcBorders>
              <w:top w:val="single" w:sz="12" w:space="0" w:color="000000"/>
              <w:left w:val="dashSmallGap" w:sz="4" w:space="0" w:color="000000"/>
              <w:bottom w:val="single" w:sz="8"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single" w:sz="8"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single" w:sz="8" w:space="0" w:color="000000"/>
              <w:right w:val="dashSmallGap" w:sz="4" w:space="0" w:color="000000"/>
            </w:tcBorders>
          </w:tcPr>
          <w:p>
            <w:pPr>
              <w:pStyle w:val="TableParagraph"/>
              <w:rPr>
                <w:rFonts w:ascii="Times New Roman"/>
                <w:sz w:val="18"/>
              </w:rPr>
            </w:pPr>
          </w:p>
        </w:tc>
        <w:tc>
          <w:tcPr>
            <w:tcW w:w="1022" w:type="dxa"/>
            <w:tcBorders>
              <w:top w:val="single" w:sz="12" w:space="0" w:color="000000"/>
              <w:left w:val="dashSmallGap" w:sz="4" w:space="0" w:color="000000"/>
              <w:bottom w:val="single" w:sz="8" w:space="0" w:color="000000"/>
              <w:right w:val="dashSmallGap" w:sz="4" w:space="0" w:color="000000"/>
            </w:tcBorders>
          </w:tcPr>
          <w:p>
            <w:pPr>
              <w:pStyle w:val="TableParagraph"/>
              <w:rPr>
                <w:rFonts w:ascii="Times New Roman"/>
                <w:sz w:val="18"/>
              </w:rPr>
            </w:pPr>
          </w:p>
        </w:tc>
        <w:tc>
          <w:tcPr>
            <w:tcW w:w="1020" w:type="dxa"/>
            <w:tcBorders>
              <w:top w:val="single" w:sz="12" w:space="0" w:color="000000"/>
              <w:left w:val="dashSmallGap" w:sz="4" w:space="0" w:color="000000"/>
              <w:bottom w:val="single" w:sz="8" w:space="0" w:color="000000"/>
              <w:right w:val="single" w:sz="12" w:space="0" w:color="000000"/>
            </w:tcBorders>
          </w:tcPr>
          <w:p>
            <w:pPr>
              <w:pStyle w:val="TableParagraph"/>
              <w:rPr>
                <w:rFonts w:ascii="Times New Roman"/>
                <w:sz w:val="18"/>
              </w:rPr>
            </w:pPr>
          </w:p>
        </w:tc>
        <w:tc>
          <w:tcPr>
            <w:tcW w:w="1248" w:type="dxa"/>
            <w:tcBorders>
              <w:top w:val="single" w:sz="12" w:space="0" w:color="000000"/>
              <w:left w:val="single" w:sz="12" w:space="0" w:color="000000"/>
              <w:bottom w:val="single" w:sz="8" w:space="0" w:color="000000"/>
              <w:right w:val="single" w:sz="12" w:space="0" w:color="000000"/>
            </w:tcBorders>
          </w:tcPr>
          <w:p>
            <w:pPr>
              <w:pStyle w:val="TableParagraph"/>
              <w:rPr>
                <w:rFonts w:ascii="Times New Roman"/>
                <w:sz w:val="18"/>
              </w:rPr>
            </w:pPr>
          </w:p>
        </w:tc>
        <w:tc>
          <w:tcPr>
            <w:tcW w:w="1248" w:type="dxa"/>
            <w:tcBorders>
              <w:top w:val="single" w:sz="12" w:space="0" w:color="000000"/>
              <w:left w:val="single" w:sz="12" w:space="0" w:color="000000"/>
              <w:bottom w:val="single" w:sz="8" w:space="0" w:color="000000"/>
              <w:right w:val="single" w:sz="12" w:space="0" w:color="000000"/>
            </w:tcBorders>
          </w:tcPr>
          <w:p>
            <w:pPr>
              <w:pStyle w:val="TableParagraph"/>
              <w:rPr>
                <w:rFonts w:ascii="Times New Roman"/>
                <w:sz w:val="18"/>
              </w:rPr>
            </w:pPr>
          </w:p>
        </w:tc>
        <w:tc>
          <w:tcPr>
            <w:tcW w:w="1250" w:type="dxa"/>
            <w:tcBorders>
              <w:top w:val="single" w:sz="12" w:space="0" w:color="000000"/>
              <w:left w:val="single" w:sz="12" w:space="0" w:color="000000"/>
              <w:bottom w:val="single" w:sz="8" w:space="0" w:color="000000"/>
              <w:right w:val="single" w:sz="12" w:space="0" w:color="000000"/>
            </w:tcBorders>
          </w:tcPr>
          <w:p>
            <w:pPr>
              <w:pStyle w:val="TableParagraph"/>
              <w:rPr>
                <w:rFonts w:ascii="Times New Roman"/>
                <w:sz w:val="18"/>
              </w:rPr>
            </w:pPr>
          </w:p>
        </w:tc>
      </w:tr>
      <w:tr>
        <w:trPr>
          <w:trHeight w:val="266" w:hRule="atLeast"/>
        </w:trPr>
        <w:tc>
          <w:tcPr>
            <w:tcW w:w="4291" w:type="dxa"/>
            <w:tcBorders>
              <w:top w:val="single" w:sz="8" w:space="0" w:color="000000"/>
              <w:left w:val="single" w:sz="12" w:space="0" w:color="000000"/>
              <w:bottom w:val="dashSmallGap" w:sz="4" w:space="0" w:color="000000"/>
              <w:right w:val="single" w:sz="12" w:space="0" w:color="000000"/>
            </w:tcBorders>
          </w:tcPr>
          <w:p>
            <w:pPr>
              <w:pStyle w:val="TableParagraph"/>
              <w:spacing w:line="241" w:lineRule="exact" w:before="6"/>
              <w:ind w:left="107"/>
              <w:rPr>
                <w:b/>
                <w:sz w:val="22"/>
              </w:rPr>
            </w:pPr>
            <w:r>
              <w:rPr>
                <w:b/>
                <w:sz w:val="22"/>
              </w:rPr>
              <w:t>PARKS</w:t>
            </w:r>
            <w:r>
              <w:rPr>
                <w:b/>
                <w:spacing w:val="-2"/>
                <w:sz w:val="22"/>
              </w:rPr>
              <w:t> </w:t>
            </w:r>
            <w:r>
              <w:rPr>
                <w:b/>
                <w:sz w:val="22"/>
              </w:rPr>
              <w:t>AND</w:t>
            </w:r>
            <w:r>
              <w:rPr>
                <w:b/>
                <w:spacing w:val="-4"/>
                <w:sz w:val="22"/>
              </w:rPr>
              <w:t> </w:t>
            </w:r>
            <w:r>
              <w:rPr>
                <w:b/>
                <w:sz w:val="22"/>
              </w:rPr>
              <w:t>OPEN</w:t>
            </w:r>
            <w:r>
              <w:rPr>
                <w:b/>
                <w:spacing w:val="-1"/>
                <w:sz w:val="22"/>
              </w:rPr>
              <w:t> </w:t>
            </w:r>
            <w:r>
              <w:rPr>
                <w:b/>
                <w:spacing w:val="-2"/>
                <w:sz w:val="22"/>
              </w:rPr>
              <w:t>SPACE</w:t>
            </w:r>
          </w:p>
        </w:tc>
        <w:tc>
          <w:tcPr>
            <w:tcW w:w="7331" w:type="dxa"/>
            <w:gridSpan w:val="7"/>
            <w:tcBorders>
              <w:top w:val="single" w:sz="24" w:space="0" w:color="000000"/>
              <w:left w:val="single" w:sz="12" w:space="0" w:color="000000"/>
              <w:right w:val="single" w:sz="12" w:space="0" w:color="000000"/>
            </w:tcBorders>
          </w:tcPr>
          <w:p>
            <w:pPr>
              <w:pStyle w:val="TableParagraph"/>
              <w:spacing w:before="9"/>
              <w:rPr>
                <w:b/>
                <w:sz w:val="3"/>
              </w:rPr>
            </w:pPr>
          </w:p>
          <w:p>
            <w:pPr>
              <w:pStyle w:val="TableParagraph"/>
              <w:tabs>
                <w:tab w:pos="2222" w:val="left" w:leader="none"/>
                <w:tab w:pos="3244" w:val="left" w:leader="none"/>
                <w:tab w:pos="4264" w:val="left" w:leader="none"/>
                <w:tab w:pos="5284" w:val="left" w:leader="none"/>
                <w:tab w:pos="6306" w:val="left" w:leader="none"/>
              </w:tabs>
              <w:spacing w:line="192" w:lineRule="exact"/>
              <w:ind w:left="1202"/>
              <w:rPr>
                <w:sz w:val="19"/>
              </w:rPr>
            </w:pPr>
            <w:r>
              <w:rPr>
                <w:position w:val="-3"/>
                <w:sz w:val="19"/>
              </w:rPr>
              <w:pict>
                <v:group style="width:.5pt;height:9.6pt;mso-position-horizontal-relative:char;mso-position-vertical-relative:line" id="docshapegroup712" coordorigin="0,0" coordsize="10,192">
                  <v:shape style="position:absolute;left:0;top:0;width:10;height:192" id="docshape713"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14" coordorigin="0,0" coordsize="10,192">
                  <v:shape style="position:absolute;left:0;top:0;width:10;height:192" id="docshape715"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16" coordorigin="0,0" coordsize="10,192">
                  <v:shape style="position:absolute;left:0;top:0;width:10;height:192" id="docshape71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18" coordorigin="0,0" coordsize="10,192">
                  <v:shape style="position:absolute;left:0;top:0;width:10;height:192" id="docshape719"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20" coordorigin="0,0" coordsize="10,192">
                  <v:shape style="position:absolute;left:0;top:0;width:10;height:192" id="docshape72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22" coordorigin="0,0" coordsize="10,192">
                  <v:shape style="position:absolute;left:0;top:0;width:10;height:192" id="docshape723" coordorigin="0,0" coordsize="10,192" path="m10,154l0,154,0,192,10,192,10,154xm10,77l0,77,0,115,10,115,10,77xm10,0l0,0,0,38,10,38,10,0xe" filled="true" fillcolor="#000000" stroked="false">
                    <v:path arrowok="t"/>
                    <v:fill type="solid"/>
                  </v:shape>
                </v:group>
              </w:pict>
            </w:r>
            <w:r>
              <w:rPr>
                <w:position w:val="-3"/>
                <w:sz w:val="19"/>
              </w:rPr>
            </w:r>
          </w:p>
        </w:tc>
        <w:tc>
          <w:tcPr>
            <w:tcW w:w="1248" w:type="dxa"/>
            <w:tcBorders>
              <w:top w:val="single" w:sz="8"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48" w:type="dxa"/>
            <w:tcBorders>
              <w:top w:val="single" w:sz="8" w:space="0" w:color="000000"/>
              <w:left w:val="single" w:sz="12" w:space="0" w:color="000000"/>
              <w:bottom w:val="dashed" w:sz="4" w:space="0" w:color="000000"/>
              <w:right w:val="single" w:sz="12" w:space="0" w:color="000000"/>
            </w:tcBorders>
          </w:tcPr>
          <w:p>
            <w:pPr>
              <w:pStyle w:val="TableParagraph"/>
              <w:rPr>
                <w:rFonts w:ascii="Times New Roman"/>
                <w:sz w:val="18"/>
              </w:rPr>
            </w:pPr>
          </w:p>
        </w:tc>
        <w:tc>
          <w:tcPr>
            <w:tcW w:w="1250" w:type="dxa"/>
            <w:tcBorders>
              <w:top w:val="single" w:sz="8" w:space="0" w:color="000000"/>
              <w:left w:val="single" w:sz="12" w:space="0" w:color="000000"/>
              <w:bottom w:val="dashed" w:sz="4" w:space="0" w:color="000000"/>
              <w:right w:val="single" w:sz="12" w:space="0" w:color="000000"/>
            </w:tcBorders>
          </w:tcPr>
          <w:p>
            <w:pPr>
              <w:pStyle w:val="TableParagraph"/>
              <w:rPr>
                <w:rFonts w:ascii="Times New Roman"/>
                <w:sz w:val="18"/>
              </w:rPr>
            </w:pPr>
          </w:p>
        </w:tc>
      </w:tr>
      <w:tr>
        <w:trPr>
          <w:trHeight w:val="28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29"/>
              <w:ind w:left="107"/>
              <w:rPr>
                <w:sz w:val="18"/>
              </w:rPr>
            </w:pPr>
            <w:r>
              <w:rPr>
                <w:sz w:val="18"/>
              </w:rPr>
              <w:t>Open</w:t>
            </w:r>
            <w:r>
              <w:rPr>
                <w:spacing w:val="-2"/>
                <w:sz w:val="18"/>
              </w:rPr>
              <w:t> </w:t>
            </w:r>
            <w:r>
              <w:rPr>
                <w:sz w:val="18"/>
              </w:rPr>
              <w:t>Space</w:t>
            </w:r>
            <w:r>
              <w:rPr>
                <w:spacing w:val="-2"/>
                <w:sz w:val="18"/>
              </w:rPr>
              <w:t> </w:t>
            </w:r>
            <w:r>
              <w:rPr>
                <w:sz w:val="18"/>
              </w:rPr>
              <w:t>Playground Improvement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18"/>
              <w:ind w:right="77"/>
              <w:jc w:val="right"/>
              <w:rPr>
                <w:sz w:val="20"/>
              </w:rPr>
            </w:pPr>
            <w:r>
              <w:rPr>
                <w:spacing w:val="-2"/>
                <w:sz w:val="20"/>
              </w:rPr>
              <w:t>1,014</w:t>
            </w:r>
          </w:p>
        </w:tc>
        <w:tc>
          <w:tcPr>
            <w:tcW w:w="1020" w:type="dxa"/>
            <w:tcBorders>
              <w:top w:val="dashed" w:sz="4" w:space="0" w:color="000000"/>
              <w:left w:val="nil"/>
              <w:bottom w:val="dashed" w:sz="4" w:space="0" w:color="000000"/>
              <w:right w:val="nil"/>
            </w:tcBorders>
          </w:tcPr>
          <w:p>
            <w:pPr>
              <w:pStyle w:val="TableParagraph"/>
              <w:spacing w:before="18"/>
              <w:ind w:right="92"/>
              <w:jc w:val="right"/>
              <w:rPr>
                <w:sz w:val="20"/>
              </w:rPr>
            </w:pPr>
            <w:r>
              <w:rPr>
                <w:spacing w:val="-2"/>
                <w:sz w:val="20"/>
              </w:rPr>
              <w:t>1,014</w:t>
            </w:r>
          </w:p>
        </w:tc>
        <w:tc>
          <w:tcPr>
            <w:tcW w:w="1022" w:type="dxa"/>
            <w:tcBorders>
              <w:top w:val="dashed" w:sz="4" w:space="0" w:color="000000"/>
              <w:left w:val="nil"/>
              <w:bottom w:val="dashed" w:sz="4" w:space="0" w:color="000000"/>
              <w:right w:val="nil"/>
            </w:tcBorders>
          </w:tcPr>
          <w:p>
            <w:pPr>
              <w:pStyle w:val="TableParagraph"/>
              <w:spacing w:before="5"/>
              <w:rPr>
                <w:b/>
                <w:sz w:val="3"/>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24" coordorigin="0,0" coordsize="10,192">
                  <v:shape style="position:absolute;left:0;top:0;width:10;height:193" id="docshape725"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26" coordorigin="0,0" coordsize="10,192">
                  <v:shape style="position:absolute;left:0;top:0;width:10;height:193" id="docshape727"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5"/>
              <w:rPr>
                <w:b/>
                <w:sz w:val="3"/>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28" coordorigin="0,0" coordsize="10,192">
                  <v:shape style="position:absolute;left:0;top:0;width:10;height:193" id="docshape729"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18"/>
              <w:ind w:right="93"/>
              <w:jc w:val="right"/>
              <w:rPr>
                <w:sz w:val="20"/>
              </w:rPr>
            </w:pPr>
            <w:r>
              <w:rPr>
                <w:spacing w:val="-5"/>
                <w:sz w:val="20"/>
              </w:rPr>
              <w:t>840</w:t>
            </w:r>
          </w:p>
        </w:tc>
        <w:tc>
          <w:tcPr>
            <w:tcW w:w="1022" w:type="dxa"/>
            <w:tcBorders>
              <w:top w:val="dashed" w:sz="4" w:space="0" w:color="000000"/>
              <w:left w:val="nil"/>
              <w:bottom w:val="dashed" w:sz="4" w:space="0" w:color="000000"/>
              <w:right w:val="nil"/>
            </w:tcBorders>
          </w:tcPr>
          <w:p>
            <w:pPr>
              <w:pStyle w:val="TableParagraph"/>
              <w:spacing w:before="18"/>
              <w:ind w:right="95"/>
              <w:jc w:val="right"/>
              <w:rPr>
                <w:sz w:val="20"/>
              </w:rPr>
            </w:pPr>
            <w:r>
              <w:rPr>
                <w:spacing w:val="-5"/>
                <w:sz w:val="20"/>
              </w:rPr>
              <w:t>169</w:t>
            </w:r>
          </w:p>
        </w:tc>
        <w:tc>
          <w:tcPr>
            <w:tcW w:w="1020" w:type="dxa"/>
            <w:tcBorders>
              <w:top w:val="dashed" w:sz="4" w:space="0" w:color="000000"/>
              <w:left w:val="nil"/>
              <w:bottom w:val="dashed" w:sz="4" w:space="0" w:color="000000"/>
              <w:right w:val="single" w:sz="12" w:space="0" w:color="000000"/>
            </w:tcBorders>
          </w:tcPr>
          <w:p>
            <w:pPr>
              <w:pStyle w:val="TableParagraph"/>
              <w:spacing w:before="18"/>
              <w:ind w:right="75"/>
              <w:jc w:val="right"/>
              <w:rPr>
                <w:sz w:val="20"/>
              </w:rPr>
            </w:pPr>
            <w:r>
              <w:rPr>
                <w:w w:val="99"/>
                <w:sz w:val="20"/>
              </w:rPr>
              <w:t>5</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18"/>
              <w:ind w:right="78"/>
              <w:jc w:val="right"/>
              <w:rPr>
                <w:sz w:val="20"/>
              </w:rPr>
            </w:pPr>
            <w:r>
              <w:rPr>
                <w:spacing w:val="-2"/>
                <w:sz w:val="20"/>
              </w:rPr>
              <w:t>1,014</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18"/>
              <w:ind w:right="78"/>
              <w:jc w:val="right"/>
              <w:rPr>
                <w:sz w:val="20"/>
              </w:rPr>
            </w:pPr>
            <w:r>
              <w:rPr>
                <w:spacing w:val="-2"/>
                <w:sz w:val="20"/>
              </w:rPr>
              <w:t>1,339</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18"/>
              <w:ind w:right="76"/>
              <w:jc w:val="right"/>
              <w:rPr>
                <w:sz w:val="20"/>
              </w:rPr>
            </w:pPr>
            <w:r>
              <w:rPr>
                <w:spacing w:val="-2"/>
                <w:sz w:val="20"/>
              </w:rPr>
              <w:t>1,364</w:t>
            </w:r>
          </w:p>
        </w:tc>
      </w:tr>
      <w:tr>
        <w:trPr>
          <w:trHeight w:val="30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9"/>
              <w:ind w:left="107"/>
              <w:rPr>
                <w:sz w:val="18"/>
              </w:rPr>
            </w:pPr>
            <w:r>
              <w:rPr>
                <w:sz w:val="18"/>
              </w:rPr>
              <w:t>Open</w:t>
            </w:r>
            <w:r>
              <w:rPr>
                <w:spacing w:val="-1"/>
                <w:sz w:val="18"/>
              </w:rPr>
              <w:t> </w:t>
            </w:r>
            <w:r>
              <w:rPr>
                <w:sz w:val="18"/>
              </w:rPr>
              <w:t>Space</w:t>
            </w:r>
            <w:r>
              <w:rPr>
                <w:spacing w:val="-1"/>
                <w:sz w:val="18"/>
              </w:rPr>
              <w:t> </w:t>
            </w:r>
            <w:r>
              <w:rPr>
                <w:sz w:val="18"/>
              </w:rPr>
              <w:t>Lighting</w:t>
            </w:r>
            <w:r>
              <w:rPr>
                <w:spacing w:val="-3"/>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38"/>
              <w:ind w:right="79"/>
              <w:jc w:val="right"/>
              <w:rPr>
                <w:sz w:val="20"/>
              </w:rPr>
            </w:pPr>
            <w:r>
              <w:rPr>
                <w:spacing w:val="-5"/>
                <w:sz w:val="20"/>
              </w:rPr>
              <w:t>60</w:t>
            </w:r>
          </w:p>
        </w:tc>
        <w:tc>
          <w:tcPr>
            <w:tcW w:w="1020" w:type="dxa"/>
            <w:tcBorders>
              <w:top w:val="dashed" w:sz="4" w:space="0" w:color="000000"/>
              <w:left w:val="nil"/>
              <w:bottom w:val="dashed" w:sz="4" w:space="0" w:color="000000"/>
              <w:right w:val="nil"/>
            </w:tcBorders>
          </w:tcPr>
          <w:p>
            <w:pPr>
              <w:pStyle w:val="TableParagraph"/>
              <w:spacing w:before="38"/>
              <w:ind w:right="94"/>
              <w:jc w:val="right"/>
              <w:rPr>
                <w:sz w:val="20"/>
              </w:rPr>
            </w:pPr>
            <w:r>
              <w:rPr>
                <w:spacing w:val="-5"/>
                <w:sz w:val="20"/>
              </w:rPr>
              <w:t>60</w:t>
            </w:r>
          </w:p>
        </w:tc>
        <w:tc>
          <w:tcPr>
            <w:tcW w:w="1022" w:type="dxa"/>
            <w:tcBorders>
              <w:top w:val="dashed" w:sz="4" w:space="0" w:color="000000"/>
              <w:left w:val="nil"/>
              <w:bottom w:val="dashed" w:sz="4" w:space="0" w:color="000000"/>
              <w:right w:val="nil"/>
            </w:tcBorders>
          </w:tcPr>
          <w:p>
            <w:pPr>
              <w:pStyle w:val="TableParagraph"/>
              <w:spacing w:before="6"/>
              <w:rPr>
                <w:b/>
                <w:sz w:val="4"/>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30" coordorigin="0,0" coordsize="10,192">
                  <v:shape style="position:absolute;left:0;top:0;width:10;height:192" id="docshape73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32" coordorigin="0,0" coordsize="10,192">
                  <v:shape style="position:absolute;left:0;top:0;width:10;height:192" id="docshape733"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6"/>
              <w:rPr>
                <w:b/>
                <w:sz w:val="4"/>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34" coordorigin="0,0" coordsize="10,192">
                  <v:shape style="position:absolute;left:0;top:0;width:10;height:192" id="docshape735"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38"/>
              <w:ind w:right="93"/>
              <w:jc w:val="right"/>
              <w:rPr>
                <w:sz w:val="20"/>
              </w:rPr>
            </w:pPr>
            <w:r>
              <w:rPr>
                <w:spacing w:val="-5"/>
                <w:sz w:val="20"/>
              </w:rPr>
              <w:t>20</w:t>
            </w:r>
          </w:p>
        </w:tc>
        <w:tc>
          <w:tcPr>
            <w:tcW w:w="1022" w:type="dxa"/>
            <w:tcBorders>
              <w:top w:val="dashed" w:sz="4" w:space="0" w:color="000000"/>
              <w:left w:val="nil"/>
              <w:bottom w:val="dashed" w:sz="4" w:space="0" w:color="000000"/>
              <w:right w:val="nil"/>
            </w:tcBorders>
          </w:tcPr>
          <w:p>
            <w:pPr>
              <w:pStyle w:val="TableParagraph"/>
              <w:spacing w:before="6"/>
              <w:rPr>
                <w:b/>
                <w:sz w:val="4"/>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36" coordorigin="0,0" coordsize="10,192">
                  <v:shape style="position:absolute;left:0;top:0;width:10;height:192" id="docshape737"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38" coordorigin="0,0" coordsize="10,192">
                  <v:shape style="position:absolute;left:0;top:0;width:10;height:192" id="docshape739"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single" w:sz="12" w:space="0" w:color="000000"/>
            </w:tcBorders>
          </w:tcPr>
          <w:p>
            <w:pPr>
              <w:pStyle w:val="TableParagraph"/>
              <w:spacing w:before="38"/>
              <w:ind w:right="78"/>
              <w:jc w:val="right"/>
              <w:rPr>
                <w:sz w:val="20"/>
              </w:rPr>
            </w:pPr>
            <w:r>
              <w:rPr>
                <w:spacing w:val="-5"/>
                <w:sz w:val="20"/>
              </w:rPr>
              <w:t>40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60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70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75</w:t>
            </w:r>
          </w:p>
        </w:tc>
      </w:tr>
      <w:tr>
        <w:trPr>
          <w:trHeight w:val="30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9"/>
              <w:ind w:left="107"/>
              <w:rPr>
                <w:sz w:val="18"/>
              </w:rPr>
            </w:pPr>
            <w:r>
              <w:rPr>
                <w:sz w:val="18"/>
              </w:rPr>
              <w:t>Open</w:t>
            </w:r>
            <w:r>
              <w:rPr>
                <w:spacing w:val="-2"/>
                <w:sz w:val="18"/>
              </w:rPr>
              <w:t> </w:t>
            </w:r>
            <w:r>
              <w:rPr>
                <w:sz w:val="18"/>
              </w:rPr>
              <w:t>Space</w:t>
            </w:r>
            <w:r>
              <w:rPr>
                <w:spacing w:val="-1"/>
                <w:sz w:val="18"/>
              </w:rPr>
              <w:t> </w:t>
            </w:r>
            <w:r>
              <w:rPr>
                <w:sz w:val="18"/>
              </w:rPr>
              <w:t>Pathway</w:t>
            </w:r>
            <w:r>
              <w:rPr>
                <w:spacing w:val="-2"/>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38"/>
              <w:ind w:right="78"/>
              <w:jc w:val="right"/>
              <w:rPr>
                <w:sz w:val="20"/>
              </w:rPr>
            </w:pPr>
            <w:r>
              <w:rPr>
                <w:spacing w:val="-5"/>
                <w:sz w:val="20"/>
              </w:rPr>
              <w:t>100</w:t>
            </w:r>
          </w:p>
        </w:tc>
        <w:tc>
          <w:tcPr>
            <w:tcW w:w="1020" w:type="dxa"/>
            <w:tcBorders>
              <w:top w:val="dashed" w:sz="4" w:space="0" w:color="000000"/>
              <w:left w:val="nil"/>
              <w:bottom w:val="dashed" w:sz="4" w:space="0" w:color="000000"/>
              <w:right w:val="nil"/>
            </w:tcBorders>
          </w:tcPr>
          <w:p>
            <w:pPr>
              <w:pStyle w:val="TableParagraph"/>
              <w:spacing w:before="38"/>
              <w:ind w:right="93"/>
              <w:jc w:val="right"/>
              <w:rPr>
                <w:sz w:val="20"/>
              </w:rPr>
            </w:pPr>
            <w:r>
              <w:rPr>
                <w:spacing w:val="-5"/>
                <w:sz w:val="20"/>
              </w:rPr>
              <w:t>100</w:t>
            </w:r>
          </w:p>
        </w:tc>
        <w:tc>
          <w:tcPr>
            <w:tcW w:w="1022" w:type="dxa"/>
            <w:tcBorders>
              <w:top w:val="dashed" w:sz="4" w:space="0" w:color="000000"/>
              <w:left w:val="nil"/>
              <w:bottom w:val="dashed" w:sz="4" w:space="0" w:color="000000"/>
              <w:right w:val="nil"/>
            </w:tcBorders>
          </w:tcPr>
          <w:p>
            <w:pPr>
              <w:pStyle w:val="TableParagraph"/>
              <w:spacing w:before="10"/>
              <w:rPr>
                <w:b/>
                <w:sz w:val="3"/>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40" coordorigin="0,0" coordsize="10,192">
                  <v:shape style="position:absolute;left:0;top:0;width:10;height:192" id="docshape74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42" coordorigin="0,0" coordsize="10,192">
                  <v:shape style="position:absolute;left:0;top:0;width:10;height:192" id="docshape743"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10"/>
              <w:rPr>
                <w:b/>
                <w:sz w:val="3"/>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44" coordorigin="0,0" coordsize="10,192">
                  <v:shape style="position:absolute;left:0;top:0;width:10;height:192" id="docshape745"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nil"/>
            </w:tcBorders>
          </w:tcPr>
          <w:p>
            <w:pPr>
              <w:pStyle w:val="TableParagraph"/>
              <w:spacing w:before="38"/>
              <w:ind w:right="93"/>
              <w:jc w:val="right"/>
              <w:rPr>
                <w:sz w:val="20"/>
              </w:rPr>
            </w:pPr>
            <w:r>
              <w:rPr>
                <w:spacing w:val="-5"/>
                <w:sz w:val="20"/>
              </w:rPr>
              <w:t>25</w:t>
            </w:r>
          </w:p>
        </w:tc>
        <w:tc>
          <w:tcPr>
            <w:tcW w:w="1022" w:type="dxa"/>
            <w:tcBorders>
              <w:top w:val="dashed" w:sz="4" w:space="0" w:color="000000"/>
              <w:left w:val="nil"/>
              <w:bottom w:val="dashed" w:sz="4" w:space="0" w:color="000000"/>
              <w:right w:val="nil"/>
            </w:tcBorders>
          </w:tcPr>
          <w:p>
            <w:pPr>
              <w:pStyle w:val="TableParagraph"/>
              <w:spacing w:before="38"/>
              <w:ind w:right="95"/>
              <w:jc w:val="right"/>
              <w:rPr>
                <w:sz w:val="20"/>
              </w:rPr>
            </w:pPr>
            <w:r>
              <w:rPr>
                <w:spacing w:val="-5"/>
                <w:sz w:val="20"/>
              </w:rPr>
              <w:t>50</w:t>
            </w:r>
          </w:p>
        </w:tc>
        <w:tc>
          <w:tcPr>
            <w:tcW w:w="1020" w:type="dxa"/>
            <w:tcBorders>
              <w:top w:val="dashed" w:sz="4" w:space="0" w:color="000000"/>
              <w:left w:val="nil"/>
              <w:bottom w:val="dashed" w:sz="4" w:space="0" w:color="000000"/>
              <w:right w:val="single" w:sz="12" w:space="0" w:color="000000"/>
            </w:tcBorders>
          </w:tcPr>
          <w:p>
            <w:pPr>
              <w:pStyle w:val="TableParagraph"/>
              <w:spacing w:before="38"/>
              <w:ind w:right="78"/>
              <w:jc w:val="right"/>
              <w:rPr>
                <w:sz w:val="20"/>
              </w:rPr>
            </w:pPr>
            <w:r>
              <w:rPr>
                <w:spacing w:val="-5"/>
                <w:sz w:val="20"/>
              </w:rPr>
              <w:t>25</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80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80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85</w:t>
            </w:r>
          </w:p>
        </w:tc>
      </w:tr>
      <w:tr>
        <w:trPr>
          <w:trHeight w:val="30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9"/>
              <w:ind w:left="107"/>
              <w:rPr>
                <w:sz w:val="18"/>
              </w:rPr>
            </w:pPr>
            <w:r>
              <w:rPr>
                <w:sz w:val="18"/>
              </w:rPr>
              <w:t>Open</w:t>
            </w:r>
            <w:r>
              <w:rPr>
                <w:spacing w:val="-2"/>
                <w:sz w:val="18"/>
              </w:rPr>
              <w:t> </w:t>
            </w:r>
            <w:r>
              <w:rPr>
                <w:sz w:val="18"/>
              </w:rPr>
              <w:t>Space</w:t>
            </w:r>
            <w:r>
              <w:rPr>
                <w:spacing w:val="-1"/>
                <w:sz w:val="18"/>
              </w:rPr>
              <w:t> </w:t>
            </w:r>
            <w:r>
              <w:rPr>
                <w:sz w:val="18"/>
              </w:rPr>
              <w:t>Improvement</w:t>
            </w:r>
            <w:r>
              <w:rPr>
                <w:spacing w:val="-3"/>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38"/>
              <w:ind w:right="78"/>
              <w:jc w:val="right"/>
              <w:rPr>
                <w:sz w:val="20"/>
              </w:rPr>
            </w:pPr>
            <w:r>
              <w:rPr>
                <w:spacing w:val="-5"/>
                <w:sz w:val="20"/>
              </w:rPr>
              <w:t>335</w:t>
            </w:r>
          </w:p>
        </w:tc>
        <w:tc>
          <w:tcPr>
            <w:tcW w:w="1020" w:type="dxa"/>
            <w:tcBorders>
              <w:top w:val="dashed" w:sz="4" w:space="0" w:color="000000"/>
              <w:left w:val="nil"/>
              <w:bottom w:val="dashSmallGap" w:sz="4" w:space="0" w:color="000000"/>
              <w:right w:val="nil"/>
            </w:tcBorders>
          </w:tcPr>
          <w:p>
            <w:pPr>
              <w:pStyle w:val="TableParagraph"/>
              <w:spacing w:before="38"/>
              <w:ind w:right="93"/>
              <w:jc w:val="right"/>
              <w:rPr>
                <w:sz w:val="20"/>
              </w:rPr>
            </w:pPr>
            <w:r>
              <w:rPr>
                <w:spacing w:val="-5"/>
                <w:sz w:val="20"/>
              </w:rPr>
              <w:t>335</w:t>
            </w:r>
          </w:p>
        </w:tc>
        <w:tc>
          <w:tcPr>
            <w:tcW w:w="1022"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46" coordorigin="0,0" coordsize="10,192">
                  <v:shape style="position:absolute;left:0;top:0;width:10;height:193" id="docshape747" coordorigin="0,0" coordsize="10,193"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48" coordorigin="0,0" coordsize="10,192">
                  <v:shape style="position:absolute;left:0;top:0;width:10;height:193" id="docshape749"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50" coordorigin="0,0" coordsize="10,192">
                  <v:shape style="position:absolute;left:0;top:0;width:10;height:193" id="docshape751" coordorigin="0,0" coordsize="10,193"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SmallGap" w:sz="4" w:space="0" w:color="000000"/>
              <w:right w:val="nil"/>
            </w:tcBorders>
          </w:tcPr>
          <w:p>
            <w:pPr>
              <w:pStyle w:val="TableParagraph"/>
              <w:spacing w:before="38"/>
              <w:ind w:right="93"/>
              <w:jc w:val="right"/>
              <w:rPr>
                <w:sz w:val="20"/>
              </w:rPr>
            </w:pPr>
            <w:r>
              <w:rPr>
                <w:spacing w:val="-5"/>
                <w:sz w:val="20"/>
              </w:rPr>
              <w:t>70</w:t>
            </w:r>
          </w:p>
        </w:tc>
        <w:tc>
          <w:tcPr>
            <w:tcW w:w="1022" w:type="dxa"/>
            <w:tcBorders>
              <w:top w:val="dashed" w:sz="4" w:space="0" w:color="000000"/>
              <w:left w:val="nil"/>
              <w:bottom w:val="dashed" w:sz="4" w:space="0" w:color="000000"/>
              <w:right w:val="nil"/>
            </w:tcBorders>
          </w:tcPr>
          <w:p>
            <w:pPr>
              <w:pStyle w:val="TableParagraph"/>
              <w:spacing w:before="38"/>
              <w:ind w:right="95"/>
              <w:jc w:val="right"/>
              <w:rPr>
                <w:sz w:val="20"/>
              </w:rPr>
            </w:pPr>
            <w:r>
              <w:rPr>
                <w:spacing w:val="-5"/>
                <w:sz w:val="20"/>
              </w:rPr>
              <w:t>265</w:t>
            </w:r>
          </w:p>
        </w:tc>
        <w:tc>
          <w:tcPr>
            <w:tcW w:w="1020" w:type="dxa"/>
            <w:tcBorders>
              <w:top w:val="dashed" w:sz="4" w:space="0" w:color="000000"/>
              <w:left w:val="nil"/>
              <w:bottom w:val="dashed" w:sz="4" w:space="0" w:color="000000"/>
              <w:right w:val="single" w:sz="12" w:space="0" w:color="000000"/>
            </w:tcBorders>
          </w:tcPr>
          <w:p>
            <w:pPr>
              <w:pStyle w:val="TableParagraph"/>
              <w:spacing w:before="38"/>
              <w:ind w:right="75"/>
              <w:jc w:val="right"/>
              <w:rPr>
                <w:sz w:val="20"/>
              </w:rPr>
            </w:pPr>
            <w:r>
              <w:rPr>
                <w:w w:val="99"/>
                <w:sz w:val="20"/>
              </w:rPr>
              <w:t>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335</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450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460</w:t>
            </w:r>
          </w:p>
        </w:tc>
      </w:tr>
      <w:tr>
        <w:trPr>
          <w:trHeight w:val="486"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35"/>
              <w:ind w:left="107" w:right="110"/>
              <w:rPr>
                <w:sz w:val="18"/>
              </w:rPr>
            </w:pPr>
            <w:r>
              <w:rPr>
                <w:sz w:val="18"/>
              </w:rPr>
              <w:t>Open</w:t>
            </w:r>
            <w:r>
              <w:rPr>
                <w:spacing w:val="-10"/>
                <w:sz w:val="18"/>
              </w:rPr>
              <w:t> </w:t>
            </w:r>
            <w:r>
              <w:rPr>
                <w:sz w:val="18"/>
              </w:rPr>
              <w:t>Space</w:t>
            </w:r>
            <w:r>
              <w:rPr>
                <w:spacing w:val="-10"/>
                <w:sz w:val="18"/>
              </w:rPr>
              <w:t> </w:t>
            </w:r>
            <w:r>
              <w:rPr>
                <w:sz w:val="18"/>
              </w:rPr>
              <w:t>Footbridge</w:t>
            </w:r>
            <w:r>
              <w:rPr>
                <w:spacing w:val="-10"/>
                <w:sz w:val="18"/>
              </w:rPr>
              <w:t> </w:t>
            </w:r>
            <w:r>
              <w:rPr>
                <w:sz w:val="18"/>
              </w:rPr>
              <w:t>and</w:t>
            </w:r>
            <w:r>
              <w:rPr>
                <w:spacing w:val="-9"/>
                <w:sz w:val="18"/>
              </w:rPr>
              <w:t> </w:t>
            </w:r>
            <w:r>
              <w:rPr>
                <w:sz w:val="18"/>
              </w:rPr>
              <w:t>Boardwalk Improvement 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126"/>
              <w:ind w:right="78"/>
              <w:jc w:val="right"/>
              <w:rPr>
                <w:sz w:val="20"/>
              </w:rPr>
            </w:pPr>
            <w:r>
              <w:rPr>
                <w:spacing w:val="-5"/>
                <w:sz w:val="20"/>
              </w:rPr>
              <w:t>230</w:t>
            </w:r>
          </w:p>
        </w:tc>
        <w:tc>
          <w:tcPr>
            <w:tcW w:w="1020" w:type="dxa"/>
            <w:tcBorders>
              <w:top w:val="dashSmallGap" w:sz="4" w:space="0" w:color="000000"/>
              <w:left w:val="nil"/>
              <w:bottom w:val="dashed" w:sz="4" w:space="0" w:color="000000"/>
              <w:right w:val="nil"/>
            </w:tcBorders>
          </w:tcPr>
          <w:p>
            <w:pPr>
              <w:pStyle w:val="TableParagraph"/>
              <w:spacing w:before="126"/>
              <w:ind w:right="93"/>
              <w:jc w:val="right"/>
              <w:rPr>
                <w:sz w:val="20"/>
              </w:rPr>
            </w:pPr>
            <w:r>
              <w:rPr>
                <w:spacing w:val="-5"/>
                <w:sz w:val="20"/>
              </w:rPr>
              <w:t>230</w:t>
            </w:r>
          </w:p>
        </w:tc>
        <w:tc>
          <w:tcPr>
            <w:tcW w:w="1022" w:type="dxa"/>
            <w:tcBorders>
              <w:top w:val="dashSmallGap" w:sz="4" w:space="0" w:color="000000"/>
              <w:left w:val="nil"/>
              <w:bottom w:val="dashSmallGap" w:sz="4" w:space="0" w:color="000000"/>
              <w:right w:val="nil"/>
            </w:tcBorders>
          </w:tcPr>
          <w:p>
            <w:pPr>
              <w:pStyle w:val="TableParagraph"/>
              <w:spacing w:before="4"/>
              <w:rPr>
                <w:b/>
                <w:sz w:val="9"/>
              </w:rPr>
            </w:pPr>
          </w:p>
          <w:p>
            <w:pPr>
              <w:pStyle w:val="TableParagraph"/>
              <w:tabs>
                <w:tab w:pos="1032" w:val="left" w:leader="none"/>
              </w:tabs>
              <w:ind w:left="10" w:right="-87"/>
              <w:rPr>
                <w:sz w:val="20"/>
              </w:rPr>
            </w:pPr>
            <w:r>
              <w:rPr>
                <w:sz w:val="20"/>
              </w:rPr>
              <w:pict>
                <v:group style="width:.5pt;height:13.45pt;mso-position-horizontal-relative:char;mso-position-vertical-relative:line" id="docshapegroup752" coordorigin="0,0" coordsize="10,269">
                  <v:shape style="position:absolute;left:0;top:0;width:10;height:269" id="docshape753"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754" coordorigin="0,0" coordsize="10,269">
                  <v:shape style="position:absolute;left:0;top:0;width:10;height:269" id="docshape755" coordorigin="0,0" coordsize="10,269" path="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ed" w:sz="4" w:space="0" w:color="000000"/>
              <w:right w:val="nil"/>
            </w:tcBorders>
          </w:tcPr>
          <w:p>
            <w:pPr>
              <w:pStyle w:val="TableParagraph"/>
              <w:spacing w:before="4"/>
              <w:rPr>
                <w:b/>
                <w:sz w:val="9"/>
              </w:rPr>
            </w:pPr>
          </w:p>
          <w:p>
            <w:pPr>
              <w:pStyle w:val="TableParagraph"/>
              <w:ind w:left="1030" w:right="-87"/>
              <w:rPr>
                <w:sz w:val="20"/>
              </w:rPr>
            </w:pPr>
            <w:r>
              <w:rPr>
                <w:sz w:val="20"/>
              </w:rPr>
              <w:pict>
                <v:group style="width:.5pt;height:13.45pt;mso-position-horizontal-relative:char;mso-position-vertical-relative:line" id="docshapegroup756" coordorigin="0,0" coordsize="10,269">
                  <v:shape style="position:absolute;left:0;top:0;width:10;height:269" id="docshape757" coordorigin="0,0" coordsize="10,269" path="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SmallGap" w:sz="4" w:space="0" w:color="000000"/>
              <w:right w:val="nil"/>
            </w:tcBorders>
          </w:tcPr>
          <w:p>
            <w:pPr>
              <w:pStyle w:val="TableParagraph"/>
              <w:spacing w:before="126"/>
              <w:ind w:right="93"/>
              <w:jc w:val="right"/>
              <w:rPr>
                <w:sz w:val="20"/>
              </w:rPr>
            </w:pPr>
            <w:r>
              <w:rPr>
                <w:spacing w:val="-5"/>
                <w:sz w:val="20"/>
              </w:rPr>
              <w:t>230</w:t>
            </w:r>
          </w:p>
        </w:tc>
        <w:tc>
          <w:tcPr>
            <w:tcW w:w="1022" w:type="dxa"/>
            <w:tcBorders>
              <w:top w:val="dashed" w:sz="4" w:space="0" w:color="000000"/>
              <w:left w:val="nil"/>
              <w:bottom w:val="dashed" w:sz="4" w:space="0" w:color="000000"/>
              <w:right w:val="nil"/>
            </w:tcBorders>
          </w:tcPr>
          <w:p>
            <w:pPr>
              <w:pStyle w:val="TableParagraph"/>
              <w:spacing w:before="4"/>
              <w:rPr>
                <w:b/>
                <w:sz w:val="9"/>
              </w:rPr>
            </w:pPr>
          </w:p>
          <w:p>
            <w:pPr>
              <w:pStyle w:val="TableParagraph"/>
              <w:tabs>
                <w:tab w:pos="1032" w:val="left" w:leader="none"/>
              </w:tabs>
              <w:ind w:left="10" w:right="-87"/>
              <w:rPr>
                <w:sz w:val="20"/>
              </w:rPr>
            </w:pPr>
            <w:r>
              <w:rPr>
                <w:sz w:val="20"/>
              </w:rPr>
              <w:pict>
                <v:group style="width:.5pt;height:13.45pt;mso-position-horizontal-relative:char;mso-position-vertical-relative:line" id="docshapegroup758" coordorigin="0,0" coordsize="10,269">
                  <v:shape style="position:absolute;left:0;top:0;width:10;height:269" id="docshape759"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760" coordorigin="0,0" coordsize="10,269">
                  <v:shape style="position:absolute;left:0;top:0;width:10;height:269" id="docshape761" coordorigin="0,0" coordsize="10,269" path="m10,230l0,230,0,269,10,269,10,230xm10,154l0,154,0,192,10,192,10,154xm10,77l0,77,0,115,10,115,10,77xm10,0l0,0,0,38,10,38,10,0xe" filled="true" fillcolor="#000000" stroked="false">
                    <v:path arrowok="t"/>
                    <v:fill type="solid"/>
                  </v:shape>
                </v:group>
              </w:pict>
            </w:r>
            <w:r>
              <w:rPr>
                <w:sz w:val="20"/>
              </w:rPr>
            </w:r>
          </w:p>
        </w:tc>
        <w:tc>
          <w:tcPr>
            <w:tcW w:w="1020" w:type="dxa"/>
            <w:tcBorders>
              <w:top w:val="dashed" w:sz="4" w:space="0" w:color="000000"/>
              <w:left w:val="nil"/>
              <w:bottom w:val="dashSmallGap" w:sz="4" w:space="0" w:color="000000"/>
              <w:right w:val="single" w:sz="12" w:space="0" w:color="000000"/>
            </w:tcBorders>
          </w:tcPr>
          <w:p>
            <w:pPr>
              <w:pStyle w:val="TableParagraph"/>
              <w:rPr>
                <w:rFonts w:ascii="Times New Roman"/>
                <w:sz w:val="18"/>
              </w:rPr>
            </w:pPr>
          </w:p>
        </w:tc>
        <w:tc>
          <w:tcPr>
            <w:tcW w:w="1248" w:type="dxa"/>
            <w:tcBorders>
              <w:top w:val="dashed" w:sz="4" w:space="0" w:color="000000"/>
              <w:left w:val="single" w:sz="12" w:space="0" w:color="000000"/>
              <w:bottom w:val="dashSmallGap" w:sz="4" w:space="0" w:color="000000"/>
              <w:right w:val="single" w:sz="12" w:space="0" w:color="000000"/>
            </w:tcBorders>
          </w:tcPr>
          <w:p>
            <w:pPr>
              <w:pStyle w:val="TableParagraph"/>
              <w:spacing w:before="126"/>
              <w:ind w:right="75"/>
              <w:jc w:val="right"/>
              <w:rPr>
                <w:sz w:val="20"/>
              </w:rPr>
            </w:pPr>
            <w:r>
              <w:rPr>
                <w:w w:val="99"/>
                <w:sz w:val="20"/>
              </w:rPr>
              <w:t>0</w:t>
            </w:r>
          </w:p>
        </w:tc>
        <w:tc>
          <w:tcPr>
            <w:tcW w:w="1248" w:type="dxa"/>
            <w:tcBorders>
              <w:top w:val="dashed" w:sz="4" w:space="0" w:color="000000"/>
              <w:left w:val="single" w:sz="12" w:space="0" w:color="000000"/>
              <w:bottom w:val="dashSmallGap" w:sz="4" w:space="0" w:color="000000"/>
              <w:right w:val="single" w:sz="12" w:space="0" w:color="000000"/>
            </w:tcBorders>
          </w:tcPr>
          <w:p>
            <w:pPr>
              <w:pStyle w:val="TableParagraph"/>
              <w:spacing w:before="126"/>
              <w:ind w:right="77"/>
              <w:jc w:val="right"/>
              <w:rPr>
                <w:sz w:val="20"/>
              </w:rPr>
            </w:pPr>
            <w:r>
              <w:rPr>
                <w:spacing w:val="-5"/>
                <w:sz w:val="20"/>
              </w:rPr>
              <w:t>230</w:t>
            </w:r>
          </w:p>
        </w:tc>
        <w:tc>
          <w:tcPr>
            <w:tcW w:w="1250" w:type="dxa"/>
            <w:tcBorders>
              <w:top w:val="dashed" w:sz="4" w:space="0" w:color="000000"/>
              <w:left w:val="single" w:sz="12" w:space="0" w:color="000000"/>
              <w:bottom w:val="dashSmallGap" w:sz="4" w:space="0" w:color="000000"/>
              <w:right w:val="single" w:sz="12" w:space="0" w:color="000000"/>
            </w:tcBorders>
          </w:tcPr>
          <w:p>
            <w:pPr>
              <w:pStyle w:val="TableParagraph"/>
              <w:spacing w:before="126"/>
              <w:ind w:right="74"/>
              <w:jc w:val="right"/>
              <w:rPr>
                <w:sz w:val="20"/>
              </w:rPr>
            </w:pPr>
            <w:r>
              <w:rPr>
                <w:w w:val="99"/>
                <w:sz w:val="20"/>
              </w:rPr>
              <w:t>0</w:t>
            </w:r>
          </w:p>
        </w:tc>
      </w:tr>
      <w:tr>
        <w:trPr>
          <w:trHeight w:val="48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35"/>
              <w:ind w:left="107"/>
              <w:rPr>
                <w:sz w:val="18"/>
              </w:rPr>
            </w:pPr>
            <w:r>
              <w:rPr>
                <w:sz w:val="18"/>
              </w:rPr>
              <w:t>Committees</w:t>
            </w:r>
            <w:r>
              <w:rPr>
                <w:spacing w:val="-8"/>
                <w:sz w:val="18"/>
              </w:rPr>
              <w:t> </w:t>
            </w:r>
            <w:r>
              <w:rPr>
                <w:sz w:val="18"/>
              </w:rPr>
              <w:t>of</w:t>
            </w:r>
            <w:r>
              <w:rPr>
                <w:spacing w:val="-11"/>
                <w:sz w:val="18"/>
              </w:rPr>
              <w:t> </w:t>
            </w:r>
            <w:r>
              <w:rPr>
                <w:sz w:val="18"/>
              </w:rPr>
              <w:t>Management</w:t>
            </w:r>
            <w:r>
              <w:rPr>
                <w:spacing w:val="-9"/>
                <w:sz w:val="18"/>
              </w:rPr>
              <w:t> </w:t>
            </w:r>
            <w:r>
              <w:rPr>
                <w:sz w:val="18"/>
              </w:rPr>
              <w:t>Open</w:t>
            </w:r>
            <w:r>
              <w:rPr>
                <w:spacing w:val="-9"/>
                <w:sz w:val="18"/>
              </w:rPr>
              <w:t> </w:t>
            </w:r>
            <w:r>
              <w:rPr>
                <w:sz w:val="18"/>
              </w:rPr>
              <w:t>Space </w:t>
            </w:r>
            <w:r>
              <w:rPr>
                <w:spacing w:val="-2"/>
                <w:sz w:val="18"/>
              </w:rPr>
              <w:t>Improvements</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126"/>
              <w:ind w:right="79"/>
              <w:jc w:val="right"/>
              <w:rPr>
                <w:sz w:val="20"/>
              </w:rPr>
            </w:pPr>
            <w:r>
              <w:rPr>
                <w:spacing w:val="-5"/>
                <w:sz w:val="20"/>
              </w:rPr>
              <w:t>20</w:t>
            </w:r>
          </w:p>
        </w:tc>
        <w:tc>
          <w:tcPr>
            <w:tcW w:w="1020" w:type="dxa"/>
            <w:tcBorders>
              <w:top w:val="dashed" w:sz="4" w:space="0" w:color="000000"/>
              <w:left w:val="nil"/>
              <w:bottom w:val="dashed" w:sz="4" w:space="0" w:color="000000"/>
              <w:right w:val="nil"/>
            </w:tcBorders>
          </w:tcPr>
          <w:p>
            <w:pPr>
              <w:pStyle w:val="TableParagraph"/>
              <w:spacing w:before="126"/>
              <w:ind w:right="94"/>
              <w:jc w:val="right"/>
              <w:rPr>
                <w:sz w:val="20"/>
              </w:rPr>
            </w:pPr>
            <w:r>
              <w:rPr>
                <w:spacing w:val="-5"/>
                <w:sz w:val="20"/>
              </w:rPr>
              <w:t>20</w:t>
            </w:r>
          </w:p>
        </w:tc>
        <w:tc>
          <w:tcPr>
            <w:tcW w:w="1022" w:type="dxa"/>
            <w:tcBorders>
              <w:top w:val="dashSmallGap" w:sz="4" w:space="0" w:color="000000"/>
              <w:left w:val="nil"/>
              <w:bottom w:val="dashed" w:sz="4" w:space="0" w:color="000000"/>
              <w:right w:val="nil"/>
            </w:tcBorders>
          </w:tcPr>
          <w:p>
            <w:pPr>
              <w:pStyle w:val="TableParagraph"/>
              <w:spacing w:before="2"/>
              <w:rPr>
                <w:b/>
                <w:sz w:val="6"/>
              </w:rPr>
            </w:pPr>
          </w:p>
          <w:p>
            <w:pPr>
              <w:pStyle w:val="TableParagraph"/>
              <w:tabs>
                <w:tab w:pos="1032" w:val="left" w:leader="none"/>
              </w:tabs>
              <w:ind w:left="10" w:right="-87"/>
              <w:rPr>
                <w:sz w:val="20"/>
              </w:rPr>
            </w:pPr>
            <w:r>
              <w:rPr>
                <w:sz w:val="20"/>
              </w:rPr>
              <w:pict>
                <v:group style="width:.5pt;height:17.3pt;mso-position-horizontal-relative:char;mso-position-vertical-relative:line" id="docshapegroup762" coordorigin="0,0" coordsize="10,346">
                  <v:shape style="position:absolute;left:0;top:0;width:10;height:346" id="docshape763"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764" coordorigin="0,0" coordsize="10,346">
                  <v:shape style="position:absolute;left:0;top:0;width:10;height:346" id="docshape765"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20" w:type="dxa"/>
            <w:tcBorders>
              <w:top w:val="dashed" w:sz="4" w:space="0" w:color="000000"/>
              <w:left w:val="nil"/>
              <w:bottom w:val="dashed" w:sz="4" w:space="0" w:color="000000"/>
              <w:right w:val="nil"/>
            </w:tcBorders>
          </w:tcPr>
          <w:p>
            <w:pPr>
              <w:pStyle w:val="TableParagraph"/>
              <w:spacing w:before="2"/>
              <w:rPr>
                <w:b/>
                <w:sz w:val="6"/>
              </w:rPr>
            </w:pPr>
          </w:p>
          <w:p>
            <w:pPr>
              <w:pStyle w:val="TableParagraph"/>
              <w:ind w:left="1030" w:right="-87"/>
              <w:rPr>
                <w:sz w:val="20"/>
              </w:rPr>
            </w:pPr>
            <w:r>
              <w:rPr>
                <w:sz w:val="20"/>
              </w:rPr>
              <w:pict>
                <v:group style="width:.5pt;height:17.3pt;mso-position-horizontal-relative:char;mso-position-vertical-relative:line" id="docshapegroup766" coordorigin="0,0" coordsize="10,346">
                  <v:shape style="position:absolute;left:0;top:0;width:10;height:346" id="docshape767"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020" w:type="dxa"/>
            <w:tcBorders>
              <w:top w:val="dashSmallGap" w:sz="4" w:space="0" w:color="000000"/>
              <w:left w:val="nil"/>
              <w:bottom w:val="dashed" w:sz="4" w:space="0" w:color="000000"/>
              <w:right w:val="nil"/>
            </w:tcBorders>
          </w:tcPr>
          <w:p>
            <w:pPr>
              <w:pStyle w:val="TableParagraph"/>
              <w:spacing w:before="126"/>
              <w:ind w:right="93"/>
              <w:jc w:val="right"/>
              <w:rPr>
                <w:sz w:val="20"/>
              </w:rPr>
            </w:pPr>
            <w:r>
              <w:rPr>
                <w:spacing w:val="-5"/>
                <w:sz w:val="20"/>
              </w:rPr>
              <w:t>10</w:t>
            </w:r>
          </w:p>
        </w:tc>
        <w:tc>
          <w:tcPr>
            <w:tcW w:w="1022" w:type="dxa"/>
            <w:tcBorders>
              <w:top w:val="dashed" w:sz="4" w:space="0" w:color="000000"/>
              <w:left w:val="nil"/>
              <w:bottom w:val="dashed" w:sz="4" w:space="0" w:color="000000"/>
              <w:right w:val="nil"/>
            </w:tcBorders>
          </w:tcPr>
          <w:p>
            <w:pPr>
              <w:pStyle w:val="TableParagraph"/>
              <w:spacing w:before="126"/>
              <w:ind w:right="95"/>
              <w:jc w:val="right"/>
              <w:rPr>
                <w:sz w:val="20"/>
              </w:rPr>
            </w:pPr>
            <w:r>
              <w:rPr>
                <w:spacing w:val="-5"/>
                <w:sz w:val="20"/>
              </w:rPr>
              <w:t>10</w:t>
            </w:r>
          </w:p>
        </w:tc>
        <w:tc>
          <w:tcPr>
            <w:tcW w:w="1020" w:type="dxa"/>
            <w:tcBorders>
              <w:top w:val="dashSmallGap" w:sz="4" w:space="0" w:color="000000"/>
              <w:left w:val="nil"/>
              <w:bottom w:val="dashed" w:sz="4" w:space="0" w:color="000000"/>
              <w:right w:val="single" w:sz="12" w:space="0" w:color="000000"/>
            </w:tcBorders>
          </w:tcPr>
          <w:p>
            <w:pPr>
              <w:pStyle w:val="TableParagraph"/>
              <w:spacing w:before="2"/>
              <w:rPr>
                <w:b/>
                <w:sz w:val="6"/>
              </w:rPr>
            </w:pPr>
          </w:p>
          <w:p>
            <w:pPr>
              <w:pStyle w:val="TableParagraph"/>
              <w:ind w:left="-5"/>
              <w:rPr>
                <w:sz w:val="20"/>
              </w:rPr>
            </w:pPr>
            <w:r>
              <w:rPr>
                <w:sz w:val="20"/>
              </w:rPr>
              <w:pict>
                <v:group style="width:.5pt;height:17.3pt;mso-position-horizontal-relative:char;mso-position-vertical-relative:line" id="docshapegroup768" coordorigin="0,0" coordsize="10,346">
                  <v:shape style="position:absolute;left:0;top:0;width:10;height:346" id="docshape769"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248" w:type="dxa"/>
            <w:tcBorders>
              <w:top w:val="dashSmallGap" w:sz="4" w:space="0" w:color="000000"/>
              <w:left w:val="single" w:sz="12" w:space="0" w:color="000000"/>
              <w:bottom w:val="dashed" w:sz="4" w:space="0" w:color="000000"/>
              <w:right w:val="single" w:sz="12" w:space="0" w:color="000000"/>
            </w:tcBorders>
          </w:tcPr>
          <w:p>
            <w:pPr>
              <w:pStyle w:val="TableParagraph"/>
              <w:spacing w:before="126"/>
              <w:ind w:right="78"/>
              <w:jc w:val="right"/>
              <w:rPr>
                <w:sz w:val="20"/>
              </w:rPr>
            </w:pPr>
            <w:r>
              <w:rPr>
                <w:spacing w:val="-5"/>
                <w:sz w:val="20"/>
              </w:rPr>
              <w:t>20</w:t>
            </w:r>
          </w:p>
        </w:tc>
        <w:tc>
          <w:tcPr>
            <w:tcW w:w="1248" w:type="dxa"/>
            <w:tcBorders>
              <w:top w:val="dashSmallGap" w:sz="4" w:space="0" w:color="000000"/>
              <w:left w:val="single" w:sz="12" w:space="0" w:color="000000"/>
              <w:bottom w:val="dashed" w:sz="4" w:space="0" w:color="000000"/>
              <w:right w:val="single" w:sz="12" w:space="0" w:color="000000"/>
            </w:tcBorders>
          </w:tcPr>
          <w:p>
            <w:pPr>
              <w:pStyle w:val="TableParagraph"/>
              <w:spacing w:before="126"/>
              <w:ind w:right="78"/>
              <w:jc w:val="right"/>
              <w:rPr>
                <w:sz w:val="20"/>
              </w:rPr>
            </w:pPr>
            <w:r>
              <w:rPr>
                <w:spacing w:val="-5"/>
                <w:sz w:val="20"/>
              </w:rPr>
              <w:t>20</w:t>
            </w:r>
          </w:p>
        </w:tc>
        <w:tc>
          <w:tcPr>
            <w:tcW w:w="1250" w:type="dxa"/>
            <w:tcBorders>
              <w:top w:val="dashSmallGap" w:sz="4" w:space="0" w:color="000000"/>
              <w:left w:val="single" w:sz="12" w:space="0" w:color="000000"/>
              <w:bottom w:val="dashed" w:sz="4" w:space="0" w:color="000000"/>
              <w:right w:val="single" w:sz="12" w:space="0" w:color="000000"/>
            </w:tcBorders>
          </w:tcPr>
          <w:p>
            <w:pPr>
              <w:pStyle w:val="TableParagraph"/>
              <w:spacing w:before="126"/>
              <w:ind w:right="77"/>
              <w:jc w:val="right"/>
              <w:rPr>
                <w:sz w:val="20"/>
              </w:rPr>
            </w:pPr>
            <w:r>
              <w:rPr>
                <w:spacing w:val="-5"/>
                <w:sz w:val="20"/>
              </w:rPr>
              <w:t>20</w:t>
            </w:r>
          </w:p>
        </w:tc>
      </w:tr>
      <w:tr>
        <w:trPr>
          <w:trHeight w:val="30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9"/>
              <w:ind w:left="107"/>
              <w:rPr>
                <w:sz w:val="18"/>
              </w:rPr>
            </w:pPr>
            <w:r>
              <w:rPr>
                <w:sz w:val="18"/>
              </w:rPr>
              <w:t>Tree</w:t>
            </w:r>
            <w:r>
              <w:rPr>
                <w:spacing w:val="-1"/>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38"/>
              <w:ind w:right="78"/>
              <w:jc w:val="right"/>
              <w:rPr>
                <w:sz w:val="20"/>
              </w:rPr>
            </w:pPr>
            <w:r>
              <w:rPr>
                <w:spacing w:val="-5"/>
                <w:sz w:val="20"/>
              </w:rPr>
              <w:t>917</w:t>
            </w:r>
          </w:p>
        </w:tc>
        <w:tc>
          <w:tcPr>
            <w:tcW w:w="1020" w:type="dxa"/>
            <w:tcBorders>
              <w:top w:val="dashed" w:sz="4" w:space="0" w:color="000000"/>
              <w:left w:val="nil"/>
              <w:bottom w:val="dashSmallGap" w:sz="4" w:space="0" w:color="000000"/>
              <w:right w:val="nil"/>
            </w:tcBorders>
          </w:tcPr>
          <w:p>
            <w:pPr>
              <w:pStyle w:val="TableParagraph"/>
              <w:spacing w:before="38"/>
              <w:ind w:right="93"/>
              <w:jc w:val="right"/>
              <w:rPr>
                <w:sz w:val="20"/>
              </w:rPr>
            </w:pPr>
            <w:r>
              <w:rPr>
                <w:spacing w:val="-5"/>
                <w:sz w:val="20"/>
              </w:rPr>
              <w:t>917</w:t>
            </w:r>
          </w:p>
        </w:tc>
        <w:tc>
          <w:tcPr>
            <w:tcW w:w="1022"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tabs>
                <w:tab w:pos="1032" w:val="left" w:leader="none"/>
              </w:tabs>
              <w:spacing w:line="192" w:lineRule="exact"/>
              <w:ind w:left="10" w:right="-87"/>
              <w:rPr>
                <w:sz w:val="19"/>
              </w:rPr>
            </w:pPr>
            <w:r>
              <w:rPr>
                <w:position w:val="-3"/>
                <w:sz w:val="19"/>
              </w:rPr>
              <w:pict>
                <v:group style="width:.5pt;height:9.6pt;mso-position-horizontal-relative:char;mso-position-vertical-relative:line" id="docshapegroup770" coordorigin="0,0" coordsize="10,192">
                  <v:shape style="position:absolute;left:0;top:0;width:10;height:192" id="docshape771" coordorigin="0,0" coordsize="10,192" path="m10,154l0,154,0,192,10,192,10,154xm10,77l0,77,0,115,10,115,10,77xm10,0l0,0,0,38,10,38,10,0xe" filled="true" fillcolor="#000000" stroked="false">
                    <v:path arrowok="t"/>
                    <v:fill type="solid"/>
                  </v:shape>
                </v:group>
              </w:pict>
            </w:r>
            <w:r>
              <w:rPr>
                <w:position w:val="-3"/>
                <w:sz w:val="19"/>
              </w:rPr>
            </w:r>
            <w:r>
              <w:rPr>
                <w:position w:val="-3"/>
                <w:sz w:val="19"/>
              </w:rPr>
              <w:tab/>
            </w:r>
            <w:r>
              <w:rPr>
                <w:position w:val="-3"/>
                <w:sz w:val="19"/>
              </w:rPr>
              <w:pict>
                <v:group style="width:.5pt;height:9.6pt;mso-position-horizontal-relative:char;mso-position-vertical-relative:line" id="docshapegroup772" coordorigin="0,0" coordsize="10,192">
                  <v:shape style="position:absolute;left:0;top:0;width:10;height:192" id="docshape773"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74" coordorigin="0,0" coordsize="10,192">
                  <v:shape style="position:absolute;left:0;top:0;width:10;height:192" id="docshape775"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SmallGap" w:sz="4" w:space="0" w:color="000000"/>
              <w:right w:val="nil"/>
            </w:tcBorders>
          </w:tcPr>
          <w:p>
            <w:pPr>
              <w:pStyle w:val="TableParagraph"/>
              <w:spacing w:before="3"/>
              <w:rPr>
                <w:b/>
                <w:sz w:val="3"/>
              </w:rPr>
            </w:pPr>
          </w:p>
          <w:p>
            <w:pPr>
              <w:pStyle w:val="TableParagraph"/>
              <w:spacing w:line="192" w:lineRule="exact"/>
              <w:ind w:left="1030" w:right="-87"/>
              <w:rPr>
                <w:sz w:val="19"/>
              </w:rPr>
            </w:pPr>
            <w:r>
              <w:rPr>
                <w:position w:val="-3"/>
                <w:sz w:val="19"/>
              </w:rPr>
              <w:pict>
                <v:group style="width:.5pt;height:9.6pt;mso-position-horizontal-relative:char;mso-position-vertical-relative:line" id="docshapegroup776" coordorigin="0,0" coordsize="10,192">
                  <v:shape style="position:absolute;left:0;top:0;width:10;height:192" id="docshape777" coordorigin="0,0" coordsize="10,192" path="m10,154l0,154,0,192,10,192,10,154xm10,77l0,77,0,115,10,115,10,77xm10,0l0,0,0,38,10,38,10,0xe" filled="true" fillcolor="#000000" stroked="false">
                    <v:path arrowok="t"/>
                    <v:fill type="solid"/>
                  </v:shape>
                </v:group>
              </w:pict>
            </w:r>
            <w:r>
              <w:rPr>
                <w:position w:val="-3"/>
                <w:sz w:val="19"/>
              </w:rPr>
            </w:r>
          </w:p>
        </w:tc>
        <w:tc>
          <w:tcPr>
            <w:tcW w:w="1022" w:type="dxa"/>
            <w:tcBorders>
              <w:top w:val="dashed" w:sz="4" w:space="0" w:color="000000"/>
              <w:left w:val="nil"/>
              <w:bottom w:val="dashed" w:sz="4" w:space="0" w:color="000000"/>
              <w:right w:val="nil"/>
            </w:tcBorders>
          </w:tcPr>
          <w:p>
            <w:pPr>
              <w:pStyle w:val="TableParagraph"/>
              <w:spacing w:before="3"/>
              <w:rPr>
                <w:b/>
                <w:sz w:val="3"/>
              </w:rPr>
            </w:pPr>
          </w:p>
          <w:p>
            <w:pPr>
              <w:pStyle w:val="TableParagraph"/>
              <w:spacing w:line="192" w:lineRule="exact"/>
              <w:ind w:left="1032" w:right="-87"/>
              <w:rPr>
                <w:sz w:val="19"/>
              </w:rPr>
            </w:pPr>
            <w:r>
              <w:rPr>
                <w:position w:val="-3"/>
                <w:sz w:val="19"/>
              </w:rPr>
              <w:pict>
                <v:group style="width:.5pt;height:9.6pt;mso-position-horizontal-relative:char;mso-position-vertical-relative:line" id="docshapegroup778" coordorigin="0,0" coordsize="10,192">
                  <v:shape style="position:absolute;left:0;top:0;width:10;height:192" id="docshape779" coordorigin="0,0" coordsize="10,192" path="m10,154l0,154,0,192,10,192,10,154xm10,77l0,77,0,115,10,115,10,77xm10,0l0,0,0,38,10,38,10,0xe" filled="true" fillcolor="#000000" stroked="false">
                    <v:path arrowok="t"/>
                    <v:fill type="solid"/>
                  </v:shape>
                </v:group>
              </w:pict>
            </w:r>
            <w:r>
              <w:rPr>
                <w:position w:val="-3"/>
                <w:sz w:val="19"/>
              </w:rPr>
            </w:r>
          </w:p>
        </w:tc>
        <w:tc>
          <w:tcPr>
            <w:tcW w:w="1020" w:type="dxa"/>
            <w:tcBorders>
              <w:top w:val="dashed" w:sz="4" w:space="0" w:color="000000"/>
              <w:left w:val="nil"/>
              <w:bottom w:val="dashed" w:sz="4" w:space="0" w:color="000000"/>
              <w:right w:val="single" w:sz="12" w:space="0" w:color="000000"/>
            </w:tcBorders>
          </w:tcPr>
          <w:p>
            <w:pPr>
              <w:pStyle w:val="TableParagraph"/>
              <w:spacing w:before="38"/>
              <w:ind w:right="77"/>
              <w:jc w:val="right"/>
              <w:rPr>
                <w:sz w:val="20"/>
              </w:rPr>
            </w:pPr>
            <w:r>
              <w:rPr>
                <w:spacing w:val="-5"/>
                <w:sz w:val="20"/>
              </w:rPr>
              <w:t>917</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917</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917</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917</w:t>
            </w:r>
          </w:p>
        </w:tc>
      </w:tr>
      <w:tr>
        <w:trPr>
          <w:trHeight w:val="304" w:hRule="atLeast"/>
        </w:trPr>
        <w:tc>
          <w:tcPr>
            <w:tcW w:w="4291" w:type="dxa"/>
            <w:tcBorders>
              <w:top w:val="dashSmallGap" w:sz="4" w:space="0" w:color="000000"/>
              <w:left w:val="single" w:sz="12" w:space="0" w:color="000000"/>
              <w:bottom w:val="dashSmallGap" w:sz="4" w:space="0" w:color="000000"/>
              <w:right w:val="single" w:sz="12" w:space="0" w:color="000000"/>
            </w:tcBorders>
          </w:tcPr>
          <w:p>
            <w:pPr>
              <w:pStyle w:val="TableParagraph"/>
              <w:spacing w:before="49"/>
              <w:ind w:left="107"/>
              <w:rPr>
                <w:sz w:val="18"/>
              </w:rPr>
            </w:pPr>
            <w:r>
              <w:rPr>
                <w:sz w:val="18"/>
              </w:rPr>
              <w:t>Bushland</w:t>
            </w:r>
            <w:r>
              <w:rPr>
                <w:spacing w:val="-3"/>
                <w:sz w:val="18"/>
              </w:rPr>
              <w:t> </w:t>
            </w:r>
            <w:r>
              <w:rPr>
                <w:sz w:val="18"/>
              </w:rPr>
              <w:t>Improvement</w:t>
            </w:r>
            <w:r>
              <w:rPr>
                <w:spacing w:val="1"/>
                <w:sz w:val="18"/>
              </w:rPr>
              <w:t> </w:t>
            </w:r>
            <w:r>
              <w:rPr>
                <w:spacing w:val="-2"/>
                <w:sz w:val="18"/>
              </w:rPr>
              <w:t>Program</w:t>
            </w:r>
          </w:p>
        </w:tc>
        <w:tc>
          <w:tcPr>
            <w:tcW w:w="1207" w:type="dxa"/>
            <w:tcBorders>
              <w:top w:val="dashSmallGap" w:sz="4" w:space="0" w:color="000000"/>
              <w:left w:val="single" w:sz="12" w:space="0" w:color="000000"/>
              <w:bottom w:val="dashSmallGap" w:sz="4" w:space="0" w:color="000000"/>
              <w:right w:val="nil"/>
            </w:tcBorders>
          </w:tcPr>
          <w:p>
            <w:pPr>
              <w:pStyle w:val="TableParagraph"/>
              <w:spacing w:before="38"/>
              <w:ind w:right="79"/>
              <w:jc w:val="right"/>
              <w:rPr>
                <w:sz w:val="20"/>
              </w:rPr>
            </w:pPr>
            <w:r>
              <w:rPr>
                <w:spacing w:val="-5"/>
                <w:sz w:val="20"/>
              </w:rPr>
              <w:t>60</w:t>
            </w:r>
          </w:p>
        </w:tc>
        <w:tc>
          <w:tcPr>
            <w:tcW w:w="1020" w:type="dxa"/>
            <w:tcBorders>
              <w:top w:val="dashSmallGap" w:sz="4" w:space="0" w:color="000000"/>
              <w:left w:val="nil"/>
              <w:bottom w:val="dashSmallGap" w:sz="4" w:space="0" w:color="000000"/>
              <w:right w:val="nil"/>
            </w:tcBorders>
          </w:tcPr>
          <w:p>
            <w:pPr>
              <w:pStyle w:val="TableParagraph"/>
              <w:spacing w:before="38"/>
              <w:ind w:right="94"/>
              <w:jc w:val="right"/>
              <w:rPr>
                <w:sz w:val="20"/>
              </w:rPr>
            </w:pPr>
            <w:r>
              <w:rPr>
                <w:spacing w:val="-5"/>
                <w:sz w:val="20"/>
              </w:rPr>
              <w:t>60</w:t>
            </w:r>
          </w:p>
        </w:tc>
        <w:tc>
          <w:tcPr>
            <w:tcW w:w="1022" w:type="dxa"/>
            <w:tcBorders>
              <w:top w:val="dashSmallGap" w:sz="4" w:space="0" w:color="000000"/>
              <w:left w:val="nil"/>
              <w:bottom w:val="dashSmallGap" w:sz="4" w:space="0" w:color="000000"/>
              <w:right w:val="nil"/>
            </w:tcBorders>
          </w:tcPr>
          <w:p>
            <w:pPr>
              <w:pStyle w:val="TableParagraph"/>
              <w:spacing w:before="4"/>
              <w:rPr>
                <w:b/>
                <w:sz w:val="9"/>
              </w:rPr>
            </w:pPr>
          </w:p>
          <w:p>
            <w:pPr>
              <w:pStyle w:val="TableParagraph"/>
              <w:tabs>
                <w:tab w:pos="1032" w:val="left" w:leader="none"/>
              </w:tabs>
              <w:spacing w:line="115" w:lineRule="exact"/>
              <w:ind w:left="10" w:right="-87"/>
              <w:rPr>
                <w:sz w:val="11"/>
              </w:rPr>
            </w:pPr>
            <w:r>
              <w:rPr>
                <w:position w:val="-1"/>
                <w:sz w:val="11"/>
              </w:rPr>
              <w:pict>
                <v:group style="width:.5pt;height:5.8pt;mso-position-horizontal-relative:char;mso-position-vertical-relative:line" id="docshapegroup780" coordorigin="0,0" coordsize="10,116">
                  <v:shape style="position:absolute;left:0;top:0;width:10;height:116" id="docshape781"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782" coordorigin="0,0" coordsize="10,116">
                  <v:shape style="position:absolute;left:0;top:0;width:10;height:116" id="docshape783"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
              <w:rPr>
                <w:b/>
                <w:sz w:val="9"/>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784" coordorigin="0,0" coordsize="10,116">
                  <v:shape style="position:absolute;left:0;top:0;width:10;height:116" id="docshape785" coordorigin="0,0" coordsize="10,116" path="m10,77l0,77,0,115,10,115,10,77xm10,0l0,0,0,38,10,38,10,0xe" filled="true" fillcolor="#000000" stroked="false">
                    <v:path arrowok="t"/>
                    <v:fill type="solid"/>
                  </v:shape>
                </v:group>
              </w:pict>
            </w:r>
            <w:r>
              <w:rPr>
                <w:position w:val="-1"/>
                <w:sz w:val="11"/>
              </w:rPr>
            </w:r>
          </w:p>
        </w:tc>
        <w:tc>
          <w:tcPr>
            <w:tcW w:w="1020" w:type="dxa"/>
            <w:tcBorders>
              <w:top w:val="dashSmallGap" w:sz="4" w:space="0" w:color="000000"/>
              <w:left w:val="nil"/>
              <w:bottom w:val="dashSmallGap" w:sz="4" w:space="0" w:color="000000"/>
              <w:right w:val="nil"/>
            </w:tcBorders>
          </w:tcPr>
          <w:p>
            <w:pPr>
              <w:pStyle w:val="TableParagraph"/>
              <w:spacing w:before="4"/>
              <w:rPr>
                <w:b/>
                <w:sz w:val="9"/>
              </w:rPr>
            </w:pPr>
          </w:p>
          <w:p>
            <w:pPr>
              <w:pStyle w:val="TableParagraph"/>
              <w:spacing w:line="115" w:lineRule="exact"/>
              <w:ind w:left="1030" w:right="-87"/>
              <w:rPr>
                <w:sz w:val="11"/>
              </w:rPr>
            </w:pPr>
            <w:r>
              <w:rPr>
                <w:position w:val="-1"/>
                <w:sz w:val="11"/>
              </w:rPr>
              <w:pict>
                <v:group style="width:.5pt;height:5.8pt;mso-position-horizontal-relative:char;mso-position-vertical-relative:line" id="docshapegroup786" coordorigin="0,0" coordsize="10,116">
                  <v:shape style="position:absolute;left:0;top:0;width:10;height:116" id="docshape787" coordorigin="0,0" coordsize="10,116" path="m10,77l0,77,0,115,10,115,10,77xm10,0l0,0,0,38,10,38,10,0xe" filled="true" fillcolor="#000000" stroked="false">
                    <v:path arrowok="t"/>
                    <v:fill type="solid"/>
                  </v:shape>
                </v:group>
              </w:pict>
            </w:r>
            <w:r>
              <w:rPr>
                <w:position w:val="-1"/>
                <w:sz w:val="11"/>
              </w:rPr>
            </w:r>
          </w:p>
        </w:tc>
        <w:tc>
          <w:tcPr>
            <w:tcW w:w="1022" w:type="dxa"/>
            <w:tcBorders>
              <w:top w:val="dashed" w:sz="4" w:space="0" w:color="000000"/>
              <w:left w:val="nil"/>
              <w:bottom w:val="dashed" w:sz="4" w:space="0" w:color="000000"/>
              <w:right w:val="nil"/>
            </w:tcBorders>
          </w:tcPr>
          <w:p>
            <w:pPr>
              <w:pStyle w:val="TableParagraph"/>
              <w:spacing w:before="4"/>
              <w:rPr>
                <w:b/>
                <w:sz w:val="9"/>
              </w:rPr>
            </w:pPr>
          </w:p>
          <w:p>
            <w:pPr>
              <w:pStyle w:val="TableParagraph"/>
              <w:spacing w:line="115" w:lineRule="exact"/>
              <w:ind w:left="1032" w:right="-87"/>
              <w:rPr>
                <w:sz w:val="11"/>
              </w:rPr>
            </w:pPr>
            <w:r>
              <w:rPr>
                <w:position w:val="-1"/>
                <w:sz w:val="11"/>
              </w:rPr>
              <w:pict>
                <v:group style="width:.5pt;height:5.8pt;mso-position-horizontal-relative:char;mso-position-vertical-relative:line" id="docshapegroup788" coordorigin="0,0" coordsize="10,116">
                  <v:shape style="position:absolute;left:0;top:0;width:10;height:116" id="docshape789" coordorigin="0,0" coordsize="10,116" path="m10,77l0,77,0,115,10,115,10,77xm10,0l0,0,0,38,10,38,10,0xe" filled="true" fillcolor="#000000" stroked="false">
                    <v:path arrowok="t"/>
                    <v:fill type="solid"/>
                  </v:shape>
                </v:group>
              </w:pict>
            </w:r>
            <w:r>
              <w:rPr>
                <w:position w:val="-1"/>
                <w:sz w:val="11"/>
              </w:rPr>
            </w:r>
          </w:p>
        </w:tc>
        <w:tc>
          <w:tcPr>
            <w:tcW w:w="1020" w:type="dxa"/>
            <w:tcBorders>
              <w:top w:val="dashed" w:sz="4" w:space="0" w:color="000000"/>
              <w:left w:val="nil"/>
              <w:bottom w:val="dashed" w:sz="4" w:space="0" w:color="000000"/>
              <w:right w:val="single" w:sz="12" w:space="0" w:color="000000"/>
            </w:tcBorders>
          </w:tcPr>
          <w:p>
            <w:pPr>
              <w:pStyle w:val="TableParagraph"/>
              <w:spacing w:before="38"/>
              <w:ind w:right="78"/>
              <w:jc w:val="right"/>
              <w:rPr>
                <w:sz w:val="20"/>
              </w:rPr>
            </w:pPr>
            <w:r>
              <w:rPr>
                <w:spacing w:val="-5"/>
                <w:sz w:val="20"/>
              </w:rPr>
              <w:t>60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60</w:t>
            </w:r>
          </w:p>
        </w:tc>
        <w:tc>
          <w:tcPr>
            <w:tcW w:w="1248"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8"/>
              <w:jc w:val="right"/>
              <w:rPr>
                <w:sz w:val="20"/>
              </w:rPr>
            </w:pPr>
            <w:r>
              <w:rPr>
                <w:spacing w:val="-5"/>
                <w:sz w:val="20"/>
              </w:rPr>
              <w:t>70</w:t>
            </w:r>
          </w:p>
        </w:tc>
        <w:tc>
          <w:tcPr>
            <w:tcW w:w="1250" w:type="dxa"/>
            <w:tcBorders>
              <w:top w:val="dashed" w:sz="4" w:space="0" w:color="000000"/>
              <w:left w:val="single" w:sz="12" w:space="0" w:color="000000"/>
              <w:bottom w:val="dashed" w:sz="4" w:space="0" w:color="000000"/>
              <w:right w:val="single" w:sz="12" w:space="0" w:color="000000"/>
            </w:tcBorders>
          </w:tcPr>
          <w:p>
            <w:pPr>
              <w:pStyle w:val="TableParagraph"/>
              <w:spacing w:before="38"/>
              <w:ind w:right="77"/>
              <w:jc w:val="right"/>
              <w:rPr>
                <w:sz w:val="20"/>
              </w:rPr>
            </w:pPr>
            <w:r>
              <w:rPr>
                <w:spacing w:val="-5"/>
                <w:sz w:val="20"/>
              </w:rPr>
              <w:t>70</w:t>
            </w:r>
          </w:p>
        </w:tc>
      </w:tr>
      <w:tr>
        <w:trPr>
          <w:trHeight w:val="318" w:hRule="atLeast"/>
        </w:trPr>
        <w:tc>
          <w:tcPr>
            <w:tcW w:w="4291" w:type="dxa"/>
            <w:tcBorders>
              <w:top w:val="dashSmallGap" w:sz="4" w:space="0" w:color="000000"/>
              <w:left w:val="single" w:sz="12" w:space="0" w:color="000000"/>
              <w:bottom w:val="single" w:sz="8" w:space="0" w:color="000000"/>
              <w:right w:val="single" w:sz="12" w:space="0" w:color="000000"/>
            </w:tcBorders>
          </w:tcPr>
          <w:p>
            <w:pPr>
              <w:pStyle w:val="TableParagraph"/>
              <w:spacing w:line="232" w:lineRule="exact" w:before="67"/>
              <w:ind w:left="107"/>
              <w:rPr>
                <w:b/>
                <w:sz w:val="22"/>
              </w:rPr>
            </w:pPr>
            <w:r>
              <w:rPr>
                <w:b/>
                <w:sz w:val="22"/>
              </w:rPr>
              <w:t>TOTAL</w:t>
            </w:r>
            <w:r>
              <w:rPr>
                <w:b/>
                <w:spacing w:val="-6"/>
                <w:sz w:val="22"/>
              </w:rPr>
              <w:t> </w:t>
            </w:r>
            <w:r>
              <w:rPr>
                <w:b/>
                <w:sz w:val="22"/>
              </w:rPr>
              <w:t>PARKS</w:t>
            </w:r>
            <w:r>
              <w:rPr>
                <w:b/>
                <w:spacing w:val="-2"/>
                <w:sz w:val="22"/>
              </w:rPr>
              <w:t> </w:t>
            </w:r>
            <w:r>
              <w:rPr>
                <w:b/>
                <w:sz w:val="22"/>
              </w:rPr>
              <w:t>AND</w:t>
            </w:r>
            <w:r>
              <w:rPr>
                <w:b/>
                <w:spacing w:val="-5"/>
                <w:sz w:val="22"/>
              </w:rPr>
              <w:t> </w:t>
            </w:r>
            <w:r>
              <w:rPr>
                <w:b/>
                <w:sz w:val="22"/>
              </w:rPr>
              <w:t>OPEN</w:t>
            </w:r>
            <w:r>
              <w:rPr>
                <w:b/>
                <w:spacing w:val="-2"/>
                <w:sz w:val="22"/>
              </w:rPr>
              <w:t> </w:t>
            </w:r>
            <w:r>
              <w:rPr>
                <w:b/>
                <w:spacing w:val="-4"/>
                <w:sz w:val="22"/>
              </w:rPr>
              <w:t>SPACE</w:t>
            </w:r>
          </w:p>
        </w:tc>
        <w:tc>
          <w:tcPr>
            <w:tcW w:w="1207" w:type="dxa"/>
            <w:tcBorders>
              <w:top w:val="dashSmallGap" w:sz="4" w:space="0" w:color="000000"/>
              <w:left w:val="single" w:sz="12" w:space="0" w:color="000000"/>
              <w:bottom w:val="single" w:sz="8" w:space="0" w:color="000000"/>
              <w:right w:val="nil"/>
            </w:tcBorders>
          </w:tcPr>
          <w:p>
            <w:pPr>
              <w:pStyle w:val="TableParagraph"/>
              <w:spacing w:before="45"/>
              <w:ind w:right="77"/>
              <w:jc w:val="right"/>
              <w:rPr>
                <w:b/>
                <w:sz w:val="20"/>
              </w:rPr>
            </w:pPr>
            <w:r>
              <w:rPr>
                <w:b/>
                <w:spacing w:val="-2"/>
                <w:sz w:val="20"/>
              </w:rPr>
              <w:t>2,736</w:t>
            </w:r>
          </w:p>
        </w:tc>
        <w:tc>
          <w:tcPr>
            <w:tcW w:w="1020" w:type="dxa"/>
            <w:tcBorders>
              <w:top w:val="dashSmallGap" w:sz="4" w:space="0" w:color="000000"/>
              <w:left w:val="nil"/>
              <w:bottom w:val="single" w:sz="8" w:space="0" w:color="000000"/>
              <w:right w:val="nil"/>
            </w:tcBorders>
          </w:tcPr>
          <w:p>
            <w:pPr>
              <w:pStyle w:val="TableParagraph"/>
              <w:spacing w:before="45"/>
              <w:ind w:right="92"/>
              <w:jc w:val="right"/>
              <w:rPr>
                <w:b/>
                <w:sz w:val="20"/>
              </w:rPr>
            </w:pPr>
            <w:r>
              <w:rPr>
                <w:b/>
                <w:spacing w:val="-2"/>
                <w:sz w:val="20"/>
              </w:rPr>
              <w:t>2,736</w:t>
            </w:r>
          </w:p>
        </w:tc>
        <w:tc>
          <w:tcPr>
            <w:tcW w:w="1022" w:type="dxa"/>
            <w:tcBorders>
              <w:top w:val="dashSmallGap" w:sz="4" w:space="0" w:color="000000"/>
              <w:left w:val="nil"/>
              <w:bottom w:val="single" w:sz="8" w:space="0" w:color="000000"/>
              <w:right w:val="nil"/>
            </w:tcBorders>
          </w:tcPr>
          <w:p>
            <w:pPr>
              <w:pStyle w:val="TableParagraph"/>
              <w:spacing w:before="45"/>
              <w:ind w:right="92"/>
              <w:jc w:val="right"/>
              <w:rPr>
                <w:b/>
                <w:sz w:val="20"/>
              </w:rPr>
            </w:pPr>
            <w:r>
              <w:rPr>
                <w:b/>
                <w:w w:val="99"/>
                <w:sz w:val="20"/>
              </w:rPr>
              <w:t>0</w:t>
            </w:r>
          </w:p>
        </w:tc>
        <w:tc>
          <w:tcPr>
            <w:tcW w:w="1020" w:type="dxa"/>
            <w:tcBorders>
              <w:top w:val="dashSmallGap" w:sz="4" w:space="0" w:color="000000"/>
              <w:left w:val="nil"/>
              <w:bottom w:val="single" w:sz="8" w:space="0" w:color="000000"/>
              <w:right w:val="nil"/>
            </w:tcBorders>
          </w:tcPr>
          <w:p>
            <w:pPr>
              <w:pStyle w:val="TableParagraph"/>
              <w:spacing w:before="45"/>
              <w:ind w:right="92"/>
              <w:jc w:val="right"/>
              <w:rPr>
                <w:b/>
                <w:sz w:val="20"/>
              </w:rPr>
            </w:pPr>
            <w:r>
              <w:rPr>
                <w:b/>
                <w:w w:val="99"/>
                <w:sz w:val="20"/>
              </w:rPr>
              <w:t>0</w:t>
            </w:r>
          </w:p>
        </w:tc>
        <w:tc>
          <w:tcPr>
            <w:tcW w:w="1020" w:type="dxa"/>
            <w:tcBorders>
              <w:top w:val="dashSmallGap" w:sz="4" w:space="0" w:color="000000"/>
              <w:left w:val="nil"/>
              <w:bottom w:val="single" w:sz="8" w:space="0" w:color="000000"/>
              <w:right w:val="nil"/>
            </w:tcBorders>
          </w:tcPr>
          <w:p>
            <w:pPr>
              <w:pStyle w:val="TableParagraph"/>
              <w:spacing w:before="45"/>
              <w:ind w:right="92"/>
              <w:jc w:val="right"/>
              <w:rPr>
                <w:b/>
                <w:sz w:val="20"/>
              </w:rPr>
            </w:pPr>
            <w:r>
              <w:rPr>
                <w:b/>
                <w:spacing w:val="-2"/>
                <w:sz w:val="20"/>
              </w:rPr>
              <w:t>1,195</w:t>
            </w:r>
          </w:p>
        </w:tc>
        <w:tc>
          <w:tcPr>
            <w:tcW w:w="1022" w:type="dxa"/>
            <w:tcBorders>
              <w:top w:val="dashed" w:sz="4" w:space="0" w:color="000000"/>
              <w:left w:val="nil"/>
              <w:bottom w:val="single" w:sz="8" w:space="0" w:color="000000"/>
              <w:right w:val="nil"/>
            </w:tcBorders>
          </w:tcPr>
          <w:p>
            <w:pPr>
              <w:pStyle w:val="TableParagraph"/>
              <w:spacing w:before="45"/>
              <w:ind w:right="95"/>
              <w:jc w:val="right"/>
              <w:rPr>
                <w:b/>
                <w:sz w:val="20"/>
              </w:rPr>
            </w:pPr>
            <w:r>
              <w:rPr>
                <w:b/>
                <w:spacing w:val="-5"/>
                <w:sz w:val="20"/>
              </w:rPr>
              <w:t>494</w:t>
            </w:r>
          </w:p>
        </w:tc>
        <w:tc>
          <w:tcPr>
            <w:tcW w:w="1020" w:type="dxa"/>
            <w:tcBorders>
              <w:top w:val="dashed" w:sz="4" w:space="0" w:color="000000"/>
              <w:left w:val="nil"/>
              <w:bottom w:val="single" w:sz="8" w:space="0" w:color="000000"/>
              <w:right w:val="single" w:sz="12" w:space="0" w:color="000000"/>
            </w:tcBorders>
          </w:tcPr>
          <w:p>
            <w:pPr>
              <w:pStyle w:val="TableParagraph"/>
              <w:spacing w:before="45"/>
              <w:ind w:right="78"/>
              <w:jc w:val="right"/>
              <w:rPr>
                <w:b/>
                <w:sz w:val="20"/>
              </w:rPr>
            </w:pPr>
            <w:r>
              <w:rPr>
                <w:b/>
                <w:spacing w:val="-2"/>
                <w:sz w:val="20"/>
              </w:rPr>
              <w:t>1,047</w:t>
            </w:r>
          </w:p>
        </w:tc>
        <w:tc>
          <w:tcPr>
            <w:tcW w:w="1248" w:type="dxa"/>
            <w:tcBorders>
              <w:top w:val="dashed" w:sz="4" w:space="0" w:color="000000"/>
              <w:left w:val="single" w:sz="12" w:space="0" w:color="000000"/>
              <w:bottom w:val="single" w:sz="8" w:space="0" w:color="000000"/>
              <w:right w:val="single" w:sz="12" w:space="0" w:color="000000"/>
            </w:tcBorders>
          </w:tcPr>
          <w:p>
            <w:pPr>
              <w:pStyle w:val="TableParagraph"/>
              <w:spacing w:before="45"/>
              <w:ind w:right="78"/>
              <w:jc w:val="right"/>
              <w:rPr>
                <w:b/>
                <w:sz w:val="20"/>
              </w:rPr>
            </w:pPr>
            <w:r>
              <w:rPr>
                <w:b/>
                <w:spacing w:val="-2"/>
                <w:sz w:val="20"/>
              </w:rPr>
              <w:t>2,486</w:t>
            </w:r>
          </w:p>
        </w:tc>
        <w:tc>
          <w:tcPr>
            <w:tcW w:w="1248" w:type="dxa"/>
            <w:tcBorders>
              <w:top w:val="dashed" w:sz="4" w:space="0" w:color="000000"/>
              <w:left w:val="single" w:sz="12" w:space="0" w:color="000000"/>
              <w:bottom w:val="single" w:sz="8" w:space="0" w:color="000000"/>
              <w:right w:val="single" w:sz="12" w:space="0" w:color="000000"/>
            </w:tcBorders>
          </w:tcPr>
          <w:p>
            <w:pPr>
              <w:pStyle w:val="TableParagraph"/>
              <w:spacing w:before="45"/>
              <w:ind w:right="78"/>
              <w:jc w:val="right"/>
              <w:rPr>
                <w:b/>
                <w:sz w:val="20"/>
              </w:rPr>
            </w:pPr>
            <w:r>
              <w:rPr>
                <w:b/>
                <w:spacing w:val="-2"/>
                <w:sz w:val="20"/>
              </w:rPr>
              <w:t>3,176</w:t>
            </w:r>
          </w:p>
        </w:tc>
        <w:tc>
          <w:tcPr>
            <w:tcW w:w="1250" w:type="dxa"/>
            <w:tcBorders>
              <w:top w:val="dashed" w:sz="4" w:space="0" w:color="000000"/>
              <w:left w:val="single" w:sz="12" w:space="0" w:color="000000"/>
              <w:bottom w:val="single" w:sz="8" w:space="0" w:color="000000"/>
              <w:right w:val="single" w:sz="12" w:space="0" w:color="000000"/>
            </w:tcBorders>
          </w:tcPr>
          <w:p>
            <w:pPr>
              <w:pStyle w:val="TableParagraph"/>
              <w:spacing w:before="45"/>
              <w:ind w:right="76"/>
              <w:jc w:val="right"/>
              <w:rPr>
                <w:b/>
                <w:sz w:val="20"/>
              </w:rPr>
            </w:pPr>
            <w:r>
              <w:rPr>
                <w:b/>
                <w:spacing w:val="-2"/>
                <w:sz w:val="20"/>
              </w:rPr>
              <w:t>2,991</w:t>
            </w:r>
          </w:p>
        </w:tc>
      </w:tr>
      <w:tr>
        <w:trPr>
          <w:trHeight w:val="745" w:hRule="atLeast"/>
        </w:trPr>
        <w:tc>
          <w:tcPr>
            <w:tcW w:w="4291" w:type="dxa"/>
            <w:tcBorders>
              <w:top w:val="single" w:sz="8" w:space="0" w:color="000000"/>
              <w:left w:val="single" w:sz="12" w:space="0" w:color="000000"/>
              <w:bottom w:val="single" w:sz="12" w:space="0" w:color="000000"/>
              <w:right w:val="single" w:sz="12" w:space="0" w:color="000000"/>
            </w:tcBorders>
          </w:tcPr>
          <w:p>
            <w:pPr>
              <w:pStyle w:val="TableParagraph"/>
              <w:spacing w:line="242" w:lineRule="auto" w:before="49"/>
              <w:ind w:left="107"/>
              <w:rPr>
                <w:b/>
                <w:sz w:val="28"/>
              </w:rPr>
            </w:pPr>
            <w:r>
              <w:rPr>
                <w:b/>
                <w:sz w:val="28"/>
              </w:rPr>
              <w:t>TOTAL</w:t>
            </w:r>
            <w:r>
              <w:rPr>
                <w:b/>
                <w:spacing w:val="-20"/>
                <w:sz w:val="28"/>
              </w:rPr>
              <w:t> </w:t>
            </w:r>
            <w:r>
              <w:rPr>
                <w:b/>
                <w:sz w:val="28"/>
              </w:rPr>
              <w:t>RECREATIONAL </w:t>
            </w:r>
            <w:r>
              <w:rPr>
                <w:b/>
                <w:spacing w:val="-2"/>
                <w:sz w:val="28"/>
              </w:rPr>
              <w:t>IMPROVEMENTS</w:t>
            </w:r>
          </w:p>
        </w:tc>
        <w:tc>
          <w:tcPr>
            <w:tcW w:w="1207" w:type="dxa"/>
            <w:tcBorders>
              <w:top w:val="single" w:sz="8" w:space="0" w:color="000000"/>
              <w:left w:val="single" w:sz="12" w:space="0" w:color="000000"/>
              <w:bottom w:val="single" w:sz="12" w:space="0" w:color="000000"/>
              <w:right w:val="dashed" w:sz="4" w:space="0" w:color="000000"/>
            </w:tcBorders>
          </w:tcPr>
          <w:p>
            <w:pPr>
              <w:pStyle w:val="TableParagraph"/>
              <w:spacing w:before="5"/>
              <w:rPr>
                <w:b/>
                <w:sz w:val="22"/>
              </w:rPr>
            </w:pPr>
          </w:p>
          <w:p>
            <w:pPr>
              <w:pStyle w:val="TableParagraph"/>
              <w:ind w:right="77"/>
              <w:jc w:val="right"/>
              <w:rPr>
                <w:b/>
                <w:sz w:val="20"/>
              </w:rPr>
            </w:pPr>
            <w:r>
              <w:rPr>
                <w:b/>
                <w:spacing w:val="-2"/>
                <w:sz w:val="20"/>
              </w:rPr>
              <w:t>4,707</w:t>
            </w:r>
          </w:p>
        </w:tc>
        <w:tc>
          <w:tcPr>
            <w:tcW w:w="1020" w:type="dxa"/>
            <w:tcBorders>
              <w:top w:val="single" w:sz="8" w:space="0" w:color="000000"/>
              <w:left w:val="dashed" w:sz="4" w:space="0" w:color="000000"/>
              <w:bottom w:val="single" w:sz="12" w:space="0" w:color="000000"/>
              <w:right w:val="dashed" w:sz="4" w:space="0" w:color="000000"/>
            </w:tcBorders>
          </w:tcPr>
          <w:p>
            <w:pPr>
              <w:pStyle w:val="TableParagraph"/>
              <w:spacing w:before="5"/>
              <w:rPr>
                <w:b/>
                <w:sz w:val="22"/>
              </w:rPr>
            </w:pPr>
          </w:p>
          <w:p>
            <w:pPr>
              <w:pStyle w:val="TableParagraph"/>
              <w:ind w:right="87"/>
              <w:jc w:val="right"/>
              <w:rPr>
                <w:b/>
                <w:sz w:val="20"/>
              </w:rPr>
            </w:pPr>
            <w:r>
              <w:rPr>
                <w:b/>
                <w:spacing w:val="-2"/>
                <w:sz w:val="20"/>
              </w:rPr>
              <w:t>4,671</w:t>
            </w:r>
          </w:p>
        </w:tc>
        <w:tc>
          <w:tcPr>
            <w:tcW w:w="1022" w:type="dxa"/>
            <w:tcBorders>
              <w:top w:val="single" w:sz="8" w:space="0" w:color="000000"/>
              <w:left w:val="dashed" w:sz="4" w:space="0" w:color="000000"/>
              <w:bottom w:val="single" w:sz="12" w:space="0" w:color="000000"/>
              <w:right w:val="dashed" w:sz="4" w:space="0" w:color="000000"/>
            </w:tcBorders>
          </w:tcPr>
          <w:p>
            <w:pPr>
              <w:pStyle w:val="TableParagraph"/>
              <w:spacing w:before="5"/>
              <w:rPr>
                <w:b/>
                <w:sz w:val="22"/>
              </w:rPr>
            </w:pPr>
          </w:p>
          <w:p>
            <w:pPr>
              <w:pStyle w:val="TableParagraph"/>
              <w:ind w:right="87"/>
              <w:jc w:val="right"/>
              <w:rPr>
                <w:b/>
                <w:sz w:val="20"/>
              </w:rPr>
            </w:pPr>
            <w:r>
              <w:rPr>
                <w:b/>
                <w:w w:val="99"/>
                <w:sz w:val="20"/>
              </w:rPr>
              <w:t>0</w:t>
            </w:r>
          </w:p>
        </w:tc>
        <w:tc>
          <w:tcPr>
            <w:tcW w:w="1020" w:type="dxa"/>
            <w:tcBorders>
              <w:top w:val="single" w:sz="8" w:space="0" w:color="000000"/>
              <w:left w:val="dashed" w:sz="4" w:space="0" w:color="000000"/>
              <w:bottom w:val="single" w:sz="12" w:space="0" w:color="000000"/>
              <w:right w:val="dashed" w:sz="4" w:space="0" w:color="000000"/>
            </w:tcBorders>
          </w:tcPr>
          <w:p>
            <w:pPr>
              <w:pStyle w:val="TableParagraph"/>
              <w:spacing w:before="5"/>
              <w:rPr>
                <w:b/>
                <w:sz w:val="22"/>
              </w:rPr>
            </w:pPr>
          </w:p>
          <w:p>
            <w:pPr>
              <w:pStyle w:val="TableParagraph"/>
              <w:ind w:right="91"/>
              <w:jc w:val="right"/>
              <w:rPr>
                <w:b/>
                <w:sz w:val="20"/>
              </w:rPr>
            </w:pPr>
            <w:r>
              <w:rPr>
                <w:b/>
                <w:spacing w:val="-5"/>
                <w:sz w:val="20"/>
              </w:rPr>
              <w:t>36</w:t>
            </w:r>
          </w:p>
        </w:tc>
        <w:tc>
          <w:tcPr>
            <w:tcW w:w="1020" w:type="dxa"/>
            <w:tcBorders>
              <w:top w:val="single" w:sz="8" w:space="0" w:color="000000"/>
              <w:left w:val="dashed" w:sz="4" w:space="0" w:color="000000"/>
              <w:bottom w:val="single" w:sz="12" w:space="0" w:color="000000"/>
              <w:right w:val="dashed" w:sz="4" w:space="0" w:color="000000"/>
            </w:tcBorders>
          </w:tcPr>
          <w:p>
            <w:pPr>
              <w:pStyle w:val="TableParagraph"/>
              <w:spacing w:before="5"/>
              <w:rPr>
                <w:b/>
                <w:sz w:val="22"/>
              </w:rPr>
            </w:pPr>
          </w:p>
          <w:p>
            <w:pPr>
              <w:pStyle w:val="TableParagraph"/>
              <w:ind w:right="87"/>
              <w:jc w:val="right"/>
              <w:rPr>
                <w:b/>
                <w:sz w:val="20"/>
              </w:rPr>
            </w:pPr>
            <w:r>
              <w:rPr>
                <w:b/>
                <w:spacing w:val="-2"/>
                <w:sz w:val="20"/>
              </w:rPr>
              <w:t>2,899</w:t>
            </w:r>
          </w:p>
        </w:tc>
        <w:tc>
          <w:tcPr>
            <w:tcW w:w="1022" w:type="dxa"/>
            <w:tcBorders>
              <w:top w:val="single" w:sz="8" w:space="0" w:color="000000"/>
              <w:left w:val="dashed" w:sz="4" w:space="0" w:color="000000"/>
              <w:bottom w:val="single" w:sz="12" w:space="0" w:color="000000"/>
              <w:right w:val="dashed" w:sz="4" w:space="0" w:color="000000"/>
            </w:tcBorders>
          </w:tcPr>
          <w:p>
            <w:pPr>
              <w:pStyle w:val="TableParagraph"/>
              <w:spacing w:before="5"/>
              <w:rPr>
                <w:b/>
                <w:sz w:val="22"/>
              </w:rPr>
            </w:pPr>
          </w:p>
          <w:p>
            <w:pPr>
              <w:pStyle w:val="TableParagraph"/>
              <w:ind w:right="90"/>
              <w:jc w:val="right"/>
              <w:rPr>
                <w:b/>
                <w:sz w:val="20"/>
              </w:rPr>
            </w:pPr>
            <w:r>
              <w:rPr>
                <w:b/>
                <w:spacing w:val="-5"/>
                <w:sz w:val="20"/>
              </w:rPr>
              <w:t>761</w:t>
            </w:r>
          </w:p>
        </w:tc>
        <w:tc>
          <w:tcPr>
            <w:tcW w:w="1020" w:type="dxa"/>
            <w:tcBorders>
              <w:top w:val="single" w:sz="8" w:space="0" w:color="000000"/>
              <w:left w:val="dashed" w:sz="4" w:space="0" w:color="000000"/>
              <w:bottom w:val="single" w:sz="12" w:space="0" w:color="000000"/>
              <w:right w:val="single" w:sz="12" w:space="0" w:color="000000"/>
            </w:tcBorders>
          </w:tcPr>
          <w:p>
            <w:pPr>
              <w:pStyle w:val="TableParagraph"/>
              <w:spacing w:before="5"/>
              <w:rPr>
                <w:b/>
                <w:sz w:val="22"/>
              </w:rPr>
            </w:pPr>
          </w:p>
          <w:p>
            <w:pPr>
              <w:pStyle w:val="TableParagraph"/>
              <w:ind w:right="78"/>
              <w:jc w:val="right"/>
              <w:rPr>
                <w:b/>
                <w:sz w:val="20"/>
              </w:rPr>
            </w:pPr>
            <w:r>
              <w:rPr>
                <w:b/>
                <w:spacing w:val="-2"/>
                <w:sz w:val="20"/>
              </w:rPr>
              <w:t>1,047</w:t>
            </w:r>
          </w:p>
        </w:tc>
        <w:tc>
          <w:tcPr>
            <w:tcW w:w="1248" w:type="dxa"/>
            <w:tcBorders>
              <w:top w:val="single" w:sz="8" w:space="0" w:color="000000"/>
              <w:left w:val="single" w:sz="12" w:space="0" w:color="000000"/>
              <w:bottom w:val="single" w:sz="12" w:space="0" w:color="000000"/>
              <w:right w:val="single" w:sz="12" w:space="0" w:color="000000"/>
            </w:tcBorders>
          </w:tcPr>
          <w:p>
            <w:pPr>
              <w:pStyle w:val="TableParagraph"/>
              <w:spacing w:before="5"/>
              <w:rPr>
                <w:b/>
                <w:sz w:val="22"/>
              </w:rPr>
            </w:pPr>
          </w:p>
          <w:p>
            <w:pPr>
              <w:pStyle w:val="TableParagraph"/>
              <w:ind w:right="78"/>
              <w:jc w:val="right"/>
              <w:rPr>
                <w:b/>
                <w:sz w:val="20"/>
              </w:rPr>
            </w:pPr>
            <w:r>
              <w:rPr>
                <w:b/>
                <w:spacing w:val="-2"/>
                <w:sz w:val="20"/>
              </w:rPr>
              <w:t>4,457</w:t>
            </w:r>
          </w:p>
        </w:tc>
        <w:tc>
          <w:tcPr>
            <w:tcW w:w="1248" w:type="dxa"/>
            <w:tcBorders>
              <w:top w:val="single" w:sz="8" w:space="0" w:color="000000"/>
              <w:left w:val="single" w:sz="12" w:space="0" w:color="000000"/>
              <w:bottom w:val="single" w:sz="12" w:space="0" w:color="000000"/>
              <w:right w:val="single" w:sz="12" w:space="0" w:color="000000"/>
            </w:tcBorders>
          </w:tcPr>
          <w:p>
            <w:pPr>
              <w:pStyle w:val="TableParagraph"/>
              <w:spacing w:before="5"/>
              <w:rPr>
                <w:b/>
                <w:sz w:val="22"/>
              </w:rPr>
            </w:pPr>
          </w:p>
          <w:p>
            <w:pPr>
              <w:pStyle w:val="TableParagraph"/>
              <w:ind w:right="78"/>
              <w:jc w:val="right"/>
              <w:rPr>
                <w:b/>
                <w:sz w:val="20"/>
              </w:rPr>
            </w:pPr>
            <w:r>
              <w:rPr>
                <w:b/>
                <w:spacing w:val="-2"/>
                <w:sz w:val="20"/>
              </w:rPr>
              <w:t>5,182</w:t>
            </w:r>
          </w:p>
        </w:tc>
        <w:tc>
          <w:tcPr>
            <w:tcW w:w="1250" w:type="dxa"/>
            <w:tcBorders>
              <w:top w:val="single" w:sz="8" w:space="0" w:color="000000"/>
              <w:left w:val="single" w:sz="12" w:space="0" w:color="000000"/>
              <w:bottom w:val="single" w:sz="12" w:space="0" w:color="000000"/>
              <w:right w:val="single" w:sz="12" w:space="0" w:color="000000"/>
            </w:tcBorders>
          </w:tcPr>
          <w:p>
            <w:pPr>
              <w:pStyle w:val="TableParagraph"/>
              <w:spacing w:before="5"/>
              <w:rPr>
                <w:b/>
                <w:sz w:val="22"/>
              </w:rPr>
            </w:pPr>
          </w:p>
          <w:p>
            <w:pPr>
              <w:pStyle w:val="TableParagraph"/>
              <w:ind w:right="76"/>
              <w:jc w:val="right"/>
              <w:rPr>
                <w:b/>
                <w:sz w:val="20"/>
              </w:rPr>
            </w:pPr>
            <w:r>
              <w:rPr>
                <w:b/>
                <w:spacing w:val="-2"/>
                <w:sz w:val="20"/>
              </w:rPr>
              <w:t>5,057</w:t>
            </w:r>
          </w:p>
        </w:tc>
      </w:tr>
    </w:tbl>
    <w:p>
      <w:pPr>
        <w:rPr>
          <w:sz w:val="2"/>
          <w:szCs w:val="2"/>
        </w:rPr>
      </w:pPr>
      <w:r>
        <w:rPr/>
        <w:pict>
          <v:shape style="position:absolute;margin-left:311.400024pt;margin-top:226.559982pt;width:.5pt;height:9.65pt;mso-position-horizontal-relative:page;mso-position-vertical-relative:page;z-index:-37837824" id="docshape790" coordorigin="6228,4531" coordsize="10,193" path="m6238,4685l6228,4685,6228,4723,6238,4723,6238,4685xm6238,4608l6228,4608,6228,4646,6238,4646,6238,4608xm6238,4531l6228,4531,6228,4570,6238,4570,6238,4531xe" filled="true" fillcolor="#000000" stroked="false">
            <v:path arrowok="t"/>
            <v:fill type="solid"/>
            <w10:wrap type="none"/>
          </v:shape>
        </w:pict>
      </w:r>
      <w:r>
        <w:rPr/>
        <w:pict>
          <v:shape style="position:absolute;margin-left:515.520020pt;margin-top:226.559982pt;width:.5pt;height:9.65pt;mso-position-horizontal-relative:page;mso-position-vertical-relative:page;z-index:-37837312" id="docshape791" coordorigin="10310,4531" coordsize="10,193" path="m10320,4685l10310,4685,10310,4723,10320,4723,10320,4685xm10320,4608l10310,4608,10310,4646,10320,4646,10320,4608xm10320,4531l10310,4531,10310,4570,10320,4570,10320,4531xe" filled="true" fillcolor="#000000" stroked="false">
            <v:path arrowok="t"/>
            <v:fill type="solid"/>
            <w10:wrap type="none"/>
          </v:shape>
        </w:pict>
      </w:r>
      <w:r>
        <w:rPr/>
        <w:pict>
          <v:shape style="position:absolute;margin-left:566.640015pt;margin-top:226.559982pt;width:.5pt;height:9.65pt;mso-position-horizontal-relative:page;mso-position-vertical-relative:page;z-index:-37836800" id="docshape792" coordorigin="11333,4531" coordsize="10,193" path="m11342,4685l11333,4685,11333,4723,11342,4723,11342,4685xm11342,4608l11333,4608,11333,4646,11342,4646,11342,4608xm11342,4531l11333,4531,11333,4570,11342,4570,11342,4531xe" filled="true" fillcolor="#000000" stroked="false">
            <v:path arrowok="t"/>
            <v:fill type="solid"/>
            <w10:wrap type="none"/>
          </v:shape>
        </w:pict>
      </w:r>
      <w:r>
        <w:rPr/>
        <w:pict>
          <v:shape style="position:absolute;margin-left:311.400024pt;margin-top:241.919983pt;width:.5pt;height:9.6pt;mso-position-horizontal-relative:page;mso-position-vertical-relative:page;z-index:-37836288" id="docshape793" coordorigin="6228,4838" coordsize="10,192" path="m6238,4992l6228,4992,6228,5030,6238,5030,6238,4992xm6238,4915l6228,4915,6228,4954,6238,4954,6238,4915xm6238,4838l6228,4838,6228,4877,6238,4877,6238,4838xe" filled="true" fillcolor="#000000" stroked="false">
            <v:path arrowok="t"/>
            <v:fill type="solid"/>
            <w10:wrap type="none"/>
          </v:shape>
        </w:pict>
      </w:r>
      <w:r>
        <w:rPr/>
        <w:pict>
          <v:shape style="position:absolute;margin-left:311.400024pt;margin-top:257.281006pt;width:.5pt;height:9.6pt;mso-position-horizontal-relative:page;mso-position-vertical-relative:page;z-index:-37835776" id="docshape794" coordorigin="6228,5146" coordsize="10,192" path="m6238,5299l6228,5299,6228,5338,6238,5338,6238,5299xm6238,5222l6228,5222,6228,5261,6238,5261,6238,5222xm6238,5146l6228,5146,6228,5184,6238,5184,6238,5146xe" filled="true" fillcolor="#000000" stroked="false">
            <v:path arrowok="t"/>
            <v:fill type="solid"/>
            <w10:wrap type="none"/>
          </v:shape>
        </w:pict>
      </w:r>
      <w:r>
        <w:rPr/>
        <w:pict>
          <v:shape style="position:absolute;margin-left:515.520020pt;margin-top:257.281006pt;width:.5pt;height:9.6pt;mso-position-horizontal-relative:page;mso-position-vertical-relative:page;z-index:-37835264" id="docshape795" coordorigin="10310,5146" coordsize="10,192" path="m10320,5299l10310,5299,10310,5338,10320,5338,10320,5299xm10320,5222l10310,5222,10310,5261,10320,5261,10320,5222xm10320,5146l10310,5146,10310,5184,10320,5184,10320,5146xe" filled="true" fillcolor="#000000" stroked="false">
            <v:path arrowok="t"/>
            <v:fill type="solid"/>
            <w10:wrap type="none"/>
          </v:shape>
        </w:pict>
      </w:r>
      <w:r>
        <w:rPr/>
        <w:pict>
          <v:shape style="position:absolute;margin-left:566.640015pt;margin-top:257.281006pt;width:.5pt;height:9.6pt;mso-position-horizontal-relative:page;mso-position-vertical-relative:page;z-index:-37834752" id="docshape796" coordorigin="11333,5146" coordsize="10,192" path="m11342,5299l11333,5299,11333,5338,11342,5338,11342,5299xm11342,5222l11333,5222,11333,5261,11342,5261,11342,5222xm11342,5146l11333,5146,11333,5184,11342,5184,11342,5146xe" filled="true" fillcolor="#000000" stroked="false">
            <v:path arrowok="t"/>
            <v:fill type="solid"/>
            <w10:wrap type="none"/>
          </v:shape>
        </w:pict>
      </w:r>
      <w:r>
        <w:rPr/>
        <w:pict>
          <v:shape style="position:absolute;margin-left:311.400024pt;margin-top:272.639984pt;width:.5pt;height:9.65pt;mso-position-horizontal-relative:page;mso-position-vertical-relative:page;z-index:-37834240" id="docshape797" coordorigin="6228,5453" coordsize="10,193" path="m6238,5606l6228,5606,6228,5645,6238,5645,6238,5606xm6238,5530l6228,5530,6228,5568,6238,5568,6238,5530xm6238,5453l6228,5453,6228,5491,6238,5491,6238,5453xe" filled="true" fillcolor="#000000" stroked="false">
            <v:path arrowok="t"/>
            <v:fill type="solid"/>
            <w10:wrap type="none"/>
          </v:shape>
        </w:pict>
      </w:r>
      <w:r>
        <w:rPr/>
        <w:pict>
          <v:shape style="position:absolute;margin-left:515.520020pt;margin-top:272.639984pt;width:.5pt;height:9.65pt;mso-position-horizontal-relative:page;mso-position-vertical-relative:page;z-index:-37833728" id="docshape798" coordorigin="10310,5453" coordsize="10,193" path="m10320,5606l10310,5606,10310,5645,10320,5645,10320,5606xm10320,5530l10310,5530,10310,5568,10320,5568,10320,5530xm10320,5453l10310,5453,10310,5491,10320,5491,10320,5453xe" filled="true" fillcolor="#000000" stroked="false">
            <v:path arrowok="t"/>
            <v:fill type="solid"/>
            <w10:wrap type="none"/>
          </v:shape>
        </w:pict>
      </w:r>
      <w:r>
        <w:rPr/>
        <w:pict>
          <v:shape style="position:absolute;margin-left:566.640015pt;margin-top:272.639984pt;width:.5pt;height:9.65pt;mso-position-horizontal-relative:page;mso-position-vertical-relative:page;z-index:-37833216" id="docshape799" coordorigin="11333,5453" coordsize="10,193" path="m11342,5606l11333,5606,11333,5645,11342,5645,11342,5606xm11342,5530l11333,5530,11333,5568,11342,5568,11342,5530xm11342,5453l11333,5453,11333,5491,11342,5491,11342,5453xe" filled="true" fillcolor="#000000" stroked="false">
            <v:path arrowok="t"/>
            <v:fill type="solid"/>
            <w10:wrap type="none"/>
          </v:shape>
        </w:pict>
      </w:r>
      <w:r>
        <w:rPr/>
        <w:pict>
          <v:shape style="position:absolute;margin-left:311.400024pt;margin-top:291.839996pt;width:.5pt;height:13.45pt;mso-position-horizontal-relative:page;mso-position-vertical-relative:page;z-index:-37832704" id="docshape800" coordorigin="6228,5837" coordsize="10,269" path="m6238,6067l6228,6067,6228,6106,6238,6106,6238,6067xm6238,5990l6228,5990,6228,6029,6238,6029,6238,5990xm6238,5914l6228,5914,6228,5952,6238,5952,6238,5914xm6238,5837l6228,5837,6228,5875,6238,5875,6238,5837xe" filled="true" fillcolor="#000000" stroked="false">
            <v:path arrowok="t"/>
            <v:fill type="solid"/>
            <w10:wrap type="none"/>
          </v:shape>
        </w:pict>
      </w:r>
      <w:r>
        <w:rPr/>
        <w:pict>
          <v:shape style="position:absolute;margin-left:311.400024pt;margin-top:314.880005pt;width:.5pt;height:17.3pt;mso-position-horizontal-relative:page;mso-position-vertical-relative:page;z-index:-37832192" id="docshape801" coordorigin="6228,6298" coordsize="10,346" path="m6238,6605l6228,6605,6228,6643,6238,6643,6238,6605xm6238,6528l6228,6528,6228,6566,6238,6566,6238,6528xm6238,6451l6228,6451,6228,6490,6238,6490,6238,6451xm6238,6374l6228,6374,6228,6413,6238,6413,6238,6374xm6238,6298l6228,6298,6228,6336,6238,6336,6238,6298xe" filled="true" fillcolor="#000000" stroked="false">
            <v:path arrowok="t"/>
            <v:fill type="solid"/>
            <w10:wrap type="none"/>
          </v:shape>
        </w:pict>
      </w:r>
      <w:r>
        <w:rPr/>
        <w:pict>
          <v:shape style="position:absolute;margin-left:515.520020pt;margin-top:314.880005pt;width:.5pt;height:17.3pt;mso-position-horizontal-relative:page;mso-position-vertical-relative:page;z-index:-37831680" id="docshape802" coordorigin="10310,6298" coordsize="10,346" path="m10320,6605l10310,6605,10310,6643,10320,6643,10320,6605xm10320,6528l10310,6528,10310,6566,10320,6566,10320,6528xm10320,6451l10310,6451,10310,6490,10320,6490,10320,6451xm10320,6374l10310,6374,10310,6413,10320,6413,10320,6374xm10320,6298l10310,6298,10310,6336,10320,6336,10320,6298xe" filled="true" fillcolor="#000000" stroked="false">
            <v:path arrowok="t"/>
            <v:fill type="solid"/>
            <w10:wrap type="none"/>
          </v:shape>
        </w:pict>
      </w:r>
      <w:r>
        <w:rPr/>
        <w:pict>
          <v:shape style="position:absolute;margin-left:311.400024pt;margin-top:337.92099pt;width:.5pt;height:9.6pt;mso-position-horizontal-relative:page;mso-position-vertical-relative:page;z-index:-37831168" id="docshape803" coordorigin="6228,6758" coordsize="10,192" path="m6238,6912l6228,6912,6228,6950,6238,6950,6238,6912xm6238,6835l6228,6835,6228,6874,6238,6874,6238,6835xm6238,6758l6228,6758,6228,6797,6238,6797,6238,6758xe" filled="true" fillcolor="#000000" stroked="false">
            <v:path arrowok="t"/>
            <v:fill type="solid"/>
            <w10:wrap type="none"/>
          </v:shape>
        </w:pict>
      </w:r>
      <w:r>
        <w:rPr/>
        <w:pict>
          <v:shape style="position:absolute;margin-left:311.400024pt;margin-top:357.121002pt;width:.5pt;height:5.8pt;mso-position-horizontal-relative:page;mso-position-vertical-relative:page;z-index:-37830656" id="docshape804" coordorigin="6228,7142" coordsize="10,116" path="m6238,7219l6228,7219,6228,7258,6238,7258,6238,7219xm6238,7142l6228,7142,6228,7181,6238,7181,6238,7142xe" filled="true" fillcolor="#000000" stroked="false">
            <v:path arrowok="t"/>
            <v:fill type="solid"/>
            <w10:wrap type="none"/>
          </v:shape>
        </w:pict>
      </w:r>
      <w:r>
        <w:rPr/>
        <w:pict>
          <v:shape style="position:absolute;margin-left:311.400024pt;margin-top:372.480988pt;width:.5pt;height:5.8pt;mso-position-horizontal-relative:page;mso-position-vertical-relative:page;z-index:-37830144" id="docshape805" coordorigin="6228,7450" coordsize="10,116" path="m6238,7526l6228,7526,6228,7565,6238,7565,6238,7526xm6238,7450l6228,7450,6228,7488,6238,7488,6238,7450xe" filled="true" fillcolor="#000000" stroked="false">
            <v:path arrowok="t"/>
            <v:fill type="solid"/>
            <w10:wrap type="none"/>
          </v:shape>
        </w:pict>
      </w:r>
      <w:r>
        <w:rPr/>
        <w:pict>
          <v:shape style="position:absolute;margin-left:362.400024pt;margin-top:372.480988pt;width:.5pt;height:5.8pt;mso-position-horizontal-relative:page;mso-position-vertical-relative:page;z-index:-37829632" id="docshape806" coordorigin="7248,7450" coordsize="10,116" path="m7258,7526l7248,7526,7248,7565,7258,7565,7258,7526xm7258,7450l7248,7450,7248,7488,7258,7488,7258,7450xe" filled="true" fillcolor="#000000" stroked="false">
            <v:path arrowok="t"/>
            <v:fill type="solid"/>
            <w10:wrap type="none"/>
          </v:shape>
        </w:pict>
      </w:r>
      <w:r>
        <w:rPr/>
        <w:pict>
          <v:shape style="position:absolute;margin-left:413.52002pt;margin-top:372.480988pt;width:.5pt;height:5.8pt;mso-position-horizontal-relative:page;mso-position-vertical-relative:page;z-index:-37829120" id="docshape807" coordorigin="8270,7450" coordsize="10,116" path="m8280,7526l8270,7526,8270,7565,8280,7565,8280,7526xm8280,7450l8270,7450,8270,7488,8280,7488,8280,7450xe" filled="true" fillcolor="#000000" stroked="false">
            <v:path arrowok="t"/>
            <v:fill type="solid"/>
            <w10:wrap type="none"/>
          </v:shape>
        </w:pict>
      </w:r>
      <w:r>
        <w:rPr/>
        <w:pict>
          <v:shape style="position:absolute;margin-left:464.52002pt;margin-top:372.480988pt;width:.5pt;height:5.8pt;mso-position-horizontal-relative:page;mso-position-vertical-relative:page;z-index:-37828608" id="docshape808" coordorigin="9290,7450" coordsize="10,116" path="m9300,7526l9290,7526,9290,7565,9300,7565,9300,7526xm9300,7450l9290,7450,9290,7488,9300,7488,9300,7450xe" filled="true" fillcolor="#000000" stroked="false">
            <v:path arrowok="t"/>
            <v:fill type="solid"/>
            <w10:wrap type="none"/>
          </v:shape>
        </w:pict>
      </w:r>
      <w:r>
        <w:rPr/>
        <w:pict>
          <v:shape style="position:absolute;margin-left:515.520020pt;margin-top:372.480988pt;width:.5pt;height:5.8pt;mso-position-horizontal-relative:page;mso-position-vertical-relative:page;z-index:-37828096" id="docshape809" coordorigin="10310,7450" coordsize="10,116" path="m10320,7526l10310,7526,10310,7565,10320,7565,10320,7526xm10320,7450l10310,7450,10310,7488,10320,7488,10320,7450xe" filled="true" fillcolor="#000000" stroked="false">
            <v:path arrowok="t"/>
            <v:fill type="solid"/>
            <w10:wrap type="none"/>
          </v:shape>
        </w:pict>
      </w:r>
      <w:r>
        <w:rPr/>
        <w:pict>
          <v:shape style="position:absolute;margin-left:566.640015pt;margin-top:372.480988pt;width:.5pt;height:5.8pt;mso-position-horizontal-relative:page;mso-position-vertical-relative:page;z-index:-37827584" id="docshape810" coordorigin="11333,7450" coordsize="10,116" path="m11342,7526l11333,7526,11333,7565,11342,7565,11342,7526xm11342,7450l11333,7450,11333,7488,11342,7488,11342,7450xe" filled="true" fillcolor="#000000" stroked="false">
            <v:path arrowok="t"/>
            <v:fill type="solid"/>
            <w10:wrap type="none"/>
          </v:shape>
        </w:pict>
      </w:r>
    </w:p>
    <w:p>
      <w:pPr>
        <w:spacing w:after="0"/>
        <w:rPr>
          <w:sz w:val="2"/>
          <w:szCs w:val="2"/>
        </w:rPr>
        <w:sectPr>
          <w:pgSz w:w="16840" w:h="11910" w:orient="landscape"/>
          <w:pgMar w:header="0" w:footer="546" w:top="940" w:bottom="740" w:left="600" w:right="120"/>
        </w:sectPr>
      </w:pPr>
    </w:p>
    <w:tbl>
      <w:tblPr>
        <w:tblW w:w="0" w:type="auto"/>
        <w:jc w:val="left"/>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005"/>
        <w:gridCol w:w="1351"/>
        <w:gridCol w:w="1353"/>
        <w:gridCol w:w="1353"/>
        <w:gridCol w:w="921"/>
        <w:gridCol w:w="1300"/>
        <w:gridCol w:w="1103"/>
        <w:gridCol w:w="1302"/>
        <w:gridCol w:w="1146"/>
        <w:gridCol w:w="1232"/>
        <w:gridCol w:w="1294"/>
      </w:tblGrid>
      <w:tr>
        <w:trPr>
          <w:trHeight w:val="305" w:hRule="atLeast"/>
        </w:trPr>
        <w:tc>
          <w:tcPr>
            <w:tcW w:w="15360" w:type="dxa"/>
            <w:gridSpan w:val="11"/>
            <w:tcBorders>
              <w:left w:val="single" w:sz="12" w:space="0" w:color="000000"/>
              <w:right w:val="single" w:sz="12" w:space="0" w:color="000000"/>
            </w:tcBorders>
            <w:shd w:val="clear" w:color="auto" w:fill="629CD1"/>
          </w:tcPr>
          <w:p>
            <w:pPr>
              <w:pStyle w:val="TableParagraph"/>
              <w:spacing w:line="285" w:lineRule="exact"/>
              <w:ind w:left="3639" w:right="3599"/>
              <w:jc w:val="center"/>
              <w:rPr>
                <w:b/>
                <w:sz w:val="28"/>
              </w:rPr>
            </w:pPr>
            <w:r>
              <w:rPr>
                <w:b/>
                <w:color w:val="FFFFFF"/>
                <w:sz w:val="28"/>
              </w:rPr>
              <w:t>CAPITAL</w:t>
            </w:r>
            <w:r>
              <w:rPr>
                <w:b/>
                <w:color w:val="FFFFFF"/>
                <w:spacing w:val="-6"/>
                <w:sz w:val="28"/>
              </w:rPr>
              <w:t> </w:t>
            </w:r>
            <w:r>
              <w:rPr>
                <w:b/>
                <w:color w:val="FFFFFF"/>
                <w:sz w:val="28"/>
              </w:rPr>
              <w:t>EXPENDITURE</w:t>
            </w:r>
            <w:r>
              <w:rPr>
                <w:b/>
                <w:color w:val="FFFFFF"/>
                <w:spacing w:val="-5"/>
                <w:sz w:val="28"/>
              </w:rPr>
              <w:t> </w:t>
            </w:r>
            <w:r>
              <w:rPr>
                <w:b/>
                <w:color w:val="FFFFFF"/>
                <w:sz w:val="28"/>
              </w:rPr>
              <w:t>PROGRAM</w:t>
            </w:r>
            <w:r>
              <w:rPr>
                <w:b/>
                <w:color w:val="FFFFFF"/>
                <w:spacing w:val="-5"/>
                <w:sz w:val="28"/>
              </w:rPr>
              <w:t> </w:t>
            </w:r>
            <w:r>
              <w:rPr>
                <w:b/>
                <w:color w:val="FFFFFF"/>
                <w:sz w:val="28"/>
              </w:rPr>
              <w:t>2024/2025</w:t>
            </w:r>
            <w:r>
              <w:rPr>
                <w:b/>
                <w:color w:val="FFFFFF"/>
                <w:spacing w:val="-5"/>
                <w:sz w:val="28"/>
              </w:rPr>
              <w:t> </w:t>
            </w:r>
            <w:r>
              <w:rPr>
                <w:b/>
                <w:color w:val="FFFFFF"/>
                <w:sz w:val="28"/>
              </w:rPr>
              <w:t>TO</w:t>
            </w:r>
            <w:r>
              <w:rPr>
                <w:b/>
                <w:color w:val="FFFFFF"/>
                <w:spacing w:val="-2"/>
                <w:sz w:val="28"/>
              </w:rPr>
              <w:t> 2027/2028</w:t>
            </w:r>
          </w:p>
        </w:tc>
      </w:tr>
      <w:tr>
        <w:trPr>
          <w:trHeight w:val="446" w:hRule="atLeast"/>
        </w:trPr>
        <w:tc>
          <w:tcPr>
            <w:tcW w:w="3005" w:type="dxa"/>
            <w:tcBorders>
              <w:left w:val="single" w:sz="12" w:space="0" w:color="000000"/>
              <w:right w:val="single" w:sz="12" w:space="0" w:color="000000"/>
            </w:tcBorders>
            <w:shd w:val="clear" w:color="auto" w:fill="629CD1"/>
          </w:tcPr>
          <w:p>
            <w:pPr>
              <w:pStyle w:val="TableParagraph"/>
              <w:rPr>
                <w:rFonts w:ascii="Times New Roman"/>
                <w:sz w:val="18"/>
              </w:rPr>
            </w:pPr>
          </w:p>
        </w:tc>
        <w:tc>
          <w:tcPr>
            <w:tcW w:w="8683" w:type="dxa"/>
            <w:gridSpan w:val="7"/>
            <w:tcBorders>
              <w:left w:val="single" w:sz="12" w:space="0" w:color="000000"/>
              <w:right w:val="single" w:sz="12" w:space="0" w:color="000000"/>
            </w:tcBorders>
            <w:shd w:val="clear" w:color="auto" w:fill="629CD1"/>
          </w:tcPr>
          <w:p>
            <w:pPr>
              <w:pStyle w:val="TableParagraph"/>
              <w:spacing w:before="108"/>
              <w:ind w:left="3513" w:right="3434"/>
              <w:jc w:val="center"/>
              <w:rPr>
                <w:b/>
                <w:sz w:val="20"/>
              </w:rPr>
            </w:pPr>
            <w:r>
              <w:rPr>
                <w:b/>
                <w:color w:val="FFFFFF"/>
                <w:sz w:val="20"/>
              </w:rPr>
              <w:t>Budget</w:t>
            </w:r>
            <w:r>
              <w:rPr>
                <w:b/>
                <w:color w:val="FFFFFF"/>
                <w:spacing w:val="-7"/>
                <w:sz w:val="20"/>
              </w:rPr>
              <w:t> </w:t>
            </w:r>
            <w:r>
              <w:rPr>
                <w:b/>
                <w:color w:val="FFFFFF"/>
                <w:spacing w:val="-2"/>
                <w:sz w:val="20"/>
              </w:rPr>
              <w:t>2024/2025</w:t>
            </w:r>
          </w:p>
        </w:tc>
        <w:tc>
          <w:tcPr>
            <w:tcW w:w="1146" w:type="dxa"/>
            <w:tcBorders>
              <w:left w:val="single" w:sz="12" w:space="0" w:color="000000"/>
              <w:right w:val="single" w:sz="12" w:space="0" w:color="000000"/>
            </w:tcBorders>
            <w:shd w:val="clear" w:color="auto" w:fill="629CD1"/>
          </w:tcPr>
          <w:p>
            <w:pPr>
              <w:pStyle w:val="TableParagraph"/>
              <w:spacing w:line="223" w:lineRule="exact"/>
              <w:ind w:left="161"/>
              <w:jc w:val="center"/>
              <w:rPr>
                <w:b/>
                <w:sz w:val="20"/>
              </w:rPr>
            </w:pPr>
            <w:r>
              <w:rPr>
                <w:b/>
                <w:color w:val="FFFFFF"/>
                <w:spacing w:val="-2"/>
                <w:sz w:val="20"/>
              </w:rPr>
              <w:t>Budget</w:t>
            </w:r>
          </w:p>
          <w:p>
            <w:pPr>
              <w:pStyle w:val="TableParagraph"/>
              <w:spacing w:line="204" w:lineRule="exact"/>
              <w:ind w:left="156"/>
              <w:jc w:val="center"/>
              <w:rPr>
                <w:b/>
                <w:sz w:val="20"/>
              </w:rPr>
            </w:pPr>
            <w:r>
              <w:rPr>
                <w:b/>
                <w:color w:val="FFFFFF"/>
                <w:spacing w:val="-2"/>
                <w:sz w:val="20"/>
              </w:rPr>
              <w:t>2025/2026</w:t>
            </w:r>
          </w:p>
        </w:tc>
        <w:tc>
          <w:tcPr>
            <w:tcW w:w="1232" w:type="dxa"/>
            <w:tcBorders>
              <w:left w:val="single" w:sz="12" w:space="0" w:color="000000"/>
              <w:right w:val="single" w:sz="12" w:space="0" w:color="000000"/>
            </w:tcBorders>
            <w:shd w:val="clear" w:color="auto" w:fill="629CD1"/>
          </w:tcPr>
          <w:p>
            <w:pPr>
              <w:pStyle w:val="TableParagraph"/>
              <w:spacing w:line="223" w:lineRule="exact"/>
              <w:ind w:left="172" w:right="61"/>
              <w:jc w:val="center"/>
              <w:rPr>
                <w:b/>
                <w:sz w:val="20"/>
              </w:rPr>
            </w:pPr>
            <w:r>
              <w:rPr>
                <w:b/>
                <w:color w:val="FFFFFF"/>
                <w:spacing w:val="-2"/>
                <w:sz w:val="20"/>
              </w:rPr>
              <w:t>Budget</w:t>
            </w:r>
          </w:p>
          <w:p>
            <w:pPr>
              <w:pStyle w:val="TableParagraph"/>
              <w:spacing w:line="204" w:lineRule="exact"/>
              <w:ind w:left="172" w:right="61"/>
              <w:jc w:val="center"/>
              <w:rPr>
                <w:b/>
                <w:sz w:val="20"/>
              </w:rPr>
            </w:pPr>
            <w:r>
              <w:rPr>
                <w:b/>
                <w:color w:val="FFFFFF"/>
                <w:spacing w:val="-2"/>
                <w:sz w:val="20"/>
              </w:rPr>
              <w:t>2026/2027</w:t>
            </w:r>
          </w:p>
        </w:tc>
        <w:tc>
          <w:tcPr>
            <w:tcW w:w="1294" w:type="dxa"/>
            <w:tcBorders>
              <w:left w:val="single" w:sz="12" w:space="0" w:color="000000"/>
              <w:right w:val="single" w:sz="12" w:space="0" w:color="000000"/>
            </w:tcBorders>
            <w:shd w:val="clear" w:color="auto" w:fill="629CD1"/>
          </w:tcPr>
          <w:p>
            <w:pPr>
              <w:pStyle w:val="TableParagraph"/>
              <w:spacing w:line="223" w:lineRule="exact"/>
              <w:ind w:left="168" w:right="126"/>
              <w:jc w:val="center"/>
              <w:rPr>
                <w:b/>
                <w:sz w:val="20"/>
              </w:rPr>
            </w:pPr>
            <w:r>
              <w:rPr>
                <w:b/>
                <w:color w:val="FFFFFF"/>
                <w:spacing w:val="-2"/>
                <w:sz w:val="20"/>
              </w:rPr>
              <w:t>Budget</w:t>
            </w:r>
          </w:p>
          <w:p>
            <w:pPr>
              <w:pStyle w:val="TableParagraph"/>
              <w:spacing w:line="204" w:lineRule="exact"/>
              <w:ind w:left="169" w:right="126"/>
              <w:jc w:val="center"/>
              <w:rPr>
                <w:b/>
                <w:sz w:val="20"/>
              </w:rPr>
            </w:pPr>
            <w:r>
              <w:rPr>
                <w:b/>
                <w:color w:val="FFFFFF"/>
                <w:spacing w:val="-2"/>
                <w:sz w:val="20"/>
              </w:rPr>
              <w:t>2027/2028</w:t>
            </w:r>
          </w:p>
        </w:tc>
      </w:tr>
      <w:tr>
        <w:trPr>
          <w:trHeight w:val="704" w:hRule="atLeast"/>
        </w:trPr>
        <w:tc>
          <w:tcPr>
            <w:tcW w:w="3005" w:type="dxa"/>
            <w:tcBorders>
              <w:left w:val="single" w:sz="12" w:space="0" w:color="000000"/>
              <w:bottom w:val="single" w:sz="12" w:space="0" w:color="000000"/>
              <w:right w:val="single" w:sz="12" w:space="0" w:color="000000"/>
            </w:tcBorders>
            <w:shd w:val="clear" w:color="auto" w:fill="629CD1"/>
          </w:tcPr>
          <w:p>
            <w:pPr>
              <w:pStyle w:val="TableParagraph"/>
              <w:rPr>
                <w:rFonts w:ascii="Times New Roman"/>
                <w:sz w:val="18"/>
              </w:rPr>
            </w:pPr>
          </w:p>
        </w:tc>
        <w:tc>
          <w:tcPr>
            <w:tcW w:w="1351" w:type="dxa"/>
            <w:tcBorders>
              <w:left w:val="single" w:sz="12" w:space="0" w:color="000000"/>
              <w:bottom w:val="single" w:sz="12" w:space="0" w:color="000000"/>
              <w:right w:val="single" w:sz="12" w:space="0" w:color="000000"/>
            </w:tcBorders>
            <w:shd w:val="clear" w:color="auto" w:fill="629CD1"/>
          </w:tcPr>
          <w:p>
            <w:pPr>
              <w:pStyle w:val="TableParagraph"/>
              <w:spacing w:before="83"/>
              <w:ind w:left="210" w:right="182" w:hanging="2"/>
              <w:jc w:val="center"/>
              <w:rPr>
                <w:b/>
                <w:sz w:val="16"/>
              </w:rPr>
            </w:pPr>
            <w:r>
              <w:rPr>
                <w:b/>
                <w:color w:val="FFFFFF"/>
                <w:spacing w:val="-2"/>
                <w:sz w:val="16"/>
              </w:rPr>
              <w:t>Total Expenditure</w:t>
            </w:r>
          </w:p>
          <w:p>
            <w:pPr>
              <w:pStyle w:val="TableParagraph"/>
              <w:spacing w:line="141" w:lineRule="exact" w:before="93"/>
              <w:ind w:left="483" w:right="457"/>
              <w:jc w:val="center"/>
              <w:rPr>
                <w:b/>
                <w:sz w:val="16"/>
              </w:rPr>
            </w:pPr>
            <w:r>
              <w:rPr>
                <w:b/>
                <w:color w:val="FFFFFF"/>
                <w:spacing w:val="-4"/>
                <w:sz w:val="16"/>
              </w:rPr>
              <w:t>$000</w:t>
            </w:r>
          </w:p>
        </w:tc>
        <w:tc>
          <w:tcPr>
            <w:tcW w:w="1353" w:type="dxa"/>
            <w:tcBorders>
              <w:left w:val="single" w:sz="12" w:space="0" w:color="000000"/>
              <w:bottom w:val="single" w:sz="12" w:space="0" w:color="000000"/>
              <w:right w:val="single" w:sz="12" w:space="0" w:color="000000"/>
            </w:tcBorders>
            <w:shd w:val="clear" w:color="auto" w:fill="629CD1"/>
          </w:tcPr>
          <w:p>
            <w:pPr>
              <w:pStyle w:val="TableParagraph"/>
              <w:spacing w:before="1"/>
              <w:rPr>
                <w:b/>
                <w:sz w:val="15"/>
              </w:rPr>
            </w:pPr>
          </w:p>
          <w:p>
            <w:pPr>
              <w:pStyle w:val="TableParagraph"/>
              <w:ind w:left="155" w:right="124"/>
              <w:jc w:val="center"/>
              <w:rPr>
                <w:b/>
                <w:sz w:val="16"/>
              </w:rPr>
            </w:pPr>
            <w:r>
              <w:rPr>
                <w:b/>
                <w:color w:val="FFFFFF"/>
                <w:sz w:val="16"/>
              </w:rPr>
              <w:t>Council</w:t>
            </w:r>
            <w:r>
              <w:rPr>
                <w:b/>
                <w:color w:val="FFFFFF"/>
                <w:spacing w:val="-3"/>
                <w:sz w:val="16"/>
              </w:rPr>
              <w:t> </w:t>
            </w:r>
            <w:r>
              <w:rPr>
                <w:b/>
                <w:color w:val="FFFFFF"/>
                <w:spacing w:val="-4"/>
                <w:sz w:val="16"/>
              </w:rPr>
              <w:t>Cash</w:t>
            </w:r>
          </w:p>
          <w:p>
            <w:pPr>
              <w:pStyle w:val="TableParagraph"/>
              <w:spacing w:before="2"/>
              <w:rPr>
                <w:b/>
                <w:sz w:val="16"/>
              </w:rPr>
            </w:pPr>
          </w:p>
          <w:p>
            <w:pPr>
              <w:pStyle w:val="TableParagraph"/>
              <w:spacing w:line="141" w:lineRule="exact"/>
              <w:ind w:left="153" w:right="124"/>
              <w:jc w:val="center"/>
              <w:rPr>
                <w:b/>
                <w:sz w:val="16"/>
              </w:rPr>
            </w:pPr>
            <w:r>
              <w:rPr>
                <w:b/>
                <w:color w:val="FFFFFF"/>
                <w:spacing w:val="-4"/>
                <w:sz w:val="16"/>
              </w:rPr>
              <w:t>$000</w:t>
            </w:r>
          </w:p>
        </w:tc>
        <w:tc>
          <w:tcPr>
            <w:tcW w:w="1353" w:type="dxa"/>
            <w:tcBorders>
              <w:left w:val="single" w:sz="12" w:space="0" w:color="000000"/>
              <w:bottom w:val="single" w:sz="12" w:space="0" w:color="000000"/>
              <w:right w:val="single" w:sz="12" w:space="0" w:color="000000"/>
            </w:tcBorders>
            <w:shd w:val="clear" w:color="auto" w:fill="629CD1"/>
          </w:tcPr>
          <w:p>
            <w:pPr>
              <w:pStyle w:val="TableParagraph"/>
              <w:spacing w:before="1"/>
              <w:rPr>
                <w:b/>
                <w:sz w:val="15"/>
              </w:rPr>
            </w:pPr>
          </w:p>
          <w:p>
            <w:pPr>
              <w:pStyle w:val="TableParagraph"/>
              <w:ind w:left="153" w:right="124"/>
              <w:jc w:val="center"/>
              <w:rPr>
                <w:b/>
                <w:sz w:val="16"/>
              </w:rPr>
            </w:pPr>
            <w:r>
              <w:rPr>
                <w:b/>
                <w:color w:val="FFFFFF"/>
                <w:spacing w:val="-2"/>
                <w:sz w:val="16"/>
              </w:rPr>
              <w:t>Grants</w:t>
            </w:r>
          </w:p>
          <w:p>
            <w:pPr>
              <w:pStyle w:val="TableParagraph"/>
              <w:spacing w:before="2"/>
              <w:rPr>
                <w:b/>
                <w:sz w:val="16"/>
              </w:rPr>
            </w:pPr>
          </w:p>
          <w:p>
            <w:pPr>
              <w:pStyle w:val="TableParagraph"/>
              <w:spacing w:line="141" w:lineRule="exact"/>
              <w:ind w:left="155" w:right="124"/>
              <w:jc w:val="center"/>
              <w:rPr>
                <w:b/>
                <w:sz w:val="16"/>
              </w:rPr>
            </w:pPr>
            <w:r>
              <w:rPr>
                <w:b/>
                <w:color w:val="FFFFFF"/>
                <w:spacing w:val="-4"/>
                <w:sz w:val="16"/>
              </w:rPr>
              <w:t>$000</w:t>
            </w:r>
          </w:p>
        </w:tc>
        <w:tc>
          <w:tcPr>
            <w:tcW w:w="921" w:type="dxa"/>
            <w:tcBorders>
              <w:left w:val="single" w:sz="12" w:space="0" w:color="000000"/>
              <w:bottom w:val="single" w:sz="12" w:space="0" w:color="000000"/>
              <w:right w:val="single" w:sz="12" w:space="0" w:color="000000"/>
            </w:tcBorders>
            <w:shd w:val="clear" w:color="auto" w:fill="629CD1"/>
          </w:tcPr>
          <w:p>
            <w:pPr>
              <w:pStyle w:val="TableParagraph"/>
              <w:ind w:left="175" w:right="141" w:hanging="2"/>
              <w:jc w:val="center"/>
              <w:rPr>
                <w:b/>
                <w:sz w:val="16"/>
              </w:rPr>
            </w:pPr>
            <w:r>
              <w:rPr>
                <w:b/>
                <w:color w:val="FFFFFF"/>
                <w:spacing w:val="-2"/>
                <w:sz w:val="16"/>
              </w:rPr>
              <w:t>Others Contrib </w:t>
            </w:r>
            <w:r>
              <w:rPr>
                <w:b/>
                <w:color w:val="FFFFFF"/>
                <w:spacing w:val="-6"/>
                <w:sz w:val="16"/>
              </w:rPr>
              <w:t>‘n</w:t>
            </w:r>
          </w:p>
          <w:p>
            <w:pPr>
              <w:pStyle w:val="TableParagraph"/>
              <w:spacing w:line="141" w:lineRule="exact"/>
              <w:ind w:left="271" w:right="239"/>
              <w:jc w:val="center"/>
              <w:rPr>
                <w:b/>
                <w:sz w:val="16"/>
              </w:rPr>
            </w:pPr>
            <w:r>
              <w:rPr>
                <w:b/>
                <w:color w:val="FFFFFF"/>
                <w:spacing w:val="-4"/>
                <w:sz w:val="16"/>
              </w:rPr>
              <w:t>$000</w:t>
            </w:r>
          </w:p>
        </w:tc>
        <w:tc>
          <w:tcPr>
            <w:tcW w:w="1300" w:type="dxa"/>
            <w:tcBorders>
              <w:left w:val="single" w:sz="12" w:space="0" w:color="000000"/>
              <w:bottom w:val="single" w:sz="12" w:space="0" w:color="000000"/>
              <w:right w:val="single" w:sz="12" w:space="0" w:color="000000"/>
            </w:tcBorders>
            <w:shd w:val="clear" w:color="auto" w:fill="629CD1"/>
          </w:tcPr>
          <w:p>
            <w:pPr>
              <w:pStyle w:val="TableParagraph"/>
              <w:spacing w:before="83"/>
              <w:ind w:left="327" w:right="291" w:hanging="4"/>
              <w:jc w:val="center"/>
              <w:rPr>
                <w:b/>
                <w:sz w:val="16"/>
              </w:rPr>
            </w:pPr>
            <w:r>
              <w:rPr>
                <w:b/>
                <w:color w:val="FFFFFF"/>
                <w:spacing w:val="-2"/>
                <w:sz w:val="16"/>
              </w:rPr>
              <w:t>Asset Renewal</w:t>
            </w:r>
          </w:p>
          <w:p>
            <w:pPr>
              <w:pStyle w:val="TableParagraph"/>
              <w:spacing w:line="141" w:lineRule="exact" w:before="93"/>
              <w:ind w:left="461" w:right="428"/>
              <w:jc w:val="center"/>
              <w:rPr>
                <w:b/>
                <w:sz w:val="16"/>
              </w:rPr>
            </w:pPr>
            <w:r>
              <w:rPr>
                <w:b/>
                <w:color w:val="FFFFFF"/>
                <w:spacing w:val="-4"/>
                <w:sz w:val="16"/>
              </w:rPr>
              <w:t>$000</w:t>
            </w:r>
          </w:p>
        </w:tc>
        <w:tc>
          <w:tcPr>
            <w:tcW w:w="1103" w:type="dxa"/>
            <w:tcBorders>
              <w:left w:val="single" w:sz="12" w:space="0" w:color="000000"/>
              <w:bottom w:val="single" w:sz="12" w:space="0" w:color="000000"/>
              <w:right w:val="single" w:sz="12" w:space="0" w:color="000000"/>
            </w:tcBorders>
            <w:shd w:val="clear" w:color="auto" w:fill="629CD1"/>
          </w:tcPr>
          <w:p>
            <w:pPr>
              <w:pStyle w:val="TableParagraph"/>
              <w:spacing w:before="1"/>
              <w:rPr>
                <w:b/>
                <w:sz w:val="15"/>
              </w:rPr>
            </w:pPr>
          </w:p>
          <w:p>
            <w:pPr>
              <w:pStyle w:val="TableParagraph"/>
              <w:ind w:left="217" w:right="180"/>
              <w:jc w:val="center"/>
              <w:rPr>
                <w:b/>
                <w:sz w:val="16"/>
              </w:rPr>
            </w:pPr>
            <w:r>
              <w:rPr>
                <w:b/>
                <w:color w:val="FFFFFF"/>
                <w:spacing w:val="-2"/>
                <w:sz w:val="16"/>
              </w:rPr>
              <w:t>Upgrade</w:t>
            </w:r>
          </w:p>
          <w:p>
            <w:pPr>
              <w:pStyle w:val="TableParagraph"/>
              <w:spacing w:before="2"/>
              <w:rPr>
                <w:b/>
                <w:sz w:val="16"/>
              </w:rPr>
            </w:pPr>
          </w:p>
          <w:p>
            <w:pPr>
              <w:pStyle w:val="TableParagraph"/>
              <w:spacing w:line="141" w:lineRule="exact"/>
              <w:ind w:left="215" w:right="180"/>
              <w:jc w:val="center"/>
              <w:rPr>
                <w:b/>
                <w:sz w:val="16"/>
              </w:rPr>
            </w:pPr>
            <w:r>
              <w:rPr>
                <w:b/>
                <w:color w:val="FFFFFF"/>
                <w:spacing w:val="-4"/>
                <w:sz w:val="16"/>
              </w:rPr>
              <w:t>$000</w:t>
            </w:r>
          </w:p>
        </w:tc>
        <w:tc>
          <w:tcPr>
            <w:tcW w:w="1302" w:type="dxa"/>
            <w:tcBorders>
              <w:left w:val="single" w:sz="12" w:space="0" w:color="000000"/>
              <w:bottom w:val="single" w:sz="12" w:space="0" w:color="000000"/>
              <w:right w:val="single" w:sz="12" w:space="0" w:color="000000"/>
            </w:tcBorders>
            <w:shd w:val="clear" w:color="auto" w:fill="629CD1"/>
          </w:tcPr>
          <w:p>
            <w:pPr>
              <w:pStyle w:val="TableParagraph"/>
              <w:spacing w:before="1"/>
              <w:rPr>
                <w:b/>
                <w:sz w:val="15"/>
              </w:rPr>
            </w:pPr>
          </w:p>
          <w:p>
            <w:pPr>
              <w:pStyle w:val="TableParagraph"/>
              <w:ind w:left="256" w:right="219"/>
              <w:jc w:val="center"/>
              <w:rPr>
                <w:b/>
                <w:sz w:val="16"/>
              </w:rPr>
            </w:pPr>
            <w:r>
              <w:rPr>
                <w:b/>
                <w:color w:val="FFFFFF"/>
                <w:sz w:val="16"/>
              </w:rPr>
              <w:t>New</w:t>
            </w:r>
            <w:r>
              <w:rPr>
                <w:b/>
                <w:color w:val="FFFFFF"/>
                <w:spacing w:val="-1"/>
                <w:sz w:val="16"/>
              </w:rPr>
              <w:t> </w:t>
            </w:r>
            <w:r>
              <w:rPr>
                <w:b/>
                <w:color w:val="FFFFFF"/>
                <w:spacing w:val="-4"/>
                <w:sz w:val="16"/>
              </w:rPr>
              <w:t>Work</w:t>
            </w:r>
          </w:p>
          <w:p>
            <w:pPr>
              <w:pStyle w:val="TableParagraph"/>
              <w:spacing w:before="2"/>
              <w:rPr>
                <w:b/>
                <w:sz w:val="16"/>
              </w:rPr>
            </w:pPr>
          </w:p>
          <w:p>
            <w:pPr>
              <w:pStyle w:val="TableParagraph"/>
              <w:spacing w:line="141" w:lineRule="exact"/>
              <w:ind w:left="254" w:right="219"/>
              <w:jc w:val="center"/>
              <w:rPr>
                <w:b/>
                <w:sz w:val="16"/>
              </w:rPr>
            </w:pPr>
            <w:r>
              <w:rPr>
                <w:b/>
                <w:color w:val="FFFFFF"/>
                <w:spacing w:val="-4"/>
                <w:sz w:val="16"/>
              </w:rPr>
              <w:t>$000</w:t>
            </w:r>
          </w:p>
        </w:tc>
        <w:tc>
          <w:tcPr>
            <w:tcW w:w="1146" w:type="dxa"/>
            <w:tcBorders>
              <w:left w:val="single" w:sz="12" w:space="0" w:color="000000"/>
              <w:bottom w:val="single" w:sz="12" w:space="0" w:color="000000"/>
              <w:right w:val="single" w:sz="12" w:space="0" w:color="000000"/>
            </w:tcBorders>
            <w:shd w:val="clear" w:color="auto" w:fill="629CD1"/>
          </w:tcPr>
          <w:p>
            <w:pPr>
              <w:pStyle w:val="TableParagraph"/>
              <w:spacing w:before="83"/>
              <w:ind w:left="114" w:right="72" w:hanging="6"/>
              <w:jc w:val="center"/>
              <w:rPr>
                <w:b/>
                <w:sz w:val="16"/>
              </w:rPr>
            </w:pPr>
            <w:r>
              <w:rPr>
                <w:b/>
                <w:color w:val="FFFFFF"/>
                <w:spacing w:val="-2"/>
                <w:sz w:val="16"/>
              </w:rPr>
              <w:t>Total Expenditure</w:t>
            </w:r>
          </w:p>
          <w:p>
            <w:pPr>
              <w:pStyle w:val="TableParagraph"/>
              <w:spacing w:line="141" w:lineRule="exact" w:before="93"/>
              <w:ind w:left="35"/>
              <w:jc w:val="center"/>
              <w:rPr>
                <w:b/>
                <w:sz w:val="16"/>
              </w:rPr>
            </w:pPr>
            <w:r>
              <w:rPr>
                <w:b/>
                <w:color w:val="FFFFFF"/>
                <w:spacing w:val="-4"/>
                <w:sz w:val="16"/>
              </w:rPr>
              <w:t>$000</w:t>
            </w:r>
          </w:p>
        </w:tc>
        <w:tc>
          <w:tcPr>
            <w:tcW w:w="1232" w:type="dxa"/>
            <w:tcBorders>
              <w:left w:val="single" w:sz="12" w:space="0" w:color="000000"/>
              <w:bottom w:val="single" w:sz="12" w:space="0" w:color="000000"/>
              <w:right w:val="single" w:sz="12" w:space="0" w:color="000000"/>
            </w:tcBorders>
            <w:shd w:val="clear" w:color="auto" w:fill="629CD1"/>
          </w:tcPr>
          <w:p>
            <w:pPr>
              <w:pStyle w:val="TableParagraph"/>
              <w:spacing w:before="83"/>
              <w:ind w:left="159" w:right="114" w:hanging="2"/>
              <w:jc w:val="center"/>
              <w:rPr>
                <w:b/>
                <w:sz w:val="16"/>
              </w:rPr>
            </w:pPr>
            <w:r>
              <w:rPr>
                <w:b/>
                <w:color w:val="FFFFFF"/>
                <w:spacing w:val="-2"/>
                <w:sz w:val="16"/>
              </w:rPr>
              <w:t>Total Expenditure</w:t>
            </w:r>
          </w:p>
          <w:p>
            <w:pPr>
              <w:pStyle w:val="TableParagraph"/>
              <w:spacing w:line="141" w:lineRule="exact" w:before="93"/>
              <w:ind w:left="103" w:right="61"/>
              <w:jc w:val="center"/>
              <w:rPr>
                <w:b/>
                <w:sz w:val="16"/>
              </w:rPr>
            </w:pPr>
            <w:r>
              <w:rPr>
                <w:b/>
                <w:color w:val="FFFFFF"/>
                <w:spacing w:val="-4"/>
                <w:sz w:val="16"/>
              </w:rPr>
              <w:t>$000</w:t>
            </w:r>
          </w:p>
        </w:tc>
        <w:tc>
          <w:tcPr>
            <w:tcW w:w="1294" w:type="dxa"/>
            <w:tcBorders>
              <w:left w:val="single" w:sz="12" w:space="0" w:color="000000"/>
              <w:bottom w:val="single" w:sz="12" w:space="0" w:color="000000"/>
              <w:right w:val="single" w:sz="12" w:space="0" w:color="000000"/>
            </w:tcBorders>
            <w:shd w:val="clear" w:color="auto" w:fill="629CD1"/>
          </w:tcPr>
          <w:p>
            <w:pPr>
              <w:pStyle w:val="TableParagraph"/>
              <w:spacing w:before="83"/>
              <w:ind w:left="191" w:right="143" w:hanging="2"/>
              <w:jc w:val="center"/>
              <w:rPr>
                <w:b/>
                <w:sz w:val="16"/>
              </w:rPr>
            </w:pPr>
            <w:r>
              <w:rPr>
                <w:b/>
                <w:color w:val="FFFFFF"/>
                <w:spacing w:val="-2"/>
                <w:sz w:val="16"/>
              </w:rPr>
              <w:t>Total Expenditure</w:t>
            </w:r>
          </w:p>
          <w:p>
            <w:pPr>
              <w:pStyle w:val="TableParagraph"/>
              <w:spacing w:line="141" w:lineRule="exact" w:before="93"/>
              <w:ind w:left="169" w:right="123"/>
              <w:jc w:val="center"/>
              <w:rPr>
                <w:b/>
                <w:sz w:val="16"/>
              </w:rPr>
            </w:pPr>
            <w:r>
              <w:rPr>
                <w:b/>
                <w:color w:val="FFFFFF"/>
                <w:spacing w:val="-4"/>
                <w:sz w:val="16"/>
              </w:rPr>
              <w:t>$000</w:t>
            </w:r>
          </w:p>
        </w:tc>
      </w:tr>
      <w:tr>
        <w:trPr>
          <w:trHeight w:val="602" w:hRule="atLeast"/>
        </w:trPr>
        <w:tc>
          <w:tcPr>
            <w:tcW w:w="3005" w:type="dxa"/>
            <w:tcBorders>
              <w:top w:val="single" w:sz="12" w:space="0" w:color="000000"/>
              <w:left w:val="single" w:sz="12" w:space="0" w:color="000000"/>
              <w:bottom w:val="dashSmallGap" w:sz="4" w:space="0" w:color="000000"/>
              <w:right w:val="single" w:sz="12" w:space="0" w:color="000000"/>
            </w:tcBorders>
          </w:tcPr>
          <w:p>
            <w:pPr>
              <w:pStyle w:val="TableParagraph"/>
              <w:spacing w:line="298" w:lineRule="exact"/>
              <w:ind w:left="107"/>
              <w:rPr>
                <w:b/>
                <w:sz w:val="28"/>
              </w:rPr>
            </w:pPr>
            <w:r>
              <w:rPr>
                <w:b/>
                <w:sz w:val="28"/>
              </w:rPr>
              <w:t>PLANT</w:t>
            </w:r>
            <w:r>
              <w:rPr>
                <w:b/>
                <w:spacing w:val="-2"/>
                <w:sz w:val="28"/>
              </w:rPr>
              <w:t> </w:t>
            </w:r>
            <w:r>
              <w:rPr>
                <w:b/>
                <w:spacing w:val="-5"/>
                <w:sz w:val="28"/>
              </w:rPr>
              <w:t>AND</w:t>
            </w:r>
          </w:p>
          <w:p>
            <w:pPr>
              <w:pStyle w:val="TableParagraph"/>
              <w:spacing w:line="285" w:lineRule="exact"/>
              <w:ind w:left="107"/>
              <w:rPr>
                <w:b/>
                <w:sz w:val="28"/>
              </w:rPr>
            </w:pPr>
            <w:r>
              <w:rPr>
                <w:b/>
                <w:spacing w:val="-2"/>
                <w:sz w:val="28"/>
              </w:rPr>
              <w:t>EQUIPMENT</w:t>
            </w:r>
          </w:p>
        </w:tc>
        <w:tc>
          <w:tcPr>
            <w:tcW w:w="8683" w:type="dxa"/>
            <w:gridSpan w:val="7"/>
            <w:tcBorders>
              <w:top w:val="thinThickMediumGap" w:sz="9" w:space="0" w:color="000000"/>
              <w:left w:val="single" w:sz="12" w:space="0" w:color="000000"/>
              <w:right w:val="single" w:sz="12" w:space="0" w:color="000000"/>
            </w:tcBorders>
          </w:tcPr>
          <w:p>
            <w:pPr>
              <w:pStyle w:val="TableParagraph"/>
              <w:rPr>
                <w:rFonts w:ascii="Times New Roman"/>
                <w:sz w:val="18"/>
              </w:rPr>
            </w:pPr>
          </w:p>
        </w:tc>
        <w:tc>
          <w:tcPr>
            <w:tcW w:w="1146"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32"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94" w:type="dxa"/>
            <w:tcBorders>
              <w:top w:val="single" w:sz="12"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470" w:hRule="atLeast"/>
        </w:trPr>
        <w:tc>
          <w:tcPr>
            <w:tcW w:w="3005" w:type="dxa"/>
            <w:tcBorders>
              <w:top w:val="dashSmallGap" w:sz="4" w:space="0" w:color="000000"/>
              <w:left w:val="single" w:sz="12" w:space="0" w:color="000000"/>
              <w:bottom w:val="dashed" w:sz="4" w:space="0" w:color="000000"/>
              <w:right w:val="single" w:sz="12" w:space="0" w:color="000000"/>
            </w:tcBorders>
          </w:tcPr>
          <w:p>
            <w:pPr>
              <w:pStyle w:val="TableParagraph"/>
              <w:spacing w:line="237" w:lineRule="exact"/>
              <w:ind w:left="107"/>
              <w:rPr>
                <w:b/>
                <w:sz w:val="22"/>
              </w:rPr>
            </w:pPr>
            <w:r>
              <w:rPr>
                <w:b/>
                <w:sz w:val="22"/>
              </w:rPr>
              <w:t>FIXTURES,</w:t>
            </w:r>
            <w:r>
              <w:rPr>
                <w:b/>
                <w:spacing w:val="-5"/>
                <w:sz w:val="22"/>
              </w:rPr>
              <w:t> </w:t>
            </w:r>
            <w:r>
              <w:rPr>
                <w:b/>
                <w:sz w:val="22"/>
              </w:rPr>
              <w:t>FITTINGS</w:t>
            </w:r>
            <w:r>
              <w:rPr>
                <w:b/>
                <w:spacing w:val="-6"/>
                <w:sz w:val="22"/>
              </w:rPr>
              <w:t> </w:t>
            </w:r>
            <w:r>
              <w:rPr>
                <w:b/>
                <w:spacing w:val="-5"/>
                <w:sz w:val="22"/>
              </w:rPr>
              <w:t>AND</w:t>
            </w:r>
          </w:p>
          <w:p>
            <w:pPr>
              <w:pStyle w:val="TableParagraph"/>
              <w:spacing w:line="214" w:lineRule="exact"/>
              <w:ind w:left="107"/>
              <w:rPr>
                <w:b/>
                <w:sz w:val="22"/>
              </w:rPr>
            </w:pPr>
            <w:r>
              <w:rPr>
                <w:b/>
                <w:spacing w:val="-2"/>
                <w:sz w:val="22"/>
              </w:rPr>
              <w:t>FURNITURE</w:t>
            </w:r>
          </w:p>
        </w:tc>
        <w:tc>
          <w:tcPr>
            <w:tcW w:w="8683" w:type="dxa"/>
            <w:gridSpan w:val="7"/>
            <w:tcBorders>
              <w:left w:val="single" w:sz="12" w:space="0" w:color="000000"/>
              <w:right w:val="single" w:sz="12" w:space="0" w:color="000000"/>
            </w:tcBorders>
          </w:tcPr>
          <w:p>
            <w:pPr>
              <w:pStyle w:val="TableParagraph"/>
              <w:spacing w:before="7"/>
              <w:rPr>
                <w:b/>
                <w:sz w:val="2"/>
              </w:rPr>
            </w:pPr>
          </w:p>
          <w:p>
            <w:pPr>
              <w:pStyle w:val="TableParagraph"/>
              <w:tabs>
                <w:tab w:pos="2699" w:val="left" w:leader="none"/>
                <w:tab w:pos="4052" w:val="left" w:leader="none"/>
                <w:tab w:pos="4974" w:val="left" w:leader="none"/>
                <w:tab w:pos="6275" w:val="left" w:leader="none"/>
                <w:tab w:pos="7379" w:val="left" w:leader="none"/>
              </w:tabs>
              <w:ind w:left="1345"/>
              <w:rPr>
                <w:sz w:val="20"/>
              </w:rPr>
            </w:pPr>
            <w:r>
              <w:rPr>
                <w:sz w:val="20"/>
              </w:rPr>
              <w:pict>
                <v:group style="width:.5pt;height:17.3pt;mso-position-horizontal-relative:char;mso-position-vertical-relative:line" id="docshapegroup811" coordorigin="0,0" coordsize="10,346">
                  <v:shape style="position:absolute;left:0;top:0;width:10;height:346" id="docshape812"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13" coordorigin="0,0" coordsize="10,346">
                  <v:shape style="position:absolute;left:0;top:0;width:10;height:346" id="docshape814"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15" coordorigin="0,0" coordsize="10,346">
                  <v:shape style="position:absolute;left:0;top:0;width:10;height:346" id="docshape816"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17" coordorigin="0,0" coordsize="10,346">
                  <v:shape style="position:absolute;left:0;top:0;width:10;height:346" id="docshape818"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19" coordorigin="0,0" coordsize="10,346">
                  <v:shape style="position:absolute;left:0;top:0;width:10;height:346" id="docshape820"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21" coordorigin="0,0" coordsize="10,346">
                  <v:shape style="position:absolute;left:0;top:0;width:10;height:346" id="docshape822"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462" w:hRule="atLeast"/>
        </w:trPr>
        <w:tc>
          <w:tcPr>
            <w:tcW w:w="3005" w:type="dxa"/>
            <w:tcBorders>
              <w:top w:val="dashed" w:sz="4" w:space="0" w:color="000000"/>
              <w:left w:val="single" w:sz="12" w:space="0" w:color="000000"/>
              <w:bottom w:val="dashSmallGap" w:sz="4" w:space="0" w:color="000000"/>
              <w:right w:val="single" w:sz="12" w:space="0" w:color="000000"/>
            </w:tcBorders>
          </w:tcPr>
          <w:p>
            <w:pPr>
              <w:pStyle w:val="TableParagraph"/>
              <w:spacing w:line="206" w:lineRule="exact" w:before="30"/>
              <w:ind w:left="107"/>
              <w:rPr>
                <w:sz w:val="18"/>
              </w:rPr>
            </w:pPr>
            <w:r>
              <w:rPr>
                <w:sz w:val="18"/>
              </w:rPr>
              <w:t>Karralyka</w:t>
            </w:r>
            <w:r>
              <w:rPr>
                <w:spacing w:val="-11"/>
                <w:sz w:val="18"/>
              </w:rPr>
              <w:t> </w:t>
            </w:r>
            <w:r>
              <w:rPr>
                <w:sz w:val="18"/>
              </w:rPr>
              <w:t>and</w:t>
            </w:r>
            <w:r>
              <w:rPr>
                <w:spacing w:val="-10"/>
                <w:sz w:val="18"/>
              </w:rPr>
              <w:t> </w:t>
            </w:r>
            <w:r>
              <w:rPr>
                <w:sz w:val="18"/>
              </w:rPr>
              <w:t>Federation</w:t>
            </w:r>
            <w:r>
              <w:rPr>
                <w:spacing w:val="-8"/>
                <w:sz w:val="18"/>
              </w:rPr>
              <w:t> </w:t>
            </w:r>
            <w:r>
              <w:rPr>
                <w:sz w:val="18"/>
              </w:rPr>
              <w:t>Estate</w:t>
            </w:r>
            <w:r>
              <w:rPr>
                <w:spacing w:val="-8"/>
                <w:sz w:val="18"/>
              </w:rPr>
              <w:t> </w:t>
            </w:r>
            <w:r>
              <w:rPr>
                <w:sz w:val="18"/>
              </w:rPr>
              <w:t>- Renew Equipment</w:t>
            </w:r>
          </w:p>
        </w:tc>
        <w:tc>
          <w:tcPr>
            <w:tcW w:w="1351" w:type="dxa"/>
            <w:tcBorders>
              <w:top w:val="dashed" w:sz="4" w:space="0" w:color="000000"/>
              <w:left w:val="single" w:sz="12" w:space="0" w:color="000000"/>
              <w:bottom w:val="dashSmallGap" w:sz="4" w:space="0" w:color="000000"/>
              <w:right w:val="nil"/>
            </w:tcBorders>
          </w:tcPr>
          <w:p>
            <w:pPr>
              <w:pStyle w:val="TableParagraph"/>
              <w:spacing w:before="118"/>
              <w:ind w:right="75"/>
              <w:jc w:val="right"/>
              <w:rPr>
                <w:sz w:val="18"/>
              </w:rPr>
            </w:pPr>
            <w:r>
              <w:rPr>
                <w:spacing w:val="-5"/>
                <w:sz w:val="18"/>
              </w:rPr>
              <w:t>85</w:t>
            </w:r>
          </w:p>
        </w:tc>
        <w:tc>
          <w:tcPr>
            <w:tcW w:w="1353" w:type="dxa"/>
            <w:tcBorders>
              <w:top w:val="dashSmallGap" w:sz="4" w:space="0" w:color="000000"/>
              <w:left w:val="nil"/>
              <w:bottom w:val="dashSmallGap" w:sz="4" w:space="0" w:color="000000"/>
              <w:right w:val="nil"/>
            </w:tcBorders>
          </w:tcPr>
          <w:p>
            <w:pPr>
              <w:pStyle w:val="TableParagraph"/>
              <w:spacing w:before="118"/>
              <w:ind w:right="91"/>
              <w:jc w:val="right"/>
              <w:rPr>
                <w:sz w:val="18"/>
              </w:rPr>
            </w:pPr>
            <w:r>
              <w:rPr>
                <w:spacing w:val="-5"/>
                <w:sz w:val="18"/>
              </w:rPr>
              <w:t>85</w:t>
            </w:r>
          </w:p>
        </w:tc>
        <w:tc>
          <w:tcPr>
            <w:tcW w:w="1353" w:type="dxa"/>
            <w:tcBorders>
              <w:top w:val="dashed" w:sz="4" w:space="0" w:color="000000"/>
              <w:left w:val="nil"/>
              <w:bottom w:val="dashed" w:sz="4" w:space="0" w:color="000000"/>
              <w:right w:val="nil"/>
            </w:tcBorders>
          </w:tcPr>
          <w:p>
            <w:pPr>
              <w:pStyle w:val="TableParagraph"/>
              <w:spacing w:before="5"/>
              <w:rPr>
                <w:b/>
                <w:sz w:val="4"/>
              </w:rPr>
            </w:pPr>
          </w:p>
          <w:p>
            <w:pPr>
              <w:pStyle w:val="TableParagraph"/>
              <w:tabs>
                <w:tab w:pos="1363" w:val="left" w:leader="none"/>
              </w:tabs>
              <w:ind w:left="10" w:right="-87"/>
              <w:rPr>
                <w:sz w:val="20"/>
              </w:rPr>
            </w:pPr>
            <w:r>
              <w:rPr>
                <w:sz w:val="20"/>
              </w:rPr>
              <w:pict>
                <v:group style="width:.5pt;height:17.3pt;mso-position-horizontal-relative:char;mso-position-vertical-relative:line" id="docshapegroup823" coordorigin="0,0" coordsize="10,346">
                  <v:shape style="position:absolute;left:0;top:0;width:10;height:346" id="docshape824"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25" coordorigin="0,0" coordsize="10,346">
                  <v:shape style="position:absolute;left:0;top:0;width:10;height:346" id="docshape826"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921" w:type="dxa"/>
            <w:tcBorders>
              <w:top w:val="dashSmallGap" w:sz="4" w:space="0" w:color="000000"/>
              <w:left w:val="nil"/>
              <w:bottom w:val="dashed" w:sz="4" w:space="0" w:color="000000"/>
              <w:right w:val="nil"/>
            </w:tcBorders>
          </w:tcPr>
          <w:p>
            <w:pPr>
              <w:pStyle w:val="TableParagraph"/>
              <w:spacing w:before="5"/>
              <w:rPr>
                <w:b/>
                <w:sz w:val="4"/>
              </w:rPr>
            </w:pPr>
          </w:p>
          <w:p>
            <w:pPr>
              <w:pStyle w:val="TableParagraph"/>
              <w:ind w:left="932" w:right="-87"/>
              <w:rPr>
                <w:sz w:val="20"/>
              </w:rPr>
            </w:pPr>
            <w:r>
              <w:rPr>
                <w:sz w:val="20"/>
              </w:rPr>
              <w:pict>
                <v:group style="width:.5pt;height:17.3pt;mso-position-horizontal-relative:char;mso-position-vertical-relative:line" id="docshapegroup827" coordorigin="0,0" coordsize="10,346">
                  <v:shape style="position:absolute;left:0;top:0;width:10;height:346" id="docshape828"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300" w:type="dxa"/>
            <w:tcBorders>
              <w:top w:val="dashed" w:sz="4" w:space="0" w:color="000000"/>
              <w:left w:val="nil"/>
              <w:bottom w:val="dashed" w:sz="4" w:space="0" w:color="000000"/>
              <w:right w:val="nil"/>
            </w:tcBorders>
          </w:tcPr>
          <w:p>
            <w:pPr>
              <w:pStyle w:val="TableParagraph"/>
              <w:spacing w:before="118"/>
              <w:ind w:right="89"/>
              <w:jc w:val="right"/>
              <w:rPr>
                <w:sz w:val="18"/>
              </w:rPr>
            </w:pPr>
            <w:r>
              <w:rPr>
                <w:spacing w:val="-5"/>
                <w:sz w:val="18"/>
              </w:rPr>
              <w:t>43</w:t>
            </w:r>
          </w:p>
        </w:tc>
        <w:tc>
          <w:tcPr>
            <w:tcW w:w="1103" w:type="dxa"/>
            <w:tcBorders>
              <w:top w:val="dashed" w:sz="4" w:space="0" w:color="000000"/>
              <w:left w:val="nil"/>
              <w:bottom w:val="dashed" w:sz="4" w:space="0" w:color="000000"/>
              <w:right w:val="nil"/>
            </w:tcBorders>
          </w:tcPr>
          <w:p>
            <w:pPr>
              <w:pStyle w:val="TableParagraph"/>
              <w:spacing w:before="118"/>
              <w:ind w:right="88"/>
              <w:jc w:val="right"/>
              <w:rPr>
                <w:sz w:val="18"/>
              </w:rPr>
            </w:pPr>
            <w:r>
              <w:rPr>
                <w:spacing w:val="-5"/>
                <w:sz w:val="18"/>
              </w:rPr>
              <w:t>43</w:t>
            </w:r>
          </w:p>
        </w:tc>
        <w:tc>
          <w:tcPr>
            <w:tcW w:w="1302" w:type="dxa"/>
            <w:tcBorders>
              <w:top w:val="dashSmallGap" w:sz="4" w:space="0" w:color="000000"/>
              <w:left w:val="nil"/>
              <w:bottom w:val="dashSmallGap" w:sz="4" w:space="0" w:color="000000"/>
              <w:right w:val="single" w:sz="12" w:space="0" w:color="000000"/>
            </w:tcBorders>
          </w:tcPr>
          <w:p>
            <w:pPr>
              <w:pStyle w:val="TableParagraph"/>
              <w:spacing w:before="5"/>
              <w:rPr>
                <w:b/>
                <w:sz w:val="4"/>
              </w:rPr>
            </w:pPr>
          </w:p>
          <w:p>
            <w:pPr>
              <w:pStyle w:val="TableParagraph"/>
              <w:ind w:left="-2"/>
              <w:rPr>
                <w:sz w:val="20"/>
              </w:rPr>
            </w:pPr>
            <w:r>
              <w:rPr>
                <w:sz w:val="20"/>
              </w:rPr>
              <w:pict>
                <v:group style="width:.5pt;height:17.3pt;mso-position-horizontal-relative:char;mso-position-vertical-relative:line" id="docshapegroup829" coordorigin="0,0" coordsize="10,346">
                  <v:shape style="position:absolute;left:0;top:0;width:10;height:346" id="docshape830"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before="118"/>
              <w:ind w:right="69"/>
              <w:jc w:val="right"/>
              <w:rPr>
                <w:sz w:val="18"/>
              </w:rPr>
            </w:pPr>
            <w:r>
              <w:rPr>
                <w:spacing w:val="-5"/>
                <w:sz w:val="18"/>
              </w:rPr>
              <w:t>85</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before="118"/>
              <w:ind w:right="69"/>
              <w:jc w:val="right"/>
              <w:rPr>
                <w:sz w:val="18"/>
              </w:rPr>
            </w:pPr>
            <w:r>
              <w:rPr>
                <w:spacing w:val="-5"/>
                <w:sz w:val="18"/>
              </w:rPr>
              <w:t>90</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before="118"/>
              <w:ind w:right="67"/>
              <w:jc w:val="right"/>
              <w:rPr>
                <w:sz w:val="18"/>
              </w:rPr>
            </w:pPr>
            <w:r>
              <w:rPr>
                <w:spacing w:val="-5"/>
                <w:sz w:val="18"/>
              </w:rPr>
              <w:t>90</w:t>
            </w:r>
          </w:p>
        </w:tc>
      </w:tr>
      <w:tr>
        <w:trPr>
          <w:trHeight w:val="232" w:hRule="atLeast"/>
        </w:trPr>
        <w:tc>
          <w:tcPr>
            <w:tcW w:w="3005" w:type="dxa"/>
            <w:tcBorders>
              <w:top w:val="dashSmallGap" w:sz="4" w:space="0" w:color="000000"/>
              <w:left w:val="single" w:sz="12" w:space="0" w:color="000000"/>
              <w:bottom w:val="dashed" w:sz="4" w:space="0" w:color="000000"/>
              <w:right w:val="single" w:sz="12" w:space="0" w:color="000000"/>
            </w:tcBorders>
          </w:tcPr>
          <w:p>
            <w:pPr>
              <w:pStyle w:val="TableParagraph"/>
              <w:spacing w:line="199" w:lineRule="exact" w:before="13"/>
              <w:ind w:left="107"/>
              <w:rPr>
                <w:sz w:val="18"/>
              </w:rPr>
            </w:pPr>
            <w:r>
              <w:rPr>
                <w:sz w:val="18"/>
              </w:rPr>
              <w:t>REALM</w:t>
            </w:r>
            <w:r>
              <w:rPr>
                <w:spacing w:val="1"/>
                <w:sz w:val="18"/>
              </w:rPr>
              <w:t> </w:t>
            </w:r>
            <w:r>
              <w:rPr>
                <w:sz w:val="18"/>
              </w:rPr>
              <w:t>Furniture</w:t>
            </w:r>
            <w:r>
              <w:rPr>
                <w:spacing w:val="-3"/>
                <w:sz w:val="18"/>
              </w:rPr>
              <w:t> </w:t>
            </w:r>
            <w:r>
              <w:rPr>
                <w:sz w:val="18"/>
              </w:rPr>
              <w:t>and</w:t>
            </w:r>
            <w:r>
              <w:rPr>
                <w:spacing w:val="1"/>
                <w:sz w:val="18"/>
              </w:rPr>
              <w:t> </w:t>
            </w:r>
            <w:r>
              <w:rPr>
                <w:spacing w:val="-2"/>
                <w:sz w:val="18"/>
              </w:rPr>
              <w:t>Equipment</w:t>
            </w:r>
          </w:p>
        </w:tc>
        <w:tc>
          <w:tcPr>
            <w:tcW w:w="1351" w:type="dxa"/>
            <w:tcBorders>
              <w:top w:val="dashSmallGap" w:sz="4" w:space="0" w:color="000000"/>
              <w:left w:val="single" w:sz="12" w:space="0" w:color="000000"/>
              <w:bottom w:val="dashed" w:sz="4" w:space="0" w:color="000000"/>
              <w:right w:val="nil"/>
            </w:tcBorders>
          </w:tcPr>
          <w:p>
            <w:pPr>
              <w:pStyle w:val="TableParagraph"/>
              <w:spacing w:line="199" w:lineRule="exact" w:before="13"/>
              <w:ind w:right="76"/>
              <w:jc w:val="right"/>
              <w:rPr>
                <w:sz w:val="18"/>
              </w:rPr>
            </w:pPr>
            <w:r>
              <w:rPr>
                <w:spacing w:val="-5"/>
                <w:sz w:val="18"/>
              </w:rPr>
              <w:t>50</w:t>
            </w:r>
          </w:p>
        </w:tc>
        <w:tc>
          <w:tcPr>
            <w:tcW w:w="1353" w:type="dxa"/>
            <w:tcBorders>
              <w:top w:val="dashSmallGap" w:sz="4" w:space="0" w:color="000000"/>
              <w:left w:val="nil"/>
              <w:bottom w:val="dashed" w:sz="4" w:space="0" w:color="000000"/>
              <w:right w:val="nil"/>
            </w:tcBorders>
          </w:tcPr>
          <w:p>
            <w:pPr>
              <w:pStyle w:val="TableParagraph"/>
              <w:spacing w:line="199" w:lineRule="exact" w:before="13"/>
              <w:ind w:right="91"/>
              <w:jc w:val="right"/>
              <w:rPr>
                <w:sz w:val="18"/>
              </w:rPr>
            </w:pPr>
            <w:r>
              <w:rPr>
                <w:spacing w:val="-5"/>
                <w:sz w:val="18"/>
              </w:rPr>
              <w:t>50</w:t>
            </w:r>
          </w:p>
        </w:tc>
        <w:tc>
          <w:tcPr>
            <w:tcW w:w="1353" w:type="dxa"/>
            <w:tcBorders>
              <w:top w:val="dashed" w:sz="4" w:space="0" w:color="000000"/>
              <w:left w:val="nil"/>
              <w:bottom w:val="dashed" w:sz="4" w:space="0" w:color="000000"/>
              <w:right w:val="nil"/>
            </w:tcBorders>
          </w:tcPr>
          <w:p>
            <w:pPr>
              <w:pStyle w:val="TableParagraph"/>
              <w:spacing w:before="6"/>
              <w:rPr>
                <w:b/>
                <w:sz w:val="3"/>
              </w:rPr>
            </w:pPr>
          </w:p>
          <w:p>
            <w:pPr>
              <w:pStyle w:val="TableParagraph"/>
              <w:tabs>
                <w:tab w:pos="1363" w:val="left" w:leader="none"/>
              </w:tabs>
              <w:spacing w:line="115" w:lineRule="exact"/>
              <w:ind w:left="10" w:right="-87"/>
              <w:rPr>
                <w:sz w:val="11"/>
              </w:rPr>
            </w:pPr>
            <w:r>
              <w:rPr>
                <w:position w:val="-1"/>
                <w:sz w:val="11"/>
              </w:rPr>
              <w:pict>
                <v:group style="width:.5pt;height:5.8pt;mso-position-horizontal-relative:char;mso-position-vertical-relative:line" id="docshapegroup831" coordorigin="0,0" coordsize="10,116">
                  <v:shape style="position:absolute;left:0;top:0;width:10;height:116" id="docshape832"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833" coordorigin="0,0" coordsize="10,116">
                  <v:shape style="position:absolute;left:0;top:0;width:10;height:116" id="docshape834" coordorigin="0,0" coordsize="10,116" path="m10,77l0,77,0,115,10,115,10,77xm10,0l0,0,0,38,10,38,10,0xe" filled="true" fillcolor="#000000" stroked="false">
                    <v:path arrowok="t"/>
                    <v:fill type="solid"/>
                  </v:shape>
                </v:group>
              </w:pict>
            </w:r>
            <w:r>
              <w:rPr>
                <w:position w:val="-1"/>
                <w:sz w:val="11"/>
              </w:rPr>
            </w:r>
          </w:p>
        </w:tc>
        <w:tc>
          <w:tcPr>
            <w:tcW w:w="921" w:type="dxa"/>
            <w:tcBorders>
              <w:top w:val="dashed" w:sz="4" w:space="0" w:color="000000"/>
              <w:left w:val="nil"/>
              <w:bottom w:val="dashed" w:sz="4" w:space="0" w:color="000000"/>
              <w:right w:val="nil"/>
            </w:tcBorders>
          </w:tcPr>
          <w:p>
            <w:pPr>
              <w:pStyle w:val="TableParagraph"/>
              <w:spacing w:before="6"/>
              <w:rPr>
                <w:b/>
                <w:sz w:val="3"/>
              </w:rPr>
            </w:pPr>
          </w:p>
          <w:p>
            <w:pPr>
              <w:pStyle w:val="TableParagraph"/>
              <w:spacing w:line="115" w:lineRule="exact"/>
              <w:ind w:left="932" w:right="-87"/>
              <w:rPr>
                <w:sz w:val="11"/>
              </w:rPr>
            </w:pPr>
            <w:r>
              <w:rPr>
                <w:position w:val="-1"/>
                <w:sz w:val="11"/>
              </w:rPr>
              <w:pict>
                <v:group style="width:.5pt;height:5.8pt;mso-position-horizontal-relative:char;mso-position-vertical-relative:line" id="docshapegroup835" coordorigin="0,0" coordsize="10,116">
                  <v:shape style="position:absolute;left:0;top:0;width:10;height:116" id="docshape836" coordorigin="0,0" coordsize="10,116" path="m10,77l0,77,0,115,10,115,10,77xm10,0l0,0,0,38,10,38,10,0xe" filled="true" fillcolor="#000000" stroked="false">
                    <v:path arrowok="t"/>
                    <v:fill type="solid"/>
                  </v:shape>
                </v:group>
              </w:pict>
            </w:r>
            <w:r>
              <w:rPr>
                <w:position w:val="-1"/>
                <w:sz w:val="11"/>
              </w:rPr>
            </w:r>
          </w:p>
        </w:tc>
        <w:tc>
          <w:tcPr>
            <w:tcW w:w="1300" w:type="dxa"/>
            <w:tcBorders>
              <w:top w:val="dashed" w:sz="4" w:space="0" w:color="000000"/>
              <w:left w:val="nil"/>
              <w:bottom w:val="dashed" w:sz="4" w:space="0" w:color="000000"/>
              <w:right w:val="nil"/>
            </w:tcBorders>
          </w:tcPr>
          <w:p>
            <w:pPr>
              <w:pStyle w:val="TableParagraph"/>
              <w:spacing w:line="199" w:lineRule="exact" w:before="13"/>
              <w:ind w:right="89"/>
              <w:jc w:val="right"/>
              <w:rPr>
                <w:sz w:val="18"/>
              </w:rPr>
            </w:pPr>
            <w:r>
              <w:rPr>
                <w:spacing w:val="-5"/>
                <w:sz w:val="18"/>
              </w:rPr>
              <w:t>50</w:t>
            </w:r>
          </w:p>
        </w:tc>
        <w:tc>
          <w:tcPr>
            <w:tcW w:w="1103" w:type="dxa"/>
            <w:tcBorders>
              <w:top w:val="dashed" w:sz="4" w:space="0" w:color="000000"/>
              <w:left w:val="nil"/>
              <w:bottom w:val="dashed" w:sz="4" w:space="0" w:color="000000"/>
              <w:right w:val="nil"/>
            </w:tcBorders>
          </w:tcPr>
          <w:p>
            <w:pPr>
              <w:pStyle w:val="TableParagraph"/>
              <w:spacing w:line="199" w:lineRule="exact" w:before="13"/>
              <w:ind w:right="88"/>
              <w:jc w:val="right"/>
              <w:rPr>
                <w:sz w:val="18"/>
              </w:rPr>
            </w:pPr>
            <w:r>
              <w:rPr>
                <w:sz w:val="18"/>
              </w:rPr>
              <w:t>0</w:t>
            </w:r>
          </w:p>
        </w:tc>
        <w:tc>
          <w:tcPr>
            <w:tcW w:w="1302" w:type="dxa"/>
            <w:tcBorders>
              <w:top w:val="dashSmallGap" w:sz="4" w:space="0" w:color="000000"/>
              <w:left w:val="nil"/>
              <w:bottom w:val="dashed" w:sz="4" w:space="0" w:color="000000"/>
              <w:right w:val="single" w:sz="12" w:space="0" w:color="000000"/>
            </w:tcBorders>
          </w:tcPr>
          <w:p>
            <w:pPr>
              <w:pStyle w:val="TableParagraph"/>
              <w:spacing w:before="6"/>
              <w:rPr>
                <w:b/>
                <w:sz w:val="3"/>
              </w:rPr>
            </w:pPr>
          </w:p>
          <w:p>
            <w:pPr>
              <w:pStyle w:val="TableParagraph"/>
              <w:spacing w:line="115" w:lineRule="exact"/>
              <w:ind w:left="-2"/>
              <w:rPr>
                <w:sz w:val="11"/>
              </w:rPr>
            </w:pPr>
            <w:r>
              <w:rPr>
                <w:position w:val="-1"/>
                <w:sz w:val="11"/>
              </w:rPr>
              <w:pict>
                <v:group style="width:.5pt;height:5.8pt;mso-position-horizontal-relative:char;mso-position-vertical-relative:line" id="docshapegroup837" coordorigin="0,0" coordsize="10,116">
                  <v:shape style="position:absolute;left:0;top:0;width:10;height:116" id="docshape838" coordorigin="0,0" coordsize="10,116" path="m10,77l0,77,0,115,10,115,10,77xm10,0l0,0,0,38,10,38,10,0xe" filled="true" fillcolor="#000000" stroked="false">
                    <v:path arrowok="t"/>
                    <v:fill type="solid"/>
                  </v:shape>
                </v:group>
              </w:pict>
            </w:r>
            <w:r>
              <w:rPr>
                <w:position w:val="-1"/>
                <w:sz w:val="11"/>
              </w:rPr>
            </w:r>
          </w:p>
        </w:tc>
        <w:tc>
          <w:tcPr>
            <w:tcW w:w="1146" w:type="dxa"/>
            <w:tcBorders>
              <w:top w:val="dashSmallGap" w:sz="4" w:space="0" w:color="000000"/>
              <w:left w:val="single" w:sz="12" w:space="0" w:color="000000"/>
              <w:bottom w:val="dashed" w:sz="4" w:space="0" w:color="000000"/>
              <w:right w:val="single" w:sz="12" w:space="0" w:color="000000"/>
            </w:tcBorders>
          </w:tcPr>
          <w:p>
            <w:pPr>
              <w:pStyle w:val="TableParagraph"/>
              <w:spacing w:line="199" w:lineRule="exact" w:before="13"/>
              <w:ind w:right="69"/>
              <w:jc w:val="right"/>
              <w:rPr>
                <w:sz w:val="18"/>
              </w:rPr>
            </w:pPr>
            <w:r>
              <w:rPr>
                <w:spacing w:val="-5"/>
                <w:sz w:val="18"/>
              </w:rPr>
              <w:t>50</w:t>
            </w:r>
          </w:p>
        </w:tc>
        <w:tc>
          <w:tcPr>
            <w:tcW w:w="1232" w:type="dxa"/>
            <w:tcBorders>
              <w:top w:val="dashSmallGap" w:sz="4" w:space="0" w:color="000000"/>
              <w:left w:val="single" w:sz="12" w:space="0" w:color="000000"/>
              <w:bottom w:val="dashed" w:sz="4" w:space="0" w:color="000000"/>
              <w:right w:val="single" w:sz="12" w:space="0" w:color="000000"/>
            </w:tcBorders>
          </w:tcPr>
          <w:p>
            <w:pPr>
              <w:pStyle w:val="TableParagraph"/>
              <w:spacing w:line="199" w:lineRule="exact" w:before="13"/>
              <w:ind w:right="69"/>
              <w:jc w:val="right"/>
              <w:rPr>
                <w:sz w:val="18"/>
              </w:rPr>
            </w:pPr>
            <w:r>
              <w:rPr>
                <w:spacing w:val="-5"/>
                <w:sz w:val="18"/>
              </w:rPr>
              <w:t>70</w:t>
            </w:r>
          </w:p>
        </w:tc>
        <w:tc>
          <w:tcPr>
            <w:tcW w:w="1294" w:type="dxa"/>
            <w:tcBorders>
              <w:top w:val="dashSmallGap" w:sz="4" w:space="0" w:color="000000"/>
              <w:left w:val="single" w:sz="12" w:space="0" w:color="000000"/>
              <w:bottom w:val="dashed" w:sz="4" w:space="0" w:color="000000"/>
              <w:right w:val="single" w:sz="12" w:space="0" w:color="000000"/>
            </w:tcBorders>
          </w:tcPr>
          <w:p>
            <w:pPr>
              <w:pStyle w:val="TableParagraph"/>
              <w:spacing w:line="199" w:lineRule="exact" w:before="13"/>
              <w:ind w:right="67"/>
              <w:jc w:val="right"/>
              <w:rPr>
                <w:sz w:val="18"/>
              </w:rPr>
            </w:pPr>
            <w:r>
              <w:rPr>
                <w:spacing w:val="-5"/>
                <w:sz w:val="18"/>
              </w:rPr>
              <w:t>70</w:t>
            </w:r>
          </w:p>
        </w:tc>
      </w:tr>
      <w:tr>
        <w:trPr>
          <w:trHeight w:val="414" w:hRule="atLeast"/>
        </w:trPr>
        <w:tc>
          <w:tcPr>
            <w:tcW w:w="3005" w:type="dxa"/>
            <w:tcBorders>
              <w:top w:val="dashed" w:sz="4" w:space="0" w:color="000000"/>
              <w:left w:val="single" w:sz="12" w:space="0" w:color="000000"/>
              <w:bottom w:val="dashSmallGap" w:sz="4" w:space="0" w:color="000000"/>
              <w:right w:val="single" w:sz="12" w:space="0" w:color="000000"/>
            </w:tcBorders>
          </w:tcPr>
          <w:p>
            <w:pPr>
              <w:pStyle w:val="TableParagraph"/>
              <w:spacing w:line="206" w:lineRule="exact"/>
              <w:ind w:left="107"/>
              <w:rPr>
                <w:sz w:val="18"/>
              </w:rPr>
            </w:pPr>
            <w:r>
              <w:rPr>
                <w:sz w:val="18"/>
              </w:rPr>
              <w:t>Leisure</w:t>
            </w:r>
            <w:r>
              <w:rPr>
                <w:spacing w:val="-12"/>
                <w:sz w:val="18"/>
              </w:rPr>
              <w:t> </w:t>
            </w:r>
            <w:r>
              <w:rPr>
                <w:sz w:val="18"/>
              </w:rPr>
              <w:t>Facilities</w:t>
            </w:r>
            <w:r>
              <w:rPr>
                <w:spacing w:val="-13"/>
                <w:sz w:val="18"/>
              </w:rPr>
              <w:t> </w:t>
            </w:r>
            <w:r>
              <w:rPr>
                <w:sz w:val="18"/>
              </w:rPr>
              <w:t>-</w:t>
            </w:r>
            <w:r>
              <w:rPr>
                <w:spacing w:val="-12"/>
                <w:sz w:val="18"/>
              </w:rPr>
              <w:t> </w:t>
            </w:r>
            <w:r>
              <w:rPr>
                <w:sz w:val="18"/>
              </w:rPr>
              <w:t>Equipment </w:t>
            </w:r>
            <w:r>
              <w:rPr>
                <w:spacing w:val="-2"/>
                <w:sz w:val="18"/>
              </w:rPr>
              <w:t>Replacement</w:t>
            </w:r>
          </w:p>
        </w:tc>
        <w:tc>
          <w:tcPr>
            <w:tcW w:w="1351" w:type="dxa"/>
            <w:tcBorders>
              <w:top w:val="dashed" w:sz="4" w:space="0" w:color="000000"/>
              <w:left w:val="single" w:sz="12" w:space="0" w:color="000000"/>
              <w:bottom w:val="dashSmallGap" w:sz="4" w:space="0" w:color="000000"/>
              <w:right w:val="nil"/>
            </w:tcBorders>
          </w:tcPr>
          <w:p>
            <w:pPr>
              <w:pStyle w:val="TableParagraph"/>
              <w:spacing w:before="102"/>
              <w:ind w:right="76"/>
              <w:jc w:val="right"/>
              <w:rPr>
                <w:sz w:val="18"/>
              </w:rPr>
            </w:pPr>
            <w:r>
              <w:rPr>
                <w:spacing w:val="-5"/>
                <w:sz w:val="18"/>
              </w:rPr>
              <w:t>625</w:t>
            </w:r>
          </w:p>
        </w:tc>
        <w:tc>
          <w:tcPr>
            <w:tcW w:w="1353" w:type="dxa"/>
            <w:tcBorders>
              <w:top w:val="dashed" w:sz="4" w:space="0" w:color="000000"/>
              <w:left w:val="nil"/>
              <w:bottom w:val="dashSmallGap" w:sz="4" w:space="0" w:color="000000"/>
              <w:right w:val="nil"/>
            </w:tcBorders>
          </w:tcPr>
          <w:p>
            <w:pPr>
              <w:pStyle w:val="TableParagraph"/>
              <w:spacing w:before="102"/>
              <w:ind w:right="90"/>
              <w:jc w:val="right"/>
              <w:rPr>
                <w:sz w:val="18"/>
              </w:rPr>
            </w:pPr>
            <w:r>
              <w:rPr>
                <w:spacing w:val="-5"/>
                <w:sz w:val="18"/>
              </w:rPr>
              <w:t>625</w:t>
            </w:r>
          </w:p>
        </w:tc>
        <w:tc>
          <w:tcPr>
            <w:tcW w:w="1353" w:type="dxa"/>
            <w:tcBorders>
              <w:top w:val="dashed" w:sz="4" w:space="0" w:color="000000"/>
              <w:left w:val="nil"/>
              <w:bottom w:val="dashed" w:sz="4" w:space="0" w:color="000000"/>
              <w:right w:val="nil"/>
            </w:tcBorders>
          </w:tcPr>
          <w:p>
            <w:pPr>
              <w:pStyle w:val="TableParagraph"/>
              <w:spacing w:before="1" w:after="1"/>
              <w:rPr>
                <w:b/>
                <w:sz w:val="9"/>
              </w:rPr>
            </w:pPr>
          </w:p>
          <w:p>
            <w:pPr>
              <w:pStyle w:val="TableParagraph"/>
              <w:tabs>
                <w:tab w:pos="1363" w:val="left" w:leader="none"/>
              </w:tabs>
              <w:ind w:left="10" w:right="-87"/>
              <w:rPr>
                <w:sz w:val="20"/>
              </w:rPr>
            </w:pPr>
            <w:r>
              <w:rPr>
                <w:sz w:val="20"/>
              </w:rPr>
              <w:pict>
                <v:group style="width:.5pt;height:13.45pt;mso-position-horizontal-relative:char;mso-position-vertical-relative:line" id="docshapegroup839" coordorigin="0,0" coordsize="10,269">
                  <v:shape style="position:absolute;left:0;top:0;width:10;height:269" id="docshape840"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841" coordorigin="0,0" coordsize="10,269">
                  <v:shape style="position:absolute;left:0;top:0;width:10;height:269" id="docshape842" coordorigin="0,0" coordsize="10,269" path="m10,230l0,230,0,269,10,269,10,230xm10,154l0,154,0,192,10,192,10,154xm10,77l0,77,0,115,10,115,10,77xm10,0l0,0,0,38,10,38,10,0xe" filled="true" fillcolor="#000000" stroked="false">
                    <v:path arrowok="t"/>
                    <v:fill type="solid"/>
                  </v:shape>
                </v:group>
              </w:pict>
            </w:r>
            <w:r>
              <w:rPr>
                <w:sz w:val="20"/>
              </w:rPr>
            </w:r>
          </w:p>
        </w:tc>
        <w:tc>
          <w:tcPr>
            <w:tcW w:w="921" w:type="dxa"/>
            <w:tcBorders>
              <w:top w:val="dashed" w:sz="4" w:space="0" w:color="000000"/>
              <w:left w:val="nil"/>
              <w:bottom w:val="dashed" w:sz="4" w:space="0" w:color="000000"/>
              <w:right w:val="nil"/>
            </w:tcBorders>
          </w:tcPr>
          <w:p>
            <w:pPr>
              <w:pStyle w:val="TableParagraph"/>
              <w:spacing w:before="1" w:after="1"/>
              <w:rPr>
                <w:b/>
                <w:sz w:val="9"/>
              </w:rPr>
            </w:pPr>
          </w:p>
          <w:p>
            <w:pPr>
              <w:pStyle w:val="TableParagraph"/>
              <w:ind w:left="932" w:right="-87"/>
              <w:rPr>
                <w:sz w:val="20"/>
              </w:rPr>
            </w:pPr>
            <w:r>
              <w:rPr>
                <w:sz w:val="20"/>
              </w:rPr>
              <w:pict>
                <v:group style="width:.5pt;height:13.45pt;mso-position-horizontal-relative:char;mso-position-vertical-relative:line" id="docshapegroup843" coordorigin="0,0" coordsize="10,269">
                  <v:shape style="position:absolute;left:0;top:0;width:10;height:269" id="docshape844" coordorigin="0,0" coordsize="10,269" path="m10,230l0,230,0,269,10,269,10,230xm10,154l0,154,0,192,10,192,10,154xm10,77l0,77,0,115,10,115,10,77xm10,0l0,0,0,38,10,38,10,0xe" filled="true" fillcolor="#000000" stroked="false">
                    <v:path arrowok="t"/>
                    <v:fill type="solid"/>
                  </v:shape>
                </v:group>
              </w:pict>
            </w:r>
            <w:r>
              <w:rPr>
                <w:sz w:val="20"/>
              </w:rPr>
            </w:r>
          </w:p>
        </w:tc>
        <w:tc>
          <w:tcPr>
            <w:tcW w:w="1300" w:type="dxa"/>
            <w:tcBorders>
              <w:top w:val="dashed" w:sz="4" w:space="0" w:color="000000"/>
              <w:left w:val="nil"/>
              <w:bottom w:val="dashed" w:sz="4" w:space="0" w:color="000000"/>
              <w:right w:val="nil"/>
            </w:tcBorders>
          </w:tcPr>
          <w:p>
            <w:pPr>
              <w:pStyle w:val="TableParagraph"/>
              <w:spacing w:before="102"/>
              <w:ind w:right="88"/>
              <w:jc w:val="right"/>
              <w:rPr>
                <w:sz w:val="18"/>
              </w:rPr>
            </w:pPr>
            <w:r>
              <w:rPr>
                <w:spacing w:val="-5"/>
                <w:sz w:val="18"/>
              </w:rPr>
              <w:t>625</w:t>
            </w:r>
          </w:p>
        </w:tc>
        <w:tc>
          <w:tcPr>
            <w:tcW w:w="1103" w:type="dxa"/>
            <w:tcBorders>
              <w:top w:val="dashed" w:sz="4" w:space="0" w:color="000000"/>
              <w:left w:val="nil"/>
              <w:bottom w:val="dashed" w:sz="4" w:space="0" w:color="000000"/>
              <w:right w:val="nil"/>
            </w:tcBorders>
          </w:tcPr>
          <w:p>
            <w:pPr>
              <w:pStyle w:val="TableParagraph"/>
              <w:spacing w:before="1" w:after="1"/>
              <w:rPr>
                <w:b/>
                <w:sz w:val="9"/>
              </w:rPr>
            </w:pPr>
          </w:p>
          <w:p>
            <w:pPr>
              <w:pStyle w:val="TableParagraph"/>
              <w:tabs>
                <w:tab w:pos="1116" w:val="left" w:leader="none"/>
              </w:tabs>
              <w:ind w:left="12" w:right="-87"/>
              <w:rPr>
                <w:sz w:val="20"/>
              </w:rPr>
            </w:pPr>
            <w:r>
              <w:rPr>
                <w:sz w:val="20"/>
              </w:rPr>
              <w:pict>
                <v:group style="width:.5pt;height:13.45pt;mso-position-horizontal-relative:char;mso-position-vertical-relative:line" id="docshapegroup845" coordorigin="0,0" coordsize="10,269">
                  <v:shape style="position:absolute;left:0;top:0;width:10;height:269" id="docshape846"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847" coordorigin="0,0" coordsize="10,269">
                  <v:shape style="position:absolute;left:0;top:0;width:10;height:269" id="docshape848" coordorigin="0,0" coordsize="10,269" path="m10,230l0,230,0,269,10,269,10,230xm10,154l0,154,0,192,10,192,10,154xm10,77l0,77,0,115,10,115,10,77xm10,0l0,0,0,38,10,38,10,0xe" filled="true" fillcolor="#000000" stroked="false">
                    <v:path arrowok="t"/>
                    <v:fill type="solid"/>
                  </v:shape>
                </v:group>
              </w:pict>
            </w:r>
            <w:r>
              <w:rPr>
                <w:sz w:val="20"/>
              </w:rPr>
            </w:r>
          </w:p>
        </w:tc>
        <w:tc>
          <w:tcPr>
            <w:tcW w:w="1302" w:type="dxa"/>
            <w:tcBorders>
              <w:top w:val="dashed" w:sz="4" w:space="0" w:color="000000"/>
              <w:left w:val="nil"/>
              <w:bottom w:val="dashSmallGap" w:sz="4" w:space="0" w:color="000000"/>
              <w:right w:val="single" w:sz="12" w:space="0" w:color="000000"/>
            </w:tcBorders>
          </w:tcPr>
          <w:p>
            <w:pPr>
              <w:pStyle w:val="TableParagraph"/>
              <w:rPr>
                <w:rFonts w:ascii="Times New Roman"/>
                <w:sz w:val="18"/>
              </w:rPr>
            </w:pPr>
          </w:p>
        </w:tc>
        <w:tc>
          <w:tcPr>
            <w:tcW w:w="1146" w:type="dxa"/>
            <w:tcBorders>
              <w:top w:val="dashed" w:sz="4" w:space="0" w:color="000000"/>
              <w:left w:val="single" w:sz="12" w:space="0" w:color="000000"/>
              <w:bottom w:val="dashSmallGap" w:sz="4" w:space="0" w:color="000000"/>
              <w:right w:val="single" w:sz="12" w:space="0" w:color="000000"/>
            </w:tcBorders>
          </w:tcPr>
          <w:p>
            <w:pPr>
              <w:pStyle w:val="TableParagraph"/>
              <w:spacing w:before="102"/>
              <w:ind w:right="70"/>
              <w:jc w:val="right"/>
              <w:rPr>
                <w:sz w:val="18"/>
              </w:rPr>
            </w:pPr>
            <w:r>
              <w:rPr>
                <w:spacing w:val="-5"/>
                <w:sz w:val="18"/>
              </w:rPr>
              <w:t>600</w:t>
            </w:r>
          </w:p>
        </w:tc>
        <w:tc>
          <w:tcPr>
            <w:tcW w:w="1232" w:type="dxa"/>
            <w:tcBorders>
              <w:top w:val="dashed" w:sz="4" w:space="0" w:color="000000"/>
              <w:left w:val="single" w:sz="12" w:space="0" w:color="000000"/>
              <w:bottom w:val="dashSmallGap" w:sz="4" w:space="0" w:color="000000"/>
              <w:right w:val="single" w:sz="12" w:space="0" w:color="000000"/>
            </w:tcBorders>
          </w:tcPr>
          <w:p>
            <w:pPr>
              <w:pStyle w:val="TableParagraph"/>
              <w:spacing w:before="102"/>
              <w:ind w:right="68"/>
              <w:jc w:val="right"/>
              <w:rPr>
                <w:sz w:val="18"/>
              </w:rPr>
            </w:pPr>
            <w:r>
              <w:rPr>
                <w:spacing w:val="-5"/>
                <w:sz w:val="18"/>
              </w:rPr>
              <w:t>600</w:t>
            </w:r>
          </w:p>
        </w:tc>
        <w:tc>
          <w:tcPr>
            <w:tcW w:w="1294" w:type="dxa"/>
            <w:tcBorders>
              <w:top w:val="dashed" w:sz="4" w:space="0" w:color="000000"/>
              <w:left w:val="single" w:sz="12" w:space="0" w:color="000000"/>
              <w:bottom w:val="dashSmallGap" w:sz="4" w:space="0" w:color="000000"/>
              <w:right w:val="single" w:sz="12" w:space="0" w:color="000000"/>
            </w:tcBorders>
          </w:tcPr>
          <w:p>
            <w:pPr>
              <w:pStyle w:val="TableParagraph"/>
              <w:spacing w:before="102"/>
              <w:ind w:right="66"/>
              <w:jc w:val="right"/>
              <w:rPr>
                <w:sz w:val="18"/>
              </w:rPr>
            </w:pPr>
            <w:r>
              <w:rPr>
                <w:spacing w:val="-5"/>
                <w:sz w:val="18"/>
              </w:rPr>
              <w:t>600</w:t>
            </w:r>
          </w:p>
        </w:tc>
      </w:tr>
      <w:tr>
        <w:trPr>
          <w:trHeight w:val="232" w:hRule="atLeast"/>
        </w:trPr>
        <w:tc>
          <w:tcPr>
            <w:tcW w:w="3005" w:type="dxa"/>
            <w:tcBorders>
              <w:top w:val="dashSmallGap" w:sz="4" w:space="0" w:color="000000"/>
              <w:left w:val="single" w:sz="12" w:space="0" w:color="000000"/>
              <w:bottom w:val="dashSmallGap" w:sz="4" w:space="0" w:color="000000"/>
              <w:right w:val="single" w:sz="12" w:space="0" w:color="000000"/>
            </w:tcBorders>
          </w:tcPr>
          <w:p>
            <w:pPr>
              <w:pStyle w:val="TableParagraph"/>
              <w:spacing w:line="201" w:lineRule="exact" w:before="11"/>
              <w:ind w:left="107"/>
              <w:rPr>
                <w:sz w:val="18"/>
              </w:rPr>
            </w:pPr>
            <w:r>
              <w:rPr>
                <w:sz w:val="18"/>
              </w:rPr>
              <w:t>Art in Public </w:t>
            </w:r>
            <w:r>
              <w:rPr>
                <w:spacing w:val="-2"/>
                <w:sz w:val="18"/>
              </w:rPr>
              <w:t>Places</w:t>
            </w:r>
          </w:p>
        </w:tc>
        <w:tc>
          <w:tcPr>
            <w:tcW w:w="1351" w:type="dxa"/>
            <w:tcBorders>
              <w:top w:val="dashSmallGap" w:sz="4" w:space="0" w:color="000000"/>
              <w:left w:val="single" w:sz="12" w:space="0" w:color="000000"/>
              <w:bottom w:val="dashSmallGap" w:sz="4" w:space="0" w:color="000000"/>
              <w:right w:val="nil"/>
            </w:tcBorders>
          </w:tcPr>
          <w:p>
            <w:pPr>
              <w:pStyle w:val="TableParagraph"/>
              <w:spacing w:line="201" w:lineRule="exact" w:before="11"/>
              <w:ind w:right="76"/>
              <w:jc w:val="right"/>
              <w:rPr>
                <w:sz w:val="18"/>
              </w:rPr>
            </w:pPr>
            <w:r>
              <w:rPr>
                <w:spacing w:val="-5"/>
                <w:sz w:val="18"/>
              </w:rPr>
              <w:t>72</w:t>
            </w:r>
          </w:p>
        </w:tc>
        <w:tc>
          <w:tcPr>
            <w:tcW w:w="1353" w:type="dxa"/>
            <w:tcBorders>
              <w:top w:val="dashSmallGap" w:sz="4" w:space="0" w:color="000000"/>
              <w:left w:val="nil"/>
              <w:bottom w:val="dashSmallGap" w:sz="4" w:space="0" w:color="000000"/>
              <w:right w:val="nil"/>
            </w:tcBorders>
          </w:tcPr>
          <w:p>
            <w:pPr>
              <w:pStyle w:val="TableParagraph"/>
              <w:spacing w:line="201" w:lineRule="exact" w:before="11"/>
              <w:ind w:right="91"/>
              <w:jc w:val="right"/>
              <w:rPr>
                <w:sz w:val="18"/>
              </w:rPr>
            </w:pPr>
            <w:r>
              <w:rPr>
                <w:spacing w:val="-5"/>
                <w:sz w:val="18"/>
              </w:rPr>
              <w:t>72</w:t>
            </w:r>
          </w:p>
        </w:tc>
        <w:tc>
          <w:tcPr>
            <w:tcW w:w="1353" w:type="dxa"/>
            <w:tcBorders>
              <w:top w:val="dashed" w:sz="4" w:space="0" w:color="000000"/>
              <w:left w:val="nil"/>
              <w:bottom w:val="dashed" w:sz="4" w:space="0" w:color="000000"/>
              <w:right w:val="nil"/>
            </w:tcBorders>
          </w:tcPr>
          <w:p>
            <w:pPr>
              <w:pStyle w:val="TableParagraph"/>
              <w:spacing w:before="7"/>
              <w:rPr>
                <w:b/>
                <w:sz w:val="5"/>
              </w:rPr>
            </w:pPr>
          </w:p>
          <w:p>
            <w:pPr>
              <w:pStyle w:val="TableParagraph"/>
              <w:tabs>
                <w:tab w:pos="1363" w:val="left" w:leader="none"/>
              </w:tabs>
              <w:spacing w:line="115" w:lineRule="exact"/>
              <w:ind w:left="10" w:right="-87"/>
              <w:rPr>
                <w:sz w:val="11"/>
              </w:rPr>
            </w:pPr>
            <w:r>
              <w:rPr>
                <w:position w:val="-1"/>
                <w:sz w:val="11"/>
              </w:rPr>
              <w:pict>
                <v:group style="width:.5pt;height:5.8pt;mso-position-horizontal-relative:char;mso-position-vertical-relative:line" id="docshapegroup849" coordorigin="0,0" coordsize="10,116">
                  <v:shape style="position:absolute;left:0;top:0;width:10;height:116" id="docshape850"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851" coordorigin="0,0" coordsize="10,116">
                  <v:shape style="position:absolute;left:0;top:0;width:10;height:116" id="docshape852" coordorigin="0,0" coordsize="10,116" path="m10,77l0,77,0,115,10,115,10,77xm10,0l0,0,0,38,10,38,10,0xe" filled="true" fillcolor="#000000" stroked="false">
                    <v:path arrowok="t"/>
                    <v:fill type="solid"/>
                  </v:shape>
                </v:group>
              </w:pict>
            </w:r>
            <w:r>
              <w:rPr>
                <w:position w:val="-1"/>
                <w:sz w:val="11"/>
              </w:rPr>
            </w:r>
          </w:p>
        </w:tc>
        <w:tc>
          <w:tcPr>
            <w:tcW w:w="921"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15" w:lineRule="exact"/>
              <w:ind w:left="932" w:right="-87"/>
              <w:rPr>
                <w:sz w:val="11"/>
              </w:rPr>
            </w:pPr>
            <w:r>
              <w:rPr>
                <w:position w:val="-1"/>
                <w:sz w:val="11"/>
              </w:rPr>
              <w:pict>
                <v:group style="width:.5pt;height:5.8pt;mso-position-horizontal-relative:char;mso-position-vertical-relative:line" id="docshapegroup853" coordorigin="0,0" coordsize="10,116">
                  <v:shape style="position:absolute;left:0;top:0;width:10;height:116" id="docshape854" coordorigin="0,0" coordsize="10,116" path="m10,77l0,77,0,115,10,115,10,77xm10,0l0,0,0,38,10,38,10,0xe" filled="true" fillcolor="#000000" stroked="false">
                    <v:path arrowok="t"/>
                    <v:fill type="solid"/>
                  </v:shape>
                </v:group>
              </w:pict>
            </w:r>
            <w:r>
              <w:rPr>
                <w:position w:val="-1"/>
                <w:sz w:val="11"/>
              </w:rPr>
            </w:r>
          </w:p>
        </w:tc>
        <w:tc>
          <w:tcPr>
            <w:tcW w:w="1300"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15" w:lineRule="exact"/>
              <w:ind w:left="1312" w:right="-87"/>
              <w:rPr>
                <w:sz w:val="11"/>
              </w:rPr>
            </w:pPr>
            <w:r>
              <w:rPr>
                <w:position w:val="-1"/>
                <w:sz w:val="11"/>
              </w:rPr>
              <w:pict>
                <v:group style="width:.5pt;height:5.8pt;mso-position-horizontal-relative:char;mso-position-vertical-relative:line" id="docshapegroup855" coordorigin="0,0" coordsize="10,116">
                  <v:shape style="position:absolute;left:0;top:0;width:10;height:116" id="docshape856" coordorigin="0,0" coordsize="10,116" path="m10,77l0,77,0,115,10,115,10,77xm10,0l0,0,0,38,10,38,10,0xe" filled="true" fillcolor="#000000" stroked="false">
                    <v:path arrowok="t"/>
                    <v:fill type="solid"/>
                  </v:shape>
                </v:group>
              </w:pict>
            </w:r>
            <w:r>
              <w:rPr>
                <w:position w:val="-1"/>
                <w:sz w:val="11"/>
              </w:rPr>
            </w:r>
          </w:p>
        </w:tc>
        <w:tc>
          <w:tcPr>
            <w:tcW w:w="1103" w:type="dxa"/>
            <w:tcBorders>
              <w:top w:val="dashed" w:sz="4" w:space="0" w:color="000000"/>
              <w:left w:val="nil"/>
              <w:bottom w:val="dashed" w:sz="4" w:space="0" w:color="000000"/>
              <w:right w:val="nil"/>
            </w:tcBorders>
          </w:tcPr>
          <w:p>
            <w:pPr>
              <w:pStyle w:val="TableParagraph"/>
              <w:spacing w:before="7"/>
              <w:rPr>
                <w:b/>
                <w:sz w:val="5"/>
              </w:rPr>
            </w:pPr>
          </w:p>
          <w:p>
            <w:pPr>
              <w:pStyle w:val="TableParagraph"/>
              <w:spacing w:line="115" w:lineRule="exact"/>
              <w:ind w:left="1116" w:right="-87"/>
              <w:rPr>
                <w:sz w:val="11"/>
              </w:rPr>
            </w:pPr>
            <w:r>
              <w:rPr>
                <w:position w:val="-1"/>
                <w:sz w:val="11"/>
              </w:rPr>
              <w:pict>
                <v:group style="width:.5pt;height:5.8pt;mso-position-horizontal-relative:char;mso-position-vertical-relative:line" id="docshapegroup857" coordorigin="0,0" coordsize="10,116">
                  <v:shape style="position:absolute;left:0;top:0;width:10;height:116" id="docshape858" coordorigin="0,0" coordsize="10,116" path="m10,77l0,77,0,115,10,115,10,77xm10,0l0,0,0,38,10,38,10,0xe" filled="true" fillcolor="#000000" stroked="false">
                    <v:path arrowok="t"/>
                    <v:fill type="solid"/>
                  </v:shape>
                </v:group>
              </w:pict>
            </w:r>
            <w:r>
              <w:rPr>
                <w:position w:val="-1"/>
                <w:sz w:val="11"/>
              </w:rPr>
            </w:r>
          </w:p>
        </w:tc>
        <w:tc>
          <w:tcPr>
            <w:tcW w:w="1302" w:type="dxa"/>
            <w:tcBorders>
              <w:top w:val="dashSmallGap" w:sz="4" w:space="0" w:color="000000"/>
              <w:left w:val="nil"/>
              <w:bottom w:val="dashSmallGap" w:sz="4" w:space="0" w:color="000000"/>
              <w:right w:val="single" w:sz="12" w:space="0" w:color="000000"/>
            </w:tcBorders>
          </w:tcPr>
          <w:p>
            <w:pPr>
              <w:pStyle w:val="TableParagraph"/>
              <w:spacing w:line="201" w:lineRule="exact" w:before="11"/>
              <w:ind w:right="70"/>
              <w:jc w:val="right"/>
              <w:rPr>
                <w:sz w:val="18"/>
              </w:rPr>
            </w:pPr>
            <w:r>
              <w:rPr>
                <w:spacing w:val="-5"/>
                <w:sz w:val="18"/>
              </w:rPr>
              <w:t>72</w:t>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line="201" w:lineRule="exact" w:before="11"/>
              <w:ind w:right="69"/>
              <w:jc w:val="right"/>
              <w:rPr>
                <w:sz w:val="18"/>
              </w:rPr>
            </w:pPr>
            <w:r>
              <w:rPr>
                <w:spacing w:val="-5"/>
                <w:sz w:val="18"/>
              </w:rPr>
              <w:t>74</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line="201" w:lineRule="exact" w:before="11"/>
              <w:ind w:right="69"/>
              <w:jc w:val="right"/>
              <w:rPr>
                <w:sz w:val="18"/>
              </w:rPr>
            </w:pPr>
            <w:r>
              <w:rPr>
                <w:spacing w:val="-5"/>
                <w:sz w:val="18"/>
              </w:rPr>
              <w:t>75</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line="201" w:lineRule="exact" w:before="11"/>
              <w:ind w:right="67"/>
              <w:jc w:val="right"/>
              <w:rPr>
                <w:sz w:val="18"/>
              </w:rPr>
            </w:pPr>
            <w:r>
              <w:rPr>
                <w:spacing w:val="-5"/>
                <w:sz w:val="18"/>
              </w:rPr>
              <w:t>77</w:t>
            </w:r>
          </w:p>
        </w:tc>
      </w:tr>
      <w:tr>
        <w:trPr>
          <w:trHeight w:val="740" w:hRule="atLeast"/>
        </w:trPr>
        <w:tc>
          <w:tcPr>
            <w:tcW w:w="3005" w:type="dxa"/>
            <w:tcBorders>
              <w:top w:val="dashSmallGap" w:sz="4" w:space="0" w:color="000000"/>
              <w:left w:val="single" w:sz="12" w:space="0" w:color="000000"/>
              <w:bottom w:val="dashSmallGap" w:sz="4" w:space="0" w:color="000000"/>
              <w:right w:val="single" w:sz="12" w:space="0" w:color="000000"/>
            </w:tcBorders>
          </w:tcPr>
          <w:p>
            <w:pPr>
              <w:pStyle w:val="TableParagraph"/>
              <w:ind w:left="107"/>
              <w:rPr>
                <w:b/>
                <w:sz w:val="22"/>
              </w:rPr>
            </w:pPr>
            <w:r>
              <w:rPr>
                <w:b/>
                <w:sz w:val="22"/>
              </w:rPr>
              <w:t>TOTAL</w:t>
            </w:r>
            <w:r>
              <w:rPr>
                <w:b/>
                <w:spacing w:val="-16"/>
                <w:sz w:val="22"/>
              </w:rPr>
              <w:t> </w:t>
            </w:r>
            <w:r>
              <w:rPr>
                <w:b/>
                <w:sz w:val="22"/>
              </w:rPr>
              <w:t>FIXTURES, FITTINGS AND</w:t>
            </w:r>
          </w:p>
          <w:p>
            <w:pPr>
              <w:pStyle w:val="TableParagraph"/>
              <w:spacing w:line="214" w:lineRule="exact"/>
              <w:ind w:left="107"/>
              <w:rPr>
                <w:b/>
                <w:sz w:val="22"/>
              </w:rPr>
            </w:pPr>
            <w:r>
              <w:rPr>
                <w:b/>
                <w:spacing w:val="-2"/>
                <w:sz w:val="22"/>
              </w:rPr>
              <w:t>FURNITURE</w:t>
            </w:r>
          </w:p>
        </w:tc>
        <w:tc>
          <w:tcPr>
            <w:tcW w:w="1351" w:type="dxa"/>
            <w:tcBorders>
              <w:top w:val="dashSmallGap" w:sz="4" w:space="0" w:color="000000"/>
              <w:left w:val="single" w:sz="12" w:space="0" w:color="000000"/>
              <w:bottom w:val="dashSmallGap" w:sz="4" w:space="0" w:color="000000"/>
              <w:right w:val="nil"/>
            </w:tcBorders>
          </w:tcPr>
          <w:p>
            <w:pPr>
              <w:pStyle w:val="TableParagraph"/>
              <w:spacing w:before="10"/>
              <w:rPr>
                <w:b/>
                <w:sz w:val="23"/>
              </w:rPr>
            </w:pPr>
          </w:p>
          <w:p>
            <w:pPr>
              <w:pStyle w:val="TableParagraph"/>
              <w:ind w:right="76"/>
              <w:jc w:val="right"/>
              <w:rPr>
                <w:b/>
                <w:sz w:val="18"/>
              </w:rPr>
            </w:pPr>
            <w:r>
              <w:rPr>
                <w:b/>
                <w:spacing w:val="-5"/>
                <w:sz w:val="18"/>
              </w:rPr>
              <w:t>832</w:t>
            </w:r>
          </w:p>
        </w:tc>
        <w:tc>
          <w:tcPr>
            <w:tcW w:w="1353" w:type="dxa"/>
            <w:tcBorders>
              <w:top w:val="dashSmallGap" w:sz="4" w:space="0" w:color="000000"/>
              <w:left w:val="nil"/>
              <w:bottom w:val="dashSmallGap" w:sz="4" w:space="0" w:color="000000"/>
              <w:right w:val="nil"/>
            </w:tcBorders>
          </w:tcPr>
          <w:p>
            <w:pPr>
              <w:pStyle w:val="TableParagraph"/>
              <w:spacing w:before="10"/>
              <w:rPr>
                <w:b/>
                <w:sz w:val="23"/>
              </w:rPr>
            </w:pPr>
          </w:p>
          <w:p>
            <w:pPr>
              <w:pStyle w:val="TableParagraph"/>
              <w:ind w:right="90"/>
              <w:jc w:val="right"/>
              <w:rPr>
                <w:b/>
                <w:sz w:val="18"/>
              </w:rPr>
            </w:pPr>
            <w:r>
              <w:rPr>
                <w:b/>
                <w:spacing w:val="-5"/>
                <w:sz w:val="18"/>
              </w:rPr>
              <w:t>832</w:t>
            </w:r>
          </w:p>
        </w:tc>
        <w:tc>
          <w:tcPr>
            <w:tcW w:w="1353" w:type="dxa"/>
            <w:tcBorders>
              <w:top w:val="dashed" w:sz="4" w:space="0" w:color="000000"/>
              <w:left w:val="nil"/>
              <w:bottom w:val="dashed" w:sz="4" w:space="0" w:color="000000"/>
              <w:right w:val="nil"/>
            </w:tcBorders>
          </w:tcPr>
          <w:p>
            <w:pPr>
              <w:pStyle w:val="TableParagraph"/>
              <w:spacing w:before="10"/>
              <w:rPr>
                <w:b/>
                <w:sz w:val="23"/>
              </w:rPr>
            </w:pPr>
          </w:p>
          <w:p>
            <w:pPr>
              <w:pStyle w:val="TableParagraph"/>
              <w:ind w:right="91"/>
              <w:jc w:val="right"/>
              <w:rPr>
                <w:b/>
                <w:sz w:val="18"/>
              </w:rPr>
            </w:pPr>
            <w:r>
              <w:rPr>
                <w:b/>
                <w:sz w:val="18"/>
              </w:rPr>
              <w:t>0</w:t>
            </w:r>
          </w:p>
        </w:tc>
        <w:tc>
          <w:tcPr>
            <w:tcW w:w="921" w:type="dxa"/>
            <w:tcBorders>
              <w:top w:val="dashed" w:sz="4" w:space="0" w:color="000000"/>
              <w:left w:val="nil"/>
              <w:bottom w:val="dashed" w:sz="4" w:space="0" w:color="000000"/>
              <w:right w:val="nil"/>
            </w:tcBorders>
          </w:tcPr>
          <w:p>
            <w:pPr>
              <w:pStyle w:val="TableParagraph"/>
              <w:spacing w:before="10"/>
              <w:rPr>
                <w:b/>
                <w:sz w:val="23"/>
              </w:rPr>
            </w:pPr>
          </w:p>
          <w:p>
            <w:pPr>
              <w:pStyle w:val="TableParagraph"/>
              <w:ind w:right="90"/>
              <w:jc w:val="right"/>
              <w:rPr>
                <w:b/>
                <w:sz w:val="18"/>
              </w:rPr>
            </w:pPr>
            <w:r>
              <w:rPr>
                <w:b/>
                <w:sz w:val="18"/>
              </w:rPr>
              <w:t>0</w:t>
            </w:r>
          </w:p>
        </w:tc>
        <w:tc>
          <w:tcPr>
            <w:tcW w:w="1300" w:type="dxa"/>
            <w:tcBorders>
              <w:top w:val="dashed" w:sz="4" w:space="0" w:color="000000"/>
              <w:left w:val="nil"/>
              <w:bottom w:val="dashed" w:sz="4" w:space="0" w:color="000000"/>
              <w:right w:val="nil"/>
            </w:tcBorders>
          </w:tcPr>
          <w:p>
            <w:pPr>
              <w:pStyle w:val="TableParagraph"/>
              <w:spacing w:before="10"/>
              <w:rPr>
                <w:b/>
                <w:sz w:val="23"/>
              </w:rPr>
            </w:pPr>
          </w:p>
          <w:p>
            <w:pPr>
              <w:pStyle w:val="TableParagraph"/>
              <w:ind w:right="88"/>
              <w:jc w:val="right"/>
              <w:rPr>
                <w:b/>
                <w:sz w:val="18"/>
              </w:rPr>
            </w:pPr>
            <w:r>
              <w:rPr>
                <w:b/>
                <w:spacing w:val="-5"/>
                <w:sz w:val="18"/>
              </w:rPr>
              <w:t>718</w:t>
            </w:r>
          </w:p>
        </w:tc>
        <w:tc>
          <w:tcPr>
            <w:tcW w:w="1103" w:type="dxa"/>
            <w:tcBorders>
              <w:top w:val="dashed" w:sz="4" w:space="0" w:color="000000"/>
              <w:left w:val="nil"/>
              <w:bottom w:val="dashed" w:sz="4" w:space="0" w:color="000000"/>
              <w:right w:val="nil"/>
            </w:tcBorders>
          </w:tcPr>
          <w:p>
            <w:pPr>
              <w:pStyle w:val="TableParagraph"/>
              <w:spacing w:before="10"/>
              <w:rPr>
                <w:b/>
                <w:sz w:val="23"/>
              </w:rPr>
            </w:pPr>
          </w:p>
          <w:p>
            <w:pPr>
              <w:pStyle w:val="TableParagraph"/>
              <w:ind w:right="88"/>
              <w:jc w:val="right"/>
              <w:rPr>
                <w:b/>
                <w:sz w:val="18"/>
              </w:rPr>
            </w:pPr>
            <w:r>
              <w:rPr>
                <w:b/>
                <w:spacing w:val="-5"/>
                <w:sz w:val="18"/>
              </w:rPr>
              <w:t>43</w:t>
            </w:r>
          </w:p>
        </w:tc>
        <w:tc>
          <w:tcPr>
            <w:tcW w:w="1302" w:type="dxa"/>
            <w:tcBorders>
              <w:top w:val="dashSmallGap" w:sz="4" w:space="0" w:color="000000"/>
              <w:left w:val="nil"/>
              <w:bottom w:val="dashSmallGap" w:sz="4" w:space="0" w:color="000000"/>
              <w:right w:val="single" w:sz="12" w:space="0" w:color="000000"/>
            </w:tcBorders>
          </w:tcPr>
          <w:p>
            <w:pPr>
              <w:pStyle w:val="TableParagraph"/>
              <w:spacing w:before="10"/>
              <w:rPr>
                <w:b/>
                <w:sz w:val="23"/>
              </w:rPr>
            </w:pPr>
          </w:p>
          <w:p>
            <w:pPr>
              <w:pStyle w:val="TableParagraph"/>
              <w:ind w:right="70"/>
              <w:jc w:val="right"/>
              <w:rPr>
                <w:b/>
                <w:sz w:val="18"/>
              </w:rPr>
            </w:pPr>
            <w:r>
              <w:rPr>
                <w:b/>
                <w:spacing w:val="-5"/>
                <w:sz w:val="18"/>
              </w:rPr>
              <w:t>72</w:t>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70"/>
              <w:jc w:val="right"/>
              <w:rPr>
                <w:b/>
                <w:sz w:val="18"/>
              </w:rPr>
            </w:pPr>
            <w:r>
              <w:rPr>
                <w:b/>
                <w:spacing w:val="-5"/>
                <w:sz w:val="18"/>
              </w:rPr>
              <w:t>809</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68"/>
              <w:jc w:val="right"/>
              <w:rPr>
                <w:b/>
                <w:sz w:val="18"/>
              </w:rPr>
            </w:pPr>
            <w:r>
              <w:rPr>
                <w:b/>
                <w:spacing w:val="-5"/>
                <w:sz w:val="18"/>
              </w:rPr>
              <w:t>835</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66"/>
              <w:jc w:val="right"/>
              <w:rPr>
                <w:b/>
                <w:sz w:val="18"/>
              </w:rPr>
            </w:pPr>
            <w:r>
              <w:rPr>
                <w:b/>
                <w:spacing w:val="-5"/>
                <w:sz w:val="18"/>
              </w:rPr>
              <w:t>837</w:t>
            </w:r>
          </w:p>
        </w:tc>
      </w:tr>
      <w:tr>
        <w:trPr>
          <w:trHeight w:val="463" w:hRule="atLeast"/>
        </w:trPr>
        <w:tc>
          <w:tcPr>
            <w:tcW w:w="3005" w:type="dxa"/>
            <w:tcBorders>
              <w:top w:val="dashSmallGap" w:sz="4" w:space="0" w:color="000000"/>
              <w:left w:val="single" w:sz="12" w:space="0" w:color="000000"/>
              <w:bottom w:val="dashed" w:sz="4" w:space="0" w:color="000000"/>
              <w:right w:val="single" w:sz="12" w:space="0" w:color="000000"/>
            </w:tcBorders>
          </w:tcPr>
          <w:p>
            <w:pPr>
              <w:pStyle w:val="TableParagraph"/>
              <w:spacing w:line="235" w:lineRule="exact"/>
              <w:ind w:left="107"/>
              <w:rPr>
                <w:b/>
                <w:sz w:val="22"/>
              </w:rPr>
            </w:pPr>
            <w:r>
              <w:rPr>
                <w:b/>
                <w:sz w:val="22"/>
              </w:rPr>
              <w:t>PLANT,</w:t>
            </w:r>
            <w:r>
              <w:rPr>
                <w:b/>
                <w:spacing w:val="-7"/>
                <w:sz w:val="22"/>
              </w:rPr>
              <w:t> </w:t>
            </w:r>
            <w:r>
              <w:rPr>
                <w:b/>
                <w:sz w:val="22"/>
              </w:rPr>
              <w:t>MACHINERY</w:t>
            </w:r>
            <w:r>
              <w:rPr>
                <w:b/>
                <w:spacing w:val="-8"/>
                <w:sz w:val="22"/>
              </w:rPr>
              <w:t> </w:t>
            </w:r>
            <w:r>
              <w:rPr>
                <w:b/>
                <w:spacing w:val="-5"/>
                <w:sz w:val="22"/>
              </w:rPr>
              <w:t>AND</w:t>
            </w:r>
          </w:p>
          <w:p>
            <w:pPr>
              <w:pStyle w:val="TableParagraph"/>
              <w:spacing w:line="209" w:lineRule="exact"/>
              <w:ind w:left="107"/>
              <w:rPr>
                <w:b/>
                <w:sz w:val="22"/>
              </w:rPr>
            </w:pPr>
            <w:r>
              <w:rPr>
                <w:b/>
                <w:spacing w:val="-2"/>
                <w:sz w:val="22"/>
              </w:rPr>
              <w:t>EQUIPMENT</w:t>
            </w:r>
          </w:p>
        </w:tc>
        <w:tc>
          <w:tcPr>
            <w:tcW w:w="8683" w:type="dxa"/>
            <w:gridSpan w:val="7"/>
            <w:tcBorders>
              <w:left w:val="single" w:sz="12" w:space="0" w:color="000000"/>
              <w:bottom w:val="single" w:sz="24" w:space="0" w:color="000000"/>
              <w:right w:val="single" w:sz="12" w:space="0" w:color="000000"/>
            </w:tcBorders>
          </w:tcPr>
          <w:p>
            <w:pPr>
              <w:pStyle w:val="TableParagraph"/>
              <w:rPr>
                <w:b/>
                <w:sz w:val="3"/>
              </w:rPr>
            </w:pPr>
          </w:p>
          <w:p>
            <w:pPr>
              <w:pStyle w:val="TableParagraph"/>
              <w:tabs>
                <w:tab w:pos="2699" w:val="left" w:leader="none"/>
                <w:tab w:pos="4052" w:val="left" w:leader="none"/>
                <w:tab w:pos="4974" w:val="left" w:leader="none"/>
                <w:tab w:pos="6275" w:val="left" w:leader="none"/>
                <w:tab w:pos="7379" w:val="left" w:leader="none"/>
              </w:tabs>
              <w:ind w:left="1345"/>
              <w:rPr>
                <w:sz w:val="20"/>
              </w:rPr>
            </w:pPr>
            <w:r>
              <w:rPr>
                <w:sz w:val="20"/>
              </w:rPr>
              <w:pict>
                <v:group style="width:.5pt;height:17.3pt;mso-position-horizontal-relative:char;mso-position-vertical-relative:line" id="docshapegroup859" coordorigin="0,0" coordsize="10,346">
                  <v:shape style="position:absolute;left:0;top:0;width:10;height:346" id="docshape860"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61" coordorigin="0,0" coordsize="10,346">
                  <v:shape style="position:absolute;left:0;top:0;width:10;height:346" id="docshape862"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63" coordorigin="0,0" coordsize="10,346">
                  <v:shape style="position:absolute;left:0;top:0;width:10;height:346" id="docshape864"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65" coordorigin="0,0" coordsize="10,346">
                  <v:shape style="position:absolute;left:0;top:0;width:10;height:346" id="docshape866"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67" coordorigin="0,0" coordsize="10,346">
                  <v:shape style="position:absolute;left:0;top:0;width:10;height:346" id="docshape868"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69" coordorigin="0,0" coordsize="10,346">
                  <v:shape style="position:absolute;left:0;top:0;width:10;height:346" id="docshape870"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389" w:hRule="atLeast"/>
        </w:trPr>
        <w:tc>
          <w:tcPr>
            <w:tcW w:w="3005" w:type="dxa"/>
            <w:tcBorders>
              <w:top w:val="dashed" w:sz="4" w:space="0" w:color="000000"/>
              <w:left w:val="single" w:sz="12" w:space="0" w:color="000000"/>
              <w:bottom w:val="dashed" w:sz="4" w:space="0" w:color="000000"/>
              <w:right w:val="single" w:sz="12" w:space="0" w:color="000000"/>
            </w:tcBorders>
          </w:tcPr>
          <w:p>
            <w:pPr>
              <w:pStyle w:val="TableParagraph"/>
              <w:spacing w:line="181" w:lineRule="exact"/>
              <w:ind w:left="107"/>
              <w:rPr>
                <w:sz w:val="18"/>
              </w:rPr>
            </w:pPr>
            <w:r>
              <w:rPr>
                <w:sz w:val="18"/>
              </w:rPr>
              <w:t>Plant and</w:t>
            </w:r>
            <w:r>
              <w:rPr>
                <w:spacing w:val="1"/>
                <w:sz w:val="18"/>
              </w:rPr>
              <w:t> </w:t>
            </w:r>
            <w:r>
              <w:rPr>
                <w:sz w:val="18"/>
              </w:rPr>
              <w:t>Fleet</w:t>
            </w:r>
            <w:r>
              <w:rPr>
                <w:spacing w:val="-2"/>
                <w:sz w:val="18"/>
              </w:rPr>
              <w:t> Replacement</w:t>
            </w:r>
          </w:p>
          <w:p>
            <w:pPr>
              <w:pStyle w:val="TableParagraph"/>
              <w:spacing w:line="189" w:lineRule="exact"/>
              <w:ind w:left="107"/>
              <w:rPr>
                <w:sz w:val="18"/>
              </w:rPr>
            </w:pPr>
            <w:r>
              <w:rPr>
                <w:spacing w:val="-2"/>
                <w:sz w:val="18"/>
              </w:rPr>
              <w:t>Program</w:t>
            </w:r>
          </w:p>
        </w:tc>
        <w:tc>
          <w:tcPr>
            <w:tcW w:w="1351" w:type="dxa"/>
            <w:tcBorders>
              <w:top w:val="dashed" w:sz="4" w:space="0" w:color="000000"/>
              <w:left w:val="single" w:sz="12" w:space="0" w:color="000000"/>
              <w:bottom w:val="dashed" w:sz="4" w:space="0" w:color="000000"/>
              <w:right w:val="nil"/>
            </w:tcBorders>
          </w:tcPr>
          <w:p>
            <w:pPr>
              <w:pStyle w:val="TableParagraph"/>
              <w:spacing w:before="77"/>
              <w:ind w:right="74"/>
              <w:jc w:val="right"/>
              <w:rPr>
                <w:sz w:val="18"/>
              </w:rPr>
            </w:pPr>
            <w:r>
              <w:rPr>
                <w:spacing w:val="-2"/>
                <w:sz w:val="18"/>
              </w:rPr>
              <w:t>2,637</w:t>
            </w:r>
          </w:p>
        </w:tc>
        <w:tc>
          <w:tcPr>
            <w:tcW w:w="1353" w:type="dxa"/>
            <w:tcBorders>
              <w:top w:val="dashSmallGap" w:sz="4" w:space="0" w:color="000000"/>
              <w:left w:val="nil"/>
              <w:bottom w:val="dashSmallGap" w:sz="4" w:space="0" w:color="000000"/>
              <w:right w:val="nil"/>
            </w:tcBorders>
          </w:tcPr>
          <w:p>
            <w:pPr>
              <w:pStyle w:val="TableParagraph"/>
              <w:spacing w:before="77"/>
              <w:ind w:right="89"/>
              <w:jc w:val="right"/>
              <w:rPr>
                <w:sz w:val="18"/>
              </w:rPr>
            </w:pPr>
            <w:r>
              <w:rPr>
                <w:spacing w:val="-2"/>
                <w:sz w:val="18"/>
              </w:rPr>
              <w:t>1,829</w:t>
            </w:r>
          </w:p>
        </w:tc>
        <w:tc>
          <w:tcPr>
            <w:tcW w:w="1353" w:type="dxa"/>
            <w:tcBorders>
              <w:top w:val="dashed" w:sz="4" w:space="0" w:color="000000"/>
              <w:left w:val="nil"/>
              <w:bottom w:val="dotted" w:sz="4" w:space="0" w:color="000000"/>
              <w:right w:val="nil"/>
            </w:tcBorders>
          </w:tcPr>
          <w:p>
            <w:pPr>
              <w:pStyle w:val="TableParagraph"/>
              <w:spacing w:before="3"/>
              <w:rPr>
                <w:b/>
                <w:sz w:val="4"/>
              </w:rPr>
            </w:pPr>
          </w:p>
          <w:p>
            <w:pPr>
              <w:pStyle w:val="TableParagraph"/>
              <w:tabs>
                <w:tab w:pos="1363" w:val="left" w:leader="none"/>
              </w:tabs>
              <w:ind w:left="10" w:right="-87"/>
              <w:rPr>
                <w:sz w:val="20"/>
              </w:rPr>
            </w:pPr>
            <w:r>
              <w:rPr>
                <w:sz w:val="20"/>
              </w:rPr>
              <w:pict>
                <v:group style="width:.5pt;height:13.45pt;mso-position-horizontal-relative:char;mso-position-vertical-relative:line" id="docshapegroup871" coordorigin="0,0" coordsize="10,269">
                  <v:shape style="position:absolute;left:0;top:0;width:10;height:269" id="docshape872"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873" coordorigin="0,0" coordsize="10,269">
                  <v:shape style="position:absolute;left:0;top:0;width:10;height:269" id="docshape874" coordorigin="0,0" coordsize="10,269" path="m10,230l0,230,0,269,10,269,10,230xm10,154l0,154,0,192,10,192,10,154xm10,77l0,77,0,115,10,115,10,77xm10,0l0,0,0,38,10,38,10,0xe" filled="true" fillcolor="#000000" stroked="false">
                    <v:path arrowok="t"/>
                    <v:fill type="solid"/>
                  </v:shape>
                </v:group>
              </w:pict>
            </w:r>
            <w:r>
              <w:rPr>
                <w:sz w:val="20"/>
              </w:rPr>
            </w:r>
          </w:p>
        </w:tc>
        <w:tc>
          <w:tcPr>
            <w:tcW w:w="921" w:type="dxa"/>
            <w:tcBorders>
              <w:top w:val="dashSmallGap" w:sz="4" w:space="0" w:color="000000"/>
              <w:left w:val="nil"/>
              <w:bottom w:val="dotted" w:sz="4" w:space="0" w:color="000000"/>
              <w:right w:val="nil"/>
            </w:tcBorders>
          </w:tcPr>
          <w:p>
            <w:pPr>
              <w:pStyle w:val="TableParagraph"/>
              <w:spacing w:before="77"/>
              <w:ind w:right="89"/>
              <w:jc w:val="right"/>
              <w:rPr>
                <w:sz w:val="18"/>
              </w:rPr>
            </w:pPr>
            <w:r>
              <w:rPr>
                <w:spacing w:val="-5"/>
                <w:sz w:val="18"/>
              </w:rPr>
              <w:t>808</w:t>
            </w:r>
          </w:p>
        </w:tc>
        <w:tc>
          <w:tcPr>
            <w:tcW w:w="1300" w:type="dxa"/>
            <w:tcBorders>
              <w:top w:val="dashed" w:sz="4" w:space="0" w:color="000000"/>
              <w:left w:val="nil"/>
              <w:bottom w:val="dotted" w:sz="4" w:space="0" w:color="000000"/>
              <w:right w:val="nil"/>
            </w:tcBorders>
          </w:tcPr>
          <w:p>
            <w:pPr>
              <w:pStyle w:val="TableParagraph"/>
              <w:spacing w:before="77"/>
              <w:ind w:right="87"/>
              <w:jc w:val="right"/>
              <w:rPr>
                <w:sz w:val="18"/>
              </w:rPr>
            </w:pPr>
            <w:r>
              <w:rPr>
                <w:spacing w:val="-2"/>
                <w:sz w:val="18"/>
              </w:rPr>
              <w:t>2,637</w:t>
            </w:r>
          </w:p>
        </w:tc>
        <w:tc>
          <w:tcPr>
            <w:tcW w:w="1103" w:type="dxa"/>
            <w:tcBorders>
              <w:top w:val="dashed" w:sz="4" w:space="0" w:color="000000"/>
              <w:left w:val="nil"/>
              <w:bottom w:val="dotted" w:sz="4" w:space="0" w:color="000000"/>
              <w:right w:val="nil"/>
            </w:tcBorders>
          </w:tcPr>
          <w:p>
            <w:pPr>
              <w:pStyle w:val="TableParagraph"/>
              <w:spacing w:before="3"/>
              <w:rPr>
                <w:b/>
                <w:sz w:val="4"/>
              </w:rPr>
            </w:pPr>
          </w:p>
          <w:p>
            <w:pPr>
              <w:pStyle w:val="TableParagraph"/>
              <w:tabs>
                <w:tab w:pos="1116" w:val="left" w:leader="none"/>
              </w:tabs>
              <w:ind w:left="12" w:right="-87"/>
              <w:rPr>
                <w:sz w:val="20"/>
              </w:rPr>
            </w:pPr>
            <w:r>
              <w:rPr>
                <w:sz w:val="20"/>
              </w:rPr>
              <w:pict>
                <v:group style="width:.5pt;height:13.45pt;mso-position-horizontal-relative:char;mso-position-vertical-relative:line" id="docshapegroup875" coordorigin="0,0" coordsize="10,269">
                  <v:shape style="position:absolute;left:0;top:0;width:10;height:269" id="docshape876" coordorigin="0,0" coordsize="10,269" path="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3.45pt;mso-position-horizontal-relative:char;mso-position-vertical-relative:line" id="docshapegroup877" coordorigin="0,0" coordsize="10,269">
                  <v:shape style="position:absolute;left:0;top:0;width:10;height:269" id="docshape878" coordorigin="0,0" coordsize="10,269" path="m10,230l0,230,0,269,10,269,10,230xm10,154l0,154,0,192,10,192,10,154xm10,77l0,77,0,115,10,115,10,77xm10,0l0,0,0,38,10,38,10,0xe" filled="true" fillcolor="#000000" stroked="false">
                    <v:path arrowok="t"/>
                    <v:fill type="solid"/>
                  </v:shape>
                </v:group>
              </w:pict>
            </w:r>
            <w:r>
              <w:rPr>
                <w:sz w:val="20"/>
              </w:rPr>
            </w:r>
          </w:p>
        </w:tc>
        <w:tc>
          <w:tcPr>
            <w:tcW w:w="1302" w:type="dxa"/>
            <w:tcBorders>
              <w:top w:val="dashSmallGap" w:sz="4" w:space="0" w:color="000000"/>
              <w:left w:val="nil"/>
              <w:bottom w:val="dashSmallGap" w:sz="4" w:space="0" w:color="000000"/>
              <w:right w:val="single" w:sz="12" w:space="0" w:color="000000"/>
            </w:tcBorders>
          </w:tcPr>
          <w:p>
            <w:pPr>
              <w:pStyle w:val="TableParagraph"/>
              <w:rPr>
                <w:rFonts w:ascii="Times New Roman"/>
                <w:sz w:val="18"/>
              </w:rPr>
            </w:pP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before="77"/>
              <w:ind w:right="68"/>
              <w:jc w:val="right"/>
              <w:rPr>
                <w:sz w:val="18"/>
              </w:rPr>
            </w:pPr>
            <w:r>
              <w:rPr>
                <w:spacing w:val="-2"/>
                <w:sz w:val="18"/>
              </w:rPr>
              <w:t>1,257</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before="77"/>
              <w:ind w:right="67"/>
              <w:jc w:val="right"/>
              <w:rPr>
                <w:sz w:val="18"/>
              </w:rPr>
            </w:pPr>
            <w:r>
              <w:rPr>
                <w:spacing w:val="-2"/>
                <w:sz w:val="18"/>
              </w:rPr>
              <w:t>1,104</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before="77"/>
              <w:ind w:right="65"/>
              <w:jc w:val="right"/>
              <w:rPr>
                <w:sz w:val="18"/>
              </w:rPr>
            </w:pPr>
            <w:r>
              <w:rPr>
                <w:spacing w:val="-2"/>
                <w:sz w:val="18"/>
              </w:rPr>
              <w:t>3,350</w:t>
            </w:r>
          </w:p>
        </w:tc>
      </w:tr>
      <w:tr>
        <w:trPr>
          <w:trHeight w:val="757" w:hRule="atLeast"/>
        </w:trPr>
        <w:tc>
          <w:tcPr>
            <w:tcW w:w="3005" w:type="dxa"/>
            <w:tcBorders>
              <w:top w:val="dashed" w:sz="4" w:space="0" w:color="000000"/>
              <w:left w:val="single" w:sz="12" w:space="0" w:color="000000"/>
              <w:bottom w:val="dashed" w:sz="4" w:space="0" w:color="000000"/>
              <w:right w:val="single" w:sz="12" w:space="0" w:color="000000"/>
            </w:tcBorders>
          </w:tcPr>
          <w:p>
            <w:pPr>
              <w:pStyle w:val="TableParagraph"/>
              <w:ind w:left="107"/>
              <w:rPr>
                <w:b/>
                <w:sz w:val="22"/>
              </w:rPr>
            </w:pPr>
            <w:r>
              <w:rPr>
                <w:b/>
                <w:sz w:val="22"/>
              </w:rPr>
              <w:t>TOTAL PLANT, MACHINERY</w:t>
            </w:r>
            <w:r>
              <w:rPr>
                <w:b/>
                <w:spacing w:val="-16"/>
                <w:sz w:val="22"/>
              </w:rPr>
              <w:t> </w:t>
            </w:r>
            <w:r>
              <w:rPr>
                <w:b/>
                <w:sz w:val="22"/>
              </w:rPr>
              <w:t>AND</w:t>
            </w:r>
          </w:p>
          <w:p>
            <w:pPr>
              <w:pStyle w:val="TableParagraph"/>
              <w:spacing w:line="232" w:lineRule="exact"/>
              <w:ind w:left="107"/>
              <w:rPr>
                <w:b/>
                <w:sz w:val="22"/>
              </w:rPr>
            </w:pPr>
            <w:r>
              <w:rPr>
                <w:b/>
                <w:spacing w:val="-2"/>
                <w:sz w:val="22"/>
              </w:rPr>
              <w:t>EQUIPMENT</w:t>
            </w:r>
          </w:p>
        </w:tc>
        <w:tc>
          <w:tcPr>
            <w:tcW w:w="1351" w:type="dxa"/>
            <w:tcBorders>
              <w:top w:val="dashed" w:sz="4" w:space="0" w:color="000000"/>
              <w:left w:val="single" w:sz="12" w:space="0" w:color="000000"/>
              <w:bottom w:val="dashed" w:sz="4" w:space="0" w:color="000000"/>
              <w:right w:val="dashed" w:sz="4" w:space="0" w:color="000000"/>
            </w:tcBorders>
          </w:tcPr>
          <w:p>
            <w:pPr>
              <w:pStyle w:val="TableParagraph"/>
              <w:spacing w:before="10"/>
              <w:rPr>
                <w:b/>
                <w:sz w:val="23"/>
              </w:rPr>
            </w:pPr>
          </w:p>
          <w:p>
            <w:pPr>
              <w:pStyle w:val="TableParagraph"/>
              <w:ind w:right="74"/>
              <w:jc w:val="right"/>
              <w:rPr>
                <w:b/>
                <w:sz w:val="18"/>
              </w:rPr>
            </w:pPr>
            <w:r>
              <w:rPr>
                <w:b/>
                <w:spacing w:val="-2"/>
                <w:sz w:val="18"/>
              </w:rPr>
              <w:t>2,637</w:t>
            </w:r>
          </w:p>
        </w:tc>
        <w:tc>
          <w:tcPr>
            <w:tcW w:w="1353" w:type="dxa"/>
            <w:tcBorders>
              <w:top w:val="dashSmallGap" w:sz="4" w:space="0" w:color="000000"/>
              <w:left w:val="dashed" w:sz="4" w:space="0" w:color="000000"/>
              <w:bottom w:val="dashSmallGap" w:sz="4" w:space="0" w:color="000000"/>
              <w:right w:val="dashed" w:sz="4" w:space="0" w:color="000000"/>
            </w:tcBorders>
          </w:tcPr>
          <w:p>
            <w:pPr>
              <w:pStyle w:val="TableParagraph"/>
              <w:spacing w:before="10"/>
              <w:rPr>
                <w:b/>
                <w:sz w:val="23"/>
              </w:rPr>
            </w:pPr>
          </w:p>
          <w:p>
            <w:pPr>
              <w:pStyle w:val="TableParagraph"/>
              <w:ind w:right="84"/>
              <w:jc w:val="right"/>
              <w:rPr>
                <w:b/>
                <w:sz w:val="18"/>
              </w:rPr>
            </w:pPr>
            <w:r>
              <w:rPr>
                <w:b/>
                <w:spacing w:val="-2"/>
                <w:sz w:val="18"/>
              </w:rPr>
              <w:t>1,829</w:t>
            </w:r>
          </w:p>
        </w:tc>
        <w:tc>
          <w:tcPr>
            <w:tcW w:w="1353" w:type="dxa"/>
            <w:tcBorders>
              <w:top w:val="dotted" w:sz="4" w:space="0" w:color="000000"/>
              <w:left w:val="dashed" w:sz="4" w:space="0" w:color="000000"/>
              <w:bottom w:val="dotted" w:sz="4" w:space="0" w:color="000000"/>
              <w:right w:val="dashed" w:sz="4" w:space="0" w:color="000000"/>
            </w:tcBorders>
          </w:tcPr>
          <w:p>
            <w:pPr>
              <w:pStyle w:val="TableParagraph"/>
              <w:spacing w:before="10"/>
              <w:rPr>
                <w:b/>
                <w:sz w:val="23"/>
              </w:rPr>
            </w:pPr>
          </w:p>
          <w:p>
            <w:pPr>
              <w:pStyle w:val="TableParagraph"/>
              <w:ind w:right="86"/>
              <w:jc w:val="right"/>
              <w:rPr>
                <w:b/>
                <w:sz w:val="18"/>
              </w:rPr>
            </w:pPr>
            <w:r>
              <w:rPr>
                <w:b/>
                <w:sz w:val="18"/>
              </w:rPr>
              <w:t>0</w:t>
            </w:r>
          </w:p>
        </w:tc>
        <w:tc>
          <w:tcPr>
            <w:tcW w:w="921" w:type="dxa"/>
            <w:tcBorders>
              <w:top w:val="dotted" w:sz="4" w:space="0" w:color="000000"/>
              <w:left w:val="dashed" w:sz="4" w:space="0" w:color="000000"/>
              <w:bottom w:val="dotted" w:sz="4" w:space="0" w:color="000000"/>
              <w:right w:val="dashed" w:sz="4" w:space="0" w:color="000000"/>
            </w:tcBorders>
          </w:tcPr>
          <w:p>
            <w:pPr>
              <w:pStyle w:val="TableParagraph"/>
              <w:spacing w:before="10"/>
              <w:rPr>
                <w:b/>
                <w:sz w:val="23"/>
              </w:rPr>
            </w:pPr>
          </w:p>
          <w:p>
            <w:pPr>
              <w:pStyle w:val="TableParagraph"/>
              <w:ind w:right="84"/>
              <w:jc w:val="right"/>
              <w:rPr>
                <w:b/>
                <w:sz w:val="18"/>
              </w:rPr>
            </w:pPr>
            <w:r>
              <w:rPr>
                <w:b/>
                <w:spacing w:val="-5"/>
                <w:sz w:val="18"/>
              </w:rPr>
              <w:t>808</w:t>
            </w:r>
          </w:p>
        </w:tc>
        <w:tc>
          <w:tcPr>
            <w:tcW w:w="1300" w:type="dxa"/>
            <w:tcBorders>
              <w:top w:val="dotted" w:sz="4" w:space="0" w:color="000000"/>
              <w:left w:val="dashed" w:sz="4" w:space="0" w:color="000000"/>
              <w:bottom w:val="dotted" w:sz="4" w:space="0" w:color="000000"/>
              <w:right w:val="dashed" w:sz="4" w:space="0" w:color="000000"/>
            </w:tcBorders>
          </w:tcPr>
          <w:p>
            <w:pPr>
              <w:pStyle w:val="TableParagraph"/>
              <w:spacing w:before="10"/>
              <w:rPr>
                <w:b/>
                <w:sz w:val="23"/>
              </w:rPr>
            </w:pPr>
          </w:p>
          <w:p>
            <w:pPr>
              <w:pStyle w:val="TableParagraph"/>
              <w:ind w:right="82"/>
              <w:jc w:val="right"/>
              <w:rPr>
                <w:b/>
                <w:sz w:val="18"/>
              </w:rPr>
            </w:pPr>
            <w:r>
              <w:rPr>
                <w:b/>
                <w:spacing w:val="-2"/>
                <w:sz w:val="18"/>
              </w:rPr>
              <w:t>2,637</w:t>
            </w:r>
          </w:p>
        </w:tc>
        <w:tc>
          <w:tcPr>
            <w:tcW w:w="1103" w:type="dxa"/>
            <w:tcBorders>
              <w:top w:val="dotted" w:sz="4" w:space="0" w:color="000000"/>
              <w:left w:val="dashed" w:sz="4" w:space="0" w:color="000000"/>
              <w:bottom w:val="dotted" w:sz="4" w:space="0" w:color="000000"/>
              <w:right w:val="dashed" w:sz="4" w:space="0" w:color="000000"/>
            </w:tcBorders>
          </w:tcPr>
          <w:p>
            <w:pPr>
              <w:pStyle w:val="TableParagraph"/>
              <w:spacing w:before="10"/>
              <w:rPr>
                <w:b/>
                <w:sz w:val="23"/>
              </w:rPr>
            </w:pPr>
          </w:p>
          <w:p>
            <w:pPr>
              <w:pStyle w:val="TableParagraph"/>
              <w:ind w:right="83"/>
              <w:jc w:val="right"/>
              <w:rPr>
                <w:b/>
                <w:sz w:val="18"/>
              </w:rPr>
            </w:pPr>
            <w:r>
              <w:rPr>
                <w:b/>
                <w:sz w:val="18"/>
              </w:rPr>
              <w:t>0</w:t>
            </w:r>
          </w:p>
        </w:tc>
        <w:tc>
          <w:tcPr>
            <w:tcW w:w="1302" w:type="dxa"/>
            <w:tcBorders>
              <w:top w:val="dashSmallGap" w:sz="4" w:space="0" w:color="000000"/>
              <w:left w:val="dashed" w:sz="4" w:space="0" w:color="000000"/>
              <w:bottom w:val="dashSmallGap" w:sz="4" w:space="0" w:color="000000"/>
              <w:right w:val="single" w:sz="12" w:space="0" w:color="000000"/>
            </w:tcBorders>
          </w:tcPr>
          <w:p>
            <w:pPr>
              <w:pStyle w:val="TableParagraph"/>
              <w:spacing w:before="10"/>
              <w:rPr>
                <w:b/>
                <w:sz w:val="23"/>
              </w:rPr>
            </w:pPr>
          </w:p>
          <w:p>
            <w:pPr>
              <w:pStyle w:val="TableParagraph"/>
              <w:ind w:right="72"/>
              <w:jc w:val="right"/>
              <w:rPr>
                <w:b/>
                <w:sz w:val="18"/>
              </w:rPr>
            </w:pPr>
            <w:r>
              <w:rPr>
                <w:b/>
                <w:sz w:val="18"/>
              </w:rPr>
              <w:t>0</w:t>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68"/>
              <w:jc w:val="right"/>
              <w:rPr>
                <w:b/>
                <w:sz w:val="18"/>
              </w:rPr>
            </w:pPr>
            <w:r>
              <w:rPr>
                <w:b/>
                <w:spacing w:val="-2"/>
                <w:sz w:val="18"/>
              </w:rPr>
              <w:t>1,257</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67"/>
              <w:jc w:val="right"/>
              <w:rPr>
                <w:b/>
                <w:sz w:val="18"/>
              </w:rPr>
            </w:pPr>
            <w:r>
              <w:rPr>
                <w:b/>
                <w:spacing w:val="-2"/>
                <w:sz w:val="18"/>
              </w:rPr>
              <w:t>1,104</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before="10"/>
              <w:rPr>
                <w:b/>
                <w:sz w:val="23"/>
              </w:rPr>
            </w:pPr>
          </w:p>
          <w:p>
            <w:pPr>
              <w:pStyle w:val="TableParagraph"/>
              <w:ind w:right="65"/>
              <w:jc w:val="right"/>
              <w:rPr>
                <w:b/>
                <w:sz w:val="18"/>
              </w:rPr>
            </w:pPr>
            <w:r>
              <w:rPr>
                <w:b/>
                <w:spacing w:val="-2"/>
                <w:sz w:val="18"/>
              </w:rPr>
              <w:t>3,350</w:t>
            </w:r>
          </w:p>
        </w:tc>
      </w:tr>
      <w:tr>
        <w:trPr>
          <w:trHeight w:val="488" w:hRule="atLeast"/>
        </w:trPr>
        <w:tc>
          <w:tcPr>
            <w:tcW w:w="3005" w:type="dxa"/>
            <w:tcBorders>
              <w:top w:val="dashed" w:sz="4" w:space="0" w:color="000000"/>
              <w:left w:val="single" w:sz="12" w:space="0" w:color="000000"/>
              <w:bottom w:val="dashSmallGap" w:sz="4" w:space="0" w:color="000000"/>
              <w:right w:val="single" w:sz="12" w:space="0" w:color="000000"/>
            </w:tcBorders>
          </w:tcPr>
          <w:p>
            <w:pPr>
              <w:pStyle w:val="TableParagraph"/>
              <w:spacing w:line="254" w:lineRule="exact"/>
              <w:ind w:left="107"/>
              <w:rPr>
                <w:b/>
                <w:sz w:val="22"/>
              </w:rPr>
            </w:pPr>
            <w:r>
              <w:rPr>
                <w:b/>
                <w:sz w:val="22"/>
              </w:rPr>
              <w:t>COMPUTERS AND </w:t>
            </w:r>
            <w:r>
              <w:rPr>
                <w:b/>
                <w:spacing w:val="-2"/>
                <w:sz w:val="22"/>
              </w:rPr>
              <w:t>TELECOMMUNICATIONS</w:t>
            </w:r>
          </w:p>
        </w:tc>
        <w:tc>
          <w:tcPr>
            <w:tcW w:w="8683" w:type="dxa"/>
            <w:gridSpan w:val="7"/>
            <w:tcBorders>
              <w:top w:val="single" w:sz="4" w:space="0" w:color="000000"/>
              <w:left w:val="single" w:sz="12" w:space="0" w:color="000000"/>
              <w:right w:val="single" w:sz="12" w:space="0" w:color="000000"/>
            </w:tcBorders>
          </w:tcPr>
          <w:p>
            <w:pPr>
              <w:pStyle w:val="TableParagraph"/>
              <w:spacing w:before="6"/>
              <w:rPr>
                <w:b/>
                <w:sz w:val="9"/>
              </w:rPr>
            </w:pPr>
          </w:p>
          <w:p>
            <w:pPr>
              <w:pStyle w:val="TableParagraph"/>
              <w:tabs>
                <w:tab w:pos="2699" w:val="left" w:leader="none"/>
                <w:tab w:pos="4052" w:val="left" w:leader="none"/>
                <w:tab w:pos="4974" w:val="left" w:leader="none"/>
                <w:tab w:pos="6275" w:val="left" w:leader="none"/>
                <w:tab w:pos="7379" w:val="left" w:leader="none"/>
              </w:tabs>
              <w:ind w:left="1345"/>
              <w:rPr>
                <w:sz w:val="20"/>
              </w:rPr>
            </w:pPr>
            <w:r>
              <w:rPr>
                <w:sz w:val="20"/>
              </w:rPr>
              <w:pict>
                <v:group style="width:.5pt;height:17.3pt;mso-position-horizontal-relative:char;mso-position-vertical-relative:line" id="docshapegroup879" coordorigin="0,0" coordsize="10,346">
                  <v:shape style="position:absolute;left:0;top:0;width:10;height:346" id="docshape880"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81" coordorigin="0,0" coordsize="10,346">
                  <v:shape style="position:absolute;left:0;top:0;width:10;height:346" id="docshape882"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83" coordorigin="0,0" coordsize="10,346">
                  <v:shape style="position:absolute;left:0;top:0;width:10;height:346" id="docshape884"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85" coordorigin="0,0" coordsize="10,346">
                  <v:shape style="position:absolute;left:0;top:0;width:10;height:346" id="docshape886"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87" coordorigin="0,0" coordsize="10,346">
                  <v:shape style="position:absolute;left:0;top:0;width:10;height:346" id="docshape888"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89" coordorigin="0,0" coordsize="10,346">
                  <v:shape style="position:absolute;left:0;top:0;width:10;height:346" id="docshape890"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rPr>
                <w:rFonts w:ascii="Times New Roman"/>
                <w:sz w:val="18"/>
              </w:rPr>
            </w:pPr>
          </w:p>
        </w:tc>
      </w:tr>
      <w:tr>
        <w:trPr>
          <w:trHeight w:val="412" w:hRule="atLeast"/>
        </w:trPr>
        <w:tc>
          <w:tcPr>
            <w:tcW w:w="3005" w:type="dxa"/>
            <w:tcBorders>
              <w:top w:val="dashSmallGap" w:sz="4" w:space="0" w:color="000000"/>
              <w:left w:val="single" w:sz="12" w:space="0" w:color="000000"/>
              <w:bottom w:val="dashSmallGap" w:sz="4" w:space="0" w:color="000000"/>
              <w:right w:val="single" w:sz="12" w:space="0" w:color="000000"/>
            </w:tcBorders>
          </w:tcPr>
          <w:p>
            <w:pPr>
              <w:pStyle w:val="TableParagraph"/>
              <w:spacing w:line="195" w:lineRule="exact"/>
              <w:ind w:left="107"/>
              <w:rPr>
                <w:sz w:val="18"/>
              </w:rPr>
            </w:pPr>
            <w:r>
              <w:rPr>
                <w:sz w:val="18"/>
              </w:rPr>
              <w:t>Information </w:t>
            </w:r>
            <w:r>
              <w:rPr>
                <w:spacing w:val="-2"/>
                <w:sz w:val="18"/>
              </w:rPr>
              <w:t>Technology</w:t>
            </w:r>
          </w:p>
          <w:p>
            <w:pPr>
              <w:pStyle w:val="TableParagraph"/>
              <w:spacing w:line="196" w:lineRule="exact" w:before="2"/>
              <w:ind w:left="107"/>
              <w:rPr>
                <w:sz w:val="18"/>
              </w:rPr>
            </w:pPr>
            <w:r>
              <w:rPr>
                <w:sz w:val="18"/>
              </w:rPr>
              <w:t>Improvement</w:t>
            </w:r>
            <w:r>
              <w:rPr>
                <w:spacing w:val="1"/>
                <w:sz w:val="18"/>
              </w:rPr>
              <w:t> </w:t>
            </w:r>
            <w:r>
              <w:rPr>
                <w:spacing w:val="-2"/>
                <w:sz w:val="18"/>
              </w:rPr>
              <w:t>Program</w:t>
            </w:r>
          </w:p>
        </w:tc>
        <w:tc>
          <w:tcPr>
            <w:tcW w:w="1351" w:type="dxa"/>
            <w:tcBorders>
              <w:top w:val="dashSmallGap" w:sz="4" w:space="0" w:color="000000"/>
              <w:left w:val="single" w:sz="12" w:space="0" w:color="000000"/>
              <w:bottom w:val="dashSmallGap" w:sz="4" w:space="0" w:color="000000"/>
              <w:right w:val="nil"/>
            </w:tcBorders>
          </w:tcPr>
          <w:p>
            <w:pPr>
              <w:pStyle w:val="TableParagraph"/>
              <w:spacing w:before="91"/>
              <w:ind w:right="76"/>
              <w:jc w:val="right"/>
              <w:rPr>
                <w:sz w:val="18"/>
              </w:rPr>
            </w:pPr>
            <w:r>
              <w:rPr>
                <w:spacing w:val="-5"/>
                <w:sz w:val="18"/>
              </w:rPr>
              <w:t>516</w:t>
            </w:r>
          </w:p>
        </w:tc>
        <w:tc>
          <w:tcPr>
            <w:tcW w:w="1353" w:type="dxa"/>
            <w:tcBorders>
              <w:top w:val="dashSmallGap" w:sz="4" w:space="0" w:color="000000"/>
              <w:left w:val="nil"/>
              <w:bottom w:val="dashSmallGap" w:sz="4" w:space="0" w:color="000000"/>
              <w:right w:val="nil"/>
            </w:tcBorders>
          </w:tcPr>
          <w:p>
            <w:pPr>
              <w:pStyle w:val="TableParagraph"/>
              <w:spacing w:before="91"/>
              <w:ind w:right="90"/>
              <w:jc w:val="right"/>
              <w:rPr>
                <w:sz w:val="18"/>
              </w:rPr>
            </w:pPr>
            <w:r>
              <w:rPr>
                <w:spacing w:val="-5"/>
                <w:sz w:val="18"/>
              </w:rPr>
              <w:t>516</w:t>
            </w:r>
          </w:p>
        </w:tc>
        <w:tc>
          <w:tcPr>
            <w:tcW w:w="1353" w:type="dxa"/>
            <w:tcBorders>
              <w:top w:val="dashed" w:sz="4" w:space="0" w:color="000000"/>
              <w:left w:val="nil"/>
              <w:bottom w:val="dashed" w:sz="4" w:space="0" w:color="000000"/>
              <w:right w:val="nil"/>
            </w:tcBorders>
          </w:tcPr>
          <w:p>
            <w:pPr>
              <w:pStyle w:val="TableParagraph"/>
              <w:tabs>
                <w:tab w:pos="1363" w:val="left" w:leader="none"/>
              </w:tabs>
              <w:ind w:left="10" w:right="-87"/>
              <w:rPr>
                <w:sz w:val="20"/>
              </w:rPr>
            </w:pPr>
            <w:r>
              <w:rPr>
                <w:sz w:val="20"/>
              </w:rPr>
              <w:pict>
                <v:group style="width:.5pt;height:17.3pt;mso-position-horizontal-relative:char;mso-position-vertical-relative:line" id="docshapegroup891" coordorigin="0,0" coordsize="10,346">
                  <v:shape style="position:absolute;left:0;top:0;width:10;height:346" id="docshape892" coordorigin="0,0" coordsize="10,346" path="m10,307l0,307,0,346,10,346,10,307xm10,230l0,230,0,269,10,269,10,230xm10,154l0,154,0,192,10,192,10,154xm10,77l0,77,0,115,10,115,10,77xm10,0l0,0,0,38,10,38,10,0xe" filled="true" fillcolor="#000000" stroked="false">
                    <v:path arrowok="t"/>
                    <v:fill type="solid"/>
                  </v:shape>
                </v:group>
              </w:pict>
            </w:r>
            <w:r>
              <w:rPr>
                <w:sz w:val="20"/>
              </w:rPr>
            </w:r>
            <w:r>
              <w:rPr>
                <w:sz w:val="20"/>
              </w:rPr>
              <w:tab/>
            </w:r>
            <w:r>
              <w:rPr>
                <w:sz w:val="20"/>
              </w:rPr>
              <w:pict>
                <v:group style="width:.5pt;height:17.3pt;mso-position-horizontal-relative:char;mso-position-vertical-relative:line" id="docshapegroup893" coordorigin="0,0" coordsize="10,346">
                  <v:shape style="position:absolute;left:0;top:0;width:10;height:346" id="docshape894"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921" w:type="dxa"/>
            <w:tcBorders>
              <w:top w:val="dashed" w:sz="4" w:space="0" w:color="000000"/>
              <w:left w:val="nil"/>
              <w:bottom w:val="dashed" w:sz="4" w:space="0" w:color="000000"/>
              <w:right w:val="nil"/>
            </w:tcBorders>
          </w:tcPr>
          <w:p>
            <w:pPr>
              <w:pStyle w:val="TableParagraph"/>
              <w:ind w:left="932" w:right="-87"/>
              <w:rPr>
                <w:sz w:val="20"/>
              </w:rPr>
            </w:pPr>
            <w:r>
              <w:rPr>
                <w:sz w:val="20"/>
              </w:rPr>
              <w:pict>
                <v:group style="width:.5pt;height:17.3pt;mso-position-horizontal-relative:char;mso-position-vertical-relative:line" id="docshapegroup895" coordorigin="0,0" coordsize="10,346">
                  <v:shape style="position:absolute;left:0;top:0;width:10;height:346" id="docshape896" coordorigin="0,0" coordsize="10,346" path="m10,307l0,307,0,346,10,346,10,307xm10,230l0,230,0,269,10,269,10,230xm10,154l0,154,0,192,10,192,10,154xm10,77l0,77,0,115,10,115,10,77xm10,0l0,0,0,38,10,38,10,0xe" filled="true" fillcolor="#000000" stroked="false">
                    <v:path arrowok="t"/>
                    <v:fill type="solid"/>
                  </v:shape>
                </v:group>
              </w:pict>
            </w:r>
            <w:r>
              <w:rPr>
                <w:sz w:val="20"/>
              </w:rPr>
            </w:r>
          </w:p>
        </w:tc>
        <w:tc>
          <w:tcPr>
            <w:tcW w:w="1300" w:type="dxa"/>
            <w:tcBorders>
              <w:top w:val="dashed" w:sz="4" w:space="0" w:color="000000"/>
              <w:left w:val="nil"/>
              <w:bottom w:val="dashed" w:sz="4" w:space="0" w:color="000000"/>
              <w:right w:val="nil"/>
            </w:tcBorders>
          </w:tcPr>
          <w:p>
            <w:pPr>
              <w:pStyle w:val="TableParagraph"/>
              <w:spacing w:before="91"/>
              <w:ind w:right="88"/>
              <w:jc w:val="right"/>
              <w:rPr>
                <w:sz w:val="18"/>
              </w:rPr>
            </w:pPr>
            <w:r>
              <w:rPr>
                <w:spacing w:val="-5"/>
                <w:sz w:val="18"/>
              </w:rPr>
              <w:t>258</w:t>
            </w:r>
          </w:p>
        </w:tc>
        <w:tc>
          <w:tcPr>
            <w:tcW w:w="1103" w:type="dxa"/>
            <w:tcBorders>
              <w:top w:val="dashed" w:sz="4" w:space="0" w:color="000000"/>
              <w:left w:val="nil"/>
              <w:bottom w:val="dashed" w:sz="4" w:space="0" w:color="000000"/>
              <w:right w:val="nil"/>
            </w:tcBorders>
          </w:tcPr>
          <w:p>
            <w:pPr>
              <w:pStyle w:val="TableParagraph"/>
              <w:spacing w:before="91"/>
              <w:ind w:right="87"/>
              <w:jc w:val="right"/>
              <w:rPr>
                <w:sz w:val="18"/>
              </w:rPr>
            </w:pPr>
            <w:r>
              <w:rPr>
                <w:spacing w:val="-5"/>
                <w:sz w:val="18"/>
              </w:rPr>
              <w:t>103</w:t>
            </w:r>
          </w:p>
        </w:tc>
        <w:tc>
          <w:tcPr>
            <w:tcW w:w="1302" w:type="dxa"/>
            <w:tcBorders>
              <w:top w:val="dashSmallGap" w:sz="4" w:space="0" w:color="000000"/>
              <w:left w:val="nil"/>
              <w:bottom w:val="dashSmallGap" w:sz="4" w:space="0" w:color="000000"/>
              <w:right w:val="single" w:sz="12" w:space="0" w:color="000000"/>
            </w:tcBorders>
          </w:tcPr>
          <w:p>
            <w:pPr>
              <w:pStyle w:val="TableParagraph"/>
              <w:spacing w:before="91"/>
              <w:ind w:right="71"/>
              <w:jc w:val="right"/>
              <w:rPr>
                <w:sz w:val="18"/>
              </w:rPr>
            </w:pPr>
            <w:r>
              <w:rPr>
                <w:spacing w:val="-5"/>
                <w:sz w:val="18"/>
              </w:rPr>
              <w:t>155</w:t>
            </w:r>
          </w:p>
        </w:tc>
        <w:tc>
          <w:tcPr>
            <w:tcW w:w="1146" w:type="dxa"/>
            <w:tcBorders>
              <w:top w:val="dashSmallGap" w:sz="4" w:space="0" w:color="000000"/>
              <w:left w:val="single" w:sz="12" w:space="0" w:color="000000"/>
              <w:bottom w:val="dashSmallGap" w:sz="4" w:space="0" w:color="000000"/>
              <w:right w:val="single" w:sz="12" w:space="0" w:color="000000"/>
            </w:tcBorders>
          </w:tcPr>
          <w:p>
            <w:pPr>
              <w:pStyle w:val="TableParagraph"/>
              <w:spacing w:before="91"/>
              <w:ind w:right="70"/>
              <w:jc w:val="right"/>
              <w:rPr>
                <w:sz w:val="18"/>
              </w:rPr>
            </w:pPr>
            <w:r>
              <w:rPr>
                <w:spacing w:val="-5"/>
                <w:sz w:val="18"/>
              </w:rPr>
              <w:t>326</w:t>
            </w:r>
          </w:p>
        </w:tc>
        <w:tc>
          <w:tcPr>
            <w:tcW w:w="1232" w:type="dxa"/>
            <w:tcBorders>
              <w:top w:val="dashSmallGap" w:sz="4" w:space="0" w:color="000000"/>
              <w:left w:val="single" w:sz="12" w:space="0" w:color="000000"/>
              <w:bottom w:val="dashSmallGap" w:sz="4" w:space="0" w:color="000000"/>
              <w:right w:val="single" w:sz="12" w:space="0" w:color="000000"/>
            </w:tcBorders>
          </w:tcPr>
          <w:p>
            <w:pPr>
              <w:pStyle w:val="TableParagraph"/>
              <w:spacing w:before="91"/>
              <w:ind w:right="68"/>
              <w:jc w:val="right"/>
              <w:rPr>
                <w:sz w:val="18"/>
              </w:rPr>
            </w:pPr>
            <w:r>
              <w:rPr>
                <w:spacing w:val="-5"/>
                <w:sz w:val="18"/>
              </w:rPr>
              <w:t>546</w:t>
            </w:r>
          </w:p>
        </w:tc>
        <w:tc>
          <w:tcPr>
            <w:tcW w:w="1294" w:type="dxa"/>
            <w:tcBorders>
              <w:top w:val="dashSmallGap" w:sz="4" w:space="0" w:color="000000"/>
              <w:left w:val="single" w:sz="12" w:space="0" w:color="000000"/>
              <w:bottom w:val="dashSmallGap" w:sz="4" w:space="0" w:color="000000"/>
              <w:right w:val="single" w:sz="12" w:space="0" w:color="000000"/>
            </w:tcBorders>
          </w:tcPr>
          <w:p>
            <w:pPr>
              <w:pStyle w:val="TableParagraph"/>
              <w:spacing w:before="91"/>
              <w:ind w:right="66"/>
              <w:jc w:val="right"/>
              <w:rPr>
                <w:sz w:val="18"/>
              </w:rPr>
            </w:pPr>
            <w:r>
              <w:rPr>
                <w:spacing w:val="-5"/>
                <w:sz w:val="18"/>
              </w:rPr>
              <w:t>366</w:t>
            </w:r>
          </w:p>
        </w:tc>
      </w:tr>
      <w:tr>
        <w:trPr>
          <w:trHeight w:val="226" w:hRule="atLeast"/>
        </w:trPr>
        <w:tc>
          <w:tcPr>
            <w:tcW w:w="3005" w:type="dxa"/>
            <w:tcBorders>
              <w:top w:val="dashSmallGap" w:sz="4" w:space="0" w:color="000000"/>
              <w:left w:val="single" w:sz="12" w:space="0" w:color="000000"/>
              <w:bottom w:val="dashed" w:sz="4" w:space="0" w:color="000000"/>
              <w:right w:val="single" w:sz="12" w:space="0" w:color="000000"/>
            </w:tcBorders>
          </w:tcPr>
          <w:p>
            <w:pPr>
              <w:pStyle w:val="TableParagraph"/>
              <w:spacing w:line="206" w:lineRule="exact"/>
              <w:ind w:left="107"/>
              <w:rPr>
                <w:sz w:val="18"/>
              </w:rPr>
            </w:pPr>
            <w:r>
              <w:rPr>
                <w:sz w:val="18"/>
              </w:rPr>
              <w:t>Digital </w:t>
            </w:r>
            <w:r>
              <w:rPr>
                <w:spacing w:val="-2"/>
                <w:sz w:val="18"/>
              </w:rPr>
              <w:t>Initiatives</w:t>
            </w:r>
          </w:p>
        </w:tc>
        <w:tc>
          <w:tcPr>
            <w:tcW w:w="8683" w:type="dxa"/>
            <w:gridSpan w:val="7"/>
            <w:tcBorders>
              <w:left w:val="single" w:sz="12" w:space="0" w:color="000000"/>
              <w:bottom w:val="single" w:sz="4" w:space="0" w:color="000000"/>
              <w:right w:val="single" w:sz="12" w:space="0" w:color="000000"/>
            </w:tcBorders>
          </w:tcPr>
          <w:p>
            <w:pPr>
              <w:pStyle w:val="TableParagraph"/>
              <w:tabs>
                <w:tab w:pos="2699" w:val="left" w:leader="none"/>
                <w:tab w:pos="4052" w:val="left" w:leader="none"/>
                <w:tab w:pos="4974" w:val="left" w:leader="none"/>
                <w:tab w:pos="6275" w:val="left" w:leader="none"/>
                <w:tab w:pos="7379" w:val="left" w:leader="none"/>
              </w:tabs>
              <w:spacing w:line="115" w:lineRule="exact"/>
              <w:ind w:left="1345"/>
              <w:rPr>
                <w:sz w:val="11"/>
              </w:rPr>
            </w:pPr>
            <w:r>
              <w:rPr>
                <w:position w:val="-1"/>
                <w:sz w:val="11"/>
              </w:rPr>
              <w:pict>
                <v:group style="width:.5pt;height:5.8pt;mso-position-horizontal-relative:char;mso-position-vertical-relative:line" id="docshapegroup897" coordorigin="0,0" coordsize="10,116">
                  <v:shape style="position:absolute;left:0;top:0;width:10;height:116" id="docshape898"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899" coordorigin="0,0" coordsize="10,116">
                  <v:shape style="position:absolute;left:0;top:0;width:10;height:116" id="docshape900"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901" coordorigin="0,0" coordsize="10,116">
                  <v:shape style="position:absolute;left:0;top:0;width:10;height:116" id="docshape902"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903" coordorigin="0,0" coordsize="10,116">
                  <v:shape style="position:absolute;left:0;top:0;width:10;height:116" id="docshape904"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905" coordorigin="0,0" coordsize="10,116">
                  <v:shape style="position:absolute;left:0;top:0;width:10;height:116" id="docshape906" coordorigin="0,0" coordsize="10,116" path="m10,77l0,77,0,115,10,115,10,77xm10,0l0,0,0,38,10,38,10,0xe" filled="true" fillcolor="#000000" stroked="false">
                    <v:path arrowok="t"/>
                    <v:fill type="solid"/>
                  </v:shape>
                </v:group>
              </w:pict>
            </w:r>
            <w:r>
              <w:rPr>
                <w:position w:val="-1"/>
                <w:sz w:val="11"/>
              </w:rPr>
            </w:r>
            <w:r>
              <w:rPr>
                <w:position w:val="-1"/>
                <w:sz w:val="11"/>
              </w:rPr>
              <w:tab/>
            </w:r>
            <w:r>
              <w:rPr>
                <w:position w:val="-1"/>
                <w:sz w:val="11"/>
              </w:rPr>
              <w:pict>
                <v:group style="width:.5pt;height:5.8pt;mso-position-horizontal-relative:char;mso-position-vertical-relative:line" id="docshapegroup907" coordorigin="0,0" coordsize="10,116">
                  <v:shape style="position:absolute;left:0;top:0;width:10;height:116" id="docshape908" coordorigin="0,0" coordsize="10,116" path="m10,77l0,77,0,115,10,115,10,77xm10,0l0,0,0,38,10,38,10,0xe" filled="true" fillcolor="#000000" stroked="false">
                    <v:path arrowok="t"/>
                    <v:fill type="solid"/>
                  </v:shape>
                </v:group>
              </w:pict>
            </w:r>
            <w:r>
              <w:rPr>
                <w:position w:val="-1"/>
                <w:sz w:val="11"/>
              </w:rPr>
            </w:r>
          </w:p>
        </w:tc>
        <w:tc>
          <w:tcPr>
            <w:tcW w:w="1146" w:type="dxa"/>
            <w:tcBorders>
              <w:top w:val="dashSmallGap" w:sz="4" w:space="0" w:color="000000"/>
              <w:left w:val="single" w:sz="12" w:space="0" w:color="000000"/>
              <w:bottom w:val="dashed" w:sz="4" w:space="0" w:color="000000"/>
              <w:right w:val="single" w:sz="12" w:space="0" w:color="000000"/>
            </w:tcBorders>
          </w:tcPr>
          <w:p>
            <w:pPr>
              <w:pStyle w:val="TableParagraph"/>
              <w:rPr>
                <w:rFonts w:ascii="Times New Roman"/>
                <w:sz w:val="16"/>
              </w:rPr>
            </w:pPr>
          </w:p>
        </w:tc>
        <w:tc>
          <w:tcPr>
            <w:tcW w:w="1232" w:type="dxa"/>
            <w:tcBorders>
              <w:top w:val="dashSmallGap" w:sz="4" w:space="0" w:color="000000"/>
              <w:left w:val="single" w:sz="12" w:space="0" w:color="000000"/>
              <w:bottom w:val="dashed" w:sz="4" w:space="0" w:color="000000"/>
              <w:right w:val="single" w:sz="12" w:space="0" w:color="000000"/>
            </w:tcBorders>
          </w:tcPr>
          <w:p>
            <w:pPr>
              <w:pStyle w:val="TableParagraph"/>
              <w:spacing w:line="206" w:lineRule="exact"/>
              <w:ind w:right="69"/>
              <w:jc w:val="right"/>
              <w:rPr>
                <w:sz w:val="18"/>
              </w:rPr>
            </w:pPr>
            <w:r>
              <w:rPr>
                <w:spacing w:val="-5"/>
                <w:sz w:val="18"/>
              </w:rPr>
              <w:t>55</w:t>
            </w:r>
          </w:p>
        </w:tc>
        <w:tc>
          <w:tcPr>
            <w:tcW w:w="1294" w:type="dxa"/>
            <w:tcBorders>
              <w:top w:val="dashSmallGap" w:sz="4" w:space="0" w:color="000000"/>
              <w:left w:val="single" w:sz="12" w:space="0" w:color="000000"/>
              <w:bottom w:val="dashed" w:sz="4" w:space="0" w:color="000000"/>
              <w:right w:val="single" w:sz="12" w:space="0" w:color="000000"/>
            </w:tcBorders>
          </w:tcPr>
          <w:p>
            <w:pPr>
              <w:pStyle w:val="TableParagraph"/>
              <w:rPr>
                <w:rFonts w:ascii="Times New Roman"/>
                <w:sz w:val="16"/>
              </w:rPr>
            </w:pPr>
          </w:p>
        </w:tc>
      </w:tr>
      <w:tr>
        <w:trPr>
          <w:trHeight w:val="505" w:hRule="atLeast"/>
        </w:trPr>
        <w:tc>
          <w:tcPr>
            <w:tcW w:w="3005" w:type="dxa"/>
            <w:tcBorders>
              <w:top w:val="dashed" w:sz="4" w:space="0" w:color="000000"/>
              <w:left w:val="single" w:sz="12" w:space="0" w:color="000000"/>
              <w:bottom w:val="single" w:sz="12" w:space="0" w:color="000000"/>
              <w:right w:val="single" w:sz="12" w:space="0" w:color="000000"/>
            </w:tcBorders>
          </w:tcPr>
          <w:p>
            <w:pPr>
              <w:pStyle w:val="TableParagraph"/>
              <w:spacing w:line="254" w:lineRule="exact"/>
              <w:ind w:left="107"/>
              <w:rPr>
                <w:b/>
                <w:sz w:val="22"/>
              </w:rPr>
            </w:pPr>
            <w:r>
              <w:rPr>
                <w:b/>
                <w:sz w:val="22"/>
              </w:rPr>
              <w:t>TOTAL COMPUTERS AND </w:t>
            </w:r>
            <w:r>
              <w:rPr>
                <w:b/>
                <w:spacing w:val="-2"/>
                <w:sz w:val="22"/>
              </w:rPr>
              <w:t>TELECOMMNUNICATIONS</w:t>
            </w:r>
          </w:p>
        </w:tc>
        <w:tc>
          <w:tcPr>
            <w:tcW w:w="1351" w:type="dxa"/>
            <w:tcBorders>
              <w:top w:val="dashed" w:sz="4" w:space="0" w:color="000000"/>
              <w:left w:val="single" w:sz="12" w:space="0" w:color="000000"/>
              <w:bottom w:val="single" w:sz="12" w:space="0" w:color="000000"/>
              <w:right w:val="nil"/>
            </w:tcBorders>
          </w:tcPr>
          <w:p>
            <w:pPr>
              <w:pStyle w:val="TableParagraph"/>
              <w:spacing w:before="147"/>
              <w:ind w:right="76"/>
              <w:jc w:val="right"/>
              <w:rPr>
                <w:b/>
                <w:sz w:val="18"/>
              </w:rPr>
            </w:pPr>
            <w:r>
              <w:rPr>
                <w:b/>
                <w:spacing w:val="-5"/>
                <w:sz w:val="18"/>
              </w:rPr>
              <w:t>516</w:t>
            </w:r>
          </w:p>
        </w:tc>
        <w:tc>
          <w:tcPr>
            <w:tcW w:w="1353" w:type="dxa"/>
            <w:tcBorders>
              <w:top w:val="dashed" w:sz="4" w:space="0" w:color="000000"/>
              <w:left w:val="nil"/>
              <w:bottom w:val="single" w:sz="12" w:space="0" w:color="000000"/>
              <w:right w:val="nil"/>
            </w:tcBorders>
          </w:tcPr>
          <w:p>
            <w:pPr>
              <w:pStyle w:val="TableParagraph"/>
              <w:spacing w:before="147"/>
              <w:ind w:right="90"/>
              <w:jc w:val="right"/>
              <w:rPr>
                <w:b/>
                <w:sz w:val="18"/>
              </w:rPr>
            </w:pPr>
            <w:r>
              <w:rPr>
                <w:b/>
                <w:spacing w:val="-5"/>
                <w:sz w:val="18"/>
              </w:rPr>
              <w:t>516</w:t>
            </w:r>
          </w:p>
        </w:tc>
        <w:tc>
          <w:tcPr>
            <w:tcW w:w="1353" w:type="dxa"/>
            <w:tcBorders>
              <w:top w:val="dashed" w:sz="4" w:space="0" w:color="000000"/>
              <w:left w:val="nil"/>
              <w:bottom w:val="single" w:sz="12" w:space="0" w:color="000000"/>
              <w:right w:val="nil"/>
            </w:tcBorders>
          </w:tcPr>
          <w:p>
            <w:pPr>
              <w:pStyle w:val="TableParagraph"/>
              <w:spacing w:before="147"/>
              <w:ind w:right="91"/>
              <w:jc w:val="right"/>
              <w:rPr>
                <w:b/>
                <w:sz w:val="18"/>
              </w:rPr>
            </w:pPr>
            <w:r>
              <w:rPr>
                <w:b/>
                <w:sz w:val="18"/>
              </w:rPr>
              <w:t>0</w:t>
            </w:r>
          </w:p>
        </w:tc>
        <w:tc>
          <w:tcPr>
            <w:tcW w:w="921" w:type="dxa"/>
            <w:tcBorders>
              <w:top w:val="dashed" w:sz="4" w:space="0" w:color="000000"/>
              <w:left w:val="nil"/>
              <w:bottom w:val="single" w:sz="12" w:space="0" w:color="000000"/>
              <w:right w:val="nil"/>
            </w:tcBorders>
          </w:tcPr>
          <w:p>
            <w:pPr>
              <w:pStyle w:val="TableParagraph"/>
              <w:spacing w:before="147"/>
              <w:ind w:right="90"/>
              <w:jc w:val="right"/>
              <w:rPr>
                <w:b/>
                <w:sz w:val="18"/>
              </w:rPr>
            </w:pPr>
            <w:r>
              <w:rPr>
                <w:b/>
                <w:sz w:val="18"/>
              </w:rPr>
              <w:t>0</w:t>
            </w:r>
          </w:p>
        </w:tc>
        <w:tc>
          <w:tcPr>
            <w:tcW w:w="1300" w:type="dxa"/>
            <w:tcBorders>
              <w:top w:val="dashed" w:sz="4" w:space="0" w:color="000000"/>
              <w:left w:val="nil"/>
              <w:bottom w:val="single" w:sz="12" w:space="0" w:color="000000"/>
              <w:right w:val="nil"/>
            </w:tcBorders>
          </w:tcPr>
          <w:p>
            <w:pPr>
              <w:pStyle w:val="TableParagraph"/>
              <w:spacing w:before="147"/>
              <w:ind w:right="88"/>
              <w:jc w:val="right"/>
              <w:rPr>
                <w:b/>
                <w:sz w:val="18"/>
              </w:rPr>
            </w:pPr>
            <w:r>
              <w:rPr>
                <w:b/>
                <w:spacing w:val="-5"/>
                <w:sz w:val="18"/>
              </w:rPr>
              <w:t>258</w:t>
            </w:r>
          </w:p>
        </w:tc>
        <w:tc>
          <w:tcPr>
            <w:tcW w:w="1103" w:type="dxa"/>
            <w:tcBorders>
              <w:top w:val="dashed" w:sz="4" w:space="0" w:color="000000"/>
              <w:left w:val="nil"/>
              <w:bottom w:val="single" w:sz="12" w:space="0" w:color="000000"/>
              <w:right w:val="nil"/>
            </w:tcBorders>
          </w:tcPr>
          <w:p>
            <w:pPr>
              <w:pStyle w:val="TableParagraph"/>
              <w:spacing w:before="147"/>
              <w:ind w:right="87"/>
              <w:jc w:val="right"/>
              <w:rPr>
                <w:b/>
                <w:sz w:val="18"/>
              </w:rPr>
            </w:pPr>
            <w:r>
              <w:rPr>
                <w:b/>
                <w:spacing w:val="-5"/>
                <w:sz w:val="18"/>
              </w:rPr>
              <w:t>103</w:t>
            </w:r>
          </w:p>
        </w:tc>
        <w:tc>
          <w:tcPr>
            <w:tcW w:w="1302" w:type="dxa"/>
            <w:tcBorders>
              <w:top w:val="dashed" w:sz="4" w:space="0" w:color="000000"/>
              <w:left w:val="nil"/>
              <w:bottom w:val="single" w:sz="12" w:space="0" w:color="000000"/>
              <w:right w:val="single" w:sz="12" w:space="0" w:color="000000"/>
            </w:tcBorders>
          </w:tcPr>
          <w:p>
            <w:pPr>
              <w:pStyle w:val="TableParagraph"/>
              <w:spacing w:before="147"/>
              <w:ind w:right="71"/>
              <w:jc w:val="right"/>
              <w:rPr>
                <w:b/>
                <w:sz w:val="18"/>
              </w:rPr>
            </w:pPr>
            <w:r>
              <w:rPr>
                <w:b/>
                <w:spacing w:val="-5"/>
                <w:sz w:val="18"/>
              </w:rPr>
              <w:t>155</w:t>
            </w:r>
          </w:p>
        </w:tc>
        <w:tc>
          <w:tcPr>
            <w:tcW w:w="1146" w:type="dxa"/>
            <w:tcBorders>
              <w:top w:val="dashed" w:sz="4" w:space="0" w:color="000000"/>
              <w:left w:val="single" w:sz="12" w:space="0" w:color="000000"/>
              <w:bottom w:val="single" w:sz="12" w:space="0" w:color="000000"/>
              <w:right w:val="single" w:sz="12" w:space="0" w:color="000000"/>
            </w:tcBorders>
          </w:tcPr>
          <w:p>
            <w:pPr>
              <w:pStyle w:val="TableParagraph"/>
              <w:spacing w:before="147"/>
              <w:ind w:right="70"/>
              <w:jc w:val="right"/>
              <w:rPr>
                <w:b/>
                <w:sz w:val="18"/>
              </w:rPr>
            </w:pPr>
            <w:r>
              <w:rPr>
                <w:b/>
                <w:spacing w:val="-5"/>
                <w:sz w:val="18"/>
              </w:rPr>
              <w:t>326</w:t>
            </w:r>
          </w:p>
        </w:tc>
        <w:tc>
          <w:tcPr>
            <w:tcW w:w="1232" w:type="dxa"/>
            <w:tcBorders>
              <w:top w:val="dashed" w:sz="4" w:space="0" w:color="000000"/>
              <w:left w:val="single" w:sz="12" w:space="0" w:color="000000"/>
              <w:bottom w:val="single" w:sz="12" w:space="0" w:color="000000"/>
              <w:right w:val="single" w:sz="12" w:space="0" w:color="000000"/>
            </w:tcBorders>
          </w:tcPr>
          <w:p>
            <w:pPr>
              <w:pStyle w:val="TableParagraph"/>
              <w:spacing w:before="147"/>
              <w:ind w:right="68"/>
              <w:jc w:val="right"/>
              <w:rPr>
                <w:b/>
                <w:sz w:val="18"/>
              </w:rPr>
            </w:pPr>
            <w:r>
              <w:rPr>
                <w:b/>
                <w:spacing w:val="-5"/>
                <w:sz w:val="18"/>
              </w:rPr>
              <w:t>601</w:t>
            </w:r>
          </w:p>
        </w:tc>
        <w:tc>
          <w:tcPr>
            <w:tcW w:w="1294" w:type="dxa"/>
            <w:tcBorders>
              <w:top w:val="dashed" w:sz="4" w:space="0" w:color="000000"/>
              <w:left w:val="single" w:sz="12" w:space="0" w:color="000000"/>
              <w:bottom w:val="single" w:sz="12" w:space="0" w:color="000000"/>
              <w:right w:val="single" w:sz="12" w:space="0" w:color="000000"/>
            </w:tcBorders>
          </w:tcPr>
          <w:p>
            <w:pPr>
              <w:pStyle w:val="TableParagraph"/>
              <w:spacing w:before="147"/>
              <w:ind w:right="66"/>
              <w:jc w:val="right"/>
              <w:rPr>
                <w:b/>
                <w:sz w:val="18"/>
              </w:rPr>
            </w:pPr>
            <w:r>
              <w:rPr>
                <w:b/>
                <w:spacing w:val="-5"/>
                <w:sz w:val="18"/>
              </w:rPr>
              <w:t>366</w:t>
            </w:r>
          </w:p>
        </w:tc>
      </w:tr>
      <w:tr>
        <w:trPr>
          <w:trHeight w:val="642" w:hRule="atLeast"/>
        </w:trPr>
        <w:tc>
          <w:tcPr>
            <w:tcW w:w="3005" w:type="dxa"/>
            <w:tcBorders>
              <w:top w:val="single" w:sz="12" w:space="0" w:color="000000"/>
              <w:left w:val="single" w:sz="12" w:space="0" w:color="000000"/>
              <w:bottom w:val="single" w:sz="12" w:space="0" w:color="000000"/>
              <w:right w:val="single" w:sz="12" w:space="0" w:color="000000"/>
            </w:tcBorders>
          </w:tcPr>
          <w:p>
            <w:pPr>
              <w:pStyle w:val="TableParagraph"/>
              <w:spacing w:line="318" w:lineRule="exact"/>
              <w:ind w:left="107"/>
              <w:rPr>
                <w:b/>
                <w:sz w:val="28"/>
              </w:rPr>
            </w:pPr>
            <w:r>
              <w:rPr>
                <w:b/>
                <w:sz w:val="28"/>
              </w:rPr>
              <w:t>TOTAL</w:t>
            </w:r>
            <w:r>
              <w:rPr>
                <w:b/>
                <w:spacing w:val="-4"/>
                <w:sz w:val="28"/>
              </w:rPr>
              <w:t> </w:t>
            </w:r>
            <w:r>
              <w:rPr>
                <w:b/>
                <w:sz w:val="28"/>
              </w:rPr>
              <w:t>PLANT </w:t>
            </w:r>
            <w:r>
              <w:rPr>
                <w:b/>
                <w:spacing w:val="-5"/>
                <w:sz w:val="28"/>
              </w:rPr>
              <w:t>AND</w:t>
            </w:r>
          </w:p>
          <w:p>
            <w:pPr>
              <w:pStyle w:val="TableParagraph"/>
              <w:spacing w:line="302" w:lineRule="exact" w:before="2"/>
              <w:ind w:left="107"/>
              <w:rPr>
                <w:b/>
                <w:sz w:val="28"/>
              </w:rPr>
            </w:pPr>
            <w:r>
              <w:rPr>
                <w:b/>
                <w:spacing w:val="-2"/>
                <w:sz w:val="28"/>
              </w:rPr>
              <w:t>EQUIPMENT</w:t>
            </w:r>
          </w:p>
        </w:tc>
        <w:tc>
          <w:tcPr>
            <w:tcW w:w="1351" w:type="dxa"/>
            <w:tcBorders>
              <w:top w:val="single" w:sz="12" w:space="0" w:color="000000"/>
              <w:left w:val="single" w:sz="12" w:space="0" w:color="000000"/>
              <w:bottom w:val="single" w:sz="12" w:space="0" w:color="000000"/>
              <w:right w:val="nil"/>
            </w:tcBorders>
          </w:tcPr>
          <w:p>
            <w:pPr>
              <w:pStyle w:val="TableParagraph"/>
              <w:spacing w:before="7"/>
              <w:rPr>
                <w:b/>
                <w:sz w:val="18"/>
              </w:rPr>
            </w:pPr>
          </w:p>
          <w:p>
            <w:pPr>
              <w:pStyle w:val="TableParagraph"/>
              <w:ind w:right="74"/>
              <w:jc w:val="right"/>
              <w:rPr>
                <w:b/>
                <w:sz w:val="18"/>
              </w:rPr>
            </w:pPr>
            <w:r>
              <w:rPr>
                <w:b/>
                <w:spacing w:val="-2"/>
                <w:sz w:val="18"/>
              </w:rPr>
              <w:t>3,985</w:t>
            </w:r>
          </w:p>
        </w:tc>
        <w:tc>
          <w:tcPr>
            <w:tcW w:w="1353" w:type="dxa"/>
            <w:tcBorders>
              <w:top w:val="single" w:sz="12" w:space="0" w:color="000000"/>
              <w:left w:val="nil"/>
              <w:bottom w:val="single" w:sz="12" w:space="0" w:color="000000"/>
              <w:right w:val="nil"/>
            </w:tcBorders>
          </w:tcPr>
          <w:p>
            <w:pPr>
              <w:pStyle w:val="TableParagraph"/>
              <w:spacing w:before="7"/>
              <w:rPr>
                <w:b/>
                <w:sz w:val="18"/>
              </w:rPr>
            </w:pPr>
          </w:p>
          <w:p>
            <w:pPr>
              <w:pStyle w:val="TableParagraph"/>
              <w:ind w:right="89"/>
              <w:jc w:val="right"/>
              <w:rPr>
                <w:b/>
                <w:sz w:val="18"/>
              </w:rPr>
            </w:pPr>
            <w:r>
              <w:rPr>
                <w:b/>
                <w:spacing w:val="-2"/>
                <w:sz w:val="18"/>
              </w:rPr>
              <w:t>3,177</w:t>
            </w:r>
          </w:p>
        </w:tc>
        <w:tc>
          <w:tcPr>
            <w:tcW w:w="1353" w:type="dxa"/>
            <w:tcBorders>
              <w:top w:val="single" w:sz="12" w:space="0" w:color="000000"/>
              <w:left w:val="nil"/>
              <w:bottom w:val="single" w:sz="12" w:space="0" w:color="000000"/>
              <w:right w:val="nil"/>
            </w:tcBorders>
          </w:tcPr>
          <w:p>
            <w:pPr>
              <w:pStyle w:val="TableParagraph"/>
              <w:spacing w:before="7"/>
              <w:rPr>
                <w:b/>
                <w:sz w:val="18"/>
              </w:rPr>
            </w:pPr>
          </w:p>
          <w:p>
            <w:pPr>
              <w:pStyle w:val="TableParagraph"/>
              <w:ind w:right="91"/>
              <w:jc w:val="right"/>
              <w:rPr>
                <w:b/>
                <w:sz w:val="18"/>
              </w:rPr>
            </w:pPr>
            <w:r>
              <w:rPr>
                <w:b/>
                <w:sz w:val="18"/>
              </w:rPr>
              <w:t>0</w:t>
            </w:r>
          </w:p>
        </w:tc>
        <w:tc>
          <w:tcPr>
            <w:tcW w:w="921" w:type="dxa"/>
            <w:tcBorders>
              <w:top w:val="single" w:sz="12" w:space="0" w:color="000000"/>
              <w:left w:val="nil"/>
              <w:bottom w:val="single" w:sz="12" w:space="0" w:color="000000"/>
              <w:right w:val="nil"/>
            </w:tcBorders>
          </w:tcPr>
          <w:p>
            <w:pPr>
              <w:pStyle w:val="TableParagraph"/>
              <w:spacing w:before="7"/>
              <w:rPr>
                <w:b/>
                <w:sz w:val="18"/>
              </w:rPr>
            </w:pPr>
          </w:p>
          <w:p>
            <w:pPr>
              <w:pStyle w:val="TableParagraph"/>
              <w:ind w:right="89"/>
              <w:jc w:val="right"/>
              <w:rPr>
                <w:b/>
                <w:sz w:val="18"/>
              </w:rPr>
            </w:pPr>
            <w:r>
              <w:rPr>
                <w:b/>
                <w:spacing w:val="-5"/>
                <w:sz w:val="18"/>
              </w:rPr>
              <w:t>808</w:t>
            </w:r>
          </w:p>
        </w:tc>
        <w:tc>
          <w:tcPr>
            <w:tcW w:w="1300" w:type="dxa"/>
            <w:tcBorders>
              <w:top w:val="single" w:sz="12" w:space="0" w:color="000000"/>
              <w:left w:val="nil"/>
              <w:bottom w:val="single" w:sz="12" w:space="0" w:color="000000"/>
              <w:right w:val="nil"/>
            </w:tcBorders>
          </w:tcPr>
          <w:p>
            <w:pPr>
              <w:pStyle w:val="TableParagraph"/>
              <w:spacing w:before="7"/>
              <w:rPr>
                <w:b/>
                <w:sz w:val="18"/>
              </w:rPr>
            </w:pPr>
          </w:p>
          <w:p>
            <w:pPr>
              <w:pStyle w:val="TableParagraph"/>
              <w:ind w:right="87"/>
              <w:jc w:val="right"/>
              <w:rPr>
                <w:b/>
                <w:sz w:val="18"/>
              </w:rPr>
            </w:pPr>
            <w:r>
              <w:rPr>
                <w:b/>
                <w:spacing w:val="-2"/>
                <w:sz w:val="18"/>
              </w:rPr>
              <w:t>3,613</w:t>
            </w:r>
          </w:p>
        </w:tc>
        <w:tc>
          <w:tcPr>
            <w:tcW w:w="1103" w:type="dxa"/>
            <w:tcBorders>
              <w:top w:val="single" w:sz="12" w:space="0" w:color="000000"/>
              <w:left w:val="nil"/>
              <w:bottom w:val="single" w:sz="12" w:space="0" w:color="000000"/>
              <w:right w:val="nil"/>
            </w:tcBorders>
          </w:tcPr>
          <w:p>
            <w:pPr>
              <w:pStyle w:val="TableParagraph"/>
              <w:spacing w:before="7"/>
              <w:rPr>
                <w:b/>
                <w:sz w:val="18"/>
              </w:rPr>
            </w:pPr>
          </w:p>
          <w:p>
            <w:pPr>
              <w:pStyle w:val="TableParagraph"/>
              <w:ind w:right="87"/>
              <w:jc w:val="right"/>
              <w:rPr>
                <w:b/>
                <w:sz w:val="18"/>
              </w:rPr>
            </w:pPr>
            <w:r>
              <w:rPr>
                <w:b/>
                <w:spacing w:val="-5"/>
                <w:sz w:val="18"/>
              </w:rPr>
              <w:t>146</w:t>
            </w:r>
          </w:p>
        </w:tc>
        <w:tc>
          <w:tcPr>
            <w:tcW w:w="1302" w:type="dxa"/>
            <w:tcBorders>
              <w:top w:val="single" w:sz="12" w:space="0" w:color="000000"/>
              <w:left w:val="nil"/>
              <w:bottom w:val="single" w:sz="12" w:space="0" w:color="000000"/>
              <w:right w:val="single" w:sz="12" w:space="0" w:color="000000"/>
            </w:tcBorders>
          </w:tcPr>
          <w:p>
            <w:pPr>
              <w:pStyle w:val="TableParagraph"/>
              <w:spacing w:before="7"/>
              <w:rPr>
                <w:b/>
                <w:sz w:val="18"/>
              </w:rPr>
            </w:pPr>
          </w:p>
          <w:p>
            <w:pPr>
              <w:pStyle w:val="TableParagraph"/>
              <w:ind w:right="71"/>
              <w:jc w:val="right"/>
              <w:rPr>
                <w:b/>
                <w:sz w:val="18"/>
              </w:rPr>
            </w:pPr>
            <w:r>
              <w:rPr>
                <w:b/>
                <w:spacing w:val="-5"/>
                <w:sz w:val="18"/>
              </w:rPr>
              <w:t>227</w:t>
            </w:r>
          </w:p>
        </w:tc>
        <w:tc>
          <w:tcPr>
            <w:tcW w:w="1146" w:type="dxa"/>
            <w:tcBorders>
              <w:top w:val="single" w:sz="12" w:space="0" w:color="000000"/>
              <w:left w:val="single" w:sz="12" w:space="0" w:color="000000"/>
              <w:bottom w:val="single" w:sz="12" w:space="0" w:color="000000"/>
              <w:right w:val="single" w:sz="12" w:space="0" w:color="000000"/>
            </w:tcBorders>
          </w:tcPr>
          <w:p>
            <w:pPr>
              <w:pStyle w:val="TableParagraph"/>
              <w:spacing w:before="7"/>
              <w:rPr>
                <w:b/>
                <w:sz w:val="18"/>
              </w:rPr>
            </w:pPr>
          </w:p>
          <w:p>
            <w:pPr>
              <w:pStyle w:val="TableParagraph"/>
              <w:ind w:right="68"/>
              <w:jc w:val="right"/>
              <w:rPr>
                <w:b/>
                <w:sz w:val="18"/>
              </w:rPr>
            </w:pPr>
            <w:r>
              <w:rPr>
                <w:b/>
                <w:spacing w:val="-2"/>
                <w:sz w:val="18"/>
              </w:rPr>
              <w:t>2,392</w:t>
            </w:r>
          </w:p>
        </w:tc>
        <w:tc>
          <w:tcPr>
            <w:tcW w:w="1232" w:type="dxa"/>
            <w:tcBorders>
              <w:top w:val="single" w:sz="12" w:space="0" w:color="000000"/>
              <w:left w:val="single" w:sz="12" w:space="0" w:color="000000"/>
              <w:bottom w:val="single" w:sz="12" w:space="0" w:color="000000"/>
              <w:right w:val="single" w:sz="12" w:space="0" w:color="000000"/>
            </w:tcBorders>
          </w:tcPr>
          <w:p>
            <w:pPr>
              <w:pStyle w:val="TableParagraph"/>
              <w:spacing w:before="7"/>
              <w:rPr>
                <w:b/>
                <w:sz w:val="18"/>
              </w:rPr>
            </w:pPr>
          </w:p>
          <w:p>
            <w:pPr>
              <w:pStyle w:val="TableParagraph"/>
              <w:ind w:right="67"/>
              <w:jc w:val="right"/>
              <w:rPr>
                <w:b/>
                <w:sz w:val="18"/>
              </w:rPr>
            </w:pPr>
            <w:r>
              <w:rPr>
                <w:b/>
                <w:spacing w:val="-2"/>
                <w:sz w:val="18"/>
              </w:rPr>
              <w:t>2,540</w:t>
            </w:r>
          </w:p>
        </w:tc>
        <w:tc>
          <w:tcPr>
            <w:tcW w:w="1294" w:type="dxa"/>
            <w:tcBorders>
              <w:top w:val="single" w:sz="12" w:space="0" w:color="000000"/>
              <w:left w:val="single" w:sz="12" w:space="0" w:color="000000"/>
              <w:bottom w:val="single" w:sz="12" w:space="0" w:color="000000"/>
              <w:right w:val="single" w:sz="12" w:space="0" w:color="000000"/>
            </w:tcBorders>
          </w:tcPr>
          <w:p>
            <w:pPr>
              <w:pStyle w:val="TableParagraph"/>
              <w:spacing w:before="7"/>
              <w:rPr>
                <w:b/>
                <w:sz w:val="18"/>
              </w:rPr>
            </w:pPr>
          </w:p>
          <w:p>
            <w:pPr>
              <w:pStyle w:val="TableParagraph"/>
              <w:ind w:right="65"/>
              <w:jc w:val="right"/>
              <w:rPr>
                <w:b/>
                <w:sz w:val="18"/>
              </w:rPr>
            </w:pPr>
            <w:r>
              <w:rPr>
                <w:b/>
                <w:spacing w:val="-2"/>
                <w:sz w:val="18"/>
              </w:rPr>
              <w:t>4,553</w:t>
            </w:r>
          </w:p>
        </w:tc>
      </w:tr>
      <w:tr>
        <w:trPr>
          <w:trHeight w:val="644" w:hRule="atLeast"/>
        </w:trPr>
        <w:tc>
          <w:tcPr>
            <w:tcW w:w="3005" w:type="dxa"/>
            <w:tcBorders>
              <w:top w:val="single" w:sz="12" w:space="0" w:color="000000"/>
              <w:left w:val="single" w:sz="12" w:space="0" w:color="000000"/>
              <w:bottom w:val="single" w:sz="12" w:space="0" w:color="000000"/>
              <w:right w:val="single" w:sz="12" w:space="0" w:color="000000"/>
            </w:tcBorders>
          </w:tcPr>
          <w:p>
            <w:pPr>
              <w:pStyle w:val="TableParagraph"/>
              <w:spacing w:line="322" w:lineRule="exact"/>
              <w:ind w:left="107"/>
              <w:rPr>
                <w:b/>
                <w:sz w:val="28"/>
              </w:rPr>
            </w:pPr>
            <w:r>
              <w:rPr>
                <w:b/>
                <w:sz w:val="28"/>
              </w:rPr>
              <w:t>TOTAL</w:t>
            </w:r>
            <w:r>
              <w:rPr>
                <w:b/>
                <w:spacing w:val="-20"/>
                <w:sz w:val="28"/>
              </w:rPr>
              <w:t> </w:t>
            </w:r>
            <w:r>
              <w:rPr>
                <w:b/>
                <w:sz w:val="28"/>
              </w:rPr>
              <w:t>CAPITAL </w:t>
            </w:r>
            <w:r>
              <w:rPr>
                <w:b/>
                <w:spacing w:val="-2"/>
                <w:sz w:val="28"/>
              </w:rPr>
              <w:t>EXPENDITURE</w:t>
            </w:r>
          </w:p>
        </w:tc>
        <w:tc>
          <w:tcPr>
            <w:tcW w:w="1351" w:type="dxa"/>
            <w:tcBorders>
              <w:top w:val="single" w:sz="12" w:space="0" w:color="000000"/>
              <w:left w:val="single" w:sz="12" w:space="0" w:color="000000"/>
              <w:bottom w:val="single" w:sz="12" w:space="0" w:color="000000"/>
              <w:right w:val="nil"/>
            </w:tcBorders>
          </w:tcPr>
          <w:p>
            <w:pPr>
              <w:pStyle w:val="TableParagraph"/>
              <w:spacing w:before="9"/>
              <w:rPr>
                <w:b/>
                <w:sz w:val="17"/>
              </w:rPr>
            </w:pPr>
          </w:p>
          <w:p>
            <w:pPr>
              <w:pStyle w:val="TableParagraph"/>
              <w:spacing w:before="1"/>
              <w:ind w:right="79"/>
              <w:jc w:val="right"/>
              <w:rPr>
                <w:b/>
                <w:sz w:val="20"/>
              </w:rPr>
            </w:pPr>
            <w:r>
              <w:rPr>
                <w:b/>
                <w:spacing w:val="-2"/>
                <w:sz w:val="20"/>
              </w:rPr>
              <w:t>65,485</w:t>
            </w:r>
          </w:p>
        </w:tc>
        <w:tc>
          <w:tcPr>
            <w:tcW w:w="1353" w:type="dxa"/>
            <w:tcBorders>
              <w:top w:val="single" w:sz="12" w:space="0" w:color="000000"/>
              <w:left w:val="nil"/>
              <w:bottom w:val="single" w:sz="12" w:space="0" w:color="000000"/>
              <w:right w:val="nil"/>
            </w:tcBorders>
          </w:tcPr>
          <w:p>
            <w:pPr>
              <w:pStyle w:val="TableParagraph"/>
              <w:spacing w:before="9"/>
              <w:rPr>
                <w:b/>
                <w:sz w:val="17"/>
              </w:rPr>
            </w:pPr>
          </w:p>
          <w:p>
            <w:pPr>
              <w:pStyle w:val="TableParagraph"/>
              <w:spacing w:before="1"/>
              <w:ind w:right="93"/>
              <w:jc w:val="right"/>
              <w:rPr>
                <w:b/>
                <w:sz w:val="20"/>
              </w:rPr>
            </w:pPr>
            <w:r>
              <w:rPr>
                <w:b/>
                <w:spacing w:val="-2"/>
                <w:sz w:val="20"/>
              </w:rPr>
              <w:t>36,743</w:t>
            </w:r>
          </w:p>
        </w:tc>
        <w:tc>
          <w:tcPr>
            <w:tcW w:w="1353" w:type="dxa"/>
            <w:tcBorders>
              <w:top w:val="single" w:sz="12" w:space="0" w:color="000000"/>
              <w:left w:val="nil"/>
              <w:bottom w:val="single" w:sz="12" w:space="0" w:color="000000"/>
              <w:right w:val="nil"/>
            </w:tcBorders>
          </w:tcPr>
          <w:p>
            <w:pPr>
              <w:pStyle w:val="TableParagraph"/>
              <w:spacing w:before="9"/>
              <w:rPr>
                <w:b/>
                <w:sz w:val="17"/>
              </w:rPr>
            </w:pPr>
          </w:p>
          <w:p>
            <w:pPr>
              <w:pStyle w:val="TableParagraph"/>
              <w:spacing w:before="1"/>
              <w:ind w:right="92"/>
              <w:jc w:val="right"/>
              <w:rPr>
                <w:b/>
                <w:sz w:val="20"/>
              </w:rPr>
            </w:pPr>
            <w:r>
              <w:rPr>
                <w:b/>
                <w:spacing w:val="-2"/>
                <w:sz w:val="20"/>
              </w:rPr>
              <w:t>26,708</w:t>
            </w:r>
          </w:p>
        </w:tc>
        <w:tc>
          <w:tcPr>
            <w:tcW w:w="921" w:type="dxa"/>
            <w:tcBorders>
              <w:top w:val="single" w:sz="12" w:space="0" w:color="000000"/>
              <w:left w:val="nil"/>
              <w:bottom w:val="single" w:sz="12" w:space="0" w:color="000000"/>
              <w:right w:val="nil"/>
            </w:tcBorders>
          </w:tcPr>
          <w:p>
            <w:pPr>
              <w:pStyle w:val="TableParagraph"/>
              <w:spacing w:before="9"/>
              <w:rPr>
                <w:b/>
                <w:sz w:val="17"/>
              </w:rPr>
            </w:pPr>
          </w:p>
          <w:p>
            <w:pPr>
              <w:pStyle w:val="TableParagraph"/>
              <w:spacing w:before="1"/>
              <w:ind w:right="91"/>
              <w:jc w:val="right"/>
              <w:rPr>
                <w:b/>
                <w:sz w:val="20"/>
              </w:rPr>
            </w:pPr>
            <w:r>
              <w:rPr>
                <w:b/>
                <w:spacing w:val="-2"/>
                <w:sz w:val="20"/>
              </w:rPr>
              <w:t>2,034</w:t>
            </w:r>
          </w:p>
        </w:tc>
        <w:tc>
          <w:tcPr>
            <w:tcW w:w="1300" w:type="dxa"/>
            <w:tcBorders>
              <w:top w:val="single" w:sz="12" w:space="0" w:color="000000"/>
              <w:left w:val="nil"/>
              <w:bottom w:val="single" w:sz="12" w:space="0" w:color="000000"/>
              <w:right w:val="nil"/>
            </w:tcBorders>
          </w:tcPr>
          <w:p>
            <w:pPr>
              <w:pStyle w:val="TableParagraph"/>
              <w:spacing w:before="9"/>
              <w:rPr>
                <w:b/>
                <w:sz w:val="17"/>
              </w:rPr>
            </w:pPr>
          </w:p>
          <w:p>
            <w:pPr>
              <w:pStyle w:val="TableParagraph"/>
              <w:spacing w:before="1"/>
              <w:ind w:right="91"/>
              <w:jc w:val="right"/>
              <w:rPr>
                <w:b/>
                <w:sz w:val="20"/>
              </w:rPr>
            </w:pPr>
            <w:r>
              <w:rPr>
                <w:b/>
                <w:spacing w:val="-2"/>
                <w:sz w:val="20"/>
              </w:rPr>
              <w:t>28,318</w:t>
            </w:r>
          </w:p>
        </w:tc>
        <w:tc>
          <w:tcPr>
            <w:tcW w:w="1103" w:type="dxa"/>
            <w:tcBorders>
              <w:top w:val="single" w:sz="12" w:space="0" w:color="000000"/>
              <w:left w:val="nil"/>
              <w:bottom w:val="single" w:sz="12" w:space="0" w:color="000000"/>
              <w:right w:val="nil"/>
            </w:tcBorders>
          </w:tcPr>
          <w:p>
            <w:pPr>
              <w:pStyle w:val="TableParagraph"/>
              <w:spacing w:before="9"/>
              <w:rPr>
                <w:b/>
                <w:sz w:val="17"/>
              </w:rPr>
            </w:pPr>
          </w:p>
          <w:p>
            <w:pPr>
              <w:pStyle w:val="TableParagraph"/>
              <w:spacing w:before="1"/>
              <w:ind w:right="89"/>
              <w:jc w:val="right"/>
              <w:rPr>
                <w:b/>
                <w:sz w:val="20"/>
              </w:rPr>
            </w:pPr>
            <w:r>
              <w:rPr>
                <w:b/>
                <w:spacing w:val="-2"/>
                <w:sz w:val="20"/>
              </w:rPr>
              <w:t>6,556</w:t>
            </w:r>
          </w:p>
        </w:tc>
        <w:tc>
          <w:tcPr>
            <w:tcW w:w="1302" w:type="dxa"/>
            <w:tcBorders>
              <w:top w:val="single" w:sz="12" w:space="0" w:color="000000"/>
              <w:left w:val="nil"/>
              <w:bottom w:val="single" w:sz="12" w:space="0" w:color="000000"/>
              <w:right w:val="single" w:sz="12" w:space="0" w:color="000000"/>
            </w:tcBorders>
          </w:tcPr>
          <w:p>
            <w:pPr>
              <w:pStyle w:val="TableParagraph"/>
              <w:spacing w:before="9"/>
              <w:rPr>
                <w:b/>
                <w:sz w:val="17"/>
              </w:rPr>
            </w:pPr>
          </w:p>
          <w:p>
            <w:pPr>
              <w:pStyle w:val="TableParagraph"/>
              <w:spacing w:before="1"/>
              <w:ind w:right="74"/>
              <w:jc w:val="right"/>
              <w:rPr>
                <w:b/>
                <w:sz w:val="20"/>
              </w:rPr>
            </w:pPr>
            <w:r>
              <w:rPr>
                <w:b/>
                <w:spacing w:val="-2"/>
                <w:sz w:val="20"/>
              </w:rPr>
              <w:t>30,611</w:t>
            </w:r>
          </w:p>
        </w:tc>
        <w:tc>
          <w:tcPr>
            <w:tcW w:w="1146" w:type="dxa"/>
            <w:tcBorders>
              <w:top w:val="single" w:sz="12" w:space="0" w:color="000000"/>
              <w:left w:val="single" w:sz="12" w:space="0" w:color="000000"/>
              <w:bottom w:val="single" w:sz="12" w:space="0" w:color="000000"/>
              <w:right w:val="single" w:sz="12" w:space="0" w:color="000000"/>
            </w:tcBorders>
          </w:tcPr>
          <w:p>
            <w:pPr>
              <w:pStyle w:val="TableParagraph"/>
              <w:spacing w:before="9"/>
              <w:rPr>
                <w:b/>
                <w:sz w:val="17"/>
              </w:rPr>
            </w:pPr>
          </w:p>
          <w:p>
            <w:pPr>
              <w:pStyle w:val="TableParagraph"/>
              <w:spacing w:before="1"/>
              <w:ind w:right="73"/>
              <w:jc w:val="right"/>
              <w:rPr>
                <w:b/>
                <w:sz w:val="20"/>
              </w:rPr>
            </w:pPr>
            <w:r>
              <w:rPr>
                <w:b/>
                <w:spacing w:val="-2"/>
                <w:sz w:val="20"/>
              </w:rPr>
              <w:t>42,103</w:t>
            </w:r>
          </w:p>
        </w:tc>
        <w:tc>
          <w:tcPr>
            <w:tcW w:w="1232" w:type="dxa"/>
            <w:tcBorders>
              <w:top w:val="single" w:sz="12" w:space="0" w:color="000000"/>
              <w:left w:val="single" w:sz="12" w:space="0" w:color="000000"/>
              <w:bottom w:val="single" w:sz="12" w:space="0" w:color="000000"/>
              <w:right w:val="single" w:sz="12" w:space="0" w:color="000000"/>
            </w:tcBorders>
          </w:tcPr>
          <w:p>
            <w:pPr>
              <w:pStyle w:val="TableParagraph"/>
              <w:spacing w:before="9"/>
              <w:rPr>
                <w:b/>
                <w:sz w:val="17"/>
              </w:rPr>
            </w:pPr>
          </w:p>
          <w:p>
            <w:pPr>
              <w:pStyle w:val="TableParagraph"/>
              <w:spacing w:before="1"/>
              <w:ind w:right="71"/>
              <w:jc w:val="right"/>
              <w:rPr>
                <w:b/>
                <w:sz w:val="20"/>
              </w:rPr>
            </w:pPr>
            <w:r>
              <w:rPr>
                <w:b/>
                <w:spacing w:val="-2"/>
                <w:sz w:val="20"/>
              </w:rPr>
              <w:t>53,190</w:t>
            </w:r>
          </w:p>
        </w:tc>
        <w:tc>
          <w:tcPr>
            <w:tcW w:w="1294" w:type="dxa"/>
            <w:tcBorders>
              <w:top w:val="single" w:sz="12" w:space="0" w:color="000000"/>
              <w:left w:val="single" w:sz="12" w:space="0" w:color="000000"/>
              <w:bottom w:val="single" w:sz="12" w:space="0" w:color="000000"/>
              <w:right w:val="single" w:sz="12" w:space="0" w:color="000000"/>
            </w:tcBorders>
          </w:tcPr>
          <w:p>
            <w:pPr>
              <w:pStyle w:val="TableParagraph"/>
              <w:spacing w:before="9"/>
              <w:rPr>
                <w:b/>
                <w:sz w:val="17"/>
              </w:rPr>
            </w:pPr>
          </w:p>
          <w:p>
            <w:pPr>
              <w:pStyle w:val="TableParagraph"/>
              <w:spacing w:before="1"/>
              <w:ind w:right="69"/>
              <w:jc w:val="right"/>
              <w:rPr>
                <w:b/>
                <w:sz w:val="20"/>
              </w:rPr>
            </w:pPr>
            <w:r>
              <w:rPr>
                <w:b/>
                <w:spacing w:val="-2"/>
                <w:sz w:val="20"/>
              </w:rPr>
              <w:t>67,709</w:t>
            </w:r>
          </w:p>
        </w:tc>
      </w:tr>
    </w:tbl>
    <w:p>
      <w:pPr>
        <w:rPr>
          <w:sz w:val="2"/>
          <w:szCs w:val="2"/>
        </w:rPr>
      </w:pPr>
      <w:r>
        <w:rPr/>
        <w:pict>
          <v:shape style="position:absolute;margin-left:254.280014pt;margin-top:134.399979pt;width:.5pt;height:25pt;mso-position-horizontal-relative:page;mso-position-vertical-relative:page;z-index:-37801984" id="docshape909" coordorigin="5086,2688" coordsize="10,500" path="m5095,3149l5086,3149,5086,3187,5095,3187,5095,3149xm5095,3072l5086,3072,5086,3110,5095,3110,5095,3072xm5095,2995l5086,2995,5086,3034,5095,3034,5095,2995xm5095,2918l5086,2918,5086,2957,5095,2957,5095,2918xm5095,2842l5086,2842,5086,2880,5095,2880,5095,2842xm5095,2765l5086,2765,5086,2803,5095,2803,5095,2765xm5095,2688l5086,2688,5086,2726,5095,2726,5095,2688xe" filled="true" fillcolor="#000000" stroked="false">
            <v:path arrowok="t"/>
            <v:fill type="solid"/>
            <w10:wrap type="none"/>
          </v:shape>
        </w:pict>
      </w:r>
      <w:r>
        <w:rPr/>
        <w:pict>
          <v:shape style="position:absolute;margin-left:321.960022pt;margin-top:134.399979pt;width:.5pt;height:25pt;mso-position-horizontal-relative:page;mso-position-vertical-relative:page;z-index:-37801472" id="docshape910" coordorigin="6439,2688" coordsize="10,500" path="m6449,3149l6439,3149,6439,3187,6449,3187,6449,3149xm6449,3072l6439,3072,6439,3110,6449,3110,6449,3072xm6449,2995l6439,2995,6439,3034,6449,3034,6449,2995xm6449,2918l6439,2918,6439,2957,6449,2957,6449,2918xm6449,2842l6439,2842,6439,2880,6449,2880,6449,2842xm6449,2765l6439,2765,6439,2803,6449,2803,6449,2765xm6449,2688l6439,2688,6439,2726,6449,2726,6449,2688xe" filled="true" fillcolor="#000000" stroked="false">
            <v:path arrowok="t"/>
            <v:fill type="solid"/>
            <w10:wrap type="none"/>
          </v:shape>
        </w:pict>
      </w:r>
      <w:r>
        <w:rPr/>
        <w:pict>
          <v:shape style="position:absolute;margin-left:389.640015pt;margin-top:134.399979pt;width:.5pt;height:25pt;mso-position-horizontal-relative:page;mso-position-vertical-relative:page;z-index:-37800960" id="docshape911" coordorigin="7793,2688" coordsize="10,500" path="m7802,3149l7793,3149,7793,3187,7802,3187,7802,3149xm7802,3072l7793,3072,7793,3110,7802,3110,7802,3072xm7802,2995l7793,2995,7793,3034,7802,3034,7802,2995xm7802,2918l7793,2918,7793,2957,7802,2957,7802,2918xm7802,2842l7793,2842,7793,2880,7802,2880,7802,2842xm7802,2765l7793,2765,7793,2803,7802,2803,7802,2765xm7802,2688l7793,2688,7793,2726,7802,2726,7802,2688xe" filled="true" fillcolor="#000000" stroked="false">
            <v:path arrowok="t"/>
            <v:fill type="solid"/>
            <w10:wrap type="none"/>
          </v:shape>
        </w:pict>
      </w:r>
      <w:r>
        <w:rPr/>
        <w:pict>
          <v:shape style="position:absolute;margin-left:435.720032pt;margin-top:134.399979pt;width:.5pt;height:25pt;mso-position-horizontal-relative:page;mso-position-vertical-relative:page;z-index:-37800448" id="docshape912" coordorigin="8714,2688" coordsize="10,500" path="m8724,3149l8714,3149,8714,3187,8724,3187,8724,3149xm8724,3072l8714,3072,8714,3110,8724,3110,8724,3072xm8724,2995l8714,2995,8714,3034,8724,3034,8724,2995xm8724,2918l8714,2918,8714,2957,8724,2957,8724,2918xm8724,2842l8714,2842,8714,2880,8724,2880,8724,2842xm8724,2765l8714,2765,8714,2803,8724,2803,8724,2765xm8724,2688l8714,2688,8714,2726,8724,2726,8724,2688xe" filled="true" fillcolor="#000000" stroked="false">
            <v:path arrowok="t"/>
            <v:fill type="solid"/>
            <w10:wrap type="none"/>
          </v:shape>
        </w:pict>
      </w:r>
      <w:r>
        <w:rPr/>
        <w:pict>
          <v:shape style="position:absolute;margin-left:500.76001pt;margin-top:134.399979pt;width:.5pt;height:25pt;mso-position-horizontal-relative:page;mso-position-vertical-relative:page;z-index:-37799936" id="docshape913" coordorigin="10015,2688" coordsize="10,500" path="m10025,3149l10015,3149,10015,3187,10025,3187,10025,3149xm10025,3072l10015,3072,10015,3110,10025,3110,10025,3072xm10025,2995l10015,2995,10015,3034,10025,3034,10025,2995xm10025,2918l10015,2918,10015,2957,10025,2957,10025,2918xm10025,2842l10015,2842,10015,2880,10025,2880,10025,2842xm10025,2765l10015,2765,10015,2803,10025,2803,10025,2765xm10025,2688l10015,2688,10015,2726,10025,2726,10025,2688xe" filled="true" fillcolor="#000000" stroked="false">
            <v:path arrowok="t"/>
            <v:fill type="solid"/>
            <w10:wrap type="none"/>
          </v:shape>
        </w:pict>
      </w:r>
      <w:r>
        <w:rPr/>
        <w:pict>
          <v:shape style="position:absolute;margin-left:555.960022pt;margin-top:134.399979pt;width:.5pt;height:25pt;mso-position-horizontal-relative:page;mso-position-vertical-relative:page;z-index:-37799424" id="docshape914" coordorigin="11119,2688" coordsize="10,500" path="m11129,3149l11119,3149,11119,3187,11129,3187,11129,3149xm11129,3072l11119,3072,11119,3110,11129,3110,11129,3072xm11129,2995l11119,2995,11119,3034,11129,3034,11129,2995xm11129,2918l11119,2918,11119,2957,11129,2957,11129,2918xm11129,2842l11119,2842,11119,2880,11129,2880,11129,2842xm11129,2765l11119,2765,11119,2803,11129,2803,11129,2765xm11129,2688l11119,2688,11119,2726,11129,2726,11129,2688xe" filled="true" fillcolor="#000000" stroked="false">
            <v:path arrowok="t"/>
            <v:fill type="solid"/>
            <w10:wrap type="none"/>
          </v:shape>
        </w:pict>
      </w:r>
      <w:r>
        <w:rPr/>
        <w:pict>
          <v:shape style="position:absolute;margin-left:254.280014pt;margin-top:191.999985pt;width:.5pt;height:17.3pt;mso-position-horizontal-relative:page;mso-position-vertical-relative:page;z-index:-37798912" id="docshape915" coordorigin="5086,3840" coordsize="10,346" path="m5095,4147l5086,4147,5086,4186,5095,4186,5095,4147xm5095,4070l5086,4070,5086,4109,5095,4109,5095,4070xm5095,3994l5086,3994,5086,4032,5095,4032,5095,3994xm5095,3917l5086,3917,5086,3955,5095,3955,5095,3917xm5095,3840l5086,3840,5086,3878,5095,3878,5095,3840xe" filled="true" fillcolor="#000000" stroked="false">
            <v:path arrowok="t"/>
            <v:fill type="solid"/>
            <w10:wrap type="none"/>
          </v:shape>
        </w:pict>
      </w:r>
      <w:r>
        <w:rPr/>
        <w:pict>
          <v:shape style="position:absolute;margin-left:500.76001pt;margin-top:191.999985pt;width:.5pt;height:17.3pt;mso-position-horizontal-relative:page;mso-position-vertical-relative:page;z-index:-37798400" id="docshape916" coordorigin="10015,3840" coordsize="10,346" path="m10025,4147l10015,4147,10015,4186,10025,4186,10025,4147xm10025,4070l10015,4070,10015,4109,10025,4109,10025,4070xm10025,3994l10015,3994,10015,4032,10025,4032,10025,3994xm10025,3917l10015,3917,10015,3955,10025,3955,10025,3917xm10025,3840l10015,3840,10015,3878,10025,3878,10025,3840xe" filled="true" fillcolor="#000000" stroked="false">
            <v:path arrowok="t"/>
            <v:fill type="solid"/>
            <w10:wrap type="none"/>
          </v:shape>
        </w:pict>
      </w:r>
      <w:r>
        <w:rPr/>
        <w:pict>
          <v:shape style="position:absolute;margin-left:254.280014pt;margin-top:215.040985pt;width:.5pt;height:5.8pt;mso-position-horizontal-relative:page;mso-position-vertical-relative:page;z-index:-37797888" id="docshape917" coordorigin="5086,4301" coordsize="10,116" path="m5095,4378l5086,4378,5086,4416,5095,4416,5095,4378xm5095,4301l5086,4301,5086,4339,5095,4339,5095,4301xe" filled="true" fillcolor="#000000" stroked="false">
            <v:path arrowok="t"/>
            <v:fill type="solid"/>
            <w10:wrap type="none"/>
          </v:shape>
        </w:pict>
      </w:r>
      <w:r>
        <w:rPr/>
        <w:pict>
          <v:shape style="position:absolute;margin-left:500.76001pt;margin-top:215.040985pt;width:.5pt;height:5.8pt;mso-position-horizontal-relative:page;mso-position-vertical-relative:page;z-index:-37797376" id="docshape918" coordorigin="10015,4301" coordsize="10,116" path="m10025,4378l10015,4378,10015,4416,10025,4416,10025,4378xm10025,4301l10015,4301,10015,4339,10025,4339,10025,4301xe" filled="true" fillcolor="#000000" stroked="false">
            <v:path arrowok="t"/>
            <v:fill type="solid"/>
            <w10:wrap type="none"/>
          </v:shape>
        </w:pict>
      </w:r>
      <w:r>
        <w:rPr/>
        <w:pict>
          <v:shape style="position:absolute;margin-left:254.280014pt;margin-top:230.400986pt;width:.5pt;height:13.45pt;mso-position-horizontal-relative:page;mso-position-vertical-relative:page;z-index:-37796864" id="docshape919" coordorigin="5086,4608" coordsize="10,269" path="m5095,4838l5086,4838,5086,4877,5095,4877,5095,4838xm5095,4762l5086,4762,5086,4800,5095,4800,5095,4762xm5095,4685l5086,4685,5086,4723,5095,4723,5095,4685xm5095,4608l5086,4608,5086,4646,5095,4646,5095,4608xe" filled="true" fillcolor="#000000" stroked="false">
            <v:path arrowok="t"/>
            <v:fill type="solid"/>
            <w10:wrap type="none"/>
          </v:shape>
        </w:pict>
      </w:r>
      <w:r>
        <w:rPr/>
        <w:pict>
          <v:shape style="position:absolute;margin-left:254.280014pt;margin-top:249.599991pt;width:.5pt;height:5.8pt;mso-position-horizontal-relative:page;mso-position-vertical-relative:page;z-index:-37796352" id="docshape920" coordorigin="5086,4992" coordsize="10,116" path="m5095,5069l5086,5069,5086,5107,5095,5107,5095,5069xm5095,4992l5086,4992,5086,5030,5095,5030,5095,4992xe" filled="true" fillcolor="#000000" stroked="false">
            <v:path arrowok="t"/>
            <v:fill type="solid"/>
            <w10:wrap type="none"/>
          </v:shape>
        </w:pict>
      </w:r>
      <w:r>
        <w:rPr/>
        <w:pict>
          <v:shape style="position:absolute;margin-left:254.280014pt;margin-top:261.121002pt;width:.5pt;height:32.65pt;mso-position-horizontal-relative:page;mso-position-vertical-relative:page;z-index:-37795840" id="docshape921" coordorigin="5086,5222" coordsize="10,653" path="m5095,5837l5086,5837,5086,5875,5095,5875,5095,5837xm5095,5760l5086,5760,5086,5798,5095,5798,5095,5760xm5095,5683l5086,5683,5086,5722,5095,5722,5095,5683xm5095,5606l5086,5606,5086,5645,5095,5645,5095,5606xm5095,5530l5086,5530,5086,5568,5095,5568,5095,5530xm5095,5453l5086,5453,5086,5491,5095,5491,5095,5453xm5095,5376l5086,5376,5086,5414,5095,5414,5095,5376xm5095,5299l5086,5299,5086,5338,5095,5338,5095,5299xm5095,5222l5086,5222,5086,5261,5095,5261,5095,5222xe" filled="true" fillcolor="#000000" stroked="false">
            <v:path arrowok="t"/>
            <v:fill type="solid"/>
            <w10:wrap type="none"/>
          </v:shape>
        </w:pict>
      </w:r>
      <w:r>
        <w:rPr/>
        <w:pict>
          <v:shape style="position:absolute;margin-left:321.960022pt;margin-top:261.121002pt;width:.5pt;height:32.65pt;mso-position-horizontal-relative:page;mso-position-vertical-relative:page;z-index:-37795328" id="docshape922" coordorigin="6439,5222" coordsize="10,653" path="m6449,5837l6439,5837,6439,5875,6449,5875,6449,5837xm6449,5760l6439,5760,6439,5798,6449,5798,6449,5760xm6449,5683l6439,5683,6439,5722,6449,5722,6449,5683xm6449,5606l6439,5606,6439,5645,6449,5645,6449,5606xm6449,5530l6439,5530,6439,5568,6449,5568,6449,5530xm6449,5453l6439,5453,6439,5491,6449,5491,6449,5453xm6449,5376l6439,5376,6439,5414,6449,5414,6449,5376xm6449,5299l6439,5299,6439,5338,6449,5338,6449,5299xm6449,5222l6439,5222,6439,5261,6449,5261,6449,5222xe" filled="true" fillcolor="#000000" stroked="false">
            <v:path arrowok="t"/>
            <v:fill type="solid"/>
            <w10:wrap type="none"/>
          </v:shape>
        </w:pict>
      </w:r>
      <w:r>
        <w:rPr/>
        <w:pict>
          <v:shape style="position:absolute;margin-left:389.640015pt;margin-top:261.121002pt;width:.5pt;height:32.65pt;mso-position-horizontal-relative:page;mso-position-vertical-relative:page;z-index:-37794816" id="docshape923" coordorigin="7793,5222" coordsize="10,653" path="m7802,5837l7793,5837,7793,5875,7802,5875,7802,5837xm7802,5760l7793,5760,7793,5798,7802,5798,7802,5760xm7802,5683l7793,5683,7793,5722,7802,5722,7802,5683xm7802,5606l7793,5606,7793,5645,7802,5645,7802,5606xm7802,5530l7793,5530,7793,5568,7802,5568,7802,5530xm7802,5453l7793,5453,7793,5491,7802,5491,7802,5453xm7802,5376l7793,5376,7793,5414,7802,5414,7802,5376xm7802,5299l7793,5299,7793,5338,7802,5338,7802,5299xm7802,5222l7793,5222,7793,5261,7802,5261,7802,5222xe" filled="true" fillcolor="#000000" stroked="false">
            <v:path arrowok="t"/>
            <v:fill type="solid"/>
            <w10:wrap type="none"/>
          </v:shape>
        </w:pict>
      </w:r>
      <w:r>
        <w:rPr/>
        <w:pict>
          <v:shape style="position:absolute;margin-left:435.720032pt;margin-top:261.121002pt;width:.5pt;height:32.65pt;mso-position-horizontal-relative:page;mso-position-vertical-relative:page;z-index:-37794304" id="docshape924" coordorigin="8714,5222" coordsize="10,653" path="m8724,5837l8714,5837,8714,5875,8724,5875,8724,5837xm8724,5760l8714,5760,8714,5798,8724,5798,8724,5760xm8724,5683l8714,5683,8714,5722,8724,5722,8724,5683xm8724,5606l8714,5606,8714,5645,8724,5645,8724,5606xm8724,5530l8714,5530,8714,5568,8724,5568,8724,5530xm8724,5453l8714,5453,8714,5491,8724,5491,8724,5453xm8724,5376l8714,5376,8714,5414,8724,5414,8724,5376xm8724,5299l8714,5299,8714,5338,8724,5338,8724,5299xm8724,5222l8714,5222,8714,5261,8724,5261,8724,5222xe" filled="true" fillcolor="#000000" stroked="false">
            <v:path arrowok="t"/>
            <v:fill type="solid"/>
            <w10:wrap type="none"/>
          </v:shape>
        </w:pict>
      </w:r>
      <w:r>
        <w:rPr/>
        <w:pict>
          <v:shape style="position:absolute;margin-left:500.76001pt;margin-top:261.121002pt;width:.5pt;height:32.65pt;mso-position-horizontal-relative:page;mso-position-vertical-relative:page;z-index:-37793792" id="docshape925" coordorigin="10015,5222" coordsize="10,653" path="m10025,5837l10015,5837,10015,5875,10025,5875,10025,5837xm10025,5760l10015,5760,10015,5798,10025,5798,10025,5760xm10025,5683l10015,5683,10015,5722,10025,5722,10025,5683xm10025,5606l10015,5606,10015,5645,10025,5645,10025,5606xm10025,5530l10015,5530,10015,5568,10025,5568,10025,5530xm10025,5453l10015,5453,10015,5491,10025,5491,10025,5453xm10025,5376l10015,5376,10015,5414,10025,5414,10025,5376xm10025,5299l10015,5299,10015,5338,10025,5338,10025,5299xm10025,5222l10015,5222,10015,5261,10025,5261,10025,5222xe" filled="true" fillcolor="#000000" stroked="false">
            <v:path arrowok="t"/>
            <v:fill type="solid"/>
            <w10:wrap type="none"/>
          </v:shape>
        </w:pict>
      </w:r>
      <w:r>
        <w:rPr/>
        <w:pict>
          <v:shape style="position:absolute;margin-left:555.960022pt;margin-top:261.121002pt;width:.5pt;height:32.65pt;mso-position-horizontal-relative:page;mso-position-vertical-relative:page;z-index:-37793280" id="docshape926" coordorigin="11119,5222" coordsize="10,653" path="m11129,5837l11119,5837,11119,5875,11129,5875,11129,5837xm11129,5760l11119,5760,11119,5798,11129,5798,11129,5760xm11129,5683l11119,5683,11119,5722,11129,5722,11129,5683xm11129,5606l11119,5606,11119,5645,11129,5645,11129,5606xm11129,5530l11119,5530,11119,5568,11129,5568,11129,5530xm11129,5453l11119,5453,11119,5491,11129,5491,11129,5453xm11129,5376l11119,5376,11119,5414,11129,5414,11129,5376xm11129,5299l11119,5299,11119,5338,11129,5338,11129,5299xm11129,5222l11119,5222,11119,5261,11129,5261,11129,5222xe" filled="true" fillcolor="#000000" stroked="false">
            <v:path arrowok="t"/>
            <v:fill type="solid"/>
            <w10:wrap type="none"/>
          </v:shape>
        </w:pict>
      </w:r>
      <w:r>
        <w:rPr/>
        <w:pict>
          <v:shape style="position:absolute;margin-left:254.280014pt;margin-top:326.401001pt;width:.5pt;height:13.45pt;mso-position-horizontal-relative:page;mso-position-vertical-relative:page;z-index:-37792768" id="docshape927" coordorigin="5086,6528" coordsize="10,269" path="m5095,6758l5086,6758,5086,6797,5095,6797,5095,6758xm5095,6682l5086,6682,5086,6720,5095,6720,5095,6682xm5095,6605l5086,6605,5086,6643,5095,6643,5095,6605xm5095,6528l5086,6528,5086,6566,5095,6566,5095,6528xe" filled="true" fillcolor="#000000" stroked="false">
            <v:path arrowok="t"/>
            <v:fill type="solid"/>
            <w10:wrap type="none"/>
          </v:shape>
        </w:pict>
      </w:r>
      <w:r>
        <w:rPr/>
        <w:pict>
          <v:shape style="position:absolute;margin-left:435.720032pt;margin-top:326.401001pt;width:.5pt;height:13.45pt;mso-position-horizontal-relative:page;mso-position-vertical-relative:page;z-index:-37792256" id="docshape928" coordorigin="8714,6528" coordsize="10,269" path="m8724,6758l8714,6758,8714,6797,8724,6797,8724,6758xm8724,6682l8714,6682,8714,6720,8724,6720,8724,6682xm8724,6605l8714,6605,8714,6643,8724,6643,8724,6605xm8724,6528l8714,6528,8714,6566,8724,6566,8724,6528xe" filled="true" fillcolor="#000000" stroked="false">
            <v:path arrowok="t"/>
            <v:fill type="solid"/>
            <w10:wrap type="none"/>
          </v:shape>
        </w:pict>
      </w:r>
      <w:r>
        <w:rPr/>
        <w:pict>
          <v:shape style="position:absolute;margin-left:254.280014pt;margin-top:410.881012pt;width:.5pt;height:17.3pt;mso-position-horizontal-relative:page;mso-position-vertical-relative:page;z-index:-37791744" id="docshape929" coordorigin="5086,8218" coordsize="10,346" path="m5095,8525l5086,8525,5086,8563,5095,8563,5095,8525xm5095,8448l5086,8448,5086,8486,5095,8486,5095,8448xm5095,8371l5086,8371,5086,8410,5095,8410,5095,8371xm5095,8294l5086,8294,5086,8333,5095,8333,5095,8294xm5095,8218l5086,8218,5086,8256,5095,8256,5095,8218xe" filled="true" fillcolor="#000000" stroked="false">
            <v:path arrowok="t"/>
            <v:fill type="solid"/>
            <w10:wrap type="none"/>
          </v:shape>
        </w:pict>
      </w:r>
      <w:r>
        <w:rPr/>
        <w:pict>
          <v:shape style="position:absolute;margin-left:500.76001pt;margin-top:410.881012pt;width:.5pt;height:17.3pt;mso-position-horizontal-relative:page;mso-position-vertical-relative:page;z-index:-37791232" id="docshape930" coordorigin="10015,8218" coordsize="10,346" path="m10025,8525l10015,8525,10015,8563,10025,8563,10025,8525xm10025,8448l10015,8448,10015,8486,10025,8486,10025,8448xm10025,8371l10015,8371,10015,8410,10025,8410,10025,8371xm10025,8294l10015,8294,10015,8333,10025,8333,10025,8294xm10025,8218l10015,8218,10015,8256,10025,8256,10025,8218xe" filled="true" fillcolor="#000000" stroked="false">
            <v:path arrowok="t"/>
            <v:fill type="solid"/>
            <w10:wrap type="none"/>
          </v:shape>
        </w:pict>
      </w:r>
      <w:r>
        <w:rPr/>
        <w:pict>
          <v:shape style="position:absolute;margin-left:555.960022pt;margin-top:410.881012pt;width:.5pt;height:17.3pt;mso-position-horizontal-relative:page;mso-position-vertical-relative:page;z-index:-37790720" id="docshape931" coordorigin="11119,8218" coordsize="10,346" path="m11129,8525l11119,8525,11119,8563,11129,8563,11129,8525xm11129,8448l11119,8448,11119,8486,11129,8486,11129,8448xm11129,8371l11119,8371,11119,8410,11129,8410,11129,8371xm11129,8294l11119,8294,11119,8333,11129,8333,11129,8294xm11129,8218l11119,8218,11119,8256,11129,8256,11129,8218xe" filled="true" fillcolor="#000000" stroked="false">
            <v:path arrowok="t"/>
            <v:fill type="solid"/>
            <w10:wrap type="none"/>
          </v:shape>
        </w:pict>
      </w:r>
      <w:r>
        <w:rPr/>
        <w:pict>
          <v:shape style="position:absolute;margin-left:254.280014pt;margin-top:449.279999pt;width:.5pt;height:17.3pt;mso-position-horizontal-relative:page;mso-position-vertical-relative:page;z-index:-37790208" id="docshape932" coordorigin="5086,8986" coordsize="10,346" path="m5095,9293l5086,9293,5086,9331,5095,9331,5095,9293xm5095,9216l5086,9216,5086,9254,5095,9254,5095,9216xm5095,9139l5086,9139,5086,9178,5095,9178,5095,9139xm5095,9062l5086,9062,5086,9101,5095,9101,5095,9062xm5095,8986l5086,8986,5086,9024,5095,9024,5095,8986xe" filled="true" fillcolor="#000000" stroked="false">
            <v:path arrowok="t"/>
            <v:fill type="solid"/>
            <w10:wrap type="none"/>
          </v:shape>
        </w:pict>
      </w:r>
      <w:r>
        <w:rPr/>
        <w:pict>
          <v:shape style="position:absolute;margin-left:321.960022pt;margin-top:449.279999pt;width:.5pt;height:17.3pt;mso-position-horizontal-relative:page;mso-position-vertical-relative:page;z-index:-37789696" id="docshape933" coordorigin="6439,8986" coordsize="10,346" path="m6449,9293l6439,9293,6439,9331,6449,9331,6449,9293xm6449,9216l6439,9216,6439,9254,6449,9254,6449,9216xm6449,9139l6439,9139,6439,9178,6449,9178,6449,9139xm6449,9062l6439,9062,6439,9101,6449,9101,6449,9062xm6449,8986l6439,8986,6439,9024,6449,9024,6449,8986xe" filled="true" fillcolor="#000000" stroked="false">
            <v:path arrowok="t"/>
            <v:fill type="solid"/>
            <w10:wrap type="none"/>
          </v:shape>
        </w:pict>
      </w:r>
      <w:r>
        <w:rPr/>
        <w:pict>
          <v:shape style="position:absolute;margin-left:389.640015pt;margin-top:449.279999pt;width:.5pt;height:17.3pt;mso-position-horizontal-relative:page;mso-position-vertical-relative:page;z-index:-37789184" id="docshape934" coordorigin="7793,8986" coordsize="10,346" path="m7802,9293l7793,9293,7793,9331,7802,9331,7802,9293xm7802,9216l7793,9216,7793,9254,7802,9254,7802,9216xm7802,9139l7793,9139,7793,9178,7802,9178,7802,9139xm7802,9062l7793,9062,7793,9101,7802,9101,7802,9062xm7802,8986l7793,8986,7793,9024,7802,9024,7802,8986xe" filled="true" fillcolor="#000000" stroked="false">
            <v:path arrowok="t"/>
            <v:fill type="solid"/>
            <w10:wrap type="none"/>
          </v:shape>
        </w:pict>
      </w:r>
      <w:r>
        <w:rPr/>
        <w:pict>
          <v:shape style="position:absolute;margin-left:435.720032pt;margin-top:449.279999pt;width:.5pt;height:17.3pt;mso-position-horizontal-relative:page;mso-position-vertical-relative:page;z-index:-37788672" id="docshape935" coordorigin="8714,8986" coordsize="10,346" path="m8724,9293l8714,9293,8714,9331,8724,9331,8724,9293xm8724,9216l8714,9216,8714,9254,8724,9254,8724,9216xm8724,9139l8714,9139,8714,9178,8724,9178,8724,9139xm8724,9062l8714,9062,8714,9101,8724,9101,8724,9062xm8724,8986l8714,8986,8714,9024,8724,9024,8724,8986xe" filled="true" fillcolor="#000000" stroked="false">
            <v:path arrowok="t"/>
            <v:fill type="solid"/>
            <w10:wrap type="none"/>
          </v:shape>
        </w:pict>
      </w:r>
      <w:r>
        <w:rPr/>
        <w:pict>
          <v:shape style="position:absolute;margin-left:500.76001pt;margin-top:449.279999pt;width:.5pt;height:17.3pt;mso-position-horizontal-relative:page;mso-position-vertical-relative:page;z-index:-37788160" id="docshape936" coordorigin="10015,8986" coordsize="10,346" path="m10025,9293l10015,9293,10015,9331,10025,9331,10025,9293xm10025,9216l10015,9216,10015,9254,10025,9254,10025,9216xm10025,9139l10015,9139,10015,9178,10025,9178,10025,9139xm10025,9062l10015,9062,10015,9101,10025,9101,10025,9062xm10025,8986l10015,8986,10015,9024,10025,9024,10025,8986xe" filled="true" fillcolor="#000000" stroked="false">
            <v:path arrowok="t"/>
            <v:fill type="solid"/>
            <w10:wrap type="none"/>
          </v:shape>
        </w:pict>
      </w:r>
      <w:r>
        <w:rPr/>
        <w:pict>
          <v:shape style="position:absolute;margin-left:555.960022pt;margin-top:449.279999pt;width:.5pt;height:17.3pt;mso-position-horizontal-relative:page;mso-position-vertical-relative:page;z-index:-37787648" id="docshape937" coordorigin="11119,8986" coordsize="10,346" path="m11129,9293l11119,9293,11119,9331,11129,9331,11129,9293xm11129,9216l11119,9216,11119,9254,11129,9254,11129,9216xm11129,9139l11119,9139,11119,9178,11129,9178,11129,9139xm11129,9062l11119,9062,11119,9101,11129,9101,11129,9062xm11129,8986l11119,8986,11119,9024,11129,9024,11129,8986xe" filled="true" fillcolor="#000000" stroked="false">
            <v:path arrowok="t"/>
            <v:fill type="solid"/>
            <w10:wrap type="none"/>
          </v:shape>
        </w:pict>
      </w:r>
      <w:r>
        <w:rPr/>
        <w:pict>
          <v:shape style="position:absolute;margin-left:254.280014pt;margin-top:476.161011pt;width:.5pt;height:25pt;mso-position-horizontal-relative:page;mso-position-vertical-relative:page;z-index:-37787136" id="docshape938" coordorigin="5086,9523" coordsize="10,500" path="m5095,9984l5086,9984,5086,10022,5095,10022,5095,9984xm5095,9907l5086,9907,5086,9946,5095,9946,5095,9907xm5095,9830l5086,9830,5086,9869,5095,9869,5095,9830xm5095,9754l5086,9754,5086,9792,5095,9792,5095,9754xm5095,9677l5086,9677,5086,9715,5095,9715,5095,9677xm5095,9600l5086,9600,5086,9638,5095,9638,5095,9600xm5095,9523l5086,9523,5086,9562,5095,9562,5095,9523xe" filled="true" fillcolor="#000000" stroked="false">
            <v:path arrowok="t"/>
            <v:fill type="solid"/>
            <w10:wrap type="none"/>
          </v:shape>
        </w:pict>
      </w:r>
      <w:r>
        <w:rPr/>
        <w:pict>
          <v:shape style="position:absolute;margin-left:321.960022pt;margin-top:476.161011pt;width:.5pt;height:25pt;mso-position-horizontal-relative:page;mso-position-vertical-relative:page;z-index:-37786624" id="docshape939" coordorigin="6439,9523" coordsize="10,500" path="m6449,9984l6439,9984,6439,10022,6449,10022,6449,9984xm6449,9907l6439,9907,6439,9946,6449,9946,6449,9907xm6449,9830l6439,9830,6439,9869,6449,9869,6449,9830xm6449,9754l6439,9754,6439,9792,6449,9792,6449,9754xm6449,9677l6439,9677,6439,9715,6449,9715,6449,9677xm6449,9600l6439,9600,6439,9638,6449,9638,6449,9600xm6449,9523l6439,9523,6439,9562,6449,9562,6449,9523xe" filled="true" fillcolor="#000000" stroked="false">
            <v:path arrowok="t"/>
            <v:fill type="solid"/>
            <w10:wrap type="none"/>
          </v:shape>
        </w:pict>
      </w:r>
      <w:r>
        <w:rPr/>
        <w:pict>
          <v:shape style="position:absolute;margin-left:389.640015pt;margin-top:476.161011pt;width:.5pt;height:25pt;mso-position-horizontal-relative:page;mso-position-vertical-relative:page;z-index:-37786112" id="docshape940" coordorigin="7793,9523" coordsize="10,500" path="m7802,9984l7793,9984,7793,10022,7802,10022,7802,9984xm7802,9907l7793,9907,7793,9946,7802,9946,7802,9907xm7802,9830l7793,9830,7793,9869,7802,9869,7802,9830xm7802,9754l7793,9754,7793,9792,7802,9792,7802,9754xm7802,9677l7793,9677,7793,9715,7802,9715,7802,9677xm7802,9600l7793,9600,7793,9638,7802,9638,7802,9600xm7802,9523l7793,9523,7793,9562,7802,9562,7802,9523xe" filled="true" fillcolor="#000000" stroked="false">
            <v:path arrowok="t"/>
            <v:fill type="solid"/>
            <w10:wrap type="none"/>
          </v:shape>
        </w:pict>
      </w:r>
      <w:r>
        <w:rPr/>
        <w:pict>
          <v:shape style="position:absolute;margin-left:435.720032pt;margin-top:476.161011pt;width:.5pt;height:25pt;mso-position-horizontal-relative:page;mso-position-vertical-relative:page;z-index:-37785600" id="docshape941" coordorigin="8714,9523" coordsize="10,500" path="m8724,9984l8714,9984,8714,10022,8724,10022,8724,9984xm8724,9907l8714,9907,8714,9946,8724,9946,8724,9907xm8724,9830l8714,9830,8714,9869,8724,9869,8724,9830xm8724,9754l8714,9754,8714,9792,8724,9792,8724,9754xm8724,9677l8714,9677,8714,9715,8724,9715,8724,9677xm8724,9600l8714,9600,8714,9638,8724,9638,8724,9600xm8724,9523l8714,9523,8714,9562,8724,9562,8724,9523xe" filled="true" fillcolor="#000000" stroked="false">
            <v:path arrowok="t"/>
            <v:fill type="solid"/>
            <w10:wrap type="none"/>
          </v:shape>
        </w:pict>
      </w:r>
      <w:r>
        <w:rPr/>
        <w:pict>
          <v:shape style="position:absolute;margin-left:500.76001pt;margin-top:476.161011pt;width:.5pt;height:25pt;mso-position-horizontal-relative:page;mso-position-vertical-relative:page;z-index:-37785088" id="docshape942" coordorigin="10015,9523" coordsize="10,500" path="m10025,9984l10015,9984,10015,10022,10025,10022,10025,9984xm10025,9907l10015,9907,10015,9946,10025,9946,10025,9907xm10025,9830l10015,9830,10015,9869,10025,9869,10025,9830xm10025,9754l10015,9754,10015,9792,10025,9792,10025,9754xm10025,9677l10015,9677,10015,9715,10025,9715,10025,9677xm10025,9600l10015,9600,10015,9638,10025,9638,10025,9600xm10025,9523l10015,9523,10015,9562,10025,9562,10025,9523xe" filled="true" fillcolor="#000000" stroked="false">
            <v:path arrowok="t"/>
            <v:fill type="solid"/>
            <w10:wrap type="none"/>
          </v:shape>
        </w:pict>
      </w:r>
      <w:r>
        <w:rPr/>
        <w:pict>
          <v:shape style="position:absolute;margin-left:555.960022pt;margin-top:476.161011pt;width:.5pt;height:25pt;mso-position-horizontal-relative:page;mso-position-vertical-relative:page;z-index:-37784576" id="docshape943" coordorigin="11119,9523" coordsize="10,500" path="m11129,9984l11119,9984,11119,10022,11129,10022,11129,9984xm11129,9907l11119,9907,11119,9946,11129,9946,11129,9907xm11129,9830l11119,9830,11119,9869,11129,9869,11129,9830xm11129,9754l11119,9754,11119,9792,11129,9792,11129,9754xm11129,9677l11119,9677,11119,9715,11129,9715,11129,9677xm11129,9600l11119,9600,11119,9638,11129,9638,11129,9600xm11129,9523l11119,9523,11119,9562,11129,9562,11129,9523xe" filled="true" fillcolor="#000000" stroked="false">
            <v:path arrowok="t"/>
            <v:fill type="solid"/>
            <w10:wrap type="none"/>
          </v:shape>
        </w:pict>
      </w:r>
      <w:r>
        <w:rPr/>
        <w:pict>
          <v:shape style="position:absolute;margin-left:254.280014pt;margin-top:506.881012pt;width:.5pt;height:28.8pt;mso-position-horizontal-relative:page;mso-position-vertical-relative:page;z-index:-37784064" id="docshape944" coordorigin="5086,10138" coordsize="10,576" path="m5095,10675l5086,10675,5086,10714,5095,10714,5095,10675xm5095,10598l5086,10598,5086,10637,5095,10637,5095,10598xm5095,10522l5086,10522,5086,10560,5095,10560,5095,10522xm5095,10445l5086,10445,5086,10483,5095,10483,5095,10445xm5095,10368l5086,10368,5086,10406,5095,10406,5095,10368xm5095,10291l5086,10291,5086,10330,5095,10330,5095,10291xm5095,10214l5086,10214,5086,10253,5095,10253,5095,10214xm5095,10138l5086,10138,5086,10176,5095,10176,5095,10138xe" filled="true" fillcolor="#000000" stroked="false">
            <v:path arrowok="t"/>
            <v:fill type="solid"/>
            <w10:wrap type="none"/>
          </v:shape>
        </w:pict>
      </w:r>
      <w:r>
        <w:rPr/>
        <w:pict>
          <v:shape style="position:absolute;margin-left:321.960022pt;margin-top:506.881012pt;width:.5pt;height:28.8pt;mso-position-horizontal-relative:page;mso-position-vertical-relative:page;z-index:-37783552" id="docshape945" coordorigin="6439,10138" coordsize="10,576" path="m6449,10675l6439,10675,6439,10714,6449,10714,6449,10675xm6449,10598l6439,10598,6439,10637,6449,10637,6449,10598xm6449,10522l6439,10522,6439,10560,6449,10560,6449,10522xm6449,10445l6439,10445,6439,10483,6449,10483,6449,10445xm6449,10368l6439,10368,6439,10406,6449,10406,6449,10368xm6449,10291l6439,10291,6439,10330,6449,10330,6449,10291xm6449,10214l6439,10214,6439,10253,6449,10253,6449,10214xm6449,10138l6439,10138,6439,10176,6449,10176,6449,10138xe" filled="true" fillcolor="#000000" stroked="false">
            <v:path arrowok="t"/>
            <v:fill type="solid"/>
            <w10:wrap type="none"/>
          </v:shape>
        </w:pict>
      </w:r>
      <w:r>
        <w:rPr/>
        <w:pict>
          <v:shape style="position:absolute;margin-left:389.640015pt;margin-top:506.881012pt;width:.5pt;height:28.8pt;mso-position-horizontal-relative:page;mso-position-vertical-relative:page;z-index:-37783040" id="docshape946" coordorigin="7793,10138" coordsize="10,576" path="m7802,10675l7793,10675,7793,10714,7802,10714,7802,10675xm7802,10598l7793,10598,7793,10637,7802,10637,7802,10598xm7802,10522l7793,10522,7793,10560,7802,10560,7802,10522xm7802,10445l7793,10445,7793,10483,7802,10483,7802,10445xm7802,10368l7793,10368,7793,10406,7802,10406,7802,10368xm7802,10291l7793,10291,7793,10330,7802,10330,7802,10291xm7802,10214l7793,10214,7793,10253,7802,10253,7802,10214xm7802,10138l7793,10138,7793,10176,7802,10176,7802,10138xe" filled="true" fillcolor="#000000" stroked="false">
            <v:path arrowok="t"/>
            <v:fill type="solid"/>
            <w10:wrap type="none"/>
          </v:shape>
        </w:pict>
      </w:r>
      <w:r>
        <w:rPr/>
        <w:pict>
          <v:shape style="position:absolute;margin-left:435.720032pt;margin-top:506.881012pt;width:.5pt;height:28.8pt;mso-position-horizontal-relative:page;mso-position-vertical-relative:page;z-index:-37782528" id="docshape947" coordorigin="8714,10138" coordsize="10,576" path="m8724,10675l8714,10675,8714,10714,8724,10714,8724,10675xm8724,10598l8714,10598,8714,10637,8724,10637,8724,10598xm8724,10522l8714,10522,8714,10560,8724,10560,8724,10522xm8724,10445l8714,10445,8714,10483,8724,10483,8724,10445xm8724,10368l8714,10368,8714,10406,8724,10406,8724,10368xm8724,10291l8714,10291,8714,10330,8724,10330,8724,10291xm8724,10214l8714,10214,8714,10253,8724,10253,8724,10214xm8724,10138l8714,10138,8714,10176,8724,10176,8724,10138xe" filled="true" fillcolor="#000000" stroked="false">
            <v:path arrowok="t"/>
            <v:fill type="solid"/>
            <w10:wrap type="none"/>
          </v:shape>
        </w:pict>
      </w:r>
      <w:r>
        <w:rPr/>
        <w:pict>
          <v:shape style="position:absolute;margin-left:500.76001pt;margin-top:506.881012pt;width:.5pt;height:28.8pt;mso-position-horizontal-relative:page;mso-position-vertical-relative:page;z-index:-37782016" id="docshape948" coordorigin="10015,10138" coordsize="10,576" path="m10025,10675l10015,10675,10015,10714,10025,10714,10025,10675xm10025,10598l10015,10598,10015,10637,10025,10637,10025,10598xm10025,10522l10015,10522,10015,10560,10025,10560,10025,10522xm10025,10445l10015,10445,10015,10483,10025,10483,10025,10445xm10025,10368l10015,10368,10015,10406,10025,10406,10025,10368xm10025,10291l10015,10291,10015,10330,10025,10330,10025,10291xm10025,10214l10015,10214,10015,10253,10025,10253,10025,10214xm10025,10138l10015,10138,10015,10176,10025,10176,10025,10138xe" filled="true" fillcolor="#000000" stroked="false">
            <v:path arrowok="t"/>
            <v:fill type="solid"/>
            <w10:wrap type="none"/>
          </v:shape>
        </w:pict>
      </w:r>
      <w:r>
        <w:rPr/>
        <w:pict>
          <v:shape style="position:absolute;margin-left:555.960022pt;margin-top:506.881012pt;width:.5pt;height:28.8pt;mso-position-horizontal-relative:page;mso-position-vertical-relative:page;z-index:-37781504" id="docshape949" coordorigin="11119,10138" coordsize="10,576" path="m11129,10675l11119,10675,11119,10714,11129,10714,11129,10675xm11129,10598l11119,10598,11119,10637,11129,10637,11129,10598xm11129,10522l11119,10522,11119,10560,11129,10560,11129,10522xm11129,10445l11119,10445,11119,10483,11129,10483,11129,10445xm11129,10368l11119,10368,11119,10406,11129,10406,11129,10368xm11129,10291l11119,10291,11119,10330,11129,10330,11129,10291xm11129,10214l11119,10214,11119,10253,11129,10253,11129,10214xm11129,10138l11119,10138,11119,10176,11129,10176,11129,10138xe" filled="true" fillcolor="#000000" stroked="false">
            <v:path arrowok="t"/>
            <v:fill type="solid"/>
            <w10:wrap type="none"/>
          </v:shape>
        </w:pict>
      </w:r>
    </w:p>
    <w:p>
      <w:pPr>
        <w:spacing w:after="0"/>
        <w:rPr>
          <w:sz w:val="2"/>
          <w:szCs w:val="2"/>
        </w:rPr>
        <w:sectPr>
          <w:pgSz w:w="16840" w:h="11910" w:orient="landscape"/>
          <w:pgMar w:header="0" w:footer="546" w:top="940" w:bottom="740" w:left="600" w:right="120"/>
        </w:sectPr>
      </w:pPr>
    </w:p>
    <w:p>
      <w:pPr>
        <w:pStyle w:val="Heading1"/>
        <w:numPr>
          <w:ilvl w:val="0"/>
          <w:numId w:val="20"/>
        </w:numPr>
        <w:tabs>
          <w:tab w:pos="762" w:val="left" w:leader="none"/>
          <w:tab w:pos="763" w:val="left" w:leader="none"/>
        </w:tabs>
        <w:spacing w:line="240" w:lineRule="auto" w:before="61" w:after="0"/>
        <w:ind w:left="762" w:right="0" w:hanging="643"/>
        <w:jc w:val="left"/>
        <w:rPr>
          <w:color w:val="4966AC"/>
        </w:rPr>
      </w:pPr>
      <w:bookmarkStart w:name="_TOC_250001" w:id="12"/>
      <w:r>
        <w:rPr>
          <w:color w:val="4966AC"/>
        </w:rPr>
        <w:t>Financial</w:t>
      </w:r>
      <w:r>
        <w:rPr>
          <w:color w:val="4966AC"/>
          <w:spacing w:val="-16"/>
        </w:rPr>
        <w:t> </w:t>
      </w:r>
      <w:r>
        <w:rPr>
          <w:color w:val="4966AC"/>
        </w:rPr>
        <w:t>performance</w:t>
      </w:r>
      <w:r>
        <w:rPr>
          <w:color w:val="4966AC"/>
          <w:spacing w:val="-15"/>
        </w:rPr>
        <w:t> </w:t>
      </w:r>
      <w:bookmarkEnd w:id="12"/>
      <w:r>
        <w:rPr>
          <w:color w:val="4966AC"/>
          <w:spacing w:val="-2"/>
        </w:rPr>
        <w:t>indicators</w:t>
      </w:r>
    </w:p>
    <w:p>
      <w:pPr>
        <w:pStyle w:val="Heading4"/>
        <w:spacing w:before="252"/>
        <w:ind w:left="403" w:firstLine="0"/>
      </w:pPr>
      <w:r>
        <w:rPr>
          <w:color w:val="4966AC"/>
        </w:rPr>
        <w:t>5a. Targeted</w:t>
      </w:r>
      <w:r>
        <w:rPr>
          <w:color w:val="4966AC"/>
          <w:spacing w:val="-1"/>
        </w:rPr>
        <w:t> </w:t>
      </w:r>
      <w:r>
        <w:rPr>
          <w:color w:val="4966AC"/>
        </w:rPr>
        <w:t>performance</w:t>
      </w:r>
      <w:r>
        <w:rPr>
          <w:color w:val="4966AC"/>
          <w:spacing w:val="2"/>
        </w:rPr>
        <w:t> </w:t>
      </w:r>
      <w:r>
        <w:rPr>
          <w:color w:val="4966AC"/>
          <w:spacing w:val="-2"/>
        </w:rPr>
        <w:t>indicators</w:t>
      </w:r>
    </w:p>
    <w:p>
      <w:pPr>
        <w:pStyle w:val="BodyText"/>
        <w:spacing w:before="1"/>
        <w:rPr>
          <w:b/>
        </w:rPr>
      </w:pPr>
    </w:p>
    <w:p>
      <w:pPr>
        <w:pStyle w:val="BodyText"/>
        <w:ind w:left="120" w:right="593"/>
        <w:jc w:val="both"/>
      </w:pPr>
      <w:r>
        <w:rPr/>
        <w:t>The following tables highlight Council’s current and projected performance across a selection of targeted service and financial performance indicators. These indicators provide a useful analysis of Council’s intentions and performance and should be interpreted in the context of the organisation’s objectives. The targeted performance indicators below are the prescribed performance indicators contained in Schedule 4 of the Local Government (Planning and Reporting) Regulations 2020. Results against these indicators and targets will be reported in Council’s Performance Statement included in the Annual Report.</w:t>
      </w:r>
    </w:p>
    <w:p>
      <w:pPr>
        <w:pStyle w:val="BodyText"/>
      </w:pPr>
    </w:p>
    <w:p>
      <w:pPr>
        <w:spacing w:before="0"/>
        <w:ind w:left="120" w:right="0" w:firstLine="0"/>
        <w:jc w:val="both"/>
        <w:rPr>
          <w:b/>
          <w:sz w:val="22"/>
        </w:rPr>
      </w:pPr>
      <w:r>
        <w:rPr/>
        <w:pict>
          <v:shape style="position:absolute;margin-left:380.36908pt;margin-top:32.005249pt;width:12.1pt;height:27.1pt;mso-position-horizontal-relative:page;mso-position-vertical-relative:paragraph;z-index:-37780992" type="#_x0000_t202" id="docshape951" filled="false" stroked="false">
            <v:textbox inset="0,0,0,0" style="layout-flow:vertical;mso-layout-flow-alt:bottom-to-top">
              <w:txbxContent>
                <w:p>
                  <w:pPr>
                    <w:spacing w:before="14"/>
                    <w:ind w:left="20" w:right="0" w:firstLine="0"/>
                    <w:jc w:val="left"/>
                    <w:rPr>
                      <w:b/>
                      <w:sz w:val="18"/>
                    </w:rPr>
                  </w:pPr>
                  <w:r>
                    <w:rPr>
                      <w:b/>
                      <w:color w:val="FFFFFF"/>
                      <w:spacing w:val="-2"/>
                      <w:sz w:val="18"/>
                    </w:rPr>
                    <w:t>Notes</w:t>
                  </w:r>
                </w:p>
              </w:txbxContent>
            </v:textbox>
            <w10:wrap type="none"/>
          </v:shape>
        </w:pict>
      </w:r>
      <w:r>
        <w:rPr>
          <w:b/>
          <w:sz w:val="22"/>
        </w:rPr>
        <w:t>Targeted</w:t>
      </w:r>
      <w:r>
        <w:rPr>
          <w:b/>
          <w:spacing w:val="-4"/>
          <w:sz w:val="22"/>
        </w:rPr>
        <w:t> </w:t>
      </w:r>
      <w:r>
        <w:rPr>
          <w:b/>
          <w:sz w:val="22"/>
        </w:rPr>
        <w:t>performance</w:t>
      </w:r>
      <w:r>
        <w:rPr>
          <w:b/>
          <w:spacing w:val="-5"/>
          <w:sz w:val="22"/>
        </w:rPr>
        <w:t> </w:t>
      </w:r>
      <w:r>
        <w:rPr>
          <w:b/>
          <w:sz w:val="22"/>
        </w:rPr>
        <w:t>indicators</w:t>
      </w:r>
      <w:r>
        <w:rPr>
          <w:b/>
          <w:spacing w:val="-6"/>
          <w:sz w:val="22"/>
        </w:rPr>
        <w:t> </w:t>
      </w:r>
      <w:r>
        <w:rPr>
          <w:b/>
          <w:sz w:val="22"/>
        </w:rPr>
        <w:t>-</w:t>
      </w:r>
      <w:r>
        <w:rPr>
          <w:b/>
          <w:spacing w:val="-3"/>
          <w:sz w:val="22"/>
        </w:rPr>
        <w:t> </w:t>
      </w:r>
      <w:r>
        <w:rPr>
          <w:b/>
          <w:spacing w:val="-2"/>
          <w:sz w:val="22"/>
        </w:rPr>
        <w:t>Service</w:t>
      </w:r>
    </w:p>
    <w:p>
      <w:pPr>
        <w:pStyle w:val="BodyText"/>
        <w:rPr>
          <w:b/>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07"/>
        <w:gridCol w:w="3935"/>
        <w:gridCol w:w="651"/>
        <w:gridCol w:w="1312"/>
        <w:gridCol w:w="1074"/>
        <w:gridCol w:w="1274"/>
        <w:gridCol w:w="1377"/>
        <w:gridCol w:w="1161"/>
        <w:gridCol w:w="1156"/>
        <w:gridCol w:w="729"/>
      </w:tblGrid>
      <w:tr>
        <w:trPr>
          <w:trHeight w:val="789" w:hRule="atLeast"/>
        </w:trPr>
        <w:tc>
          <w:tcPr>
            <w:tcW w:w="2807" w:type="dxa"/>
            <w:tcBorders>
              <w:top w:val="single" w:sz="4" w:space="0" w:color="000000"/>
              <w:left w:val="single" w:sz="4" w:space="0" w:color="000000"/>
            </w:tcBorders>
            <w:shd w:val="clear" w:color="auto" w:fill="5B9AD4"/>
          </w:tcPr>
          <w:p>
            <w:pPr>
              <w:pStyle w:val="TableParagraph"/>
              <w:spacing w:before="1"/>
              <w:rPr>
                <w:b/>
                <w:sz w:val="25"/>
              </w:rPr>
            </w:pPr>
          </w:p>
          <w:p>
            <w:pPr>
              <w:pStyle w:val="TableParagraph"/>
              <w:spacing w:before="1"/>
              <w:ind w:left="1042" w:right="976"/>
              <w:jc w:val="center"/>
              <w:rPr>
                <w:b/>
                <w:sz w:val="18"/>
              </w:rPr>
            </w:pPr>
            <w:r>
              <w:rPr>
                <w:b/>
                <w:color w:val="FFFFFF"/>
                <w:spacing w:val="-2"/>
                <w:sz w:val="18"/>
              </w:rPr>
              <w:t>Indicator</w:t>
            </w:r>
          </w:p>
        </w:tc>
        <w:tc>
          <w:tcPr>
            <w:tcW w:w="3935" w:type="dxa"/>
            <w:tcBorders>
              <w:top w:val="single" w:sz="4" w:space="0" w:color="000000"/>
            </w:tcBorders>
            <w:shd w:val="clear" w:color="auto" w:fill="5B9AD4"/>
          </w:tcPr>
          <w:p>
            <w:pPr>
              <w:pStyle w:val="TableParagraph"/>
              <w:spacing w:before="1"/>
              <w:rPr>
                <w:b/>
                <w:sz w:val="25"/>
              </w:rPr>
            </w:pPr>
          </w:p>
          <w:p>
            <w:pPr>
              <w:pStyle w:val="TableParagraph"/>
              <w:spacing w:before="1"/>
              <w:ind w:left="1556" w:right="1622"/>
              <w:jc w:val="center"/>
              <w:rPr>
                <w:b/>
                <w:sz w:val="18"/>
              </w:rPr>
            </w:pPr>
            <w:r>
              <w:rPr>
                <w:b/>
                <w:color w:val="FFFFFF"/>
                <w:spacing w:val="-2"/>
                <w:sz w:val="18"/>
              </w:rPr>
              <w:t>Measure</w:t>
            </w:r>
          </w:p>
        </w:tc>
        <w:tc>
          <w:tcPr>
            <w:tcW w:w="651" w:type="dxa"/>
            <w:tcBorders>
              <w:top w:val="single" w:sz="4" w:space="0" w:color="000000"/>
            </w:tcBorders>
            <w:shd w:val="clear" w:color="auto" w:fill="5B9AD4"/>
          </w:tcPr>
          <w:p>
            <w:pPr>
              <w:pStyle w:val="TableParagraph"/>
              <w:rPr>
                <w:rFonts w:ascii="Times New Roman"/>
                <w:sz w:val="18"/>
              </w:rPr>
            </w:pPr>
          </w:p>
        </w:tc>
        <w:tc>
          <w:tcPr>
            <w:tcW w:w="1312" w:type="dxa"/>
            <w:tcBorders>
              <w:top w:val="single" w:sz="4" w:space="0" w:color="000000"/>
            </w:tcBorders>
            <w:shd w:val="clear" w:color="auto" w:fill="5B9AD4"/>
          </w:tcPr>
          <w:p>
            <w:pPr>
              <w:pStyle w:val="TableParagraph"/>
              <w:spacing w:line="394" w:lineRule="exact"/>
              <w:ind w:left="107" w:firstLine="151"/>
              <w:rPr>
                <w:b/>
                <w:sz w:val="18"/>
              </w:rPr>
            </w:pPr>
            <w:r>
              <w:rPr>
                <w:b/>
                <w:color w:val="FFFFFF"/>
                <w:spacing w:val="-2"/>
                <w:sz w:val="18"/>
              </w:rPr>
              <w:t>Actual 2022/2023</w:t>
            </w:r>
          </w:p>
        </w:tc>
        <w:tc>
          <w:tcPr>
            <w:tcW w:w="1074" w:type="dxa"/>
            <w:tcBorders>
              <w:top w:val="single" w:sz="4" w:space="0" w:color="000000"/>
            </w:tcBorders>
            <w:shd w:val="clear" w:color="auto" w:fill="5B9AD4"/>
          </w:tcPr>
          <w:p>
            <w:pPr>
              <w:pStyle w:val="TableParagraph"/>
              <w:spacing w:line="394" w:lineRule="exact"/>
              <w:ind w:left="14" w:firstLine="50"/>
              <w:rPr>
                <w:b/>
                <w:sz w:val="18"/>
              </w:rPr>
            </w:pPr>
            <w:r>
              <w:rPr>
                <w:b/>
                <w:color w:val="FFFFFF"/>
                <w:spacing w:val="-2"/>
                <w:sz w:val="18"/>
              </w:rPr>
              <w:t>Forecast 2023/2024</w:t>
            </w:r>
          </w:p>
        </w:tc>
        <w:tc>
          <w:tcPr>
            <w:tcW w:w="1274" w:type="dxa"/>
            <w:tcBorders>
              <w:top w:val="single" w:sz="4" w:space="0" w:color="000000"/>
            </w:tcBorders>
            <w:shd w:val="clear" w:color="auto" w:fill="5B9AD4"/>
          </w:tcPr>
          <w:p>
            <w:pPr>
              <w:pStyle w:val="TableParagraph"/>
              <w:spacing w:line="394" w:lineRule="exact"/>
              <w:ind w:left="214" w:firstLine="148"/>
              <w:rPr>
                <w:b/>
                <w:sz w:val="18"/>
              </w:rPr>
            </w:pPr>
            <w:r>
              <w:rPr>
                <w:b/>
                <w:color w:val="FFFFFF"/>
                <w:spacing w:val="-2"/>
                <w:sz w:val="18"/>
              </w:rPr>
              <w:t>Target 2024/2025</w:t>
            </w:r>
          </w:p>
        </w:tc>
        <w:tc>
          <w:tcPr>
            <w:tcW w:w="3694" w:type="dxa"/>
            <w:gridSpan w:val="3"/>
            <w:tcBorders>
              <w:top w:val="single" w:sz="4" w:space="0" w:color="000000"/>
            </w:tcBorders>
            <w:shd w:val="clear" w:color="auto" w:fill="5B9AD4"/>
          </w:tcPr>
          <w:p>
            <w:pPr>
              <w:pStyle w:val="TableParagraph"/>
              <w:tabs>
                <w:tab w:pos="1390" w:val="left" w:leader="none"/>
                <w:tab w:pos="2552" w:val="left" w:leader="none"/>
              </w:tabs>
              <w:spacing w:line="394" w:lineRule="exact"/>
              <w:ind w:left="193" w:right="286" w:firstLine="796"/>
              <w:rPr>
                <w:b/>
                <w:sz w:val="18"/>
              </w:rPr>
            </w:pPr>
            <w:r>
              <w:rPr>
                <w:b/>
                <w:color w:val="FFFFFF"/>
                <w:sz w:val="18"/>
              </w:rPr>
              <w:t>Target Projections </w:t>
            </w:r>
            <w:r>
              <w:rPr>
                <w:b/>
                <w:color w:val="FFFFFF"/>
                <w:spacing w:val="-2"/>
                <w:sz w:val="18"/>
              </w:rPr>
              <w:t>2025/2026</w:t>
            </w:r>
            <w:r>
              <w:rPr>
                <w:b/>
                <w:color w:val="FFFFFF"/>
                <w:sz w:val="18"/>
              </w:rPr>
              <w:tab/>
            </w:r>
            <w:r>
              <w:rPr>
                <w:b/>
                <w:color w:val="FFFFFF"/>
                <w:spacing w:val="-2"/>
                <w:sz w:val="18"/>
              </w:rPr>
              <w:t>2026/2027</w:t>
            </w:r>
            <w:r>
              <w:rPr>
                <w:b/>
                <w:color w:val="FFFFFF"/>
                <w:sz w:val="18"/>
              </w:rPr>
              <w:tab/>
            </w:r>
            <w:r>
              <w:rPr>
                <w:b/>
                <w:color w:val="FFFFFF"/>
                <w:spacing w:val="-2"/>
                <w:sz w:val="18"/>
              </w:rPr>
              <w:t>2027/2028</w:t>
            </w:r>
          </w:p>
        </w:tc>
        <w:tc>
          <w:tcPr>
            <w:tcW w:w="729" w:type="dxa"/>
            <w:tcBorders>
              <w:top w:val="single" w:sz="4" w:space="0" w:color="000000"/>
              <w:right w:val="single" w:sz="4" w:space="0" w:color="000000"/>
            </w:tcBorders>
            <w:shd w:val="clear" w:color="auto" w:fill="5B9AD4"/>
          </w:tcPr>
          <w:p>
            <w:pPr>
              <w:pStyle w:val="TableParagraph"/>
              <w:spacing w:before="155"/>
              <w:ind w:left="48"/>
              <w:rPr>
                <w:b/>
                <w:sz w:val="18"/>
              </w:rPr>
            </w:pPr>
            <w:r>
              <w:rPr>
                <w:b/>
                <w:color w:val="FFFFFF"/>
                <w:spacing w:val="-2"/>
                <w:sz w:val="18"/>
              </w:rPr>
              <w:t>Trend</w:t>
            </w:r>
          </w:p>
          <w:p>
            <w:pPr>
              <w:pStyle w:val="TableParagraph"/>
              <w:spacing w:before="2"/>
              <w:rPr>
                <w:b/>
                <w:sz w:val="16"/>
              </w:rPr>
            </w:pPr>
          </w:p>
          <w:p>
            <w:pPr>
              <w:pStyle w:val="TableParagraph"/>
              <w:ind w:left="111"/>
              <w:rPr>
                <w:b/>
                <w:sz w:val="18"/>
              </w:rPr>
            </w:pPr>
            <w:r>
              <w:rPr>
                <w:b/>
                <w:color w:val="FFFFFF"/>
                <w:spacing w:val="-2"/>
                <w:sz w:val="18"/>
              </w:rPr>
              <w:t>+/o/-</w:t>
            </w:r>
          </w:p>
        </w:tc>
      </w:tr>
      <w:tr>
        <w:trPr>
          <w:trHeight w:val="1305" w:hRule="atLeast"/>
        </w:trPr>
        <w:tc>
          <w:tcPr>
            <w:tcW w:w="2807" w:type="dxa"/>
            <w:tcBorders>
              <w:left w:val="single" w:sz="4" w:space="0" w:color="000000"/>
              <w:bottom w:val="single" w:sz="4" w:space="0" w:color="000000"/>
            </w:tcBorders>
          </w:tcPr>
          <w:p>
            <w:pPr>
              <w:pStyle w:val="TableParagraph"/>
              <w:spacing w:before="30"/>
              <w:ind w:left="107"/>
              <w:rPr>
                <w:b/>
                <w:i/>
                <w:sz w:val="18"/>
              </w:rPr>
            </w:pPr>
            <w:r>
              <w:rPr>
                <w:b/>
                <w:i/>
                <w:spacing w:val="-2"/>
                <w:sz w:val="18"/>
              </w:rPr>
              <w:t>Governance</w:t>
            </w:r>
          </w:p>
          <w:p>
            <w:pPr>
              <w:pStyle w:val="TableParagraph"/>
              <w:spacing w:before="136"/>
              <w:ind w:left="107"/>
              <w:rPr>
                <w:sz w:val="18"/>
              </w:rPr>
            </w:pPr>
            <w:r>
              <w:rPr>
                <w:b/>
                <w:sz w:val="18"/>
              </w:rPr>
              <w:t>Consultation</w:t>
            </w:r>
            <w:r>
              <w:rPr>
                <w:b/>
                <w:spacing w:val="-15"/>
                <w:sz w:val="18"/>
              </w:rPr>
              <w:t> </w:t>
            </w:r>
            <w:r>
              <w:rPr>
                <w:b/>
                <w:sz w:val="18"/>
              </w:rPr>
              <w:t>and</w:t>
            </w:r>
            <w:r>
              <w:rPr>
                <w:b/>
                <w:spacing w:val="-12"/>
                <w:sz w:val="18"/>
              </w:rPr>
              <w:t> </w:t>
            </w:r>
            <w:r>
              <w:rPr>
                <w:b/>
                <w:sz w:val="18"/>
              </w:rPr>
              <w:t>engagement </w:t>
            </w:r>
            <w:r>
              <w:rPr>
                <w:sz w:val="18"/>
              </w:rPr>
              <w:t>(Council decisions made and implemented with community </w:t>
            </w:r>
            <w:r>
              <w:rPr>
                <w:spacing w:val="-2"/>
                <w:sz w:val="18"/>
              </w:rPr>
              <w:t>input)</w:t>
            </w:r>
          </w:p>
        </w:tc>
        <w:tc>
          <w:tcPr>
            <w:tcW w:w="3935" w:type="dxa"/>
            <w:tcBorders>
              <w:bottom w:val="single" w:sz="4" w:space="0" w:color="000000"/>
            </w:tcBorders>
          </w:tcPr>
          <w:p>
            <w:pPr>
              <w:pStyle w:val="TableParagraph"/>
              <w:spacing w:before="5"/>
              <w:rPr>
                <w:b/>
                <w:sz w:val="23"/>
              </w:rPr>
            </w:pPr>
          </w:p>
          <w:p>
            <w:pPr>
              <w:pStyle w:val="TableParagraph"/>
              <w:spacing w:before="1"/>
              <w:ind w:left="118"/>
              <w:rPr>
                <w:b/>
                <w:sz w:val="18"/>
              </w:rPr>
            </w:pPr>
            <w:r>
              <w:rPr>
                <w:b/>
                <w:sz w:val="18"/>
              </w:rPr>
              <w:t>Satisfaction</w:t>
            </w:r>
            <w:r>
              <w:rPr>
                <w:b/>
                <w:spacing w:val="-12"/>
                <w:sz w:val="18"/>
              </w:rPr>
              <w:t> </w:t>
            </w:r>
            <w:r>
              <w:rPr>
                <w:b/>
                <w:sz w:val="18"/>
              </w:rPr>
              <w:t>with</w:t>
            </w:r>
            <w:r>
              <w:rPr>
                <w:b/>
                <w:spacing w:val="-12"/>
                <w:sz w:val="18"/>
              </w:rPr>
              <w:t> </w:t>
            </w:r>
            <w:r>
              <w:rPr>
                <w:b/>
                <w:sz w:val="18"/>
              </w:rPr>
              <w:t>community</w:t>
            </w:r>
            <w:r>
              <w:rPr>
                <w:b/>
                <w:spacing w:val="-12"/>
                <w:sz w:val="18"/>
              </w:rPr>
              <w:t> </w:t>
            </w:r>
            <w:r>
              <w:rPr>
                <w:b/>
                <w:sz w:val="18"/>
              </w:rPr>
              <w:t>consultation and engagement</w:t>
            </w:r>
          </w:p>
          <w:p>
            <w:pPr>
              <w:pStyle w:val="TableParagraph"/>
              <w:spacing w:line="206" w:lineRule="exact"/>
              <w:ind w:left="118"/>
              <w:rPr>
                <w:sz w:val="18"/>
              </w:rPr>
            </w:pPr>
            <w:r>
              <w:rPr>
                <w:sz w:val="18"/>
              </w:rPr>
              <w:t>Community</w:t>
            </w:r>
            <w:r>
              <w:rPr>
                <w:spacing w:val="-1"/>
                <w:sz w:val="18"/>
              </w:rPr>
              <w:t> </w:t>
            </w:r>
            <w:r>
              <w:rPr>
                <w:sz w:val="18"/>
              </w:rPr>
              <w:t>satisfaction</w:t>
            </w:r>
            <w:r>
              <w:rPr>
                <w:spacing w:val="2"/>
                <w:sz w:val="18"/>
              </w:rPr>
              <w:t> </w:t>
            </w:r>
            <w:r>
              <w:rPr>
                <w:sz w:val="18"/>
              </w:rPr>
              <w:t>rating</w:t>
            </w:r>
            <w:r>
              <w:rPr>
                <w:spacing w:val="-2"/>
                <w:sz w:val="18"/>
              </w:rPr>
              <w:t> </w:t>
            </w:r>
            <w:r>
              <w:rPr>
                <w:sz w:val="18"/>
              </w:rPr>
              <w:t>out of</w:t>
            </w:r>
            <w:r>
              <w:rPr>
                <w:spacing w:val="-2"/>
                <w:sz w:val="18"/>
              </w:rPr>
              <w:t> </w:t>
            </w:r>
            <w:r>
              <w:rPr>
                <w:sz w:val="18"/>
              </w:rPr>
              <w:t>100</w:t>
            </w:r>
            <w:r>
              <w:rPr>
                <w:spacing w:val="-3"/>
                <w:sz w:val="18"/>
              </w:rPr>
              <w:t> </w:t>
            </w:r>
            <w:r>
              <w:rPr>
                <w:spacing w:val="-4"/>
                <w:sz w:val="18"/>
              </w:rPr>
              <w:t>with</w:t>
            </w:r>
          </w:p>
          <w:p>
            <w:pPr>
              <w:pStyle w:val="TableParagraph"/>
              <w:spacing w:line="206" w:lineRule="exact"/>
              <w:ind w:left="118"/>
              <w:rPr>
                <w:sz w:val="18"/>
              </w:rPr>
            </w:pPr>
            <w:r>
              <w:rPr>
                <w:sz w:val="18"/>
              </w:rPr>
              <w:t>the</w:t>
            </w:r>
            <w:r>
              <w:rPr>
                <w:spacing w:val="-6"/>
                <w:sz w:val="18"/>
              </w:rPr>
              <w:t> </w:t>
            </w:r>
            <w:r>
              <w:rPr>
                <w:sz w:val="18"/>
              </w:rPr>
              <w:t>consultation</w:t>
            </w:r>
            <w:r>
              <w:rPr>
                <w:spacing w:val="-8"/>
                <w:sz w:val="18"/>
              </w:rPr>
              <w:t> </w:t>
            </w:r>
            <w:r>
              <w:rPr>
                <w:sz w:val="18"/>
              </w:rPr>
              <w:t>and</w:t>
            </w:r>
            <w:r>
              <w:rPr>
                <w:spacing w:val="-6"/>
                <w:sz w:val="18"/>
              </w:rPr>
              <w:t> </w:t>
            </w:r>
            <w:r>
              <w:rPr>
                <w:sz w:val="18"/>
              </w:rPr>
              <w:t>engagement</w:t>
            </w:r>
            <w:r>
              <w:rPr>
                <w:spacing w:val="-6"/>
                <w:sz w:val="18"/>
              </w:rPr>
              <w:t> </w:t>
            </w:r>
            <w:r>
              <w:rPr>
                <w:sz w:val="18"/>
              </w:rPr>
              <w:t>efforts</w:t>
            </w:r>
            <w:r>
              <w:rPr>
                <w:spacing w:val="-10"/>
                <w:sz w:val="18"/>
              </w:rPr>
              <w:t> </w:t>
            </w:r>
            <w:r>
              <w:rPr>
                <w:sz w:val="18"/>
              </w:rPr>
              <w:t>of </w:t>
            </w:r>
            <w:r>
              <w:rPr>
                <w:spacing w:val="-2"/>
                <w:sz w:val="18"/>
              </w:rPr>
              <w:t>Council</w:t>
            </w:r>
          </w:p>
        </w:tc>
        <w:tc>
          <w:tcPr>
            <w:tcW w:w="651"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left="210"/>
              <w:rPr>
                <w:sz w:val="18"/>
              </w:rPr>
            </w:pPr>
            <w:r>
              <w:rPr>
                <w:sz w:val="18"/>
              </w:rPr>
              <w:t>1</w:t>
            </w:r>
          </w:p>
        </w:tc>
        <w:tc>
          <w:tcPr>
            <w:tcW w:w="1312"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right="301"/>
              <w:jc w:val="right"/>
              <w:rPr>
                <w:sz w:val="18"/>
              </w:rPr>
            </w:pPr>
            <w:r>
              <w:rPr>
                <w:spacing w:val="-5"/>
                <w:sz w:val="18"/>
              </w:rPr>
              <w:t>56</w:t>
            </w:r>
          </w:p>
        </w:tc>
        <w:tc>
          <w:tcPr>
            <w:tcW w:w="1074"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right="101"/>
              <w:jc w:val="right"/>
              <w:rPr>
                <w:sz w:val="18"/>
              </w:rPr>
            </w:pPr>
            <w:r>
              <w:rPr>
                <w:spacing w:val="-5"/>
                <w:sz w:val="18"/>
              </w:rPr>
              <w:t>56</w:t>
            </w:r>
          </w:p>
        </w:tc>
        <w:tc>
          <w:tcPr>
            <w:tcW w:w="1274" w:type="dxa"/>
            <w:tcBorders>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4"/>
              <w:rPr>
                <w:b/>
                <w:sz w:val="19"/>
              </w:rPr>
            </w:pPr>
          </w:p>
          <w:p>
            <w:pPr>
              <w:pStyle w:val="TableParagraph"/>
              <w:ind w:right="101"/>
              <w:jc w:val="right"/>
              <w:rPr>
                <w:sz w:val="18"/>
              </w:rPr>
            </w:pPr>
            <w:r>
              <w:rPr>
                <w:spacing w:val="-5"/>
                <w:sz w:val="18"/>
              </w:rPr>
              <w:t>56</w:t>
            </w:r>
          </w:p>
        </w:tc>
        <w:tc>
          <w:tcPr>
            <w:tcW w:w="1377"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right="244"/>
              <w:jc w:val="right"/>
              <w:rPr>
                <w:sz w:val="18"/>
              </w:rPr>
            </w:pPr>
            <w:r>
              <w:rPr>
                <w:spacing w:val="-5"/>
                <w:sz w:val="18"/>
              </w:rPr>
              <w:t>56</w:t>
            </w:r>
          </w:p>
        </w:tc>
        <w:tc>
          <w:tcPr>
            <w:tcW w:w="1161"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right="244"/>
              <w:jc w:val="right"/>
              <w:rPr>
                <w:sz w:val="18"/>
              </w:rPr>
            </w:pPr>
            <w:r>
              <w:rPr>
                <w:spacing w:val="-5"/>
                <w:sz w:val="18"/>
              </w:rPr>
              <w:t>56</w:t>
            </w:r>
          </w:p>
        </w:tc>
        <w:tc>
          <w:tcPr>
            <w:tcW w:w="1156" w:type="dxa"/>
            <w:tcBorders>
              <w:bottom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right="237"/>
              <w:jc w:val="right"/>
              <w:rPr>
                <w:sz w:val="18"/>
              </w:rPr>
            </w:pPr>
            <w:r>
              <w:rPr>
                <w:spacing w:val="-5"/>
                <w:sz w:val="18"/>
              </w:rPr>
              <w:t>56</w:t>
            </w:r>
          </w:p>
        </w:tc>
        <w:tc>
          <w:tcPr>
            <w:tcW w:w="729" w:type="dxa"/>
            <w:tcBorders>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4"/>
              <w:rPr>
                <w:b/>
                <w:sz w:val="19"/>
              </w:rPr>
            </w:pPr>
          </w:p>
          <w:p>
            <w:pPr>
              <w:pStyle w:val="TableParagraph"/>
              <w:ind w:left="247"/>
              <w:rPr>
                <w:sz w:val="18"/>
              </w:rPr>
            </w:pPr>
            <w:r>
              <w:rPr>
                <w:sz w:val="18"/>
              </w:rPr>
              <w:t>o</w:t>
            </w:r>
          </w:p>
        </w:tc>
      </w:tr>
      <w:tr>
        <w:trPr>
          <w:trHeight w:val="1305" w:hRule="atLeast"/>
        </w:trPr>
        <w:tc>
          <w:tcPr>
            <w:tcW w:w="2807" w:type="dxa"/>
            <w:tcBorders>
              <w:top w:val="single" w:sz="4" w:space="0" w:color="000000"/>
              <w:left w:val="single" w:sz="4" w:space="0" w:color="000000"/>
              <w:bottom w:val="single" w:sz="4" w:space="0" w:color="000000"/>
            </w:tcBorders>
          </w:tcPr>
          <w:p>
            <w:pPr>
              <w:pStyle w:val="TableParagraph"/>
              <w:spacing w:before="32"/>
              <w:ind w:left="107"/>
              <w:rPr>
                <w:b/>
                <w:i/>
                <w:sz w:val="18"/>
              </w:rPr>
            </w:pPr>
            <w:r>
              <w:rPr>
                <w:b/>
                <w:i/>
                <w:spacing w:val="-2"/>
                <w:sz w:val="18"/>
              </w:rPr>
              <w:t>Roads</w:t>
            </w:r>
          </w:p>
          <w:p>
            <w:pPr>
              <w:pStyle w:val="TableParagraph"/>
              <w:spacing w:line="207" w:lineRule="exact" w:before="134"/>
              <w:ind w:left="107"/>
              <w:rPr>
                <w:b/>
                <w:sz w:val="18"/>
              </w:rPr>
            </w:pPr>
            <w:r>
              <w:rPr>
                <w:b/>
                <w:spacing w:val="-2"/>
                <w:sz w:val="18"/>
              </w:rPr>
              <w:t>Condition</w:t>
            </w:r>
          </w:p>
          <w:p>
            <w:pPr>
              <w:pStyle w:val="TableParagraph"/>
              <w:ind w:left="107" w:right="13"/>
              <w:rPr>
                <w:sz w:val="18"/>
              </w:rPr>
            </w:pPr>
            <w:r>
              <w:rPr>
                <w:sz w:val="18"/>
              </w:rPr>
              <w:t>(sealed local roads are maintained</w:t>
            </w:r>
            <w:r>
              <w:rPr>
                <w:spacing w:val="-12"/>
                <w:sz w:val="18"/>
              </w:rPr>
              <w:t> </w:t>
            </w:r>
            <w:r>
              <w:rPr>
                <w:sz w:val="18"/>
              </w:rPr>
              <w:t>at</w:t>
            </w:r>
            <w:r>
              <w:rPr>
                <w:spacing w:val="-9"/>
                <w:sz w:val="18"/>
              </w:rPr>
              <w:t> </w:t>
            </w:r>
            <w:r>
              <w:rPr>
                <w:sz w:val="18"/>
              </w:rPr>
              <w:t>the</w:t>
            </w:r>
            <w:r>
              <w:rPr>
                <w:spacing w:val="-10"/>
                <w:sz w:val="18"/>
              </w:rPr>
              <w:t> </w:t>
            </w:r>
            <w:r>
              <w:rPr>
                <w:sz w:val="18"/>
              </w:rPr>
              <w:t>adopted condition standard)</w:t>
            </w:r>
          </w:p>
        </w:tc>
        <w:tc>
          <w:tcPr>
            <w:tcW w:w="3935" w:type="dxa"/>
            <w:tcBorders>
              <w:top w:val="single" w:sz="4" w:space="0" w:color="000000"/>
              <w:bottom w:val="single" w:sz="4" w:space="0" w:color="000000"/>
            </w:tcBorders>
          </w:tcPr>
          <w:p>
            <w:pPr>
              <w:pStyle w:val="TableParagraph"/>
              <w:spacing w:before="5"/>
              <w:rPr>
                <w:b/>
                <w:sz w:val="23"/>
              </w:rPr>
            </w:pPr>
          </w:p>
          <w:p>
            <w:pPr>
              <w:pStyle w:val="TableParagraph"/>
              <w:ind w:left="118"/>
              <w:rPr>
                <w:b/>
                <w:sz w:val="18"/>
              </w:rPr>
            </w:pPr>
            <w:r>
              <w:rPr>
                <w:b/>
                <w:sz w:val="18"/>
              </w:rPr>
              <w:t>Sealed</w:t>
            </w:r>
            <w:r>
              <w:rPr>
                <w:b/>
                <w:spacing w:val="-7"/>
                <w:sz w:val="18"/>
              </w:rPr>
              <w:t> </w:t>
            </w:r>
            <w:r>
              <w:rPr>
                <w:b/>
                <w:sz w:val="18"/>
              </w:rPr>
              <w:t>local</w:t>
            </w:r>
            <w:r>
              <w:rPr>
                <w:b/>
                <w:spacing w:val="-9"/>
                <w:sz w:val="18"/>
              </w:rPr>
              <w:t> </w:t>
            </w:r>
            <w:r>
              <w:rPr>
                <w:b/>
                <w:sz w:val="18"/>
              </w:rPr>
              <w:t>roads</w:t>
            </w:r>
            <w:r>
              <w:rPr>
                <w:b/>
                <w:spacing w:val="-9"/>
                <w:sz w:val="18"/>
              </w:rPr>
              <w:t> </w:t>
            </w:r>
            <w:r>
              <w:rPr>
                <w:b/>
                <w:sz w:val="18"/>
              </w:rPr>
              <w:t>below</w:t>
            </w:r>
            <w:r>
              <w:rPr>
                <w:b/>
                <w:spacing w:val="-5"/>
                <w:sz w:val="18"/>
              </w:rPr>
              <w:t> </w:t>
            </w:r>
            <w:r>
              <w:rPr>
                <w:b/>
                <w:sz w:val="18"/>
              </w:rPr>
              <w:t>the</w:t>
            </w:r>
            <w:r>
              <w:rPr>
                <w:b/>
                <w:spacing w:val="-7"/>
                <w:sz w:val="18"/>
              </w:rPr>
              <w:t> </w:t>
            </w:r>
            <w:r>
              <w:rPr>
                <w:b/>
                <w:sz w:val="18"/>
              </w:rPr>
              <w:t>intervention </w:t>
            </w:r>
            <w:r>
              <w:rPr>
                <w:b/>
                <w:spacing w:val="-2"/>
                <w:sz w:val="18"/>
              </w:rPr>
              <w:t>level</w:t>
            </w:r>
          </w:p>
          <w:p>
            <w:pPr>
              <w:pStyle w:val="TableParagraph"/>
              <w:spacing w:line="206" w:lineRule="exact"/>
              <w:ind w:left="118" w:right="145"/>
              <w:rPr>
                <w:sz w:val="18"/>
              </w:rPr>
            </w:pPr>
            <w:r>
              <w:rPr>
                <w:sz w:val="18"/>
              </w:rPr>
              <w:t>Number of kms of sealed local roads below the</w:t>
            </w:r>
            <w:r>
              <w:rPr>
                <w:spacing w:val="-4"/>
                <w:sz w:val="18"/>
              </w:rPr>
              <w:t> </w:t>
            </w:r>
            <w:r>
              <w:rPr>
                <w:sz w:val="18"/>
              </w:rPr>
              <w:t>renewal</w:t>
            </w:r>
            <w:r>
              <w:rPr>
                <w:spacing w:val="-6"/>
                <w:sz w:val="18"/>
              </w:rPr>
              <w:t> </w:t>
            </w:r>
            <w:r>
              <w:rPr>
                <w:sz w:val="18"/>
              </w:rPr>
              <w:t>intervention</w:t>
            </w:r>
            <w:r>
              <w:rPr>
                <w:spacing w:val="-6"/>
                <w:sz w:val="18"/>
              </w:rPr>
              <w:t> </w:t>
            </w:r>
            <w:r>
              <w:rPr>
                <w:sz w:val="18"/>
              </w:rPr>
              <w:t>level</w:t>
            </w:r>
            <w:r>
              <w:rPr>
                <w:spacing w:val="-8"/>
                <w:sz w:val="18"/>
              </w:rPr>
              <w:t> </w:t>
            </w:r>
            <w:r>
              <w:rPr>
                <w:sz w:val="18"/>
              </w:rPr>
              <w:t>set</w:t>
            </w:r>
            <w:r>
              <w:rPr>
                <w:spacing w:val="-4"/>
                <w:sz w:val="18"/>
              </w:rPr>
              <w:t> </w:t>
            </w:r>
            <w:r>
              <w:rPr>
                <w:sz w:val="18"/>
              </w:rPr>
              <w:t>by</w:t>
            </w:r>
            <w:r>
              <w:rPr>
                <w:spacing w:val="-5"/>
                <w:sz w:val="18"/>
              </w:rPr>
              <w:t> </w:t>
            </w:r>
            <w:r>
              <w:rPr>
                <w:sz w:val="18"/>
              </w:rPr>
              <w:t>Council</w:t>
            </w:r>
            <w:r>
              <w:rPr>
                <w:spacing w:val="-6"/>
                <w:sz w:val="18"/>
              </w:rPr>
              <w:t> </w:t>
            </w:r>
            <w:r>
              <w:rPr>
                <w:sz w:val="18"/>
              </w:rPr>
              <w:t>/ Kms of sealed local roads</w:t>
            </w:r>
          </w:p>
        </w:tc>
        <w:tc>
          <w:tcPr>
            <w:tcW w:w="65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left="210"/>
              <w:rPr>
                <w:sz w:val="18"/>
              </w:rPr>
            </w:pPr>
            <w:r>
              <w:rPr>
                <w:sz w:val="18"/>
              </w:rPr>
              <w:t>2</w:t>
            </w:r>
          </w:p>
        </w:tc>
        <w:tc>
          <w:tcPr>
            <w:tcW w:w="1312"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300"/>
              <w:jc w:val="right"/>
              <w:rPr>
                <w:sz w:val="18"/>
              </w:rPr>
            </w:pPr>
            <w:r>
              <w:rPr>
                <w:spacing w:val="-2"/>
                <w:sz w:val="18"/>
              </w:rPr>
              <w:t>97.71%</w:t>
            </w:r>
          </w:p>
        </w:tc>
        <w:tc>
          <w:tcPr>
            <w:tcW w:w="1074"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100"/>
              <w:jc w:val="right"/>
              <w:rPr>
                <w:sz w:val="18"/>
              </w:rPr>
            </w:pPr>
            <w:r>
              <w:rPr>
                <w:spacing w:val="-2"/>
                <w:sz w:val="18"/>
              </w:rPr>
              <w:t>98.00%</w:t>
            </w:r>
          </w:p>
        </w:tc>
        <w:tc>
          <w:tcPr>
            <w:tcW w:w="1274" w:type="dxa"/>
            <w:tcBorders>
              <w:top w:val="single" w:sz="4" w:space="0" w:color="000000"/>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100"/>
              <w:jc w:val="right"/>
              <w:rPr>
                <w:sz w:val="18"/>
              </w:rPr>
            </w:pPr>
            <w:r>
              <w:rPr>
                <w:spacing w:val="-2"/>
                <w:sz w:val="18"/>
              </w:rPr>
              <w:t>98.00%</w:t>
            </w:r>
          </w:p>
        </w:tc>
        <w:tc>
          <w:tcPr>
            <w:tcW w:w="137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243"/>
              <w:jc w:val="right"/>
              <w:rPr>
                <w:sz w:val="18"/>
              </w:rPr>
            </w:pPr>
            <w:r>
              <w:rPr>
                <w:spacing w:val="-2"/>
                <w:sz w:val="18"/>
              </w:rPr>
              <w:t>98.00%</w:t>
            </w:r>
          </w:p>
        </w:tc>
        <w:tc>
          <w:tcPr>
            <w:tcW w:w="116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243"/>
              <w:jc w:val="right"/>
              <w:rPr>
                <w:sz w:val="18"/>
              </w:rPr>
            </w:pPr>
            <w:r>
              <w:rPr>
                <w:spacing w:val="-2"/>
                <w:sz w:val="18"/>
              </w:rPr>
              <w:t>98.00%</w:t>
            </w:r>
          </w:p>
        </w:tc>
        <w:tc>
          <w:tcPr>
            <w:tcW w:w="1156"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right="237"/>
              <w:jc w:val="right"/>
              <w:rPr>
                <w:sz w:val="18"/>
              </w:rPr>
            </w:pPr>
            <w:r>
              <w:rPr>
                <w:spacing w:val="-2"/>
                <w:sz w:val="18"/>
              </w:rPr>
              <w:t>98.00%</w:t>
            </w:r>
          </w:p>
        </w:tc>
        <w:tc>
          <w:tcPr>
            <w:tcW w:w="729" w:type="dxa"/>
            <w:tcBorders>
              <w:top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6"/>
              <w:rPr>
                <w:b/>
                <w:sz w:val="19"/>
              </w:rPr>
            </w:pPr>
          </w:p>
          <w:p>
            <w:pPr>
              <w:pStyle w:val="TableParagraph"/>
              <w:spacing w:before="1"/>
              <w:ind w:left="247"/>
              <w:rPr>
                <w:sz w:val="18"/>
              </w:rPr>
            </w:pPr>
            <w:r>
              <w:rPr>
                <w:sz w:val="18"/>
              </w:rPr>
              <w:t>0</w:t>
            </w:r>
          </w:p>
        </w:tc>
      </w:tr>
      <w:tr>
        <w:trPr>
          <w:trHeight w:val="1513" w:hRule="atLeast"/>
        </w:trPr>
        <w:tc>
          <w:tcPr>
            <w:tcW w:w="2807" w:type="dxa"/>
            <w:tcBorders>
              <w:top w:val="single" w:sz="4" w:space="0" w:color="000000"/>
              <w:left w:val="single" w:sz="4" w:space="0" w:color="000000"/>
              <w:bottom w:val="single" w:sz="4" w:space="0" w:color="000000"/>
            </w:tcBorders>
          </w:tcPr>
          <w:p>
            <w:pPr>
              <w:pStyle w:val="TableParagraph"/>
              <w:spacing w:before="32"/>
              <w:ind w:left="107"/>
              <w:jc w:val="both"/>
              <w:rPr>
                <w:b/>
                <w:i/>
                <w:sz w:val="18"/>
              </w:rPr>
            </w:pPr>
            <w:r>
              <w:rPr>
                <w:b/>
                <w:i/>
                <w:sz w:val="18"/>
              </w:rPr>
              <w:t>Statutory</w:t>
            </w:r>
            <w:r>
              <w:rPr>
                <w:b/>
                <w:i/>
                <w:spacing w:val="1"/>
                <w:sz w:val="18"/>
              </w:rPr>
              <w:t> </w:t>
            </w:r>
            <w:r>
              <w:rPr>
                <w:b/>
                <w:i/>
                <w:spacing w:val="-2"/>
                <w:sz w:val="18"/>
              </w:rPr>
              <w:t>planning</w:t>
            </w:r>
          </w:p>
          <w:p>
            <w:pPr>
              <w:pStyle w:val="TableParagraph"/>
              <w:spacing w:before="10"/>
              <w:rPr>
                <w:b/>
                <w:sz w:val="20"/>
              </w:rPr>
            </w:pPr>
          </w:p>
          <w:p>
            <w:pPr>
              <w:pStyle w:val="TableParagraph"/>
              <w:spacing w:line="207" w:lineRule="exact"/>
              <w:ind w:left="107"/>
              <w:jc w:val="both"/>
              <w:rPr>
                <w:b/>
                <w:sz w:val="18"/>
              </w:rPr>
            </w:pPr>
            <w:r>
              <w:rPr>
                <w:b/>
                <w:sz w:val="18"/>
              </w:rPr>
              <w:t>Service </w:t>
            </w:r>
            <w:r>
              <w:rPr>
                <w:b/>
                <w:spacing w:val="-2"/>
                <w:sz w:val="18"/>
              </w:rPr>
              <w:t>standard</w:t>
            </w:r>
          </w:p>
          <w:p>
            <w:pPr>
              <w:pStyle w:val="TableParagraph"/>
              <w:ind w:left="107" w:right="102"/>
              <w:jc w:val="both"/>
              <w:rPr>
                <w:sz w:val="18"/>
              </w:rPr>
            </w:pPr>
            <w:r>
              <w:rPr>
                <w:sz w:val="18"/>
              </w:rPr>
              <w:t>(planning</w:t>
            </w:r>
            <w:r>
              <w:rPr>
                <w:spacing w:val="-11"/>
                <w:sz w:val="18"/>
              </w:rPr>
              <w:t> </w:t>
            </w:r>
            <w:r>
              <w:rPr>
                <w:sz w:val="18"/>
              </w:rPr>
              <w:t>application</w:t>
            </w:r>
            <w:r>
              <w:rPr>
                <w:spacing w:val="-9"/>
                <w:sz w:val="18"/>
              </w:rPr>
              <w:t> </w:t>
            </w:r>
            <w:r>
              <w:rPr>
                <w:sz w:val="18"/>
              </w:rPr>
              <w:t>processing and</w:t>
            </w:r>
            <w:r>
              <w:rPr>
                <w:spacing w:val="-6"/>
                <w:sz w:val="18"/>
              </w:rPr>
              <w:t> </w:t>
            </w:r>
            <w:r>
              <w:rPr>
                <w:sz w:val="18"/>
              </w:rPr>
              <w:t>decisions</w:t>
            </w:r>
            <w:r>
              <w:rPr>
                <w:spacing w:val="-8"/>
                <w:sz w:val="18"/>
              </w:rPr>
              <w:t> </w:t>
            </w:r>
            <w:r>
              <w:rPr>
                <w:sz w:val="18"/>
              </w:rPr>
              <w:t>are</w:t>
            </w:r>
            <w:r>
              <w:rPr>
                <w:spacing w:val="-9"/>
                <w:sz w:val="18"/>
              </w:rPr>
              <w:t> </w:t>
            </w:r>
            <w:r>
              <w:rPr>
                <w:sz w:val="18"/>
              </w:rPr>
              <w:t>in</w:t>
            </w:r>
            <w:r>
              <w:rPr>
                <w:spacing w:val="-8"/>
                <w:sz w:val="18"/>
              </w:rPr>
              <w:t> </w:t>
            </w:r>
            <w:r>
              <w:rPr>
                <w:sz w:val="18"/>
              </w:rPr>
              <w:t>accordance with legislative requirements)</w:t>
            </w:r>
          </w:p>
        </w:tc>
        <w:tc>
          <w:tcPr>
            <w:tcW w:w="3935" w:type="dxa"/>
            <w:tcBorders>
              <w:top w:val="single" w:sz="4" w:space="0" w:color="000000"/>
              <w:bottom w:val="single" w:sz="4" w:space="0" w:color="000000"/>
            </w:tcBorders>
          </w:tcPr>
          <w:p>
            <w:pPr>
              <w:pStyle w:val="TableParagraph"/>
              <w:spacing w:before="5"/>
              <w:rPr>
                <w:b/>
                <w:sz w:val="23"/>
              </w:rPr>
            </w:pPr>
          </w:p>
          <w:p>
            <w:pPr>
              <w:pStyle w:val="TableParagraph"/>
              <w:ind w:left="118"/>
              <w:rPr>
                <w:b/>
                <w:sz w:val="18"/>
              </w:rPr>
            </w:pPr>
            <w:r>
              <w:rPr>
                <w:b/>
                <w:sz w:val="18"/>
              </w:rPr>
              <w:t>Planning</w:t>
            </w:r>
            <w:r>
              <w:rPr>
                <w:b/>
                <w:spacing w:val="-12"/>
                <w:sz w:val="18"/>
              </w:rPr>
              <w:t> </w:t>
            </w:r>
            <w:r>
              <w:rPr>
                <w:b/>
                <w:sz w:val="18"/>
              </w:rPr>
              <w:t>applications</w:t>
            </w:r>
            <w:r>
              <w:rPr>
                <w:b/>
                <w:spacing w:val="-8"/>
                <w:sz w:val="18"/>
              </w:rPr>
              <w:t> </w:t>
            </w:r>
            <w:r>
              <w:rPr>
                <w:b/>
                <w:sz w:val="18"/>
              </w:rPr>
              <w:t>decided</w:t>
            </w:r>
            <w:r>
              <w:rPr>
                <w:b/>
                <w:spacing w:val="-9"/>
                <w:sz w:val="18"/>
              </w:rPr>
              <w:t> </w:t>
            </w:r>
            <w:r>
              <w:rPr>
                <w:b/>
                <w:sz w:val="18"/>
              </w:rPr>
              <w:t>within</w:t>
            </w:r>
            <w:r>
              <w:rPr>
                <w:b/>
                <w:spacing w:val="-9"/>
                <w:sz w:val="18"/>
              </w:rPr>
              <w:t> </w:t>
            </w:r>
            <w:r>
              <w:rPr>
                <w:b/>
                <w:sz w:val="18"/>
              </w:rPr>
              <w:t>the relevant required time</w:t>
            </w:r>
          </w:p>
          <w:p>
            <w:pPr>
              <w:pStyle w:val="TableParagraph"/>
              <w:spacing w:before="2"/>
              <w:ind w:left="118" w:right="145"/>
              <w:rPr>
                <w:sz w:val="18"/>
              </w:rPr>
            </w:pPr>
            <w:r>
              <w:rPr>
                <w:sz w:val="18"/>
              </w:rPr>
              <w:t>Number</w:t>
            </w:r>
            <w:r>
              <w:rPr>
                <w:spacing w:val="-13"/>
                <w:sz w:val="18"/>
              </w:rPr>
              <w:t> </w:t>
            </w:r>
            <w:r>
              <w:rPr>
                <w:sz w:val="18"/>
              </w:rPr>
              <w:t>of</w:t>
            </w:r>
            <w:r>
              <w:rPr>
                <w:spacing w:val="-7"/>
                <w:sz w:val="18"/>
              </w:rPr>
              <w:t> </w:t>
            </w:r>
            <w:r>
              <w:rPr>
                <w:sz w:val="18"/>
              </w:rPr>
              <w:t>planning</w:t>
            </w:r>
            <w:r>
              <w:rPr>
                <w:spacing w:val="-11"/>
                <w:sz w:val="18"/>
              </w:rPr>
              <w:t> </w:t>
            </w:r>
            <w:r>
              <w:rPr>
                <w:sz w:val="18"/>
              </w:rPr>
              <w:t>application</w:t>
            </w:r>
            <w:r>
              <w:rPr>
                <w:spacing w:val="-8"/>
                <w:sz w:val="18"/>
              </w:rPr>
              <w:t> </w:t>
            </w:r>
            <w:r>
              <w:rPr>
                <w:sz w:val="18"/>
              </w:rPr>
              <w:t>decisions made within the relevant required time / Number</w:t>
            </w:r>
            <w:r>
              <w:rPr>
                <w:spacing w:val="-13"/>
                <w:sz w:val="18"/>
              </w:rPr>
              <w:t> </w:t>
            </w:r>
            <w:r>
              <w:rPr>
                <w:sz w:val="18"/>
              </w:rPr>
              <w:t>of</w:t>
            </w:r>
            <w:r>
              <w:rPr>
                <w:spacing w:val="-7"/>
                <w:sz w:val="18"/>
              </w:rPr>
              <w:t> </w:t>
            </w:r>
            <w:r>
              <w:rPr>
                <w:sz w:val="18"/>
              </w:rPr>
              <w:t>planning</w:t>
            </w:r>
            <w:r>
              <w:rPr>
                <w:spacing w:val="-11"/>
                <w:sz w:val="18"/>
              </w:rPr>
              <w:t> </w:t>
            </w:r>
            <w:r>
              <w:rPr>
                <w:sz w:val="18"/>
              </w:rPr>
              <w:t>application</w:t>
            </w:r>
            <w:r>
              <w:rPr>
                <w:spacing w:val="-8"/>
                <w:sz w:val="18"/>
              </w:rPr>
              <w:t> </w:t>
            </w:r>
            <w:r>
              <w:rPr>
                <w:sz w:val="18"/>
              </w:rPr>
              <w:t>decisions</w:t>
            </w:r>
          </w:p>
          <w:p>
            <w:pPr>
              <w:pStyle w:val="TableParagraph"/>
              <w:spacing w:line="187" w:lineRule="exact"/>
              <w:ind w:left="118"/>
              <w:rPr>
                <w:sz w:val="18"/>
              </w:rPr>
            </w:pPr>
            <w:r>
              <w:rPr>
                <w:spacing w:val="-4"/>
                <w:sz w:val="18"/>
              </w:rPr>
              <w:t>made</w:t>
            </w:r>
          </w:p>
        </w:tc>
        <w:tc>
          <w:tcPr>
            <w:tcW w:w="65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left="210"/>
              <w:rPr>
                <w:sz w:val="18"/>
              </w:rPr>
            </w:pPr>
            <w:r>
              <w:rPr>
                <w:sz w:val="18"/>
              </w:rPr>
              <w:t>3</w:t>
            </w:r>
          </w:p>
        </w:tc>
        <w:tc>
          <w:tcPr>
            <w:tcW w:w="1312"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300"/>
              <w:jc w:val="right"/>
              <w:rPr>
                <w:sz w:val="18"/>
              </w:rPr>
            </w:pPr>
            <w:r>
              <w:rPr>
                <w:spacing w:val="-2"/>
                <w:sz w:val="18"/>
              </w:rPr>
              <w:t>73.99%</w:t>
            </w:r>
          </w:p>
        </w:tc>
        <w:tc>
          <w:tcPr>
            <w:tcW w:w="1074"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100"/>
              <w:jc w:val="right"/>
              <w:rPr>
                <w:sz w:val="18"/>
              </w:rPr>
            </w:pPr>
            <w:r>
              <w:rPr>
                <w:spacing w:val="-2"/>
                <w:sz w:val="18"/>
              </w:rPr>
              <w:t>75.00%</w:t>
            </w:r>
          </w:p>
        </w:tc>
        <w:tc>
          <w:tcPr>
            <w:tcW w:w="1274" w:type="dxa"/>
            <w:tcBorders>
              <w:top w:val="single" w:sz="4" w:space="0" w:color="000000"/>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6"/>
              <w:rPr>
                <w:b/>
                <w:sz w:val="28"/>
              </w:rPr>
            </w:pPr>
          </w:p>
          <w:p>
            <w:pPr>
              <w:pStyle w:val="TableParagraph"/>
              <w:ind w:right="100"/>
              <w:jc w:val="right"/>
              <w:rPr>
                <w:sz w:val="18"/>
              </w:rPr>
            </w:pPr>
            <w:r>
              <w:rPr>
                <w:spacing w:val="-2"/>
                <w:sz w:val="18"/>
              </w:rPr>
              <w:t>78.00%</w:t>
            </w:r>
          </w:p>
        </w:tc>
        <w:tc>
          <w:tcPr>
            <w:tcW w:w="137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43"/>
              <w:jc w:val="right"/>
              <w:rPr>
                <w:sz w:val="18"/>
              </w:rPr>
            </w:pPr>
            <w:r>
              <w:rPr>
                <w:spacing w:val="-2"/>
                <w:sz w:val="18"/>
              </w:rPr>
              <w:t>80.00%</w:t>
            </w:r>
          </w:p>
        </w:tc>
        <w:tc>
          <w:tcPr>
            <w:tcW w:w="116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43"/>
              <w:jc w:val="right"/>
              <w:rPr>
                <w:sz w:val="18"/>
              </w:rPr>
            </w:pPr>
            <w:r>
              <w:rPr>
                <w:spacing w:val="-2"/>
                <w:sz w:val="18"/>
              </w:rPr>
              <w:t>80.00%</w:t>
            </w:r>
          </w:p>
        </w:tc>
        <w:tc>
          <w:tcPr>
            <w:tcW w:w="1156"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37"/>
              <w:jc w:val="right"/>
              <w:rPr>
                <w:sz w:val="18"/>
              </w:rPr>
            </w:pPr>
            <w:r>
              <w:rPr>
                <w:spacing w:val="-2"/>
                <w:sz w:val="18"/>
              </w:rPr>
              <w:t>80.00%</w:t>
            </w:r>
          </w:p>
        </w:tc>
        <w:tc>
          <w:tcPr>
            <w:tcW w:w="729" w:type="dxa"/>
            <w:tcBorders>
              <w:top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left="245"/>
              <w:rPr>
                <w:sz w:val="18"/>
              </w:rPr>
            </w:pPr>
            <w:r>
              <w:rPr>
                <w:sz w:val="18"/>
              </w:rPr>
              <w:t>+</w:t>
            </w:r>
          </w:p>
        </w:tc>
      </w:tr>
      <w:tr>
        <w:trPr>
          <w:trHeight w:val="1514" w:hRule="atLeast"/>
        </w:trPr>
        <w:tc>
          <w:tcPr>
            <w:tcW w:w="2807" w:type="dxa"/>
            <w:tcBorders>
              <w:top w:val="single" w:sz="4" w:space="0" w:color="000000"/>
              <w:left w:val="single" w:sz="4" w:space="0" w:color="000000"/>
              <w:bottom w:val="single" w:sz="4" w:space="0" w:color="000000"/>
            </w:tcBorders>
          </w:tcPr>
          <w:p>
            <w:pPr>
              <w:pStyle w:val="TableParagraph"/>
              <w:spacing w:before="30"/>
              <w:ind w:left="107"/>
              <w:rPr>
                <w:b/>
                <w:i/>
                <w:sz w:val="18"/>
              </w:rPr>
            </w:pPr>
            <w:r>
              <w:rPr>
                <w:b/>
                <w:i/>
                <w:sz w:val="18"/>
              </w:rPr>
              <w:t>Waste </w:t>
            </w:r>
            <w:r>
              <w:rPr>
                <w:b/>
                <w:i/>
                <w:spacing w:val="-2"/>
                <w:sz w:val="18"/>
              </w:rPr>
              <w:t>management</w:t>
            </w:r>
          </w:p>
          <w:p>
            <w:pPr>
              <w:pStyle w:val="TableParagraph"/>
              <w:spacing w:before="9"/>
              <w:rPr>
                <w:b/>
                <w:sz w:val="29"/>
              </w:rPr>
            </w:pPr>
          </w:p>
          <w:p>
            <w:pPr>
              <w:pStyle w:val="TableParagraph"/>
              <w:ind w:left="107"/>
              <w:rPr>
                <w:b/>
                <w:sz w:val="18"/>
              </w:rPr>
            </w:pPr>
            <w:r>
              <w:rPr>
                <w:b/>
                <w:sz w:val="18"/>
              </w:rPr>
              <w:t>Waste </w:t>
            </w:r>
            <w:r>
              <w:rPr>
                <w:b/>
                <w:spacing w:val="-2"/>
                <w:sz w:val="18"/>
              </w:rPr>
              <w:t>diversion</w:t>
            </w:r>
          </w:p>
          <w:p>
            <w:pPr>
              <w:pStyle w:val="TableParagraph"/>
              <w:spacing w:before="2"/>
              <w:ind w:left="107"/>
              <w:rPr>
                <w:sz w:val="18"/>
              </w:rPr>
            </w:pPr>
            <w:r>
              <w:rPr>
                <w:sz w:val="18"/>
              </w:rPr>
              <w:t>(amount</w:t>
            </w:r>
            <w:r>
              <w:rPr>
                <w:spacing w:val="-7"/>
                <w:sz w:val="18"/>
              </w:rPr>
              <w:t> </w:t>
            </w:r>
            <w:r>
              <w:rPr>
                <w:sz w:val="18"/>
              </w:rPr>
              <w:t>of</w:t>
            </w:r>
            <w:r>
              <w:rPr>
                <w:spacing w:val="-10"/>
                <w:sz w:val="18"/>
              </w:rPr>
              <w:t> </w:t>
            </w:r>
            <w:r>
              <w:rPr>
                <w:sz w:val="18"/>
              </w:rPr>
              <w:t>waste</w:t>
            </w:r>
            <w:r>
              <w:rPr>
                <w:spacing w:val="-9"/>
                <w:sz w:val="18"/>
              </w:rPr>
              <w:t> </w:t>
            </w:r>
            <w:r>
              <w:rPr>
                <w:sz w:val="18"/>
              </w:rPr>
              <w:t>diverted</w:t>
            </w:r>
            <w:r>
              <w:rPr>
                <w:spacing w:val="-9"/>
                <w:sz w:val="18"/>
              </w:rPr>
              <w:t> </w:t>
            </w:r>
            <w:r>
              <w:rPr>
                <w:sz w:val="18"/>
              </w:rPr>
              <w:t>from landfill is maximised)</w:t>
            </w:r>
          </w:p>
        </w:tc>
        <w:tc>
          <w:tcPr>
            <w:tcW w:w="3935" w:type="dxa"/>
            <w:tcBorders>
              <w:top w:val="single" w:sz="4" w:space="0" w:color="000000"/>
              <w:bottom w:val="single" w:sz="4" w:space="0" w:color="000000"/>
            </w:tcBorders>
          </w:tcPr>
          <w:p>
            <w:pPr>
              <w:pStyle w:val="TableParagraph"/>
              <w:spacing w:before="5"/>
              <w:rPr>
                <w:b/>
                <w:sz w:val="23"/>
              </w:rPr>
            </w:pPr>
          </w:p>
          <w:p>
            <w:pPr>
              <w:pStyle w:val="TableParagraph"/>
              <w:ind w:left="118"/>
              <w:rPr>
                <w:b/>
                <w:sz w:val="18"/>
              </w:rPr>
            </w:pPr>
            <w:r>
              <w:rPr>
                <w:b/>
                <w:sz w:val="18"/>
              </w:rPr>
              <w:t>Kerbside</w:t>
            </w:r>
            <w:r>
              <w:rPr>
                <w:b/>
                <w:spacing w:val="-9"/>
                <w:sz w:val="18"/>
              </w:rPr>
              <w:t> </w:t>
            </w:r>
            <w:r>
              <w:rPr>
                <w:b/>
                <w:sz w:val="18"/>
              </w:rPr>
              <w:t>collection</w:t>
            </w:r>
            <w:r>
              <w:rPr>
                <w:b/>
                <w:spacing w:val="-10"/>
                <w:sz w:val="18"/>
              </w:rPr>
              <w:t> </w:t>
            </w:r>
            <w:r>
              <w:rPr>
                <w:b/>
                <w:sz w:val="18"/>
              </w:rPr>
              <w:t>waste</w:t>
            </w:r>
            <w:r>
              <w:rPr>
                <w:b/>
                <w:spacing w:val="-7"/>
                <w:sz w:val="18"/>
              </w:rPr>
              <w:t> </w:t>
            </w:r>
            <w:r>
              <w:rPr>
                <w:b/>
                <w:sz w:val="18"/>
              </w:rPr>
              <w:t>diverted</w:t>
            </w:r>
            <w:r>
              <w:rPr>
                <w:b/>
                <w:spacing w:val="-9"/>
                <w:sz w:val="18"/>
              </w:rPr>
              <w:t> </w:t>
            </w:r>
            <w:r>
              <w:rPr>
                <w:b/>
                <w:sz w:val="18"/>
              </w:rPr>
              <w:t>from </w:t>
            </w:r>
            <w:r>
              <w:rPr>
                <w:b/>
                <w:spacing w:val="-2"/>
                <w:sz w:val="18"/>
              </w:rPr>
              <w:t>landfill</w:t>
            </w:r>
          </w:p>
          <w:p>
            <w:pPr>
              <w:pStyle w:val="TableParagraph"/>
              <w:ind w:left="118"/>
              <w:rPr>
                <w:sz w:val="18"/>
              </w:rPr>
            </w:pPr>
            <w:r>
              <w:rPr>
                <w:sz w:val="18"/>
              </w:rPr>
              <w:t>Weight</w:t>
            </w:r>
            <w:r>
              <w:rPr>
                <w:spacing w:val="-8"/>
                <w:sz w:val="18"/>
              </w:rPr>
              <w:t> </w:t>
            </w:r>
            <w:r>
              <w:rPr>
                <w:sz w:val="18"/>
              </w:rPr>
              <w:t>of</w:t>
            </w:r>
            <w:r>
              <w:rPr>
                <w:spacing w:val="-6"/>
                <w:sz w:val="18"/>
              </w:rPr>
              <w:t> </w:t>
            </w:r>
            <w:r>
              <w:rPr>
                <w:sz w:val="18"/>
              </w:rPr>
              <w:t>recyclables</w:t>
            </w:r>
            <w:r>
              <w:rPr>
                <w:spacing w:val="-8"/>
                <w:sz w:val="18"/>
              </w:rPr>
              <w:t> </w:t>
            </w:r>
            <w:r>
              <w:rPr>
                <w:sz w:val="18"/>
              </w:rPr>
              <w:t>and</w:t>
            </w:r>
            <w:r>
              <w:rPr>
                <w:spacing w:val="-10"/>
                <w:sz w:val="18"/>
              </w:rPr>
              <w:t> </w:t>
            </w:r>
            <w:r>
              <w:rPr>
                <w:sz w:val="18"/>
              </w:rPr>
              <w:t>green</w:t>
            </w:r>
            <w:r>
              <w:rPr>
                <w:spacing w:val="-6"/>
                <w:sz w:val="18"/>
              </w:rPr>
              <w:t> </w:t>
            </w:r>
            <w:r>
              <w:rPr>
                <w:sz w:val="18"/>
              </w:rPr>
              <w:t>organics collected from kerbside bins / Weight of</w:t>
            </w:r>
          </w:p>
          <w:p>
            <w:pPr>
              <w:pStyle w:val="TableParagraph"/>
              <w:spacing w:line="206" w:lineRule="exact"/>
              <w:ind w:left="118"/>
              <w:rPr>
                <w:sz w:val="18"/>
              </w:rPr>
            </w:pPr>
            <w:r>
              <w:rPr>
                <w:sz w:val="18"/>
              </w:rPr>
              <w:t>garbage,</w:t>
            </w:r>
            <w:r>
              <w:rPr>
                <w:spacing w:val="-9"/>
                <w:sz w:val="18"/>
              </w:rPr>
              <w:t> </w:t>
            </w:r>
            <w:r>
              <w:rPr>
                <w:sz w:val="18"/>
              </w:rPr>
              <w:t>recyclables</w:t>
            </w:r>
            <w:r>
              <w:rPr>
                <w:spacing w:val="-9"/>
                <w:sz w:val="18"/>
              </w:rPr>
              <w:t> </w:t>
            </w:r>
            <w:r>
              <w:rPr>
                <w:sz w:val="18"/>
              </w:rPr>
              <w:t>and</w:t>
            </w:r>
            <w:r>
              <w:rPr>
                <w:spacing w:val="-10"/>
                <w:sz w:val="18"/>
              </w:rPr>
              <w:t> </w:t>
            </w:r>
            <w:r>
              <w:rPr>
                <w:sz w:val="18"/>
              </w:rPr>
              <w:t>green</w:t>
            </w:r>
            <w:r>
              <w:rPr>
                <w:spacing w:val="-10"/>
                <w:sz w:val="18"/>
              </w:rPr>
              <w:t> </w:t>
            </w:r>
            <w:r>
              <w:rPr>
                <w:sz w:val="18"/>
              </w:rPr>
              <w:t>organics collected from kerbside bins</w:t>
            </w:r>
          </w:p>
        </w:tc>
        <w:tc>
          <w:tcPr>
            <w:tcW w:w="65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left="210"/>
              <w:rPr>
                <w:sz w:val="18"/>
              </w:rPr>
            </w:pPr>
            <w:r>
              <w:rPr>
                <w:sz w:val="18"/>
              </w:rPr>
              <w:t>4</w:t>
            </w:r>
          </w:p>
        </w:tc>
        <w:tc>
          <w:tcPr>
            <w:tcW w:w="1312"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left="347"/>
              <w:rPr>
                <w:sz w:val="18"/>
              </w:rPr>
            </w:pPr>
            <w:r>
              <w:rPr>
                <w:spacing w:val="-2"/>
                <w:sz w:val="18"/>
              </w:rPr>
              <w:t>56.22%</w:t>
            </w:r>
          </w:p>
        </w:tc>
        <w:tc>
          <w:tcPr>
            <w:tcW w:w="1074"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151"/>
              <w:jc w:val="right"/>
              <w:rPr>
                <w:sz w:val="18"/>
              </w:rPr>
            </w:pPr>
            <w:r>
              <w:rPr>
                <w:spacing w:val="-2"/>
                <w:sz w:val="18"/>
              </w:rPr>
              <w:t>60.00%</w:t>
            </w:r>
          </w:p>
        </w:tc>
        <w:tc>
          <w:tcPr>
            <w:tcW w:w="1274" w:type="dxa"/>
            <w:tcBorders>
              <w:top w:val="single" w:sz="4" w:space="0" w:color="000000"/>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6"/>
              <w:rPr>
                <w:b/>
                <w:sz w:val="28"/>
              </w:rPr>
            </w:pPr>
          </w:p>
          <w:p>
            <w:pPr>
              <w:pStyle w:val="TableParagraph"/>
              <w:ind w:right="150"/>
              <w:jc w:val="right"/>
              <w:rPr>
                <w:sz w:val="18"/>
              </w:rPr>
            </w:pPr>
            <w:r>
              <w:rPr>
                <w:spacing w:val="-2"/>
                <w:sz w:val="18"/>
              </w:rPr>
              <w:t>60.54%</w:t>
            </w:r>
          </w:p>
        </w:tc>
        <w:tc>
          <w:tcPr>
            <w:tcW w:w="137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94"/>
              <w:jc w:val="right"/>
              <w:rPr>
                <w:sz w:val="18"/>
              </w:rPr>
            </w:pPr>
            <w:r>
              <w:rPr>
                <w:spacing w:val="-2"/>
                <w:sz w:val="18"/>
              </w:rPr>
              <w:t>60.84%</w:t>
            </w:r>
          </w:p>
        </w:tc>
        <w:tc>
          <w:tcPr>
            <w:tcW w:w="1161"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93"/>
              <w:jc w:val="right"/>
              <w:rPr>
                <w:sz w:val="18"/>
              </w:rPr>
            </w:pPr>
            <w:r>
              <w:rPr>
                <w:spacing w:val="-2"/>
                <w:sz w:val="18"/>
              </w:rPr>
              <w:t>61.15%</w:t>
            </w:r>
          </w:p>
        </w:tc>
        <w:tc>
          <w:tcPr>
            <w:tcW w:w="1156"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right="288"/>
              <w:jc w:val="right"/>
              <w:rPr>
                <w:sz w:val="18"/>
              </w:rPr>
            </w:pPr>
            <w:r>
              <w:rPr>
                <w:spacing w:val="-2"/>
                <w:sz w:val="18"/>
              </w:rPr>
              <w:t>61.45%</w:t>
            </w:r>
          </w:p>
        </w:tc>
        <w:tc>
          <w:tcPr>
            <w:tcW w:w="729" w:type="dxa"/>
            <w:tcBorders>
              <w:top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6"/>
              <w:rPr>
                <w:b/>
                <w:sz w:val="28"/>
              </w:rPr>
            </w:pPr>
          </w:p>
          <w:p>
            <w:pPr>
              <w:pStyle w:val="TableParagraph"/>
              <w:ind w:left="246"/>
              <w:rPr>
                <w:sz w:val="18"/>
              </w:rPr>
            </w:pPr>
            <w:r>
              <w:rPr>
                <w:sz w:val="18"/>
              </w:rPr>
              <w:t>+</w:t>
            </w:r>
          </w:p>
        </w:tc>
      </w:tr>
    </w:tbl>
    <w:p>
      <w:pPr>
        <w:spacing w:after="0"/>
        <w:rPr>
          <w:sz w:val="18"/>
        </w:rPr>
        <w:sectPr>
          <w:footerReference w:type="default" r:id="rId38"/>
          <w:pgSz w:w="16840" w:h="11910" w:orient="landscape"/>
          <w:pgMar w:footer="546" w:header="0" w:top="700" w:bottom="740" w:left="600" w:right="120"/>
        </w:sectPr>
      </w:pPr>
    </w:p>
    <w:p>
      <w:pPr>
        <w:spacing w:before="80"/>
        <w:ind w:left="120" w:right="0" w:firstLine="0"/>
        <w:jc w:val="left"/>
        <w:rPr>
          <w:b/>
          <w:sz w:val="22"/>
        </w:rPr>
      </w:pPr>
      <w:r>
        <w:rPr/>
        <w:pict>
          <v:shape style="position:absolute;margin-left:358.410217pt;margin-top:36.005924pt;width:12.1pt;height:27.1pt;mso-position-horizontal-relative:page;mso-position-vertical-relative:paragraph;z-index:-37780480" type="#_x0000_t202" id="docshape952" filled="false" stroked="false">
            <v:textbox inset="0,0,0,0" style="layout-flow:vertical;mso-layout-flow-alt:bottom-to-top">
              <w:txbxContent>
                <w:p>
                  <w:pPr>
                    <w:spacing w:before="14"/>
                    <w:ind w:left="20" w:right="0" w:firstLine="0"/>
                    <w:jc w:val="left"/>
                    <w:rPr>
                      <w:b/>
                      <w:sz w:val="18"/>
                    </w:rPr>
                  </w:pPr>
                  <w:r>
                    <w:rPr>
                      <w:b/>
                      <w:color w:val="FFFFFF"/>
                      <w:spacing w:val="-2"/>
                      <w:sz w:val="18"/>
                    </w:rPr>
                    <w:t>Notes</w:t>
                  </w:r>
                </w:p>
              </w:txbxContent>
            </v:textbox>
            <w10:wrap type="none"/>
          </v:shape>
        </w:pict>
      </w:r>
      <w:r>
        <w:rPr>
          <w:b/>
          <w:sz w:val="22"/>
        </w:rPr>
        <w:t>Targeted</w:t>
      </w:r>
      <w:r>
        <w:rPr>
          <w:b/>
          <w:spacing w:val="-4"/>
          <w:sz w:val="22"/>
        </w:rPr>
        <w:t> </w:t>
      </w:r>
      <w:r>
        <w:rPr>
          <w:b/>
          <w:sz w:val="22"/>
        </w:rPr>
        <w:t>performance</w:t>
      </w:r>
      <w:r>
        <w:rPr>
          <w:b/>
          <w:spacing w:val="-5"/>
          <w:sz w:val="22"/>
        </w:rPr>
        <w:t> </w:t>
      </w:r>
      <w:r>
        <w:rPr>
          <w:b/>
          <w:sz w:val="22"/>
        </w:rPr>
        <w:t>indicators</w:t>
      </w:r>
      <w:r>
        <w:rPr>
          <w:b/>
          <w:spacing w:val="-6"/>
          <w:sz w:val="22"/>
        </w:rPr>
        <w:t> </w:t>
      </w:r>
      <w:r>
        <w:rPr>
          <w:b/>
          <w:sz w:val="22"/>
        </w:rPr>
        <w:t>-</w:t>
      </w:r>
      <w:r>
        <w:rPr>
          <w:b/>
          <w:spacing w:val="-3"/>
          <w:sz w:val="22"/>
        </w:rPr>
        <w:t> </w:t>
      </w:r>
      <w:r>
        <w:rPr>
          <w:b/>
          <w:spacing w:val="-2"/>
          <w:sz w:val="22"/>
        </w:rPr>
        <w:t>Financial</w:t>
      </w:r>
    </w:p>
    <w:p>
      <w:pPr>
        <w:pStyle w:val="BodyText"/>
        <w:rPr>
          <w:b/>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40"/>
        <w:gridCol w:w="3776"/>
        <w:gridCol w:w="537"/>
        <w:gridCol w:w="1386"/>
        <w:gridCol w:w="1300"/>
        <w:gridCol w:w="1257"/>
        <w:gridCol w:w="1525"/>
        <w:gridCol w:w="1212"/>
        <w:gridCol w:w="1127"/>
        <w:gridCol w:w="830"/>
      </w:tblGrid>
      <w:tr>
        <w:trPr>
          <w:trHeight w:val="789" w:hRule="atLeast"/>
        </w:trPr>
        <w:tc>
          <w:tcPr>
            <w:tcW w:w="2540" w:type="dxa"/>
            <w:tcBorders>
              <w:top w:val="single" w:sz="4" w:space="0" w:color="000000"/>
              <w:left w:val="single" w:sz="4" w:space="0" w:color="000000"/>
            </w:tcBorders>
            <w:shd w:val="clear" w:color="auto" w:fill="5B9AD4"/>
          </w:tcPr>
          <w:p>
            <w:pPr>
              <w:pStyle w:val="TableParagraph"/>
              <w:spacing w:before="4"/>
              <w:rPr>
                <w:b/>
                <w:sz w:val="25"/>
              </w:rPr>
            </w:pPr>
          </w:p>
          <w:p>
            <w:pPr>
              <w:pStyle w:val="TableParagraph"/>
              <w:ind w:left="910" w:right="841"/>
              <w:jc w:val="center"/>
              <w:rPr>
                <w:b/>
                <w:sz w:val="18"/>
              </w:rPr>
            </w:pPr>
            <w:r>
              <w:rPr>
                <w:b/>
                <w:color w:val="FFFFFF"/>
                <w:spacing w:val="-2"/>
                <w:sz w:val="18"/>
              </w:rPr>
              <w:t>Indicator</w:t>
            </w:r>
          </w:p>
        </w:tc>
        <w:tc>
          <w:tcPr>
            <w:tcW w:w="3776" w:type="dxa"/>
            <w:tcBorders>
              <w:top w:val="single" w:sz="4" w:space="0" w:color="000000"/>
            </w:tcBorders>
            <w:shd w:val="clear" w:color="auto" w:fill="5B9AD4"/>
          </w:tcPr>
          <w:p>
            <w:pPr>
              <w:pStyle w:val="TableParagraph"/>
              <w:spacing w:before="4"/>
              <w:rPr>
                <w:b/>
                <w:sz w:val="25"/>
              </w:rPr>
            </w:pPr>
          </w:p>
          <w:p>
            <w:pPr>
              <w:pStyle w:val="TableParagraph"/>
              <w:ind w:left="1480" w:right="1539"/>
              <w:jc w:val="center"/>
              <w:rPr>
                <w:b/>
                <w:sz w:val="18"/>
              </w:rPr>
            </w:pPr>
            <w:r>
              <w:rPr>
                <w:b/>
                <w:color w:val="FFFFFF"/>
                <w:spacing w:val="-2"/>
                <w:sz w:val="18"/>
              </w:rPr>
              <w:t>Measure</w:t>
            </w:r>
          </w:p>
        </w:tc>
        <w:tc>
          <w:tcPr>
            <w:tcW w:w="537" w:type="dxa"/>
            <w:tcBorders>
              <w:top w:val="single" w:sz="4" w:space="0" w:color="000000"/>
            </w:tcBorders>
            <w:shd w:val="clear" w:color="auto" w:fill="5B9AD4"/>
          </w:tcPr>
          <w:p>
            <w:pPr>
              <w:pStyle w:val="TableParagraph"/>
              <w:rPr>
                <w:rFonts w:ascii="Times New Roman"/>
                <w:sz w:val="18"/>
              </w:rPr>
            </w:pPr>
          </w:p>
        </w:tc>
        <w:tc>
          <w:tcPr>
            <w:tcW w:w="1386" w:type="dxa"/>
            <w:tcBorders>
              <w:top w:val="single" w:sz="4" w:space="0" w:color="000000"/>
            </w:tcBorders>
            <w:shd w:val="clear" w:color="auto" w:fill="5B9AD4"/>
          </w:tcPr>
          <w:p>
            <w:pPr>
              <w:pStyle w:val="TableParagraph"/>
              <w:spacing w:line="396" w:lineRule="exact"/>
              <w:ind w:left="246" w:firstLine="151"/>
              <w:rPr>
                <w:b/>
                <w:sz w:val="18"/>
              </w:rPr>
            </w:pPr>
            <w:r>
              <w:rPr>
                <w:b/>
                <w:color w:val="FFFFFF"/>
                <w:spacing w:val="-2"/>
                <w:sz w:val="18"/>
              </w:rPr>
              <w:t>Actual 2022/2023</w:t>
            </w:r>
          </w:p>
        </w:tc>
        <w:tc>
          <w:tcPr>
            <w:tcW w:w="1300" w:type="dxa"/>
            <w:tcBorders>
              <w:top w:val="single" w:sz="4" w:space="0" w:color="000000"/>
            </w:tcBorders>
            <w:shd w:val="clear" w:color="auto" w:fill="5B9AD4"/>
          </w:tcPr>
          <w:p>
            <w:pPr>
              <w:pStyle w:val="TableParagraph"/>
              <w:spacing w:line="396" w:lineRule="exact"/>
              <w:ind w:left="184" w:firstLine="50"/>
              <w:rPr>
                <w:b/>
                <w:sz w:val="18"/>
              </w:rPr>
            </w:pPr>
            <w:r>
              <w:rPr>
                <w:b/>
                <w:color w:val="FFFFFF"/>
                <w:spacing w:val="-2"/>
                <w:sz w:val="18"/>
              </w:rPr>
              <w:t>Forecast 2023/2024</w:t>
            </w:r>
          </w:p>
        </w:tc>
        <w:tc>
          <w:tcPr>
            <w:tcW w:w="1257" w:type="dxa"/>
            <w:tcBorders>
              <w:top w:val="single" w:sz="4" w:space="0" w:color="000000"/>
            </w:tcBorders>
            <w:shd w:val="clear" w:color="auto" w:fill="5B9AD4"/>
          </w:tcPr>
          <w:p>
            <w:pPr>
              <w:pStyle w:val="TableParagraph"/>
              <w:spacing w:line="396" w:lineRule="exact"/>
              <w:ind w:left="202" w:firstLine="148"/>
              <w:rPr>
                <w:b/>
                <w:sz w:val="18"/>
              </w:rPr>
            </w:pPr>
            <w:r>
              <w:rPr>
                <w:b/>
                <w:color w:val="FFFFFF"/>
                <w:spacing w:val="-2"/>
                <w:sz w:val="18"/>
              </w:rPr>
              <w:t>Target 2024/2025</w:t>
            </w:r>
          </w:p>
        </w:tc>
        <w:tc>
          <w:tcPr>
            <w:tcW w:w="2737" w:type="dxa"/>
            <w:gridSpan w:val="2"/>
            <w:tcBorders>
              <w:top w:val="single" w:sz="4" w:space="0" w:color="000000"/>
            </w:tcBorders>
            <w:shd w:val="clear" w:color="auto" w:fill="5B9AD4"/>
          </w:tcPr>
          <w:p>
            <w:pPr>
              <w:pStyle w:val="TableParagraph"/>
              <w:tabs>
                <w:tab w:pos="1508" w:val="left" w:leader="none"/>
              </w:tabs>
              <w:spacing w:line="396" w:lineRule="exact"/>
              <w:ind w:left="227" w:right="33" w:firstLine="890"/>
              <w:rPr>
                <w:b/>
                <w:sz w:val="18"/>
              </w:rPr>
            </w:pPr>
            <w:r>
              <w:rPr>
                <w:b/>
                <w:color w:val="FFFFFF"/>
                <w:sz w:val="18"/>
              </w:rPr>
              <w:t>Target</w:t>
            </w:r>
            <w:r>
              <w:rPr>
                <w:b/>
                <w:color w:val="FFFFFF"/>
                <w:spacing w:val="-13"/>
                <w:sz w:val="18"/>
              </w:rPr>
              <w:t> </w:t>
            </w:r>
            <w:r>
              <w:rPr>
                <w:b/>
                <w:color w:val="FFFFFF"/>
                <w:sz w:val="18"/>
              </w:rPr>
              <w:t>Projections </w:t>
            </w:r>
            <w:r>
              <w:rPr>
                <w:b/>
                <w:color w:val="FFFFFF"/>
                <w:spacing w:val="-2"/>
                <w:sz w:val="18"/>
              </w:rPr>
              <w:t>2025/2026</w:t>
            </w:r>
            <w:r>
              <w:rPr>
                <w:b/>
                <w:color w:val="FFFFFF"/>
                <w:sz w:val="18"/>
              </w:rPr>
              <w:tab/>
            </w:r>
            <w:r>
              <w:rPr>
                <w:b/>
                <w:color w:val="FFFFFF"/>
                <w:spacing w:val="-2"/>
                <w:sz w:val="18"/>
              </w:rPr>
              <w:t>2026/2027</w:t>
            </w:r>
          </w:p>
        </w:tc>
        <w:tc>
          <w:tcPr>
            <w:tcW w:w="1127" w:type="dxa"/>
            <w:tcBorders>
              <w:top w:val="single" w:sz="4" w:space="0" w:color="000000"/>
            </w:tcBorders>
            <w:shd w:val="clear" w:color="auto" w:fill="5B9AD4"/>
          </w:tcPr>
          <w:p>
            <w:pPr>
              <w:pStyle w:val="TableParagraph"/>
              <w:rPr>
                <w:b/>
                <w:sz w:val="20"/>
              </w:rPr>
            </w:pPr>
          </w:p>
          <w:p>
            <w:pPr>
              <w:pStyle w:val="TableParagraph"/>
              <w:spacing w:before="10"/>
              <w:rPr>
                <w:b/>
                <w:sz w:val="27"/>
              </w:rPr>
            </w:pPr>
          </w:p>
          <w:p>
            <w:pPr>
              <w:pStyle w:val="TableParagraph"/>
              <w:ind w:left="27"/>
              <w:rPr>
                <w:b/>
                <w:sz w:val="18"/>
              </w:rPr>
            </w:pPr>
            <w:r>
              <w:rPr>
                <w:b/>
                <w:color w:val="FFFFFF"/>
                <w:spacing w:val="-2"/>
                <w:sz w:val="18"/>
              </w:rPr>
              <w:t>2027/2028</w:t>
            </w:r>
          </w:p>
        </w:tc>
        <w:tc>
          <w:tcPr>
            <w:tcW w:w="830" w:type="dxa"/>
            <w:tcBorders>
              <w:top w:val="single" w:sz="4" w:space="0" w:color="000000"/>
              <w:right w:val="single" w:sz="4" w:space="0" w:color="000000"/>
            </w:tcBorders>
            <w:shd w:val="clear" w:color="auto" w:fill="5B9AD4"/>
          </w:tcPr>
          <w:p>
            <w:pPr>
              <w:pStyle w:val="TableParagraph"/>
              <w:spacing w:before="155"/>
              <w:ind w:left="135"/>
              <w:rPr>
                <w:b/>
                <w:sz w:val="18"/>
              </w:rPr>
            </w:pPr>
            <w:r>
              <w:rPr>
                <w:b/>
                <w:color w:val="FFFFFF"/>
                <w:spacing w:val="-2"/>
                <w:sz w:val="18"/>
              </w:rPr>
              <w:t>Trend</w:t>
            </w:r>
          </w:p>
          <w:p>
            <w:pPr>
              <w:pStyle w:val="TableParagraph"/>
              <w:spacing w:before="5"/>
              <w:rPr>
                <w:b/>
                <w:sz w:val="16"/>
              </w:rPr>
            </w:pPr>
          </w:p>
          <w:p>
            <w:pPr>
              <w:pStyle w:val="TableParagraph"/>
              <w:ind w:left="198"/>
              <w:rPr>
                <w:b/>
                <w:sz w:val="18"/>
              </w:rPr>
            </w:pPr>
            <w:r>
              <w:rPr>
                <w:b/>
                <w:color w:val="FFFFFF"/>
                <w:spacing w:val="-2"/>
                <w:sz w:val="18"/>
              </w:rPr>
              <w:t>+/o/-</w:t>
            </w:r>
          </w:p>
        </w:tc>
      </w:tr>
      <w:tr>
        <w:trPr>
          <w:trHeight w:val="1095" w:hRule="atLeast"/>
        </w:trPr>
        <w:tc>
          <w:tcPr>
            <w:tcW w:w="2540" w:type="dxa"/>
            <w:tcBorders>
              <w:left w:val="single" w:sz="4" w:space="0" w:color="000000"/>
              <w:bottom w:val="single" w:sz="4" w:space="0" w:color="000000"/>
            </w:tcBorders>
          </w:tcPr>
          <w:p>
            <w:pPr>
              <w:pStyle w:val="TableParagraph"/>
              <w:spacing w:before="30"/>
              <w:ind w:left="107"/>
              <w:rPr>
                <w:b/>
                <w:i/>
                <w:sz w:val="18"/>
              </w:rPr>
            </w:pPr>
            <w:r>
              <w:rPr>
                <w:b/>
                <w:i/>
                <w:spacing w:val="-2"/>
                <w:sz w:val="18"/>
              </w:rPr>
              <w:t>Liquidity</w:t>
            </w:r>
          </w:p>
          <w:p>
            <w:pPr>
              <w:pStyle w:val="TableParagraph"/>
              <w:spacing w:before="30"/>
              <w:ind w:left="107"/>
              <w:rPr>
                <w:b/>
                <w:sz w:val="18"/>
              </w:rPr>
            </w:pPr>
            <w:r>
              <w:rPr>
                <w:b/>
                <w:sz w:val="18"/>
              </w:rPr>
              <w:t>Working</w:t>
            </w:r>
            <w:r>
              <w:rPr>
                <w:b/>
                <w:spacing w:val="2"/>
                <w:sz w:val="18"/>
              </w:rPr>
              <w:t> </w:t>
            </w:r>
            <w:r>
              <w:rPr>
                <w:b/>
                <w:spacing w:val="-2"/>
                <w:sz w:val="18"/>
              </w:rPr>
              <w:t>Capital</w:t>
            </w:r>
          </w:p>
          <w:p>
            <w:pPr>
              <w:pStyle w:val="TableParagraph"/>
              <w:spacing w:line="206" w:lineRule="exact"/>
              <w:ind w:left="107" w:right="218"/>
              <w:jc w:val="both"/>
              <w:rPr>
                <w:sz w:val="18"/>
              </w:rPr>
            </w:pPr>
            <w:r>
              <w:rPr>
                <w:sz w:val="18"/>
              </w:rPr>
              <w:t>(sufficient</w:t>
            </w:r>
            <w:r>
              <w:rPr>
                <w:spacing w:val="-7"/>
                <w:sz w:val="18"/>
              </w:rPr>
              <w:t> </w:t>
            </w:r>
            <w:r>
              <w:rPr>
                <w:sz w:val="18"/>
              </w:rPr>
              <w:t>working</w:t>
            </w:r>
            <w:r>
              <w:rPr>
                <w:spacing w:val="-7"/>
                <w:sz w:val="18"/>
              </w:rPr>
              <w:t> </w:t>
            </w:r>
            <w:r>
              <w:rPr>
                <w:sz w:val="18"/>
              </w:rPr>
              <w:t>capital</w:t>
            </w:r>
            <w:r>
              <w:rPr>
                <w:spacing w:val="-9"/>
                <w:sz w:val="18"/>
              </w:rPr>
              <w:t> </w:t>
            </w:r>
            <w:r>
              <w:rPr>
                <w:sz w:val="18"/>
              </w:rPr>
              <w:t>is available</w:t>
            </w:r>
            <w:r>
              <w:rPr>
                <w:spacing w:val="-7"/>
                <w:sz w:val="18"/>
              </w:rPr>
              <w:t> </w:t>
            </w:r>
            <w:r>
              <w:rPr>
                <w:sz w:val="18"/>
              </w:rPr>
              <w:t>to</w:t>
            </w:r>
            <w:r>
              <w:rPr>
                <w:spacing w:val="-7"/>
                <w:sz w:val="18"/>
              </w:rPr>
              <w:t> </w:t>
            </w:r>
            <w:r>
              <w:rPr>
                <w:sz w:val="18"/>
              </w:rPr>
              <w:t>pay</w:t>
            </w:r>
            <w:r>
              <w:rPr>
                <w:spacing w:val="-6"/>
                <w:sz w:val="18"/>
              </w:rPr>
              <w:t> </w:t>
            </w:r>
            <w:r>
              <w:rPr>
                <w:sz w:val="18"/>
              </w:rPr>
              <w:t>bills</w:t>
            </w:r>
            <w:r>
              <w:rPr>
                <w:spacing w:val="-6"/>
                <w:sz w:val="18"/>
              </w:rPr>
              <w:t> </w:t>
            </w:r>
            <w:r>
              <w:rPr>
                <w:sz w:val="18"/>
              </w:rPr>
              <w:t>as</w:t>
            </w:r>
            <w:r>
              <w:rPr>
                <w:spacing w:val="-7"/>
                <w:sz w:val="18"/>
              </w:rPr>
              <w:t> </w:t>
            </w:r>
            <w:r>
              <w:rPr>
                <w:sz w:val="18"/>
              </w:rPr>
              <w:t>and when they fall due)</w:t>
            </w:r>
          </w:p>
        </w:tc>
        <w:tc>
          <w:tcPr>
            <w:tcW w:w="3776" w:type="dxa"/>
            <w:tcBorders>
              <w:bottom w:val="single" w:sz="4" w:space="0" w:color="000000"/>
            </w:tcBorders>
          </w:tcPr>
          <w:p>
            <w:pPr>
              <w:pStyle w:val="TableParagraph"/>
              <w:rPr>
                <w:b/>
                <w:sz w:val="20"/>
              </w:rPr>
            </w:pPr>
          </w:p>
          <w:p>
            <w:pPr>
              <w:pStyle w:val="TableParagraph"/>
              <w:spacing w:before="141"/>
              <w:ind w:left="124"/>
              <w:rPr>
                <w:b/>
                <w:sz w:val="18"/>
              </w:rPr>
            </w:pPr>
            <w:r>
              <w:rPr>
                <w:b/>
                <w:sz w:val="18"/>
              </w:rPr>
              <w:t>Current</w:t>
            </w:r>
            <w:r>
              <w:rPr>
                <w:b/>
                <w:spacing w:val="-8"/>
                <w:sz w:val="18"/>
              </w:rPr>
              <w:t> </w:t>
            </w:r>
            <w:r>
              <w:rPr>
                <w:b/>
                <w:sz w:val="18"/>
              </w:rPr>
              <w:t>assets</w:t>
            </w:r>
            <w:r>
              <w:rPr>
                <w:b/>
                <w:spacing w:val="-9"/>
                <w:sz w:val="18"/>
              </w:rPr>
              <w:t> </w:t>
            </w:r>
            <w:r>
              <w:rPr>
                <w:b/>
                <w:sz w:val="18"/>
              </w:rPr>
              <w:t>compared</w:t>
            </w:r>
            <w:r>
              <w:rPr>
                <w:b/>
                <w:spacing w:val="-11"/>
                <w:sz w:val="18"/>
              </w:rPr>
              <w:t> </w:t>
            </w:r>
            <w:r>
              <w:rPr>
                <w:b/>
                <w:sz w:val="18"/>
              </w:rPr>
              <w:t>to</w:t>
            </w:r>
            <w:r>
              <w:rPr>
                <w:b/>
                <w:spacing w:val="-11"/>
                <w:sz w:val="18"/>
              </w:rPr>
              <w:t> </w:t>
            </w:r>
            <w:r>
              <w:rPr>
                <w:b/>
                <w:sz w:val="18"/>
              </w:rPr>
              <w:t>current </w:t>
            </w:r>
            <w:r>
              <w:rPr>
                <w:b/>
                <w:spacing w:val="-2"/>
                <w:sz w:val="18"/>
              </w:rPr>
              <w:t>liabilities</w:t>
            </w:r>
          </w:p>
          <w:p>
            <w:pPr>
              <w:pStyle w:val="TableParagraph"/>
              <w:spacing w:before="1"/>
              <w:ind w:left="124"/>
              <w:rPr>
                <w:sz w:val="18"/>
              </w:rPr>
            </w:pPr>
            <w:r>
              <w:rPr>
                <w:sz w:val="18"/>
              </w:rPr>
              <w:t>Current</w:t>
            </w:r>
            <w:r>
              <w:rPr>
                <w:spacing w:val="2"/>
                <w:sz w:val="18"/>
              </w:rPr>
              <w:t> </w:t>
            </w:r>
            <w:r>
              <w:rPr>
                <w:sz w:val="18"/>
              </w:rPr>
              <w:t>assets</w:t>
            </w:r>
            <w:r>
              <w:rPr>
                <w:spacing w:val="-2"/>
                <w:sz w:val="18"/>
              </w:rPr>
              <w:t> </w:t>
            </w:r>
            <w:r>
              <w:rPr>
                <w:sz w:val="18"/>
              </w:rPr>
              <w:t>/ current</w:t>
            </w:r>
            <w:r>
              <w:rPr>
                <w:spacing w:val="-3"/>
                <w:sz w:val="18"/>
              </w:rPr>
              <w:t> </w:t>
            </w:r>
            <w:r>
              <w:rPr>
                <w:spacing w:val="-2"/>
                <w:sz w:val="18"/>
              </w:rPr>
              <w:t>liabilities</w:t>
            </w:r>
          </w:p>
        </w:tc>
        <w:tc>
          <w:tcPr>
            <w:tcW w:w="537" w:type="dxa"/>
            <w:tcBorders>
              <w:bottom w:val="single" w:sz="4" w:space="0" w:color="000000"/>
            </w:tcBorders>
          </w:tcPr>
          <w:p>
            <w:pPr>
              <w:pStyle w:val="TableParagraph"/>
              <w:rPr>
                <w:b/>
                <w:sz w:val="20"/>
              </w:rPr>
            </w:pPr>
          </w:p>
          <w:p>
            <w:pPr>
              <w:pStyle w:val="TableParagraph"/>
              <w:rPr>
                <w:b/>
                <w:sz w:val="20"/>
              </w:rPr>
            </w:pPr>
          </w:p>
          <w:p>
            <w:pPr>
              <w:pStyle w:val="TableParagraph"/>
              <w:spacing w:before="120"/>
              <w:ind w:left="197"/>
              <w:rPr>
                <w:sz w:val="18"/>
              </w:rPr>
            </w:pPr>
            <w:r>
              <w:rPr>
                <w:sz w:val="18"/>
              </w:rPr>
              <w:t>5</w:t>
            </w:r>
          </w:p>
        </w:tc>
        <w:tc>
          <w:tcPr>
            <w:tcW w:w="1386" w:type="dxa"/>
            <w:tcBorders>
              <w:bottom w:val="single" w:sz="4" w:space="0" w:color="000000"/>
            </w:tcBorders>
          </w:tcPr>
          <w:p>
            <w:pPr>
              <w:pStyle w:val="TableParagraph"/>
              <w:rPr>
                <w:b/>
                <w:sz w:val="20"/>
              </w:rPr>
            </w:pPr>
          </w:p>
          <w:p>
            <w:pPr>
              <w:pStyle w:val="TableParagraph"/>
              <w:rPr>
                <w:b/>
                <w:sz w:val="20"/>
              </w:rPr>
            </w:pPr>
          </w:p>
          <w:p>
            <w:pPr>
              <w:pStyle w:val="TableParagraph"/>
              <w:spacing w:before="120"/>
              <w:ind w:right="178"/>
              <w:jc w:val="right"/>
              <w:rPr>
                <w:sz w:val="18"/>
              </w:rPr>
            </w:pPr>
            <w:r>
              <w:rPr>
                <w:spacing w:val="-2"/>
                <w:sz w:val="18"/>
              </w:rPr>
              <w:t>150.4%</w:t>
            </w:r>
          </w:p>
        </w:tc>
        <w:tc>
          <w:tcPr>
            <w:tcW w:w="1300" w:type="dxa"/>
            <w:tcBorders>
              <w:bottom w:val="single" w:sz="4" w:space="0" w:color="000000"/>
            </w:tcBorders>
          </w:tcPr>
          <w:p>
            <w:pPr>
              <w:pStyle w:val="TableParagraph"/>
              <w:rPr>
                <w:b/>
                <w:sz w:val="20"/>
              </w:rPr>
            </w:pPr>
          </w:p>
          <w:p>
            <w:pPr>
              <w:pStyle w:val="TableParagraph"/>
              <w:rPr>
                <w:b/>
                <w:sz w:val="20"/>
              </w:rPr>
            </w:pPr>
          </w:p>
          <w:p>
            <w:pPr>
              <w:pStyle w:val="TableParagraph"/>
              <w:spacing w:before="120"/>
              <w:ind w:right="106"/>
              <w:jc w:val="right"/>
              <w:rPr>
                <w:sz w:val="18"/>
              </w:rPr>
            </w:pPr>
            <w:r>
              <w:rPr>
                <w:spacing w:val="-2"/>
                <w:sz w:val="18"/>
              </w:rPr>
              <w:t>213.5%</w:t>
            </w:r>
          </w:p>
        </w:tc>
        <w:tc>
          <w:tcPr>
            <w:tcW w:w="1257" w:type="dxa"/>
            <w:tcBorders>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120"/>
              <w:ind w:right="104"/>
              <w:jc w:val="right"/>
              <w:rPr>
                <w:sz w:val="18"/>
              </w:rPr>
            </w:pPr>
            <w:r>
              <w:rPr>
                <w:spacing w:val="-2"/>
                <w:sz w:val="18"/>
              </w:rPr>
              <w:t>137.7%</w:t>
            </w:r>
          </w:p>
        </w:tc>
        <w:tc>
          <w:tcPr>
            <w:tcW w:w="1525" w:type="dxa"/>
            <w:tcBorders>
              <w:bottom w:val="single" w:sz="4" w:space="0" w:color="000000"/>
            </w:tcBorders>
          </w:tcPr>
          <w:p>
            <w:pPr>
              <w:pStyle w:val="TableParagraph"/>
              <w:rPr>
                <w:b/>
                <w:sz w:val="20"/>
              </w:rPr>
            </w:pPr>
          </w:p>
          <w:p>
            <w:pPr>
              <w:pStyle w:val="TableParagraph"/>
              <w:rPr>
                <w:b/>
                <w:sz w:val="20"/>
              </w:rPr>
            </w:pPr>
          </w:p>
          <w:p>
            <w:pPr>
              <w:pStyle w:val="TableParagraph"/>
              <w:spacing w:before="120"/>
              <w:ind w:right="323"/>
              <w:jc w:val="right"/>
              <w:rPr>
                <w:sz w:val="18"/>
              </w:rPr>
            </w:pPr>
            <w:r>
              <w:rPr>
                <w:spacing w:val="-2"/>
                <w:sz w:val="18"/>
              </w:rPr>
              <w:t>190.2%</w:t>
            </w:r>
          </w:p>
        </w:tc>
        <w:tc>
          <w:tcPr>
            <w:tcW w:w="1212" w:type="dxa"/>
            <w:tcBorders>
              <w:bottom w:val="single" w:sz="4" w:space="0" w:color="000000"/>
            </w:tcBorders>
          </w:tcPr>
          <w:p>
            <w:pPr>
              <w:pStyle w:val="TableParagraph"/>
              <w:rPr>
                <w:b/>
                <w:sz w:val="20"/>
              </w:rPr>
            </w:pPr>
          </w:p>
          <w:p>
            <w:pPr>
              <w:pStyle w:val="TableParagraph"/>
              <w:rPr>
                <w:b/>
                <w:sz w:val="20"/>
              </w:rPr>
            </w:pPr>
          </w:p>
          <w:p>
            <w:pPr>
              <w:pStyle w:val="TableParagraph"/>
              <w:spacing w:before="120"/>
              <w:ind w:right="278"/>
              <w:jc w:val="right"/>
              <w:rPr>
                <w:sz w:val="18"/>
              </w:rPr>
            </w:pPr>
            <w:r>
              <w:rPr>
                <w:spacing w:val="-2"/>
                <w:sz w:val="18"/>
              </w:rPr>
              <w:t>163.7%</w:t>
            </w:r>
          </w:p>
        </w:tc>
        <w:tc>
          <w:tcPr>
            <w:tcW w:w="1127" w:type="dxa"/>
            <w:tcBorders>
              <w:bottom w:val="single" w:sz="4" w:space="0" w:color="000000"/>
            </w:tcBorders>
          </w:tcPr>
          <w:p>
            <w:pPr>
              <w:pStyle w:val="TableParagraph"/>
              <w:rPr>
                <w:b/>
                <w:sz w:val="20"/>
              </w:rPr>
            </w:pPr>
          </w:p>
          <w:p>
            <w:pPr>
              <w:pStyle w:val="TableParagraph"/>
              <w:rPr>
                <w:b/>
                <w:sz w:val="20"/>
              </w:rPr>
            </w:pPr>
          </w:p>
          <w:p>
            <w:pPr>
              <w:pStyle w:val="TableParagraph"/>
              <w:spacing w:before="120"/>
              <w:ind w:right="151"/>
              <w:jc w:val="right"/>
              <w:rPr>
                <w:sz w:val="18"/>
              </w:rPr>
            </w:pPr>
            <w:r>
              <w:rPr>
                <w:spacing w:val="-2"/>
                <w:sz w:val="18"/>
              </w:rPr>
              <w:t>146.6%</w:t>
            </w:r>
          </w:p>
        </w:tc>
        <w:tc>
          <w:tcPr>
            <w:tcW w:w="830" w:type="dxa"/>
            <w:tcBorders>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120"/>
              <w:ind w:left="354"/>
              <w:rPr>
                <w:sz w:val="18"/>
              </w:rPr>
            </w:pPr>
            <w:r>
              <w:rPr>
                <w:sz w:val="18"/>
              </w:rPr>
              <w:t>-</w:t>
            </w:r>
          </w:p>
        </w:tc>
      </w:tr>
      <w:tr>
        <w:trPr>
          <w:trHeight w:val="892" w:hRule="atLeast"/>
        </w:trPr>
        <w:tc>
          <w:tcPr>
            <w:tcW w:w="2540" w:type="dxa"/>
            <w:tcBorders>
              <w:top w:val="single" w:sz="4" w:space="0" w:color="000000"/>
              <w:left w:val="single" w:sz="4" w:space="0" w:color="000000"/>
              <w:bottom w:val="single" w:sz="4" w:space="0" w:color="000000"/>
            </w:tcBorders>
          </w:tcPr>
          <w:p>
            <w:pPr>
              <w:pStyle w:val="TableParagraph"/>
              <w:spacing w:before="32"/>
              <w:ind w:left="107"/>
              <w:rPr>
                <w:b/>
                <w:i/>
                <w:sz w:val="18"/>
              </w:rPr>
            </w:pPr>
            <w:r>
              <w:rPr>
                <w:b/>
                <w:i/>
                <w:spacing w:val="-2"/>
                <w:sz w:val="18"/>
              </w:rPr>
              <w:t>Obligations</w:t>
            </w:r>
          </w:p>
          <w:p>
            <w:pPr>
              <w:pStyle w:val="TableParagraph"/>
              <w:spacing w:before="31"/>
              <w:ind w:left="107"/>
              <w:rPr>
                <w:b/>
                <w:sz w:val="18"/>
              </w:rPr>
            </w:pPr>
            <w:r>
              <w:rPr>
                <w:b/>
                <w:sz w:val="18"/>
              </w:rPr>
              <w:t>Asset </w:t>
            </w:r>
            <w:r>
              <w:rPr>
                <w:b/>
                <w:spacing w:val="-2"/>
                <w:sz w:val="18"/>
              </w:rPr>
              <w:t>renewal</w:t>
            </w:r>
          </w:p>
          <w:p>
            <w:pPr>
              <w:pStyle w:val="TableParagraph"/>
              <w:spacing w:line="206" w:lineRule="exact"/>
              <w:ind w:left="107"/>
              <w:rPr>
                <w:sz w:val="18"/>
              </w:rPr>
            </w:pPr>
            <w:r>
              <w:rPr>
                <w:sz w:val="18"/>
              </w:rPr>
              <w:t>(assets</w:t>
            </w:r>
            <w:r>
              <w:rPr>
                <w:spacing w:val="-11"/>
                <w:sz w:val="18"/>
              </w:rPr>
              <w:t> </w:t>
            </w:r>
            <w:r>
              <w:rPr>
                <w:sz w:val="18"/>
              </w:rPr>
              <w:t>are</w:t>
            </w:r>
            <w:r>
              <w:rPr>
                <w:spacing w:val="-9"/>
                <w:sz w:val="18"/>
              </w:rPr>
              <w:t> </w:t>
            </w:r>
            <w:r>
              <w:rPr>
                <w:sz w:val="18"/>
              </w:rPr>
              <w:t>renewed</w:t>
            </w:r>
            <w:r>
              <w:rPr>
                <w:spacing w:val="-11"/>
                <w:sz w:val="18"/>
              </w:rPr>
              <w:t> </w:t>
            </w:r>
            <w:r>
              <w:rPr>
                <w:sz w:val="18"/>
              </w:rPr>
              <w:t>as </w:t>
            </w:r>
            <w:r>
              <w:rPr>
                <w:spacing w:val="-2"/>
                <w:sz w:val="18"/>
              </w:rPr>
              <w:t>planned)</w:t>
            </w:r>
          </w:p>
        </w:tc>
        <w:tc>
          <w:tcPr>
            <w:tcW w:w="3776" w:type="dxa"/>
            <w:tcBorders>
              <w:top w:val="single" w:sz="4" w:space="0" w:color="000000"/>
              <w:bottom w:val="single" w:sz="4" w:space="0" w:color="000000"/>
            </w:tcBorders>
          </w:tcPr>
          <w:p>
            <w:pPr>
              <w:pStyle w:val="TableParagraph"/>
              <w:spacing w:before="5"/>
              <w:rPr>
                <w:b/>
                <w:sz w:val="23"/>
              </w:rPr>
            </w:pPr>
          </w:p>
          <w:p>
            <w:pPr>
              <w:pStyle w:val="TableParagraph"/>
              <w:ind w:left="124"/>
              <w:rPr>
                <w:b/>
                <w:sz w:val="18"/>
              </w:rPr>
            </w:pPr>
            <w:r>
              <w:rPr>
                <w:b/>
                <w:sz w:val="18"/>
              </w:rPr>
              <w:t>Asset</w:t>
            </w:r>
            <w:r>
              <w:rPr>
                <w:b/>
                <w:spacing w:val="-2"/>
                <w:sz w:val="18"/>
              </w:rPr>
              <w:t> </w:t>
            </w:r>
            <w:r>
              <w:rPr>
                <w:b/>
                <w:sz w:val="18"/>
              </w:rPr>
              <w:t>renewal</w:t>
            </w:r>
            <w:r>
              <w:rPr>
                <w:b/>
                <w:spacing w:val="-1"/>
                <w:sz w:val="18"/>
              </w:rPr>
              <w:t> </w:t>
            </w:r>
            <w:r>
              <w:rPr>
                <w:b/>
                <w:sz w:val="18"/>
              </w:rPr>
              <w:t>compared to</w:t>
            </w:r>
            <w:r>
              <w:rPr>
                <w:b/>
                <w:spacing w:val="-3"/>
                <w:sz w:val="18"/>
              </w:rPr>
              <w:t> </w:t>
            </w:r>
            <w:r>
              <w:rPr>
                <w:b/>
                <w:spacing w:val="-2"/>
                <w:sz w:val="18"/>
              </w:rPr>
              <w:t>depreciation</w:t>
            </w:r>
          </w:p>
          <w:p>
            <w:pPr>
              <w:pStyle w:val="TableParagraph"/>
              <w:spacing w:line="206" w:lineRule="exact"/>
              <w:ind w:left="124" w:right="281"/>
              <w:rPr>
                <w:sz w:val="18"/>
              </w:rPr>
            </w:pPr>
            <w:r>
              <w:rPr>
                <w:sz w:val="18"/>
              </w:rPr>
              <w:t>Asset</w:t>
            </w:r>
            <w:r>
              <w:rPr>
                <w:spacing w:val="-10"/>
                <w:sz w:val="18"/>
              </w:rPr>
              <w:t> </w:t>
            </w:r>
            <w:r>
              <w:rPr>
                <w:sz w:val="18"/>
              </w:rPr>
              <w:t>renewal</w:t>
            </w:r>
            <w:r>
              <w:rPr>
                <w:spacing w:val="-8"/>
                <w:sz w:val="18"/>
              </w:rPr>
              <w:t> </w:t>
            </w:r>
            <w:r>
              <w:rPr>
                <w:sz w:val="18"/>
              </w:rPr>
              <w:t>and</w:t>
            </w:r>
            <w:r>
              <w:rPr>
                <w:spacing w:val="-7"/>
                <w:sz w:val="18"/>
              </w:rPr>
              <w:t> </w:t>
            </w:r>
            <w:r>
              <w:rPr>
                <w:sz w:val="18"/>
              </w:rPr>
              <w:t>upgrade</w:t>
            </w:r>
            <w:r>
              <w:rPr>
                <w:spacing w:val="-7"/>
                <w:sz w:val="18"/>
              </w:rPr>
              <w:t> </w:t>
            </w:r>
            <w:r>
              <w:rPr>
                <w:sz w:val="18"/>
              </w:rPr>
              <w:t>expense</w:t>
            </w:r>
            <w:r>
              <w:rPr>
                <w:spacing w:val="-8"/>
                <w:sz w:val="18"/>
              </w:rPr>
              <w:t> </w:t>
            </w:r>
            <w:r>
              <w:rPr>
                <w:sz w:val="18"/>
              </w:rPr>
              <w:t>/ Asset depreciation</w:t>
            </w:r>
          </w:p>
        </w:tc>
        <w:tc>
          <w:tcPr>
            <w:tcW w:w="537"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left="197"/>
              <w:rPr>
                <w:sz w:val="18"/>
              </w:rPr>
            </w:pPr>
            <w:r>
              <w:rPr>
                <w:sz w:val="18"/>
              </w:rPr>
              <w:t>6</w:t>
            </w:r>
          </w:p>
        </w:tc>
        <w:tc>
          <w:tcPr>
            <w:tcW w:w="1386"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right="178"/>
              <w:jc w:val="right"/>
              <w:rPr>
                <w:sz w:val="18"/>
              </w:rPr>
            </w:pPr>
            <w:r>
              <w:rPr>
                <w:spacing w:val="-2"/>
                <w:sz w:val="18"/>
              </w:rPr>
              <w:t>139.2%</w:t>
            </w:r>
          </w:p>
        </w:tc>
        <w:tc>
          <w:tcPr>
            <w:tcW w:w="1300"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right="106"/>
              <w:jc w:val="right"/>
              <w:rPr>
                <w:sz w:val="18"/>
              </w:rPr>
            </w:pPr>
            <w:r>
              <w:rPr>
                <w:spacing w:val="-2"/>
                <w:sz w:val="18"/>
              </w:rPr>
              <w:t>102.5%</w:t>
            </w:r>
          </w:p>
        </w:tc>
        <w:tc>
          <w:tcPr>
            <w:tcW w:w="1257" w:type="dxa"/>
            <w:tcBorders>
              <w:top w:val="single" w:sz="4" w:space="0" w:color="000000"/>
              <w:bottom w:val="single" w:sz="4" w:space="0" w:color="000000"/>
            </w:tcBorders>
            <w:shd w:val="clear" w:color="auto" w:fill="DDEBF6"/>
          </w:tcPr>
          <w:p>
            <w:pPr>
              <w:pStyle w:val="TableParagraph"/>
              <w:rPr>
                <w:b/>
                <w:sz w:val="20"/>
              </w:rPr>
            </w:pPr>
          </w:p>
          <w:p>
            <w:pPr>
              <w:pStyle w:val="TableParagraph"/>
              <w:spacing w:before="7"/>
              <w:rPr>
                <w:b/>
                <w:sz w:val="21"/>
              </w:rPr>
            </w:pPr>
          </w:p>
          <w:p>
            <w:pPr>
              <w:pStyle w:val="TableParagraph"/>
              <w:ind w:right="104"/>
              <w:jc w:val="right"/>
              <w:rPr>
                <w:sz w:val="18"/>
              </w:rPr>
            </w:pPr>
            <w:r>
              <w:rPr>
                <w:spacing w:val="-2"/>
                <w:sz w:val="18"/>
              </w:rPr>
              <w:t>114.6%</w:t>
            </w:r>
          </w:p>
        </w:tc>
        <w:tc>
          <w:tcPr>
            <w:tcW w:w="1525"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right="323"/>
              <w:jc w:val="right"/>
              <w:rPr>
                <w:sz w:val="18"/>
              </w:rPr>
            </w:pPr>
            <w:r>
              <w:rPr>
                <w:spacing w:val="-2"/>
                <w:sz w:val="18"/>
              </w:rPr>
              <w:t>111.0%</w:t>
            </w:r>
          </w:p>
        </w:tc>
        <w:tc>
          <w:tcPr>
            <w:tcW w:w="1212"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right="278"/>
              <w:jc w:val="right"/>
              <w:rPr>
                <w:sz w:val="18"/>
              </w:rPr>
            </w:pPr>
            <w:r>
              <w:rPr>
                <w:spacing w:val="-2"/>
                <w:sz w:val="18"/>
              </w:rPr>
              <w:t>139.0%</w:t>
            </w:r>
          </w:p>
        </w:tc>
        <w:tc>
          <w:tcPr>
            <w:tcW w:w="1127" w:type="dxa"/>
            <w:tcBorders>
              <w:top w:val="single" w:sz="4" w:space="0" w:color="000000"/>
              <w:bottom w:val="single" w:sz="4" w:space="0" w:color="000000"/>
            </w:tcBorders>
          </w:tcPr>
          <w:p>
            <w:pPr>
              <w:pStyle w:val="TableParagraph"/>
              <w:rPr>
                <w:b/>
                <w:sz w:val="20"/>
              </w:rPr>
            </w:pPr>
          </w:p>
          <w:p>
            <w:pPr>
              <w:pStyle w:val="TableParagraph"/>
              <w:spacing w:before="7"/>
              <w:rPr>
                <w:b/>
                <w:sz w:val="21"/>
              </w:rPr>
            </w:pPr>
          </w:p>
          <w:p>
            <w:pPr>
              <w:pStyle w:val="TableParagraph"/>
              <w:ind w:right="151"/>
              <w:jc w:val="right"/>
              <w:rPr>
                <w:sz w:val="18"/>
              </w:rPr>
            </w:pPr>
            <w:r>
              <w:rPr>
                <w:spacing w:val="-2"/>
                <w:sz w:val="18"/>
              </w:rPr>
              <w:t>187.5%</w:t>
            </w:r>
          </w:p>
        </w:tc>
        <w:tc>
          <w:tcPr>
            <w:tcW w:w="830" w:type="dxa"/>
            <w:tcBorders>
              <w:top w:val="single" w:sz="4" w:space="0" w:color="000000"/>
              <w:bottom w:val="single" w:sz="4" w:space="0" w:color="000000"/>
              <w:right w:val="single" w:sz="4" w:space="0" w:color="000000"/>
            </w:tcBorders>
          </w:tcPr>
          <w:p>
            <w:pPr>
              <w:pStyle w:val="TableParagraph"/>
              <w:rPr>
                <w:b/>
                <w:sz w:val="20"/>
              </w:rPr>
            </w:pPr>
          </w:p>
          <w:p>
            <w:pPr>
              <w:pStyle w:val="TableParagraph"/>
              <w:spacing w:before="7"/>
              <w:rPr>
                <w:b/>
                <w:sz w:val="21"/>
              </w:rPr>
            </w:pPr>
          </w:p>
          <w:p>
            <w:pPr>
              <w:pStyle w:val="TableParagraph"/>
              <w:ind w:left="332"/>
              <w:rPr>
                <w:sz w:val="18"/>
              </w:rPr>
            </w:pPr>
            <w:r>
              <w:rPr>
                <w:sz w:val="18"/>
              </w:rPr>
              <w:t>+</w:t>
            </w:r>
          </w:p>
        </w:tc>
      </w:tr>
      <w:tr>
        <w:trPr>
          <w:trHeight w:val="1098" w:hRule="atLeast"/>
        </w:trPr>
        <w:tc>
          <w:tcPr>
            <w:tcW w:w="2540" w:type="dxa"/>
            <w:tcBorders>
              <w:top w:val="single" w:sz="4" w:space="0" w:color="000000"/>
              <w:left w:val="single" w:sz="4" w:space="0" w:color="000000"/>
              <w:bottom w:val="single" w:sz="4" w:space="0" w:color="000000"/>
            </w:tcBorders>
          </w:tcPr>
          <w:p>
            <w:pPr>
              <w:pStyle w:val="TableParagraph"/>
              <w:spacing w:before="32"/>
              <w:ind w:left="107"/>
              <w:rPr>
                <w:b/>
                <w:i/>
                <w:sz w:val="18"/>
              </w:rPr>
            </w:pPr>
            <w:r>
              <w:rPr>
                <w:b/>
                <w:i/>
                <w:spacing w:val="-2"/>
                <w:sz w:val="18"/>
              </w:rPr>
              <w:t>Stability</w:t>
            </w:r>
          </w:p>
          <w:p>
            <w:pPr>
              <w:pStyle w:val="TableParagraph"/>
              <w:spacing w:before="134"/>
              <w:ind w:left="107" w:right="7"/>
              <w:rPr>
                <w:sz w:val="18"/>
              </w:rPr>
            </w:pPr>
            <w:r>
              <w:rPr>
                <w:b/>
                <w:sz w:val="18"/>
              </w:rPr>
              <w:t>Rates concentration </w:t>
            </w:r>
            <w:r>
              <w:rPr>
                <w:sz w:val="18"/>
              </w:rPr>
              <w:t>(revenue</w:t>
            </w:r>
            <w:r>
              <w:rPr>
                <w:spacing w:val="-7"/>
                <w:sz w:val="18"/>
              </w:rPr>
              <w:t> </w:t>
            </w:r>
            <w:r>
              <w:rPr>
                <w:sz w:val="18"/>
              </w:rPr>
              <w:t>is</w:t>
            </w:r>
            <w:r>
              <w:rPr>
                <w:spacing w:val="-8"/>
                <w:sz w:val="18"/>
              </w:rPr>
              <w:t> </w:t>
            </w:r>
            <w:r>
              <w:rPr>
                <w:sz w:val="18"/>
              </w:rPr>
              <w:t>generated</w:t>
            </w:r>
            <w:r>
              <w:rPr>
                <w:spacing w:val="-9"/>
                <w:sz w:val="18"/>
              </w:rPr>
              <w:t> </w:t>
            </w:r>
            <w:r>
              <w:rPr>
                <w:sz w:val="18"/>
              </w:rPr>
              <w:t>from</w:t>
            </w:r>
            <w:r>
              <w:rPr>
                <w:spacing w:val="-10"/>
                <w:sz w:val="18"/>
              </w:rPr>
              <w:t> </w:t>
            </w:r>
            <w:r>
              <w:rPr>
                <w:sz w:val="18"/>
              </w:rPr>
              <w:t>a range of sources)</w:t>
            </w:r>
          </w:p>
        </w:tc>
        <w:tc>
          <w:tcPr>
            <w:tcW w:w="3776" w:type="dxa"/>
            <w:tcBorders>
              <w:top w:val="single" w:sz="4" w:space="0" w:color="000000"/>
              <w:bottom w:val="single" w:sz="4" w:space="0" w:color="000000"/>
            </w:tcBorders>
          </w:tcPr>
          <w:p>
            <w:pPr>
              <w:pStyle w:val="TableParagraph"/>
              <w:spacing w:before="5"/>
              <w:rPr>
                <w:b/>
                <w:sz w:val="23"/>
              </w:rPr>
            </w:pPr>
          </w:p>
          <w:p>
            <w:pPr>
              <w:pStyle w:val="TableParagraph"/>
              <w:ind w:left="124"/>
              <w:rPr>
                <w:b/>
                <w:sz w:val="18"/>
              </w:rPr>
            </w:pPr>
            <w:r>
              <w:rPr>
                <w:b/>
                <w:sz w:val="18"/>
              </w:rPr>
              <w:t>Rates</w:t>
            </w:r>
            <w:r>
              <w:rPr>
                <w:b/>
                <w:spacing w:val="-9"/>
                <w:sz w:val="18"/>
              </w:rPr>
              <w:t> </w:t>
            </w:r>
            <w:r>
              <w:rPr>
                <w:b/>
                <w:sz w:val="18"/>
              </w:rPr>
              <w:t>compared</w:t>
            </w:r>
            <w:r>
              <w:rPr>
                <w:b/>
                <w:spacing w:val="-11"/>
                <w:sz w:val="18"/>
              </w:rPr>
              <w:t> </w:t>
            </w:r>
            <w:r>
              <w:rPr>
                <w:b/>
                <w:sz w:val="18"/>
              </w:rPr>
              <w:t>to</w:t>
            </w:r>
            <w:r>
              <w:rPr>
                <w:b/>
                <w:spacing w:val="-9"/>
                <w:sz w:val="18"/>
              </w:rPr>
              <w:t> </w:t>
            </w:r>
            <w:r>
              <w:rPr>
                <w:b/>
                <w:sz w:val="18"/>
              </w:rPr>
              <w:t>adjusted</w:t>
            </w:r>
            <w:r>
              <w:rPr>
                <w:b/>
                <w:spacing w:val="-11"/>
                <w:sz w:val="18"/>
              </w:rPr>
              <w:t> </w:t>
            </w:r>
            <w:r>
              <w:rPr>
                <w:b/>
                <w:sz w:val="18"/>
              </w:rPr>
              <w:t>underlying </w:t>
            </w:r>
            <w:r>
              <w:rPr>
                <w:b/>
                <w:spacing w:val="-2"/>
                <w:sz w:val="18"/>
              </w:rPr>
              <w:t>revenue</w:t>
            </w:r>
          </w:p>
          <w:p>
            <w:pPr>
              <w:pStyle w:val="TableParagraph"/>
              <w:spacing w:line="206" w:lineRule="exact"/>
              <w:ind w:left="124" w:right="281"/>
              <w:rPr>
                <w:sz w:val="18"/>
              </w:rPr>
            </w:pPr>
            <w:r>
              <w:rPr>
                <w:sz w:val="18"/>
              </w:rPr>
              <w:t>Rate</w:t>
            </w:r>
            <w:r>
              <w:rPr>
                <w:spacing w:val="-9"/>
                <w:sz w:val="18"/>
              </w:rPr>
              <w:t> </w:t>
            </w:r>
            <w:r>
              <w:rPr>
                <w:sz w:val="18"/>
              </w:rPr>
              <w:t>revenue</w:t>
            </w:r>
            <w:r>
              <w:rPr>
                <w:spacing w:val="-9"/>
                <w:sz w:val="18"/>
              </w:rPr>
              <w:t> </w:t>
            </w:r>
            <w:r>
              <w:rPr>
                <w:sz w:val="18"/>
              </w:rPr>
              <w:t>/</w:t>
            </w:r>
            <w:r>
              <w:rPr>
                <w:spacing w:val="-10"/>
                <w:sz w:val="18"/>
              </w:rPr>
              <w:t> </w:t>
            </w:r>
            <w:r>
              <w:rPr>
                <w:sz w:val="18"/>
              </w:rPr>
              <w:t>adjusted</w:t>
            </w:r>
            <w:r>
              <w:rPr>
                <w:spacing w:val="-10"/>
                <w:sz w:val="18"/>
              </w:rPr>
              <w:t> </w:t>
            </w:r>
            <w:r>
              <w:rPr>
                <w:sz w:val="18"/>
              </w:rPr>
              <w:t>underlying </w:t>
            </w:r>
            <w:r>
              <w:rPr>
                <w:spacing w:val="-2"/>
                <w:sz w:val="18"/>
              </w:rPr>
              <w:t>revenue</w:t>
            </w:r>
          </w:p>
        </w:tc>
        <w:tc>
          <w:tcPr>
            <w:tcW w:w="53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left="197"/>
              <w:rPr>
                <w:sz w:val="18"/>
              </w:rPr>
            </w:pPr>
            <w:r>
              <w:rPr>
                <w:sz w:val="18"/>
              </w:rPr>
              <w:t>7</w:t>
            </w:r>
          </w:p>
        </w:tc>
        <w:tc>
          <w:tcPr>
            <w:tcW w:w="1386"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78"/>
              <w:jc w:val="right"/>
              <w:rPr>
                <w:sz w:val="18"/>
              </w:rPr>
            </w:pPr>
            <w:r>
              <w:rPr>
                <w:spacing w:val="-2"/>
                <w:sz w:val="18"/>
              </w:rPr>
              <w:t>64.6%</w:t>
            </w:r>
          </w:p>
        </w:tc>
        <w:tc>
          <w:tcPr>
            <w:tcW w:w="1300"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05"/>
              <w:jc w:val="right"/>
              <w:rPr>
                <w:sz w:val="18"/>
              </w:rPr>
            </w:pPr>
            <w:r>
              <w:rPr>
                <w:spacing w:val="-2"/>
                <w:sz w:val="18"/>
              </w:rPr>
              <w:t>68.3%</w:t>
            </w:r>
          </w:p>
        </w:tc>
        <w:tc>
          <w:tcPr>
            <w:tcW w:w="1257" w:type="dxa"/>
            <w:tcBorders>
              <w:top w:val="single" w:sz="4" w:space="0" w:color="000000"/>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122"/>
              <w:ind w:right="105"/>
              <w:jc w:val="right"/>
              <w:rPr>
                <w:sz w:val="18"/>
              </w:rPr>
            </w:pPr>
            <w:r>
              <w:rPr>
                <w:spacing w:val="-2"/>
                <w:sz w:val="18"/>
              </w:rPr>
              <w:t>76.5%</w:t>
            </w:r>
          </w:p>
        </w:tc>
        <w:tc>
          <w:tcPr>
            <w:tcW w:w="1525"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322"/>
              <w:jc w:val="right"/>
              <w:rPr>
                <w:sz w:val="18"/>
              </w:rPr>
            </w:pPr>
            <w:r>
              <w:rPr>
                <w:spacing w:val="-2"/>
                <w:sz w:val="18"/>
              </w:rPr>
              <w:t>64.9%</w:t>
            </w:r>
          </w:p>
        </w:tc>
        <w:tc>
          <w:tcPr>
            <w:tcW w:w="1212"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279"/>
              <w:jc w:val="right"/>
              <w:rPr>
                <w:sz w:val="18"/>
              </w:rPr>
            </w:pPr>
            <w:r>
              <w:rPr>
                <w:spacing w:val="-2"/>
                <w:sz w:val="18"/>
              </w:rPr>
              <w:t>68.2%</w:t>
            </w:r>
          </w:p>
        </w:tc>
        <w:tc>
          <w:tcPr>
            <w:tcW w:w="112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50"/>
              <w:jc w:val="right"/>
              <w:rPr>
                <w:sz w:val="18"/>
              </w:rPr>
            </w:pPr>
            <w:r>
              <w:rPr>
                <w:spacing w:val="-2"/>
                <w:sz w:val="18"/>
              </w:rPr>
              <w:t>72.7%</w:t>
            </w:r>
          </w:p>
        </w:tc>
        <w:tc>
          <w:tcPr>
            <w:tcW w:w="830" w:type="dxa"/>
            <w:tcBorders>
              <w:top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122"/>
              <w:ind w:left="334"/>
              <w:rPr>
                <w:sz w:val="18"/>
              </w:rPr>
            </w:pPr>
            <w:r>
              <w:rPr>
                <w:sz w:val="18"/>
              </w:rPr>
              <w:t>0</w:t>
            </w:r>
          </w:p>
        </w:tc>
      </w:tr>
      <w:tr>
        <w:trPr>
          <w:trHeight w:val="1098" w:hRule="atLeast"/>
        </w:trPr>
        <w:tc>
          <w:tcPr>
            <w:tcW w:w="2540" w:type="dxa"/>
            <w:tcBorders>
              <w:top w:val="single" w:sz="4" w:space="0" w:color="000000"/>
              <w:left w:val="single" w:sz="4" w:space="0" w:color="000000"/>
              <w:bottom w:val="single" w:sz="4" w:space="0" w:color="000000"/>
            </w:tcBorders>
          </w:tcPr>
          <w:p>
            <w:pPr>
              <w:pStyle w:val="TableParagraph"/>
              <w:spacing w:line="256" w:lineRule="auto" w:before="32"/>
              <w:ind w:left="107" w:right="577"/>
              <w:rPr>
                <w:sz w:val="18"/>
              </w:rPr>
            </w:pPr>
            <w:r>
              <w:rPr>
                <w:b/>
                <w:i/>
                <w:spacing w:val="-2"/>
                <w:sz w:val="18"/>
              </w:rPr>
              <w:t>Efficiency</w:t>
            </w:r>
            <w:r>
              <w:rPr>
                <w:b/>
                <w:i/>
                <w:spacing w:val="-2"/>
                <w:sz w:val="18"/>
              </w:rPr>
              <w:t> </w:t>
            </w:r>
            <w:r>
              <w:rPr>
                <w:b/>
                <w:sz w:val="18"/>
              </w:rPr>
              <w:t>Expenditure level </w:t>
            </w:r>
            <w:r>
              <w:rPr>
                <w:sz w:val="18"/>
              </w:rPr>
              <w:t>(resources</w:t>
            </w:r>
            <w:r>
              <w:rPr>
                <w:spacing w:val="-15"/>
                <w:sz w:val="18"/>
              </w:rPr>
              <w:t> </w:t>
            </w:r>
            <w:r>
              <w:rPr>
                <w:sz w:val="18"/>
              </w:rPr>
              <w:t>are</w:t>
            </w:r>
            <w:r>
              <w:rPr>
                <w:spacing w:val="-12"/>
                <w:sz w:val="18"/>
              </w:rPr>
              <w:t> </w:t>
            </w:r>
            <w:r>
              <w:rPr>
                <w:sz w:val="18"/>
              </w:rPr>
              <w:t>used</w:t>
            </w:r>
          </w:p>
          <w:p>
            <w:pPr>
              <w:pStyle w:val="TableParagraph"/>
              <w:spacing w:line="195" w:lineRule="exact"/>
              <w:ind w:left="107"/>
              <w:rPr>
                <w:sz w:val="18"/>
              </w:rPr>
            </w:pPr>
            <w:r>
              <w:rPr>
                <w:sz w:val="18"/>
              </w:rPr>
              <w:t>efficiently</w:t>
            </w:r>
            <w:r>
              <w:rPr>
                <w:spacing w:val="-7"/>
                <w:sz w:val="18"/>
              </w:rPr>
              <w:t> </w:t>
            </w:r>
            <w:r>
              <w:rPr>
                <w:sz w:val="18"/>
              </w:rPr>
              <w:t>in the delivery</w:t>
            </w:r>
            <w:r>
              <w:rPr>
                <w:spacing w:val="-1"/>
                <w:sz w:val="18"/>
              </w:rPr>
              <w:t> </w:t>
            </w:r>
            <w:r>
              <w:rPr>
                <w:spacing w:val="-5"/>
                <w:sz w:val="18"/>
              </w:rPr>
              <w:t>of</w:t>
            </w:r>
          </w:p>
          <w:p>
            <w:pPr>
              <w:pStyle w:val="TableParagraph"/>
              <w:spacing w:line="187" w:lineRule="exact"/>
              <w:ind w:left="107"/>
              <w:rPr>
                <w:sz w:val="18"/>
              </w:rPr>
            </w:pPr>
            <w:r>
              <w:rPr>
                <w:spacing w:val="-2"/>
                <w:sz w:val="18"/>
              </w:rPr>
              <w:t>services)</w:t>
            </w:r>
          </w:p>
        </w:tc>
        <w:tc>
          <w:tcPr>
            <w:tcW w:w="3776" w:type="dxa"/>
            <w:tcBorders>
              <w:top w:val="single" w:sz="4" w:space="0" w:color="000000"/>
              <w:bottom w:val="single" w:sz="4" w:space="0" w:color="000000"/>
            </w:tcBorders>
          </w:tcPr>
          <w:p>
            <w:pPr>
              <w:pStyle w:val="TableParagraph"/>
              <w:rPr>
                <w:b/>
                <w:sz w:val="20"/>
              </w:rPr>
            </w:pPr>
          </w:p>
          <w:p>
            <w:pPr>
              <w:pStyle w:val="TableParagraph"/>
              <w:spacing w:before="143"/>
              <w:ind w:left="124" w:right="281"/>
              <w:rPr>
                <w:sz w:val="18"/>
              </w:rPr>
            </w:pPr>
            <w:r>
              <w:rPr>
                <w:b/>
                <w:sz w:val="18"/>
              </w:rPr>
              <w:t>Expenses</w:t>
            </w:r>
            <w:r>
              <w:rPr>
                <w:b/>
                <w:spacing w:val="-9"/>
                <w:sz w:val="18"/>
              </w:rPr>
              <w:t> </w:t>
            </w:r>
            <w:r>
              <w:rPr>
                <w:b/>
                <w:sz w:val="18"/>
              </w:rPr>
              <w:t>per</w:t>
            </w:r>
            <w:r>
              <w:rPr>
                <w:b/>
                <w:spacing w:val="-12"/>
                <w:sz w:val="18"/>
              </w:rPr>
              <w:t> </w:t>
            </w:r>
            <w:r>
              <w:rPr>
                <w:b/>
                <w:sz w:val="18"/>
              </w:rPr>
              <w:t>property</w:t>
            </w:r>
            <w:r>
              <w:rPr>
                <w:b/>
                <w:spacing w:val="-12"/>
                <w:sz w:val="18"/>
              </w:rPr>
              <w:t> </w:t>
            </w:r>
            <w:r>
              <w:rPr>
                <w:b/>
                <w:sz w:val="18"/>
              </w:rPr>
              <w:t>assessment </w:t>
            </w:r>
            <w:r>
              <w:rPr>
                <w:sz w:val="18"/>
              </w:rPr>
              <w:t>Total expenses / no. of property </w:t>
            </w:r>
            <w:r>
              <w:rPr>
                <w:spacing w:val="-2"/>
                <w:sz w:val="18"/>
              </w:rPr>
              <w:t>assessments</w:t>
            </w:r>
          </w:p>
        </w:tc>
        <w:tc>
          <w:tcPr>
            <w:tcW w:w="53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left="197"/>
              <w:rPr>
                <w:sz w:val="18"/>
              </w:rPr>
            </w:pPr>
            <w:r>
              <w:rPr>
                <w:sz w:val="18"/>
              </w:rPr>
              <w:t>8</w:t>
            </w:r>
          </w:p>
        </w:tc>
        <w:tc>
          <w:tcPr>
            <w:tcW w:w="1386"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80"/>
              <w:jc w:val="right"/>
              <w:rPr>
                <w:sz w:val="18"/>
              </w:rPr>
            </w:pPr>
            <w:r>
              <w:rPr>
                <w:spacing w:val="-2"/>
                <w:sz w:val="18"/>
              </w:rPr>
              <w:t>$3,124</w:t>
            </w:r>
          </w:p>
        </w:tc>
        <w:tc>
          <w:tcPr>
            <w:tcW w:w="1300"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07"/>
              <w:jc w:val="right"/>
              <w:rPr>
                <w:sz w:val="18"/>
              </w:rPr>
            </w:pPr>
            <w:r>
              <w:rPr>
                <w:spacing w:val="-2"/>
                <w:sz w:val="18"/>
              </w:rPr>
              <w:t>$3,373</w:t>
            </w:r>
          </w:p>
        </w:tc>
        <w:tc>
          <w:tcPr>
            <w:tcW w:w="1257" w:type="dxa"/>
            <w:tcBorders>
              <w:top w:val="single" w:sz="4" w:space="0" w:color="000000"/>
              <w:bottom w:val="single" w:sz="4" w:space="0" w:color="000000"/>
            </w:tcBorders>
            <w:shd w:val="clear" w:color="auto" w:fill="DDEBF6"/>
          </w:tcPr>
          <w:p>
            <w:pPr>
              <w:pStyle w:val="TableParagraph"/>
              <w:rPr>
                <w:b/>
                <w:sz w:val="20"/>
              </w:rPr>
            </w:pPr>
          </w:p>
          <w:p>
            <w:pPr>
              <w:pStyle w:val="TableParagraph"/>
              <w:rPr>
                <w:b/>
                <w:sz w:val="20"/>
              </w:rPr>
            </w:pPr>
          </w:p>
          <w:p>
            <w:pPr>
              <w:pStyle w:val="TableParagraph"/>
              <w:spacing w:before="122"/>
              <w:ind w:right="107"/>
              <w:jc w:val="right"/>
              <w:rPr>
                <w:sz w:val="18"/>
              </w:rPr>
            </w:pPr>
            <w:r>
              <w:rPr>
                <w:spacing w:val="-2"/>
                <w:sz w:val="18"/>
              </w:rPr>
              <w:t>$3,557</w:t>
            </w:r>
          </w:p>
        </w:tc>
        <w:tc>
          <w:tcPr>
            <w:tcW w:w="1525"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324"/>
              <w:jc w:val="right"/>
              <w:rPr>
                <w:sz w:val="18"/>
              </w:rPr>
            </w:pPr>
            <w:r>
              <w:rPr>
                <w:spacing w:val="-2"/>
                <w:sz w:val="18"/>
              </w:rPr>
              <w:t>$3,586</w:t>
            </w:r>
          </w:p>
        </w:tc>
        <w:tc>
          <w:tcPr>
            <w:tcW w:w="1212"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282"/>
              <w:jc w:val="right"/>
              <w:rPr>
                <w:sz w:val="18"/>
              </w:rPr>
            </w:pPr>
            <w:r>
              <w:rPr>
                <w:spacing w:val="-2"/>
                <w:sz w:val="18"/>
              </w:rPr>
              <w:t>$3,605</w:t>
            </w:r>
          </w:p>
        </w:tc>
        <w:tc>
          <w:tcPr>
            <w:tcW w:w="1127" w:type="dxa"/>
            <w:tcBorders>
              <w:top w:val="single" w:sz="4" w:space="0" w:color="000000"/>
              <w:bottom w:val="single" w:sz="4" w:space="0" w:color="000000"/>
            </w:tcBorders>
          </w:tcPr>
          <w:p>
            <w:pPr>
              <w:pStyle w:val="TableParagraph"/>
              <w:rPr>
                <w:b/>
                <w:sz w:val="20"/>
              </w:rPr>
            </w:pPr>
          </w:p>
          <w:p>
            <w:pPr>
              <w:pStyle w:val="TableParagraph"/>
              <w:rPr>
                <w:b/>
                <w:sz w:val="20"/>
              </w:rPr>
            </w:pPr>
          </w:p>
          <w:p>
            <w:pPr>
              <w:pStyle w:val="TableParagraph"/>
              <w:spacing w:before="122"/>
              <w:ind w:right="152"/>
              <w:jc w:val="right"/>
              <w:rPr>
                <w:sz w:val="18"/>
              </w:rPr>
            </w:pPr>
            <w:r>
              <w:rPr>
                <w:spacing w:val="-2"/>
                <w:sz w:val="18"/>
              </w:rPr>
              <w:t>$3,670</w:t>
            </w:r>
          </w:p>
        </w:tc>
        <w:tc>
          <w:tcPr>
            <w:tcW w:w="830" w:type="dxa"/>
            <w:tcBorders>
              <w:top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122"/>
              <w:ind w:left="335"/>
              <w:rPr>
                <w:sz w:val="18"/>
              </w:rPr>
            </w:pPr>
            <w:r>
              <w:rPr>
                <w:sz w:val="18"/>
              </w:rPr>
              <w:t>0</w:t>
            </w:r>
          </w:p>
        </w:tc>
      </w:tr>
    </w:tbl>
    <w:p>
      <w:pPr>
        <w:spacing w:after="0"/>
        <w:rPr>
          <w:sz w:val="18"/>
        </w:rPr>
        <w:sectPr>
          <w:pgSz w:w="16840" w:h="11910" w:orient="landscape"/>
          <w:pgMar w:header="0" w:footer="546" w:top="480" w:bottom="740" w:left="600" w:right="120"/>
        </w:sectPr>
      </w:pPr>
    </w:p>
    <w:p>
      <w:pPr>
        <w:pStyle w:val="Heading4"/>
        <w:spacing w:before="80"/>
        <w:ind w:left="403" w:firstLine="0"/>
      </w:pPr>
      <w:r>
        <w:rPr>
          <w:color w:val="4966AC"/>
        </w:rPr>
        <w:t>5b.</w:t>
      </w:r>
      <w:r>
        <w:rPr>
          <w:color w:val="4966AC"/>
          <w:spacing w:val="-1"/>
        </w:rPr>
        <w:t> </w:t>
      </w:r>
      <w:r>
        <w:rPr>
          <w:color w:val="4966AC"/>
        </w:rPr>
        <w:t>Financial</w:t>
      </w:r>
      <w:r>
        <w:rPr>
          <w:color w:val="4966AC"/>
          <w:spacing w:val="-1"/>
        </w:rPr>
        <w:t> </w:t>
      </w:r>
      <w:r>
        <w:rPr>
          <w:color w:val="4966AC"/>
        </w:rPr>
        <w:t>performance </w:t>
      </w:r>
      <w:r>
        <w:rPr>
          <w:color w:val="4966AC"/>
          <w:spacing w:val="-2"/>
        </w:rPr>
        <w:t>indicators</w:t>
      </w:r>
    </w:p>
    <w:p>
      <w:pPr>
        <w:pStyle w:val="BodyText"/>
        <w:spacing w:before="1"/>
        <w:rPr>
          <w:b/>
        </w:rPr>
      </w:pPr>
    </w:p>
    <w:p>
      <w:pPr>
        <w:pStyle w:val="BodyText"/>
        <w:ind w:left="120" w:right="593"/>
        <w:jc w:val="both"/>
      </w:pPr>
      <w:r>
        <w:rPr/>
        <w:pict>
          <v:shape style="position:absolute;margin-left:426.69281pt;margin-top:69.446465pt;width:12.1pt;height:27.1pt;mso-position-horizontal-relative:page;mso-position-vertical-relative:paragraph;z-index:-37779968" type="#_x0000_t202" id="docshape953" filled="false" stroked="false">
            <v:textbox inset="0,0,0,0" style="layout-flow:vertical;mso-layout-flow-alt:bottom-to-top">
              <w:txbxContent>
                <w:p>
                  <w:pPr>
                    <w:spacing w:before="14"/>
                    <w:ind w:left="20" w:right="0" w:firstLine="0"/>
                    <w:jc w:val="left"/>
                    <w:rPr>
                      <w:b/>
                      <w:sz w:val="18"/>
                    </w:rPr>
                  </w:pPr>
                  <w:r>
                    <w:rPr>
                      <w:b/>
                      <w:color w:val="FFFFFF"/>
                      <w:spacing w:val="-2"/>
                      <w:sz w:val="18"/>
                    </w:rPr>
                    <w:t>Notes</w:t>
                  </w:r>
                </w:p>
              </w:txbxContent>
            </v:textbox>
            <w10:wrap type="none"/>
          </v:shape>
        </w:pict>
      </w:r>
      <w:r>
        <w:rPr/>
        <w:t>The following table highlights Council’s current and projected performance across a range of key financial performance indicators. These indicators provide a useful</w:t>
      </w:r>
      <w:r>
        <w:rPr>
          <w:spacing w:val="-16"/>
        </w:rPr>
        <w:t> </w:t>
      </w:r>
      <w:r>
        <w:rPr/>
        <w:t>analysis</w:t>
      </w:r>
      <w:r>
        <w:rPr>
          <w:spacing w:val="-15"/>
        </w:rPr>
        <w:t> </w:t>
      </w:r>
      <w:r>
        <w:rPr/>
        <w:t>of</w:t>
      </w:r>
      <w:r>
        <w:rPr>
          <w:spacing w:val="-15"/>
        </w:rPr>
        <w:t> </w:t>
      </w:r>
      <w:r>
        <w:rPr/>
        <w:t>Council’s</w:t>
      </w:r>
      <w:r>
        <w:rPr>
          <w:spacing w:val="-16"/>
        </w:rPr>
        <w:t> </w:t>
      </w:r>
      <w:r>
        <w:rPr/>
        <w:t>financial</w:t>
      </w:r>
      <w:r>
        <w:rPr>
          <w:spacing w:val="-15"/>
        </w:rPr>
        <w:t> </w:t>
      </w:r>
      <w:r>
        <w:rPr/>
        <w:t>position</w:t>
      </w:r>
      <w:r>
        <w:rPr>
          <w:spacing w:val="-15"/>
        </w:rPr>
        <w:t> </w:t>
      </w:r>
      <w:r>
        <w:rPr/>
        <w:t>and</w:t>
      </w:r>
      <w:r>
        <w:rPr>
          <w:spacing w:val="-15"/>
        </w:rPr>
        <w:t> </w:t>
      </w:r>
      <w:r>
        <w:rPr/>
        <w:t>performance</w:t>
      </w:r>
      <w:r>
        <w:rPr>
          <w:spacing w:val="-16"/>
        </w:rPr>
        <w:t> </w:t>
      </w:r>
      <w:r>
        <w:rPr/>
        <w:t>and</w:t>
      </w:r>
      <w:r>
        <w:rPr>
          <w:spacing w:val="-15"/>
        </w:rPr>
        <w:t> </w:t>
      </w:r>
      <w:r>
        <w:rPr/>
        <w:t>should</w:t>
      </w:r>
      <w:r>
        <w:rPr>
          <w:spacing w:val="-15"/>
        </w:rPr>
        <w:t> </w:t>
      </w:r>
      <w:r>
        <w:rPr/>
        <w:t>be</w:t>
      </w:r>
      <w:r>
        <w:rPr>
          <w:spacing w:val="-16"/>
        </w:rPr>
        <w:t> </w:t>
      </w:r>
      <w:r>
        <w:rPr/>
        <w:t>interpreted</w:t>
      </w:r>
      <w:r>
        <w:rPr>
          <w:spacing w:val="-15"/>
        </w:rPr>
        <w:t> </w:t>
      </w:r>
      <w:r>
        <w:rPr/>
        <w:t>in</w:t>
      </w:r>
      <w:r>
        <w:rPr>
          <w:spacing w:val="-15"/>
        </w:rPr>
        <w:t> </w:t>
      </w:r>
      <w:r>
        <w:rPr/>
        <w:t>the</w:t>
      </w:r>
      <w:r>
        <w:rPr>
          <w:spacing w:val="-15"/>
        </w:rPr>
        <w:t> </w:t>
      </w:r>
      <w:r>
        <w:rPr/>
        <w:t>context</w:t>
      </w:r>
      <w:r>
        <w:rPr>
          <w:spacing w:val="-16"/>
        </w:rPr>
        <w:t> </w:t>
      </w:r>
      <w:r>
        <w:rPr/>
        <w:t>of</w:t>
      </w:r>
      <w:r>
        <w:rPr>
          <w:spacing w:val="-15"/>
        </w:rPr>
        <w:t> </w:t>
      </w:r>
      <w:r>
        <w:rPr/>
        <w:t>the</w:t>
      </w:r>
      <w:r>
        <w:rPr>
          <w:spacing w:val="-15"/>
        </w:rPr>
        <w:t> </w:t>
      </w:r>
      <w:r>
        <w:rPr/>
        <w:t>organisation’s</w:t>
      </w:r>
      <w:r>
        <w:rPr>
          <w:spacing w:val="-16"/>
        </w:rPr>
        <w:t> </w:t>
      </w:r>
      <w:r>
        <w:rPr/>
        <w:t>objectives.</w:t>
      </w:r>
      <w:r>
        <w:rPr>
          <w:spacing w:val="-15"/>
        </w:rPr>
        <w:t> </w:t>
      </w:r>
      <w:r>
        <w:rPr/>
        <w:t>The</w:t>
      </w:r>
      <w:r>
        <w:rPr>
          <w:spacing w:val="-15"/>
        </w:rPr>
        <w:t> </w:t>
      </w:r>
      <w:r>
        <w:rPr/>
        <w:t>financial</w:t>
      </w:r>
      <w:r>
        <w:rPr>
          <w:spacing w:val="-15"/>
        </w:rPr>
        <w:t> </w:t>
      </w:r>
      <w:r>
        <w:rPr/>
        <w:t>performance indicators below are the prescribed financial performance indicators contained in Part 3 of Schedule 3 of the Local Government (Planning and Reporting) Regulations 2020. Results against these indicators will be reported in Council’s Performance Statement included in the Annual Report.</w:t>
      </w:r>
    </w:p>
    <w:p>
      <w:pPr>
        <w:pStyle w:val="BodyText"/>
        <w:spacing w:before="2"/>
        <w:rPr>
          <w:sz w:val="21"/>
        </w:rPr>
      </w:pPr>
    </w:p>
    <w:tbl>
      <w:tblPr>
        <w:tblW w:w="0" w:type="auto"/>
        <w:jc w:val="left"/>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334"/>
        <w:gridCol w:w="1068"/>
        <w:gridCol w:w="4075"/>
      </w:tblGrid>
      <w:tr>
        <w:trPr>
          <w:trHeight w:val="789" w:hRule="atLeast"/>
        </w:trPr>
        <w:tc>
          <w:tcPr>
            <w:tcW w:w="15477" w:type="dxa"/>
            <w:gridSpan w:val="3"/>
            <w:tcBorders>
              <w:bottom w:val="nil"/>
            </w:tcBorders>
            <w:shd w:val="clear" w:color="auto" w:fill="5B9AD4"/>
          </w:tcPr>
          <w:p>
            <w:pPr>
              <w:pStyle w:val="TableParagraph"/>
              <w:tabs>
                <w:tab w:pos="9395" w:val="left" w:leader="none"/>
                <w:tab w:pos="10557" w:val="left" w:leader="none"/>
                <w:tab w:pos="11884" w:val="left" w:leader="none"/>
                <w:tab w:pos="14795" w:val="left" w:leader="none"/>
              </w:tabs>
              <w:spacing w:line="172" w:lineRule="exact" w:before="155"/>
              <w:ind w:left="8402"/>
              <w:rPr>
                <w:b/>
                <w:sz w:val="18"/>
              </w:rPr>
            </w:pPr>
            <w:r>
              <w:rPr>
                <w:b/>
                <w:color w:val="FFFFFF"/>
                <w:spacing w:val="-2"/>
                <w:sz w:val="18"/>
              </w:rPr>
              <w:t>Actual</w:t>
            </w:r>
            <w:r>
              <w:rPr>
                <w:b/>
                <w:color w:val="FFFFFF"/>
                <w:sz w:val="18"/>
              </w:rPr>
              <w:tab/>
            </w:r>
            <w:r>
              <w:rPr>
                <w:b/>
                <w:color w:val="FFFFFF"/>
                <w:spacing w:val="-2"/>
                <w:sz w:val="18"/>
              </w:rPr>
              <w:t>Forecast</w:t>
            </w:r>
            <w:r>
              <w:rPr>
                <w:b/>
                <w:color w:val="FFFFFF"/>
                <w:sz w:val="18"/>
              </w:rPr>
              <w:tab/>
            </w:r>
            <w:r>
              <w:rPr>
                <w:b/>
                <w:color w:val="FFFFFF"/>
                <w:spacing w:val="-2"/>
                <w:sz w:val="18"/>
              </w:rPr>
              <w:t>Budget</w:t>
            </w:r>
            <w:r>
              <w:rPr>
                <w:b/>
                <w:color w:val="FFFFFF"/>
                <w:sz w:val="18"/>
              </w:rPr>
              <w:tab/>
              <w:t>Financial</w:t>
            </w:r>
            <w:r>
              <w:rPr>
                <w:b/>
                <w:color w:val="FFFFFF"/>
                <w:spacing w:val="-3"/>
                <w:sz w:val="18"/>
              </w:rPr>
              <w:t> </w:t>
            </w:r>
            <w:r>
              <w:rPr>
                <w:b/>
                <w:color w:val="FFFFFF"/>
                <w:sz w:val="18"/>
              </w:rPr>
              <w:t>Plan </w:t>
            </w:r>
            <w:r>
              <w:rPr>
                <w:b/>
                <w:color w:val="FFFFFF"/>
                <w:spacing w:val="-2"/>
                <w:sz w:val="18"/>
              </w:rPr>
              <w:t>Projections</w:t>
            </w:r>
            <w:r>
              <w:rPr>
                <w:b/>
                <w:color w:val="FFFFFF"/>
                <w:sz w:val="18"/>
              </w:rPr>
              <w:tab/>
            </w:r>
            <w:r>
              <w:rPr>
                <w:b/>
                <w:color w:val="FFFFFF"/>
                <w:spacing w:val="-2"/>
                <w:sz w:val="18"/>
              </w:rPr>
              <w:t>Trend</w:t>
            </w:r>
          </w:p>
          <w:p>
            <w:pPr>
              <w:pStyle w:val="TableParagraph"/>
              <w:tabs>
                <w:tab w:pos="4974" w:val="left" w:leader="none"/>
              </w:tabs>
              <w:spacing w:line="172" w:lineRule="exact"/>
              <w:ind w:left="1130"/>
              <w:rPr>
                <w:b/>
                <w:sz w:val="18"/>
              </w:rPr>
            </w:pPr>
            <w:r>
              <w:rPr>
                <w:b/>
                <w:color w:val="FFFFFF"/>
                <w:spacing w:val="-2"/>
                <w:sz w:val="18"/>
              </w:rPr>
              <w:t>Indicator</w:t>
            </w:r>
            <w:r>
              <w:rPr>
                <w:b/>
                <w:color w:val="FFFFFF"/>
                <w:sz w:val="18"/>
              </w:rPr>
              <w:tab/>
            </w:r>
            <w:r>
              <w:rPr>
                <w:b/>
                <w:color w:val="FFFFFF"/>
                <w:spacing w:val="-2"/>
                <w:sz w:val="18"/>
              </w:rPr>
              <w:t>Measure</w:t>
            </w:r>
          </w:p>
          <w:p>
            <w:pPr>
              <w:pStyle w:val="TableParagraph"/>
              <w:tabs>
                <w:tab w:pos="9345" w:val="left" w:leader="none"/>
                <w:tab w:pos="10442" w:val="left" w:leader="none"/>
                <w:tab w:pos="11510" w:val="left" w:leader="none"/>
                <w:tab w:pos="12578" w:val="left" w:leader="none"/>
                <w:tab w:pos="13650" w:val="left" w:leader="none"/>
                <w:tab w:pos="14858" w:val="left" w:leader="none"/>
              </w:tabs>
              <w:spacing w:before="52"/>
              <w:ind w:left="8251"/>
              <w:rPr>
                <w:b/>
                <w:sz w:val="18"/>
              </w:rPr>
            </w:pPr>
            <w:r>
              <w:rPr>
                <w:b/>
                <w:color w:val="FFFFFF"/>
                <w:spacing w:val="-2"/>
                <w:sz w:val="18"/>
              </w:rPr>
              <w:t>2022/2023</w:t>
            </w:r>
            <w:r>
              <w:rPr>
                <w:b/>
                <w:color w:val="FFFFFF"/>
                <w:sz w:val="18"/>
              </w:rPr>
              <w:tab/>
            </w:r>
            <w:r>
              <w:rPr>
                <w:b/>
                <w:color w:val="FFFFFF"/>
                <w:spacing w:val="-2"/>
                <w:sz w:val="18"/>
              </w:rPr>
              <w:t>2023/2024</w:t>
            </w:r>
            <w:r>
              <w:rPr>
                <w:b/>
                <w:color w:val="FFFFFF"/>
                <w:sz w:val="18"/>
              </w:rPr>
              <w:tab/>
            </w:r>
            <w:r>
              <w:rPr>
                <w:b/>
                <w:color w:val="FFFFFF"/>
                <w:spacing w:val="-2"/>
                <w:sz w:val="18"/>
              </w:rPr>
              <w:t>2024/2025</w:t>
            </w:r>
            <w:r>
              <w:rPr>
                <w:b/>
                <w:color w:val="FFFFFF"/>
                <w:sz w:val="18"/>
              </w:rPr>
              <w:tab/>
            </w:r>
            <w:r>
              <w:rPr>
                <w:b/>
                <w:color w:val="FFFFFF"/>
                <w:spacing w:val="-2"/>
                <w:sz w:val="18"/>
              </w:rPr>
              <w:t>2025/2026</w:t>
            </w:r>
            <w:r>
              <w:rPr>
                <w:b/>
                <w:color w:val="FFFFFF"/>
                <w:sz w:val="18"/>
              </w:rPr>
              <w:tab/>
            </w:r>
            <w:r>
              <w:rPr>
                <w:b/>
                <w:color w:val="FFFFFF"/>
                <w:spacing w:val="-2"/>
                <w:sz w:val="18"/>
              </w:rPr>
              <w:t>2026/2027</w:t>
            </w:r>
            <w:r>
              <w:rPr>
                <w:b/>
                <w:color w:val="FFFFFF"/>
                <w:sz w:val="18"/>
              </w:rPr>
              <w:tab/>
            </w:r>
            <w:r>
              <w:rPr>
                <w:b/>
                <w:color w:val="FFFFFF"/>
                <w:spacing w:val="-2"/>
                <w:sz w:val="18"/>
              </w:rPr>
              <w:t>2027/2028</w:t>
            </w:r>
            <w:r>
              <w:rPr>
                <w:b/>
                <w:color w:val="FFFFFF"/>
                <w:sz w:val="18"/>
              </w:rPr>
              <w:tab/>
            </w:r>
            <w:r>
              <w:rPr>
                <w:b/>
                <w:color w:val="FFFFFF"/>
                <w:spacing w:val="-2"/>
                <w:sz w:val="18"/>
              </w:rPr>
              <w:t>+/o/-</w:t>
            </w:r>
          </w:p>
        </w:tc>
      </w:tr>
      <w:tr>
        <w:trPr>
          <w:trHeight w:val="1098" w:hRule="atLeast"/>
        </w:trPr>
        <w:tc>
          <w:tcPr>
            <w:tcW w:w="10334" w:type="dxa"/>
            <w:tcBorders>
              <w:top w:val="nil"/>
              <w:bottom w:val="single" w:sz="8" w:space="0" w:color="000000"/>
              <w:right w:val="nil"/>
            </w:tcBorders>
          </w:tcPr>
          <w:p>
            <w:pPr>
              <w:pStyle w:val="TableParagraph"/>
              <w:spacing w:before="32"/>
              <w:ind w:left="107"/>
              <w:rPr>
                <w:b/>
                <w:i/>
                <w:sz w:val="18"/>
              </w:rPr>
            </w:pPr>
            <w:r>
              <w:rPr>
                <w:b/>
                <w:i/>
                <w:sz w:val="18"/>
              </w:rPr>
              <w:t>Operating </w:t>
            </w:r>
            <w:r>
              <w:rPr>
                <w:b/>
                <w:i/>
                <w:spacing w:val="-2"/>
                <w:sz w:val="18"/>
              </w:rPr>
              <w:t>position</w:t>
            </w:r>
          </w:p>
          <w:p>
            <w:pPr>
              <w:pStyle w:val="TableParagraph"/>
              <w:tabs>
                <w:tab w:pos="3078" w:val="left" w:leader="none"/>
              </w:tabs>
              <w:spacing w:line="253" w:lineRule="exact" w:before="34"/>
              <w:ind w:left="107"/>
              <w:rPr>
                <w:b/>
                <w:sz w:val="18"/>
              </w:rPr>
            </w:pPr>
            <w:r>
              <w:rPr>
                <w:b/>
                <w:position w:val="10"/>
                <w:sz w:val="18"/>
              </w:rPr>
              <w:t>Adjusted</w:t>
            </w:r>
            <w:r>
              <w:rPr>
                <w:b/>
                <w:spacing w:val="-2"/>
                <w:position w:val="10"/>
                <w:sz w:val="18"/>
              </w:rPr>
              <w:t> </w:t>
            </w:r>
            <w:r>
              <w:rPr>
                <w:b/>
                <w:position w:val="10"/>
                <w:sz w:val="18"/>
              </w:rPr>
              <w:t>underlying</w:t>
            </w:r>
            <w:r>
              <w:rPr>
                <w:b/>
                <w:spacing w:val="-1"/>
                <w:position w:val="10"/>
                <w:sz w:val="18"/>
              </w:rPr>
              <w:t> </w:t>
            </w:r>
            <w:r>
              <w:rPr>
                <w:b/>
                <w:spacing w:val="-2"/>
                <w:position w:val="10"/>
                <w:sz w:val="18"/>
              </w:rPr>
              <w:t>result</w:t>
            </w:r>
            <w:r>
              <w:rPr>
                <w:b/>
                <w:position w:val="10"/>
                <w:sz w:val="18"/>
              </w:rPr>
              <w:tab/>
            </w:r>
            <w:r>
              <w:rPr>
                <w:b/>
                <w:sz w:val="18"/>
              </w:rPr>
              <w:t>Adjusted underlying</w:t>
            </w:r>
            <w:r>
              <w:rPr>
                <w:b/>
                <w:spacing w:val="-1"/>
                <w:sz w:val="18"/>
              </w:rPr>
              <w:t> </w:t>
            </w:r>
            <w:r>
              <w:rPr>
                <w:b/>
                <w:sz w:val="18"/>
              </w:rPr>
              <w:t>surplus</w:t>
            </w:r>
            <w:r>
              <w:rPr>
                <w:b/>
                <w:spacing w:val="-3"/>
                <w:sz w:val="18"/>
              </w:rPr>
              <w:t> </w:t>
            </w:r>
            <w:r>
              <w:rPr>
                <w:b/>
                <w:sz w:val="18"/>
              </w:rPr>
              <w:t>(or </w:t>
            </w:r>
            <w:r>
              <w:rPr>
                <w:b/>
                <w:spacing w:val="-2"/>
                <w:sz w:val="18"/>
              </w:rPr>
              <w:t>deficit)</w:t>
            </w:r>
          </w:p>
          <w:p>
            <w:pPr>
              <w:pStyle w:val="TableParagraph"/>
              <w:tabs>
                <w:tab w:pos="3078" w:val="left" w:leader="none"/>
                <w:tab w:pos="7874" w:val="left" w:leader="none"/>
                <w:tab w:pos="8571" w:val="left" w:leader="none"/>
                <w:tab w:pos="9815" w:val="left" w:leader="none"/>
              </w:tabs>
              <w:spacing w:line="120" w:lineRule="auto" w:before="31"/>
              <w:ind w:left="107" w:right="93"/>
              <w:rPr>
                <w:sz w:val="18"/>
              </w:rPr>
            </w:pPr>
            <w:r>
              <w:rPr>
                <w:position w:val="11"/>
                <w:sz w:val="18"/>
              </w:rPr>
              <w:t>(an adjusted underlying surplus is</w:t>
              <w:tab/>
            </w:r>
            <w:r>
              <w:rPr>
                <w:sz w:val="18"/>
              </w:rPr>
              <w:t>Adjusted underlying surplus (deficit) / Adjusted</w:t>
              <w:tab/>
            </w:r>
            <w:r>
              <w:rPr>
                <w:spacing w:val="-10"/>
                <w:sz w:val="18"/>
              </w:rPr>
              <w:t>9</w:t>
            </w:r>
            <w:r>
              <w:rPr>
                <w:sz w:val="18"/>
              </w:rPr>
              <w:tab/>
            </w:r>
            <w:r>
              <w:rPr>
                <w:spacing w:val="-2"/>
                <w:sz w:val="18"/>
              </w:rPr>
              <w:t>(2.6%)</w:t>
            </w:r>
            <w:r>
              <w:rPr>
                <w:sz w:val="18"/>
              </w:rPr>
              <w:tab/>
            </w:r>
            <w:r>
              <w:rPr>
                <w:spacing w:val="-4"/>
                <w:sz w:val="18"/>
              </w:rPr>
              <w:t>2.9% </w:t>
            </w:r>
            <w:r>
              <w:rPr>
                <w:sz w:val="18"/>
              </w:rPr>
              <w:t>generated in the ordinary course</w:t>
              <w:tab/>
            </w:r>
            <w:r>
              <w:rPr>
                <w:position w:val="-9"/>
                <w:sz w:val="18"/>
              </w:rPr>
              <w:t>underlying revenue</w:t>
            </w:r>
          </w:p>
          <w:p>
            <w:pPr>
              <w:pStyle w:val="TableParagraph"/>
              <w:spacing w:line="105" w:lineRule="exact"/>
              <w:ind w:left="107"/>
              <w:rPr>
                <w:sz w:val="18"/>
              </w:rPr>
            </w:pPr>
            <w:r>
              <w:rPr>
                <w:sz w:val="18"/>
              </w:rPr>
              <w:t>of</w:t>
            </w:r>
            <w:r>
              <w:rPr>
                <w:spacing w:val="2"/>
                <w:sz w:val="18"/>
              </w:rPr>
              <w:t> </w:t>
            </w:r>
            <w:r>
              <w:rPr>
                <w:spacing w:val="-2"/>
                <w:sz w:val="18"/>
              </w:rPr>
              <w:t>business)</w:t>
            </w:r>
          </w:p>
        </w:tc>
        <w:tc>
          <w:tcPr>
            <w:tcW w:w="1068" w:type="dxa"/>
            <w:tcBorders>
              <w:top w:val="nil"/>
              <w:left w:val="nil"/>
              <w:bottom w:val="single" w:sz="8" w:space="0" w:color="000000"/>
              <w:right w:val="nil"/>
            </w:tcBorders>
            <w:shd w:val="clear" w:color="auto" w:fill="DDEBF6"/>
          </w:tcPr>
          <w:p>
            <w:pPr>
              <w:pStyle w:val="TableParagraph"/>
              <w:rPr>
                <w:sz w:val="20"/>
              </w:rPr>
            </w:pPr>
          </w:p>
          <w:p>
            <w:pPr>
              <w:pStyle w:val="TableParagraph"/>
              <w:rPr>
                <w:sz w:val="20"/>
              </w:rPr>
            </w:pPr>
          </w:p>
          <w:p>
            <w:pPr>
              <w:pStyle w:val="TableParagraph"/>
              <w:spacing w:before="122"/>
              <w:ind w:right="98"/>
              <w:jc w:val="right"/>
              <w:rPr>
                <w:sz w:val="18"/>
              </w:rPr>
            </w:pPr>
            <w:r>
              <w:rPr>
                <w:spacing w:val="-4"/>
                <w:sz w:val="18"/>
              </w:rPr>
              <w:t>2.2%</w:t>
            </w:r>
          </w:p>
        </w:tc>
        <w:tc>
          <w:tcPr>
            <w:tcW w:w="4075" w:type="dxa"/>
            <w:tcBorders>
              <w:top w:val="nil"/>
              <w:left w:val="nil"/>
              <w:bottom w:val="single" w:sz="8" w:space="0" w:color="000000"/>
            </w:tcBorders>
          </w:tcPr>
          <w:p>
            <w:pPr>
              <w:pStyle w:val="TableParagraph"/>
              <w:rPr>
                <w:sz w:val="20"/>
              </w:rPr>
            </w:pPr>
          </w:p>
          <w:p>
            <w:pPr>
              <w:pStyle w:val="TableParagraph"/>
              <w:rPr>
                <w:sz w:val="20"/>
              </w:rPr>
            </w:pPr>
          </w:p>
          <w:p>
            <w:pPr>
              <w:pStyle w:val="TableParagraph"/>
              <w:tabs>
                <w:tab w:pos="1069" w:val="left" w:leader="none"/>
                <w:tab w:pos="2141" w:val="left" w:leader="none"/>
                <w:tab w:pos="3040" w:val="left" w:leader="none"/>
              </w:tabs>
              <w:spacing w:before="122"/>
              <w:ind w:right="366"/>
              <w:jc w:val="right"/>
              <w:rPr>
                <w:sz w:val="18"/>
              </w:rPr>
            </w:pPr>
            <w:r>
              <w:rPr>
                <w:spacing w:val="-4"/>
                <w:sz w:val="18"/>
              </w:rPr>
              <w:t>5.1%</w:t>
            </w:r>
            <w:r>
              <w:rPr>
                <w:sz w:val="18"/>
              </w:rPr>
              <w:tab/>
            </w:r>
            <w:r>
              <w:rPr>
                <w:spacing w:val="-4"/>
                <w:sz w:val="18"/>
              </w:rPr>
              <w:t>4.6%</w:t>
            </w:r>
            <w:r>
              <w:rPr>
                <w:sz w:val="18"/>
              </w:rPr>
              <w:tab/>
            </w:r>
            <w:r>
              <w:rPr>
                <w:spacing w:val="-4"/>
                <w:sz w:val="18"/>
              </w:rPr>
              <w:t>5.9%</w:t>
            </w:r>
            <w:r>
              <w:rPr>
                <w:sz w:val="18"/>
              </w:rPr>
              <w:tab/>
            </w:r>
            <w:r>
              <w:rPr>
                <w:spacing w:val="-10"/>
                <w:sz w:val="18"/>
              </w:rPr>
              <w:t>+</w:t>
            </w:r>
          </w:p>
        </w:tc>
      </w:tr>
      <w:tr>
        <w:trPr>
          <w:trHeight w:val="1098" w:hRule="atLeast"/>
        </w:trPr>
        <w:tc>
          <w:tcPr>
            <w:tcW w:w="10334" w:type="dxa"/>
            <w:tcBorders>
              <w:top w:val="single" w:sz="8" w:space="0" w:color="000000"/>
              <w:bottom w:val="single" w:sz="8" w:space="0" w:color="000000"/>
              <w:right w:val="nil"/>
            </w:tcBorders>
          </w:tcPr>
          <w:p>
            <w:pPr>
              <w:pStyle w:val="TableParagraph"/>
              <w:spacing w:before="32"/>
              <w:ind w:left="107"/>
              <w:rPr>
                <w:b/>
                <w:i/>
                <w:sz w:val="18"/>
              </w:rPr>
            </w:pPr>
            <w:r>
              <w:rPr>
                <w:b/>
                <w:i/>
                <w:spacing w:val="-2"/>
                <w:sz w:val="18"/>
              </w:rPr>
              <w:t>Liquidity</w:t>
            </w:r>
          </w:p>
          <w:p>
            <w:pPr>
              <w:pStyle w:val="TableParagraph"/>
              <w:spacing w:before="31"/>
              <w:ind w:left="107"/>
              <w:rPr>
                <w:b/>
                <w:sz w:val="18"/>
              </w:rPr>
            </w:pPr>
            <w:r>
              <w:rPr>
                <w:b/>
                <w:sz w:val="18"/>
              </w:rPr>
              <w:t>Unrestricted</w:t>
            </w:r>
            <w:r>
              <w:rPr>
                <w:b/>
                <w:spacing w:val="-2"/>
                <w:sz w:val="18"/>
              </w:rPr>
              <w:t> </w:t>
            </w:r>
            <w:r>
              <w:rPr>
                <w:b/>
                <w:spacing w:val="-4"/>
                <w:sz w:val="18"/>
              </w:rPr>
              <w:t>cash</w:t>
            </w:r>
          </w:p>
          <w:p>
            <w:pPr>
              <w:pStyle w:val="TableParagraph"/>
              <w:tabs>
                <w:tab w:pos="3078" w:val="left" w:leader="none"/>
                <w:tab w:pos="7826" w:val="left" w:leader="none"/>
                <w:tab w:pos="8591" w:val="left" w:leader="none"/>
                <w:tab w:pos="9714" w:val="left" w:leader="none"/>
              </w:tabs>
              <w:spacing w:line="160" w:lineRule="auto" w:before="24"/>
              <w:ind w:left="107" w:right="94"/>
              <w:rPr>
                <w:sz w:val="18"/>
              </w:rPr>
            </w:pPr>
            <w:r>
              <w:rPr>
                <w:sz w:val="18"/>
              </w:rPr>
              <w:t>(sufficient cash that is free of</w:t>
              <w:tab/>
            </w:r>
            <w:r>
              <w:rPr>
                <w:b/>
                <w:sz w:val="18"/>
              </w:rPr>
              <w:t>Unrestricted cash compared to current liabilities</w:t>
              <w:tab/>
            </w:r>
            <w:r>
              <w:rPr>
                <w:spacing w:val="-6"/>
                <w:position w:val="-9"/>
                <w:sz w:val="18"/>
              </w:rPr>
              <w:t>10</w:t>
            </w:r>
            <w:r>
              <w:rPr>
                <w:position w:val="-9"/>
                <w:sz w:val="18"/>
              </w:rPr>
              <w:tab/>
            </w:r>
            <w:r>
              <w:rPr>
                <w:spacing w:val="-2"/>
                <w:position w:val="-9"/>
                <w:sz w:val="18"/>
              </w:rPr>
              <w:t>73.5%</w:t>
            </w:r>
            <w:r>
              <w:rPr>
                <w:position w:val="-9"/>
                <w:sz w:val="18"/>
              </w:rPr>
              <w:tab/>
            </w:r>
            <w:r>
              <w:rPr>
                <w:spacing w:val="-2"/>
                <w:position w:val="-9"/>
                <w:sz w:val="18"/>
              </w:rPr>
              <w:t>75.2% </w:t>
            </w:r>
            <w:r>
              <w:rPr>
                <w:sz w:val="18"/>
              </w:rPr>
              <w:t>restrictions is available to pay bills</w:t>
              <w:tab/>
              <w:t>Unrestricted cash / current liabilities</w:t>
            </w:r>
          </w:p>
          <w:p>
            <w:pPr>
              <w:pStyle w:val="TableParagraph"/>
              <w:spacing w:line="187" w:lineRule="exact" w:before="13"/>
              <w:ind w:left="107"/>
              <w:rPr>
                <w:sz w:val="18"/>
              </w:rPr>
            </w:pPr>
            <w:r>
              <w:rPr>
                <w:sz w:val="18"/>
              </w:rPr>
              <w:t>as</w:t>
            </w:r>
            <w:r>
              <w:rPr>
                <w:spacing w:val="-3"/>
                <w:sz w:val="18"/>
              </w:rPr>
              <w:t> </w:t>
            </w:r>
            <w:r>
              <w:rPr>
                <w:sz w:val="18"/>
              </w:rPr>
              <w:t>and</w:t>
            </w:r>
            <w:r>
              <w:rPr>
                <w:spacing w:val="-1"/>
                <w:sz w:val="18"/>
              </w:rPr>
              <w:t> </w:t>
            </w:r>
            <w:r>
              <w:rPr>
                <w:sz w:val="18"/>
              </w:rPr>
              <w:t>when they</w:t>
            </w:r>
            <w:r>
              <w:rPr>
                <w:spacing w:val="-1"/>
                <w:sz w:val="18"/>
              </w:rPr>
              <w:t> </w:t>
            </w:r>
            <w:r>
              <w:rPr>
                <w:sz w:val="18"/>
              </w:rPr>
              <w:t>fall</w:t>
            </w:r>
            <w:r>
              <w:rPr>
                <w:spacing w:val="-1"/>
                <w:sz w:val="18"/>
              </w:rPr>
              <w:t> </w:t>
            </w:r>
            <w:r>
              <w:rPr>
                <w:spacing w:val="-4"/>
                <w:sz w:val="18"/>
              </w:rPr>
              <w:t>due)</w:t>
            </w:r>
          </w:p>
        </w:tc>
        <w:tc>
          <w:tcPr>
            <w:tcW w:w="1068" w:type="dxa"/>
            <w:tcBorders>
              <w:top w:val="single" w:sz="8" w:space="0" w:color="000000"/>
              <w:left w:val="nil"/>
              <w:bottom w:val="single" w:sz="8" w:space="0" w:color="000000"/>
              <w:right w:val="nil"/>
            </w:tcBorders>
            <w:shd w:val="clear" w:color="auto" w:fill="DDEBF6"/>
          </w:tcPr>
          <w:p>
            <w:pPr>
              <w:pStyle w:val="TableParagraph"/>
              <w:rPr>
                <w:sz w:val="20"/>
              </w:rPr>
            </w:pPr>
          </w:p>
          <w:p>
            <w:pPr>
              <w:pStyle w:val="TableParagraph"/>
              <w:rPr>
                <w:sz w:val="20"/>
              </w:rPr>
            </w:pPr>
          </w:p>
          <w:p>
            <w:pPr>
              <w:pStyle w:val="TableParagraph"/>
              <w:spacing w:before="122"/>
              <w:ind w:right="99"/>
              <w:jc w:val="right"/>
              <w:rPr>
                <w:sz w:val="18"/>
              </w:rPr>
            </w:pPr>
            <w:r>
              <w:rPr>
                <w:spacing w:val="-2"/>
                <w:sz w:val="18"/>
              </w:rPr>
              <w:t>16.6%</w:t>
            </w:r>
          </w:p>
        </w:tc>
        <w:tc>
          <w:tcPr>
            <w:tcW w:w="4075" w:type="dxa"/>
            <w:tcBorders>
              <w:top w:val="single" w:sz="8" w:space="0" w:color="000000"/>
              <w:left w:val="nil"/>
              <w:bottom w:val="single" w:sz="8" w:space="0" w:color="000000"/>
            </w:tcBorders>
          </w:tcPr>
          <w:p>
            <w:pPr>
              <w:pStyle w:val="TableParagraph"/>
              <w:rPr>
                <w:sz w:val="20"/>
              </w:rPr>
            </w:pPr>
          </w:p>
          <w:p>
            <w:pPr>
              <w:pStyle w:val="TableParagraph"/>
              <w:rPr>
                <w:sz w:val="20"/>
              </w:rPr>
            </w:pPr>
          </w:p>
          <w:p>
            <w:pPr>
              <w:pStyle w:val="TableParagraph"/>
              <w:tabs>
                <w:tab w:pos="1070" w:val="left" w:leader="none"/>
                <w:tab w:pos="2139" w:val="left" w:leader="none"/>
                <w:tab w:pos="3162" w:val="left" w:leader="none"/>
              </w:tabs>
              <w:spacing w:before="122"/>
              <w:ind w:right="390"/>
              <w:jc w:val="right"/>
              <w:rPr>
                <w:b/>
                <w:sz w:val="18"/>
              </w:rPr>
            </w:pPr>
            <w:r>
              <w:rPr>
                <w:spacing w:val="-2"/>
                <w:sz w:val="18"/>
              </w:rPr>
              <w:t>59.5%</w:t>
            </w:r>
            <w:r>
              <w:rPr>
                <w:sz w:val="18"/>
              </w:rPr>
              <w:tab/>
            </w:r>
            <w:r>
              <w:rPr>
                <w:spacing w:val="-4"/>
                <w:sz w:val="18"/>
              </w:rPr>
              <w:t>51.2%</w:t>
            </w:r>
            <w:r>
              <w:rPr>
                <w:sz w:val="18"/>
              </w:rPr>
              <w:tab/>
            </w:r>
            <w:r>
              <w:rPr>
                <w:spacing w:val="-4"/>
                <w:sz w:val="18"/>
              </w:rPr>
              <w:t>37.0%</w:t>
            </w:r>
            <w:r>
              <w:rPr>
                <w:sz w:val="18"/>
              </w:rPr>
              <w:tab/>
            </w:r>
            <w:r>
              <w:rPr>
                <w:b/>
                <w:spacing w:val="-10"/>
                <w:sz w:val="18"/>
              </w:rPr>
              <w:t>-</w:t>
            </w:r>
          </w:p>
        </w:tc>
      </w:tr>
      <w:tr>
        <w:trPr>
          <w:trHeight w:val="4062" w:hRule="atLeast"/>
        </w:trPr>
        <w:tc>
          <w:tcPr>
            <w:tcW w:w="10334" w:type="dxa"/>
            <w:tcBorders>
              <w:top w:val="single" w:sz="8" w:space="0" w:color="000000"/>
              <w:bottom w:val="single" w:sz="8" w:space="0" w:color="000000"/>
              <w:right w:val="nil"/>
            </w:tcBorders>
          </w:tcPr>
          <w:p>
            <w:pPr>
              <w:pStyle w:val="TableParagraph"/>
              <w:spacing w:before="32"/>
              <w:ind w:left="107"/>
              <w:rPr>
                <w:b/>
                <w:i/>
                <w:sz w:val="18"/>
              </w:rPr>
            </w:pPr>
            <w:r>
              <w:rPr>
                <w:b/>
                <w:i/>
                <w:spacing w:val="-2"/>
                <w:sz w:val="18"/>
              </w:rPr>
              <w:t>Obligations</w:t>
            </w:r>
          </w:p>
          <w:p>
            <w:pPr>
              <w:pStyle w:val="TableParagraph"/>
              <w:spacing w:before="33"/>
              <w:ind w:left="107"/>
              <w:rPr>
                <w:b/>
                <w:sz w:val="18"/>
              </w:rPr>
            </w:pPr>
            <w:r>
              <w:rPr>
                <w:b/>
                <w:sz w:val="18"/>
              </w:rPr>
              <w:t>Loans</w:t>
            </w:r>
            <w:r>
              <w:rPr>
                <w:b/>
                <w:spacing w:val="-2"/>
                <w:sz w:val="18"/>
              </w:rPr>
              <w:t> </w:t>
            </w:r>
            <w:r>
              <w:rPr>
                <w:b/>
                <w:sz w:val="18"/>
              </w:rPr>
              <w:t>and</w:t>
            </w:r>
            <w:r>
              <w:rPr>
                <w:b/>
                <w:spacing w:val="2"/>
                <w:sz w:val="18"/>
              </w:rPr>
              <w:t> </w:t>
            </w:r>
            <w:r>
              <w:rPr>
                <w:b/>
                <w:spacing w:val="-2"/>
                <w:sz w:val="18"/>
              </w:rPr>
              <w:t>borrowings</w:t>
            </w:r>
          </w:p>
          <w:p>
            <w:pPr>
              <w:pStyle w:val="TableParagraph"/>
              <w:tabs>
                <w:tab w:pos="3078" w:val="left" w:leader="none"/>
              </w:tabs>
              <w:spacing w:line="257" w:lineRule="exact" w:before="3"/>
              <w:ind w:left="107"/>
              <w:rPr>
                <w:b/>
                <w:sz w:val="18"/>
              </w:rPr>
            </w:pPr>
            <w:r>
              <w:rPr>
                <w:position w:val="10"/>
                <w:sz w:val="18"/>
              </w:rPr>
              <w:t>(level</w:t>
            </w:r>
            <w:r>
              <w:rPr>
                <w:spacing w:val="-2"/>
                <w:position w:val="10"/>
                <w:sz w:val="18"/>
              </w:rPr>
              <w:t> </w:t>
            </w:r>
            <w:r>
              <w:rPr>
                <w:position w:val="10"/>
                <w:sz w:val="18"/>
              </w:rPr>
              <w:t>of</w:t>
            </w:r>
            <w:r>
              <w:rPr>
                <w:spacing w:val="-3"/>
                <w:position w:val="10"/>
                <w:sz w:val="18"/>
              </w:rPr>
              <w:t> </w:t>
            </w:r>
            <w:r>
              <w:rPr>
                <w:position w:val="10"/>
                <w:sz w:val="18"/>
              </w:rPr>
              <w:t>interest-bearing</w:t>
            </w:r>
            <w:r>
              <w:rPr>
                <w:spacing w:val="-2"/>
                <w:position w:val="10"/>
                <w:sz w:val="18"/>
              </w:rPr>
              <w:t> </w:t>
            </w:r>
            <w:r>
              <w:rPr>
                <w:spacing w:val="-4"/>
                <w:position w:val="10"/>
                <w:sz w:val="18"/>
              </w:rPr>
              <w:t>loans</w:t>
            </w:r>
            <w:r>
              <w:rPr>
                <w:position w:val="10"/>
                <w:sz w:val="18"/>
              </w:rPr>
              <w:tab/>
            </w:r>
            <w:r>
              <w:rPr>
                <w:b/>
                <w:sz w:val="18"/>
              </w:rPr>
              <w:t>Loans</w:t>
            </w:r>
            <w:r>
              <w:rPr>
                <w:b/>
                <w:spacing w:val="-5"/>
                <w:sz w:val="18"/>
              </w:rPr>
              <w:t> </w:t>
            </w:r>
            <w:r>
              <w:rPr>
                <w:b/>
                <w:sz w:val="18"/>
              </w:rPr>
              <w:t>and borrowings</w:t>
            </w:r>
            <w:r>
              <w:rPr>
                <w:b/>
                <w:spacing w:val="-1"/>
                <w:sz w:val="18"/>
              </w:rPr>
              <w:t> </w:t>
            </w:r>
            <w:r>
              <w:rPr>
                <w:b/>
                <w:sz w:val="18"/>
              </w:rPr>
              <w:t>compared</w:t>
            </w:r>
            <w:r>
              <w:rPr>
                <w:b/>
                <w:spacing w:val="1"/>
                <w:sz w:val="18"/>
              </w:rPr>
              <w:t> </w:t>
            </w:r>
            <w:r>
              <w:rPr>
                <w:b/>
                <w:sz w:val="18"/>
              </w:rPr>
              <w:t>to </w:t>
            </w:r>
            <w:r>
              <w:rPr>
                <w:b/>
                <w:spacing w:val="-2"/>
                <w:sz w:val="18"/>
              </w:rPr>
              <w:t>rates</w:t>
            </w:r>
          </w:p>
          <w:p>
            <w:pPr>
              <w:pStyle w:val="TableParagraph"/>
              <w:tabs>
                <w:tab w:pos="3078" w:val="left" w:leader="none"/>
                <w:tab w:pos="7826" w:val="left" w:leader="none"/>
                <w:tab w:pos="8592" w:val="left" w:leader="none"/>
                <w:tab w:pos="9715" w:val="left" w:leader="none"/>
              </w:tabs>
              <w:spacing w:line="120" w:lineRule="auto" w:before="34"/>
              <w:ind w:left="107" w:right="94"/>
              <w:rPr>
                <w:sz w:val="18"/>
              </w:rPr>
            </w:pPr>
            <w:r>
              <w:rPr>
                <w:position w:val="10"/>
                <w:sz w:val="18"/>
              </w:rPr>
              <w:t>and borrowings is appropriate to</w:t>
              <w:tab/>
            </w:r>
            <w:r>
              <w:rPr>
                <w:sz w:val="18"/>
              </w:rPr>
              <w:t>Interest bearing loans and borrowings / rate revenue</w:t>
              <w:tab/>
            </w:r>
            <w:r>
              <w:rPr>
                <w:spacing w:val="-6"/>
                <w:position w:val="10"/>
                <w:sz w:val="18"/>
              </w:rPr>
              <w:t>11</w:t>
            </w:r>
            <w:r>
              <w:rPr>
                <w:position w:val="10"/>
                <w:sz w:val="18"/>
              </w:rPr>
              <w:tab/>
            </w:r>
            <w:r>
              <w:rPr>
                <w:spacing w:val="-2"/>
                <w:position w:val="10"/>
                <w:sz w:val="18"/>
              </w:rPr>
              <w:t>21.0%</w:t>
            </w:r>
            <w:r>
              <w:rPr>
                <w:position w:val="10"/>
                <w:sz w:val="18"/>
              </w:rPr>
              <w:tab/>
            </w:r>
            <w:r>
              <w:rPr>
                <w:spacing w:val="-2"/>
                <w:position w:val="10"/>
                <w:sz w:val="18"/>
              </w:rPr>
              <w:t>17.3% </w:t>
            </w:r>
            <w:r>
              <w:rPr>
                <w:sz w:val="18"/>
              </w:rPr>
              <w:t>the size and nature of Council's</w:t>
            </w:r>
          </w:p>
          <w:p>
            <w:pPr>
              <w:pStyle w:val="TableParagraph"/>
              <w:spacing w:before="20"/>
              <w:ind w:left="107"/>
              <w:rPr>
                <w:sz w:val="18"/>
              </w:rPr>
            </w:pPr>
            <w:r>
              <w:rPr>
                <w:spacing w:val="-2"/>
                <w:sz w:val="18"/>
              </w:rPr>
              <w:t>activities)</w:t>
            </w:r>
          </w:p>
          <w:p>
            <w:pPr>
              <w:pStyle w:val="TableParagraph"/>
              <w:tabs>
                <w:tab w:pos="3078" w:val="left" w:leader="none"/>
              </w:tabs>
              <w:spacing w:line="255" w:lineRule="exact" w:before="3"/>
              <w:ind w:left="107"/>
              <w:rPr>
                <w:b/>
                <w:sz w:val="18"/>
              </w:rPr>
            </w:pPr>
            <w:r>
              <w:rPr>
                <w:b/>
                <w:position w:val="10"/>
                <w:sz w:val="18"/>
              </w:rPr>
              <w:t>Loans</w:t>
            </w:r>
            <w:r>
              <w:rPr>
                <w:b/>
                <w:spacing w:val="-2"/>
                <w:position w:val="10"/>
                <w:sz w:val="18"/>
              </w:rPr>
              <w:t> </w:t>
            </w:r>
            <w:r>
              <w:rPr>
                <w:b/>
                <w:position w:val="10"/>
                <w:sz w:val="18"/>
              </w:rPr>
              <w:t>and</w:t>
            </w:r>
            <w:r>
              <w:rPr>
                <w:b/>
                <w:spacing w:val="2"/>
                <w:position w:val="10"/>
                <w:sz w:val="18"/>
              </w:rPr>
              <w:t> </w:t>
            </w:r>
            <w:r>
              <w:rPr>
                <w:b/>
                <w:spacing w:val="-2"/>
                <w:position w:val="10"/>
                <w:sz w:val="18"/>
              </w:rPr>
              <w:t>borrowings</w:t>
            </w:r>
            <w:r>
              <w:rPr>
                <w:b/>
                <w:position w:val="10"/>
                <w:sz w:val="18"/>
              </w:rPr>
              <w:tab/>
            </w:r>
            <w:r>
              <w:rPr>
                <w:b/>
                <w:sz w:val="18"/>
              </w:rPr>
              <w:t>Loans</w:t>
            </w:r>
            <w:r>
              <w:rPr>
                <w:b/>
                <w:spacing w:val="-3"/>
                <w:sz w:val="18"/>
              </w:rPr>
              <w:t> </w:t>
            </w:r>
            <w:r>
              <w:rPr>
                <w:b/>
                <w:sz w:val="18"/>
              </w:rPr>
              <w:t>and borrowings repayments</w:t>
            </w:r>
            <w:r>
              <w:rPr>
                <w:b/>
                <w:spacing w:val="-2"/>
                <w:sz w:val="18"/>
              </w:rPr>
              <w:t> </w:t>
            </w:r>
            <w:r>
              <w:rPr>
                <w:b/>
                <w:sz w:val="18"/>
              </w:rPr>
              <w:t>compared</w:t>
            </w:r>
            <w:r>
              <w:rPr>
                <w:b/>
                <w:spacing w:val="1"/>
                <w:sz w:val="18"/>
              </w:rPr>
              <w:t> </w:t>
            </w:r>
            <w:r>
              <w:rPr>
                <w:b/>
                <w:spacing w:val="-5"/>
                <w:sz w:val="18"/>
              </w:rPr>
              <w:t>to</w:t>
            </w:r>
          </w:p>
          <w:p>
            <w:pPr>
              <w:pStyle w:val="TableParagraph"/>
              <w:tabs>
                <w:tab w:pos="3078" w:val="left" w:leader="none"/>
              </w:tabs>
              <w:spacing w:line="148" w:lineRule="auto"/>
              <w:ind w:left="107"/>
              <w:rPr>
                <w:b/>
                <w:sz w:val="18"/>
              </w:rPr>
            </w:pPr>
            <w:r>
              <w:rPr>
                <w:sz w:val="18"/>
              </w:rPr>
              <w:t>(level</w:t>
            </w:r>
            <w:r>
              <w:rPr>
                <w:spacing w:val="-2"/>
                <w:sz w:val="18"/>
              </w:rPr>
              <w:t> </w:t>
            </w:r>
            <w:r>
              <w:rPr>
                <w:sz w:val="18"/>
              </w:rPr>
              <w:t>of</w:t>
            </w:r>
            <w:r>
              <w:rPr>
                <w:spacing w:val="-3"/>
                <w:sz w:val="18"/>
              </w:rPr>
              <w:t> </w:t>
            </w:r>
            <w:r>
              <w:rPr>
                <w:sz w:val="18"/>
              </w:rPr>
              <w:t>interest-bearing</w:t>
            </w:r>
            <w:r>
              <w:rPr>
                <w:spacing w:val="-2"/>
                <w:sz w:val="18"/>
              </w:rPr>
              <w:t> </w:t>
            </w:r>
            <w:r>
              <w:rPr>
                <w:spacing w:val="-4"/>
                <w:sz w:val="18"/>
              </w:rPr>
              <w:t>loans</w:t>
            </w:r>
            <w:r>
              <w:rPr>
                <w:sz w:val="18"/>
              </w:rPr>
              <w:tab/>
            </w:r>
            <w:r>
              <w:rPr>
                <w:b/>
                <w:spacing w:val="-2"/>
                <w:position w:val="-9"/>
                <w:sz w:val="18"/>
              </w:rPr>
              <w:t>rates</w:t>
            </w:r>
          </w:p>
          <w:p>
            <w:pPr>
              <w:pStyle w:val="TableParagraph"/>
              <w:tabs>
                <w:tab w:pos="3078" w:val="left" w:leader="none"/>
                <w:tab w:pos="8692" w:val="left" w:leader="none"/>
                <w:tab w:pos="9816" w:val="left" w:leader="none"/>
              </w:tabs>
              <w:spacing w:line="160" w:lineRule="auto"/>
              <w:ind w:left="107" w:right="95"/>
              <w:rPr>
                <w:sz w:val="18"/>
              </w:rPr>
            </w:pPr>
            <w:r>
              <w:rPr>
                <w:position w:val="11"/>
                <w:sz w:val="18"/>
              </w:rPr>
              <w:t>and borrowings is appropriate to</w:t>
              <w:tab/>
            </w:r>
            <w:r>
              <w:rPr>
                <w:sz w:val="18"/>
              </w:rPr>
              <w:t>Interest and principal repayments on interest bearing</w:t>
              <w:tab/>
            </w:r>
            <w:r>
              <w:rPr>
                <w:spacing w:val="-4"/>
                <w:position w:val="11"/>
                <w:sz w:val="18"/>
              </w:rPr>
              <w:t>3.7%</w:t>
            </w:r>
            <w:r>
              <w:rPr>
                <w:position w:val="11"/>
                <w:sz w:val="18"/>
              </w:rPr>
              <w:tab/>
            </w:r>
            <w:r>
              <w:rPr>
                <w:spacing w:val="-4"/>
                <w:position w:val="11"/>
                <w:sz w:val="18"/>
              </w:rPr>
              <w:t>3.5% </w:t>
            </w:r>
            <w:r>
              <w:rPr>
                <w:position w:val="10"/>
                <w:sz w:val="18"/>
              </w:rPr>
              <w:t>the size and nature of Council's</w:t>
              <w:tab/>
            </w:r>
            <w:r>
              <w:rPr>
                <w:sz w:val="18"/>
              </w:rPr>
              <w:t>loans and borrowings / rate revenue</w:t>
            </w:r>
          </w:p>
          <w:p>
            <w:pPr>
              <w:pStyle w:val="TableParagraph"/>
              <w:spacing w:line="84" w:lineRule="exact"/>
              <w:ind w:left="107"/>
              <w:rPr>
                <w:sz w:val="18"/>
              </w:rPr>
            </w:pPr>
            <w:r>
              <w:rPr>
                <w:spacing w:val="-2"/>
                <w:sz w:val="18"/>
              </w:rPr>
              <w:t>activities)</w:t>
            </w:r>
          </w:p>
          <w:p>
            <w:pPr>
              <w:pStyle w:val="TableParagraph"/>
              <w:tabs>
                <w:tab w:pos="3078" w:val="left" w:leader="none"/>
              </w:tabs>
              <w:spacing w:line="255" w:lineRule="exact"/>
              <w:ind w:left="107"/>
              <w:rPr>
                <w:b/>
                <w:sz w:val="18"/>
              </w:rPr>
            </w:pPr>
            <w:r>
              <w:rPr>
                <w:b/>
                <w:spacing w:val="-2"/>
                <w:position w:val="10"/>
                <w:sz w:val="18"/>
              </w:rPr>
              <w:t>Indebtedness</w:t>
            </w:r>
            <w:r>
              <w:rPr>
                <w:b/>
                <w:position w:val="10"/>
                <w:sz w:val="18"/>
              </w:rPr>
              <w:tab/>
            </w:r>
            <w:r>
              <w:rPr>
                <w:b/>
                <w:sz w:val="18"/>
              </w:rPr>
              <w:t>Non-current</w:t>
            </w:r>
            <w:r>
              <w:rPr>
                <w:b/>
                <w:spacing w:val="-1"/>
                <w:sz w:val="18"/>
              </w:rPr>
              <w:t> </w:t>
            </w:r>
            <w:r>
              <w:rPr>
                <w:b/>
                <w:sz w:val="18"/>
              </w:rPr>
              <w:t>liabilities compared to</w:t>
            </w:r>
            <w:r>
              <w:rPr>
                <w:b/>
                <w:spacing w:val="-1"/>
                <w:sz w:val="18"/>
              </w:rPr>
              <w:t> </w:t>
            </w:r>
            <w:r>
              <w:rPr>
                <w:b/>
                <w:sz w:val="18"/>
              </w:rPr>
              <w:t>own-</w:t>
            </w:r>
            <w:r>
              <w:rPr>
                <w:b/>
                <w:spacing w:val="-2"/>
                <w:sz w:val="18"/>
              </w:rPr>
              <w:t>source</w:t>
            </w:r>
          </w:p>
          <w:p>
            <w:pPr>
              <w:pStyle w:val="TableParagraph"/>
              <w:tabs>
                <w:tab w:pos="3078" w:val="left" w:leader="none"/>
                <w:tab w:pos="8591" w:val="left" w:leader="none"/>
                <w:tab w:pos="9714" w:val="left" w:leader="none"/>
              </w:tabs>
              <w:spacing w:line="156" w:lineRule="auto"/>
              <w:ind w:left="107"/>
              <w:rPr>
                <w:sz w:val="18"/>
              </w:rPr>
            </w:pPr>
            <w:r>
              <w:rPr>
                <w:sz w:val="18"/>
              </w:rPr>
              <w:t>(level of</w:t>
            </w:r>
            <w:r>
              <w:rPr>
                <w:spacing w:val="-3"/>
                <w:sz w:val="18"/>
              </w:rPr>
              <w:t> </w:t>
            </w:r>
            <w:r>
              <w:rPr>
                <w:sz w:val="18"/>
              </w:rPr>
              <w:t>long-term</w:t>
            </w:r>
            <w:r>
              <w:rPr>
                <w:spacing w:val="-1"/>
                <w:sz w:val="18"/>
              </w:rPr>
              <w:t> </w:t>
            </w:r>
            <w:r>
              <w:rPr>
                <w:sz w:val="18"/>
              </w:rPr>
              <w:t>liabilities </w:t>
            </w:r>
            <w:r>
              <w:rPr>
                <w:spacing w:val="-5"/>
                <w:sz w:val="18"/>
              </w:rPr>
              <w:t>is</w:t>
            </w:r>
            <w:r>
              <w:rPr>
                <w:sz w:val="18"/>
              </w:rPr>
              <w:tab/>
            </w:r>
            <w:r>
              <w:rPr>
                <w:b/>
                <w:spacing w:val="-2"/>
                <w:position w:val="-9"/>
                <w:sz w:val="18"/>
              </w:rPr>
              <w:t>revenue</w:t>
            </w:r>
            <w:r>
              <w:rPr>
                <w:b/>
                <w:position w:val="-9"/>
                <w:sz w:val="18"/>
              </w:rPr>
              <w:tab/>
            </w:r>
            <w:r>
              <w:rPr>
                <w:spacing w:val="-2"/>
                <w:position w:val="-9"/>
                <w:sz w:val="18"/>
              </w:rPr>
              <w:t>27.0%</w:t>
            </w:r>
            <w:r>
              <w:rPr>
                <w:position w:val="-9"/>
                <w:sz w:val="18"/>
              </w:rPr>
              <w:tab/>
            </w:r>
            <w:r>
              <w:rPr>
                <w:spacing w:val="-2"/>
                <w:position w:val="-9"/>
                <w:sz w:val="18"/>
              </w:rPr>
              <w:t>23.2%</w:t>
            </w:r>
          </w:p>
          <w:p>
            <w:pPr>
              <w:pStyle w:val="TableParagraph"/>
              <w:tabs>
                <w:tab w:pos="3078" w:val="left" w:leader="none"/>
              </w:tabs>
              <w:spacing w:line="120" w:lineRule="auto"/>
              <w:ind w:left="107" w:right="3820"/>
              <w:rPr>
                <w:sz w:val="18"/>
              </w:rPr>
            </w:pPr>
            <w:r>
              <w:rPr>
                <w:position w:val="10"/>
                <w:sz w:val="18"/>
              </w:rPr>
              <w:t>appropriate to the size and nature</w:t>
              <w:tab/>
            </w:r>
            <w:r>
              <w:rPr>
                <w:sz w:val="18"/>
              </w:rPr>
              <w:t>non-current</w:t>
            </w:r>
            <w:r>
              <w:rPr>
                <w:spacing w:val="-8"/>
                <w:sz w:val="18"/>
              </w:rPr>
              <w:t> </w:t>
            </w:r>
            <w:r>
              <w:rPr>
                <w:sz w:val="18"/>
              </w:rPr>
              <w:t>liabilities</w:t>
            </w:r>
            <w:r>
              <w:rPr>
                <w:spacing w:val="-5"/>
                <w:sz w:val="18"/>
              </w:rPr>
              <w:t> </w:t>
            </w:r>
            <w:r>
              <w:rPr>
                <w:sz w:val="18"/>
              </w:rPr>
              <w:t>/</w:t>
            </w:r>
            <w:r>
              <w:rPr>
                <w:spacing w:val="-8"/>
                <w:sz w:val="18"/>
              </w:rPr>
              <w:t> </w:t>
            </w:r>
            <w:r>
              <w:rPr>
                <w:sz w:val="18"/>
              </w:rPr>
              <w:t>own</w:t>
            </w:r>
            <w:r>
              <w:rPr>
                <w:spacing w:val="-8"/>
                <w:sz w:val="18"/>
              </w:rPr>
              <w:t> </w:t>
            </w:r>
            <w:r>
              <w:rPr>
                <w:sz w:val="18"/>
              </w:rPr>
              <w:t>source</w:t>
            </w:r>
            <w:r>
              <w:rPr>
                <w:spacing w:val="-6"/>
                <w:sz w:val="18"/>
              </w:rPr>
              <w:t> </w:t>
            </w:r>
            <w:r>
              <w:rPr>
                <w:sz w:val="18"/>
              </w:rPr>
              <w:t>revenue of a Council's activities)</w:t>
            </w:r>
          </w:p>
          <w:p>
            <w:pPr>
              <w:pStyle w:val="TableParagraph"/>
              <w:spacing w:before="37"/>
              <w:ind w:left="107"/>
              <w:rPr>
                <w:b/>
                <w:i/>
                <w:sz w:val="18"/>
              </w:rPr>
            </w:pPr>
            <w:r>
              <w:rPr>
                <w:b/>
                <w:i/>
                <w:spacing w:val="-2"/>
                <w:sz w:val="18"/>
              </w:rPr>
              <w:t>Stability</w:t>
            </w:r>
          </w:p>
          <w:p>
            <w:pPr>
              <w:pStyle w:val="TableParagraph"/>
              <w:tabs>
                <w:tab w:pos="3078" w:val="left" w:leader="none"/>
              </w:tabs>
              <w:spacing w:line="207" w:lineRule="exact" w:before="33"/>
              <w:ind w:left="107"/>
              <w:rPr>
                <w:b/>
                <w:sz w:val="18"/>
              </w:rPr>
            </w:pPr>
            <w:r>
              <w:rPr>
                <w:b/>
                <w:sz w:val="18"/>
              </w:rPr>
              <w:t>Rates</w:t>
            </w:r>
            <w:r>
              <w:rPr>
                <w:b/>
                <w:spacing w:val="-1"/>
                <w:sz w:val="18"/>
              </w:rPr>
              <w:t> </w:t>
            </w:r>
            <w:r>
              <w:rPr>
                <w:b/>
                <w:spacing w:val="-2"/>
                <w:sz w:val="18"/>
              </w:rPr>
              <w:t>effort</w:t>
            </w:r>
            <w:r>
              <w:rPr>
                <w:b/>
                <w:sz w:val="18"/>
              </w:rPr>
              <w:tab/>
              <w:t>Rates compared</w:t>
            </w:r>
            <w:r>
              <w:rPr>
                <w:b/>
                <w:spacing w:val="-1"/>
                <w:sz w:val="18"/>
              </w:rPr>
              <w:t> </w:t>
            </w:r>
            <w:r>
              <w:rPr>
                <w:b/>
                <w:sz w:val="18"/>
              </w:rPr>
              <w:t>to property</w:t>
            </w:r>
            <w:r>
              <w:rPr>
                <w:b/>
                <w:spacing w:val="-1"/>
                <w:sz w:val="18"/>
              </w:rPr>
              <w:t> </w:t>
            </w:r>
            <w:r>
              <w:rPr>
                <w:b/>
                <w:spacing w:val="-2"/>
                <w:sz w:val="18"/>
              </w:rPr>
              <w:t>values</w:t>
            </w:r>
          </w:p>
          <w:p>
            <w:pPr>
              <w:pStyle w:val="TableParagraph"/>
              <w:tabs>
                <w:tab w:pos="3078" w:val="left" w:leader="none"/>
                <w:tab w:pos="7826" w:val="left" w:leader="none"/>
                <w:tab w:pos="8692" w:val="left" w:leader="none"/>
                <w:tab w:pos="9816" w:val="left" w:leader="none"/>
              </w:tabs>
              <w:spacing w:line="206" w:lineRule="exact"/>
              <w:ind w:left="107" w:right="95"/>
              <w:rPr>
                <w:sz w:val="18"/>
              </w:rPr>
            </w:pPr>
            <w:r>
              <w:rPr>
                <w:sz w:val="18"/>
              </w:rPr>
              <w:t>(rating level is set based on the</w:t>
              <w:tab/>
              <w:t>Rate revenue / CIV of rateable properties in the</w:t>
              <w:tab/>
            </w:r>
            <w:r>
              <w:rPr>
                <w:spacing w:val="-6"/>
                <w:sz w:val="18"/>
              </w:rPr>
              <w:t>12</w:t>
            </w:r>
            <w:r>
              <w:rPr>
                <w:sz w:val="18"/>
              </w:rPr>
              <w:tab/>
            </w:r>
            <w:r>
              <w:rPr>
                <w:spacing w:val="-4"/>
                <w:sz w:val="18"/>
              </w:rPr>
              <w:t>0.2%</w:t>
            </w:r>
            <w:r>
              <w:rPr>
                <w:sz w:val="18"/>
              </w:rPr>
              <w:tab/>
            </w:r>
            <w:r>
              <w:rPr>
                <w:spacing w:val="-4"/>
                <w:sz w:val="18"/>
              </w:rPr>
              <w:t>0.2% </w:t>
            </w:r>
            <w:r>
              <w:rPr>
                <w:sz w:val="18"/>
              </w:rPr>
              <w:t>community's capacity to pay)</w:t>
              <w:tab/>
              <w:t>municipal district</w:t>
            </w:r>
          </w:p>
        </w:tc>
        <w:tc>
          <w:tcPr>
            <w:tcW w:w="1068" w:type="dxa"/>
            <w:tcBorders>
              <w:top w:val="single" w:sz="8" w:space="0" w:color="000000"/>
              <w:left w:val="nil"/>
              <w:bottom w:val="single" w:sz="8" w:space="0" w:color="000000"/>
              <w:right w:val="nil"/>
            </w:tcBorders>
            <w:shd w:val="clear" w:color="auto" w:fill="DDEBF6"/>
          </w:tcPr>
          <w:p>
            <w:pPr>
              <w:pStyle w:val="TableParagraph"/>
              <w:rPr>
                <w:sz w:val="20"/>
              </w:rPr>
            </w:pPr>
          </w:p>
          <w:p>
            <w:pPr>
              <w:pStyle w:val="TableParagraph"/>
              <w:rPr>
                <w:sz w:val="20"/>
              </w:rPr>
            </w:pPr>
          </w:p>
          <w:p>
            <w:pPr>
              <w:pStyle w:val="TableParagraph"/>
              <w:spacing w:before="6"/>
              <w:rPr>
                <w:sz w:val="19"/>
              </w:rPr>
            </w:pPr>
          </w:p>
          <w:p>
            <w:pPr>
              <w:pStyle w:val="TableParagraph"/>
              <w:ind w:right="99"/>
              <w:jc w:val="right"/>
              <w:rPr>
                <w:sz w:val="18"/>
              </w:rPr>
            </w:pPr>
            <w:r>
              <w:rPr>
                <w:spacing w:val="-2"/>
                <w:sz w:val="18"/>
              </w:rPr>
              <w:t>14.1%</w:t>
            </w:r>
          </w:p>
          <w:p>
            <w:pPr>
              <w:pStyle w:val="TableParagraph"/>
              <w:rPr>
                <w:sz w:val="20"/>
              </w:rPr>
            </w:pPr>
          </w:p>
          <w:p>
            <w:pPr>
              <w:pStyle w:val="TableParagraph"/>
              <w:rPr>
                <w:sz w:val="20"/>
              </w:rPr>
            </w:pPr>
          </w:p>
          <w:p>
            <w:pPr>
              <w:pStyle w:val="TableParagraph"/>
              <w:rPr>
                <w:sz w:val="20"/>
              </w:rPr>
            </w:pPr>
          </w:p>
          <w:p>
            <w:pPr>
              <w:pStyle w:val="TableParagraph"/>
              <w:spacing w:before="138"/>
              <w:ind w:right="98"/>
              <w:jc w:val="right"/>
              <w:rPr>
                <w:sz w:val="18"/>
              </w:rPr>
            </w:pPr>
            <w:r>
              <w:rPr>
                <w:spacing w:val="-4"/>
                <w:sz w:val="18"/>
              </w:rPr>
              <w:t>3.4%</w:t>
            </w:r>
          </w:p>
          <w:p>
            <w:pPr>
              <w:pStyle w:val="TableParagraph"/>
              <w:rPr>
                <w:sz w:val="20"/>
              </w:rPr>
            </w:pPr>
          </w:p>
          <w:p>
            <w:pPr>
              <w:pStyle w:val="TableParagraph"/>
              <w:rPr>
                <w:sz w:val="20"/>
              </w:rPr>
            </w:pPr>
          </w:p>
          <w:p>
            <w:pPr>
              <w:pStyle w:val="TableParagraph"/>
              <w:spacing w:before="11"/>
              <w:rPr>
                <w:sz w:val="22"/>
              </w:rPr>
            </w:pPr>
          </w:p>
          <w:p>
            <w:pPr>
              <w:pStyle w:val="TableParagraph"/>
              <w:ind w:right="99"/>
              <w:jc w:val="right"/>
              <w:rPr>
                <w:sz w:val="18"/>
              </w:rPr>
            </w:pPr>
            <w:r>
              <w:rPr>
                <w:spacing w:val="-2"/>
                <w:sz w:val="18"/>
              </w:rPr>
              <w:t>13.4%</w:t>
            </w:r>
          </w:p>
          <w:p>
            <w:pPr>
              <w:pStyle w:val="TableParagraph"/>
              <w:rPr>
                <w:sz w:val="20"/>
              </w:rPr>
            </w:pPr>
          </w:p>
          <w:p>
            <w:pPr>
              <w:pStyle w:val="TableParagraph"/>
              <w:rPr>
                <w:sz w:val="20"/>
              </w:rPr>
            </w:pPr>
          </w:p>
          <w:p>
            <w:pPr>
              <w:pStyle w:val="TableParagraph"/>
              <w:spacing w:before="7"/>
              <w:rPr>
                <w:sz w:val="28"/>
              </w:rPr>
            </w:pPr>
          </w:p>
          <w:p>
            <w:pPr>
              <w:pStyle w:val="TableParagraph"/>
              <w:ind w:right="98"/>
              <w:jc w:val="right"/>
              <w:rPr>
                <w:sz w:val="18"/>
              </w:rPr>
            </w:pPr>
            <w:r>
              <w:rPr>
                <w:spacing w:val="-4"/>
                <w:sz w:val="18"/>
              </w:rPr>
              <w:t>0.3%</w:t>
            </w:r>
          </w:p>
        </w:tc>
        <w:tc>
          <w:tcPr>
            <w:tcW w:w="4075" w:type="dxa"/>
            <w:tcBorders>
              <w:top w:val="single" w:sz="8" w:space="0" w:color="000000"/>
              <w:left w:val="nil"/>
              <w:bottom w:val="single" w:sz="8" w:space="0" w:color="000000"/>
            </w:tcBorders>
          </w:tcPr>
          <w:p>
            <w:pPr>
              <w:pStyle w:val="TableParagraph"/>
              <w:rPr>
                <w:sz w:val="20"/>
              </w:rPr>
            </w:pPr>
          </w:p>
          <w:p>
            <w:pPr>
              <w:pStyle w:val="TableParagraph"/>
              <w:rPr>
                <w:sz w:val="20"/>
              </w:rPr>
            </w:pPr>
          </w:p>
          <w:p>
            <w:pPr>
              <w:pStyle w:val="TableParagraph"/>
              <w:spacing w:before="6"/>
              <w:rPr>
                <w:sz w:val="19"/>
              </w:rPr>
            </w:pPr>
          </w:p>
          <w:p>
            <w:pPr>
              <w:pStyle w:val="TableParagraph"/>
              <w:tabs>
                <w:tab w:pos="1519" w:val="left" w:leader="none"/>
                <w:tab w:pos="2589" w:val="left" w:leader="none"/>
                <w:tab w:pos="3612" w:val="left" w:leader="none"/>
              </w:tabs>
              <w:ind w:left="449"/>
              <w:rPr>
                <w:b/>
                <w:sz w:val="18"/>
              </w:rPr>
            </w:pPr>
            <w:r>
              <w:rPr>
                <w:spacing w:val="-2"/>
                <w:sz w:val="18"/>
              </w:rPr>
              <w:t>23.3%</w:t>
            </w:r>
            <w:r>
              <w:rPr>
                <w:sz w:val="18"/>
              </w:rPr>
              <w:tab/>
            </w:r>
            <w:r>
              <w:rPr>
                <w:spacing w:val="-4"/>
                <w:sz w:val="18"/>
              </w:rPr>
              <w:t>19.1%</w:t>
            </w:r>
            <w:r>
              <w:rPr>
                <w:sz w:val="18"/>
              </w:rPr>
              <w:tab/>
            </w:r>
            <w:r>
              <w:rPr>
                <w:spacing w:val="-2"/>
                <w:sz w:val="18"/>
              </w:rPr>
              <w:t>15.1%</w:t>
            </w:r>
            <w:r>
              <w:rPr>
                <w:sz w:val="18"/>
              </w:rPr>
              <w:tab/>
            </w:r>
            <w:r>
              <w:rPr>
                <w:b/>
                <w:spacing w:val="-10"/>
                <w:sz w:val="18"/>
              </w:rPr>
              <w:t>-</w:t>
            </w:r>
          </w:p>
          <w:p>
            <w:pPr>
              <w:pStyle w:val="TableParagraph"/>
              <w:rPr>
                <w:sz w:val="20"/>
              </w:rPr>
            </w:pPr>
          </w:p>
          <w:p>
            <w:pPr>
              <w:pStyle w:val="TableParagraph"/>
              <w:rPr>
                <w:sz w:val="20"/>
              </w:rPr>
            </w:pPr>
          </w:p>
          <w:p>
            <w:pPr>
              <w:pStyle w:val="TableParagraph"/>
              <w:rPr>
                <w:sz w:val="20"/>
              </w:rPr>
            </w:pPr>
          </w:p>
          <w:p>
            <w:pPr>
              <w:pStyle w:val="TableParagraph"/>
              <w:tabs>
                <w:tab w:pos="1619" w:val="left" w:leader="none"/>
                <w:tab w:pos="2691" w:val="left" w:leader="none"/>
                <w:tab w:pos="3590" w:val="left" w:leader="none"/>
              </w:tabs>
              <w:spacing w:before="138"/>
              <w:ind w:left="549"/>
              <w:rPr>
                <w:sz w:val="18"/>
              </w:rPr>
            </w:pPr>
            <w:r>
              <w:rPr>
                <w:spacing w:val="-4"/>
                <w:sz w:val="18"/>
              </w:rPr>
              <w:t>4.4%</w:t>
            </w:r>
            <w:r>
              <w:rPr>
                <w:sz w:val="18"/>
              </w:rPr>
              <w:tab/>
            </w:r>
            <w:r>
              <w:rPr>
                <w:spacing w:val="-4"/>
                <w:sz w:val="18"/>
              </w:rPr>
              <w:t>4.3%</w:t>
            </w:r>
            <w:r>
              <w:rPr>
                <w:sz w:val="18"/>
              </w:rPr>
              <w:tab/>
            </w:r>
            <w:r>
              <w:rPr>
                <w:spacing w:val="-4"/>
                <w:sz w:val="18"/>
              </w:rPr>
              <w:t>4.1%</w:t>
            </w:r>
            <w:r>
              <w:rPr>
                <w:sz w:val="18"/>
              </w:rPr>
              <w:tab/>
            </w:r>
            <w:r>
              <w:rPr>
                <w:spacing w:val="-10"/>
                <w:sz w:val="18"/>
              </w:rPr>
              <w:t>+</w:t>
            </w:r>
          </w:p>
          <w:p>
            <w:pPr>
              <w:pStyle w:val="TableParagraph"/>
              <w:rPr>
                <w:sz w:val="20"/>
              </w:rPr>
            </w:pPr>
          </w:p>
          <w:p>
            <w:pPr>
              <w:pStyle w:val="TableParagraph"/>
              <w:rPr>
                <w:sz w:val="20"/>
              </w:rPr>
            </w:pPr>
          </w:p>
          <w:p>
            <w:pPr>
              <w:pStyle w:val="TableParagraph"/>
              <w:spacing w:before="11"/>
              <w:rPr>
                <w:sz w:val="22"/>
              </w:rPr>
            </w:pPr>
          </w:p>
          <w:p>
            <w:pPr>
              <w:pStyle w:val="TableParagraph"/>
              <w:tabs>
                <w:tab w:pos="1519" w:val="left" w:leader="none"/>
                <w:tab w:pos="2589" w:val="left" w:leader="none"/>
                <w:tab w:pos="3612" w:val="left" w:leader="none"/>
              </w:tabs>
              <w:ind w:left="449"/>
              <w:rPr>
                <w:b/>
                <w:sz w:val="18"/>
              </w:rPr>
            </w:pPr>
            <w:r>
              <w:rPr>
                <w:spacing w:val="-2"/>
                <w:sz w:val="18"/>
              </w:rPr>
              <w:t>16.8%</w:t>
            </w:r>
            <w:r>
              <w:rPr>
                <w:sz w:val="18"/>
              </w:rPr>
              <w:tab/>
            </w:r>
            <w:r>
              <w:rPr>
                <w:spacing w:val="-4"/>
                <w:sz w:val="18"/>
              </w:rPr>
              <w:t>15.8%</w:t>
            </w:r>
            <w:r>
              <w:rPr>
                <w:sz w:val="18"/>
              </w:rPr>
              <w:tab/>
            </w:r>
            <w:r>
              <w:rPr>
                <w:spacing w:val="-2"/>
                <w:sz w:val="18"/>
              </w:rPr>
              <w:t>12.7%</w:t>
            </w:r>
            <w:r>
              <w:rPr>
                <w:sz w:val="18"/>
              </w:rPr>
              <w:tab/>
            </w:r>
            <w:r>
              <w:rPr>
                <w:b/>
                <w:spacing w:val="-10"/>
                <w:sz w:val="18"/>
              </w:rPr>
              <w:t>-</w:t>
            </w:r>
          </w:p>
          <w:p>
            <w:pPr>
              <w:pStyle w:val="TableParagraph"/>
              <w:rPr>
                <w:sz w:val="20"/>
              </w:rPr>
            </w:pPr>
          </w:p>
          <w:p>
            <w:pPr>
              <w:pStyle w:val="TableParagraph"/>
              <w:rPr>
                <w:sz w:val="20"/>
              </w:rPr>
            </w:pPr>
          </w:p>
          <w:p>
            <w:pPr>
              <w:pStyle w:val="TableParagraph"/>
              <w:spacing w:before="7"/>
              <w:rPr>
                <w:sz w:val="28"/>
              </w:rPr>
            </w:pPr>
          </w:p>
          <w:p>
            <w:pPr>
              <w:pStyle w:val="TableParagraph"/>
              <w:tabs>
                <w:tab w:pos="1619" w:val="left" w:leader="none"/>
                <w:tab w:pos="2691" w:val="left" w:leader="none"/>
                <w:tab w:pos="3588" w:val="left" w:leader="none"/>
              </w:tabs>
              <w:ind w:left="549"/>
              <w:rPr>
                <w:b/>
                <w:sz w:val="18"/>
              </w:rPr>
            </w:pPr>
            <w:r>
              <w:rPr>
                <w:spacing w:val="-4"/>
                <w:sz w:val="18"/>
              </w:rPr>
              <w:t>0.3%</w:t>
            </w:r>
            <w:r>
              <w:rPr>
                <w:sz w:val="18"/>
              </w:rPr>
              <w:tab/>
            </w:r>
            <w:r>
              <w:rPr>
                <w:spacing w:val="-4"/>
                <w:sz w:val="18"/>
              </w:rPr>
              <w:t>0.3%</w:t>
            </w:r>
            <w:r>
              <w:rPr>
                <w:sz w:val="18"/>
              </w:rPr>
              <w:tab/>
            </w:r>
            <w:r>
              <w:rPr>
                <w:spacing w:val="-4"/>
                <w:sz w:val="18"/>
              </w:rPr>
              <w:t>0.3%</w:t>
            </w:r>
            <w:r>
              <w:rPr>
                <w:sz w:val="18"/>
              </w:rPr>
              <w:tab/>
            </w:r>
            <w:r>
              <w:rPr>
                <w:b/>
                <w:spacing w:val="-10"/>
                <w:sz w:val="18"/>
              </w:rPr>
              <w:t>o</w:t>
            </w:r>
          </w:p>
        </w:tc>
      </w:tr>
      <w:tr>
        <w:trPr>
          <w:trHeight w:val="892" w:hRule="atLeast"/>
        </w:trPr>
        <w:tc>
          <w:tcPr>
            <w:tcW w:w="10334" w:type="dxa"/>
            <w:tcBorders>
              <w:top w:val="single" w:sz="8" w:space="0" w:color="000000"/>
              <w:right w:val="nil"/>
            </w:tcBorders>
          </w:tcPr>
          <w:p>
            <w:pPr>
              <w:pStyle w:val="TableParagraph"/>
              <w:spacing w:before="30"/>
              <w:ind w:left="107"/>
              <w:rPr>
                <w:b/>
                <w:i/>
                <w:sz w:val="18"/>
              </w:rPr>
            </w:pPr>
            <w:r>
              <w:rPr>
                <w:b/>
                <w:i/>
                <w:spacing w:val="-2"/>
                <w:sz w:val="18"/>
              </w:rPr>
              <w:t>Efficiency</w:t>
            </w:r>
          </w:p>
          <w:p>
            <w:pPr>
              <w:pStyle w:val="TableParagraph"/>
              <w:tabs>
                <w:tab w:pos="3078" w:val="left" w:leader="none"/>
              </w:tabs>
              <w:spacing w:line="255" w:lineRule="exact" w:before="36"/>
              <w:ind w:left="107"/>
              <w:rPr>
                <w:sz w:val="18"/>
              </w:rPr>
            </w:pPr>
            <w:r>
              <w:rPr>
                <w:b/>
                <w:position w:val="10"/>
                <w:sz w:val="18"/>
              </w:rPr>
              <w:t>Revenue </w:t>
            </w:r>
            <w:r>
              <w:rPr>
                <w:b/>
                <w:spacing w:val="-2"/>
                <w:position w:val="10"/>
                <w:sz w:val="18"/>
              </w:rPr>
              <w:t>level</w:t>
            </w:r>
            <w:r>
              <w:rPr>
                <w:b/>
                <w:position w:val="10"/>
                <w:sz w:val="18"/>
              </w:rPr>
              <w:tab/>
            </w:r>
            <w:r>
              <w:rPr>
                <w:sz w:val="18"/>
              </w:rPr>
              <w:t>Residential</w:t>
            </w:r>
            <w:r>
              <w:rPr>
                <w:spacing w:val="-3"/>
                <w:sz w:val="18"/>
              </w:rPr>
              <w:t> </w:t>
            </w:r>
            <w:r>
              <w:rPr>
                <w:sz w:val="18"/>
              </w:rPr>
              <w:t>rate</w:t>
            </w:r>
            <w:r>
              <w:rPr>
                <w:spacing w:val="1"/>
                <w:sz w:val="18"/>
              </w:rPr>
              <w:t> </w:t>
            </w:r>
            <w:r>
              <w:rPr>
                <w:sz w:val="18"/>
              </w:rPr>
              <w:t>revenue /</w:t>
            </w:r>
            <w:r>
              <w:rPr>
                <w:spacing w:val="-3"/>
                <w:sz w:val="18"/>
              </w:rPr>
              <w:t> </w:t>
            </w:r>
            <w:r>
              <w:rPr>
                <w:sz w:val="18"/>
              </w:rPr>
              <w:t>no.</w:t>
            </w:r>
            <w:r>
              <w:rPr>
                <w:spacing w:val="-4"/>
                <w:sz w:val="18"/>
              </w:rPr>
              <w:t> </w:t>
            </w:r>
            <w:r>
              <w:rPr>
                <w:sz w:val="18"/>
              </w:rPr>
              <w:t>of</w:t>
            </w:r>
            <w:r>
              <w:rPr>
                <w:spacing w:val="1"/>
                <w:sz w:val="18"/>
              </w:rPr>
              <w:t> </w:t>
            </w:r>
            <w:r>
              <w:rPr>
                <w:sz w:val="18"/>
              </w:rPr>
              <w:t>residential</w:t>
            </w:r>
            <w:r>
              <w:rPr>
                <w:spacing w:val="-1"/>
                <w:sz w:val="18"/>
              </w:rPr>
              <w:t> </w:t>
            </w:r>
            <w:r>
              <w:rPr>
                <w:spacing w:val="-2"/>
                <w:sz w:val="18"/>
              </w:rPr>
              <w:t>property</w:t>
            </w:r>
          </w:p>
          <w:p>
            <w:pPr>
              <w:pStyle w:val="TableParagraph"/>
              <w:tabs>
                <w:tab w:pos="3078" w:val="left" w:leader="none"/>
                <w:tab w:pos="7826" w:val="left" w:leader="none"/>
                <w:tab w:pos="8550" w:val="left" w:leader="none"/>
                <w:tab w:pos="9674" w:val="left" w:leader="none"/>
              </w:tabs>
              <w:spacing w:line="151" w:lineRule="auto"/>
              <w:ind w:left="107"/>
              <w:rPr>
                <w:sz w:val="18"/>
              </w:rPr>
            </w:pPr>
            <w:r>
              <w:rPr>
                <w:sz w:val="18"/>
              </w:rPr>
              <w:t>(resources</w:t>
            </w:r>
            <w:r>
              <w:rPr>
                <w:spacing w:val="-3"/>
                <w:sz w:val="18"/>
              </w:rPr>
              <w:t> </w:t>
            </w:r>
            <w:r>
              <w:rPr>
                <w:sz w:val="18"/>
              </w:rPr>
              <w:t>are</w:t>
            </w:r>
            <w:r>
              <w:rPr>
                <w:spacing w:val="-3"/>
                <w:sz w:val="18"/>
              </w:rPr>
              <w:t> </w:t>
            </w:r>
            <w:r>
              <w:rPr>
                <w:sz w:val="18"/>
              </w:rPr>
              <w:t>used</w:t>
            </w:r>
            <w:r>
              <w:rPr>
                <w:spacing w:val="1"/>
                <w:sz w:val="18"/>
              </w:rPr>
              <w:t> </w:t>
            </w:r>
            <w:r>
              <w:rPr>
                <w:sz w:val="18"/>
              </w:rPr>
              <w:t>efficiently</w:t>
            </w:r>
            <w:r>
              <w:rPr>
                <w:spacing w:val="-5"/>
                <w:sz w:val="18"/>
              </w:rPr>
              <w:t> in</w:t>
            </w:r>
            <w:r>
              <w:rPr>
                <w:sz w:val="18"/>
              </w:rPr>
              <w:tab/>
            </w:r>
            <w:r>
              <w:rPr>
                <w:spacing w:val="-2"/>
                <w:position w:val="-9"/>
                <w:sz w:val="18"/>
              </w:rPr>
              <w:t>assessments</w:t>
            </w:r>
            <w:r>
              <w:rPr>
                <w:position w:val="-9"/>
                <w:sz w:val="18"/>
              </w:rPr>
              <w:tab/>
            </w:r>
            <w:r>
              <w:rPr>
                <w:spacing w:val="-5"/>
                <w:sz w:val="18"/>
              </w:rPr>
              <w:t>13</w:t>
            </w:r>
            <w:r>
              <w:rPr>
                <w:sz w:val="18"/>
              </w:rPr>
              <w:tab/>
            </w:r>
            <w:r>
              <w:rPr>
                <w:spacing w:val="-2"/>
                <w:sz w:val="18"/>
              </w:rPr>
              <w:t>$1,611</w:t>
            </w:r>
            <w:r>
              <w:rPr>
                <w:sz w:val="18"/>
              </w:rPr>
              <w:tab/>
            </w:r>
            <w:r>
              <w:rPr>
                <w:spacing w:val="-2"/>
                <w:sz w:val="18"/>
              </w:rPr>
              <w:t>$1,532</w:t>
            </w:r>
          </w:p>
          <w:p>
            <w:pPr>
              <w:pStyle w:val="TableParagraph"/>
              <w:spacing w:line="139" w:lineRule="exact"/>
              <w:ind w:left="107"/>
              <w:rPr>
                <w:sz w:val="18"/>
              </w:rPr>
            </w:pPr>
            <w:r>
              <w:rPr>
                <w:sz w:val="18"/>
              </w:rPr>
              <w:t>the</w:t>
            </w:r>
            <w:r>
              <w:rPr>
                <w:spacing w:val="1"/>
                <w:sz w:val="18"/>
              </w:rPr>
              <w:t> </w:t>
            </w:r>
            <w:r>
              <w:rPr>
                <w:sz w:val="18"/>
              </w:rPr>
              <w:t>delivery</w:t>
            </w:r>
            <w:r>
              <w:rPr>
                <w:spacing w:val="-2"/>
                <w:sz w:val="18"/>
              </w:rPr>
              <w:t> </w:t>
            </w:r>
            <w:r>
              <w:rPr>
                <w:sz w:val="18"/>
              </w:rPr>
              <w:t>of</w:t>
            </w:r>
            <w:r>
              <w:rPr>
                <w:spacing w:val="-4"/>
                <w:sz w:val="18"/>
              </w:rPr>
              <w:t> </w:t>
            </w:r>
            <w:r>
              <w:rPr>
                <w:spacing w:val="-2"/>
                <w:sz w:val="18"/>
              </w:rPr>
              <w:t>services)</w:t>
            </w:r>
          </w:p>
        </w:tc>
        <w:tc>
          <w:tcPr>
            <w:tcW w:w="1068" w:type="dxa"/>
            <w:tcBorders>
              <w:top w:val="single" w:sz="8" w:space="0" w:color="000000"/>
              <w:left w:val="nil"/>
              <w:right w:val="nil"/>
            </w:tcBorders>
            <w:shd w:val="clear" w:color="auto" w:fill="DDEBF6"/>
          </w:tcPr>
          <w:p>
            <w:pPr>
              <w:pStyle w:val="TableParagraph"/>
              <w:rPr>
                <w:sz w:val="20"/>
              </w:rPr>
            </w:pPr>
          </w:p>
          <w:p>
            <w:pPr>
              <w:pStyle w:val="TableParagraph"/>
              <w:spacing w:before="4"/>
              <w:rPr>
                <w:sz w:val="21"/>
              </w:rPr>
            </w:pPr>
          </w:p>
          <w:p>
            <w:pPr>
              <w:pStyle w:val="TableParagraph"/>
              <w:spacing w:before="1"/>
              <w:ind w:right="101"/>
              <w:jc w:val="right"/>
              <w:rPr>
                <w:sz w:val="18"/>
              </w:rPr>
            </w:pPr>
            <w:r>
              <w:rPr>
                <w:spacing w:val="-2"/>
                <w:sz w:val="18"/>
              </w:rPr>
              <w:t>$1,639</w:t>
            </w:r>
          </w:p>
        </w:tc>
        <w:tc>
          <w:tcPr>
            <w:tcW w:w="4075" w:type="dxa"/>
            <w:tcBorders>
              <w:top w:val="single" w:sz="8" w:space="0" w:color="000000"/>
              <w:left w:val="nil"/>
            </w:tcBorders>
          </w:tcPr>
          <w:p>
            <w:pPr>
              <w:pStyle w:val="TableParagraph"/>
              <w:rPr>
                <w:sz w:val="20"/>
              </w:rPr>
            </w:pPr>
          </w:p>
          <w:p>
            <w:pPr>
              <w:pStyle w:val="TableParagraph"/>
              <w:spacing w:before="4"/>
              <w:rPr>
                <w:sz w:val="21"/>
              </w:rPr>
            </w:pPr>
          </w:p>
          <w:p>
            <w:pPr>
              <w:pStyle w:val="TableParagraph"/>
              <w:tabs>
                <w:tab w:pos="1070" w:val="left" w:leader="none"/>
                <w:tab w:pos="2140" w:val="left" w:leader="none"/>
                <w:tab w:pos="3182" w:val="left" w:leader="none"/>
              </w:tabs>
              <w:spacing w:before="1"/>
              <w:ind w:right="367"/>
              <w:jc w:val="right"/>
              <w:rPr>
                <w:b/>
                <w:sz w:val="18"/>
              </w:rPr>
            </w:pPr>
            <w:r>
              <w:rPr>
                <w:spacing w:val="-2"/>
                <w:sz w:val="18"/>
              </w:rPr>
              <w:t>$1,686</w:t>
            </w:r>
            <w:r>
              <w:rPr>
                <w:sz w:val="18"/>
              </w:rPr>
              <w:tab/>
            </w:r>
            <w:r>
              <w:rPr>
                <w:spacing w:val="-2"/>
                <w:sz w:val="18"/>
              </w:rPr>
              <w:t>$1,729</w:t>
            </w:r>
            <w:r>
              <w:rPr>
                <w:sz w:val="18"/>
              </w:rPr>
              <w:tab/>
            </w:r>
            <w:r>
              <w:rPr>
                <w:spacing w:val="-2"/>
                <w:sz w:val="18"/>
              </w:rPr>
              <w:t>$1,772</w:t>
            </w:r>
            <w:r>
              <w:rPr>
                <w:sz w:val="18"/>
              </w:rPr>
              <w:tab/>
            </w:r>
            <w:r>
              <w:rPr>
                <w:b/>
                <w:spacing w:val="-10"/>
                <w:sz w:val="18"/>
              </w:rPr>
              <w:t>+</w:t>
            </w:r>
          </w:p>
        </w:tc>
      </w:tr>
    </w:tbl>
    <w:p>
      <w:pPr>
        <w:spacing w:after="0"/>
        <w:jc w:val="right"/>
        <w:rPr>
          <w:sz w:val="18"/>
        </w:rPr>
        <w:sectPr>
          <w:pgSz w:w="16840" w:h="11910" w:orient="landscape"/>
          <w:pgMar w:header="0" w:footer="546" w:top="480" w:bottom="1414" w:left="600" w:right="120"/>
        </w:sectPr>
      </w:pPr>
    </w:p>
    <w:tbl>
      <w:tblPr>
        <w:tblW w:w="0" w:type="auto"/>
        <w:jc w:val="left"/>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18"/>
      </w:tblGrid>
      <w:tr>
        <w:trPr>
          <w:trHeight w:val="263" w:hRule="atLeast"/>
        </w:trPr>
        <w:tc>
          <w:tcPr>
            <w:tcW w:w="8818" w:type="dxa"/>
          </w:tcPr>
          <w:p>
            <w:pPr>
              <w:pStyle w:val="TableParagraph"/>
              <w:spacing w:line="206" w:lineRule="exact"/>
              <w:ind w:left="107"/>
              <w:rPr>
                <w:b/>
                <w:sz w:val="18"/>
              </w:rPr>
            </w:pPr>
            <w:r>
              <w:rPr>
                <w:b/>
                <w:sz w:val="18"/>
              </w:rPr>
              <w:t>Key</w:t>
            </w:r>
            <w:r>
              <w:rPr>
                <w:b/>
                <w:spacing w:val="1"/>
                <w:sz w:val="18"/>
              </w:rPr>
              <w:t> </w:t>
            </w:r>
            <w:r>
              <w:rPr>
                <w:b/>
                <w:sz w:val="18"/>
              </w:rPr>
              <w:t>to Forecast</w:t>
            </w:r>
            <w:r>
              <w:rPr>
                <w:b/>
                <w:spacing w:val="-4"/>
                <w:sz w:val="18"/>
              </w:rPr>
              <w:t> </w:t>
            </w:r>
            <w:r>
              <w:rPr>
                <w:b/>
                <w:spacing w:val="-2"/>
                <w:sz w:val="18"/>
              </w:rPr>
              <w:t>Trend:</w:t>
            </w:r>
          </w:p>
        </w:tc>
      </w:tr>
      <w:tr>
        <w:trPr>
          <w:trHeight w:val="263" w:hRule="atLeast"/>
        </w:trPr>
        <w:tc>
          <w:tcPr>
            <w:tcW w:w="8818" w:type="dxa"/>
          </w:tcPr>
          <w:p>
            <w:pPr>
              <w:pStyle w:val="TableParagraph"/>
              <w:spacing w:line="206" w:lineRule="exact"/>
              <w:ind w:left="107"/>
              <w:rPr>
                <w:sz w:val="18"/>
              </w:rPr>
            </w:pPr>
            <w:r>
              <w:rPr>
                <w:sz w:val="18"/>
              </w:rPr>
              <w:t>+</w:t>
            </w:r>
            <w:r>
              <w:rPr>
                <w:spacing w:val="-3"/>
                <w:sz w:val="18"/>
              </w:rPr>
              <w:t> </w:t>
            </w:r>
            <w:r>
              <w:rPr>
                <w:sz w:val="18"/>
              </w:rPr>
              <w:t>Forecasts</w:t>
            </w:r>
            <w:r>
              <w:rPr>
                <w:spacing w:val="-3"/>
                <w:sz w:val="18"/>
              </w:rPr>
              <w:t> </w:t>
            </w:r>
            <w:r>
              <w:rPr>
                <w:sz w:val="18"/>
              </w:rPr>
              <w:t>improvement</w:t>
            </w:r>
            <w:r>
              <w:rPr>
                <w:spacing w:val="1"/>
                <w:sz w:val="18"/>
              </w:rPr>
              <w:t> </w:t>
            </w:r>
            <w:r>
              <w:rPr>
                <w:sz w:val="18"/>
              </w:rPr>
              <w:t>in</w:t>
            </w:r>
            <w:r>
              <w:rPr>
                <w:spacing w:val="-4"/>
                <w:sz w:val="18"/>
              </w:rPr>
              <w:t> </w:t>
            </w:r>
            <w:r>
              <w:rPr>
                <w:sz w:val="18"/>
              </w:rPr>
              <w:t>Council's</w:t>
            </w:r>
            <w:r>
              <w:rPr>
                <w:spacing w:val="-3"/>
                <w:sz w:val="18"/>
              </w:rPr>
              <w:t> </w:t>
            </w:r>
            <w:r>
              <w:rPr>
                <w:sz w:val="18"/>
              </w:rPr>
              <w:t>financial</w:t>
            </w:r>
            <w:r>
              <w:rPr>
                <w:spacing w:val="-1"/>
                <w:sz w:val="18"/>
              </w:rPr>
              <w:t> </w:t>
            </w:r>
            <w:r>
              <w:rPr>
                <w:sz w:val="18"/>
              </w:rPr>
              <w:t>performance/financial position</w:t>
            </w:r>
            <w:r>
              <w:rPr>
                <w:spacing w:val="-3"/>
                <w:sz w:val="18"/>
              </w:rPr>
              <w:t> </w:t>
            </w:r>
            <w:r>
              <w:rPr>
                <w:spacing w:val="-2"/>
                <w:sz w:val="18"/>
              </w:rPr>
              <w:t>indicator</w:t>
            </w:r>
          </w:p>
        </w:tc>
      </w:tr>
      <w:tr>
        <w:trPr>
          <w:trHeight w:val="261" w:hRule="atLeast"/>
        </w:trPr>
        <w:tc>
          <w:tcPr>
            <w:tcW w:w="8818" w:type="dxa"/>
          </w:tcPr>
          <w:p>
            <w:pPr>
              <w:pStyle w:val="TableParagraph"/>
              <w:spacing w:line="206" w:lineRule="exact"/>
              <w:ind w:left="107"/>
              <w:rPr>
                <w:sz w:val="18"/>
              </w:rPr>
            </w:pPr>
            <w:r>
              <w:rPr>
                <w:sz w:val="18"/>
              </w:rPr>
              <w:t>o</w:t>
            </w:r>
            <w:r>
              <w:rPr>
                <w:spacing w:val="-4"/>
                <w:sz w:val="18"/>
              </w:rPr>
              <w:t> </w:t>
            </w:r>
            <w:r>
              <w:rPr>
                <w:sz w:val="18"/>
              </w:rPr>
              <w:t>Forecasts</w:t>
            </w:r>
            <w:r>
              <w:rPr>
                <w:spacing w:val="-2"/>
                <w:sz w:val="18"/>
              </w:rPr>
              <w:t> </w:t>
            </w:r>
            <w:r>
              <w:rPr>
                <w:sz w:val="18"/>
              </w:rPr>
              <w:t>that</w:t>
            </w:r>
            <w:r>
              <w:rPr>
                <w:spacing w:val="-1"/>
                <w:sz w:val="18"/>
              </w:rPr>
              <w:t> </w:t>
            </w:r>
            <w:r>
              <w:rPr>
                <w:sz w:val="18"/>
              </w:rPr>
              <w:t>Council's</w:t>
            </w:r>
            <w:r>
              <w:rPr>
                <w:spacing w:val="-3"/>
                <w:sz w:val="18"/>
              </w:rPr>
              <w:t> </w:t>
            </w:r>
            <w:r>
              <w:rPr>
                <w:sz w:val="18"/>
              </w:rPr>
              <w:t>financial</w:t>
            </w:r>
            <w:r>
              <w:rPr>
                <w:spacing w:val="-3"/>
                <w:sz w:val="18"/>
              </w:rPr>
              <w:t> </w:t>
            </w:r>
            <w:r>
              <w:rPr>
                <w:sz w:val="18"/>
              </w:rPr>
              <w:t>performance/financial</w:t>
            </w:r>
            <w:r>
              <w:rPr>
                <w:spacing w:val="-2"/>
                <w:sz w:val="18"/>
              </w:rPr>
              <w:t> </w:t>
            </w:r>
            <w:r>
              <w:rPr>
                <w:sz w:val="18"/>
              </w:rPr>
              <w:t>position</w:t>
            </w:r>
            <w:r>
              <w:rPr>
                <w:spacing w:val="-1"/>
                <w:sz w:val="18"/>
              </w:rPr>
              <w:t> </w:t>
            </w:r>
            <w:r>
              <w:rPr>
                <w:sz w:val="18"/>
              </w:rPr>
              <w:t>indicator</w:t>
            </w:r>
            <w:r>
              <w:rPr>
                <w:spacing w:val="-3"/>
                <w:sz w:val="18"/>
              </w:rPr>
              <w:t> </w:t>
            </w:r>
            <w:r>
              <w:rPr>
                <w:sz w:val="18"/>
              </w:rPr>
              <w:t>will</w:t>
            </w:r>
            <w:r>
              <w:rPr>
                <w:spacing w:val="-2"/>
                <w:sz w:val="18"/>
              </w:rPr>
              <w:t> </w:t>
            </w:r>
            <w:r>
              <w:rPr>
                <w:sz w:val="18"/>
              </w:rPr>
              <w:t>be</w:t>
            </w:r>
            <w:r>
              <w:rPr>
                <w:spacing w:val="-5"/>
                <w:sz w:val="18"/>
              </w:rPr>
              <w:t> </w:t>
            </w:r>
            <w:r>
              <w:rPr>
                <w:spacing w:val="-2"/>
                <w:sz w:val="18"/>
              </w:rPr>
              <w:t>steady</w:t>
            </w:r>
          </w:p>
        </w:tc>
      </w:tr>
      <w:tr>
        <w:trPr>
          <w:trHeight w:val="263" w:hRule="atLeast"/>
        </w:trPr>
        <w:tc>
          <w:tcPr>
            <w:tcW w:w="8818" w:type="dxa"/>
          </w:tcPr>
          <w:p>
            <w:pPr>
              <w:pStyle w:val="TableParagraph"/>
              <w:spacing w:before="1"/>
              <w:ind w:left="157"/>
              <w:rPr>
                <w:sz w:val="18"/>
              </w:rPr>
            </w:pPr>
            <w:r>
              <w:rPr>
                <w:sz w:val="18"/>
              </w:rPr>
              <w:t>-</w:t>
            </w:r>
            <w:r>
              <w:rPr>
                <w:spacing w:val="-3"/>
                <w:sz w:val="18"/>
              </w:rPr>
              <w:t> </w:t>
            </w:r>
            <w:r>
              <w:rPr>
                <w:sz w:val="18"/>
              </w:rPr>
              <w:t>Forecasts</w:t>
            </w:r>
            <w:r>
              <w:rPr>
                <w:spacing w:val="-4"/>
                <w:sz w:val="18"/>
              </w:rPr>
              <w:t> </w:t>
            </w:r>
            <w:r>
              <w:rPr>
                <w:sz w:val="18"/>
              </w:rPr>
              <w:t>deterioration</w:t>
            </w:r>
            <w:r>
              <w:rPr>
                <w:spacing w:val="-2"/>
                <w:sz w:val="18"/>
              </w:rPr>
              <w:t> </w:t>
            </w:r>
            <w:r>
              <w:rPr>
                <w:sz w:val="18"/>
              </w:rPr>
              <w:t>in</w:t>
            </w:r>
            <w:r>
              <w:rPr>
                <w:spacing w:val="-2"/>
                <w:sz w:val="18"/>
              </w:rPr>
              <w:t> </w:t>
            </w:r>
            <w:r>
              <w:rPr>
                <w:sz w:val="18"/>
              </w:rPr>
              <w:t>Council's</w:t>
            </w:r>
            <w:r>
              <w:rPr>
                <w:spacing w:val="-2"/>
                <w:sz w:val="18"/>
              </w:rPr>
              <w:t> </w:t>
            </w:r>
            <w:r>
              <w:rPr>
                <w:sz w:val="18"/>
              </w:rPr>
              <w:t>financial</w:t>
            </w:r>
            <w:r>
              <w:rPr>
                <w:spacing w:val="-1"/>
                <w:sz w:val="18"/>
              </w:rPr>
              <w:t> </w:t>
            </w:r>
            <w:r>
              <w:rPr>
                <w:sz w:val="18"/>
              </w:rPr>
              <w:t>performance/financial</w:t>
            </w:r>
            <w:r>
              <w:rPr>
                <w:spacing w:val="-2"/>
                <w:sz w:val="18"/>
              </w:rPr>
              <w:t> </w:t>
            </w:r>
            <w:r>
              <w:rPr>
                <w:sz w:val="18"/>
              </w:rPr>
              <w:t>position</w:t>
            </w:r>
            <w:r>
              <w:rPr>
                <w:spacing w:val="-3"/>
                <w:sz w:val="18"/>
              </w:rPr>
              <w:t> </w:t>
            </w:r>
            <w:r>
              <w:rPr>
                <w:spacing w:val="-2"/>
                <w:sz w:val="18"/>
              </w:rPr>
              <w:t>indicator</w:t>
            </w:r>
          </w:p>
        </w:tc>
      </w:tr>
    </w:tbl>
    <w:p>
      <w:pPr>
        <w:pStyle w:val="BodyText"/>
        <w:rPr>
          <w:sz w:val="16"/>
        </w:rPr>
      </w:pPr>
    </w:p>
    <w:p>
      <w:pPr>
        <w:spacing w:before="92"/>
        <w:ind w:left="120" w:right="0" w:firstLine="0"/>
        <w:jc w:val="left"/>
        <w:rPr>
          <w:b/>
          <w:sz w:val="24"/>
        </w:rPr>
      </w:pPr>
      <w:r>
        <w:rPr>
          <w:b/>
          <w:sz w:val="24"/>
        </w:rPr>
        <w:t>Notes to</w:t>
      </w:r>
      <w:r>
        <w:rPr>
          <w:b/>
          <w:spacing w:val="-3"/>
          <w:sz w:val="24"/>
        </w:rPr>
        <w:t> </w:t>
      </w:r>
      <w:r>
        <w:rPr>
          <w:b/>
          <w:spacing w:val="-2"/>
          <w:sz w:val="24"/>
        </w:rPr>
        <w:t>indicators.</w:t>
      </w:r>
    </w:p>
    <w:p>
      <w:pPr>
        <w:pStyle w:val="BodyText"/>
        <w:spacing w:before="10"/>
        <w:rPr>
          <w:b/>
          <w:sz w:val="21"/>
        </w:rPr>
      </w:pPr>
    </w:p>
    <w:p>
      <w:pPr>
        <w:pStyle w:val="ListParagraph"/>
        <w:numPr>
          <w:ilvl w:val="0"/>
          <w:numId w:val="22"/>
        </w:numPr>
        <w:tabs>
          <w:tab w:pos="687" w:val="left" w:leader="none"/>
        </w:tabs>
        <w:spacing w:line="240" w:lineRule="auto" w:before="0" w:after="0"/>
        <w:ind w:left="686" w:right="591" w:hanging="567"/>
        <w:jc w:val="both"/>
        <w:rPr>
          <w:sz w:val="22"/>
        </w:rPr>
      </w:pPr>
      <w:r>
        <w:rPr>
          <w:b/>
          <w:i/>
          <w:sz w:val="22"/>
        </w:rPr>
        <w:t>Satisfaction with community consultation and engagement – </w:t>
      </w:r>
      <w:r>
        <w:rPr>
          <w:sz w:val="22"/>
        </w:rPr>
        <w:t>This target maintaining the current result as capacity building for consultation and engagement continues across Council. Council will continue to improve community consultation and engagement opportunities for residents for key policies, programs, and services.</w:t>
      </w:r>
    </w:p>
    <w:p>
      <w:pPr>
        <w:pStyle w:val="BodyText"/>
        <w:spacing w:before="1"/>
      </w:pPr>
    </w:p>
    <w:p>
      <w:pPr>
        <w:pStyle w:val="ListParagraph"/>
        <w:numPr>
          <w:ilvl w:val="0"/>
          <w:numId w:val="22"/>
        </w:numPr>
        <w:tabs>
          <w:tab w:pos="687" w:val="left" w:leader="none"/>
        </w:tabs>
        <w:spacing w:line="240" w:lineRule="auto" w:before="0" w:after="0"/>
        <w:ind w:left="686" w:right="594" w:hanging="567"/>
        <w:jc w:val="both"/>
        <w:rPr>
          <w:sz w:val="22"/>
        </w:rPr>
      </w:pPr>
      <w:r>
        <w:rPr>
          <w:b/>
          <w:i/>
          <w:sz w:val="22"/>
        </w:rPr>
        <w:t>Sealed local roads below the intervention level – </w:t>
      </w:r>
      <w:r>
        <w:rPr>
          <w:sz w:val="22"/>
        </w:rPr>
        <w:t>This target anticipates maintaining a continued high standard for sealed local roads (Council maintained), showing steady levels Council will continue to achieve a high standard of sealed local roads maintained to condition standard.</w:t>
      </w:r>
    </w:p>
    <w:p>
      <w:pPr>
        <w:pStyle w:val="BodyText"/>
        <w:spacing w:before="11"/>
        <w:rPr>
          <w:sz w:val="21"/>
        </w:rPr>
      </w:pPr>
    </w:p>
    <w:p>
      <w:pPr>
        <w:pStyle w:val="ListParagraph"/>
        <w:numPr>
          <w:ilvl w:val="0"/>
          <w:numId w:val="22"/>
        </w:numPr>
        <w:tabs>
          <w:tab w:pos="687" w:val="left" w:leader="none"/>
        </w:tabs>
        <w:spacing w:line="240" w:lineRule="auto" w:before="0" w:after="0"/>
        <w:ind w:left="686" w:right="595" w:hanging="567"/>
        <w:jc w:val="both"/>
        <w:rPr>
          <w:sz w:val="22"/>
        </w:rPr>
      </w:pPr>
      <w:r>
        <w:rPr>
          <w:b/>
          <w:i/>
          <w:sz w:val="22"/>
        </w:rPr>
        <w:t>Planning</w:t>
      </w:r>
      <w:r>
        <w:rPr>
          <w:b/>
          <w:i/>
          <w:spacing w:val="-6"/>
          <w:sz w:val="22"/>
        </w:rPr>
        <w:t> </w:t>
      </w:r>
      <w:r>
        <w:rPr>
          <w:b/>
          <w:i/>
          <w:sz w:val="22"/>
        </w:rPr>
        <w:t>applications</w:t>
      </w:r>
      <w:r>
        <w:rPr>
          <w:b/>
          <w:i/>
          <w:spacing w:val="-12"/>
          <w:sz w:val="22"/>
        </w:rPr>
        <w:t> </w:t>
      </w:r>
      <w:r>
        <w:rPr>
          <w:b/>
          <w:i/>
          <w:sz w:val="22"/>
        </w:rPr>
        <w:t>decided</w:t>
      </w:r>
      <w:r>
        <w:rPr>
          <w:b/>
          <w:i/>
          <w:spacing w:val="-8"/>
          <w:sz w:val="22"/>
        </w:rPr>
        <w:t> </w:t>
      </w:r>
      <w:r>
        <w:rPr>
          <w:b/>
          <w:i/>
          <w:sz w:val="22"/>
        </w:rPr>
        <w:t>within</w:t>
      </w:r>
      <w:r>
        <w:rPr>
          <w:b/>
          <w:i/>
          <w:spacing w:val="-8"/>
          <w:sz w:val="22"/>
        </w:rPr>
        <w:t> </w:t>
      </w:r>
      <w:r>
        <w:rPr>
          <w:b/>
          <w:i/>
          <w:sz w:val="22"/>
        </w:rPr>
        <w:t>the</w:t>
      </w:r>
      <w:r>
        <w:rPr>
          <w:b/>
          <w:i/>
          <w:spacing w:val="-8"/>
          <w:sz w:val="22"/>
        </w:rPr>
        <w:t> </w:t>
      </w:r>
      <w:r>
        <w:rPr>
          <w:b/>
          <w:i/>
          <w:sz w:val="22"/>
        </w:rPr>
        <w:t>relevant</w:t>
      </w:r>
      <w:r>
        <w:rPr>
          <w:b/>
          <w:i/>
          <w:spacing w:val="-5"/>
          <w:sz w:val="22"/>
        </w:rPr>
        <w:t> </w:t>
      </w:r>
      <w:r>
        <w:rPr>
          <w:b/>
          <w:i/>
          <w:sz w:val="22"/>
        </w:rPr>
        <w:t>required</w:t>
      </w:r>
      <w:r>
        <w:rPr>
          <w:b/>
          <w:i/>
          <w:spacing w:val="-8"/>
          <w:sz w:val="22"/>
        </w:rPr>
        <w:t> </w:t>
      </w:r>
      <w:r>
        <w:rPr>
          <w:b/>
          <w:i/>
          <w:sz w:val="22"/>
        </w:rPr>
        <w:t>time</w:t>
      </w:r>
      <w:r>
        <w:rPr>
          <w:b/>
          <w:i/>
          <w:spacing w:val="-5"/>
          <w:sz w:val="22"/>
        </w:rPr>
        <w:t> </w:t>
      </w:r>
      <w:r>
        <w:rPr>
          <w:sz w:val="22"/>
        </w:rPr>
        <w:t>–</w:t>
      </w:r>
      <w:r>
        <w:rPr>
          <w:spacing w:val="-5"/>
          <w:sz w:val="22"/>
        </w:rPr>
        <w:t> </w:t>
      </w:r>
      <w:r>
        <w:rPr>
          <w:sz w:val="22"/>
        </w:rPr>
        <w:t>The</w:t>
      </w:r>
      <w:r>
        <w:rPr>
          <w:spacing w:val="-8"/>
          <w:sz w:val="22"/>
        </w:rPr>
        <w:t> </w:t>
      </w:r>
      <w:r>
        <w:rPr>
          <w:sz w:val="22"/>
        </w:rPr>
        <w:t>target</w:t>
      </w:r>
      <w:r>
        <w:rPr>
          <w:spacing w:val="-4"/>
          <w:sz w:val="22"/>
        </w:rPr>
        <w:t> </w:t>
      </w:r>
      <w:r>
        <w:rPr>
          <w:sz w:val="22"/>
        </w:rPr>
        <w:t>considers</w:t>
      </w:r>
      <w:r>
        <w:rPr>
          <w:spacing w:val="-6"/>
          <w:sz w:val="22"/>
        </w:rPr>
        <w:t> </w:t>
      </w:r>
      <w:r>
        <w:rPr>
          <w:sz w:val="22"/>
        </w:rPr>
        <w:t>current</w:t>
      </w:r>
      <w:r>
        <w:rPr>
          <w:spacing w:val="-4"/>
          <w:sz w:val="22"/>
        </w:rPr>
        <w:t> </w:t>
      </w:r>
      <w:r>
        <w:rPr>
          <w:sz w:val="22"/>
        </w:rPr>
        <w:t>trends</w:t>
      </w:r>
      <w:r>
        <w:rPr>
          <w:spacing w:val="-8"/>
          <w:sz w:val="22"/>
        </w:rPr>
        <w:t> </w:t>
      </w:r>
      <w:r>
        <w:rPr>
          <w:sz w:val="22"/>
        </w:rPr>
        <w:t>for</w:t>
      </w:r>
      <w:r>
        <w:rPr>
          <w:spacing w:val="-8"/>
          <w:sz w:val="22"/>
        </w:rPr>
        <w:t> </w:t>
      </w:r>
      <w:r>
        <w:rPr>
          <w:sz w:val="22"/>
        </w:rPr>
        <w:t>planning</w:t>
      </w:r>
      <w:r>
        <w:rPr>
          <w:spacing w:val="-6"/>
          <w:sz w:val="22"/>
        </w:rPr>
        <w:t> </w:t>
      </w:r>
      <w:r>
        <w:rPr>
          <w:sz w:val="22"/>
        </w:rPr>
        <w:t>applications</w:t>
      </w:r>
      <w:r>
        <w:rPr>
          <w:spacing w:val="-4"/>
          <w:sz w:val="22"/>
        </w:rPr>
        <w:t> </w:t>
      </w:r>
      <w:r>
        <w:rPr>
          <w:sz w:val="22"/>
        </w:rPr>
        <w:t>which</w:t>
      </w:r>
      <w:r>
        <w:rPr>
          <w:spacing w:val="-8"/>
          <w:sz w:val="22"/>
        </w:rPr>
        <w:t> </w:t>
      </w:r>
      <w:r>
        <w:rPr>
          <w:sz w:val="22"/>
        </w:rPr>
        <w:t>is</w:t>
      </w:r>
      <w:r>
        <w:rPr>
          <w:spacing w:val="-6"/>
          <w:sz w:val="22"/>
        </w:rPr>
        <w:t> </w:t>
      </w:r>
      <w:r>
        <w:rPr>
          <w:sz w:val="22"/>
        </w:rPr>
        <w:t>influenced</w:t>
      </w:r>
      <w:r>
        <w:rPr>
          <w:spacing w:val="-6"/>
          <w:sz w:val="22"/>
        </w:rPr>
        <w:t> </w:t>
      </w:r>
      <w:r>
        <w:rPr>
          <w:sz w:val="22"/>
        </w:rPr>
        <w:t>by the economy. Statutory Planning will continue to improve planning processes to ensure planning applications are decided within required timeframes.</w:t>
      </w:r>
    </w:p>
    <w:p>
      <w:pPr>
        <w:pStyle w:val="BodyText"/>
        <w:spacing w:before="11"/>
        <w:rPr>
          <w:sz w:val="21"/>
        </w:rPr>
      </w:pPr>
    </w:p>
    <w:p>
      <w:pPr>
        <w:pStyle w:val="ListParagraph"/>
        <w:numPr>
          <w:ilvl w:val="0"/>
          <w:numId w:val="22"/>
        </w:numPr>
        <w:tabs>
          <w:tab w:pos="687" w:val="left" w:leader="none"/>
        </w:tabs>
        <w:spacing w:line="240" w:lineRule="auto" w:before="0" w:after="0"/>
        <w:ind w:left="686" w:right="591" w:hanging="567"/>
        <w:jc w:val="both"/>
        <w:rPr>
          <w:sz w:val="22"/>
        </w:rPr>
      </w:pPr>
      <w:r>
        <w:rPr>
          <w:b/>
          <w:i/>
          <w:sz w:val="22"/>
        </w:rPr>
        <w:t>Kerbside collection waste diverted from landfill </w:t>
      </w:r>
      <w:r>
        <w:rPr>
          <w:sz w:val="22"/>
        </w:rPr>
        <w:t>–Council will continue to divert waste from landfill, while considering major influences including environmental and economic factors, and the success of recycling schemes. It is anticipated the amount of waste diverted from landfill will increase in future years.</w:t>
      </w:r>
    </w:p>
    <w:p>
      <w:pPr>
        <w:pStyle w:val="BodyText"/>
        <w:spacing w:before="1"/>
      </w:pPr>
    </w:p>
    <w:p>
      <w:pPr>
        <w:pStyle w:val="ListParagraph"/>
        <w:numPr>
          <w:ilvl w:val="0"/>
          <w:numId w:val="22"/>
        </w:numPr>
        <w:tabs>
          <w:tab w:pos="687" w:val="left" w:leader="none"/>
        </w:tabs>
        <w:spacing w:line="240" w:lineRule="auto" w:before="0" w:after="0"/>
        <w:ind w:left="686" w:right="594" w:hanging="567"/>
        <w:jc w:val="both"/>
        <w:rPr>
          <w:sz w:val="22"/>
        </w:rPr>
      </w:pPr>
      <w:r>
        <w:rPr>
          <w:b/>
          <w:i/>
          <w:sz w:val="22"/>
        </w:rPr>
        <w:t>Working</w:t>
      </w:r>
      <w:r>
        <w:rPr>
          <w:b/>
          <w:i/>
          <w:spacing w:val="-15"/>
          <w:sz w:val="22"/>
        </w:rPr>
        <w:t> </w:t>
      </w:r>
      <w:r>
        <w:rPr>
          <w:b/>
          <w:i/>
          <w:sz w:val="22"/>
        </w:rPr>
        <w:t>capital</w:t>
      </w:r>
      <w:r>
        <w:rPr>
          <w:b/>
          <w:i/>
          <w:spacing w:val="-14"/>
          <w:sz w:val="22"/>
        </w:rPr>
        <w:t> </w:t>
      </w:r>
      <w:r>
        <w:rPr>
          <w:sz w:val="22"/>
        </w:rPr>
        <w:t>–</w:t>
      </w:r>
      <w:r>
        <w:rPr>
          <w:spacing w:val="-14"/>
          <w:sz w:val="22"/>
        </w:rPr>
        <w:t> </w:t>
      </w:r>
      <w:r>
        <w:rPr>
          <w:sz w:val="22"/>
        </w:rPr>
        <w:t>The</w:t>
      </w:r>
      <w:r>
        <w:rPr>
          <w:spacing w:val="-14"/>
          <w:sz w:val="22"/>
        </w:rPr>
        <w:t> </w:t>
      </w:r>
      <w:r>
        <w:rPr>
          <w:sz w:val="22"/>
        </w:rPr>
        <w:t>proportion</w:t>
      </w:r>
      <w:r>
        <w:rPr>
          <w:spacing w:val="-13"/>
          <w:sz w:val="22"/>
        </w:rPr>
        <w:t> </w:t>
      </w:r>
      <w:r>
        <w:rPr>
          <w:sz w:val="22"/>
        </w:rPr>
        <w:t>of</w:t>
      </w:r>
      <w:r>
        <w:rPr>
          <w:spacing w:val="-15"/>
          <w:sz w:val="22"/>
        </w:rPr>
        <w:t> </w:t>
      </w:r>
      <w:r>
        <w:rPr>
          <w:sz w:val="22"/>
        </w:rPr>
        <w:t>current</w:t>
      </w:r>
      <w:r>
        <w:rPr>
          <w:spacing w:val="-15"/>
          <w:sz w:val="22"/>
        </w:rPr>
        <w:t> </w:t>
      </w:r>
      <w:r>
        <w:rPr>
          <w:sz w:val="22"/>
        </w:rPr>
        <w:t>liabilities</w:t>
      </w:r>
      <w:r>
        <w:rPr>
          <w:spacing w:val="-13"/>
          <w:sz w:val="22"/>
        </w:rPr>
        <w:t> </w:t>
      </w:r>
      <w:r>
        <w:rPr>
          <w:sz w:val="22"/>
        </w:rPr>
        <w:t>represented</w:t>
      </w:r>
      <w:r>
        <w:rPr>
          <w:spacing w:val="-14"/>
          <w:sz w:val="22"/>
        </w:rPr>
        <w:t> </w:t>
      </w:r>
      <w:r>
        <w:rPr>
          <w:sz w:val="22"/>
        </w:rPr>
        <w:t>by</w:t>
      </w:r>
      <w:r>
        <w:rPr>
          <w:spacing w:val="-15"/>
          <w:sz w:val="22"/>
        </w:rPr>
        <w:t> </w:t>
      </w:r>
      <w:r>
        <w:rPr>
          <w:sz w:val="22"/>
        </w:rPr>
        <w:t>current</w:t>
      </w:r>
      <w:r>
        <w:rPr>
          <w:spacing w:val="-13"/>
          <w:sz w:val="22"/>
        </w:rPr>
        <w:t> </w:t>
      </w:r>
      <w:r>
        <w:rPr>
          <w:sz w:val="22"/>
        </w:rPr>
        <w:t>assets.</w:t>
      </w:r>
      <w:r>
        <w:rPr>
          <w:spacing w:val="-13"/>
          <w:sz w:val="22"/>
        </w:rPr>
        <w:t> </w:t>
      </w:r>
      <w:r>
        <w:rPr>
          <w:sz w:val="22"/>
        </w:rPr>
        <w:t>Working</w:t>
      </w:r>
      <w:r>
        <w:rPr>
          <w:spacing w:val="-14"/>
          <w:sz w:val="22"/>
        </w:rPr>
        <w:t> </w:t>
      </w:r>
      <w:r>
        <w:rPr>
          <w:sz w:val="22"/>
        </w:rPr>
        <w:t>capital</w:t>
      </w:r>
      <w:r>
        <w:rPr>
          <w:spacing w:val="-16"/>
          <w:sz w:val="22"/>
        </w:rPr>
        <w:t> </w:t>
      </w:r>
      <w:r>
        <w:rPr>
          <w:sz w:val="22"/>
        </w:rPr>
        <w:t>is</w:t>
      </w:r>
      <w:r>
        <w:rPr>
          <w:spacing w:val="-12"/>
          <w:sz w:val="22"/>
        </w:rPr>
        <w:t> </w:t>
      </w:r>
      <w:r>
        <w:rPr>
          <w:sz w:val="22"/>
        </w:rPr>
        <w:t>forecast</w:t>
      </w:r>
      <w:r>
        <w:rPr>
          <w:spacing w:val="-15"/>
          <w:sz w:val="22"/>
        </w:rPr>
        <w:t> </w:t>
      </w:r>
      <w:r>
        <w:rPr>
          <w:sz w:val="22"/>
        </w:rPr>
        <w:t>to</w:t>
      </w:r>
      <w:r>
        <w:rPr>
          <w:spacing w:val="-14"/>
          <w:sz w:val="22"/>
        </w:rPr>
        <w:t> </w:t>
      </w:r>
      <w:r>
        <w:rPr>
          <w:sz w:val="22"/>
        </w:rPr>
        <w:t>decrease</w:t>
      </w:r>
      <w:r>
        <w:rPr>
          <w:spacing w:val="-14"/>
          <w:sz w:val="22"/>
        </w:rPr>
        <w:t> </w:t>
      </w:r>
      <w:r>
        <w:rPr>
          <w:sz w:val="22"/>
        </w:rPr>
        <w:t>from</w:t>
      </w:r>
      <w:r>
        <w:rPr>
          <w:spacing w:val="-15"/>
          <w:sz w:val="22"/>
        </w:rPr>
        <w:t> </w:t>
      </w:r>
      <w:r>
        <w:rPr>
          <w:sz w:val="22"/>
        </w:rPr>
        <w:t>2023/2024</w:t>
      </w:r>
      <w:r>
        <w:rPr>
          <w:spacing w:val="-14"/>
          <w:sz w:val="22"/>
        </w:rPr>
        <w:t> </w:t>
      </w:r>
      <w:r>
        <w:rPr>
          <w:sz w:val="22"/>
        </w:rPr>
        <w:t>to</w:t>
      </w:r>
      <w:r>
        <w:rPr>
          <w:spacing w:val="-13"/>
          <w:sz w:val="22"/>
        </w:rPr>
        <w:t> </w:t>
      </w:r>
      <w:r>
        <w:rPr>
          <w:sz w:val="22"/>
        </w:rPr>
        <w:t>2024/2025. The trend in later years is to remain steady at an acceptable level.</w:t>
      </w:r>
    </w:p>
    <w:p>
      <w:pPr>
        <w:pStyle w:val="BodyText"/>
        <w:spacing w:before="11"/>
        <w:rPr>
          <w:sz w:val="21"/>
        </w:rPr>
      </w:pPr>
    </w:p>
    <w:p>
      <w:pPr>
        <w:pStyle w:val="ListParagraph"/>
        <w:numPr>
          <w:ilvl w:val="0"/>
          <w:numId w:val="22"/>
        </w:numPr>
        <w:tabs>
          <w:tab w:pos="687" w:val="left" w:leader="none"/>
        </w:tabs>
        <w:spacing w:line="240" w:lineRule="auto" w:before="0" w:after="0"/>
        <w:ind w:left="686" w:right="593" w:hanging="567"/>
        <w:jc w:val="both"/>
        <w:rPr>
          <w:sz w:val="22"/>
        </w:rPr>
      </w:pPr>
      <w:r>
        <w:rPr>
          <w:b/>
          <w:i/>
          <w:sz w:val="22"/>
        </w:rPr>
        <w:t>Asset renewal </w:t>
      </w:r>
      <w:r>
        <w:rPr>
          <w:sz w:val="22"/>
        </w:rPr>
        <w:t>- This percentage indicates the extent of Council's renewal and upgrade against its depreciation charge (an indication of the decline in value of its existing capital assets). A percentage greater than 100 indicates that Council is maintaining its existing assets, while a percentage less than 100</w:t>
      </w:r>
      <w:r>
        <w:rPr>
          <w:spacing w:val="-7"/>
          <w:sz w:val="22"/>
        </w:rPr>
        <w:t> </w:t>
      </w:r>
      <w:r>
        <w:rPr>
          <w:sz w:val="22"/>
        </w:rPr>
        <w:t>means</w:t>
      </w:r>
      <w:r>
        <w:rPr>
          <w:spacing w:val="-7"/>
          <w:sz w:val="22"/>
        </w:rPr>
        <w:t> </w:t>
      </w:r>
      <w:r>
        <w:rPr>
          <w:sz w:val="22"/>
        </w:rPr>
        <w:t>its</w:t>
      </w:r>
      <w:r>
        <w:rPr>
          <w:spacing w:val="-10"/>
          <w:sz w:val="22"/>
        </w:rPr>
        <w:t> </w:t>
      </w:r>
      <w:r>
        <w:rPr>
          <w:sz w:val="22"/>
        </w:rPr>
        <w:t>assets</w:t>
      </w:r>
      <w:r>
        <w:rPr>
          <w:spacing w:val="-7"/>
          <w:sz w:val="22"/>
        </w:rPr>
        <w:t> </w:t>
      </w:r>
      <w:r>
        <w:rPr>
          <w:sz w:val="22"/>
        </w:rPr>
        <w:t>are</w:t>
      </w:r>
      <w:r>
        <w:rPr>
          <w:spacing w:val="-11"/>
          <w:sz w:val="22"/>
        </w:rPr>
        <w:t> </w:t>
      </w:r>
      <w:r>
        <w:rPr>
          <w:sz w:val="22"/>
        </w:rPr>
        <w:t>deteriorating</w:t>
      </w:r>
      <w:r>
        <w:rPr>
          <w:spacing w:val="-10"/>
          <w:sz w:val="22"/>
        </w:rPr>
        <w:t> </w:t>
      </w:r>
      <w:r>
        <w:rPr>
          <w:sz w:val="22"/>
        </w:rPr>
        <w:t>faster</w:t>
      </w:r>
      <w:r>
        <w:rPr>
          <w:spacing w:val="-10"/>
          <w:sz w:val="22"/>
        </w:rPr>
        <w:t> </w:t>
      </w:r>
      <w:r>
        <w:rPr>
          <w:sz w:val="22"/>
        </w:rPr>
        <w:t>than</w:t>
      </w:r>
      <w:r>
        <w:rPr>
          <w:spacing w:val="-11"/>
          <w:sz w:val="22"/>
        </w:rPr>
        <w:t> </w:t>
      </w:r>
      <w:r>
        <w:rPr>
          <w:sz w:val="22"/>
        </w:rPr>
        <w:t>they</w:t>
      </w:r>
      <w:r>
        <w:rPr>
          <w:spacing w:val="-10"/>
          <w:sz w:val="22"/>
        </w:rPr>
        <w:t> </w:t>
      </w:r>
      <w:r>
        <w:rPr>
          <w:sz w:val="22"/>
        </w:rPr>
        <w:t>are</w:t>
      </w:r>
      <w:r>
        <w:rPr>
          <w:spacing w:val="-11"/>
          <w:sz w:val="22"/>
        </w:rPr>
        <w:t> </w:t>
      </w:r>
      <w:r>
        <w:rPr>
          <w:sz w:val="22"/>
        </w:rPr>
        <w:t>being</w:t>
      </w:r>
      <w:r>
        <w:rPr>
          <w:spacing w:val="-10"/>
          <w:sz w:val="22"/>
        </w:rPr>
        <w:t> </w:t>
      </w:r>
      <w:r>
        <w:rPr>
          <w:sz w:val="22"/>
        </w:rPr>
        <w:t>renewed/upgraded</w:t>
      </w:r>
      <w:r>
        <w:rPr>
          <w:spacing w:val="-7"/>
          <w:sz w:val="22"/>
        </w:rPr>
        <w:t> </w:t>
      </w:r>
      <w:r>
        <w:rPr>
          <w:sz w:val="22"/>
        </w:rPr>
        <w:t>and</w:t>
      </w:r>
      <w:r>
        <w:rPr>
          <w:spacing w:val="-11"/>
          <w:sz w:val="22"/>
        </w:rPr>
        <w:t> </w:t>
      </w:r>
      <w:r>
        <w:rPr>
          <w:sz w:val="22"/>
        </w:rPr>
        <w:t>that</w:t>
      </w:r>
      <w:r>
        <w:rPr>
          <w:spacing w:val="-10"/>
          <w:sz w:val="22"/>
        </w:rPr>
        <w:t> </w:t>
      </w:r>
      <w:r>
        <w:rPr>
          <w:sz w:val="22"/>
        </w:rPr>
        <w:t>future</w:t>
      </w:r>
      <w:r>
        <w:rPr>
          <w:spacing w:val="-13"/>
          <w:sz w:val="22"/>
        </w:rPr>
        <w:t> </w:t>
      </w:r>
      <w:r>
        <w:rPr>
          <w:sz w:val="22"/>
        </w:rPr>
        <w:t>capital</w:t>
      </w:r>
      <w:r>
        <w:rPr>
          <w:spacing w:val="-10"/>
          <w:sz w:val="22"/>
        </w:rPr>
        <w:t> </w:t>
      </w:r>
      <w:r>
        <w:rPr>
          <w:sz w:val="22"/>
        </w:rPr>
        <w:t>expenditure</w:t>
      </w:r>
      <w:r>
        <w:rPr>
          <w:spacing w:val="-9"/>
          <w:sz w:val="22"/>
        </w:rPr>
        <w:t> </w:t>
      </w:r>
      <w:r>
        <w:rPr>
          <w:sz w:val="22"/>
        </w:rPr>
        <w:t>will</w:t>
      </w:r>
      <w:r>
        <w:rPr>
          <w:spacing w:val="-10"/>
          <w:sz w:val="22"/>
        </w:rPr>
        <w:t> </w:t>
      </w:r>
      <w:r>
        <w:rPr>
          <w:sz w:val="22"/>
        </w:rPr>
        <w:t>be</w:t>
      </w:r>
      <w:r>
        <w:rPr>
          <w:spacing w:val="-7"/>
          <w:sz w:val="22"/>
        </w:rPr>
        <w:t> </w:t>
      </w:r>
      <w:r>
        <w:rPr>
          <w:sz w:val="22"/>
        </w:rPr>
        <w:t>required</w:t>
      </w:r>
      <w:r>
        <w:rPr>
          <w:spacing w:val="-11"/>
          <w:sz w:val="22"/>
        </w:rPr>
        <w:t> </w:t>
      </w:r>
      <w:r>
        <w:rPr>
          <w:sz w:val="22"/>
        </w:rPr>
        <w:t>to</w:t>
      </w:r>
      <w:r>
        <w:rPr>
          <w:spacing w:val="-9"/>
          <w:sz w:val="22"/>
        </w:rPr>
        <w:t> </w:t>
      </w:r>
      <w:r>
        <w:rPr>
          <w:sz w:val="22"/>
        </w:rPr>
        <w:t>maintain</w:t>
      </w:r>
      <w:r>
        <w:rPr>
          <w:spacing w:val="-11"/>
          <w:sz w:val="22"/>
        </w:rPr>
        <w:t> </w:t>
      </w:r>
      <w:r>
        <w:rPr>
          <w:sz w:val="22"/>
        </w:rPr>
        <w:t>assets.</w:t>
      </w:r>
    </w:p>
    <w:p>
      <w:pPr>
        <w:pStyle w:val="BodyText"/>
        <w:spacing w:before="1"/>
      </w:pPr>
    </w:p>
    <w:p>
      <w:pPr>
        <w:pStyle w:val="ListParagraph"/>
        <w:numPr>
          <w:ilvl w:val="0"/>
          <w:numId w:val="22"/>
        </w:numPr>
        <w:tabs>
          <w:tab w:pos="688" w:val="left" w:leader="none"/>
        </w:tabs>
        <w:spacing w:line="240" w:lineRule="auto" w:before="0" w:after="0"/>
        <w:ind w:left="686" w:right="594" w:hanging="567"/>
        <w:jc w:val="both"/>
        <w:rPr>
          <w:sz w:val="22"/>
        </w:rPr>
      </w:pPr>
      <w:r>
        <w:rPr>
          <w:b/>
          <w:i/>
          <w:sz w:val="22"/>
        </w:rPr>
        <w:t>Rates concentration </w:t>
      </w:r>
      <w:r>
        <w:rPr>
          <w:sz w:val="22"/>
        </w:rPr>
        <w:t>- This indicator reflects the extent of the reliance on rate revenues to fund all of Council's on-going services. The trend indicates that Council is more reliant on rate revenue compared to all other revenue sources.</w:t>
      </w:r>
    </w:p>
    <w:p>
      <w:pPr>
        <w:pStyle w:val="BodyText"/>
        <w:spacing w:before="10"/>
        <w:rPr>
          <w:sz w:val="20"/>
        </w:rPr>
      </w:pPr>
    </w:p>
    <w:p>
      <w:pPr>
        <w:pStyle w:val="ListParagraph"/>
        <w:numPr>
          <w:ilvl w:val="0"/>
          <w:numId w:val="22"/>
        </w:numPr>
        <w:tabs>
          <w:tab w:pos="687" w:val="left" w:leader="none"/>
        </w:tabs>
        <w:spacing w:line="240" w:lineRule="auto" w:before="0" w:after="0"/>
        <w:ind w:left="686" w:right="594" w:hanging="567"/>
        <w:jc w:val="both"/>
        <w:rPr>
          <w:sz w:val="22"/>
        </w:rPr>
      </w:pPr>
      <w:r>
        <w:rPr>
          <w:b/>
          <w:i/>
          <w:sz w:val="22"/>
        </w:rPr>
        <w:t>Expenditure</w:t>
      </w:r>
      <w:r>
        <w:rPr>
          <w:b/>
          <w:i/>
          <w:spacing w:val="-9"/>
          <w:sz w:val="22"/>
        </w:rPr>
        <w:t> </w:t>
      </w:r>
      <w:r>
        <w:rPr>
          <w:b/>
          <w:i/>
          <w:sz w:val="22"/>
        </w:rPr>
        <w:t>level</w:t>
      </w:r>
      <w:r>
        <w:rPr>
          <w:b/>
          <w:i/>
          <w:spacing w:val="-6"/>
          <w:sz w:val="22"/>
        </w:rPr>
        <w:t> </w:t>
      </w:r>
      <w:r>
        <w:rPr>
          <w:sz w:val="22"/>
        </w:rPr>
        <w:t>-</w:t>
      </w:r>
      <w:r>
        <w:rPr>
          <w:spacing w:val="-5"/>
          <w:sz w:val="22"/>
        </w:rPr>
        <w:t> </w:t>
      </w:r>
      <w:r>
        <w:rPr>
          <w:sz w:val="22"/>
        </w:rPr>
        <w:t>This</w:t>
      </w:r>
      <w:r>
        <w:rPr>
          <w:spacing w:val="-7"/>
          <w:sz w:val="22"/>
        </w:rPr>
        <w:t> </w:t>
      </w:r>
      <w:r>
        <w:rPr>
          <w:sz w:val="22"/>
        </w:rPr>
        <w:t>target</w:t>
      </w:r>
      <w:r>
        <w:rPr>
          <w:spacing w:val="-3"/>
          <w:sz w:val="22"/>
        </w:rPr>
        <w:t> </w:t>
      </w:r>
      <w:r>
        <w:rPr>
          <w:sz w:val="22"/>
        </w:rPr>
        <w:t>measures</w:t>
      </w:r>
      <w:r>
        <w:rPr>
          <w:spacing w:val="-5"/>
          <w:sz w:val="22"/>
        </w:rPr>
        <w:t> </w:t>
      </w:r>
      <w:r>
        <w:rPr>
          <w:sz w:val="22"/>
        </w:rPr>
        <w:t>what</w:t>
      </w:r>
      <w:r>
        <w:rPr>
          <w:spacing w:val="-3"/>
          <w:sz w:val="22"/>
        </w:rPr>
        <w:t> </w:t>
      </w:r>
      <w:r>
        <w:rPr>
          <w:sz w:val="22"/>
        </w:rPr>
        <w:t>is</w:t>
      </w:r>
      <w:r>
        <w:rPr>
          <w:spacing w:val="-10"/>
          <w:sz w:val="22"/>
        </w:rPr>
        <w:t> </w:t>
      </w:r>
      <w:r>
        <w:rPr>
          <w:sz w:val="22"/>
        </w:rPr>
        <w:t>being</w:t>
      </w:r>
      <w:r>
        <w:rPr>
          <w:spacing w:val="-3"/>
          <w:sz w:val="22"/>
        </w:rPr>
        <w:t> </w:t>
      </w:r>
      <w:r>
        <w:rPr>
          <w:sz w:val="22"/>
        </w:rPr>
        <w:t>spent</w:t>
      </w:r>
      <w:r>
        <w:rPr>
          <w:spacing w:val="-3"/>
          <w:sz w:val="22"/>
        </w:rPr>
        <w:t> </w:t>
      </w:r>
      <w:r>
        <w:rPr>
          <w:sz w:val="22"/>
        </w:rPr>
        <w:t>on</w:t>
      </w:r>
      <w:r>
        <w:rPr>
          <w:spacing w:val="-4"/>
          <w:sz w:val="22"/>
        </w:rPr>
        <w:t> </w:t>
      </w:r>
      <w:r>
        <w:rPr>
          <w:sz w:val="22"/>
        </w:rPr>
        <w:t>a</w:t>
      </w:r>
      <w:r>
        <w:rPr>
          <w:spacing w:val="-9"/>
          <w:sz w:val="22"/>
        </w:rPr>
        <w:t> </w:t>
      </w:r>
      <w:r>
        <w:rPr>
          <w:sz w:val="22"/>
        </w:rPr>
        <w:t>per</w:t>
      </w:r>
      <w:r>
        <w:rPr>
          <w:spacing w:val="-3"/>
          <w:sz w:val="22"/>
        </w:rPr>
        <w:t> </w:t>
      </w:r>
      <w:r>
        <w:rPr>
          <w:sz w:val="22"/>
        </w:rPr>
        <w:t>property</w:t>
      </w:r>
      <w:r>
        <w:rPr>
          <w:spacing w:val="-3"/>
          <w:sz w:val="22"/>
        </w:rPr>
        <w:t> </w:t>
      </w:r>
      <w:r>
        <w:rPr>
          <w:sz w:val="22"/>
        </w:rPr>
        <w:t>basis</w:t>
      </w:r>
      <w:r>
        <w:rPr>
          <w:spacing w:val="-6"/>
          <w:sz w:val="22"/>
        </w:rPr>
        <w:t> </w:t>
      </w:r>
      <w:r>
        <w:rPr>
          <w:sz w:val="22"/>
        </w:rPr>
        <w:t>across</w:t>
      </w:r>
      <w:r>
        <w:rPr>
          <w:spacing w:val="-7"/>
          <w:sz w:val="22"/>
        </w:rPr>
        <w:t> </w:t>
      </w:r>
      <w:r>
        <w:rPr>
          <w:sz w:val="22"/>
        </w:rPr>
        <w:t>the</w:t>
      </w:r>
      <w:r>
        <w:rPr>
          <w:spacing w:val="-5"/>
          <w:sz w:val="22"/>
        </w:rPr>
        <w:t> </w:t>
      </w:r>
      <w:r>
        <w:rPr>
          <w:sz w:val="22"/>
        </w:rPr>
        <w:t>municipality.</w:t>
      </w:r>
      <w:r>
        <w:rPr>
          <w:spacing w:val="-3"/>
          <w:sz w:val="22"/>
        </w:rPr>
        <w:t> </w:t>
      </w:r>
      <w:r>
        <w:rPr>
          <w:sz w:val="22"/>
        </w:rPr>
        <w:t>This</w:t>
      </w:r>
      <w:r>
        <w:rPr>
          <w:spacing w:val="-6"/>
          <w:sz w:val="22"/>
        </w:rPr>
        <w:t> </w:t>
      </w:r>
      <w:r>
        <w:rPr>
          <w:sz w:val="22"/>
        </w:rPr>
        <w:t>is</w:t>
      </w:r>
      <w:r>
        <w:rPr>
          <w:spacing w:val="-7"/>
          <w:sz w:val="22"/>
        </w:rPr>
        <w:t> </w:t>
      </w:r>
      <w:r>
        <w:rPr>
          <w:sz w:val="22"/>
        </w:rPr>
        <w:t>expected</w:t>
      </w:r>
      <w:r>
        <w:rPr>
          <w:spacing w:val="-5"/>
          <w:sz w:val="22"/>
        </w:rPr>
        <w:t> </w:t>
      </w:r>
      <w:r>
        <w:rPr>
          <w:sz w:val="22"/>
        </w:rPr>
        <w:t>to</w:t>
      </w:r>
      <w:r>
        <w:rPr>
          <w:spacing w:val="-4"/>
          <w:sz w:val="22"/>
        </w:rPr>
        <w:t> </w:t>
      </w:r>
      <w:r>
        <w:rPr>
          <w:sz w:val="22"/>
        </w:rPr>
        <w:t>increase</w:t>
      </w:r>
      <w:r>
        <w:rPr>
          <w:spacing w:val="-5"/>
          <w:sz w:val="22"/>
        </w:rPr>
        <w:t> </w:t>
      </w:r>
      <w:r>
        <w:rPr>
          <w:sz w:val="22"/>
        </w:rPr>
        <w:t>slightly</w:t>
      </w:r>
      <w:r>
        <w:rPr>
          <w:spacing w:val="-5"/>
          <w:sz w:val="22"/>
        </w:rPr>
        <w:t> </w:t>
      </w:r>
      <w:r>
        <w:rPr>
          <w:sz w:val="22"/>
        </w:rPr>
        <w:t>across the next three years.</w:t>
      </w:r>
    </w:p>
    <w:p>
      <w:pPr>
        <w:spacing w:after="0" w:line="240" w:lineRule="auto"/>
        <w:jc w:val="both"/>
        <w:rPr>
          <w:sz w:val="22"/>
        </w:rPr>
        <w:sectPr>
          <w:type w:val="continuous"/>
          <w:pgSz w:w="16840" w:h="11910" w:orient="landscape"/>
          <w:pgMar w:header="0" w:footer="546" w:top="540" w:bottom="740" w:left="600" w:right="120"/>
        </w:sectPr>
      </w:pPr>
    </w:p>
    <w:p>
      <w:pPr>
        <w:pStyle w:val="ListParagraph"/>
        <w:numPr>
          <w:ilvl w:val="0"/>
          <w:numId w:val="22"/>
        </w:numPr>
        <w:tabs>
          <w:tab w:pos="687" w:val="left" w:leader="none"/>
        </w:tabs>
        <w:spacing w:line="240" w:lineRule="auto" w:before="80" w:after="0"/>
        <w:ind w:left="686" w:right="593" w:hanging="567"/>
        <w:jc w:val="both"/>
        <w:rPr>
          <w:sz w:val="22"/>
        </w:rPr>
      </w:pPr>
      <w:r>
        <w:rPr>
          <w:b/>
          <w:i/>
          <w:sz w:val="22"/>
        </w:rPr>
        <w:t>Adjusted underlying result </w:t>
      </w:r>
      <w:r>
        <w:rPr>
          <w:sz w:val="22"/>
        </w:rPr>
        <w:t>– An indicator of the sustainable operating result required to enable Council to continue to provide core services and meet its objectives. The adjusted underlying result for the 2022-23 financial year was impacted by non-cash transactions related to improvement initiatives in asset accounting and management.</w:t>
      </w:r>
      <w:r>
        <w:rPr>
          <w:spacing w:val="40"/>
          <w:sz w:val="22"/>
        </w:rPr>
        <w:t> </w:t>
      </w:r>
      <w:r>
        <w:rPr>
          <w:sz w:val="22"/>
        </w:rPr>
        <w:t>This measure is expected to improve over future years as reviews are completed in asset management.</w:t>
      </w:r>
    </w:p>
    <w:p>
      <w:pPr>
        <w:pStyle w:val="BodyText"/>
      </w:pPr>
    </w:p>
    <w:p>
      <w:pPr>
        <w:pStyle w:val="ListParagraph"/>
        <w:numPr>
          <w:ilvl w:val="0"/>
          <w:numId w:val="22"/>
        </w:numPr>
        <w:tabs>
          <w:tab w:pos="687" w:val="left" w:leader="none"/>
        </w:tabs>
        <w:spacing w:line="240" w:lineRule="auto" w:before="1" w:after="0"/>
        <w:ind w:left="686" w:right="594" w:hanging="567"/>
        <w:jc w:val="both"/>
        <w:rPr>
          <w:sz w:val="22"/>
        </w:rPr>
      </w:pPr>
      <w:r>
        <w:rPr>
          <w:b/>
          <w:i/>
          <w:sz w:val="22"/>
        </w:rPr>
        <w:t>Unrestricted cash </w:t>
      </w:r>
      <w:r>
        <w:rPr>
          <w:sz w:val="22"/>
        </w:rPr>
        <w:t>– Reflects the cash and cash equivalents plus financial assets, less Restricted assets. This</w:t>
      </w:r>
      <w:r>
        <w:rPr>
          <w:spacing w:val="-1"/>
          <w:sz w:val="22"/>
        </w:rPr>
        <w:t> </w:t>
      </w:r>
      <w:r>
        <w:rPr>
          <w:sz w:val="22"/>
        </w:rPr>
        <w:t>measure is expected to drop in the short term with the repayment of federal grants received for car park construction.</w:t>
      </w:r>
    </w:p>
    <w:p>
      <w:pPr>
        <w:pStyle w:val="BodyText"/>
        <w:rPr>
          <w:sz w:val="20"/>
        </w:rPr>
      </w:pPr>
    </w:p>
    <w:p>
      <w:pPr>
        <w:pStyle w:val="ListParagraph"/>
        <w:numPr>
          <w:ilvl w:val="0"/>
          <w:numId w:val="22"/>
        </w:numPr>
        <w:tabs>
          <w:tab w:pos="687" w:val="left" w:leader="none"/>
        </w:tabs>
        <w:spacing w:line="240" w:lineRule="auto" w:before="0" w:after="0"/>
        <w:ind w:left="686" w:right="597" w:hanging="567"/>
        <w:jc w:val="both"/>
        <w:rPr>
          <w:sz w:val="22"/>
        </w:rPr>
      </w:pPr>
      <w:r>
        <w:rPr>
          <w:b/>
          <w:i/>
          <w:sz w:val="22"/>
        </w:rPr>
        <w:t>Debt compared to rates </w:t>
      </w:r>
      <w:r>
        <w:rPr>
          <w:sz w:val="22"/>
        </w:rPr>
        <w:t>– Trend indicates Council's reducing reliance on debt against its annual rate revenue through redemption of long-term debt. Interest-bearing borrowings will decrease into 2024/2025. In 2025/2026 it is forecast to increase due to Council plans for borrowings</w:t>
      </w:r>
    </w:p>
    <w:p>
      <w:pPr>
        <w:pStyle w:val="BodyText"/>
        <w:spacing w:before="10"/>
        <w:rPr>
          <w:sz w:val="19"/>
        </w:rPr>
      </w:pPr>
    </w:p>
    <w:p>
      <w:pPr>
        <w:pStyle w:val="ListParagraph"/>
        <w:numPr>
          <w:ilvl w:val="0"/>
          <w:numId w:val="22"/>
        </w:numPr>
        <w:tabs>
          <w:tab w:pos="686" w:val="left" w:leader="none"/>
          <w:tab w:pos="687" w:val="left" w:leader="none"/>
        </w:tabs>
        <w:spacing w:line="240" w:lineRule="auto" w:before="0" w:after="0"/>
        <w:ind w:left="686" w:right="0" w:hanging="567"/>
        <w:jc w:val="left"/>
        <w:rPr>
          <w:sz w:val="22"/>
        </w:rPr>
      </w:pPr>
      <w:r>
        <w:rPr>
          <w:b/>
          <w:i/>
          <w:sz w:val="22"/>
        </w:rPr>
        <w:t>Rates</w:t>
      </w:r>
      <w:r>
        <w:rPr>
          <w:b/>
          <w:i/>
          <w:spacing w:val="-4"/>
          <w:sz w:val="22"/>
        </w:rPr>
        <w:t> </w:t>
      </w:r>
      <w:r>
        <w:rPr>
          <w:b/>
          <w:i/>
          <w:sz w:val="22"/>
        </w:rPr>
        <w:t>effort</w:t>
      </w:r>
      <w:r>
        <w:rPr>
          <w:b/>
          <w:i/>
          <w:spacing w:val="-2"/>
          <w:sz w:val="22"/>
        </w:rPr>
        <w:t> </w:t>
      </w:r>
      <w:r>
        <w:rPr>
          <w:sz w:val="22"/>
        </w:rPr>
        <w:t>–</w:t>
      </w:r>
      <w:r>
        <w:rPr>
          <w:spacing w:val="-4"/>
          <w:sz w:val="22"/>
        </w:rPr>
        <w:t> </w:t>
      </w:r>
      <w:r>
        <w:rPr>
          <w:sz w:val="22"/>
        </w:rPr>
        <w:t>Rates</w:t>
      </w:r>
      <w:r>
        <w:rPr>
          <w:spacing w:val="-3"/>
          <w:sz w:val="22"/>
        </w:rPr>
        <w:t> </w:t>
      </w:r>
      <w:r>
        <w:rPr>
          <w:sz w:val="22"/>
        </w:rPr>
        <w:t>compared</w:t>
      </w:r>
      <w:r>
        <w:rPr>
          <w:spacing w:val="-4"/>
          <w:sz w:val="22"/>
        </w:rPr>
        <w:t> </w:t>
      </w:r>
      <w:r>
        <w:rPr>
          <w:sz w:val="22"/>
        </w:rPr>
        <w:t>to</w:t>
      </w:r>
      <w:r>
        <w:rPr>
          <w:spacing w:val="-4"/>
          <w:sz w:val="22"/>
        </w:rPr>
        <w:t> </w:t>
      </w:r>
      <w:r>
        <w:rPr>
          <w:sz w:val="22"/>
        </w:rPr>
        <w:t>property</w:t>
      </w:r>
      <w:r>
        <w:rPr>
          <w:spacing w:val="-3"/>
          <w:sz w:val="22"/>
        </w:rPr>
        <w:t> </w:t>
      </w:r>
      <w:r>
        <w:rPr>
          <w:sz w:val="22"/>
        </w:rPr>
        <w:t>values.</w:t>
      </w:r>
      <w:r>
        <w:rPr>
          <w:spacing w:val="-3"/>
          <w:sz w:val="22"/>
        </w:rPr>
        <w:t> </w:t>
      </w:r>
      <w:r>
        <w:rPr>
          <w:sz w:val="22"/>
        </w:rPr>
        <w:t>The</w:t>
      </w:r>
      <w:r>
        <w:rPr>
          <w:spacing w:val="-4"/>
          <w:sz w:val="22"/>
        </w:rPr>
        <w:t> </w:t>
      </w:r>
      <w:r>
        <w:rPr>
          <w:sz w:val="22"/>
        </w:rPr>
        <w:t>rate</w:t>
      </w:r>
      <w:r>
        <w:rPr>
          <w:spacing w:val="-4"/>
          <w:sz w:val="22"/>
        </w:rPr>
        <w:t> </w:t>
      </w:r>
      <w:r>
        <w:rPr>
          <w:sz w:val="22"/>
        </w:rPr>
        <w:t>increase</w:t>
      </w:r>
      <w:r>
        <w:rPr>
          <w:spacing w:val="-3"/>
          <w:sz w:val="22"/>
        </w:rPr>
        <w:t> </w:t>
      </w:r>
      <w:r>
        <w:rPr>
          <w:sz w:val="22"/>
        </w:rPr>
        <w:t>is</w:t>
      </w:r>
      <w:r>
        <w:rPr>
          <w:spacing w:val="-5"/>
          <w:sz w:val="22"/>
        </w:rPr>
        <w:t> </w:t>
      </w:r>
      <w:r>
        <w:rPr>
          <w:sz w:val="22"/>
        </w:rPr>
        <w:t>in</w:t>
      </w:r>
      <w:r>
        <w:rPr>
          <w:spacing w:val="-3"/>
          <w:sz w:val="22"/>
        </w:rPr>
        <w:t> </w:t>
      </w:r>
      <w:r>
        <w:rPr>
          <w:sz w:val="22"/>
        </w:rPr>
        <w:t>accordance</w:t>
      </w:r>
      <w:r>
        <w:rPr>
          <w:spacing w:val="-2"/>
          <w:sz w:val="22"/>
        </w:rPr>
        <w:t> </w:t>
      </w:r>
      <w:r>
        <w:rPr>
          <w:sz w:val="22"/>
        </w:rPr>
        <w:t>with</w:t>
      </w:r>
      <w:r>
        <w:rPr>
          <w:spacing w:val="-5"/>
          <w:sz w:val="22"/>
        </w:rPr>
        <w:t> </w:t>
      </w:r>
      <w:r>
        <w:rPr>
          <w:sz w:val="22"/>
        </w:rPr>
        <w:t>the</w:t>
      </w:r>
      <w:r>
        <w:rPr>
          <w:spacing w:val="-5"/>
          <w:sz w:val="22"/>
        </w:rPr>
        <w:t> </w:t>
      </w:r>
      <w:r>
        <w:rPr>
          <w:sz w:val="22"/>
        </w:rPr>
        <w:t>rate</w:t>
      </w:r>
      <w:r>
        <w:rPr>
          <w:spacing w:val="-3"/>
          <w:sz w:val="22"/>
        </w:rPr>
        <w:t> </w:t>
      </w:r>
      <w:r>
        <w:rPr>
          <w:sz w:val="22"/>
        </w:rPr>
        <w:t>capping</w:t>
      </w:r>
      <w:r>
        <w:rPr>
          <w:spacing w:val="-2"/>
          <w:sz w:val="22"/>
        </w:rPr>
        <w:t> framework.</w:t>
      </w:r>
    </w:p>
    <w:p>
      <w:pPr>
        <w:pStyle w:val="BodyText"/>
        <w:spacing w:before="1"/>
      </w:pPr>
    </w:p>
    <w:p>
      <w:pPr>
        <w:pStyle w:val="ListParagraph"/>
        <w:numPr>
          <w:ilvl w:val="0"/>
          <w:numId w:val="22"/>
        </w:numPr>
        <w:tabs>
          <w:tab w:pos="686" w:val="left" w:leader="none"/>
          <w:tab w:pos="687" w:val="left" w:leader="none"/>
        </w:tabs>
        <w:spacing w:line="240" w:lineRule="auto" w:before="0" w:after="0"/>
        <w:ind w:left="686" w:right="0" w:hanging="567"/>
        <w:jc w:val="left"/>
        <w:rPr>
          <w:sz w:val="22"/>
        </w:rPr>
      </w:pPr>
      <w:r>
        <w:rPr>
          <w:b/>
          <w:i/>
          <w:sz w:val="22"/>
        </w:rPr>
        <w:t>Revenue</w:t>
      </w:r>
      <w:r>
        <w:rPr>
          <w:b/>
          <w:i/>
          <w:spacing w:val="-8"/>
          <w:sz w:val="22"/>
        </w:rPr>
        <w:t> </w:t>
      </w:r>
      <w:r>
        <w:rPr>
          <w:b/>
          <w:i/>
          <w:sz w:val="22"/>
        </w:rPr>
        <w:t>level</w:t>
      </w:r>
      <w:r>
        <w:rPr>
          <w:b/>
          <w:i/>
          <w:spacing w:val="-4"/>
          <w:sz w:val="22"/>
        </w:rPr>
        <w:t> </w:t>
      </w:r>
      <w:r>
        <w:rPr>
          <w:sz w:val="22"/>
        </w:rPr>
        <w:t>–</w:t>
      </w:r>
      <w:r>
        <w:rPr>
          <w:spacing w:val="-5"/>
          <w:sz w:val="22"/>
        </w:rPr>
        <w:t> </w:t>
      </w:r>
      <w:r>
        <w:rPr>
          <w:sz w:val="22"/>
        </w:rPr>
        <w:t>Average</w:t>
      </w:r>
      <w:r>
        <w:rPr>
          <w:spacing w:val="-2"/>
          <w:sz w:val="22"/>
        </w:rPr>
        <w:t> </w:t>
      </w:r>
      <w:r>
        <w:rPr>
          <w:sz w:val="22"/>
        </w:rPr>
        <w:t>rate</w:t>
      </w:r>
      <w:r>
        <w:rPr>
          <w:spacing w:val="-6"/>
          <w:sz w:val="22"/>
        </w:rPr>
        <w:t> </w:t>
      </w:r>
      <w:r>
        <w:rPr>
          <w:sz w:val="22"/>
        </w:rPr>
        <w:t>per</w:t>
      </w:r>
      <w:r>
        <w:rPr>
          <w:spacing w:val="-3"/>
          <w:sz w:val="22"/>
        </w:rPr>
        <w:t> </w:t>
      </w:r>
      <w:r>
        <w:rPr>
          <w:sz w:val="22"/>
        </w:rPr>
        <w:t>property</w:t>
      </w:r>
      <w:r>
        <w:rPr>
          <w:spacing w:val="-4"/>
          <w:sz w:val="22"/>
        </w:rPr>
        <w:t> </w:t>
      </w:r>
      <w:r>
        <w:rPr>
          <w:sz w:val="22"/>
        </w:rPr>
        <w:t>assessment.</w:t>
      </w:r>
      <w:r>
        <w:rPr>
          <w:spacing w:val="-2"/>
          <w:sz w:val="22"/>
        </w:rPr>
        <w:t> </w:t>
      </w:r>
      <w:r>
        <w:rPr>
          <w:sz w:val="22"/>
        </w:rPr>
        <w:t>General</w:t>
      </w:r>
      <w:r>
        <w:rPr>
          <w:spacing w:val="-4"/>
          <w:sz w:val="22"/>
        </w:rPr>
        <w:t> </w:t>
      </w:r>
      <w:r>
        <w:rPr>
          <w:sz w:val="22"/>
        </w:rPr>
        <w:t>rates</w:t>
      </w:r>
      <w:r>
        <w:rPr>
          <w:spacing w:val="-5"/>
          <w:sz w:val="22"/>
        </w:rPr>
        <w:t> </w:t>
      </w:r>
      <w:r>
        <w:rPr>
          <w:sz w:val="22"/>
        </w:rPr>
        <w:t>increase</w:t>
      </w:r>
      <w:r>
        <w:rPr>
          <w:spacing w:val="-2"/>
          <w:sz w:val="22"/>
        </w:rPr>
        <w:t> </w:t>
      </w:r>
      <w:r>
        <w:rPr>
          <w:sz w:val="22"/>
        </w:rPr>
        <w:t>in</w:t>
      </w:r>
      <w:r>
        <w:rPr>
          <w:spacing w:val="-3"/>
          <w:sz w:val="22"/>
        </w:rPr>
        <w:t> </w:t>
      </w:r>
      <w:r>
        <w:rPr>
          <w:sz w:val="22"/>
        </w:rPr>
        <w:t>accordance</w:t>
      </w:r>
      <w:r>
        <w:rPr>
          <w:spacing w:val="-5"/>
          <w:sz w:val="22"/>
        </w:rPr>
        <w:t> </w:t>
      </w:r>
      <w:r>
        <w:rPr>
          <w:sz w:val="22"/>
        </w:rPr>
        <w:t>with</w:t>
      </w:r>
      <w:r>
        <w:rPr>
          <w:spacing w:val="-5"/>
          <w:sz w:val="22"/>
        </w:rPr>
        <w:t> </w:t>
      </w:r>
      <w:r>
        <w:rPr>
          <w:sz w:val="22"/>
        </w:rPr>
        <w:t>the</w:t>
      </w:r>
      <w:r>
        <w:rPr>
          <w:spacing w:val="-5"/>
          <w:sz w:val="22"/>
        </w:rPr>
        <w:t> </w:t>
      </w:r>
      <w:r>
        <w:rPr>
          <w:sz w:val="22"/>
        </w:rPr>
        <w:t>predicted</w:t>
      </w:r>
      <w:r>
        <w:rPr>
          <w:spacing w:val="-5"/>
          <w:sz w:val="22"/>
        </w:rPr>
        <w:t> </w:t>
      </w:r>
      <w:r>
        <w:rPr>
          <w:sz w:val="22"/>
        </w:rPr>
        <w:t>rate</w:t>
      </w:r>
      <w:r>
        <w:rPr>
          <w:spacing w:val="-5"/>
          <w:sz w:val="22"/>
        </w:rPr>
        <w:t> </w:t>
      </w:r>
      <w:r>
        <w:rPr>
          <w:spacing w:val="-4"/>
          <w:sz w:val="22"/>
        </w:rPr>
        <w:t>cap.</w:t>
      </w:r>
    </w:p>
    <w:p>
      <w:pPr>
        <w:spacing w:after="0" w:line="240" w:lineRule="auto"/>
        <w:jc w:val="left"/>
        <w:rPr>
          <w:sz w:val="22"/>
        </w:rPr>
        <w:sectPr>
          <w:pgSz w:w="16840" w:h="11910" w:orient="landscape"/>
          <w:pgMar w:header="0" w:footer="546" w:top="480" w:bottom="740" w:left="600" w:right="120"/>
        </w:sectPr>
      </w:pPr>
    </w:p>
    <w:p>
      <w:pPr>
        <w:pStyle w:val="Heading1"/>
        <w:numPr>
          <w:ilvl w:val="0"/>
          <w:numId w:val="20"/>
        </w:numPr>
        <w:tabs>
          <w:tab w:pos="742" w:val="left" w:leader="none"/>
          <w:tab w:pos="743" w:val="left" w:leader="none"/>
        </w:tabs>
        <w:spacing w:line="240" w:lineRule="auto" w:before="63" w:after="0"/>
        <w:ind w:left="742" w:right="0" w:hanging="643"/>
        <w:jc w:val="left"/>
        <w:rPr>
          <w:color w:val="4966AC"/>
        </w:rPr>
      </w:pPr>
      <w:bookmarkStart w:name="_TOC_250000" w:id="13"/>
      <w:r>
        <w:rPr>
          <w:color w:val="4966AC"/>
        </w:rPr>
        <w:t>Schedule</w:t>
      </w:r>
      <w:r>
        <w:rPr>
          <w:color w:val="4966AC"/>
          <w:spacing w:val="-8"/>
        </w:rPr>
        <w:t> </w:t>
      </w:r>
      <w:r>
        <w:rPr>
          <w:color w:val="4966AC"/>
        </w:rPr>
        <w:t>of</w:t>
      </w:r>
      <w:r>
        <w:rPr>
          <w:color w:val="4966AC"/>
          <w:spacing w:val="-7"/>
        </w:rPr>
        <w:t> </w:t>
      </w:r>
      <w:r>
        <w:rPr>
          <w:color w:val="4966AC"/>
        </w:rPr>
        <w:t>Fees</w:t>
      </w:r>
      <w:r>
        <w:rPr>
          <w:color w:val="4966AC"/>
          <w:spacing w:val="-7"/>
        </w:rPr>
        <w:t> </w:t>
      </w:r>
      <w:r>
        <w:rPr>
          <w:color w:val="4966AC"/>
        </w:rPr>
        <w:t>and</w:t>
      </w:r>
      <w:r>
        <w:rPr>
          <w:color w:val="4966AC"/>
          <w:spacing w:val="-8"/>
        </w:rPr>
        <w:t> </w:t>
      </w:r>
      <w:bookmarkEnd w:id="13"/>
      <w:r>
        <w:rPr>
          <w:color w:val="4966AC"/>
          <w:spacing w:val="-2"/>
        </w:rPr>
        <w:t>Charges</w:t>
      </w:r>
    </w:p>
    <w:p>
      <w:pPr>
        <w:pStyle w:val="BodyText"/>
        <w:spacing w:before="251"/>
        <w:ind w:left="100"/>
      </w:pPr>
      <w:r>
        <w:rPr/>
        <w:t>This represents the fees</w:t>
      </w:r>
      <w:r>
        <w:rPr>
          <w:spacing w:val="-1"/>
        </w:rPr>
        <w:t> </w:t>
      </w:r>
      <w:r>
        <w:rPr/>
        <w:t>and charges of a statutory/non-statutory nature which will be charged in respect to various goods and services during the FY 2024/2025.</w:t>
      </w:r>
    </w:p>
    <w:p>
      <w:pPr>
        <w:pStyle w:val="BodyText"/>
        <w:spacing w:before="11"/>
        <w:rPr>
          <w:sz w:val="21"/>
        </w:rPr>
      </w:pPr>
    </w:p>
    <w:p>
      <w:pPr>
        <w:pStyle w:val="BodyText"/>
        <w:ind w:left="100"/>
      </w:pPr>
      <w:r>
        <w:rPr/>
        <w:t>Fees</w:t>
      </w:r>
      <w:r>
        <w:rPr>
          <w:spacing w:val="26"/>
        </w:rPr>
        <w:t> </w:t>
      </w:r>
      <w:r>
        <w:rPr/>
        <w:t>and</w:t>
      </w:r>
      <w:r>
        <w:rPr>
          <w:spacing w:val="25"/>
        </w:rPr>
        <w:t> </w:t>
      </w:r>
      <w:r>
        <w:rPr/>
        <w:t>charges</w:t>
      </w:r>
      <w:r>
        <w:rPr>
          <w:spacing w:val="26"/>
        </w:rPr>
        <w:t> </w:t>
      </w:r>
      <w:r>
        <w:rPr/>
        <w:t>are</w:t>
      </w:r>
      <w:r>
        <w:rPr>
          <w:spacing w:val="22"/>
        </w:rPr>
        <w:t> </w:t>
      </w:r>
      <w:r>
        <w:rPr/>
        <w:t>based</w:t>
      </w:r>
      <w:r>
        <w:rPr>
          <w:spacing w:val="27"/>
        </w:rPr>
        <w:t> </w:t>
      </w:r>
      <w:r>
        <w:rPr/>
        <w:t>on</w:t>
      </w:r>
      <w:r>
        <w:rPr>
          <w:spacing w:val="25"/>
        </w:rPr>
        <w:t> </w:t>
      </w:r>
      <w:r>
        <w:rPr/>
        <w:t>information</w:t>
      </w:r>
      <w:r>
        <w:rPr>
          <w:spacing w:val="26"/>
        </w:rPr>
        <w:t> </w:t>
      </w:r>
      <w:r>
        <w:rPr/>
        <w:t>available</w:t>
      </w:r>
      <w:r>
        <w:rPr>
          <w:spacing w:val="27"/>
        </w:rPr>
        <w:t> </w:t>
      </w:r>
      <w:r>
        <w:rPr/>
        <w:t>at</w:t>
      </w:r>
      <w:r>
        <w:rPr>
          <w:spacing w:val="26"/>
        </w:rPr>
        <w:t> </w:t>
      </w:r>
      <w:r>
        <w:rPr/>
        <w:t>the</w:t>
      </w:r>
      <w:r>
        <w:rPr>
          <w:spacing w:val="25"/>
        </w:rPr>
        <w:t> </w:t>
      </w:r>
      <w:r>
        <w:rPr/>
        <w:t>time</w:t>
      </w:r>
      <w:r>
        <w:rPr>
          <w:spacing w:val="25"/>
        </w:rPr>
        <w:t> </w:t>
      </w:r>
      <w:r>
        <w:rPr/>
        <w:t>of</w:t>
      </w:r>
      <w:r>
        <w:rPr>
          <w:spacing w:val="24"/>
        </w:rPr>
        <w:t> </w:t>
      </w:r>
      <w:r>
        <w:rPr/>
        <w:t>publishing</w:t>
      </w:r>
      <w:r>
        <w:rPr>
          <w:spacing w:val="28"/>
        </w:rPr>
        <w:t> </w:t>
      </w:r>
      <w:r>
        <w:rPr/>
        <w:t>and</w:t>
      </w:r>
      <w:r>
        <w:rPr>
          <w:spacing w:val="24"/>
        </w:rPr>
        <w:t> </w:t>
      </w:r>
      <w:r>
        <w:rPr/>
        <w:t>may</w:t>
      </w:r>
      <w:r>
        <w:rPr>
          <w:spacing w:val="24"/>
        </w:rPr>
        <w:t> </w:t>
      </w:r>
      <w:r>
        <w:rPr/>
        <w:t>vary</w:t>
      </w:r>
      <w:r>
        <w:rPr>
          <w:spacing w:val="24"/>
        </w:rPr>
        <w:t> </w:t>
      </w:r>
      <w:r>
        <w:rPr/>
        <w:t>during</w:t>
      </w:r>
      <w:r>
        <w:rPr>
          <w:spacing w:val="25"/>
        </w:rPr>
        <w:t> </w:t>
      </w:r>
      <w:r>
        <w:rPr/>
        <w:t>the financial year subject to any changes in Council's policy or legislation.</w:t>
      </w:r>
    </w:p>
    <w:p>
      <w:pPr>
        <w:pStyle w:val="BodyText"/>
        <w:rPr>
          <w:sz w:val="20"/>
        </w:rPr>
      </w:pPr>
    </w:p>
    <w:p>
      <w:pPr>
        <w:pStyle w:val="BodyText"/>
        <w:rPr>
          <w:sz w:val="20"/>
        </w:rPr>
      </w:pPr>
    </w:p>
    <w:p>
      <w:pPr>
        <w:pStyle w:val="BodyText"/>
        <w:spacing w:before="4"/>
        <w:rPr>
          <w:sz w:val="25"/>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2" w:hRule="atLeast"/>
        </w:trPr>
        <w:tc>
          <w:tcPr>
            <w:tcW w:w="5794" w:type="dxa"/>
            <w:shd w:val="clear" w:color="auto" w:fill="3399FF"/>
          </w:tcPr>
          <w:p>
            <w:pPr>
              <w:pStyle w:val="TableParagraph"/>
              <w:spacing w:before="10"/>
              <w:rPr>
                <w:sz w:val="20"/>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38"/>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266" w:hRule="atLeast"/>
        </w:trPr>
        <w:tc>
          <w:tcPr>
            <w:tcW w:w="5794" w:type="dxa"/>
            <w:tcBorders>
              <w:bottom w:val="single" w:sz="18" w:space="0" w:color="000000"/>
            </w:tcBorders>
            <w:shd w:val="clear" w:color="auto" w:fill="D8D8D8"/>
          </w:tcPr>
          <w:p>
            <w:pPr>
              <w:pStyle w:val="TableParagraph"/>
              <w:spacing w:line="214" w:lineRule="exact" w:before="32"/>
              <w:ind w:left="170"/>
              <w:rPr>
                <w:b/>
                <w:sz w:val="22"/>
              </w:rPr>
            </w:pPr>
            <w:r>
              <w:rPr>
                <w:b/>
                <w:sz w:val="22"/>
              </w:rPr>
              <w:t>Business</w:t>
            </w:r>
            <w:r>
              <w:rPr>
                <w:b/>
                <w:spacing w:val="-3"/>
                <w:sz w:val="22"/>
              </w:rPr>
              <w:t> </w:t>
            </w:r>
            <w:r>
              <w:rPr>
                <w:b/>
                <w:sz w:val="22"/>
              </w:rPr>
              <w:t>&amp;</w:t>
            </w:r>
            <w:r>
              <w:rPr>
                <w:b/>
                <w:spacing w:val="-2"/>
                <w:sz w:val="22"/>
              </w:rPr>
              <w:t> Precincts</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Business</w:t>
            </w:r>
            <w:r>
              <w:rPr>
                <w:b/>
                <w:spacing w:val="-5"/>
                <w:sz w:val="14"/>
              </w:rPr>
              <w:t> </w:t>
            </w:r>
            <w:r>
              <w:rPr>
                <w:b/>
                <w:sz w:val="14"/>
              </w:rPr>
              <w:t>&amp;</w:t>
            </w:r>
            <w:r>
              <w:rPr>
                <w:b/>
                <w:spacing w:val="-6"/>
                <w:sz w:val="14"/>
              </w:rPr>
              <w:t> </w:t>
            </w:r>
            <w:r>
              <w:rPr>
                <w:b/>
                <w:sz w:val="14"/>
              </w:rPr>
              <w:t>Development</w:t>
            </w:r>
            <w:r>
              <w:rPr>
                <w:b/>
                <w:spacing w:val="-4"/>
                <w:sz w:val="14"/>
              </w:rPr>
              <w:t> </w:t>
            </w:r>
            <w:r>
              <w:rPr>
                <w:b/>
                <w:sz w:val="14"/>
              </w:rPr>
              <w:t>Business</w:t>
            </w:r>
            <w:r>
              <w:rPr>
                <w:b/>
                <w:spacing w:val="-6"/>
                <w:sz w:val="14"/>
              </w:rPr>
              <w:t> </w:t>
            </w:r>
            <w:r>
              <w:rPr>
                <w:b/>
                <w:spacing w:val="-4"/>
                <w:sz w:val="14"/>
              </w:rPr>
              <w:t>Week</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Business</w:t>
            </w:r>
            <w:r>
              <w:rPr>
                <w:spacing w:val="-6"/>
                <w:sz w:val="14"/>
              </w:rPr>
              <w:t> </w:t>
            </w:r>
            <w:r>
              <w:rPr>
                <w:sz w:val="14"/>
              </w:rPr>
              <w:t>Week</w:t>
            </w:r>
            <w:r>
              <w:rPr>
                <w:spacing w:val="-4"/>
                <w:sz w:val="14"/>
              </w:rPr>
              <w:t> </w:t>
            </w:r>
            <w:r>
              <w:rPr>
                <w:spacing w:val="-2"/>
                <w:sz w:val="14"/>
              </w:rPr>
              <w:t>events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44.00</w:t>
            </w:r>
          </w:p>
        </w:tc>
        <w:tc>
          <w:tcPr>
            <w:tcW w:w="995" w:type="dxa"/>
          </w:tcPr>
          <w:p>
            <w:pPr>
              <w:pStyle w:val="TableParagraph"/>
              <w:spacing w:line="140" w:lineRule="exact" w:before="17"/>
              <w:ind w:right="101"/>
              <w:jc w:val="right"/>
              <w:rPr>
                <w:sz w:val="14"/>
              </w:rPr>
            </w:pPr>
            <w:r>
              <w:rPr>
                <w:spacing w:val="-2"/>
                <w:sz w:val="14"/>
              </w:rPr>
              <w:t>44.00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Business</w:t>
            </w:r>
            <w:r>
              <w:rPr>
                <w:b/>
                <w:spacing w:val="-6"/>
                <w:sz w:val="14"/>
              </w:rPr>
              <w:t> </w:t>
            </w:r>
            <w:r>
              <w:rPr>
                <w:b/>
                <w:sz w:val="14"/>
              </w:rPr>
              <w:t>&amp;</w:t>
            </w:r>
            <w:r>
              <w:rPr>
                <w:b/>
                <w:spacing w:val="-7"/>
                <w:sz w:val="14"/>
              </w:rPr>
              <w:t> </w:t>
            </w:r>
            <w:r>
              <w:rPr>
                <w:b/>
                <w:sz w:val="14"/>
              </w:rPr>
              <w:t>Development</w:t>
            </w:r>
            <w:r>
              <w:rPr>
                <w:b/>
                <w:spacing w:val="-5"/>
                <w:sz w:val="14"/>
              </w:rPr>
              <w:t> </w:t>
            </w:r>
            <w:r>
              <w:rPr>
                <w:b/>
                <w:sz w:val="14"/>
              </w:rPr>
              <w:t>Co-Working</w:t>
            </w:r>
            <w:r>
              <w:rPr>
                <w:b/>
                <w:spacing w:val="-8"/>
                <w:sz w:val="14"/>
              </w:rPr>
              <w:t> </w:t>
            </w:r>
            <w:r>
              <w:rPr>
                <w:b/>
                <w:spacing w:val="-2"/>
                <w:sz w:val="14"/>
              </w:rPr>
              <w:t>Memberships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Casual</w:t>
            </w:r>
            <w:r>
              <w:rPr>
                <w:spacing w:val="-5"/>
                <w:sz w:val="14"/>
              </w:rPr>
              <w:t> </w:t>
            </w:r>
            <w:r>
              <w:rPr>
                <w:sz w:val="14"/>
              </w:rPr>
              <w:t>per</w:t>
            </w:r>
            <w:r>
              <w:rPr>
                <w:spacing w:val="-3"/>
                <w:sz w:val="14"/>
              </w:rPr>
              <w:t> </w:t>
            </w:r>
            <w:r>
              <w:rPr>
                <w:spacing w:val="-2"/>
                <w:sz w:val="14"/>
              </w:rPr>
              <w:t>attendance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288"/>
              <w:rPr>
                <w:sz w:val="14"/>
              </w:rPr>
            </w:pPr>
            <w:r>
              <w:rPr>
                <w:spacing w:val="-4"/>
                <w:sz w:val="14"/>
              </w:rPr>
              <w:t>20.0</w:t>
            </w:r>
          </w:p>
        </w:tc>
      </w:tr>
      <w:tr>
        <w:trPr>
          <w:trHeight w:val="177" w:hRule="atLeast"/>
        </w:trPr>
        <w:tc>
          <w:tcPr>
            <w:tcW w:w="5794" w:type="dxa"/>
          </w:tcPr>
          <w:p>
            <w:pPr>
              <w:pStyle w:val="TableParagraph"/>
              <w:spacing w:line="140" w:lineRule="exact" w:before="17"/>
              <w:ind w:left="107"/>
              <w:rPr>
                <w:sz w:val="14"/>
              </w:rPr>
            </w:pPr>
            <w:r>
              <w:rPr>
                <w:sz w:val="14"/>
              </w:rPr>
              <w:t>Visitor</w:t>
            </w:r>
            <w:r>
              <w:rPr>
                <w:spacing w:val="-5"/>
                <w:sz w:val="14"/>
              </w:rPr>
              <w:t> </w:t>
            </w:r>
            <w:r>
              <w:rPr>
                <w:sz w:val="14"/>
              </w:rPr>
              <w:t>Day</w:t>
            </w:r>
            <w:r>
              <w:rPr>
                <w:spacing w:val="-4"/>
                <w:sz w:val="14"/>
              </w:rPr>
              <w:t> Pass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30.00</w:t>
            </w:r>
          </w:p>
        </w:tc>
        <w:tc>
          <w:tcPr>
            <w:tcW w:w="995" w:type="dxa"/>
          </w:tcPr>
          <w:p>
            <w:pPr>
              <w:pStyle w:val="TableParagraph"/>
              <w:spacing w:line="140" w:lineRule="exact" w:before="17"/>
              <w:ind w:right="101"/>
              <w:jc w:val="right"/>
              <w:rPr>
                <w:sz w:val="14"/>
              </w:rPr>
            </w:pPr>
            <w:r>
              <w:rPr>
                <w:spacing w:val="-2"/>
                <w:sz w:val="14"/>
              </w:rPr>
              <w:t>35.00</w:t>
            </w:r>
          </w:p>
        </w:tc>
        <w:tc>
          <w:tcPr>
            <w:tcW w:w="861" w:type="dxa"/>
          </w:tcPr>
          <w:p>
            <w:pPr>
              <w:pStyle w:val="TableParagraph"/>
              <w:spacing w:line="140" w:lineRule="exact" w:before="17"/>
              <w:ind w:left="288"/>
              <w:rPr>
                <w:sz w:val="14"/>
              </w:rPr>
            </w:pPr>
            <w:r>
              <w:rPr>
                <w:spacing w:val="-4"/>
                <w:sz w:val="14"/>
              </w:rPr>
              <w:t>14.3</w:t>
            </w:r>
          </w:p>
        </w:tc>
      </w:tr>
      <w:tr>
        <w:trPr>
          <w:trHeight w:val="177" w:hRule="atLeast"/>
        </w:trPr>
        <w:tc>
          <w:tcPr>
            <w:tcW w:w="5794" w:type="dxa"/>
          </w:tcPr>
          <w:p>
            <w:pPr>
              <w:pStyle w:val="TableParagraph"/>
              <w:spacing w:line="140" w:lineRule="exact" w:before="17"/>
              <w:ind w:left="107"/>
              <w:rPr>
                <w:sz w:val="14"/>
              </w:rPr>
            </w:pPr>
            <w:r>
              <w:rPr>
                <w:sz w:val="14"/>
              </w:rPr>
              <w:t>Casual</w:t>
            </w:r>
            <w:r>
              <w:rPr>
                <w:spacing w:val="-5"/>
                <w:sz w:val="14"/>
              </w:rPr>
              <w:t> </w:t>
            </w:r>
            <w:r>
              <w:rPr>
                <w:sz w:val="14"/>
              </w:rPr>
              <w:t>per</w:t>
            </w:r>
            <w:r>
              <w:rPr>
                <w:spacing w:val="-5"/>
                <w:sz w:val="14"/>
              </w:rPr>
              <w:t> </w:t>
            </w:r>
            <w:r>
              <w:rPr>
                <w:spacing w:val="-4"/>
                <w:sz w:val="14"/>
              </w:rPr>
              <w:t>year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80.00</w:t>
            </w:r>
          </w:p>
        </w:tc>
        <w:tc>
          <w:tcPr>
            <w:tcW w:w="995" w:type="dxa"/>
          </w:tcPr>
          <w:p>
            <w:pPr>
              <w:pStyle w:val="TableParagraph"/>
              <w:spacing w:line="140" w:lineRule="exact" w:before="17"/>
              <w:ind w:right="101"/>
              <w:jc w:val="right"/>
              <w:rPr>
                <w:sz w:val="14"/>
              </w:rPr>
            </w:pPr>
            <w:r>
              <w:rPr>
                <w:spacing w:val="-2"/>
                <w:sz w:val="14"/>
              </w:rPr>
              <w:t>90.00</w:t>
            </w:r>
          </w:p>
        </w:tc>
        <w:tc>
          <w:tcPr>
            <w:tcW w:w="861" w:type="dxa"/>
          </w:tcPr>
          <w:p>
            <w:pPr>
              <w:pStyle w:val="TableParagraph"/>
              <w:spacing w:line="140" w:lineRule="exact" w:before="17"/>
              <w:ind w:left="288"/>
              <w:rPr>
                <w:sz w:val="14"/>
              </w:rPr>
            </w:pPr>
            <w:r>
              <w:rPr>
                <w:spacing w:val="-4"/>
                <w:sz w:val="14"/>
              </w:rPr>
              <w:t>11.1</w:t>
            </w:r>
          </w:p>
        </w:tc>
      </w:tr>
      <w:tr>
        <w:trPr>
          <w:trHeight w:val="177" w:hRule="atLeast"/>
        </w:trPr>
        <w:tc>
          <w:tcPr>
            <w:tcW w:w="5794" w:type="dxa"/>
          </w:tcPr>
          <w:p>
            <w:pPr>
              <w:pStyle w:val="TableParagraph"/>
              <w:spacing w:line="140" w:lineRule="exact" w:before="17"/>
              <w:ind w:left="107"/>
              <w:rPr>
                <w:sz w:val="14"/>
              </w:rPr>
            </w:pPr>
            <w:r>
              <w:rPr>
                <w:sz w:val="14"/>
              </w:rPr>
              <w:t>Premium</w:t>
            </w:r>
            <w:r>
              <w:rPr>
                <w:spacing w:val="-6"/>
                <w:sz w:val="14"/>
              </w:rPr>
              <w:t> </w:t>
            </w:r>
            <w:r>
              <w:rPr>
                <w:spacing w:val="-2"/>
                <w:sz w:val="14"/>
              </w:rPr>
              <w:t>Affiliate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250.00</w:t>
            </w:r>
          </w:p>
        </w:tc>
        <w:tc>
          <w:tcPr>
            <w:tcW w:w="995" w:type="dxa"/>
          </w:tcPr>
          <w:p>
            <w:pPr>
              <w:pStyle w:val="TableParagraph"/>
              <w:spacing w:line="140" w:lineRule="exact" w:before="17"/>
              <w:ind w:right="102"/>
              <w:jc w:val="right"/>
              <w:rPr>
                <w:sz w:val="14"/>
              </w:rPr>
            </w:pPr>
            <w:r>
              <w:rPr>
                <w:spacing w:val="-2"/>
                <w:sz w:val="14"/>
              </w:rPr>
              <w:t>270.00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Premium</w:t>
            </w:r>
            <w:r>
              <w:rPr>
                <w:spacing w:val="-4"/>
                <w:sz w:val="14"/>
              </w:rPr>
              <w:t> </w:t>
            </w:r>
            <w:r>
              <w:rPr>
                <w:sz w:val="14"/>
              </w:rPr>
              <w:t>per</w:t>
            </w:r>
            <w:r>
              <w:rPr>
                <w:spacing w:val="-6"/>
                <w:sz w:val="14"/>
              </w:rPr>
              <w:t> </w:t>
            </w:r>
            <w:r>
              <w:rPr>
                <w:spacing w:val="-2"/>
                <w:sz w:val="14"/>
              </w:rPr>
              <w:t>month</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400.00</w:t>
            </w:r>
          </w:p>
        </w:tc>
        <w:tc>
          <w:tcPr>
            <w:tcW w:w="995" w:type="dxa"/>
          </w:tcPr>
          <w:p>
            <w:pPr>
              <w:pStyle w:val="TableParagraph"/>
              <w:spacing w:line="140" w:lineRule="exact" w:before="17"/>
              <w:ind w:right="102"/>
              <w:jc w:val="right"/>
              <w:rPr>
                <w:sz w:val="14"/>
              </w:rPr>
            </w:pPr>
            <w:r>
              <w:rPr>
                <w:spacing w:val="-2"/>
                <w:sz w:val="14"/>
              </w:rPr>
              <w:t>430.00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Business</w:t>
            </w:r>
            <w:r>
              <w:rPr>
                <w:b/>
                <w:spacing w:val="-5"/>
                <w:sz w:val="14"/>
              </w:rPr>
              <w:t> </w:t>
            </w:r>
            <w:r>
              <w:rPr>
                <w:b/>
                <w:sz w:val="14"/>
              </w:rPr>
              <w:t>&amp;</w:t>
            </w:r>
            <w:r>
              <w:rPr>
                <w:b/>
                <w:spacing w:val="-7"/>
                <w:sz w:val="14"/>
              </w:rPr>
              <w:t> </w:t>
            </w:r>
            <w:r>
              <w:rPr>
                <w:b/>
                <w:sz w:val="14"/>
              </w:rPr>
              <w:t>Development</w:t>
            </w:r>
            <w:r>
              <w:rPr>
                <w:b/>
                <w:spacing w:val="-5"/>
                <w:sz w:val="14"/>
              </w:rPr>
              <w:t> </w:t>
            </w:r>
            <w:r>
              <w:rPr>
                <w:b/>
                <w:sz w:val="14"/>
              </w:rPr>
              <w:t>Maroondah</w:t>
            </w:r>
            <w:r>
              <w:rPr>
                <w:b/>
                <w:spacing w:val="-7"/>
                <w:sz w:val="14"/>
              </w:rPr>
              <w:t> </w:t>
            </w:r>
            <w:r>
              <w:rPr>
                <w:b/>
                <w:sz w:val="14"/>
              </w:rPr>
              <w:t>Business</w:t>
            </w:r>
            <w:r>
              <w:rPr>
                <w:b/>
                <w:spacing w:val="-4"/>
                <w:sz w:val="14"/>
              </w:rPr>
              <w:t> </w:t>
            </w:r>
            <w:r>
              <w:rPr>
                <w:b/>
                <w:spacing w:val="-2"/>
                <w:sz w:val="14"/>
              </w:rPr>
              <w:t>Awards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110.00</w:t>
            </w:r>
          </w:p>
        </w:tc>
        <w:tc>
          <w:tcPr>
            <w:tcW w:w="995" w:type="dxa"/>
          </w:tcPr>
          <w:p>
            <w:pPr>
              <w:pStyle w:val="TableParagraph"/>
              <w:spacing w:line="140" w:lineRule="exact" w:before="17"/>
              <w:ind w:right="102"/>
              <w:jc w:val="right"/>
              <w:rPr>
                <w:sz w:val="14"/>
              </w:rPr>
            </w:pPr>
            <w:r>
              <w:rPr>
                <w:spacing w:val="-2"/>
                <w:sz w:val="14"/>
              </w:rPr>
              <w:t>118.25</w:t>
            </w:r>
          </w:p>
        </w:tc>
        <w:tc>
          <w:tcPr>
            <w:tcW w:w="861" w:type="dxa"/>
          </w:tcPr>
          <w:p>
            <w:pPr>
              <w:pStyle w:val="TableParagraph"/>
              <w:spacing w:line="140" w:lineRule="exact" w:before="17"/>
              <w:ind w:left="327"/>
              <w:rPr>
                <w:sz w:val="14"/>
              </w:rPr>
            </w:pPr>
            <w:r>
              <w:rPr>
                <w:spacing w:val="-5"/>
                <w:sz w:val="14"/>
              </w:rPr>
              <w:t>7.0</w:t>
            </w:r>
          </w:p>
        </w:tc>
      </w:tr>
      <w:tr>
        <w:trPr>
          <w:trHeight w:val="642" w:hRule="atLeast"/>
        </w:trPr>
        <w:tc>
          <w:tcPr>
            <w:tcW w:w="5794" w:type="dxa"/>
          </w:tcPr>
          <w:p>
            <w:pPr>
              <w:pStyle w:val="TableParagraph"/>
              <w:spacing w:before="10"/>
              <w:rPr>
                <w:sz w:val="20"/>
              </w:rPr>
            </w:pPr>
          </w:p>
          <w:p>
            <w:pPr>
              <w:pStyle w:val="TableParagraph"/>
              <w:ind w:left="107"/>
              <w:rPr>
                <w:sz w:val="14"/>
              </w:rPr>
            </w:pPr>
            <w:r>
              <w:rPr>
                <w:spacing w:val="-2"/>
                <w:sz w:val="14"/>
              </w:rPr>
              <w:t>Sponsorship</w:t>
            </w:r>
          </w:p>
        </w:tc>
        <w:tc>
          <w:tcPr>
            <w:tcW w:w="1131" w:type="dxa"/>
          </w:tcPr>
          <w:p>
            <w:pPr>
              <w:pStyle w:val="TableParagraph"/>
              <w:rPr>
                <w:sz w:val="16"/>
              </w:rPr>
            </w:pPr>
          </w:p>
          <w:p>
            <w:pPr>
              <w:pStyle w:val="TableParagraph"/>
              <w:rPr>
                <w:sz w:val="16"/>
              </w:rPr>
            </w:pPr>
          </w:p>
          <w:p>
            <w:pPr>
              <w:pStyle w:val="TableParagraph"/>
              <w:spacing w:line="140" w:lineRule="exact" w:before="115"/>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spacing w:line="140" w:lineRule="exact" w:before="115"/>
              <w:ind w:left="159"/>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z w:val="14"/>
              </w:rPr>
              <w:t>type</w:t>
            </w:r>
            <w:r>
              <w:rPr>
                <w:spacing w:val="-2"/>
                <w:sz w:val="14"/>
              </w:rPr>
              <w:t> </w:t>
            </w:r>
            <w:r>
              <w:rPr>
                <w:sz w:val="14"/>
              </w:rPr>
              <w:t>of</w:t>
            </w:r>
            <w:r>
              <w:rPr>
                <w:spacing w:val="40"/>
                <w:sz w:val="14"/>
              </w:rPr>
              <w:t> </w:t>
            </w:r>
            <w:r>
              <w:rPr>
                <w:spacing w:val="-2"/>
                <w:sz w:val="14"/>
              </w:rPr>
              <w:t>sponsorship</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z w:val="14"/>
              </w:rPr>
              <w:t>type</w:t>
            </w:r>
            <w:r>
              <w:rPr>
                <w:spacing w:val="-2"/>
                <w:sz w:val="14"/>
              </w:rPr>
              <w:t> </w:t>
            </w:r>
            <w:r>
              <w:rPr>
                <w:sz w:val="14"/>
              </w:rPr>
              <w:t>of</w:t>
            </w:r>
            <w:r>
              <w:rPr>
                <w:spacing w:val="40"/>
                <w:sz w:val="14"/>
              </w:rPr>
              <w:t> </w:t>
            </w:r>
            <w:r>
              <w:rPr>
                <w:spacing w:val="-2"/>
                <w:sz w:val="14"/>
              </w:rPr>
              <w:t>sponsorship</w:t>
            </w:r>
          </w:p>
        </w:tc>
        <w:tc>
          <w:tcPr>
            <w:tcW w:w="861" w:type="dxa"/>
          </w:tcPr>
          <w:p>
            <w:pPr>
              <w:pStyle w:val="TableParagraph"/>
              <w:rPr>
                <w:rFonts w:ascii="Times New Roman"/>
                <w:sz w:val="14"/>
              </w:rPr>
            </w:pPr>
          </w:p>
        </w:tc>
      </w:tr>
      <w:tr>
        <w:trPr>
          <w:trHeight w:val="176" w:hRule="atLeast"/>
        </w:trPr>
        <w:tc>
          <w:tcPr>
            <w:tcW w:w="5794" w:type="dxa"/>
          </w:tcPr>
          <w:p>
            <w:pPr>
              <w:pStyle w:val="TableParagraph"/>
              <w:spacing w:line="140" w:lineRule="exact" w:before="16"/>
              <w:ind w:left="107"/>
              <w:rPr>
                <w:b/>
                <w:sz w:val="14"/>
              </w:rPr>
            </w:pPr>
            <w:r>
              <w:rPr>
                <w:b/>
                <w:sz w:val="14"/>
              </w:rPr>
              <w:t>Brushy</w:t>
            </w:r>
            <w:r>
              <w:rPr>
                <w:b/>
                <w:spacing w:val="-6"/>
                <w:sz w:val="14"/>
              </w:rPr>
              <w:t> </w:t>
            </w:r>
            <w:r>
              <w:rPr>
                <w:b/>
                <w:sz w:val="14"/>
              </w:rPr>
              <w:t>Creek</w:t>
            </w:r>
            <w:r>
              <w:rPr>
                <w:b/>
                <w:spacing w:val="-5"/>
                <w:sz w:val="14"/>
              </w:rPr>
              <w:t> </w:t>
            </w:r>
            <w:r>
              <w:rPr>
                <w:b/>
                <w:spacing w:val="-4"/>
                <w:sz w:val="14"/>
              </w:rPr>
              <w:t>Hall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4"/>
                <w:sz w:val="14"/>
              </w:rPr>
              <w:t> </w:t>
            </w:r>
            <w:r>
              <w:rPr>
                <w:sz w:val="14"/>
              </w:rPr>
              <w:t>casual</w:t>
            </w:r>
            <w:r>
              <w:rPr>
                <w:spacing w:val="34"/>
                <w:sz w:val="14"/>
              </w:rPr>
              <w:t> </w:t>
            </w:r>
            <w:r>
              <w:rPr>
                <w:sz w:val="14"/>
              </w:rPr>
              <w:t>hour</w:t>
            </w:r>
            <w:r>
              <w:rPr>
                <w:spacing w:val="-1"/>
                <w:sz w:val="14"/>
              </w:rPr>
              <w:t> </w:t>
            </w:r>
            <w:r>
              <w:rPr>
                <w:sz w:val="14"/>
              </w:rPr>
              <w:t>rate</w:t>
            </w:r>
            <w:r>
              <w:rPr>
                <w:spacing w:val="-3"/>
                <w:sz w:val="14"/>
              </w:rPr>
              <w:t> </w:t>
            </w:r>
            <w:r>
              <w:rPr>
                <w:sz w:val="14"/>
              </w:rPr>
              <w:t>-</w:t>
            </w:r>
            <w:r>
              <w:rPr>
                <w:spacing w:val="-2"/>
                <w:sz w:val="14"/>
              </w:rPr>
              <w:t> </w:t>
            </w:r>
            <w:r>
              <w:rPr>
                <w:sz w:val="14"/>
              </w:rPr>
              <w:t>Jul</w:t>
            </w:r>
            <w:r>
              <w:rPr>
                <w:spacing w:val="-3"/>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3"/>
                <w:sz w:val="14"/>
              </w:rPr>
              <w:t> </w:t>
            </w:r>
            <w:r>
              <w:rPr>
                <w:sz w:val="14"/>
              </w:rPr>
              <w:t>casual</w:t>
            </w:r>
            <w:r>
              <w:rPr>
                <w:spacing w:val="35"/>
                <w:sz w:val="14"/>
              </w:rPr>
              <w:t> </w:t>
            </w:r>
            <w:r>
              <w:rPr>
                <w:sz w:val="14"/>
              </w:rPr>
              <w:t>hour</w:t>
            </w:r>
            <w:r>
              <w:rPr>
                <w:spacing w:val="-2"/>
                <w:sz w:val="14"/>
              </w:rPr>
              <w:t> </w:t>
            </w:r>
            <w:r>
              <w:rPr>
                <w:sz w:val="14"/>
              </w:rPr>
              <w:t>rate</w:t>
            </w:r>
            <w:r>
              <w:rPr>
                <w:spacing w:val="-3"/>
                <w:sz w:val="14"/>
              </w:rPr>
              <w:t> </w:t>
            </w:r>
            <w:r>
              <w:rPr>
                <w:sz w:val="14"/>
              </w:rPr>
              <w:t>-</w:t>
            </w:r>
            <w:r>
              <w:rPr>
                <w:spacing w:val="-1"/>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4"/>
                <w:sz w:val="14"/>
              </w:rPr>
              <w:t> </w:t>
            </w:r>
            <w:r>
              <w:rPr>
                <w:sz w:val="14"/>
              </w:rPr>
              <w:t>Not</w:t>
            </w:r>
            <w:r>
              <w:rPr>
                <w:spacing w:val="-1"/>
                <w:sz w:val="14"/>
              </w:rPr>
              <w:t> </w:t>
            </w:r>
            <w:r>
              <w:rPr>
                <w:sz w:val="14"/>
              </w:rPr>
              <w:t>For</w:t>
            </w:r>
            <w:r>
              <w:rPr>
                <w:spacing w:val="-5"/>
                <w:sz w:val="14"/>
              </w:rPr>
              <w:t> </w:t>
            </w:r>
            <w:r>
              <w:rPr>
                <w:sz w:val="14"/>
              </w:rPr>
              <w:t>Profit</w:t>
            </w:r>
            <w:r>
              <w:rPr>
                <w:spacing w:val="-2"/>
                <w:sz w:val="14"/>
              </w:rPr>
              <w:t> </w:t>
            </w:r>
            <w:r>
              <w:rPr>
                <w:sz w:val="14"/>
              </w:rPr>
              <w:t>regular</w:t>
            </w:r>
            <w:r>
              <w:rPr>
                <w:spacing w:val="-5"/>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Jul</w:t>
            </w:r>
            <w:r>
              <w:rPr>
                <w:spacing w:val="-3"/>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3"/>
                <w:sz w:val="14"/>
              </w:rPr>
              <w:t> </w:t>
            </w:r>
            <w:r>
              <w:rPr>
                <w:sz w:val="14"/>
              </w:rPr>
              <w:t>Not</w:t>
            </w:r>
            <w:r>
              <w:rPr>
                <w:spacing w:val="-1"/>
                <w:sz w:val="14"/>
              </w:rPr>
              <w:t> </w:t>
            </w:r>
            <w:r>
              <w:rPr>
                <w:sz w:val="14"/>
              </w:rPr>
              <w:t>For</w:t>
            </w:r>
            <w:r>
              <w:rPr>
                <w:spacing w:val="-5"/>
                <w:sz w:val="14"/>
              </w:rPr>
              <w:t> </w:t>
            </w:r>
            <w:r>
              <w:rPr>
                <w:sz w:val="14"/>
              </w:rPr>
              <w:t>Profit</w:t>
            </w:r>
            <w:r>
              <w:rPr>
                <w:spacing w:val="-1"/>
                <w:sz w:val="14"/>
              </w:rPr>
              <w:t> </w:t>
            </w:r>
            <w:r>
              <w:rPr>
                <w:sz w:val="14"/>
              </w:rPr>
              <w:t>regular</w:t>
            </w:r>
            <w:r>
              <w:rPr>
                <w:spacing w:val="-4"/>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3"/>
                <w:sz w:val="14"/>
              </w:rPr>
              <w:t> </w:t>
            </w:r>
            <w:r>
              <w:rPr>
                <w:sz w:val="14"/>
              </w:rPr>
              <w:t>Creek</w:t>
            </w:r>
            <w:r>
              <w:rPr>
                <w:spacing w:val="-2"/>
                <w:sz w:val="14"/>
              </w:rPr>
              <w:t> </w:t>
            </w:r>
            <w:r>
              <w:rPr>
                <w:sz w:val="14"/>
              </w:rPr>
              <w:t>Hall</w:t>
            </w:r>
            <w:r>
              <w:rPr>
                <w:spacing w:val="-3"/>
                <w:sz w:val="14"/>
              </w:rPr>
              <w:t> </w:t>
            </w:r>
            <w:r>
              <w:rPr>
                <w:sz w:val="14"/>
              </w:rPr>
              <w:t>Not</w:t>
            </w:r>
            <w:r>
              <w:rPr>
                <w:spacing w:val="-1"/>
                <w:sz w:val="14"/>
              </w:rPr>
              <w:t> </w:t>
            </w:r>
            <w:r>
              <w:rPr>
                <w:sz w:val="14"/>
              </w:rPr>
              <w:t>For</w:t>
            </w:r>
            <w:r>
              <w:rPr>
                <w:spacing w:val="-5"/>
                <w:sz w:val="14"/>
              </w:rPr>
              <w:t> </w:t>
            </w:r>
            <w:r>
              <w:rPr>
                <w:sz w:val="14"/>
              </w:rPr>
              <w:t>Profit</w:t>
            </w:r>
            <w:r>
              <w:rPr>
                <w:spacing w:val="-2"/>
                <w:sz w:val="14"/>
              </w:rPr>
              <w:t> </w:t>
            </w:r>
            <w:r>
              <w:rPr>
                <w:sz w:val="14"/>
              </w:rPr>
              <w:t>Night</w:t>
            </w:r>
            <w:r>
              <w:rPr>
                <w:spacing w:val="-1"/>
                <w:sz w:val="14"/>
              </w:rPr>
              <w:t> </w:t>
            </w:r>
            <w:r>
              <w:rPr>
                <w:sz w:val="14"/>
              </w:rPr>
              <w:t>Hire</w:t>
            </w:r>
            <w:r>
              <w:rPr>
                <w:spacing w:val="-2"/>
                <w:sz w:val="14"/>
              </w:rPr>
              <w:t> </w:t>
            </w:r>
            <w:r>
              <w:rPr>
                <w:sz w:val="14"/>
              </w:rPr>
              <w:t>-</w:t>
            </w:r>
            <w:r>
              <w:rPr>
                <w:spacing w:val="-4"/>
                <w:sz w:val="14"/>
              </w:rPr>
              <w:t> </w:t>
            </w:r>
            <w:r>
              <w:rPr>
                <w:sz w:val="14"/>
              </w:rPr>
              <w:t>Jul 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377.70</w:t>
            </w:r>
          </w:p>
        </w:tc>
        <w:tc>
          <w:tcPr>
            <w:tcW w:w="995" w:type="dxa"/>
          </w:tcPr>
          <w:p>
            <w:pPr>
              <w:pStyle w:val="TableParagraph"/>
              <w:spacing w:line="140" w:lineRule="exact" w:before="17"/>
              <w:ind w:right="102"/>
              <w:jc w:val="right"/>
              <w:rPr>
                <w:sz w:val="14"/>
              </w:rPr>
            </w:pPr>
            <w:r>
              <w:rPr>
                <w:spacing w:val="-2"/>
                <w:sz w:val="14"/>
              </w:rPr>
              <w:t>406.03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Brushy</w:t>
            </w:r>
            <w:r>
              <w:rPr>
                <w:spacing w:val="-3"/>
                <w:sz w:val="14"/>
              </w:rPr>
              <w:t> </w:t>
            </w:r>
            <w:r>
              <w:rPr>
                <w:sz w:val="14"/>
              </w:rPr>
              <w:t>Creek</w:t>
            </w:r>
            <w:r>
              <w:rPr>
                <w:spacing w:val="-1"/>
                <w:sz w:val="14"/>
              </w:rPr>
              <w:t> </w:t>
            </w:r>
            <w:r>
              <w:rPr>
                <w:sz w:val="14"/>
              </w:rPr>
              <w:t>Hall</w:t>
            </w:r>
            <w:r>
              <w:rPr>
                <w:spacing w:val="-3"/>
                <w:sz w:val="14"/>
              </w:rPr>
              <w:t> </w:t>
            </w:r>
            <w:r>
              <w:rPr>
                <w:sz w:val="14"/>
              </w:rPr>
              <w:t>Not</w:t>
            </w:r>
            <w:r>
              <w:rPr>
                <w:spacing w:val="-1"/>
                <w:sz w:val="14"/>
              </w:rPr>
              <w:t> </w:t>
            </w:r>
            <w:r>
              <w:rPr>
                <w:sz w:val="14"/>
              </w:rPr>
              <w:t>For</w:t>
            </w:r>
            <w:r>
              <w:rPr>
                <w:spacing w:val="-5"/>
                <w:sz w:val="14"/>
              </w:rPr>
              <w:t> </w:t>
            </w:r>
            <w:r>
              <w:rPr>
                <w:sz w:val="14"/>
              </w:rPr>
              <w:t>Profit</w:t>
            </w:r>
            <w:r>
              <w:rPr>
                <w:spacing w:val="-1"/>
                <w:sz w:val="14"/>
              </w:rPr>
              <w:t> </w:t>
            </w:r>
            <w:r>
              <w:rPr>
                <w:sz w:val="14"/>
              </w:rPr>
              <w:t>Night</w:t>
            </w:r>
            <w:r>
              <w:rPr>
                <w:spacing w:val="-1"/>
                <w:sz w:val="14"/>
              </w:rPr>
              <w:t> </w:t>
            </w:r>
            <w:r>
              <w:rPr>
                <w:sz w:val="14"/>
              </w:rPr>
              <w:t>Hire</w:t>
            </w:r>
            <w:r>
              <w:rPr>
                <w:spacing w:val="-2"/>
                <w:sz w:val="14"/>
              </w:rPr>
              <w:t> </w:t>
            </w:r>
            <w:r>
              <w:rPr>
                <w:sz w:val="14"/>
              </w:rPr>
              <w:t>-</w:t>
            </w:r>
            <w:r>
              <w:rPr>
                <w:spacing w:val="-5"/>
                <w:sz w:val="14"/>
              </w:rPr>
              <w:t> </w:t>
            </w:r>
            <w:r>
              <w:rPr>
                <w:sz w:val="14"/>
              </w:rPr>
              <w:t>Jan</w:t>
            </w:r>
            <w:r>
              <w:rPr>
                <w:spacing w:val="-3"/>
                <w:sz w:val="14"/>
              </w:rPr>
              <w:t> </w:t>
            </w:r>
            <w:r>
              <w:rPr>
                <w:sz w:val="14"/>
              </w:rPr>
              <w:t>to</w:t>
            </w:r>
            <w:r>
              <w:rPr>
                <w:spacing w:val="-3"/>
                <w:sz w:val="14"/>
              </w:rPr>
              <w:t> </w:t>
            </w:r>
            <w:r>
              <w:rPr>
                <w:spacing w:val="-5"/>
                <w:sz w:val="14"/>
              </w:rPr>
              <w:t>Jun</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377.70</w:t>
            </w:r>
          </w:p>
        </w:tc>
        <w:tc>
          <w:tcPr>
            <w:tcW w:w="995" w:type="dxa"/>
          </w:tcPr>
          <w:p>
            <w:pPr>
              <w:pStyle w:val="TableParagraph"/>
              <w:spacing w:line="142" w:lineRule="exact" w:before="15"/>
              <w:ind w:right="102"/>
              <w:jc w:val="right"/>
              <w:rPr>
                <w:sz w:val="14"/>
              </w:rPr>
            </w:pPr>
            <w:r>
              <w:rPr>
                <w:spacing w:val="-2"/>
                <w:sz w:val="14"/>
              </w:rPr>
              <w:t>406.03</w:t>
            </w:r>
          </w:p>
        </w:tc>
        <w:tc>
          <w:tcPr>
            <w:tcW w:w="861" w:type="dxa"/>
          </w:tcPr>
          <w:p>
            <w:pPr>
              <w:pStyle w:val="TableParagraph"/>
              <w:spacing w:line="142" w:lineRule="exact" w:before="15"/>
              <w:ind w:left="327"/>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Brushy</w:t>
            </w:r>
            <w:r>
              <w:rPr>
                <w:spacing w:val="-4"/>
                <w:sz w:val="14"/>
              </w:rPr>
              <w:t> </w:t>
            </w:r>
            <w:r>
              <w:rPr>
                <w:sz w:val="14"/>
              </w:rPr>
              <w:t>Creek</w:t>
            </w:r>
            <w:r>
              <w:rPr>
                <w:spacing w:val="-2"/>
                <w:sz w:val="14"/>
              </w:rPr>
              <w:t> </w:t>
            </w:r>
            <w:r>
              <w:rPr>
                <w:sz w:val="14"/>
              </w:rPr>
              <w:t>Hall</w:t>
            </w:r>
            <w:r>
              <w:rPr>
                <w:spacing w:val="-3"/>
                <w:sz w:val="14"/>
              </w:rPr>
              <w:t> </w:t>
            </w:r>
            <w:r>
              <w:rPr>
                <w:sz w:val="14"/>
              </w:rPr>
              <w:t>Community</w:t>
            </w:r>
            <w:r>
              <w:rPr>
                <w:spacing w:val="-2"/>
                <w:sz w:val="14"/>
              </w:rPr>
              <w:t> </w:t>
            </w:r>
            <w:r>
              <w:rPr>
                <w:sz w:val="14"/>
              </w:rPr>
              <w:t>casual</w:t>
            </w:r>
            <w:r>
              <w:rPr>
                <w:spacing w:val="36"/>
                <w:sz w:val="14"/>
              </w:rPr>
              <w:t> </w:t>
            </w:r>
            <w:r>
              <w:rPr>
                <w:sz w:val="14"/>
              </w:rPr>
              <w:t>hour</w:t>
            </w:r>
            <w:r>
              <w:rPr>
                <w:spacing w:val="-4"/>
                <w:sz w:val="14"/>
              </w:rPr>
              <w:t> </w:t>
            </w:r>
            <w:r>
              <w:rPr>
                <w:sz w:val="14"/>
              </w:rPr>
              <w:t>rate</w:t>
            </w:r>
            <w:r>
              <w:rPr>
                <w:spacing w:val="-2"/>
                <w:sz w:val="14"/>
              </w:rPr>
              <w:t> </w:t>
            </w:r>
            <w:r>
              <w:rPr>
                <w:sz w:val="14"/>
              </w:rPr>
              <w:t>-</w:t>
            </w:r>
            <w:r>
              <w:rPr>
                <w:spacing w:val="-2"/>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28.30</w:t>
            </w:r>
          </w:p>
        </w:tc>
        <w:tc>
          <w:tcPr>
            <w:tcW w:w="995" w:type="dxa"/>
          </w:tcPr>
          <w:p>
            <w:pPr>
              <w:pStyle w:val="TableParagraph"/>
              <w:spacing w:line="140" w:lineRule="exact" w:before="15"/>
              <w:ind w:right="101"/>
              <w:jc w:val="right"/>
              <w:rPr>
                <w:sz w:val="14"/>
              </w:rPr>
            </w:pPr>
            <w:r>
              <w:rPr>
                <w:spacing w:val="-2"/>
                <w:sz w:val="14"/>
              </w:rPr>
              <w:t>30.42</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4"/>
                <w:sz w:val="14"/>
              </w:rPr>
              <w:t> </w:t>
            </w:r>
            <w:r>
              <w:rPr>
                <w:sz w:val="14"/>
              </w:rPr>
              <w:t>Community</w:t>
            </w:r>
            <w:r>
              <w:rPr>
                <w:spacing w:val="-2"/>
                <w:sz w:val="14"/>
              </w:rPr>
              <w:t> </w:t>
            </w:r>
            <w:r>
              <w:rPr>
                <w:sz w:val="14"/>
              </w:rPr>
              <w:t>casual</w:t>
            </w:r>
            <w:r>
              <w:rPr>
                <w:spacing w:val="36"/>
                <w:sz w:val="14"/>
              </w:rPr>
              <w:t> </w:t>
            </w:r>
            <w:r>
              <w:rPr>
                <w:sz w:val="14"/>
              </w:rPr>
              <w:t>hour</w:t>
            </w:r>
            <w:r>
              <w:rPr>
                <w:spacing w:val="-5"/>
                <w:sz w:val="14"/>
              </w:rPr>
              <w:t> </w:t>
            </w:r>
            <w:r>
              <w:rPr>
                <w:sz w:val="14"/>
              </w:rPr>
              <w:t>rate</w:t>
            </w:r>
            <w:r>
              <w:rPr>
                <w:spacing w:val="-2"/>
                <w:sz w:val="14"/>
              </w:rPr>
              <w:t> </w:t>
            </w:r>
            <w:r>
              <w:rPr>
                <w:sz w:val="14"/>
              </w:rPr>
              <w:t>-</w:t>
            </w:r>
            <w:r>
              <w:rPr>
                <w:spacing w:val="-2"/>
                <w:sz w:val="14"/>
              </w:rPr>
              <w:t> </w:t>
            </w:r>
            <w:r>
              <w:rPr>
                <w:sz w:val="14"/>
              </w:rPr>
              <w:t>Jan</w:t>
            </w:r>
            <w:r>
              <w:rPr>
                <w:spacing w:val="-2"/>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3"/>
                <w:sz w:val="14"/>
              </w:rPr>
              <w:t> </w:t>
            </w:r>
            <w:r>
              <w:rPr>
                <w:sz w:val="14"/>
              </w:rPr>
              <w:t>Community</w:t>
            </w:r>
            <w:r>
              <w:rPr>
                <w:spacing w:val="33"/>
                <w:sz w:val="14"/>
              </w:rPr>
              <w:t> </w:t>
            </w:r>
            <w:r>
              <w:rPr>
                <w:sz w:val="14"/>
              </w:rPr>
              <w:t>regular hour</w:t>
            </w:r>
            <w:r>
              <w:rPr>
                <w:spacing w:val="-4"/>
                <w:sz w:val="14"/>
              </w:rPr>
              <w:t> </w:t>
            </w:r>
            <w:r>
              <w:rPr>
                <w:sz w:val="14"/>
              </w:rPr>
              <w:t>rate</w:t>
            </w:r>
            <w:r>
              <w:rPr>
                <w:spacing w:val="-2"/>
                <w:sz w:val="14"/>
              </w:rPr>
              <w:t> </w:t>
            </w:r>
            <w:r>
              <w:rPr>
                <w:sz w:val="14"/>
              </w:rPr>
              <w:t>-</w:t>
            </w:r>
            <w:r>
              <w:rPr>
                <w:spacing w:val="-2"/>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4"/>
                <w:sz w:val="14"/>
              </w:rPr>
              <w:t> </w:t>
            </w:r>
            <w:r>
              <w:rPr>
                <w:sz w:val="14"/>
              </w:rPr>
              <w:t>Community</w:t>
            </w:r>
            <w:r>
              <w:rPr>
                <w:spacing w:val="33"/>
                <w:sz w:val="14"/>
              </w:rPr>
              <w:t> </w:t>
            </w:r>
            <w:r>
              <w:rPr>
                <w:sz w:val="14"/>
              </w:rPr>
              <w:t>regular</w:t>
            </w:r>
            <w:r>
              <w:rPr>
                <w:spacing w:val="-1"/>
                <w:sz w:val="14"/>
              </w:rPr>
              <w:t> </w:t>
            </w:r>
            <w:r>
              <w:rPr>
                <w:sz w:val="14"/>
              </w:rPr>
              <w:t>hour</w:t>
            </w:r>
            <w:r>
              <w:rPr>
                <w:spacing w:val="-4"/>
                <w:sz w:val="14"/>
              </w:rPr>
              <w:t> </w:t>
            </w:r>
            <w:r>
              <w:rPr>
                <w:sz w:val="14"/>
              </w:rPr>
              <w:t>rate</w:t>
            </w:r>
            <w:r>
              <w:rPr>
                <w:spacing w:val="-2"/>
                <w:sz w:val="14"/>
              </w:rPr>
              <w:t> </w:t>
            </w:r>
            <w:r>
              <w:rPr>
                <w:sz w:val="14"/>
              </w:rPr>
              <w:t>-</w:t>
            </w:r>
            <w:r>
              <w:rPr>
                <w:spacing w:val="-2"/>
                <w:sz w:val="14"/>
              </w:rPr>
              <w:t> </w:t>
            </w:r>
            <w:r>
              <w:rPr>
                <w:sz w:val="14"/>
              </w:rPr>
              <w:t>Jan</w:t>
            </w:r>
            <w:r>
              <w:rPr>
                <w:spacing w:val="-2"/>
                <w:sz w:val="14"/>
              </w:rPr>
              <w:t> </w:t>
            </w:r>
            <w:r>
              <w:rPr>
                <w:sz w:val="14"/>
              </w:rPr>
              <w:t>to</w:t>
            </w:r>
            <w:r>
              <w:rPr>
                <w:spacing w:val="-3"/>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3"/>
                <w:sz w:val="14"/>
              </w:rPr>
              <w:t> </w:t>
            </w:r>
            <w:r>
              <w:rPr>
                <w:sz w:val="14"/>
              </w:rPr>
              <w:t>Community</w:t>
            </w:r>
            <w:r>
              <w:rPr>
                <w:spacing w:val="34"/>
                <w:sz w:val="14"/>
              </w:rPr>
              <w:t> </w:t>
            </w:r>
            <w:r>
              <w:rPr>
                <w:sz w:val="14"/>
              </w:rPr>
              <w:t>Night</w:t>
            </w:r>
            <w:r>
              <w:rPr>
                <w:spacing w:val="-5"/>
                <w:sz w:val="14"/>
              </w:rPr>
              <w:t> </w:t>
            </w:r>
            <w:r>
              <w:rPr>
                <w:sz w:val="14"/>
              </w:rPr>
              <w:t>Hire</w:t>
            </w:r>
            <w:r>
              <w:rPr>
                <w:spacing w:val="-2"/>
                <w:sz w:val="14"/>
              </w:rPr>
              <w:t> </w:t>
            </w:r>
            <w:r>
              <w:rPr>
                <w:sz w:val="14"/>
              </w:rPr>
              <w:t>-</w:t>
            </w:r>
            <w:r>
              <w:rPr>
                <w:spacing w:val="-4"/>
                <w:sz w:val="14"/>
              </w:rPr>
              <w:t> </w:t>
            </w:r>
            <w:r>
              <w:rPr>
                <w:sz w:val="14"/>
              </w:rPr>
              <w:t>Jul</w:t>
            </w:r>
            <w:r>
              <w:rPr>
                <w:spacing w:val="-1"/>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411.00</w:t>
            </w:r>
          </w:p>
        </w:tc>
        <w:tc>
          <w:tcPr>
            <w:tcW w:w="995" w:type="dxa"/>
          </w:tcPr>
          <w:p>
            <w:pPr>
              <w:pStyle w:val="TableParagraph"/>
              <w:spacing w:line="140" w:lineRule="exact" w:before="17"/>
              <w:ind w:right="102"/>
              <w:jc w:val="right"/>
              <w:rPr>
                <w:sz w:val="14"/>
              </w:rPr>
            </w:pPr>
            <w:r>
              <w:rPr>
                <w:spacing w:val="-2"/>
                <w:sz w:val="14"/>
              </w:rPr>
              <w:t>441.83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3"/>
                <w:sz w:val="14"/>
              </w:rPr>
              <w:t> </w:t>
            </w:r>
            <w:r>
              <w:rPr>
                <w:sz w:val="14"/>
              </w:rPr>
              <w:t>Creek</w:t>
            </w:r>
            <w:r>
              <w:rPr>
                <w:spacing w:val="-1"/>
                <w:sz w:val="14"/>
              </w:rPr>
              <w:t> </w:t>
            </w:r>
            <w:r>
              <w:rPr>
                <w:sz w:val="14"/>
              </w:rPr>
              <w:t>Hall</w:t>
            </w:r>
            <w:r>
              <w:rPr>
                <w:spacing w:val="-3"/>
                <w:sz w:val="14"/>
              </w:rPr>
              <w:t> </w:t>
            </w:r>
            <w:r>
              <w:rPr>
                <w:sz w:val="14"/>
              </w:rPr>
              <w:t>Community</w:t>
            </w:r>
            <w:r>
              <w:rPr>
                <w:spacing w:val="35"/>
                <w:sz w:val="14"/>
              </w:rPr>
              <w:t> </w:t>
            </w:r>
            <w:r>
              <w:rPr>
                <w:sz w:val="14"/>
              </w:rPr>
              <w:t>Night</w:t>
            </w:r>
            <w:r>
              <w:rPr>
                <w:spacing w:val="-4"/>
                <w:sz w:val="14"/>
              </w:rPr>
              <w:t> </w:t>
            </w:r>
            <w:r>
              <w:rPr>
                <w:sz w:val="14"/>
              </w:rPr>
              <w:t>Hire</w:t>
            </w:r>
            <w:r>
              <w:rPr>
                <w:spacing w:val="35"/>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411.00</w:t>
            </w:r>
          </w:p>
        </w:tc>
        <w:tc>
          <w:tcPr>
            <w:tcW w:w="995" w:type="dxa"/>
          </w:tcPr>
          <w:p>
            <w:pPr>
              <w:pStyle w:val="TableParagraph"/>
              <w:spacing w:line="140" w:lineRule="exact" w:before="17"/>
              <w:ind w:right="102"/>
              <w:jc w:val="right"/>
              <w:rPr>
                <w:sz w:val="14"/>
              </w:rPr>
            </w:pPr>
            <w:r>
              <w:rPr>
                <w:spacing w:val="-2"/>
                <w:sz w:val="14"/>
              </w:rPr>
              <w:t>441.83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4"/>
                <w:sz w:val="14"/>
              </w:rPr>
              <w:t> </w:t>
            </w:r>
            <w:r>
              <w:rPr>
                <w:sz w:val="14"/>
              </w:rPr>
              <w:t>Corporate</w:t>
            </w:r>
            <w:r>
              <w:rPr>
                <w:spacing w:val="-4"/>
                <w:sz w:val="14"/>
              </w:rPr>
              <w:t> </w:t>
            </w:r>
            <w:r>
              <w:rPr>
                <w:sz w:val="14"/>
              </w:rPr>
              <w:t>casual</w:t>
            </w:r>
            <w:r>
              <w:rPr>
                <w:spacing w:val="33"/>
                <w:sz w:val="14"/>
              </w:rPr>
              <w:t> </w:t>
            </w:r>
            <w:r>
              <w:rPr>
                <w:sz w:val="14"/>
              </w:rPr>
              <w:t>hour</w:t>
            </w:r>
            <w:r>
              <w:rPr>
                <w:spacing w:val="-2"/>
                <w:sz w:val="14"/>
              </w:rPr>
              <w:t> </w:t>
            </w:r>
            <w:r>
              <w:rPr>
                <w:sz w:val="14"/>
              </w:rPr>
              <w:t>rate</w:t>
            </w:r>
            <w:r>
              <w:rPr>
                <w:spacing w:val="-1"/>
                <w:sz w:val="14"/>
              </w:rPr>
              <w:t> </w:t>
            </w:r>
            <w:r>
              <w:rPr>
                <w:sz w:val="14"/>
              </w:rPr>
              <w:t>-</w:t>
            </w:r>
            <w:r>
              <w:rPr>
                <w:spacing w:val="-5"/>
                <w:sz w:val="14"/>
              </w:rPr>
              <w:t> </w:t>
            </w:r>
            <w:r>
              <w:rPr>
                <w:sz w:val="14"/>
              </w:rPr>
              <w:t>Jul</w:t>
            </w:r>
            <w:r>
              <w:rPr>
                <w:spacing w:val="-3"/>
                <w:sz w:val="14"/>
              </w:rPr>
              <w:t> </w:t>
            </w:r>
            <w:r>
              <w:rPr>
                <w:sz w:val="14"/>
              </w:rPr>
              <w:t>-</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1"/>
                <w:sz w:val="14"/>
              </w:rPr>
              <w:t> </w:t>
            </w:r>
            <w:r>
              <w:rPr>
                <w:sz w:val="14"/>
              </w:rPr>
              <w:t>Hall</w:t>
            </w:r>
            <w:r>
              <w:rPr>
                <w:spacing w:val="-4"/>
                <w:sz w:val="14"/>
              </w:rPr>
              <w:t> </w:t>
            </w:r>
            <w:r>
              <w:rPr>
                <w:sz w:val="14"/>
              </w:rPr>
              <w:t>Corporate</w:t>
            </w:r>
            <w:r>
              <w:rPr>
                <w:spacing w:val="-4"/>
                <w:sz w:val="14"/>
              </w:rPr>
              <w:t> </w:t>
            </w:r>
            <w:r>
              <w:rPr>
                <w:sz w:val="14"/>
              </w:rPr>
              <w:t>casual</w:t>
            </w:r>
            <w:r>
              <w:rPr>
                <w:spacing w:val="32"/>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4"/>
                <w:sz w:val="14"/>
              </w:rPr>
              <w:t> </w:t>
            </w:r>
            <w:r>
              <w:rPr>
                <w:sz w:val="14"/>
              </w:rPr>
              <w:t>Corporate</w:t>
            </w:r>
            <w:r>
              <w:rPr>
                <w:spacing w:val="34"/>
                <w:sz w:val="14"/>
              </w:rPr>
              <w:t> </w:t>
            </w:r>
            <w:r>
              <w:rPr>
                <w:sz w:val="14"/>
              </w:rPr>
              <w:t>regular</w:t>
            </w:r>
            <w:r>
              <w:rPr>
                <w:spacing w:val="-5"/>
                <w:sz w:val="14"/>
              </w:rPr>
              <w:t> </w:t>
            </w:r>
            <w:r>
              <w:rPr>
                <w:sz w:val="14"/>
              </w:rPr>
              <w:t>hour</w:t>
            </w:r>
            <w:r>
              <w:rPr>
                <w:spacing w:val="-2"/>
                <w:sz w:val="14"/>
              </w:rPr>
              <w:t> </w:t>
            </w:r>
            <w:r>
              <w:rPr>
                <w:sz w:val="14"/>
              </w:rPr>
              <w:t>rate</w:t>
            </w:r>
            <w:r>
              <w:rPr>
                <w:spacing w:val="-1"/>
                <w:sz w:val="14"/>
              </w:rPr>
              <w:t> </w:t>
            </w:r>
            <w:r>
              <w:rPr>
                <w:sz w:val="14"/>
              </w:rPr>
              <w:t>-</w:t>
            </w:r>
            <w:r>
              <w:rPr>
                <w:spacing w:val="-5"/>
                <w:sz w:val="14"/>
              </w:rPr>
              <w:t> </w:t>
            </w:r>
            <w:r>
              <w:rPr>
                <w:sz w:val="14"/>
              </w:rPr>
              <w:t>Jul</w:t>
            </w:r>
            <w:r>
              <w:rPr>
                <w:spacing w:val="-4"/>
                <w:sz w:val="14"/>
              </w:rPr>
              <w:t> </w:t>
            </w:r>
            <w:r>
              <w:rPr>
                <w:sz w:val="14"/>
              </w:rPr>
              <w:t>to</w:t>
            </w:r>
            <w:r>
              <w:rPr>
                <w:spacing w:val="-1"/>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4"/>
                <w:sz w:val="14"/>
              </w:rPr>
              <w:t> </w:t>
            </w:r>
            <w:r>
              <w:rPr>
                <w:sz w:val="14"/>
              </w:rPr>
              <w:t>Creek</w:t>
            </w:r>
            <w:r>
              <w:rPr>
                <w:spacing w:val="-2"/>
                <w:sz w:val="14"/>
              </w:rPr>
              <w:t> </w:t>
            </w:r>
            <w:r>
              <w:rPr>
                <w:sz w:val="14"/>
              </w:rPr>
              <w:t>Hall</w:t>
            </w:r>
            <w:r>
              <w:rPr>
                <w:spacing w:val="-3"/>
                <w:sz w:val="14"/>
              </w:rPr>
              <w:t> </w:t>
            </w:r>
            <w:r>
              <w:rPr>
                <w:sz w:val="14"/>
              </w:rPr>
              <w:t>Corporate</w:t>
            </w:r>
            <w:r>
              <w:rPr>
                <w:spacing w:val="34"/>
                <w:sz w:val="14"/>
              </w:rPr>
              <w:t> </w:t>
            </w:r>
            <w:r>
              <w:rPr>
                <w:sz w:val="14"/>
              </w:rPr>
              <w:t>regular</w:t>
            </w:r>
            <w:r>
              <w:rPr>
                <w:spacing w:val="-5"/>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2"/>
                <w:sz w:val="14"/>
              </w:rPr>
              <w:t> </w:t>
            </w:r>
            <w:r>
              <w:rPr>
                <w:sz w:val="14"/>
              </w:rPr>
              <w:t>-</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Brushy</w:t>
            </w:r>
            <w:r>
              <w:rPr>
                <w:spacing w:val="-3"/>
                <w:sz w:val="14"/>
              </w:rPr>
              <w:t> </w:t>
            </w:r>
            <w:r>
              <w:rPr>
                <w:sz w:val="14"/>
              </w:rPr>
              <w:t>Creek</w:t>
            </w:r>
            <w:r>
              <w:rPr>
                <w:spacing w:val="-1"/>
                <w:sz w:val="14"/>
              </w:rPr>
              <w:t> </w:t>
            </w:r>
            <w:r>
              <w:rPr>
                <w:sz w:val="14"/>
              </w:rPr>
              <w:t>Hall</w:t>
            </w:r>
            <w:r>
              <w:rPr>
                <w:spacing w:val="-3"/>
                <w:sz w:val="14"/>
              </w:rPr>
              <w:t> </w:t>
            </w:r>
            <w:r>
              <w:rPr>
                <w:sz w:val="14"/>
              </w:rPr>
              <w:t>Corporate</w:t>
            </w:r>
            <w:r>
              <w:rPr>
                <w:spacing w:val="31"/>
                <w:sz w:val="14"/>
              </w:rPr>
              <w:t> </w:t>
            </w:r>
            <w:r>
              <w:rPr>
                <w:sz w:val="14"/>
              </w:rPr>
              <w:t>Night</w:t>
            </w:r>
            <w:r>
              <w:rPr>
                <w:spacing w:val="-1"/>
                <w:sz w:val="14"/>
              </w:rPr>
              <w:t> </w:t>
            </w:r>
            <w:r>
              <w:rPr>
                <w:sz w:val="14"/>
              </w:rPr>
              <w:t>Hire</w:t>
            </w:r>
            <w:r>
              <w:rPr>
                <w:spacing w:val="-3"/>
                <w:sz w:val="14"/>
              </w:rPr>
              <w:t> </w:t>
            </w:r>
            <w:r>
              <w:rPr>
                <w:sz w:val="14"/>
              </w:rPr>
              <w:t>-</w:t>
            </w:r>
            <w:r>
              <w:rPr>
                <w:spacing w:val="-4"/>
                <w:sz w:val="14"/>
              </w:rPr>
              <w:t> </w:t>
            </w:r>
            <w:r>
              <w:rPr>
                <w:sz w:val="14"/>
              </w:rPr>
              <w:t>Jul</w:t>
            </w:r>
            <w:r>
              <w:rPr>
                <w:spacing w:val="-3"/>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444.00</w:t>
            </w:r>
          </w:p>
        </w:tc>
        <w:tc>
          <w:tcPr>
            <w:tcW w:w="995" w:type="dxa"/>
          </w:tcPr>
          <w:p>
            <w:pPr>
              <w:pStyle w:val="TableParagraph"/>
              <w:spacing w:line="140" w:lineRule="exact" w:before="17"/>
              <w:ind w:right="102"/>
              <w:jc w:val="right"/>
              <w:rPr>
                <w:sz w:val="14"/>
              </w:rPr>
            </w:pPr>
            <w:r>
              <w:rPr>
                <w:spacing w:val="-2"/>
                <w:sz w:val="14"/>
              </w:rPr>
              <w:t>477.30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Brushy</w:t>
            </w:r>
            <w:r>
              <w:rPr>
                <w:spacing w:val="-4"/>
                <w:sz w:val="14"/>
              </w:rPr>
              <w:t> </w:t>
            </w:r>
            <w:r>
              <w:rPr>
                <w:sz w:val="14"/>
              </w:rPr>
              <w:t>Creek</w:t>
            </w:r>
            <w:r>
              <w:rPr>
                <w:spacing w:val="-1"/>
                <w:sz w:val="14"/>
              </w:rPr>
              <w:t> </w:t>
            </w:r>
            <w:r>
              <w:rPr>
                <w:sz w:val="14"/>
              </w:rPr>
              <w:t>Hall</w:t>
            </w:r>
            <w:r>
              <w:rPr>
                <w:spacing w:val="-3"/>
                <w:sz w:val="14"/>
              </w:rPr>
              <w:t> </w:t>
            </w:r>
            <w:r>
              <w:rPr>
                <w:sz w:val="14"/>
              </w:rPr>
              <w:t>Corporate</w:t>
            </w:r>
            <w:r>
              <w:rPr>
                <w:spacing w:val="30"/>
                <w:sz w:val="14"/>
              </w:rPr>
              <w:t> </w:t>
            </w:r>
            <w:r>
              <w:rPr>
                <w:sz w:val="14"/>
              </w:rPr>
              <w:t>Night</w:t>
            </w:r>
            <w:r>
              <w:rPr>
                <w:spacing w:val="-1"/>
                <w:sz w:val="14"/>
              </w:rPr>
              <w:t> </w:t>
            </w:r>
            <w:r>
              <w:rPr>
                <w:sz w:val="14"/>
              </w:rPr>
              <w:t>Hire</w:t>
            </w:r>
            <w:r>
              <w:rPr>
                <w:spacing w:val="-4"/>
                <w:sz w:val="14"/>
              </w:rPr>
              <w:t> </w:t>
            </w:r>
            <w:r>
              <w:rPr>
                <w:sz w:val="14"/>
              </w:rPr>
              <w:t>-</w:t>
            </w:r>
            <w:r>
              <w:rPr>
                <w:spacing w:val="-4"/>
                <w:sz w:val="14"/>
              </w:rPr>
              <w:t> </w:t>
            </w:r>
            <w:r>
              <w:rPr>
                <w:sz w:val="14"/>
              </w:rPr>
              <w:t>Jan</w:t>
            </w:r>
            <w:r>
              <w:rPr>
                <w:spacing w:val="-2"/>
                <w:sz w:val="14"/>
              </w:rPr>
              <w:t> </w:t>
            </w:r>
            <w:r>
              <w:rPr>
                <w:sz w:val="14"/>
              </w:rPr>
              <w:t>to</w:t>
            </w:r>
            <w:r>
              <w:rPr>
                <w:spacing w:val="-1"/>
                <w:sz w:val="14"/>
              </w:rPr>
              <w:t> </w:t>
            </w:r>
            <w:r>
              <w:rPr>
                <w:spacing w:val="-5"/>
                <w:sz w:val="14"/>
              </w:rPr>
              <w:t>Jun</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444.00</w:t>
            </w:r>
          </w:p>
        </w:tc>
        <w:tc>
          <w:tcPr>
            <w:tcW w:w="995" w:type="dxa"/>
          </w:tcPr>
          <w:p>
            <w:pPr>
              <w:pStyle w:val="TableParagraph"/>
              <w:spacing w:line="142" w:lineRule="exact" w:before="15"/>
              <w:ind w:right="102"/>
              <w:jc w:val="right"/>
              <w:rPr>
                <w:sz w:val="14"/>
              </w:rPr>
            </w:pPr>
            <w:r>
              <w:rPr>
                <w:spacing w:val="-2"/>
                <w:sz w:val="14"/>
              </w:rPr>
              <w:t>477.30</w:t>
            </w:r>
          </w:p>
        </w:tc>
        <w:tc>
          <w:tcPr>
            <w:tcW w:w="861" w:type="dxa"/>
          </w:tcPr>
          <w:p>
            <w:pPr>
              <w:pStyle w:val="TableParagraph"/>
              <w:spacing w:line="142" w:lineRule="exact" w:before="15"/>
              <w:ind w:left="327"/>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Casual</w:t>
            </w:r>
            <w:r>
              <w:rPr>
                <w:spacing w:val="-4"/>
                <w:sz w:val="14"/>
              </w:rPr>
              <w:t> </w:t>
            </w:r>
            <w:r>
              <w:rPr>
                <w:sz w:val="14"/>
              </w:rPr>
              <w:t>Cleaner</w:t>
            </w:r>
            <w:r>
              <w:rPr>
                <w:spacing w:val="-2"/>
                <w:sz w:val="14"/>
              </w:rPr>
              <w:t> </w:t>
            </w:r>
            <w:r>
              <w:rPr>
                <w:sz w:val="14"/>
              </w:rPr>
              <w:t>3</w:t>
            </w:r>
            <w:r>
              <w:rPr>
                <w:spacing w:val="-6"/>
                <w:sz w:val="14"/>
              </w:rPr>
              <w:t> </w:t>
            </w:r>
            <w:r>
              <w:rPr>
                <w:spacing w:val="-2"/>
                <w:sz w:val="14"/>
              </w:rPr>
              <w:t>hours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120.00</w:t>
            </w:r>
          </w:p>
        </w:tc>
        <w:tc>
          <w:tcPr>
            <w:tcW w:w="995" w:type="dxa"/>
          </w:tcPr>
          <w:p>
            <w:pPr>
              <w:pStyle w:val="TableParagraph"/>
              <w:spacing w:line="140" w:lineRule="exact" w:before="15"/>
              <w:ind w:right="102"/>
              <w:jc w:val="right"/>
              <w:rPr>
                <w:sz w:val="14"/>
              </w:rPr>
            </w:pPr>
            <w:r>
              <w:rPr>
                <w:spacing w:val="-2"/>
                <w:sz w:val="14"/>
              </w:rPr>
              <w:t>129.00</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7"/>
                <w:sz w:val="14"/>
              </w:rPr>
              <w:t> </w:t>
            </w:r>
            <w:r>
              <w:rPr>
                <w:b/>
                <w:sz w:val="14"/>
              </w:rPr>
              <w:t>Swim</w:t>
            </w:r>
            <w:r>
              <w:rPr>
                <w:b/>
                <w:spacing w:val="-5"/>
                <w:sz w:val="14"/>
              </w:rPr>
              <w:t> </w:t>
            </w:r>
            <w:r>
              <w:rPr>
                <w:b/>
                <w:spacing w:val="-4"/>
                <w:sz w:val="14"/>
              </w:rPr>
              <w:t>Club</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Croydon</w:t>
            </w:r>
            <w:r>
              <w:rPr>
                <w:spacing w:val="-5"/>
                <w:sz w:val="14"/>
              </w:rPr>
              <w:t> </w:t>
            </w:r>
            <w:r>
              <w:rPr>
                <w:sz w:val="14"/>
              </w:rPr>
              <w:t>Swimming</w:t>
            </w:r>
            <w:r>
              <w:rPr>
                <w:spacing w:val="-4"/>
                <w:sz w:val="14"/>
              </w:rPr>
              <w:t> </w:t>
            </w:r>
            <w:r>
              <w:rPr>
                <w:sz w:val="14"/>
              </w:rPr>
              <w:t>Club</w:t>
            </w:r>
            <w:r>
              <w:rPr>
                <w:spacing w:val="-4"/>
                <w:sz w:val="14"/>
              </w:rPr>
              <w:t> </w:t>
            </w:r>
            <w:r>
              <w:rPr>
                <w:sz w:val="14"/>
              </w:rPr>
              <w:t>Not</w:t>
            </w:r>
            <w:r>
              <w:rPr>
                <w:spacing w:val="-1"/>
                <w:sz w:val="14"/>
              </w:rPr>
              <w:t> </w:t>
            </w:r>
            <w:r>
              <w:rPr>
                <w:sz w:val="14"/>
              </w:rPr>
              <w:t>For</w:t>
            </w:r>
            <w:r>
              <w:rPr>
                <w:spacing w:val="-3"/>
                <w:sz w:val="14"/>
              </w:rPr>
              <w:t> </w:t>
            </w:r>
            <w:r>
              <w:rPr>
                <w:sz w:val="14"/>
              </w:rPr>
              <w:t>Profit</w:t>
            </w:r>
            <w:r>
              <w:rPr>
                <w:spacing w:val="-1"/>
                <w:sz w:val="14"/>
              </w:rPr>
              <w:t> </w:t>
            </w:r>
            <w:r>
              <w:rPr>
                <w:sz w:val="14"/>
              </w:rPr>
              <w:t>casual</w:t>
            </w:r>
            <w:r>
              <w:rPr>
                <w:spacing w:val="33"/>
                <w:sz w:val="14"/>
              </w:rPr>
              <w:t> </w:t>
            </w:r>
            <w:r>
              <w:rPr>
                <w:sz w:val="14"/>
              </w:rPr>
              <w:t>hour</w:t>
            </w:r>
            <w:r>
              <w:rPr>
                <w:spacing w:val="-5"/>
                <w:sz w:val="14"/>
              </w:rPr>
              <w:t> </w:t>
            </w:r>
            <w:r>
              <w:rPr>
                <w:sz w:val="14"/>
              </w:rPr>
              <w:t>rate</w:t>
            </w:r>
            <w:r>
              <w:rPr>
                <w:spacing w:val="-3"/>
                <w:sz w:val="14"/>
              </w:rPr>
              <w:t> </w:t>
            </w:r>
            <w:r>
              <w:rPr>
                <w:sz w:val="14"/>
              </w:rPr>
              <w:t>-</w:t>
            </w:r>
            <w:r>
              <w:rPr>
                <w:spacing w:val="-1"/>
                <w:sz w:val="14"/>
              </w:rPr>
              <w:t> </w:t>
            </w:r>
            <w:r>
              <w:rPr>
                <w:sz w:val="14"/>
              </w:rPr>
              <w:t>Jul</w:t>
            </w:r>
            <w:r>
              <w:rPr>
                <w:spacing w:val="-2"/>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Not</w:t>
            </w:r>
            <w:r>
              <w:rPr>
                <w:spacing w:val="-1"/>
                <w:sz w:val="14"/>
              </w:rPr>
              <w:t> </w:t>
            </w:r>
            <w:r>
              <w:rPr>
                <w:sz w:val="14"/>
              </w:rPr>
              <w:t>For</w:t>
            </w:r>
            <w:r>
              <w:rPr>
                <w:spacing w:val="-3"/>
                <w:sz w:val="14"/>
              </w:rPr>
              <w:t> </w:t>
            </w:r>
            <w:r>
              <w:rPr>
                <w:sz w:val="14"/>
              </w:rPr>
              <w:t>Profit</w:t>
            </w:r>
            <w:r>
              <w:rPr>
                <w:spacing w:val="-1"/>
                <w:sz w:val="14"/>
              </w:rPr>
              <w:t> </w:t>
            </w:r>
            <w:r>
              <w:rPr>
                <w:sz w:val="14"/>
              </w:rPr>
              <w:t>casual</w:t>
            </w:r>
            <w:r>
              <w:rPr>
                <w:spacing w:val="32"/>
                <w:sz w:val="14"/>
              </w:rPr>
              <w:t> </w:t>
            </w:r>
            <w:r>
              <w:rPr>
                <w:sz w:val="14"/>
              </w:rPr>
              <w:t>hour</w:t>
            </w:r>
            <w:r>
              <w:rPr>
                <w:spacing w:val="-5"/>
                <w:sz w:val="14"/>
              </w:rPr>
              <w:t> </w:t>
            </w:r>
            <w:r>
              <w:rPr>
                <w:sz w:val="14"/>
              </w:rPr>
              <w:t>rate</w:t>
            </w:r>
            <w:r>
              <w:rPr>
                <w:spacing w:val="-3"/>
                <w:sz w:val="14"/>
              </w:rPr>
              <w:t> </w:t>
            </w:r>
            <w:r>
              <w:rPr>
                <w:sz w:val="14"/>
              </w:rPr>
              <w:t>-</w:t>
            </w:r>
            <w:r>
              <w:rPr>
                <w:spacing w:val="-1"/>
                <w:sz w:val="14"/>
              </w:rPr>
              <w:t> </w:t>
            </w:r>
            <w:r>
              <w:rPr>
                <w:sz w:val="14"/>
              </w:rPr>
              <w:t>Jan</w:t>
            </w:r>
            <w:r>
              <w:rPr>
                <w:spacing w:val="-2"/>
                <w:sz w:val="14"/>
              </w:rPr>
              <w:t> </w:t>
            </w:r>
            <w:r>
              <w:rPr>
                <w:sz w:val="14"/>
              </w:rPr>
              <w:t>to</w:t>
            </w:r>
            <w:r>
              <w:rPr>
                <w:spacing w:val="-1"/>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Not</w:t>
            </w:r>
            <w:r>
              <w:rPr>
                <w:spacing w:val="-1"/>
                <w:sz w:val="14"/>
              </w:rPr>
              <w:t> </w:t>
            </w:r>
            <w:r>
              <w:rPr>
                <w:sz w:val="14"/>
              </w:rPr>
              <w:t>For</w:t>
            </w:r>
            <w:r>
              <w:rPr>
                <w:spacing w:val="-3"/>
                <w:sz w:val="14"/>
              </w:rPr>
              <w:t> </w:t>
            </w:r>
            <w:r>
              <w:rPr>
                <w:sz w:val="14"/>
              </w:rPr>
              <w:t>Profit</w:t>
            </w:r>
            <w:r>
              <w:rPr>
                <w:spacing w:val="-2"/>
                <w:sz w:val="14"/>
              </w:rPr>
              <w:t> </w:t>
            </w:r>
            <w:r>
              <w:rPr>
                <w:sz w:val="14"/>
              </w:rPr>
              <w:t>regular</w:t>
            </w:r>
            <w:r>
              <w:rPr>
                <w:spacing w:val="-4"/>
                <w:sz w:val="14"/>
              </w:rPr>
              <w:t> </w:t>
            </w:r>
            <w:r>
              <w:rPr>
                <w:sz w:val="14"/>
              </w:rPr>
              <w:t>hour</w:t>
            </w:r>
            <w:r>
              <w:rPr>
                <w:spacing w:val="-4"/>
                <w:sz w:val="14"/>
              </w:rPr>
              <w:t> </w:t>
            </w:r>
            <w:r>
              <w:rPr>
                <w:sz w:val="14"/>
              </w:rPr>
              <w:t>rate</w:t>
            </w:r>
            <w:r>
              <w:rPr>
                <w:spacing w:val="-1"/>
                <w:sz w:val="14"/>
              </w:rPr>
              <w:t> </w:t>
            </w:r>
            <w:r>
              <w:rPr>
                <w:sz w:val="14"/>
              </w:rPr>
              <w:t>-</w:t>
            </w:r>
            <w:r>
              <w:rPr>
                <w:spacing w:val="-4"/>
                <w:sz w:val="14"/>
              </w:rPr>
              <w:t> </w:t>
            </w:r>
            <w:r>
              <w:rPr>
                <w:sz w:val="14"/>
              </w:rPr>
              <w:t>Jul</w:t>
            </w:r>
            <w:r>
              <w:rPr>
                <w:spacing w:val="-4"/>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Not</w:t>
            </w:r>
            <w:r>
              <w:rPr>
                <w:spacing w:val="-2"/>
                <w:sz w:val="14"/>
              </w:rPr>
              <w:t> </w:t>
            </w:r>
            <w:r>
              <w:rPr>
                <w:sz w:val="14"/>
              </w:rPr>
              <w:t>For</w:t>
            </w:r>
            <w:r>
              <w:rPr>
                <w:spacing w:val="-3"/>
                <w:sz w:val="14"/>
              </w:rPr>
              <w:t> </w:t>
            </w:r>
            <w:r>
              <w:rPr>
                <w:sz w:val="14"/>
              </w:rPr>
              <w:t>Profit</w:t>
            </w:r>
            <w:r>
              <w:rPr>
                <w:spacing w:val="-1"/>
                <w:sz w:val="14"/>
              </w:rPr>
              <w:t> </w:t>
            </w:r>
            <w:r>
              <w:rPr>
                <w:sz w:val="14"/>
              </w:rPr>
              <w:t>regular</w:t>
            </w:r>
            <w:r>
              <w:rPr>
                <w:spacing w:val="-5"/>
                <w:sz w:val="14"/>
              </w:rPr>
              <w:t> </w:t>
            </w:r>
            <w:r>
              <w:rPr>
                <w:sz w:val="14"/>
              </w:rPr>
              <w:t>hour</w:t>
            </w:r>
            <w:r>
              <w:rPr>
                <w:spacing w:val="-4"/>
                <w:sz w:val="14"/>
              </w:rPr>
              <w:t> </w:t>
            </w:r>
            <w:r>
              <w:rPr>
                <w:sz w:val="14"/>
              </w:rPr>
              <w:t>rate</w:t>
            </w:r>
            <w:r>
              <w:rPr>
                <w:spacing w:val="-1"/>
                <w:sz w:val="14"/>
              </w:rPr>
              <w:t> </w:t>
            </w:r>
            <w:r>
              <w:rPr>
                <w:sz w:val="14"/>
              </w:rPr>
              <w:t>-</w:t>
            </w:r>
            <w:r>
              <w:rPr>
                <w:spacing w:val="-5"/>
                <w:sz w:val="14"/>
              </w:rPr>
              <w:t> </w:t>
            </w:r>
            <w:r>
              <w:rPr>
                <w:sz w:val="14"/>
              </w:rPr>
              <w:t>Jan</w:t>
            </w:r>
            <w:r>
              <w:rPr>
                <w:spacing w:val="-2"/>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Hall</w:t>
            </w:r>
            <w:r>
              <w:rPr>
                <w:spacing w:val="-3"/>
                <w:sz w:val="14"/>
              </w:rPr>
              <w:t> </w:t>
            </w:r>
            <w:r>
              <w:rPr>
                <w:sz w:val="14"/>
              </w:rPr>
              <w:t>Not</w:t>
            </w:r>
            <w:r>
              <w:rPr>
                <w:spacing w:val="-4"/>
                <w:sz w:val="14"/>
              </w:rPr>
              <w:t> </w:t>
            </w:r>
            <w:r>
              <w:rPr>
                <w:sz w:val="14"/>
              </w:rPr>
              <w:t>For</w:t>
            </w:r>
            <w:r>
              <w:rPr>
                <w:spacing w:val="1"/>
                <w:sz w:val="14"/>
              </w:rPr>
              <w:t> </w:t>
            </w:r>
            <w:r>
              <w:rPr>
                <w:sz w:val="14"/>
              </w:rPr>
              <w:t>Profit</w:t>
            </w:r>
            <w:r>
              <w:rPr>
                <w:spacing w:val="-3"/>
                <w:sz w:val="14"/>
              </w:rPr>
              <w:t> </w:t>
            </w:r>
            <w:r>
              <w:rPr>
                <w:sz w:val="14"/>
              </w:rPr>
              <w:t>Night</w:t>
            </w:r>
            <w:r>
              <w:rPr>
                <w:spacing w:val="-4"/>
                <w:sz w:val="14"/>
              </w:rPr>
              <w:t> </w:t>
            </w:r>
            <w:r>
              <w:rPr>
                <w:sz w:val="14"/>
              </w:rPr>
              <w:t>Hire</w:t>
            </w:r>
            <w:r>
              <w:rPr>
                <w:spacing w:val="-4"/>
                <w:sz w:val="14"/>
              </w:rPr>
              <w:t> </w:t>
            </w:r>
            <w:r>
              <w:rPr>
                <w:sz w:val="14"/>
              </w:rPr>
              <w:t>-</w:t>
            </w:r>
            <w:r>
              <w:rPr>
                <w:spacing w:val="-1"/>
                <w:sz w:val="14"/>
              </w:rPr>
              <w:t> </w:t>
            </w:r>
            <w:r>
              <w:rPr>
                <w:sz w:val="14"/>
              </w:rPr>
              <w:t>Jul 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207.70</w:t>
            </w:r>
          </w:p>
        </w:tc>
        <w:tc>
          <w:tcPr>
            <w:tcW w:w="995" w:type="dxa"/>
          </w:tcPr>
          <w:p>
            <w:pPr>
              <w:pStyle w:val="TableParagraph"/>
              <w:spacing w:line="140" w:lineRule="exact" w:before="17"/>
              <w:ind w:right="102"/>
              <w:jc w:val="right"/>
              <w:rPr>
                <w:sz w:val="14"/>
              </w:rPr>
            </w:pPr>
            <w:r>
              <w:rPr>
                <w:spacing w:val="-2"/>
                <w:sz w:val="14"/>
              </w:rPr>
              <w:t>223.28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5"/>
                <w:sz w:val="14"/>
              </w:rPr>
              <w:t> </w:t>
            </w:r>
            <w:r>
              <w:rPr>
                <w:sz w:val="14"/>
              </w:rPr>
              <w:t>Swimming</w:t>
            </w:r>
            <w:r>
              <w:rPr>
                <w:spacing w:val="-4"/>
                <w:sz w:val="14"/>
              </w:rPr>
              <w:t> </w:t>
            </w:r>
            <w:r>
              <w:rPr>
                <w:sz w:val="14"/>
              </w:rPr>
              <w:t>Club</w:t>
            </w:r>
            <w:r>
              <w:rPr>
                <w:spacing w:val="-4"/>
                <w:sz w:val="14"/>
              </w:rPr>
              <w:t> </w:t>
            </w:r>
            <w:r>
              <w:rPr>
                <w:sz w:val="14"/>
              </w:rPr>
              <w:t>Hall</w:t>
            </w:r>
            <w:r>
              <w:rPr>
                <w:spacing w:val="-3"/>
                <w:sz w:val="14"/>
              </w:rPr>
              <w:t> </w:t>
            </w:r>
            <w:r>
              <w:rPr>
                <w:sz w:val="14"/>
              </w:rPr>
              <w:t>Not</w:t>
            </w:r>
            <w:r>
              <w:rPr>
                <w:spacing w:val="-4"/>
                <w:sz w:val="14"/>
              </w:rPr>
              <w:t> </w:t>
            </w:r>
            <w:r>
              <w:rPr>
                <w:sz w:val="14"/>
              </w:rPr>
              <w:t>For Profit</w:t>
            </w:r>
            <w:r>
              <w:rPr>
                <w:spacing w:val="-3"/>
                <w:sz w:val="14"/>
              </w:rPr>
              <w:t> </w:t>
            </w:r>
            <w:r>
              <w:rPr>
                <w:sz w:val="14"/>
              </w:rPr>
              <w:t>Night</w:t>
            </w:r>
            <w:r>
              <w:rPr>
                <w:spacing w:val="-3"/>
                <w:sz w:val="14"/>
              </w:rPr>
              <w:t> </w:t>
            </w:r>
            <w:r>
              <w:rPr>
                <w:sz w:val="14"/>
              </w:rPr>
              <w:t>Hire</w:t>
            </w:r>
            <w:r>
              <w:rPr>
                <w:spacing w:val="-4"/>
                <w:sz w:val="14"/>
              </w:rPr>
              <w:t> </w:t>
            </w:r>
            <w:r>
              <w:rPr>
                <w:sz w:val="14"/>
              </w:rPr>
              <w:t>-</w:t>
            </w:r>
            <w:r>
              <w:rPr>
                <w:spacing w:val="-1"/>
                <w:sz w:val="14"/>
              </w:rPr>
              <w:t> </w:t>
            </w:r>
            <w:r>
              <w:rPr>
                <w:sz w:val="14"/>
              </w:rPr>
              <w:t>Jan</w:t>
            </w:r>
            <w:r>
              <w:rPr>
                <w:spacing w:val="-4"/>
                <w:sz w:val="14"/>
              </w:rPr>
              <w:t> </w:t>
            </w:r>
            <w:r>
              <w:rPr>
                <w:sz w:val="14"/>
              </w:rPr>
              <w:t>to</w:t>
            </w:r>
            <w:r>
              <w:rPr>
                <w:spacing w:val="-1"/>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207.70</w:t>
            </w:r>
          </w:p>
        </w:tc>
        <w:tc>
          <w:tcPr>
            <w:tcW w:w="995" w:type="dxa"/>
          </w:tcPr>
          <w:p>
            <w:pPr>
              <w:pStyle w:val="TableParagraph"/>
              <w:spacing w:line="140" w:lineRule="exact" w:before="17"/>
              <w:ind w:right="102"/>
              <w:jc w:val="right"/>
              <w:rPr>
                <w:sz w:val="14"/>
              </w:rPr>
            </w:pPr>
            <w:r>
              <w:rPr>
                <w:spacing w:val="-2"/>
                <w:sz w:val="14"/>
              </w:rPr>
              <w:t>223.28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Community</w:t>
            </w:r>
            <w:r>
              <w:rPr>
                <w:spacing w:val="35"/>
                <w:sz w:val="14"/>
              </w:rPr>
              <w:t> </w:t>
            </w:r>
            <w:r>
              <w:rPr>
                <w:sz w:val="14"/>
              </w:rPr>
              <w:t>casual</w:t>
            </w:r>
            <w:r>
              <w:rPr>
                <w:spacing w:val="32"/>
                <w:sz w:val="14"/>
              </w:rPr>
              <w:t> </w:t>
            </w:r>
            <w:r>
              <w:rPr>
                <w:sz w:val="14"/>
              </w:rPr>
              <w:t>hour</w:t>
            </w:r>
            <w:r>
              <w:rPr>
                <w:spacing w:val="-4"/>
                <w:sz w:val="14"/>
              </w:rPr>
              <w:t> </w:t>
            </w:r>
            <w:r>
              <w:rPr>
                <w:sz w:val="14"/>
              </w:rPr>
              <w:t>rate</w:t>
            </w:r>
            <w:r>
              <w:rPr>
                <w:spacing w:val="-1"/>
                <w:sz w:val="14"/>
              </w:rPr>
              <w:t> </w:t>
            </w:r>
            <w:r>
              <w:rPr>
                <w:sz w:val="14"/>
              </w:rPr>
              <w:t>-</w:t>
            </w:r>
            <w:r>
              <w:rPr>
                <w:spacing w:val="-5"/>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Community</w:t>
            </w:r>
            <w:r>
              <w:rPr>
                <w:spacing w:val="34"/>
                <w:sz w:val="14"/>
              </w:rPr>
              <w:t> </w:t>
            </w:r>
            <w:r>
              <w:rPr>
                <w:sz w:val="14"/>
              </w:rPr>
              <w:t>casual</w:t>
            </w:r>
            <w:r>
              <w:rPr>
                <w:spacing w:val="32"/>
                <w:sz w:val="14"/>
              </w:rPr>
              <w:t> </w:t>
            </w:r>
            <w:r>
              <w:rPr>
                <w:sz w:val="14"/>
              </w:rPr>
              <w:t>hour</w:t>
            </w:r>
            <w:r>
              <w:rPr>
                <w:spacing w:val="-4"/>
                <w:sz w:val="14"/>
              </w:rPr>
              <w:t> </w:t>
            </w:r>
            <w:r>
              <w:rPr>
                <w:sz w:val="14"/>
              </w:rPr>
              <w:t>rate</w:t>
            </w:r>
            <w:r>
              <w:rPr>
                <w:spacing w:val="-1"/>
                <w:sz w:val="14"/>
              </w:rPr>
              <w:t> </w:t>
            </w:r>
            <w:r>
              <w:rPr>
                <w:sz w:val="14"/>
              </w:rPr>
              <w:t>-</w:t>
            </w:r>
            <w:r>
              <w:rPr>
                <w:spacing w:val="-4"/>
                <w:sz w:val="14"/>
              </w:rPr>
              <w:t> </w:t>
            </w:r>
            <w:r>
              <w:rPr>
                <w:sz w:val="14"/>
              </w:rPr>
              <w:t>Jan</w:t>
            </w:r>
            <w:r>
              <w:rPr>
                <w:spacing w:val="-3"/>
                <w:sz w:val="14"/>
              </w:rPr>
              <w:t> </w:t>
            </w:r>
            <w:r>
              <w:rPr>
                <w:sz w:val="14"/>
              </w:rPr>
              <w:t>to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5"/>
                <w:sz w:val="14"/>
              </w:rPr>
              <w:t> </w:t>
            </w:r>
            <w:r>
              <w:rPr>
                <w:sz w:val="14"/>
              </w:rPr>
              <w:t>Club</w:t>
            </w:r>
            <w:r>
              <w:rPr>
                <w:spacing w:val="-5"/>
                <w:sz w:val="14"/>
              </w:rPr>
              <w:t> </w:t>
            </w:r>
            <w:r>
              <w:rPr>
                <w:sz w:val="14"/>
              </w:rPr>
              <w:t>Community</w:t>
            </w:r>
            <w:r>
              <w:rPr>
                <w:spacing w:val="33"/>
                <w:sz w:val="14"/>
              </w:rPr>
              <w:t> </w:t>
            </w:r>
            <w:r>
              <w:rPr>
                <w:sz w:val="14"/>
              </w:rPr>
              <w:t>regular</w:t>
            </w:r>
            <w:r>
              <w:rPr>
                <w:spacing w:val="-3"/>
                <w:sz w:val="14"/>
              </w:rPr>
              <w:t> </w:t>
            </w:r>
            <w:r>
              <w:rPr>
                <w:sz w:val="14"/>
              </w:rPr>
              <w:t>hour</w:t>
            </w:r>
            <w:r>
              <w:rPr>
                <w:spacing w:val="-2"/>
                <w:sz w:val="14"/>
              </w:rPr>
              <w:t> </w:t>
            </w:r>
            <w:r>
              <w:rPr>
                <w:sz w:val="14"/>
              </w:rPr>
              <w:t>rate</w:t>
            </w:r>
            <w:r>
              <w:rPr>
                <w:spacing w:val="-2"/>
                <w:sz w:val="14"/>
              </w:rPr>
              <w:t> </w:t>
            </w:r>
            <w:r>
              <w:rPr>
                <w:sz w:val="14"/>
              </w:rPr>
              <w:t>-</w:t>
            </w:r>
            <w:r>
              <w:rPr>
                <w:spacing w:val="-5"/>
                <w:sz w:val="14"/>
              </w:rPr>
              <w:t> </w:t>
            </w:r>
            <w:r>
              <w:rPr>
                <w:sz w:val="14"/>
              </w:rPr>
              <w:t>Jul</w:t>
            </w:r>
            <w:r>
              <w:rPr>
                <w:spacing w:val="-1"/>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Croydon</w:t>
            </w:r>
            <w:r>
              <w:rPr>
                <w:spacing w:val="-6"/>
                <w:sz w:val="14"/>
              </w:rPr>
              <w:t> </w:t>
            </w:r>
            <w:r>
              <w:rPr>
                <w:sz w:val="14"/>
              </w:rPr>
              <w:t>Swimming</w:t>
            </w:r>
            <w:r>
              <w:rPr>
                <w:spacing w:val="-5"/>
                <w:sz w:val="14"/>
              </w:rPr>
              <w:t> </w:t>
            </w:r>
            <w:r>
              <w:rPr>
                <w:sz w:val="14"/>
              </w:rPr>
              <w:t>Club</w:t>
            </w:r>
            <w:r>
              <w:rPr>
                <w:spacing w:val="-4"/>
                <w:sz w:val="14"/>
              </w:rPr>
              <w:t> </w:t>
            </w:r>
            <w:r>
              <w:rPr>
                <w:sz w:val="14"/>
              </w:rPr>
              <w:t>Community</w:t>
            </w:r>
            <w:r>
              <w:rPr>
                <w:spacing w:val="33"/>
                <w:sz w:val="14"/>
              </w:rPr>
              <w:t> </w:t>
            </w:r>
            <w:r>
              <w:rPr>
                <w:sz w:val="14"/>
              </w:rPr>
              <w:t>regular</w:t>
            </w:r>
            <w:r>
              <w:rPr>
                <w:spacing w:val="-1"/>
                <w:sz w:val="14"/>
              </w:rPr>
              <w:t> </w:t>
            </w:r>
            <w:r>
              <w:rPr>
                <w:sz w:val="14"/>
              </w:rPr>
              <w:t>hour</w:t>
            </w:r>
            <w:r>
              <w:rPr>
                <w:spacing w:val="-2"/>
                <w:sz w:val="14"/>
              </w:rPr>
              <w:t> </w:t>
            </w:r>
            <w:r>
              <w:rPr>
                <w:sz w:val="14"/>
              </w:rPr>
              <w:t>rate</w:t>
            </w:r>
            <w:r>
              <w:rPr>
                <w:spacing w:val="-2"/>
                <w:sz w:val="14"/>
              </w:rPr>
              <w:t> </w:t>
            </w:r>
            <w:r>
              <w:rPr>
                <w:sz w:val="14"/>
              </w:rPr>
              <w:t>-</w:t>
            </w:r>
            <w:r>
              <w:rPr>
                <w:spacing w:val="-4"/>
                <w:sz w:val="14"/>
              </w:rPr>
              <w:t> </w:t>
            </w:r>
            <w:r>
              <w:rPr>
                <w:sz w:val="14"/>
              </w:rPr>
              <w:t>Jan</w:t>
            </w:r>
            <w:r>
              <w:rPr>
                <w:spacing w:val="-5"/>
                <w:sz w:val="14"/>
              </w:rPr>
              <w:t> </w:t>
            </w:r>
            <w:r>
              <w:rPr>
                <w:sz w:val="14"/>
              </w:rPr>
              <w:t>to</w:t>
            </w:r>
            <w:r>
              <w:rPr>
                <w:spacing w:val="-4"/>
                <w:sz w:val="14"/>
              </w:rPr>
              <w:t> </w:t>
            </w:r>
            <w:r>
              <w:rPr>
                <w:spacing w:val="-5"/>
                <w:sz w:val="14"/>
              </w:rPr>
              <w:t>Jun</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22.20</w:t>
            </w:r>
          </w:p>
        </w:tc>
        <w:tc>
          <w:tcPr>
            <w:tcW w:w="995" w:type="dxa"/>
          </w:tcPr>
          <w:p>
            <w:pPr>
              <w:pStyle w:val="TableParagraph"/>
              <w:spacing w:line="142" w:lineRule="exact" w:before="15"/>
              <w:ind w:right="101"/>
              <w:jc w:val="right"/>
              <w:rPr>
                <w:sz w:val="14"/>
              </w:rPr>
            </w:pPr>
            <w:r>
              <w:rPr>
                <w:spacing w:val="-2"/>
                <w:sz w:val="14"/>
              </w:rPr>
              <w:t>23.86</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Croydon</w:t>
            </w:r>
            <w:r>
              <w:rPr>
                <w:spacing w:val="-5"/>
                <w:sz w:val="14"/>
              </w:rPr>
              <w:t> </w:t>
            </w:r>
            <w:r>
              <w:rPr>
                <w:sz w:val="14"/>
              </w:rPr>
              <w:t>Swimming</w:t>
            </w:r>
            <w:r>
              <w:rPr>
                <w:spacing w:val="-4"/>
                <w:sz w:val="14"/>
              </w:rPr>
              <w:t> </w:t>
            </w:r>
            <w:r>
              <w:rPr>
                <w:sz w:val="14"/>
              </w:rPr>
              <w:t>Club</w:t>
            </w:r>
            <w:r>
              <w:rPr>
                <w:spacing w:val="-3"/>
                <w:sz w:val="14"/>
              </w:rPr>
              <w:t> </w:t>
            </w:r>
            <w:r>
              <w:rPr>
                <w:sz w:val="14"/>
              </w:rPr>
              <w:t>Hall</w:t>
            </w:r>
            <w:r>
              <w:rPr>
                <w:spacing w:val="-3"/>
                <w:sz w:val="14"/>
              </w:rPr>
              <w:t> </w:t>
            </w:r>
            <w:r>
              <w:rPr>
                <w:sz w:val="14"/>
              </w:rPr>
              <w:t>Community</w:t>
            </w:r>
            <w:r>
              <w:rPr>
                <w:spacing w:val="33"/>
                <w:sz w:val="14"/>
              </w:rPr>
              <w:t> </w:t>
            </w:r>
            <w:r>
              <w:rPr>
                <w:sz w:val="14"/>
              </w:rPr>
              <w:t>Night</w:t>
            </w:r>
            <w:r>
              <w:rPr>
                <w:spacing w:val="-2"/>
                <w:sz w:val="14"/>
              </w:rPr>
              <w:t> </w:t>
            </w:r>
            <w:r>
              <w:rPr>
                <w:sz w:val="14"/>
              </w:rPr>
              <w:t>Hire</w:t>
            </w:r>
            <w:r>
              <w:rPr>
                <w:spacing w:val="35"/>
                <w:sz w:val="14"/>
              </w:rPr>
              <w:t> </w:t>
            </w:r>
            <w:r>
              <w:rPr>
                <w:sz w:val="14"/>
              </w:rPr>
              <w:t>-</w:t>
            </w:r>
            <w:r>
              <w:rPr>
                <w:spacing w:val="-4"/>
                <w:sz w:val="14"/>
              </w:rPr>
              <w:t> </w:t>
            </w:r>
            <w:r>
              <w:rPr>
                <w:sz w:val="14"/>
              </w:rPr>
              <w:t>Jul</w:t>
            </w:r>
            <w:r>
              <w:rPr>
                <w:spacing w:val="-2"/>
                <w:sz w:val="14"/>
              </w:rPr>
              <w:t> </w:t>
            </w:r>
            <w:r>
              <w:rPr>
                <w:sz w:val="14"/>
              </w:rPr>
              <w:t>to</w:t>
            </w:r>
            <w:r>
              <w:rPr>
                <w:spacing w:val="-4"/>
                <w:sz w:val="14"/>
              </w:rPr>
              <w:t> </w:t>
            </w:r>
            <w:r>
              <w:rPr>
                <w:spacing w:val="-5"/>
                <w:sz w:val="14"/>
              </w:rPr>
              <w:t>Dec</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277.45</w:t>
            </w:r>
          </w:p>
        </w:tc>
        <w:tc>
          <w:tcPr>
            <w:tcW w:w="995" w:type="dxa"/>
          </w:tcPr>
          <w:p>
            <w:pPr>
              <w:pStyle w:val="TableParagraph"/>
              <w:spacing w:line="140" w:lineRule="exact" w:before="15"/>
              <w:ind w:right="102"/>
              <w:jc w:val="right"/>
              <w:rPr>
                <w:sz w:val="14"/>
              </w:rPr>
            </w:pPr>
            <w:r>
              <w:rPr>
                <w:spacing w:val="-2"/>
                <w:sz w:val="14"/>
              </w:rPr>
              <w:t>298.26</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5"/>
                <w:sz w:val="14"/>
              </w:rPr>
              <w:t> </w:t>
            </w:r>
            <w:r>
              <w:rPr>
                <w:sz w:val="14"/>
              </w:rPr>
              <w:t>Swimming</w:t>
            </w:r>
            <w:r>
              <w:rPr>
                <w:spacing w:val="-4"/>
                <w:sz w:val="14"/>
              </w:rPr>
              <w:t> </w:t>
            </w:r>
            <w:r>
              <w:rPr>
                <w:sz w:val="14"/>
              </w:rPr>
              <w:t>Club</w:t>
            </w:r>
            <w:r>
              <w:rPr>
                <w:spacing w:val="-4"/>
                <w:sz w:val="14"/>
              </w:rPr>
              <w:t> </w:t>
            </w:r>
            <w:r>
              <w:rPr>
                <w:sz w:val="14"/>
              </w:rPr>
              <w:t>Hall</w:t>
            </w:r>
            <w:r>
              <w:rPr>
                <w:spacing w:val="-3"/>
                <w:sz w:val="14"/>
              </w:rPr>
              <w:t> </w:t>
            </w:r>
            <w:r>
              <w:rPr>
                <w:sz w:val="14"/>
              </w:rPr>
              <w:t>Community</w:t>
            </w:r>
            <w:r>
              <w:rPr>
                <w:spacing w:val="33"/>
                <w:sz w:val="14"/>
              </w:rPr>
              <w:t> </w:t>
            </w:r>
            <w:r>
              <w:rPr>
                <w:sz w:val="14"/>
              </w:rPr>
              <w:t>Night</w:t>
            </w:r>
            <w:r>
              <w:rPr>
                <w:spacing w:val="-3"/>
                <w:sz w:val="14"/>
              </w:rPr>
              <w:t> </w:t>
            </w:r>
            <w:r>
              <w:rPr>
                <w:sz w:val="14"/>
              </w:rPr>
              <w:t>Hire</w:t>
            </w:r>
            <w:r>
              <w:rPr>
                <w:spacing w:val="-1"/>
                <w:sz w:val="14"/>
              </w:rPr>
              <w:t> </w:t>
            </w:r>
            <w:r>
              <w:rPr>
                <w:sz w:val="14"/>
              </w:rPr>
              <w:t>-</w:t>
            </w:r>
            <w:r>
              <w:rPr>
                <w:spacing w:val="-4"/>
                <w:sz w:val="14"/>
              </w:rPr>
              <w:t> </w:t>
            </w:r>
            <w:r>
              <w:rPr>
                <w:sz w:val="14"/>
              </w:rPr>
              <w:t>Jan</w:t>
            </w:r>
            <w:r>
              <w:rPr>
                <w:spacing w:val="-3"/>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277.45</w:t>
            </w:r>
          </w:p>
        </w:tc>
        <w:tc>
          <w:tcPr>
            <w:tcW w:w="995" w:type="dxa"/>
          </w:tcPr>
          <w:p>
            <w:pPr>
              <w:pStyle w:val="TableParagraph"/>
              <w:spacing w:line="140" w:lineRule="exact" w:before="17"/>
              <w:ind w:right="102"/>
              <w:jc w:val="right"/>
              <w:rPr>
                <w:sz w:val="14"/>
              </w:rPr>
            </w:pPr>
            <w:r>
              <w:rPr>
                <w:spacing w:val="-2"/>
                <w:sz w:val="14"/>
              </w:rPr>
              <w:t>298.26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Corporate</w:t>
            </w:r>
            <w:r>
              <w:rPr>
                <w:spacing w:val="31"/>
                <w:sz w:val="14"/>
              </w:rPr>
              <w:t> </w:t>
            </w:r>
            <w:r>
              <w:rPr>
                <w:sz w:val="14"/>
              </w:rPr>
              <w:t>casual</w:t>
            </w:r>
            <w:r>
              <w:rPr>
                <w:spacing w:val="35"/>
                <w:sz w:val="14"/>
              </w:rPr>
              <w:t> </w:t>
            </w:r>
            <w:r>
              <w:rPr>
                <w:sz w:val="14"/>
              </w:rPr>
              <w:t>hour</w:t>
            </w:r>
            <w:r>
              <w:rPr>
                <w:spacing w:val="-2"/>
                <w:sz w:val="14"/>
              </w:rPr>
              <w:t> </w:t>
            </w:r>
            <w:r>
              <w:rPr>
                <w:sz w:val="14"/>
              </w:rPr>
              <w:t>rate</w:t>
            </w:r>
            <w:r>
              <w:rPr>
                <w:spacing w:val="-1"/>
                <w:sz w:val="14"/>
              </w:rPr>
              <w:t> </w:t>
            </w:r>
            <w:r>
              <w:rPr>
                <w:sz w:val="14"/>
              </w:rPr>
              <w:t>-</w:t>
            </w:r>
            <w:r>
              <w:rPr>
                <w:spacing w:val="-4"/>
                <w:sz w:val="14"/>
              </w:rPr>
              <w:t> </w:t>
            </w:r>
            <w:r>
              <w:rPr>
                <w:sz w:val="14"/>
              </w:rPr>
              <w:t>Jul</w:t>
            </w:r>
            <w:r>
              <w:rPr>
                <w:spacing w:val="-1"/>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7"/>
                <w:sz w:val="14"/>
              </w:rPr>
              <w:t> </w:t>
            </w:r>
            <w:r>
              <w:rPr>
                <w:sz w:val="14"/>
              </w:rPr>
              <w:t>Swimming</w:t>
            </w:r>
            <w:r>
              <w:rPr>
                <w:spacing w:val="-5"/>
                <w:sz w:val="14"/>
              </w:rPr>
              <w:t> </w:t>
            </w:r>
            <w:r>
              <w:rPr>
                <w:sz w:val="14"/>
              </w:rPr>
              <w:t>Club</w:t>
            </w:r>
            <w:r>
              <w:rPr>
                <w:spacing w:val="-4"/>
                <w:sz w:val="14"/>
              </w:rPr>
              <w:t> </w:t>
            </w:r>
            <w:r>
              <w:rPr>
                <w:sz w:val="14"/>
              </w:rPr>
              <w:t>Corporate</w:t>
            </w:r>
            <w:r>
              <w:rPr>
                <w:spacing w:val="32"/>
                <w:sz w:val="14"/>
              </w:rPr>
              <w:t> </w:t>
            </w:r>
            <w:r>
              <w:rPr>
                <w:sz w:val="14"/>
              </w:rPr>
              <w:t>casual</w:t>
            </w:r>
            <w:r>
              <w:rPr>
                <w:spacing w:val="35"/>
                <w:sz w:val="14"/>
              </w:rPr>
              <w:t> </w:t>
            </w:r>
            <w:r>
              <w:rPr>
                <w:sz w:val="14"/>
              </w:rPr>
              <w:t>hour</w:t>
            </w:r>
            <w:r>
              <w:rPr>
                <w:spacing w:val="-1"/>
                <w:sz w:val="14"/>
              </w:rPr>
              <w:t> </w:t>
            </w:r>
            <w:r>
              <w:rPr>
                <w:sz w:val="14"/>
              </w:rPr>
              <w:t>rate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5"/>
                <w:sz w:val="14"/>
              </w:rPr>
              <w:t> </w:t>
            </w:r>
            <w:r>
              <w:rPr>
                <w:sz w:val="14"/>
              </w:rPr>
              <w:t>Swimming</w:t>
            </w:r>
            <w:r>
              <w:rPr>
                <w:spacing w:val="-4"/>
                <w:sz w:val="14"/>
              </w:rPr>
              <w:t> </w:t>
            </w:r>
            <w:r>
              <w:rPr>
                <w:sz w:val="14"/>
              </w:rPr>
              <w:t>Club</w:t>
            </w:r>
            <w:r>
              <w:rPr>
                <w:spacing w:val="-4"/>
                <w:sz w:val="14"/>
              </w:rPr>
              <w:t> </w:t>
            </w:r>
            <w:r>
              <w:rPr>
                <w:sz w:val="14"/>
              </w:rPr>
              <w:t>Corporate</w:t>
            </w:r>
            <w:r>
              <w:rPr>
                <w:spacing w:val="32"/>
                <w:sz w:val="14"/>
              </w:rPr>
              <w:t> </w:t>
            </w:r>
            <w:r>
              <w:rPr>
                <w:sz w:val="14"/>
              </w:rPr>
              <w:t>regular</w:t>
            </w:r>
            <w:r>
              <w:rPr>
                <w:spacing w:val="-4"/>
                <w:sz w:val="14"/>
              </w:rPr>
              <w:t> </w:t>
            </w:r>
            <w:r>
              <w:rPr>
                <w:sz w:val="14"/>
              </w:rPr>
              <w:t>hour</w:t>
            </w:r>
            <w:r>
              <w:rPr>
                <w:spacing w:val="-4"/>
                <w:sz w:val="14"/>
              </w:rPr>
              <w:t> </w:t>
            </w:r>
            <w:r>
              <w:rPr>
                <w:sz w:val="14"/>
              </w:rPr>
              <w:t>rate</w:t>
            </w:r>
            <w:r>
              <w:rPr>
                <w:spacing w:val="-1"/>
                <w:sz w:val="14"/>
              </w:rPr>
              <w:t> </w:t>
            </w:r>
            <w:r>
              <w:rPr>
                <w:sz w:val="14"/>
              </w:rPr>
              <w:t>-</w:t>
            </w:r>
            <w:r>
              <w:rPr>
                <w:spacing w:val="-4"/>
                <w:sz w:val="14"/>
              </w:rPr>
              <w:t> </w:t>
            </w:r>
            <w:r>
              <w:rPr>
                <w:sz w:val="14"/>
              </w:rPr>
              <w:t>Jul</w:t>
            </w:r>
            <w:r>
              <w:rPr>
                <w:spacing w:val="-2"/>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Corporate</w:t>
            </w:r>
            <w:r>
              <w:rPr>
                <w:spacing w:val="32"/>
                <w:sz w:val="14"/>
              </w:rPr>
              <w:t> </w:t>
            </w:r>
            <w:r>
              <w:rPr>
                <w:sz w:val="14"/>
              </w:rPr>
              <w:t>regular</w:t>
            </w:r>
            <w:r>
              <w:rPr>
                <w:spacing w:val="-4"/>
                <w:sz w:val="14"/>
              </w:rPr>
              <w:t> </w:t>
            </w:r>
            <w:r>
              <w:rPr>
                <w:sz w:val="14"/>
              </w:rPr>
              <w:t>hour</w:t>
            </w:r>
            <w:r>
              <w:rPr>
                <w:spacing w:val="-4"/>
                <w:sz w:val="14"/>
              </w:rPr>
              <w:t> </w:t>
            </w:r>
            <w:r>
              <w:rPr>
                <w:sz w:val="14"/>
              </w:rPr>
              <w:t>rate</w:t>
            </w:r>
            <w:r>
              <w:rPr>
                <w:spacing w:val="-1"/>
                <w:sz w:val="14"/>
              </w:rPr>
              <w:t> </w:t>
            </w:r>
            <w:r>
              <w:rPr>
                <w:sz w:val="14"/>
              </w:rPr>
              <w:t>-</w:t>
            </w:r>
            <w:r>
              <w:rPr>
                <w:spacing w:val="-4"/>
                <w:sz w:val="14"/>
              </w:rPr>
              <w:t> </w:t>
            </w:r>
            <w:r>
              <w:rPr>
                <w:sz w:val="14"/>
              </w:rPr>
              <w:t>Jan</w:t>
            </w:r>
            <w:r>
              <w:rPr>
                <w:spacing w:val="-3"/>
                <w:sz w:val="14"/>
              </w:rPr>
              <w:t> </w:t>
            </w:r>
            <w:r>
              <w:rPr>
                <w:sz w:val="14"/>
              </w:rPr>
              <w:t>to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Swimming</w:t>
            </w:r>
            <w:r>
              <w:rPr>
                <w:spacing w:val="-4"/>
                <w:sz w:val="14"/>
              </w:rPr>
              <w:t> </w:t>
            </w:r>
            <w:r>
              <w:rPr>
                <w:sz w:val="14"/>
              </w:rPr>
              <w:t>Club</w:t>
            </w:r>
            <w:r>
              <w:rPr>
                <w:spacing w:val="-4"/>
                <w:sz w:val="14"/>
              </w:rPr>
              <w:t> </w:t>
            </w:r>
            <w:r>
              <w:rPr>
                <w:sz w:val="14"/>
              </w:rPr>
              <w:t>Hall</w:t>
            </w:r>
            <w:r>
              <w:rPr>
                <w:spacing w:val="-4"/>
                <w:sz w:val="14"/>
              </w:rPr>
              <w:t> </w:t>
            </w:r>
            <w:r>
              <w:rPr>
                <w:sz w:val="14"/>
              </w:rPr>
              <w:t>Corporate</w:t>
            </w:r>
            <w:r>
              <w:rPr>
                <w:spacing w:val="-3"/>
                <w:sz w:val="14"/>
              </w:rPr>
              <w:t> </w:t>
            </w:r>
            <w:r>
              <w:rPr>
                <w:sz w:val="14"/>
              </w:rPr>
              <w:t>Night</w:t>
            </w:r>
            <w:r>
              <w:rPr>
                <w:spacing w:val="-3"/>
                <w:sz w:val="14"/>
              </w:rPr>
              <w:t> </w:t>
            </w:r>
            <w:r>
              <w:rPr>
                <w:sz w:val="14"/>
              </w:rPr>
              <w:t>Hire</w:t>
            </w:r>
            <w:r>
              <w:rPr>
                <w:spacing w:val="-3"/>
                <w:sz w:val="14"/>
              </w:rPr>
              <w:t> </w:t>
            </w:r>
            <w:r>
              <w:rPr>
                <w:sz w:val="14"/>
              </w:rPr>
              <w:t>-</w:t>
            </w:r>
            <w:r>
              <w:rPr>
                <w:spacing w:val="-4"/>
                <w:sz w:val="14"/>
              </w:rPr>
              <w:t> </w:t>
            </w:r>
            <w:r>
              <w:rPr>
                <w:sz w:val="14"/>
              </w:rPr>
              <w:t>Jul</w:t>
            </w:r>
            <w:r>
              <w:rPr>
                <w:spacing w:val="-1"/>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300.00</w:t>
            </w:r>
          </w:p>
        </w:tc>
        <w:tc>
          <w:tcPr>
            <w:tcW w:w="995" w:type="dxa"/>
          </w:tcPr>
          <w:p>
            <w:pPr>
              <w:pStyle w:val="TableParagraph"/>
              <w:spacing w:line="140" w:lineRule="exact" w:before="17"/>
              <w:ind w:right="102"/>
              <w:jc w:val="right"/>
              <w:rPr>
                <w:sz w:val="14"/>
              </w:rPr>
            </w:pPr>
            <w:r>
              <w:rPr>
                <w:spacing w:val="-2"/>
                <w:sz w:val="14"/>
              </w:rPr>
              <w:t>322.50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5"/>
                <w:sz w:val="14"/>
              </w:rPr>
              <w:t> </w:t>
            </w:r>
            <w:r>
              <w:rPr>
                <w:sz w:val="14"/>
              </w:rPr>
              <w:t>Swimming</w:t>
            </w:r>
            <w:r>
              <w:rPr>
                <w:spacing w:val="-4"/>
                <w:sz w:val="14"/>
              </w:rPr>
              <w:t> </w:t>
            </w:r>
            <w:r>
              <w:rPr>
                <w:sz w:val="14"/>
              </w:rPr>
              <w:t>Club</w:t>
            </w:r>
            <w:r>
              <w:rPr>
                <w:spacing w:val="-4"/>
                <w:sz w:val="14"/>
              </w:rPr>
              <w:t> </w:t>
            </w:r>
            <w:r>
              <w:rPr>
                <w:sz w:val="14"/>
              </w:rPr>
              <w:t>Hall</w:t>
            </w:r>
            <w:r>
              <w:rPr>
                <w:spacing w:val="-2"/>
                <w:sz w:val="14"/>
              </w:rPr>
              <w:t> </w:t>
            </w:r>
            <w:r>
              <w:rPr>
                <w:sz w:val="14"/>
              </w:rPr>
              <w:t>Corporate</w:t>
            </w:r>
            <w:r>
              <w:rPr>
                <w:spacing w:val="-4"/>
                <w:sz w:val="14"/>
              </w:rPr>
              <w:t> </w:t>
            </w:r>
            <w:r>
              <w:rPr>
                <w:sz w:val="14"/>
              </w:rPr>
              <w:t>Night</w:t>
            </w:r>
            <w:r>
              <w:rPr>
                <w:spacing w:val="-3"/>
                <w:sz w:val="14"/>
              </w:rPr>
              <w:t> </w:t>
            </w:r>
            <w:r>
              <w:rPr>
                <w:sz w:val="14"/>
              </w:rPr>
              <w:t>Hire</w:t>
            </w:r>
            <w:r>
              <w:rPr>
                <w:spacing w:val="-2"/>
                <w:sz w:val="14"/>
              </w:rPr>
              <w:t> </w:t>
            </w:r>
            <w:r>
              <w:rPr>
                <w:sz w:val="14"/>
              </w:rPr>
              <w:t>-</w:t>
            </w:r>
            <w:r>
              <w:rPr>
                <w:spacing w:val="-4"/>
                <w:sz w:val="14"/>
              </w:rPr>
              <w:t> </w:t>
            </w:r>
            <w:r>
              <w:rPr>
                <w:sz w:val="14"/>
              </w:rPr>
              <w:t>Jan</w:t>
            </w:r>
            <w:r>
              <w:rPr>
                <w:spacing w:val="-4"/>
                <w:sz w:val="14"/>
              </w:rPr>
              <w:t> </w:t>
            </w:r>
            <w:r>
              <w:rPr>
                <w:sz w:val="14"/>
              </w:rPr>
              <w:t>to</w:t>
            </w:r>
            <w:r>
              <w:rPr>
                <w:spacing w:val="-3"/>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300.00</w:t>
            </w:r>
          </w:p>
        </w:tc>
        <w:tc>
          <w:tcPr>
            <w:tcW w:w="995" w:type="dxa"/>
          </w:tcPr>
          <w:p>
            <w:pPr>
              <w:pStyle w:val="TableParagraph"/>
              <w:spacing w:line="140" w:lineRule="exact" w:before="17"/>
              <w:ind w:right="102"/>
              <w:jc w:val="right"/>
              <w:rPr>
                <w:sz w:val="14"/>
              </w:rPr>
            </w:pPr>
            <w:r>
              <w:rPr>
                <w:spacing w:val="-2"/>
                <w:sz w:val="14"/>
              </w:rPr>
              <w:t>322.50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Casual</w:t>
            </w:r>
            <w:r>
              <w:rPr>
                <w:spacing w:val="-5"/>
                <w:sz w:val="14"/>
              </w:rPr>
              <w:t> </w:t>
            </w:r>
            <w:r>
              <w:rPr>
                <w:sz w:val="14"/>
              </w:rPr>
              <w:t>Cleaner</w:t>
            </w:r>
            <w:r>
              <w:rPr>
                <w:spacing w:val="-2"/>
                <w:sz w:val="14"/>
              </w:rPr>
              <w:t> </w:t>
            </w:r>
            <w:r>
              <w:rPr>
                <w:sz w:val="14"/>
              </w:rPr>
              <w:t>3</w:t>
            </w:r>
            <w:r>
              <w:rPr>
                <w:spacing w:val="-6"/>
                <w:sz w:val="14"/>
              </w:rPr>
              <w:t> </w:t>
            </w:r>
            <w:r>
              <w:rPr>
                <w:spacing w:val="-2"/>
                <w:sz w:val="14"/>
              </w:rPr>
              <w:t>hours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w:t>
            </w:r>
          </w:p>
        </w:tc>
        <w:tc>
          <w:tcPr>
            <w:tcW w:w="995" w:type="dxa"/>
          </w:tcPr>
          <w:p>
            <w:pPr>
              <w:pStyle w:val="TableParagraph"/>
              <w:spacing w:line="140" w:lineRule="exact" w:before="17"/>
              <w:ind w:right="102"/>
              <w:jc w:val="right"/>
              <w:rPr>
                <w:sz w:val="14"/>
              </w:rPr>
            </w:pPr>
            <w:r>
              <w:rPr>
                <w:spacing w:val="-2"/>
                <w:sz w:val="14"/>
              </w:rPr>
              <w:t>129.00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Belmont</w:t>
            </w:r>
            <w:r>
              <w:rPr>
                <w:b/>
                <w:spacing w:val="-6"/>
                <w:sz w:val="14"/>
              </w:rPr>
              <w:t> </w:t>
            </w:r>
            <w:r>
              <w:rPr>
                <w:b/>
                <w:spacing w:val="-2"/>
                <w:sz w:val="14"/>
              </w:rPr>
              <w:t>Pavilion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Not</w:t>
            </w:r>
            <w:r>
              <w:rPr>
                <w:spacing w:val="-1"/>
                <w:sz w:val="14"/>
              </w:rPr>
              <w:t> </w:t>
            </w:r>
            <w:r>
              <w:rPr>
                <w:sz w:val="14"/>
              </w:rPr>
              <w:t>For</w:t>
            </w:r>
            <w:r>
              <w:rPr>
                <w:spacing w:val="-4"/>
                <w:sz w:val="14"/>
              </w:rPr>
              <w:t> </w:t>
            </w:r>
            <w:r>
              <w:rPr>
                <w:sz w:val="14"/>
              </w:rPr>
              <w:t>Profit</w:t>
            </w:r>
            <w:r>
              <w:rPr>
                <w:spacing w:val="-4"/>
                <w:sz w:val="14"/>
              </w:rPr>
              <w:t> </w:t>
            </w:r>
            <w:r>
              <w:rPr>
                <w:sz w:val="14"/>
              </w:rPr>
              <w:t>casual</w:t>
            </w:r>
            <w:r>
              <w:rPr>
                <w:spacing w:val="35"/>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Jul 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Belmont</w:t>
            </w:r>
            <w:r>
              <w:rPr>
                <w:spacing w:val="-3"/>
                <w:sz w:val="14"/>
              </w:rPr>
              <w:t> </w:t>
            </w:r>
            <w:r>
              <w:rPr>
                <w:sz w:val="14"/>
              </w:rPr>
              <w:t>Park</w:t>
            </w:r>
            <w:r>
              <w:rPr>
                <w:spacing w:val="-1"/>
                <w:sz w:val="14"/>
              </w:rPr>
              <w:t> </w:t>
            </w:r>
            <w:r>
              <w:rPr>
                <w:sz w:val="14"/>
              </w:rPr>
              <w:t>Hall</w:t>
            </w:r>
            <w:r>
              <w:rPr>
                <w:spacing w:val="-4"/>
                <w:sz w:val="14"/>
              </w:rPr>
              <w:t> </w:t>
            </w:r>
            <w:r>
              <w:rPr>
                <w:sz w:val="14"/>
              </w:rPr>
              <w:t>Not</w:t>
            </w:r>
            <w:r>
              <w:rPr>
                <w:spacing w:val="-1"/>
                <w:sz w:val="14"/>
              </w:rPr>
              <w:t> </w:t>
            </w:r>
            <w:r>
              <w:rPr>
                <w:sz w:val="14"/>
              </w:rPr>
              <w:t>For</w:t>
            </w:r>
            <w:r>
              <w:rPr>
                <w:spacing w:val="-4"/>
                <w:sz w:val="14"/>
              </w:rPr>
              <w:t> </w:t>
            </w:r>
            <w:r>
              <w:rPr>
                <w:sz w:val="14"/>
              </w:rPr>
              <w:t>Profit</w:t>
            </w:r>
            <w:r>
              <w:rPr>
                <w:spacing w:val="-4"/>
                <w:sz w:val="14"/>
              </w:rPr>
              <w:t> </w:t>
            </w:r>
            <w:r>
              <w:rPr>
                <w:sz w:val="14"/>
              </w:rPr>
              <w:t>casual</w:t>
            </w:r>
            <w:r>
              <w:rPr>
                <w:spacing w:val="37"/>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4"/>
                <w:sz w:val="14"/>
              </w:rPr>
              <w:t> </w:t>
            </w:r>
            <w:r>
              <w:rPr>
                <w:sz w:val="14"/>
              </w:rPr>
              <w:t>to</w:t>
            </w:r>
            <w:r>
              <w:rPr>
                <w:spacing w:val="-5"/>
                <w:sz w:val="14"/>
              </w:rPr>
              <w:t> Jun</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25.00</w:t>
            </w:r>
          </w:p>
        </w:tc>
        <w:tc>
          <w:tcPr>
            <w:tcW w:w="995" w:type="dxa"/>
          </w:tcPr>
          <w:p>
            <w:pPr>
              <w:pStyle w:val="TableParagraph"/>
              <w:spacing w:line="142" w:lineRule="exact" w:before="15"/>
              <w:ind w:right="101"/>
              <w:jc w:val="right"/>
              <w:rPr>
                <w:sz w:val="14"/>
              </w:rPr>
            </w:pPr>
            <w:r>
              <w:rPr>
                <w:spacing w:val="-2"/>
                <w:sz w:val="14"/>
              </w:rPr>
              <w:t>26.88</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Belmont</w:t>
            </w:r>
            <w:r>
              <w:rPr>
                <w:spacing w:val="-4"/>
                <w:sz w:val="14"/>
              </w:rPr>
              <w:t> </w:t>
            </w:r>
            <w:r>
              <w:rPr>
                <w:sz w:val="14"/>
              </w:rPr>
              <w:t>Park</w:t>
            </w:r>
            <w:r>
              <w:rPr>
                <w:spacing w:val="-2"/>
                <w:sz w:val="14"/>
              </w:rPr>
              <w:t> </w:t>
            </w:r>
            <w:r>
              <w:rPr>
                <w:sz w:val="14"/>
              </w:rPr>
              <w:t>Hall</w:t>
            </w:r>
            <w:r>
              <w:rPr>
                <w:spacing w:val="-4"/>
                <w:sz w:val="14"/>
              </w:rPr>
              <w:t> </w:t>
            </w:r>
            <w:r>
              <w:rPr>
                <w:sz w:val="14"/>
              </w:rPr>
              <w:t>Not</w:t>
            </w:r>
            <w:r>
              <w:rPr>
                <w:spacing w:val="-2"/>
                <w:sz w:val="14"/>
              </w:rPr>
              <w:t> </w:t>
            </w:r>
            <w:r>
              <w:rPr>
                <w:sz w:val="14"/>
              </w:rPr>
              <w:t>For</w:t>
            </w:r>
            <w:r>
              <w:rPr>
                <w:spacing w:val="-4"/>
                <w:sz w:val="14"/>
              </w:rPr>
              <w:t> </w:t>
            </w:r>
            <w:r>
              <w:rPr>
                <w:sz w:val="14"/>
              </w:rPr>
              <w:t>Profit</w:t>
            </w:r>
            <w:r>
              <w:rPr>
                <w:spacing w:val="-2"/>
                <w:sz w:val="14"/>
              </w:rPr>
              <w:t> </w:t>
            </w:r>
            <w:r>
              <w:rPr>
                <w:sz w:val="14"/>
              </w:rPr>
              <w:t>regular</w:t>
            </w:r>
            <w:r>
              <w:rPr>
                <w:spacing w:val="-4"/>
                <w:sz w:val="14"/>
              </w:rPr>
              <w:t> </w:t>
            </w:r>
            <w:r>
              <w:rPr>
                <w:sz w:val="14"/>
              </w:rPr>
              <w:t>hour</w:t>
            </w:r>
            <w:r>
              <w:rPr>
                <w:spacing w:val="-2"/>
                <w:sz w:val="14"/>
              </w:rPr>
              <w:t> </w:t>
            </w:r>
            <w:r>
              <w:rPr>
                <w:sz w:val="14"/>
              </w:rPr>
              <w:t>rate</w:t>
            </w:r>
            <w:r>
              <w:rPr>
                <w:spacing w:val="-2"/>
                <w:sz w:val="14"/>
              </w:rPr>
              <w:t> </w:t>
            </w:r>
            <w:r>
              <w:rPr>
                <w:sz w:val="14"/>
              </w:rPr>
              <w:t>-</w:t>
            </w:r>
            <w:r>
              <w:rPr>
                <w:spacing w:val="-4"/>
                <w:sz w:val="14"/>
              </w:rPr>
              <w:t> </w:t>
            </w:r>
            <w:r>
              <w:rPr>
                <w:sz w:val="14"/>
              </w:rPr>
              <w:t>Jul</w:t>
            </w:r>
            <w:r>
              <w:rPr>
                <w:spacing w:val="-4"/>
                <w:sz w:val="14"/>
              </w:rPr>
              <w:t> </w:t>
            </w:r>
            <w:r>
              <w:rPr>
                <w:sz w:val="14"/>
              </w:rPr>
              <w:t>to</w:t>
            </w:r>
            <w:r>
              <w:rPr>
                <w:spacing w:val="-1"/>
                <w:sz w:val="14"/>
              </w:rPr>
              <w:t> </w:t>
            </w:r>
            <w:r>
              <w:rPr>
                <w:spacing w:val="-5"/>
                <w:sz w:val="14"/>
              </w:rPr>
              <w:t>Dec</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19.40</w:t>
            </w:r>
          </w:p>
        </w:tc>
        <w:tc>
          <w:tcPr>
            <w:tcW w:w="995" w:type="dxa"/>
          </w:tcPr>
          <w:p>
            <w:pPr>
              <w:pStyle w:val="TableParagraph"/>
              <w:spacing w:line="140" w:lineRule="exact" w:before="15"/>
              <w:ind w:right="101"/>
              <w:jc w:val="right"/>
              <w:rPr>
                <w:sz w:val="14"/>
              </w:rPr>
            </w:pPr>
            <w:r>
              <w:rPr>
                <w:spacing w:val="-2"/>
                <w:sz w:val="14"/>
              </w:rPr>
              <w:t>20.85</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5"/>
                <w:sz w:val="14"/>
              </w:rPr>
              <w:t> </w:t>
            </w:r>
            <w:r>
              <w:rPr>
                <w:sz w:val="14"/>
              </w:rPr>
              <w:t>Not</w:t>
            </w:r>
            <w:r>
              <w:rPr>
                <w:spacing w:val="-1"/>
                <w:sz w:val="14"/>
              </w:rPr>
              <w:t> </w:t>
            </w:r>
            <w:r>
              <w:rPr>
                <w:sz w:val="14"/>
              </w:rPr>
              <w:t>For</w:t>
            </w:r>
            <w:r>
              <w:rPr>
                <w:spacing w:val="-4"/>
                <w:sz w:val="14"/>
              </w:rPr>
              <w:t> </w:t>
            </w:r>
            <w:r>
              <w:rPr>
                <w:sz w:val="14"/>
              </w:rPr>
              <w:t>Profit</w:t>
            </w:r>
            <w:r>
              <w:rPr>
                <w:spacing w:val="-2"/>
                <w:sz w:val="14"/>
              </w:rPr>
              <w:t> </w:t>
            </w:r>
            <w:r>
              <w:rPr>
                <w:sz w:val="14"/>
              </w:rPr>
              <w:t>regular</w:t>
            </w:r>
            <w:r>
              <w:rPr>
                <w:spacing w:val="-4"/>
                <w:sz w:val="14"/>
              </w:rPr>
              <w:t> </w:t>
            </w:r>
            <w:r>
              <w:rPr>
                <w:sz w:val="14"/>
              </w:rPr>
              <w:t>hour</w:t>
            </w:r>
            <w:r>
              <w:rPr>
                <w:spacing w:val="-2"/>
                <w:sz w:val="14"/>
              </w:rPr>
              <w:t> </w:t>
            </w:r>
            <w:r>
              <w:rPr>
                <w:sz w:val="14"/>
              </w:rPr>
              <w:t>rate</w:t>
            </w:r>
            <w:r>
              <w:rPr>
                <w:spacing w:val="-1"/>
                <w:sz w:val="14"/>
              </w:rPr>
              <w:t> </w:t>
            </w:r>
            <w:r>
              <w:rPr>
                <w:sz w:val="14"/>
              </w:rPr>
              <w:t>-</w:t>
            </w:r>
            <w:r>
              <w:rPr>
                <w:spacing w:val="-4"/>
                <w:sz w:val="14"/>
              </w:rPr>
              <w:t> </w:t>
            </w:r>
            <w:r>
              <w:rPr>
                <w:sz w:val="14"/>
              </w:rPr>
              <w:t>Jan</w:t>
            </w:r>
            <w:r>
              <w:rPr>
                <w:spacing w:val="-5"/>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Not</w:t>
            </w:r>
            <w:r>
              <w:rPr>
                <w:spacing w:val="-2"/>
                <w:sz w:val="14"/>
              </w:rPr>
              <w:t> </w:t>
            </w:r>
            <w:r>
              <w:rPr>
                <w:sz w:val="14"/>
              </w:rPr>
              <w:t>For</w:t>
            </w:r>
            <w:r>
              <w:rPr>
                <w:spacing w:val="-4"/>
                <w:sz w:val="14"/>
              </w:rPr>
              <w:t> </w:t>
            </w:r>
            <w:r>
              <w:rPr>
                <w:sz w:val="14"/>
              </w:rPr>
              <w:t>Profit</w:t>
            </w:r>
            <w:r>
              <w:rPr>
                <w:spacing w:val="-4"/>
                <w:sz w:val="14"/>
              </w:rPr>
              <w:t> </w:t>
            </w:r>
            <w:r>
              <w:rPr>
                <w:sz w:val="14"/>
              </w:rPr>
              <w:t>Night</w:t>
            </w:r>
            <w:r>
              <w:rPr>
                <w:spacing w:val="2"/>
                <w:sz w:val="14"/>
              </w:rPr>
              <w:t> </w:t>
            </w:r>
            <w:r>
              <w:rPr>
                <w:sz w:val="14"/>
              </w:rPr>
              <w:t>Hire</w:t>
            </w:r>
            <w:r>
              <w:rPr>
                <w:spacing w:val="-2"/>
                <w:sz w:val="14"/>
              </w:rPr>
              <w:t> </w:t>
            </w:r>
            <w:r>
              <w:rPr>
                <w:sz w:val="14"/>
              </w:rPr>
              <w:t>-</w:t>
            </w:r>
            <w:r>
              <w:rPr>
                <w:spacing w:val="-4"/>
                <w:sz w:val="14"/>
              </w:rPr>
              <w:t> </w:t>
            </w:r>
            <w:r>
              <w:rPr>
                <w:sz w:val="14"/>
              </w:rPr>
              <w:t>Jul 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377.70</w:t>
            </w:r>
          </w:p>
        </w:tc>
        <w:tc>
          <w:tcPr>
            <w:tcW w:w="995" w:type="dxa"/>
          </w:tcPr>
          <w:p>
            <w:pPr>
              <w:pStyle w:val="TableParagraph"/>
              <w:spacing w:line="140" w:lineRule="exact" w:before="17"/>
              <w:ind w:right="102"/>
              <w:jc w:val="right"/>
              <w:rPr>
                <w:sz w:val="14"/>
              </w:rPr>
            </w:pPr>
            <w:r>
              <w:rPr>
                <w:spacing w:val="-2"/>
                <w:sz w:val="14"/>
              </w:rPr>
              <w:t>406.03</w:t>
            </w:r>
          </w:p>
        </w:tc>
        <w:tc>
          <w:tcPr>
            <w:tcW w:w="861" w:type="dxa"/>
          </w:tcPr>
          <w:p>
            <w:pPr>
              <w:pStyle w:val="TableParagraph"/>
              <w:spacing w:line="140" w:lineRule="exact" w:before="17"/>
              <w:ind w:left="327"/>
              <w:rPr>
                <w:sz w:val="14"/>
              </w:rPr>
            </w:pPr>
            <w:r>
              <w:rPr>
                <w:spacing w:val="-5"/>
                <w:sz w:val="14"/>
              </w:rPr>
              <w:t>7.0</w:t>
            </w:r>
          </w:p>
        </w:tc>
      </w:tr>
    </w:tbl>
    <w:p>
      <w:pPr>
        <w:spacing w:after="0" w:line="140" w:lineRule="exact"/>
        <w:rPr>
          <w:sz w:val="14"/>
        </w:rPr>
        <w:sectPr>
          <w:footerReference w:type="default" r:id="rId39"/>
          <w:pgSz w:w="11910" w:h="16840"/>
          <w:pgMar w:footer="670" w:header="0" w:top="840" w:bottom="860"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Not</w:t>
            </w:r>
            <w:r>
              <w:rPr>
                <w:spacing w:val="-1"/>
                <w:sz w:val="14"/>
              </w:rPr>
              <w:t> </w:t>
            </w:r>
            <w:r>
              <w:rPr>
                <w:sz w:val="14"/>
              </w:rPr>
              <w:t>For</w:t>
            </w:r>
            <w:r>
              <w:rPr>
                <w:spacing w:val="-4"/>
                <w:sz w:val="14"/>
              </w:rPr>
              <w:t> </w:t>
            </w:r>
            <w:r>
              <w:rPr>
                <w:sz w:val="14"/>
              </w:rPr>
              <w:t>Profit</w:t>
            </w:r>
            <w:r>
              <w:rPr>
                <w:spacing w:val="-4"/>
                <w:sz w:val="14"/>
              </w:rPr>
              <w:t> </w:t>
            </w:r>
            <w:r>
              <w:rPr>
                <w:sz w:val="14"/>
              </w:rPr>
              <w:t>Night</w:t>
            </w:r>
            <w:r>
              <w:rPr>
                <w:spacing w:val="2"/>
                <w:sz w:val="14"/>
              </w:rPr>
              <w:t> </w:t>
            </w:r>
            <w:r>
              <w:rPr>
                <w:sz w:val="14"/>
              </w:rPr>
              <w:t>Hire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377.70</w:t>
            </w:r>
          </w:p>
        </w:tc>
        <w:tc>
          <w:tcPr>
            <w:tcW w:w="995" w:type="dxa"/>
          </w:tcPr>
          <w:p>
            <w:pPr>
              <w:pStyle w:val="TableParagraph"/>
              <w:spacing w:line="140" w:lineRule="exact" w:before="15"/>
              <w:ind w:right="102"/>
              <w:jc w:val="right"/>
              <w:rPr>
                <w:sz w:val="14"/>
              </w:rPr>
            </w:pPr>
            <w:r>
              <w:rPr>
                <w:spacing w:val="-2"/>
                <w:sz w:val="14"/>
              </w:rPr>
              <w:t>406.03</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5"/>
                <w:sz w:val="14"/>
              </w:rPr>
              <w:t> </w:t>
            </w:r>
            <w:r>
              <w:rPr>
                <w:sz w:val="14"/>
              </w:rPr>
              <w:t>Community</w:t>
            </w:r>
            <w:r>
              <w:rPr>
                <w:spacing w:val="-3"/>
                <w:sz w:val="14"/>
              </w:rPr>
              <w:t> </w:t>
            </w:r>
            <w:r>
              <w:rPr>
                <w:sz w:val="14"/>
              </w:rPr>
              <w:t>casual</w:t>
            </w:r>
            <w:r>
              <w:rPr>
                <w:spacing w:val="34"/>
                <w:sz w:val="14"/>
              </w:rPr>
              <w:t> </w:t>
            </w:r>
            <w:r>
              <w:rPr>
                <w:sz w:val="14"/>
              </w:rPr>
              <w:t>hour</w:t>
            </w:r>
            <w:r>
              <w:rPr>
                <w:spacing w:val="-5"/>
                <w:sz w:val="14"/>
              </w:rPr>
              <w:t> </w:t>
            </w:r>
            <w:r>
              <w:rPr>
                <w:sz w:val="14"/>
              </w:rPr>
              <w:t>rate</w:t>
            </w:r>
            <w:r>
              <w:rPr>
                <w:spacing w:val="-1"/>
                <w:sz w:val="14"/>
              </w:rPr>
              <w:t> </w:t>
            </w:r>
            <w:r>
              <w:rPr>
                <w:sz w:val="14"/>
              </w:rPr>
              <w:t>-</w:t>
            </w:r>
            <w:r>
              <w:rPr>
                <w:spacing w:val="-2"/>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2"/>
                <w:sz w:val="14"/>
              </w:rPr>
              <w:t> </w:t>
            </w:r>
            <w:r>
              <w:rPr>
                <w:sz w:val="14"/>
              </w:rPr>
              <w:t>Hall</w:t>
            </w:r>
            <w:r>
              <w:rPr>
                <w:spacing w:val="-5"/>
                <w:sz w:val="14"/>
              </w:rPr>
              <w:t> </w:t>
            </w:r>
            <w:r>
              <w:rPr>
                <w:sz w:val="14"/>
              </w:rPr>
              <w:t>Community</w:t>
            </w:r>
            <w:r>
              <w:rPr>
                <w:spacing w:val="-3"/>
                <w:sz w:val="14"/>
              </w:rPr>
              <w:t> </w:t>
            </w:r>
            <w:r>
              <w:rPr>
                <w:sz w:val="14"/>
              </w:rPr>
              <w:t>casual</w:t>
            </w:r>
            <w:r>
              <w:rPr>
                <w:spacing w:val="33"/>
                <w:sz w:val="14"/>
              </w:rPr>
              <w:t> </w:t>
            </w:r>
            <w:r>
              <w:rPr>
                <w:sz w:val="14"/>
              </w:rPr>
              <w:t>hour</w:t>
            </w:r>
            <w:r>
              <w:rPr>
                <w:spacing w:val="-5"/>
                <w:sz w:val="14"/>
              </w:rPr>
              <w:t> </w:t>
            </w:r>
            <w:r>
              <w:rPr>
                <w:sz w:val="14"/>
              </w:rPr>
              <w:t>rate</w:t>
            </w:r>
            <w:r>
              <w:rPr>
                <w:spacing w:val="-2"/>
                <w:sz w:val="14"/>
              </w:rPr>
              <w:t> </w:t>
            </w:r>
            <w:r>
              <w:rPr>
                <w:sz w:val="14"/>
              </w:rPr>
              <w:t>-</w:t>
            </w:r>
            <w:r>
              <w:rPr>
                <w:spacing w:val="-1"/>
                <w:sz w:val="14"/>
              </w:rPr>
              <w:t> </w:t>
            </w:r>
            <w:r>
              <w:rPr>
                <w:sz w:val="14"/>
              </w:rPr>
              <w:t>Jan</w:t>
            </w:r>
            <w:r>
              <w:rPr>
                <w:spacing w:val="-2"/>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Community</w:t>
            </w:r>
            <w:r>
              <w:rPr>
                <w:spacing w:val="34"/>
                <w:sz w:val="14"/>
              </w:rPr>
              <w:t> </w:t>
            </w:r>
            <w:r>
              <w:rPr>
                <w:sz w:val="14"/>
              </w:rPr>
              <w:t>regular</w:t>
            </w:r>
            <w:r>
              <w:rPr>
                <w:spacing w:val="-1"/>
                <w:sz w:val="14"/>
              </w:rPr>
              <w:t> </w:t>
            </w:r>
            <w:r>
              <w:rPr>
                <w:sz w:val="14"/>
              </w:rPr>
              <w:t>hour</w:t>
            </w:r>
            <w:r>
              <w:rPr>
                <w:spacing w:val="-4"/>
                <w:sz w:val="14"/>
              </w:rPr>
              <w:t> </w:t>
            </w:r>
            <w:r>
              <w:rPr>
                <w:sz w:val="14"/>
              </w:rPr>
              <w:t>rate</w:t>
            </w:r>
            <w:r>
              <w:rPr>
                <w:spacing w:val="-2"/>
                <w:sz w:val="14"/>
              </w:rPr>
              <w:t> </w:t>
            </w:r>
            <w:r>
              <w:rPr>
                <w:sz w:val="14"/>
              </w:rPr>
              <w:t>-</w:t>
            </w:r>
            <w:r>
              <w:rPr>
                <w:spacing w:val="-2"/>
                <w:sz w:val="14"/>
              </w:rPr>
              <w:t> </w:t>
            </w:r>
            <w:r>
              <w:rPr>
                <w:sz w:val="14"/>
              </w:rPr>
              <w:t>Jul</w:t>
            </w:r>
            <w:r>
              <w:rPr>
                <w:spacing w:val="-3"/>
                <w:sz w:val="14"/>
              </w:rPr>
              <w:t> </w:t>
            </w:r>
            <w:r>
              <w:rPr>
                <w:sz w:val="14"/>
              </w:rPr>
              <w:t>to</w:t>
            </w:r>
            <w:r>
              <w:rPr>
                <w:spacing w:val="-5"/>
                <w:sz w:val="14"/>
              </w:rPr>
              <w:t> Dec</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22.20</w:t>
            </w:r>
          </w:p>
        </w:tc>
        <w:tc>
          <w:tcPr>
            <w:tcW w:w="995" w:type="dxa"/>
          </w:tcPr>
          <w:p>
            <w:pPr>
              <w:pStyle w:val="TableParagraph"/>
              <w:spacing w:line="142" w:lineRule="exact" w:before="15"/>
              <w:ind w:right="101"/>
              <w:jc w:val="right"/>
              <w:rPr>
                <w:sz w:val="14"/>
              </w:rPr>
            </w:pPr>
            <w:r>
              <w:rPr>
                <w:spacing w:val="-2"/>
                <w:sz w:val="14"/>
              </w:rPr>
              <w:t>23.86</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Belmont</w:t>
            </w:r>
            <w:r>
              <w:rPr>
                <w:spacing w:val="-4"/>
                <w:sz w:val="14"/>
              </w:rPr>
              <w:t> </w:t>
            </w:r>
            <w:r>
              <w:rPr>
                <w:sz w:val="14"/>
              </w:rPr>
              <w:t>Park</w:t>
            </w:r>
            <w:r>
              <w:rPr>
                <w:spacing w:val="-2"/>
                <w:sz w:val="14"/>
              </w:rPr>
              <w:t> </w:t>
            </w:r>
            <w:r>
              <w:rPr>
                <w:sz w:val="14"/>
              </w:rPr>
              <w:t>Hall</w:t>
            </w:r>
            <w:r>
              <w:rPr>
                <w:spacing w:val="-5"/>
                <w:sz w:val="14"/>
              </w:rPr>
              <w:t> </w:t>
            </w:r>
            <w:r>
              <w:rPr>
                <w:sz w:val="14"/>
              </w:rPr>
              <w:t>Community</w:t>
            </w:r>
            <w:r>
              <w:rPr>
                <w:spacing w:val="34"/>
                <w:sz w:val="14"/>
              </w:rPr>
              <w:t> </w:t>
            </w:r>
            <w:r>
              <w:rPr>
                <w:sz w:val="14"/>
              </w:rPr>
              <w:t>regular</w:t>
            </w:r>
            <w:r>
              <w:rPr>
                <w:spacing w:val="-2"/>
                <w:sz w:val="14"/>
              </w:rPr>
              <w:t> </w:t>
            </w:r>
            <w:r>
              <w:rPr>
                <w:sz w:val="14"/>
              </w:rPr>
              <w:t>hour</w:t>
            </w:r>
            <w:r>
              <w:rPr>
                <w:spacing w:val="-4"/>
                <w:sz w:val="14"/>
              </w:rPr>
              <w:t> </w:t>
            </w:r>
            <w:r>
              <w:rPr>
                <w:sz w:val="14"/>
              </w:rPr>
              <w:t>rate</w:t>
            </w:r>
            <w:r>
              <w:rPr>
                <w:spacing w:val="-3"/>
                <w:sz w:val="14"/>
              </w:rPr>
              <w:t> </w:t>
            </w:r>
            <w:r>
              <w:rPr>
                <w:sz w:val="14"/>
              </w:rPr>
              <w:t>-</w:t>
            </w:r>
            <w:r>
              <w:rPr>
                <w:spacing w:val="-2"/>
                <w:sz w:val="14"/>
              </w:rPr>
              <w:t> </w:t>
            </w:r>
            <w:r>
              <w:rPr>
                <w:sz w:val="14"/>
              </w:rPr>
              <w:t>Jan</w:t>
            </w:r>
            <w:r>
              <w:rPr>
                <w:spacing w:val="-2"/>
                <w:sz w:val="14"/>
              </w:rPr>
              <w:t> </w:t>
            </w:r>
            <w:r>
              <w:rPr>
                <w:sz w:val="14"/>
              </w:rPr>
              <w:t>to</w:t>
            </w:r>
            <w:r>
              <w:rPr>
                <w:spacing w:val="-1"/>
                <w:sz w:val="14"/>
              </w:rPr>
              <w:t> </w:t>
            </w:r>
            <w:r>
              <w:rPr>
                <w:spacing w:val="-5"/>
                <w:sz w:val="14"/>
              </w:rPr>
              <w:t>Jun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22.20</w:t>
            </w:r>
          </w:p>
        </w:tc>
        <w:tc>
          <w:tcPr>
            <w:tcW w:w="995" w:type="dxa"/>
          </w:tcPr>
          <w:p>
            <w:pPr>
              <w:pStyle w:val="TableParagraph"/>
              <w:spacing w:line="140" w:lineRule="exact" w:before="15"/>
              <w:ind w:right="101"/>
              <w:jc w:val="right"/>
              <w:rPr>
                <w:sz w:val="14"/>
              </w:rPr>
            </w:pPr>
            <w:r>
              <w:rPr>
                <w:spacing w:val="-2"/>
                <w:sz w:val="14"/>
              </w:rPr>
              <w:t>23.86</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Community</w:t>
            </w:r>
            <w:r>
              <w:rPr>
                <w:spacing w:val="-4"/>
                <w:sz w:val="14"/>
              </w:rPr>
              <w:t> </w:t>
            </w:r>
            <w:r>
              <w:rPr>
                <w:sz w:val="14"/>
              </w:rPr>
              <w:t>Night</w:t>
            </w:r>
            <w:r>
              <w:rPr>
                <w:spacing w:val="-1"/>
                <w:sz w:val="14"/>
              </w:rPr>
              <w:t> </w:t>
            </w:r>
            <w:r>
              <w:rPr>
                <w:sz w:val="14"/>
              </w:rPr>
              <w:t>Hire</w:t>
            </w:r>
            <w:r>
              <w:rPr>
                <w:spacing w:val="-3"/>
                <w:sz w:val="14"/>
              </w:rPr>
              <w:t> </w:t>
            </w:r>
            <w:r>
              <w:rPr>
                <w:sz w:val="14"/>
              </w:rPr>
              <w:t>-</w:t>
            </w:r>
            <w:r>
              <w:rPr>
                <w:spacing w:val="-5"/>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329.90</w:t>
            </w:r>
          </w:p>
        </w:tc>
        <w:tc>
          <w:tcPr>
            <w:tcW w:w="995" w:type="dxa"/>
          </w:tcPr>
          <w:p>
            <w:pPr>
              <w:pStyle w:val="TableParagraph"/>
              <w:spacing w:line="140" w:lineRule="exact" w:before="17"/>
              <w:ind w:right="102"/>
              <w:jc w:val="right"/>
              <w:rPr>
                <w:sz w:val="14"/>
              </w:rPr>
            </w:pPr>
            <w:r>
              <w:rPr>
                <w:spacing w:val="-2"/>
                <w:sz w:val="14"/>
              </w:rPr>
              <w:t>354.64</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5"/>
                <w:sz w:val="14"/>
              </w:rPr>
              <w:t> </w:t>
            </w:r>
            <w:r>
              <w:rPr>
                <w:sz w:val="14"/>
              </w:rPr>
              <w:t>Community</w:t>
            </w:r>
            <w:r>
              <w:rPr>
                <w:spacing w:val="-3"/>
                <w:sz w:val="14"/>
              </w:rPr>
              <w:t> </w:t>
            </w:r>
            <w:r>
              <w:rPr>
                <w:sz w:val="14"/>
              </w:rPr>
              <w:t>Night</w:t>
            </w:r>
            <w:r>
              <w:rPr>
                <w:spacing w:val="-2"/>
                <w:sz w:val="14"/>
              </w:rPr>
              <w:t> </w:t>
            </w:r>
            <w:r>
              <w:rPr>
                <w:sz w:val="14"/>
              </w:rPr>
              <w:t>Hire</w:t>
            </w:r>
            <w:r>
              <w:rPr>
                <w:spacing w:val="-3"/>
                <w:sz w:val="14"/>
              </w:rPr>
              <w:t> </w:t>
            </w:r>
            <w:r>
              <w:rPr>
                <w:sz w:val="14"/>
              </w:rPr>
              <w:t>-</w:t>
            </w:r>
            <w:r>
              <w:rPr>
                <w:spacing w:val="-5"/>
                <w:sz w:val="14"/>
              </w:rPr>
              <w:t> </w:t>
            </w:r>
            <w:r>
              <w:rPr>
                <w:sz w:val="14"/>
              </w:rPr>
              <w:t>Jan</w:t>
            </w:r>
            <w:r>
              <w:rPr>
                <w:spacing w:val="-2"/>
                <w:sz w:val="14"/>
              </w:rPr>
              <w:t> </w:t>
            </w:r>
            <w:r>
              <w:rPr>
                <w:sz w:val="14"/>
              </w:rPr>
              <w:t>to</w:t>
            </w:r>
            <w:r>
              <w:rPr>
                <w:spacing w:val="-1"/>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329.90</w:t>
            </w:r>
          </w:p>
        </w:tc>
        <w:tc>
          <w:tcPr>
            <w:tcW w:w="995" w:type="dxa"/>
          </w:tcPr>
          <w:p>
            <w:pPr>
              <w:pStyle w:val="TableParagraph"/>
              <w:spacing w:line="140" w:lineRule="exact" w:before="17"/>
              <w:ind w:right="102"/>
              <w:jc w:val="right"/>
              <w:rPr>
                <w:sz w:val="14"/>
              </w:rPr>
            </w:pPr>
            <w:r>
              <w:rPr>
                <w:spacing w:val="-2"/>
                <w:sz w:val="14"/>
              </w:rPr>
              <w:t>354.64</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2"/>
                <w:sz w:val="14"/>
              </w:rPr>
              <w:t> </w:t>
            </w:r>
            <w:r>
              <w:rPr>
                <w:sz w:val="14"/>
              </w:rPr>
              <w:t>Hall</w:t>
            </w:r>
            <w:r>
              <w:rPr>
                <w:spacing w:val="-5"/>
                <w:sz w:val="14"/>
              </w:rPr>
              <w:t> </w:t>
            </w:r>
            <w:r>
              <w:rPr>
                <w:sz w:val="14"/>
              </w:rPr>
              <w:t>Corporate</w:t>
            </w:r>
            <w:r>
              <w:rPr>
                <w:spacing w:val="-3"/>
                <w:sz w:val="14"/>
              </w:rPr>
              <w:t> </w:t>
            </w:r>
            <w:r>
              <w:rPr>
                <w:sz w:val="14"/>
              </w:rPr>
              <w:t>casual</w:t>
            </w:r>
            <w:r>
              <w:rPr>
                <w:spacing w:val="34"/>
                <w:sz w:val="14"/>
              </w:rPr>
              <w:t> </w:t>
            </w:r>
            <w:r>
              <w:rPr>
                <w:sz w:val="14"/>
              </w:rPr>
              <w:t>hour</w:t>
            </w:r>
            <w:r>
              <w:rPr>
                <w:spacing w:val="-1"/>
                <w:sz w:val="14"/>
              </w:rPr>
              <w:t> </w:t>
            </w:r>
            <w:r>
              <w:rPr>
                <w:sz w:val="14"/>
              </w:rPr>
              <w:t>rate</w:t>
            </w:r>
            <w:r>
              <w:rPr>
                <w:spacing w:val="-2"/>
                <w:sz w:val="14"/>
              </w:rPr>
              <w:t> </w:t>
            </w:r>
            <w:r>
              <w:rPr>
                <w:sz w:val="14"/>
              </w:rPr>
              <w:t>-</w:t>
            </w:r>
            <w:r>
              <w:rPr>
                <w:spacing w:val="-5"/>
                <w:sz w:val="14"/>
              </w:rPr>
              <w:t> </w:t>
            </w:r>
            <w:r>
              <w:rPr>
                <w:sz w:val="14"/>
              </w:rPr>
              <w:t>Jul</w:t>
            </w:r>
            <w:r>
              <w:rPr>
                <w:spacing w:val="-4"/>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2"/>
                <w:sz w:val="14"/>
              </w:rPr>
              <w:t> </w:t>
            </w:r>
            <w:r>
              <w:rPr>
                <w:sz w:val="14"/>
              </w:rPr>
              <w:t>Hall</w:t>
            </w:r>
            <w:r>
              <w:rPr>
                <w:spacing w:val="-4"/>
                <w:sz w:val="14"/>
              </w:rPr>
              <w:t> </w:t>
            </w:r>
            <w:r>
              <w:rPr>
                <w:sz w:val="14"/>
              </w:rPr>
              <w:t>Corporate</w:t>
            </w:r>
            <w:r>
              <w:rPr>
                <w:spacing w:val="-3"/>
                <w:sz w:val="14"/>
              </w:rPr>
              <w:t> </w:t>
            </w:r>
            <w:r>
              <w:rPr>
                <w:sz w:val="14"/>
              </w:rPr>
              <w:t>casual</w:t>
            </w:r>
            <w:r>
              <w:rPr>
                <w:spacing w:val="35"/>
                <w:sz w:val="14"/>
              </w:rPr>
              <w:t> </w:t>
            </w:r>
            <w:r>
              <w:rPr>
                <w:sz w:val="14"/>
              </w:rPr>
              <w:t>hour</w:t>
            </w:r>
            <w:r>
              <w:rPr>
                <w:spacing w:val="-2"/>
                <w:sz w:val="14"/>
              </w:rPr>
              <w:t> </w:t>
            </w:r>
            <w:r>
              <w:rPr>
                <w:sz w:val="14"/>
              </w:rPr>
              <w:t>rate</w:t>
            </w:r>
            <w:r>
              <w:rPr>
                <w:spacing w:val="-2"/>
                <w:sz w:val="14"/>
              </w:rPr>
              <w:t> </w:t>
            </w:r>
            <w:r>
              <w:rPr>
                <w:sz w:val="14"/>
              </w:rPr>
              <w:t>-</w:t>
            </w:r>
            <w:r>
              <w:rPr>
                <w:spacing w:val="-4"/>
                <w:sz w:val="14"/>
              </w:rPr>
              <w:t> </w:t>
            </w:r>
            <w:r>
              <w:rPr>
                <w:sz w:val="14"/>
              </w:rPr>
              <w:t>Jan</w:t>
            </w:r>
            <w:r>
              <w:rPr>
                <w:spacing w:val="-5"/>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2"/>
                <w:sz w:val="14"/>
              </w:rPr>
              <w:t> </w:t>
            </w:r>
            <w:r>
              <w:rPr>
                <w:sz w:val="14"/>
              </w:rPr>
              <w:t>Hall</w:t>
            </w:r>
            <w:r>
              <w:rPr>
                <w:spacing w:val="-4"/>
                <w:sz w:val="14"/>
              </w:rPr>
              <w:t> </w:t>
            </w:r>
            <w:r>
              <w:rPr>
                <w:sz w:val="14"/>
              </w:rPr>
              <w:t>Corporate</w:t>
            </w:r>
            <w:r>
              <w:rPr>
                <w:spacing w:val="33"/>
                <w:sz w:val="14"/>
              </w:rPr>
              <w:t> </w:t>
            </w:r>
            <w:r>
              <w:rPr>
                <w:sz w:val="14"/>
              </w:rPr>
              <w:t>regular</w:t>
            </w:r>
            <w:r>
              <w:rPr>
                <w:spacing w:val="-4"/>
                <w:sz w:val="14"/>
              </w:rPr>
              <w:t> </w:t>
            </w:r>
            <w:r>
              <w:rPr>
                <w:sz w:val="14"/>
              </w:rPr>
              <w:t>hour</w:t>
            </w:r>
            <w:r>
              <w:rPr>
                <w:spacing w:val="-2"/>
                <w:sz w:val="14"/>
              </w:rPr>
              <w:t> </w:t>
            </w:r>
            <w:r>
              <w:rPr>
                <w:sz w:val="14"/>
              </w:rPr>
              <w:t>rate</w:t>
            </w:r>
            <w:r>
              <w:rPr>
                <w:spacing w:val="-1"/>
                <w:sz w:val="14"/>
              </w:rPr>
              <w:t> </w:t>
            </w:r>
            <w:r>
              <w:rPr>
                <w:sz w:val="14"/>
              </w:rPr>
              <w:t>-</w:t>
            </w:r>
            <w:r>
              <w:rPr>
                <w:spacing w:val="-5"/>
                <w:sz w:val="14"/>
              </w:rPr>
              <w:t> </w:t>
            </w:r>
            <w:r>
              <w:rPr>
                <w:sz w:val="14"/>
              </w:rPr>
              <w:t>Jul</w:t>
            </w:r>
            <w:r>
              <w:rPr>
                <w:spacing w:val="-4"/>
                <w:sz w:val="14"/>
              </w:rPr>
              <w:t> </w:t>
            </w:r>
            <w:r>
              <w:rPr>
                <w:sz w:val="14"/>
              </w:rPr>
              <w:t>to</w:t>
            </w:r>
            <w:r>
              <w:rPr>
                <w:spacing w:val="-1"/>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5"/>
                <w:sz w:val="14"/>
              </w:rPr>
              <w:t> </w:t>
            </w:r>
            <w:r>
              <w:rPr>
                <w:sz w:val="14"/>
              </w:rPr>
              <w:t>Corporate</w:t>
            </w:r>
            <w:r>
              <w:rPr>
                <w:spacing w:val="34"/>
                <w:sz w:val="14"/>
              </w:rPr>
              <w:t> </w:t>
            </w:r>
            <w:r>
              <w:rPr>
                <w:sz w:val="14"/>
              </w:rPr>
              <w:t>regular</w:t>
            </w:r>
            <w:r>
              <w:rPr>
                <w:spacing w:val="-4"/>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4"/>
                <w:sz w:val="14"/>
              </w:rPr>
              <w:t> </w:t>
            </w:r>
            <w:r>
              <w:rPr>
                <w:sz w:val="14"/>
              </w:rPr>
              <w:t>to</w:t>
            </w:r>
            <w:r>
              <w:rPr>
                <w:spacing w:val="-5"/>
                <w:sz w:val="14"/>
              </w:rPr>
              <w:t> 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Corporate</w:t>
            </w:r>
            <w:r>
              <w:rPr>
                <w:spacing w:val="-3"/>
                <w:sz w:val="14"/>
              </w:rPr>
              <w:t> </w:t>
            </w:r>
            <w:r>
              <w:rPr>
                <w:sz w:val="14"/>
              </w:rPr>
              <w:t>Night</w:t>
            </w:r>
            <w:r>
              <w:rPr>
                <w:spacing w:val="-4"/>
                <w:sz w:val="14"/>
              </w:rPr>
              <w:t> </w:t>
            </w:r>
            <w:r>
              <w:rPr>
                <w:sz w:val="14"/>
              </w:rPr>
              <w:t>Hire</w:t>
            </w:r>
            <w:r>
              <w:rPr>
                <w:spacing w:val="-2"/>
                <w:sz w:val="14"/>
              </w:rPr>
              <w:t> </w:t>
            </w:r>
            <w:r>
              <w:rPr>
                <w:sz w:val="14"/>
              </w:rPr>
              <w:t>-</w:t>
            </w:r>
            <w:r>
              <w:rPr>
                <w:spacing w:val="-5"/>
                <w:sz w:val="14"/>
              </w:rPr>
              <w:t> </w:t>
            </w:r>
            <w:r>
              <w:rPr>
                <w:sz w:val="14"/>
              </w:rPr>
              <w:t>Jul 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245.00</w:t>
            </w:r>
          </w:p>
        </w:tc>
        <w:tc>
          <w:tcPr>
            <w:tcW w:w="995" w:type="dxa"/>
          </w:tcPr>
          <w:p>
            <w:pPr>
              <w:pStyle w:val="TableParagraph"/>
              <w:spacing w:line="140" w:lineRule="exact" w:before="17"/>
              <w:ind w:right="102"/>
              <w:jc w:val="right"/>
              <w:rPr>
                <w:sz w:val="14"/>
              </w:rPr>
            </w:pPr>
            <w:r>
              <w:rPr>
                <w:spacing w:val="-2"/>
                <w:sz w:val="14"/>
              </w:rPr>
              <w:t>263.38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Belmont</w:t>
            </w:r>
            <w:r>
              <w:rPr>
                <w:spacing w:val="-4"/>
                <w:sz w:val="14"/>
              </w:rPr>
              <w:t> </w:t>
            </w:r>
            <w:r>
              <w:rPr>
                <w:sz w:val="14"/>
              </w:rPr>
              <w:t>Park</w:t>
            </w:r>
            <w:r>
              <w:rPr>
                <w:spacing w:val="-1"/>
                <w:sz w:val="14"/>
              </w:rPr>
              <w:t> </w:t>
            </w:r>
            <w:r>
              <w:rPr>
                <w:sz w:val="14"/>
              </w:rPr>
              <w:t>Hall</w:t>
            </w:r>
            <w:r>
              <w:rPr>
                <w:spacing w:val="-4"/>
                <w:sz w:val="14"/>
              </w:rPr>
              <w:t> </w:t>
            </w:r>
            <w:r>
              <w:rPr>
                <w:sz w:val="14"/>
              </w:rPr>
              <w:t>Corporate</w:t>
            </w:r>
            <w:r>
              <w:rPr>
                <w:spacing w:val="-2"/>
                <w:sz w:val="14"/>
              </w:rPr>
              <w:t> </w:t>
            </w:r>
            <w:r>
              <w:rPr>
                <w:sz w:val="14"/>
              </w:rPr>
              <w:t>Night</w:t>
            </w:r>
            <w:r>
              <w:rPr>
                <w:spacing w:val="-4"/>
                <w:sz w:val="14"/>
              </w:rPr>
              <w:t> </w:t>
            </w:r>
            <w:r>
              <w:rPr>
                <w:sz w:val="14"/>
              </w:rPr>
              <w:t>Hire</w:t>
            </w:r>
            <w:r>
              <w:rPr>
                <w:spacing w:val="-2"/>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245.00</w:t>
            </w:r>
          </w:p>
        </w:tc>
        <w:tc>
          <w:tcPr>
            <w:tcW w:w="995" w:type="dxa"/>
          </w:tcPr>
          <w:p>
            <w:pPr>
              <w:pStyle w:val="TableParagraph"/>
              <w:spacing w:line="140" w:lineRule="exact" w:before="17"/>
              <w:ind w:right="102"/>
              <w:jc w:val="right"/>
              <w:rPr>
                <w:sz w:val="14"/>
              </w:rPr>
            </w:pPr>
            <w:r>
              <w:rPr>
                <w:spacing w:val="-2"/>
                <w:sz w:val="14"/>
              </w:rPr>
              <w:t>263.38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Casual</w:t>
            </w:r>
            <w:r>
              <w:rPr>
                <w:spacing w:val="-4"/>
                <w:sz w:val="14"/>
              </w:rPr>
              <w:t> </w:t>
            </w:r>
            <w:r>
              <w:rPr>
                <w:sz w:val="14"/>
              </w:rPr>
              <w:t>Cleaner</w:t>
            </w:r>
            <w:r>
              <w:rPr>
                <w:spacing w:val="-2"/>
                <w:sz w:val="14"/>
              </w:rPr>
              <w:t> </w:t>
            </w:r>
            <w:r>
              <w:rPr>
                <w:sz w:val="14"/>
              </w:rPr>
              <w:t>3</w:t>
            </w:r>
            <w:r>
              <w:rPr>
                <w:spacing w:val="-6"/>
                <w:sz w:val="14"/>
              </w:rPr>
              <w:t> </w:t>
            </w:r>
            <w:r>
              <w:rPr>
                <w:spacing w:val="-2"/>
                <w:sz w:val="14"/>
              </w:rPr>
              <w:t>hours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w:t>
            </w:r>
          </w:p>
        </w:tc>
        <w:tc>
          <w:tcPr>
            <w:tcW w:w="995" w:type="dxa"/>
          </w:tcPr>
          <w:p>
            <w:pPr>
              <w:pStyle w:val="TableParagraph"/>
              <w:spacing w:line="140" w:lineRule="exact" w:before="17"/>
              <w:ind w:right="102"/>
              <w:jc w:val="right"/>
              <w:rPr>
                <w:sz w:val="14"/>
              </w:rPr>
            </w:pPr>
            <w:r>
              <w:rPr>
                <w:spacing w:val="-2"/>
                <w:sz w:val="14"/>
              </w:rPr>
              <w:t>129.00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Keystone</w:t>
            </w:r>
            <w:r>
              <w:rPr>
                <w:b/>
                <w:spacing w:val="-9"/>
                <w:sz w:val="14"/>
              </w:rPr>
              <w:t> </w:t>
            </w:r>
            <w:r>
              <w:rPr>
                <w:b/>
                <w:spacing w:val="-4"/>
                <w:sz w:val="14"/>
              </w:rPr>
              <w:t>Hall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Keystone</w:t>
            </w:r>
            <w:r>
              <w:rPr>
                <w:spacing w:val="-3"/>
                <w:sz w:val="14"/>
              </w:rPr>
              <w:t> </w:t>
            </w:r>
            <w:r>
              <w:rPr>
                <w:sz w:val="14"/>
              </w:rPr>
              <w:t>Hall</w:t>
            </w:r>
            <w:r>
              <w:rPr>
                <w:spacing w:val="-3"/>
                <w:sz w:val="14"/>
              </w:rPr>
              <w:t> </w:t>
            </w:r>
            <w:r>
              <w:rPr>
                <w:sz w:val="14"/>
              </w:rPr>
              <w:t>Not</w:t>
            </w:r>
            <w:r>
              <w:rPr>
                <w:spacing w:val="-1"/>
                <w:sz w:val="14"/>
              </w:rPr>
              <w:t> </w:t>
            </w:r>
            <w:r>
              <w:rPr>
                <w:sz w:val="14"/>
              </w:rPr>
              <w:t>For</w:t>
            </w:r>
            <w:r>
              <w:rPr>
                <w:spacing w:val="-5"/>
                <w:sz w:val="14"/>
              </w:rPr>
              <w:t> </w:t>
            </w:r>
            <w:r>
              <w:rPr>
                <w:sz w:val="14"/>
              </w:rPr>
              <w:t>Profit</w:t>
            </w:r>
            <w:r>
              <w:rPr>
                <w:spacing w:val="-3"/>
                <w:sz w:val="14"/>
              </w:rPr>
              <w:t> </w:t>
            </w:r>
            <w:r>
              <w:rPr>
                <w:sz w:val="14"/>
              </w:rPr>
              <w:t>casual</w:t>
            </w:r>
            <w:r>
              <w:rPr>
                <w:spacing w:val="34"/>
                <w:sz w:val="14"/>
              </w:rPr>
              <w:t> </w:t>
            </w:r>
            <w:r>
              <w:rPr>
                <w:sz w:val="14"/>
              </w:rPr>
              <w:t>hour</w:t>
            </w:r>
            <w:r>
              <w:rPr>
                <w:spacing w:val="-1"/>
                <w:sz w:val="14"/>
              </w:rPr>
              <w:t> </w:t>
            </w:r>
            <w:r>
              <w:rPr>
                <w:sz w:val="14"/>
              </w:rPr>
              <w:t>rate</w:t>
            </w:r>
            <w:r>
              <w:rPr>
                <w:spacing w:val="-4"/>
                <w:sz w:val="14"/>
              </w:rPr>
              <w:t> </w:t>
            </w:r>
            <w:r>
              <w:rPr>
                <w:sz w:val="14"/>
              </w:rPr>
              <w:t>-</w:t>
            </w:r>
            <w:r>
              <w:rPr>
                <w:spacing w:val="-2"/>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25.00</w:t>
            </w:r>
          </w:p>
        </w:tc>
        <w:tc>
          <w:tcPr>
            <w:tcW w:w="995" w:type="dxa"/>
          </w:tcPr>
          <w:p>
            <w:pPr>
              <w:pStyle w:val="TableParagraph"/>
              <w:spacing w:line="142" w:lineRule="exact" w:before="15"/>
              <w:ind w:right="101"/>
              <w:jc w:val="right"/>
              <w:rPr>
                <w:sz w:val="14"/>
              </w:rPr>
            </w:pPr>
            <w:r>
              <w:rPr>
                <w:spacing w:val="-2"/>
                <w:sz w:val="14"/>
              </w:rPr>
              <w:t>26.88</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Keystone</w:t>
            </w:r>
            <w:r>
              <w:rPr>
                <w:spacing w:val="-3"/>
                <w:sz w:val="14"/>
              </w:rPr>
              <w:t> </w:t>
            </w:r>
            <w:r>
              <w:rPr>
                <w:sz w:val="14"/>
              </w:rPr>
              <w:t>Hall</w:t>
            </w:r>
            <w:r>
              <w:rPr>
                <w:spacing w:val="-3"/>
                <w:sz w:val="14"/>
              </w:rPr>
              <w:t> </w:t>
            </w:r>
            <w:r>
              <w:rPr>
                <w:sz w:val="14"/>
              </w:rPr>
              <w:t>Not</w:t>
            </w:r>
            <w:r>
              <w:rPr>
                <w:spacing w:val="-2"/>
                <w:sz w:val="14"/>
              </w:rPr>
              <w:t> </w:t>
            </w:r>
            <w:r>
              <w:rPr>
                <w:sz w:val="14"/>
              </w:rPr>
              <w:t>For</w:t>
            </w:r>
            <w:r>
              <w:rPr>
                <w:spacing w:val="-4"/>
                <w:sz w:val="14"/>
              </w:rPr>
              <w:t> </w:t>
            </w:r>
            <w:r>
              <w:rPr>
                <w:sz w:val="14"/>
              </w:rPr>
              <w:t>Profit</w:t>
            </w:r>
            <w:r>
              <w:rPr>
                <w:spacing w:val="-3"/>
                <w:sz w:val="14"/>
              </w:rPr>
              <w:t> </w:t>
            </w:r>
            <w:r>
              <w:rPr>
                <w:sz w:val="14"/>
              </w:rPr>
              <w:t>casual</w:t>
            </w:r>
            <w:r>
              <w:rPr>
                <w:spacing w:val="34"/>
                <w:sz w:val="14"/>
              </w:rPr>
              <w:t> </w:t>
            </w:r>
            <w:r>
              <w:rPr>
                <w:sz w:val="14"/>
              </w:rPr>
              <w:t>hour</w:t>
            </w:r>
            <w:r>
              <w:rPr>
                <w:spacing w:val="-2"/>
                <w:sz w:val="14"/>
              </w:rPr>
              <w:t> </w:t>
            </w:r>
            <w:r>
              <w:rPr>
                <w:sz w:val="14"/>
              </w:rPr>
              <w:t>rate</w:t>
            </w:r>
            <w:r>
              <w:rPr>
                <w:spacing w:val="-4"/>
                <w:sz w:val="14"/>
              </w:rPr>
              <w:t> </w:t>
            </w:r>
            <w:r>
              <w:rPr>
                <w:sz w:val="14"/>
              </w:rPr>
              <w:t>-</w:t>
            </w:r>
            <w:r>
              <w:rPr>
                <w:spacing w:val="-2"/>
                <w:sz w:val="14"/>
              </w:rPr>
              <w:t> </w:t>
            </w:r>
            <w:r>
              <w:rPr>
                <w:sz w:val="14"/>
              </w:rPr>
              <w:t>Jan</w:t>
            </w:r>
            <w:r>
              <w:rPr>
                <w:spacing w:val="-4"/>
                <w:sz w:val="14"/>
              </w:rPr>
              <w:t> </w:t>
            </w:r>
            <w:r>
              <w:rPr>
                <w:sz w:val="14"/>
              </w:rPr>
              <w:t>to</w:t>
            </w:r>
            <w:r>
              <w:rPr>
                <w:spacing w:val="-1"/>
                <w:sz w:val="14"/>
              </w:rPr>
              <w:t> </w:t>
            </w:r>
            <w:r>
              <w:rPr>
                <w:spacing w:val="-5"/>
                <w:sz w:val="14"/>
              </w:rPr>
              <w:t>Jun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25.00</w:t>
            </w:r>
          </w:p>
        </w:tc>
        <w:tc>
          <w:tcPr>
            <w:tcW w:w="995" w:type="dxa"/>
          </w:tcPr>
          <w:p>
            <w:pPr>
              <w:pStyle w:val="TableParagraph"/>
              <w:spacing w:line="140" w:lineRule="exact" w:before="15"/>
              <w:ind w:right="101"/>
              <w:jc w:val="right"/>
              <w:rPr>
                <w:sz w:val="14"/>
              </w:rPr>
            </w:pPr>
            <w:r>
              <w:rPr>
                <w:spacing w:val="-2"/>
                <w:sz w:val="14"/>
              </w:rPr>
              <w:t>26.88</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Not</w:t>
            </w:r>
            <w:r>
              <w:rPr>
                <w:spacing w:val="-1"/>
                <w:sz w:val="14"/>
              </w:rPr>
              <w:t> </w:t>
            </w:r>
            <w:r>
              <w:rPr>
                <w:sz w:val="14"/>
              </w:rPr>
              <w:t>For</w:t>
            </w:r>
            <w:r>
              <w:rPr>
                <w:spacing w:val="-5"/>
                <w:sz w:val="14"/>
              </w:rPr>
              <w:t> </w:t>
            </w:r>
            <w:r>
              <w:rPr>
                <w:sz w:val="14"/>
              </w:rPr>
              <w:t>Profit</w:t>
            </w:r>
            <w:r>
              <w:rPr>
                <w:spacing w:val="35"/>
                <w:sz w:val="14"/>
              </w:rPr>
              <w:t> </w:t>
            </w:r>
            <w:r>
              <w:rPr>
                <w:sz w:val="14"/>
              </w:rPr>
              <w:t>regular</w:t>
            </w:r>
            <w:r>
              <w:rPr>
                <w:spacing w:val="-2"/>
                <w:sz w:val="14"/>
              </w:rPr>
              <w:t> </w:t>
            </w:r>
            <w:r>
              <w:rPr>
                <w:sz w:val="14"/>
              </w:rPr>
              <w:t>hour</w:t>
            </w:r>
            <w:r>
              <w:rPr>
                <w:spacing w:val="-1"/>
                <w:sz w:val="14"/>
              </w:rPr>
              <w:t> </w:t>
            </w:r>
            <w:r>
              <w:rPr>
                <w:sz w:val="14"/>
              </w:rPr>
              <w:t>rate</w:t>
            </w:r>
            <w:r>
              <w:rPr>
                <w:spacing w:val="-4"/>
                <w:sz w:val="14"/>
              </w:rPr>
              <w:t> </w:t>
            </w:r>
            <w:r>
              <w:rPr>
                <w:sz w:val="14"/>
              </w:rPr>
              <w:t>-</w:t>
            </w:r>
            <w:r>
              <w:rPr>
                <w:spacing w:val="-2"/>
                <w:sz w:val="14"/>
              </w:rPr>
              <w:t> </w:t>
            </w:r>
            <w:r>
              <w:rPr>
                <w:sz w:val="14"/>
              </w:rPr>
              <w:t>Jul</w:t>
            </w:r>
            <w:r>
              <w:rPr>
                <w:spacing w:val="-3"/>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Not</w:t>
            </w:r>
            <w:r>
              <w:rPr>
                <w:spacing w:val="-2"/>
                <w:sz w:val="14"/>
              </w:rPr>
              <w:t> </w:t>
            </w:r>
            <w:r>
              <w:rPr>
                <w:sz w:val="14"/>
              </w:rPr>
              <w:t>For</w:t>
            </w:r>
            <w:r>
              <w:rPr>
                <w:spacing w:val="-4"/>
                <w:sz w:val="14"/>
              </w:rPr>
              <w:t> </w:t>
            </w:r>
            <w:r>
              <w:rPr>
                <w:sz w:val="14"/>
              </w:rPr>
              <w:t>Profit</w:t>
            </w:r>
            <w:r>
              <w:rPr>
                <w:spacing w:val="34"/>
                <w:sz w:val="14"/>
              </w:rPr>
              <w:t> </w:t>
            </w:r>
            <w:r>
              <w:rPr>
                <w:sz w:val="14"/>
              </w:rPr>
              <w:t>regular</w:t>
            </w:r>
            <w:r>
              <w:rPr>
                <w:spacing w:val="-2"/>
                <w:sz w:val="14"/>
              </w:rPr>
              <w:t> </w:t>
            </w:r>
            <w:r>
              <w:rPr>
                <w:sz w:val="14"/>
              </w:rPr>
              <w:t>hour</w:t>
            </w:r>
            <w:r>
              <w:rPr>
                <w:spacing w:val="-1"/>
                <w:sz w:val="14"/>
              </w:rPr>
              <w:t> </w:t>
            </w:r>
            <w:r>
              <w:rPr>
                <w:sz w:val="14"/>
              </w:rPr>
              <w:t>rate</w:t>
            </w:r>
            <w:r>
              <w:rPr>
                <w:spacing w:val="-4"/>
                <w:sz w:val="14"/>
              </w:rPr>
              <w:t> </w:t>
            </w:r>
            <w:r>
              <w:rPr>
                <w:sz w:val="14"/>
              </w:rPr>
              <w:t>-</w:t>
            </w:r>
            <w:r>
              <w:rPr>
                <w:spacing w:val="-2"/>
                <w:sz w:val="14"/>
              </w:rPr>
              <w:t> </w:t>
            </w:r>
            <w:r>
              <w:rPr>
                <w:sz w:val="14"/>
              </w:rPr>
              <w:t>Jan</w:t>
            </w:r>
            <w:r>
              <w:rPr>
                <w:spacing w:val="-4"/>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4"/>
                <w:sz w:val="14"/>
              </w:rPr>
              <w:t> </w:t>
            </w:r>
            <w:r>
              <w:rPr>
                <w:sz w:val="14"/>
              </w:rPr>
              <w:t>Not</w:t>
            </w:r>
            <w:r>
              <w:rPr>
                <w:spacing w:val="-1"/>
                <w:sz w:val="14"/>
              </w:rPr>
              <w:t> </w:t>
            </w:r>
            <w:r>
              <w:rPr>
                <w:sz w:val="14"/>
              </w:rPr>
              <w:t>For</w:t>
            </w:r>
            <w:r>
              <w:rPr>
                <w:spacing w:val="-5"/>
                <w:sz w:val="14"/>
              </w:rPr>
              <w:t> </w:t>
            </w:r>
            <w:r>
              <w:rPr>
                <w:sz w:val="14"/>
              </w:rPr>
              <w:t>Profit</w:t>
            </w:r>
            <w:r>
              <w:rPr>
                <w:spacing w:val="-3"/>
                <w:sz w:val="14"/>
              </w:rPr>
              <w:t> </w:t>
            </w:r>
            <w:r>
              <w:rPr>
                <w:sz w:val="14"/>
              </w:rPr>
              <w:t>Night</w:t>
            </w:r>
            <w:r>
              <w:rPr>
                <w:spacing w:val="-2"/>
                <w:sz w:val="14"/>
              </w:rPr>
              <w:t> </w:t>
            </w:r>
            <w:r>
              <w:rPr>
                <w:sz w:val="14"/>
              </w:rPr>
              <w:t>Hire</w:t>
            </w:r>
            <w:r>
              <w:rPr>
                <w:spacing w:val="-2"/>
                <w:sz w:val="14"/>
              </w:rPr>
              <w:t> </w:t>
            </w:r>
            <w:r>
              <w:rPr>
                <w:sz w:val="14"/>
              </w:rPr>
              <w:t>-</w:t>
            </w:r>
            <w:r>
              <w:rPr>
                <w:spacing w:val="-4"/>
                <w:sz w:val="14"/>
              </w:rPr>
              <w:t> </w:t>
            </w:r>
            <w:r>
              <w:rPr>
                <w:sz w:val="14"/>
              </w:rPr>
              <w:t>Jul</w:t>
            </w:r>
            <w:r>
              <w:rPr>
                <w:spacing w:val="-1"/>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302.15</w:t>
            </w:r>
          </w:p>
        </w:tc>
        <w:tc>
          <w:tcPr>
            <w:tcW w:w="995" w:type="dxa"/>
          </w:tcPr>
          <w:p>
            <w:pPr>
              <w:pStyle w:val="TableParagraph"/>
              <w:spacing w:line="140" w:lineRule="exact" w:before="17"/>
              <w:ind w:right="102"/>
              <w:jc w:val="right"/>
              <w:rPr>
                <w:sz w:val="14"/>
              </w:rPr>
            </w:pPr>
            <w:r>
              <w:rPr>
                <w:spacing w:val="-2"/>
                <w:sz w:val="14"/>
              </w:rPr>
              <w:t>324.81</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Not</w:t>
            </w:r>
            <w:r>
              <w:rPr>
                <w:spacing w:val="-1"/>
                <w:sz w:val="14"/>
              </w:rPr>
              <w:t> </w:t>
            </w:r>
            <w:r>
              <w:rPr>
                <w:sz w:val="14"/>
              </w:rPr>
              <w:t>For</w:t>
            </w:r>
            <w:r>
              <w:rPr>
                <w:spacing w:val="-4"/>
                <w:sz w:val="14"/>
              </w:rPr>
              <w:t> </w:t>
            </w:r>
            <w:r>
              <w:rPr>
                <w:sz w:val="14"/>
              </w:rPr>
              <w:t>Profit</w:t>
            </w:r>
            <w:r>
              <w:rPr>
                <w:spacing w:val="-3"/>
                <w:sz w:val="14"/>
              </w:rPr>
              <w:t> </w:t>
            </w:r>
            <w:r>
              <w:rPr>
                <w:sz w:val="14"/>
              </w:rPr>
              <w:t>Night</w:t>
            </w:r>
            <w:r>
              <w:rPr>
                <w:spacing w:val="-2"/>
                <w:sz w:val="14"/>
              </w:rPr>
              <w:t> </w:t>
            </w:r>
            <w:r>
              <w:rPr>
                <w:sz w:val="14"/>
              </w:rPr>
              <w:t>Hire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302.15</w:t>
            </w:r>
          </w:p>
        </w:tc>
        <w:tc>
          <w:tcPr>
            <w:tcW w:w="995" w:type="dxa"/>
          </w:tcPr>
          <w:p>
            <w:pPr>
              <w:pStyle w:val="TableParagraph"/>
              <w:spacing w:line="140" w:lineRule="exact" w:before="17"/>
              <w:ind w:right="102"/>
              <w:jc w:val="right"/>
              <w:rPr>
                <w:sz w:val="14"/>
              </w:rPr>
            </w:pPr>
            <w:r>
              <w:rPr>
                <w:spacing w:val="-2"/>
                <w:sz w:val="14"/>
              </w:rPr>
              <w:t>324.81</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4"/>
                <w:sz w:val="14"/>
              </w:rPr>
              <w:t> </w:t>
            </w:r>
            <w:r>
              <w:rPr>
                <w:sz w:val="14"/>
              </w:rPr>
              <w:t>Community</w:t>
            </w:r>
            <w:r>
              <w:rPr>
                <w:spacing w:val="-1"/>
                <w:sz w:val="14"/>
              </w:rPr>
              <w:t> </w:t>
            </w:r>
            <w:r>
              <w:rPr>
                <w:sz w:val="14"/>
              </w:rPr>
              <w:t>casual</w:t>
            </w:r>
            <w:r>
              <w:rPr>
                <w:spacing w:val="33"/>
                <w:sz w:val="14"/>
              </w:rPr>
              <w:t> </w:t>
            </w:r>
            <w:r>
              <w:rPr>
                <w:sz w:val="14"/>
              </w:rPr>
              <w:t>hour</w:t>
            </w:r>
            <w:r>
              <w:rPr>
                <w:spacing w:val="-1"/>
                <w:sz w:val="14"/>
              </w:rPr>
              <w:t> </w:t>
            </w:r>
            <w:r>
              <w:rPr>
                <w:sz w:val="14"/>
              </w:rPr>
              <w:t>rate</w:t>
            </w:r>
            <w:r>
              <w:rPr>
                <w:spacing w:val="-5"/>
                <w:sz w:val="14"/>
              </w:rPr>
              <w:t> </w:t>
            </w:r>
            <w:r>
              <w:rPr>
                <w:sz w:val="14"/>
              </w:rPr>
              <w:t>-</w:t>
            </w:r>
            <w:r>
              <w:rPr>
                <w:spacing w:val="-2"/>
                <w:sz w:val="14"/>
              </w:rPr>
              <w:t> </w:t>
            </w:r>
            <w:r>
              <w:rPr>
                <w:sz w:val="14"/>
              </w:rPr>
              <w:t>Jul</w:t>
            </w:r>
            <w:r>
              <w:rPr>
                <w:spacing w:val="-4"/>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4"/>
                <w:sz w:val="14"/>
              </w:rPr>
              <w:t> </w:t>
            </w:r>
            <w:r>
              <w:rPr>
                <w:sz w:val="14"/>
              </w:rPr>
              <w:t>Hall</w:t>
            </w:r>
            <w:r>
              <w:rPr>
                <w:spacing w:val="-4"/>
                <w:sz w:val="14"/>
              </w:rPr>
              <w:t> </w:t>
            </w:r>
            <w:r>
              <w:rPr>
                <w:sz w:val="14"/>
              </w:rPr>
              <w:t>Community</w:t>
            </w:r>
            <w:r>
              <w:rPr>
                <w:spacing w:val="-1"/>
                <w:sz w:val="14"/>
              </w:rPr>
              <w:t> </w:t>
            </w:r>
            <w:r>
              <w:rPr>
                <w:sz w:val="14"/>
              </w:rPr>
              <w:t>casual</w:t>
            </w:r>
            <w:r>
              <w:rPr>
                <w:spacing w:val="33"/>
                <w:sz w:val="14"/>
              </w:rPr>
              <w:t> </w:t>
            </w:r>
            <w:r>
              <w:rPr>
                <w:sz w:val="14"/>
              </w:rPr>
              <w:t>hour</w:t>
            </w:r>
            <w:r>
              <w:rPr>
                <w:spacing w:val="-2"/>
                <w:sz w:val="14"/>
              </w:rPr>
              <w:t> </w:t>
            </w:r>
            <w:r>
              <w:rPr>
                <w:sz w:val="14"/>
              </w:rPr>
              <w:t>rate</w:t>
            </w:r>
            <w:r>
              <w:rPr>
                <w:spacing w:val="-5"/>
                <w:sz w:val="14"/>
              </w:rPr>
              <w:t> </w:t>
            </w:r>
            <w:r>
              <w:rPr>
                <w:sz w:val="14"/>
              </w:rPr>
              <w:t>-</w:t>
            </w:r>
            <w:r>
              <w:rPr>
                <w:spacing w:val="-3"/>
                <w:sz w:val="14"/>
              </w:rPr>
              <w:t> </w:t>
            </w:r>
            <w:r>
              <w:rPr>
                <w:sz w:val="14"/>
              </w:rPr>
              <w:t>Jan</w:t>
            </w:r>
            <w:r>
              <w:rPr>
                <w:spacing w:val="-2"/>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4"/>
                <w:sz w:val="14"/>
              </w:rPr>
              <w:t> </w:t>
            </w:r>
            <w:r>
              <w:rPr>
                <w:sz w:val="14"/>
              </w:rPr>
              <w:t>Hall</w:t>
            </w:r>
            <w:r>
              <w:rPr>
                <w:spacing w:val="-3"/>
                <w:sz w:val="14"/>
              </w:rPr>
              <w:t> </w:t>
            </w:r>
            <w:r>
              <w:rPr>
                <w:sz w:val="14"/>
              </w:rPr>
              <w:t>Community</w:t>
            </w:r>
            <w:r>
              <w:rPr>
                <w:spacing w:val="33"/>
                <w:sz w:val="14"/>
              </w:rPr>
              <w:t> </w:t>
            </w:r>
            <w:r>
              <w:rPr>
                <w:sz w:val="14"/>
              </w:rPr>
              <w:t>regular</w:t>
            </w:r>
            <w:r>
              <w:rPr>
                <w:spacing w:val="-3"/>
                <w:sz w:val="14"/>
              </w:rPr>
              <w:t> </w:t>
            </w:r>
            <w:r>
              <w:rPr>
                <w:sz w:val="14"/>
              </w:rPr>
              <w:t>hour</w:t>
            </w:r>
            <w:r>
              <w:rPr>
                <w:spacing w:val="-2"/>
                <w:sz w:val="14"/>
              </w:rPr>
              <w:t> </w:t>
            </w:r>
            <w:r>
              <w:rPr>
                <w:sz w:val="14"/>
              </w:rPr>
              <w:t>rate</w:t>
            </w:r>
            <w:r>
              <w:rPr>
                <w:spacing w:val="-4"/>
                <w:sz w:val="14"/>
              </w:rPr>
              <w:t> </w:t>
            </w:r>
            <w:r>
              <w:rPr>
                <w:sz w:val="14"/>
              </w:rPr>
              <w:t>-</w:t>
            </w:r>
            <w:r>
              <w:rPr>
                <w:spacing w:val="-2"/>
                <w:sz w:val="14"/>
              </w:rPr>
              <w:t> </w:t>
            </w:r>
            <w:r>
              <w:rPr>
                <w:sz w:val="14"/>
              </w:rPr>
              <w:t>Jul</w:t>
            </w:r>
            <w:r>
              <w:rPr>
                <w:spacing w:val="-1"/>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4"/>
                <w:sz w:val="14"/>
              </w:rPr>
              <w:t> </w:t>
            </w:r>
            <w:r>
              <w:rPr>
                <w:sz w:val="14"/>
              </w:rPr>
              <w:t>Community</w:t>
            </w:r>
            <w:r>
              <w:rPr>
                <w:spacing w:val="33"/>
                <w:sz w:val="14"/>
              </w:rPr>
              <w:t> </w:t>
            </w:r>
            <w:r>
              <w:rPr>
                <w:sz w:val="14"/>
              </w:rPr>
              <w:t>regular</w:t>
            </w:r>
            <w:r>
              <w:rPr>
                <w:spacing w:val="-2"/>
                <w:sz w:val="14"/>
              </w:rPr>
              <w:t> </w:t>
            </w:r>
            <w:r>
              <w:rPr>
                <w:sz w:val="14"/>
              </w:rPr>
              <w:t>hour</w:t>
            </w:r>
            <w:r>
              <w:rPr>
                <w:spacing w:val="-2"/>
                <w:sz w:val="14"/>
              </w:rPr>
              <w:t> </w:t>
            </w:r>
            <w:r>
              <w:rPr>
                <w:sz w:val="14"/>
              </w:rPr>
              <w:t>rate</w:t>
            </w:r>
            <w:r>
              <w:rPr>
                <w:spacing w:val="-4"/>
                <w:sz w:val="14"/>
              </w:rPr>
              <w:t> </w:t>
            </w:r>
            <w:r>
              <w:rPr>
                <w:sz w:val="14"/>
              </w:rPr>
              <w:t>-</w:t>
            </w:r>
            <w:r>
              <w:rPr>
                <w:spacing w:val="-2"/>
                <w:sz w:val="14"/>
              </w:rPr>
              <w:t> </w:t>
            </w:r>
            <w:r>
              <w:rPr>
                <w:sz w:val="14"/>
              </w:rPr>
              <w:t>Jan</w:t>
            </w:r>
            <w:r>
              <w:rPr>
                <w:spacing w:val="-4"/>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4"/>
                <w:sz w:val="14"/>
              </w:rPr>
              <w:t> </w:t>
            </w:r>
            <w:r>
              <w:rPr>
                <w:sz w:val="14"/>
              </w:rPr>
              <w:t>Community</w:t>
            </w:r>
            <w:r>
              <w:rPr>
                <w:spacing w:val="-3"/>
                <w:sz w:val="14"/>
              </w:rPr>
              <w:t> </w:t>
            </w:r>
            <w:r>
              <w:rPr>
                <w:sz w:val="14"/>
              </w:rPr>
              <w:t>Night</w:t>
            </w:r>
            <w:r>
              <w:rPr>
                <w:spacing w:val="-5"/>
                <w:sz w:val="14"/>
              </w:rPr>
              <w:t> </w:t>
            </w:r>
            <w:r>
              <w:rPr>
                <w:sz w:val="14"/>
              </w:rPr>
              <w:t>Hire</w:t>
            </w:r>
            <w:r>
              <w:rPr>
                <w:spacing w:val="-3"/>
                <w:sz w:val="14"/>
              </w:rPr>
              <w:t> </w:t>
            </w:r>
            <w:r>
              <w:rPr>
                <w:sz w:val="14"/>
              </w:rPr>
              <w:t>- Jul</w:t>
            </w:r>
            <w:r>
              <w:rPr>
                <w:spacing w:val="-3"/>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328.80</w:t>
            </w:r>
          </w:p>
        </w:tc>
        <w:tc>
          <w:tcPr>
            <w:tcW w:w="995" w:type="dxa"/>
          </w:tcPr>
          <w:p>
            <w:pPr>
              <w:pStyle w:val="TableParagraph"/>
              <w:spacing w:line="140" w:lineRule="exact" w:before="17"/>
              <w:ind w:right="102"/>
              <w:jc w:val="right"/>
              <w:rPr>
                <w:sz w:val="14"/>
              </w:rPr>
            </w:pPr>
            <w:r>
              <w:rPr>
                <w:spacing w:val="-2"/>
                <w:sz w:val="14"/>
              </w:rPr>
              <w:t>353.46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2"/>
                <w:sz w:val="14"/>
              </w:rPr>
              <w:t> </w:t>
            </w:r>
            <w:r>
              <w:rPr>
                <w:sz w:val="14"/>
              </w:rPr>
              <w:t>Community</w:t>
            </w:r>
            <w:r>
              <w:rPr>
                <w:spacing w:val="-4"/>
                <w:sz w:val="14"/>
              </w:rPr>
              <w:t> </w:t>
            </w:r>
            <w:r>
              <w:rPr>
                <w:sz w:val="14"/>
              </w:rPr>
              <w:t>Night</w:t>
            </w:r>
            <w:r>
              <w:rPr>
                <w:spacing w:val="-3"/>
                <w:sz w:val="14"/>
              </w:rPr>
              <w:t> </w:t>
            </w:r>
            <w:r>
              <w:rPr>
                <w:sz w:val="14"/>
              </w:rPr>
              <w:t>Hire</w:t>
            </w:r>
            <w:r>
              <w:rPr>
                <w:spacing w:val="-4"/>
                <w:sz w:val="14"/>
              </w:rPr>
              <w:t> </w:t>
            </w:r>
            <w:r>
              <w:rPr>
                <w:sz w:val="14"/>
              </w:rPr>
              <w:t>- 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328.80</w:t>
            </w:r>
          </w:p>
        </w:tc>
        <w:tc>
          <w:tcPr>
            <w:tcW w:w="995" w:type="dxa"/>
          </w:tcPr>
          <w:p>
            <w:pPr>
              <w:pStyle w:val="TableParagraph"/>
              <w:spacing w:line="140" w:lineRule="exact" w:before="17"/>
              <w:ind w:right="102"/>
              <w:jc w:val="right"/>
              <w:rPr>
                <w:sz w:val="14"/>
              </w:rPr>
            </w:pPr>
            <w:r>
              <w:rPr>
                <w:spacing w:val="-2"/>
                <w:sz w:val="14"/>
              </w:rPr>
              <w:t>353.46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Keystone</w:t>
            </w:r>
            <w:r>
              <w:rPr>
                <w:spacing w:val="-3"/>
                <w:sz w:val="14"/>
              </w:rPr>
              <w:t> </w:t>
            </w:r>
            <w:r>
              <w:rPr>
                <w:sz w:val="14"/>
              </w:rPr>
              <w:t>Hall</w:t>
            </w:r>
            <w:r>
              <w:rPr>
                <w:spacing w:val="-3"/>
                <w:sz w:val="14"/>
              </w:rPr>
              <w:t> </w:t>
            </w:r>
            <w:r>
              <w:rPr>
                <w:sz w:val="14"/>
              </w:rPr>
              <w:t>Corporate</w:t>
            </w:r>
            <w:r>
              <w:rPr>
                <w:spacing w:val="-5"/>
                <w:sz w:val="14"/>
              </w:rPr>
              <w:t> </w:t>
            </w:r>
            <w:r>
              <w:rPr>
                <w:sz w:val="14"/>
              </w:rPr>
              <w:t>casual</w:t>
            </w:r>
            <w:r>
              <w:rPr>
                <w:spacing w:val="35"/>
                <w:sz w:val="14"/>
              </w:rPr>
              <w:t> </w:t>
            </w:r>
            <w:r>
              <w:rPr>
                <w:sz w:val="14"/>
              </w:rPr>
              <w:t>hour</w:t>
            </w:r>
            <w:r>
              <w:rPr>
                <w:spacing w:val="-4"/>
                <w:sz w:val="14"/>
              </w:rPr>
              <w:t> </w:t>
            </w:r>
            <w:r>
              <w:rPr>
                <w:sz w:val="14"/>
              </w:rPr>
              <w:t>rate -</w:t>
            </w:r>
            <w:r>
              <w:rPr>
                <w:spacing w:val="-5"/>
                <w:sz w:val="14"/>
              </w:rPr>
              <w:t> </w:t>
            </w:r>
            <w:r>
              <w:rPr>
                <w:sz w:val="14"/>
              </w:rPr>
              <w:t>Jul</w:t>
            </w:r>
            <w:r>
              <w:rPr>
                <w:spacing w:val="-4"/>
                <w:sz w:val="14"/>
              </w:rPr>
              <w:t> </w:t>
            </w:r>
            <w:r>
              <w:rPr>
                <w:sz w:val="14"/>
              </w:rPr>
              <w:t>to</w:t>
            </w:r>
            <w:r>
              <w:rPr>
                <w:spacing w:val="-2"/>
                <w:sz w:val="14"/>
              </w:rPr>
              <w:t> </w:t>
            </w:r>
            <w:r>
              <w:rPr>
                <w:spacing w:val="-5"/>
                <w:sz w:val="14"/>
              </w:rPr>
              <w:t>Dec</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33.30</w:t>
            </w:r>
          </w:p>
        </w:tc>
        <w:tc>
          <w:tcPr>
            <w:tcW w:w="995" w:type="dxa"/>
          </w:tcPr>
          <w:p>
            <w:pPr>
              <w:pStyle w:val="TableParagraph"/>
              <w:spacing w:line="142" w:lineRule="exact" w:before="15"/>
              <w:ind w:right="101"/>
              <w:jc w:val="right"/>
              <w:rPr>
                <w:sz w:val="14"/>
              </w:rPr>
            </w:pPr>
            <w:r>
              <w:rPr>
                <w:spacing w:val="-2"/>
                <w:sz w:val="14"/>
              </w:rPr>
              <w:t>35.80</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Keystone</w:t>
            </w:r>
            <w:r>
              <w:rPr>
                <w:spacing w:val="-3"/>
                <w:sz w:val="14"/>
              </w:rPr>
              <w:t> </w:t>
            </w:r>
            <w:r>
              <w:rPr>
                <w:sz w:val="14"/>
              </w:rPr>
              <w:t>Hall</w:t>
            </w:r>
            <w:r>
              <w:rPr>
                <w:spacing w:val="-3"/>
                <w:sz w:val="14"/>
              </w:rPr>
              <w:t> </w:t>
            </w:r>
            <w:r>
              <w:rPr>
                <w:sz w:val="14"/>
              </w:rPr>
              <w:t>Corporate</w:t>
            </w:r>
            <w:r>
              <w:rPr>
                <w:spacing w:val="-5"/>
                <w:sz w:val="14"/>
              </w:rPr>
              <w:t> </w:t>
            </w:r>
            <w:r>
              <w:rPr>
                <w:sz w:val="14"/>
              </w:rPr>
              <w:t>casual</w:t>
            </w:r>
            <w:r>
              <w:rPr>
                <w:spacing w:val="36"/>
                <w:sz w:val="14"/>
              </w:rPr>
              <w:t> </w:t>
            </w:r>
            <w:r>
              <w:rPr>
                <w:sz w:val="14"/>
              </w:rPr>
              <w:t>hour</w:t>
            </w:r>
            <w:r>
              <w:rPr>
                <w:spacing w:val="-5"/>
                <w:sz w:val="14"/>
              </w:rPr>
              <w:t> </w:t>
            </w:r>
            <w:r>
              <w:rPr>
                <w:sz w:val="14"/>
              </w:rPr>
              <w:t>rate</w:t>
            </w:r>
            <w:r>
              <w:rPr>
                <w:spacing w:val="-1"/>
                <w:sz w:val="14"/>
              </w:rPr>
              <w:t> </w:t>
            </w:r>
            <w:r>
              <w:rPr>
                <w:sz w:val="14"/>
              </w:rPr>
              <w:t>-</w:t>
            </w:r>
            <w:r>
              <w:rPr>
                <w:spacing w:val="-5"/>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33.30</w:t>
            </w:r>
          </w:p>
        </w:tc>
        <w:tc>
          <w:tcPr>
            <w:tcW w:w="995" w:type="dxa"/>
          </w:tcPr>
          <w:p>
            <w:pPr>
              <w:pStyle w:val="TableParagraph"/>
              <w:spacing w:line="140" w:lineRule="exact" w:before="15"/>
              <w:ind w:right="101"/>
              <w:jc w:val="right"/>
              <w:rPr>
                <w:sz w:val="14"/>
              </w:rPr>
            </w:pPr>
            <w:r>
              <w:rPr>
                <w:spacing w:val="-2"/>
                <w:sz w:val="14"/>
              </w:rPr>
              <w:t>35.80</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Corporate</w:t>
            </w:r>
            <w:r>
              <w:rPr>
                <w:spacing w:val="31"/>
                <w:sz w:val="14"/>
              </w:rPr>
              <w:t> </w:t>
            </w:r>
            <w:r>
              <w:rPr>
                <w:sz w:val="14"/>
              </w:rPr>
              <w:t>regular</w:t>
            </w:r>
            <w:r>
              <w:rPr>
                <w:spacing w:val="-4"/>
                <w:sz w:val="14"/>
              </w:rPr>
              <w:t> </w:t>
            </w:r>
            <w:r>
              <w:rPr>
                <w:sz w:val="14"/>
              </w:rPr>
              <w:t>hour</w:t>
            </w:r>
            <w:r>
              <w:rPr>
                <w:spacing w:val="-4"/>
                <w:sz w:val="14"/>
              </w:rPr>
              <w:t> </w:t>
            </w:r>
            <w:r>
              <w:rPr>
                <w:sz w:val="14"/>
              </w:rPr>
              <w:t>rate</w:t>
            </w:r>
            <w:r>
              <w:rPr>
                <w:spacing w:val="-2"/>
                <w:sz w:val="14"/>
              </w:rPr>
              <w:t> </w:t>
            </w:r>
            <w:r>
              <w:rPr>
                <w:sz w:val="14"/>
              </w:rPr>
              <w:t>-</w:t>
            </w:r>
            <w:r>
              <w:rPr>
                <w:spacing w:val="-4"/>
                <w:sz w:val="14"/>
              </w:rPr>
              <w:t> </w:t>
            </w:r>
            <w:r>
              <w:rPr>
                <w:sz w:val="14"/>
              </w:rPr>
              <w:t>Jul</w:t>
            </w:r>
            <w:r>
              <w:rPr>
                <w:spacing w:val="-3"/>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Corporate</w:t>
            </w:r>
            <w:r>
              <w:rPr>
                <w:spacing w:val="32"/>
                <w:sz w:val="14"/>
              </w:rPr>
              <w:t> </w:t>
            </w:r>
            <w:r>
              <w:rPr>
                <w:sz w:val="14"/>
              </w:rPr>
              <w:t>regular</w:t>
            </w:r>
            <w:r>
              <w:rPr>
                <w:spacing w:val="-4"/>
                <w:sz w:val="14"/>
              </w:rPr>
              <w:t> </w:t>
            </w:r>
            <w:r>
              <w:rPr>
                <w:sz w:val="14"/>
              </w:rPr>
              <w:t>hour</w:t>
            </w:r>
            <w:r>
              <w:rPr>
                <w:spacing w:val="-5"/>
                <w:sz w:val="14"/>
              </w:rPr>
              <w:t> </w:t>
            </w:r>
            <w:r>
              <w:rPr>
                <w:sz w:val="14"/>
              </w:rPr>
              <w:t>rate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Corporate</w:t>
            </w:r>
            <w:r>
              <w:rPr>
                <w:spacing w:val="-5"/>
                <w:sz w:val="14"/>
              </w:rPr>
              <w:t> </w:t>
            </w:r>
            <w:r>
              <w:rPr>
                <w:sz w:val="14"/>
              </w:rPr>
              <w:t>Night</w:t>
            </w:r>
            <w:r>
              <w:rPr>
                <w:spacing w:val="-4"/>
                <w:sz w:val="14"/>
              </w:rPr>
              <w:t> </w:t>
            </w:r>
            <w:r>
              <w:rPr>
                <w:sz w:val="14"/>
              </w:rPr>
              <w:t>Hire</w:t>
            </w:r>
            <w:r>
              <w:rPr>
                <w:spacing w:val="-2"/>
                <w:sz w:val="14"/>
              </w:rPr>
              <w:t> </w:t>
            </w:r>
            <w:r>
              <w:rPr>
                <w:sz w:val="14"/>
              </w:rPr>
              <w:t>-</w:t>
            </w:r>
            <w:r>
              <w:rPr>
                <w:spacing w:val="-4"/>
                <w:sz w:val="14"/>
              </w:rPr>
              <w:t> </w:t>
            </w:r>
            <w:r>
              <w:rPr>
                <w:sz w:val="14"/>
              </w:rPr>
              <w:t>Jul</w:t>
            </w:r>
            <w:r>
              <w:rPr>
                <w:spacing w:val="-4"/>
                <w:sz w:val="14"/>
              </w:rPr>
              <w:t> </w:t>
            </w:r>
            <w:r>
              <w:rPr>
                <w:sz w:val="14"/>
              </w:rPr>
              <w:t>to</w:t>
            </w:r>
            <w:r>
              <w:rPr>
                <w:spacing w:val="-1"/>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356.00</w:t>
            </w:r>
          </w:p>
        </w:tc>
        <w:tc>
          <w:tcPr>
            <w:tcW w:w="995" w:type="dxa"/>
          </w:tcPr>
          <w:p>
            <w:pPr>
              <w:pStyle w:val="TableParagraph"/>
              <w:spacing w:line="140" w:lineRule="exact" w:before="17"/>
              <w:ind w:right="102"/>
              <w:jc w:val="right"/>
              <w:rPr>
                <w:sz w:val="14"/>
              </w:rPr>
            </w:pPr>
            <w:r>
              <w:rPr>
                <w:spacing w:val="-2"/>
                <w:sz w:val="14"/>
              </w:rPr>
              <w:t>382.70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Keystone</w:t>
            </w:r>
            <w:r>
              <w:rPr>
                <w:spacing w:val="-3"/>
                <w:sz w:val="14"/>
              </w:rPr>
              <w:t> </w:t>
            </w:r>
            <w:r>
              <w:rPr>
                <w:sz w:val="14"/>
              </w:rPr>
              <w:t>Hall</w:t>
            </w:r>
            <w:r>
              <w:rPr>
                <w:spacing w:val="-3"/>
                <w:sz w:val="14"/>
              </w:rPr>
              <w:t> </w:t>
            </w:r>
            <w:r>
              <w:rPr>
                <w:sz w:val="14"/>
              </w:rPr>
              <w:t>Corporate</w:t>
            </w:r>
            <w:r>
              <w:rPr>
                <w:spacing w:val="-4"/>
                <w:sz w:val="14"/>
              </w:rPr>
              <w:t> </w:t>
            </w:r>
            <w:r>
              <w:rPr>
                <w:sz w:val="14"/>
              </w:rPr>
              <w:t>Night</w:t>
            </w:r>
            <w:r>
              <w:rPr>
                <w:spacing w:val="-4"/>
                <w:sz w:val="14"/>
              </w:rPr>
              <w:t> </w:t>
            </w:r>
            <w:r>
              <w:rPr>
                <w:sz w:val="14"/>
              </w:rPr>
              <w:t>Hire</w:t>
            </w:r>
            <w:r>
              <w:rPr>
                <w:spacing w:val="-1"/>
                <w:sz w:val="14"/>
              </w:rPr>
              <w:t> </w:t>
            </w:r>
            <w:r>
              <w:rPr>
                <w:sz w:val="14"/>
              </w:rPr>
              <w:t>-</w:t>
            </w:r>
            <w:r>
              <w:rPr>
                <w:spacing w:val="-4"/>
                <w:sz w:val="14"/>
              </w:rPr>
              <w:t> </w:t>
            </w:r>
            <w:r>
              <w:rPr>
                <w:sz w:val="14"/>
              </w:rPr>
              <w:t>Jan</w:t>
            </w:r>
            <w:r>
              <w:rPr>
                <w:spacing w:val="-5"/>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356.00</w:t>
            </w:r>
          </w:p>
        </w:tc>
        <w:tc>
          <w:tcPr>
            <w:tcW w:w="995" w:type="dxa"/>
          </w:tcPr>
          <w:p>
            <w:pPr>
              <w:pStyle w:val="TableParagraph"/>
              <w:spacing w:line="140" w:lineRule="exact" w:before="17"/>
              <w:ind w:right="102"/>
              <w:jc w:val="right"/>
              <w:rPr>
                <w:sz w:val="14"/>
              </w:rPr>
            </w:pPr>
            <w:r>
              <w:rPr>
                <w:spacing w:val="-2"/>
                <w:sz w:val="14"/>
              </w:rPr>
              <w:t>382.70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Casual</w:t>
            </w:r>
            <w:r>
              <w:rPr>
                <w:spacing w:val="-5"/>
                <w:sz w:val="14"/>
              </w:rPr>
              <w:t> </w:t>
            </w:r>
            <w:r>
              <w:rPr>
                <w:sz w:val="14"/>
              </w:rPr>
              <w:t>Cleaner</w:t>
            </w:r>
            <w:r>
              <w:rPr>
                <w:spacing w:val="-2"/>
                <w:sz w:val="14"/>
              </w:rPr>
              <w:t> </w:t>
            </w:r>
            <w:r>
              <w:rPr>
                <w:sz w:val="14"/>
              </w:rPr>
              <w:t>3</w:t>
            </w:r>
            <w:r>
              <w:rPr>
                <w:spacing w:val="-6"/>
                <w:sz w:val="14"/>
              </w:rPr>
              <w:t> </w:t>
            </w:r>
            <w:r>
              <w:rPr>
                <w:spacing w:val="-2"/>
                <w:sz w:val="14"/>
              </w:rPr>
              <w:t>hours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w:t>
            </w:r>
          </w:p>
        </w:tc>
        <w:tc>
          <w:tcPr>
            <w:tcW w:w="995" w:type="dxa"/>
          </w:tcPr>
          <w:p>
            <w:pPr>
              <w:pStyle w:val="TableParagraph"/>
              <w:spacing w:line="140" w:lineRule="exact" w:before="17"/>
              <w:ind w:right="102"/>
              <w:jc w:val="right"/>
              <w:rPr>
                <w:sz w:val="14"/>
              </w:rPr>
            </w:pPr>
            <w:r>
              <w:rPr>
                <w:spacing w:val="-2"/>
                <w:sz w:val="14"/>
              </w:rPr>
              <w:t>129.00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Bill</w:t>
            </w:r>
            <w:r>
              <w:rPr>
                <w:b/>
                <w:spacing w:val="-5"/>
                <w:sz w:val="14"/>
              </w:rPr>
              <w:t> </w:t>
            </w:r>
            <w:r>
              <w:rPr>
                <w:b/>
                <w:sz w:val="14"/>
              </w:rPr>
              <w:t>Wilkins</w:t>
            </w:r>
            <w:r>
              <w:rPr>
                <w:b/>
                <w:spacing w:val="-4"/>
                <w:sz w:val="14"/>
              </w:rPr>
              <w:t> </w:t>
            </w:r>
            <w:r>
              <w:rPr>
                <w:b/>
                <w:spacing w:val="-2"/>
                <w:sz w:val="14"/>
              </w:rPr>
              <w:t>Lodge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Not</w:t>
            </w:r>
            <w:r>
              <w:rPr>
                <w:spacing w:val="-2"/>
                <w:sz w:val="14"/>
              </w:rPr>
              <w:t> </w:t>
            </w:r>
            <w:r>
              <w:rPr>
                <w:sz w:val="14"/>
              </w:rPr>
              <w:t>For</w:t>
            </w:r>
            <w:r>
              <w:rPr>
                <w:spacing w:val="-3"/>
                <w:sz w:val="14"/>
              </w:rPr>
              <w:t> </w:t>
            </w:r>
            <w:r>
              <w:rPr>
                <w:sz w:val="14"/>
              </w:rPr>
              <w:t>Profit</w:t>
            </w:r>
            <w:r>
              <w:rPr>
                <w:spacing w:val="-2"/>
                <w:sz w:val="14"/>
              </w:rPr>
              <w:t> </w:t>
            </w:r>
            <w:r>
              <w:rPr>
                <w:sz w:val="14"/>
              </w:rPr>
              <w:t>casual</w:t>
            </w:r>
            <w:r>
              <w:rPr>
                <w:spacing w:val="34"/>
                <w:sz w:val="14"/>
              </w:rPr>
              <w:t> </w:t>
            </w:r>
            <w:r>
              <w:rPr>
                <w:sz w:val="14"/>
              </w:rPr>
              <w:t>hour</w:t>
            </w:r>
            <w:r>
              <w:rPr>
                <w:spacing w:val="-1"/>
                <w:sz w:val="14"/>
              </w:rPr>
              <w:t> </w:t>
            </w:r>
            <w:r>
              <w:rPr>
                <w:sz w:val="14"/>
              </w:rPr>
              <w:t>rate</w:t>
            </w:r>
            <w:r>
              <w:rPr>
                <w:spacing w:val="-4"/>
                <w:sz w:val="14"/>
              </w:rPr>
              <w:t> </w:t>
            </w:r>
            <w:r>
              <w:rPr>
                <w:sz w:val="14"/>
              </w:rPr>
              <w:t>-</w:t>
            </w:r>
            <w:r>
              <w:rPr>
                <w:spacing w:val="-1"/>
                <w:sz w:val="14"/>
              </w:rPr>
              <w:t> </w:t>
            </w:r>
            <w:r>
              <w:rPr>
                <w:sz w:val="14"/>
              </w:rPr>
              <w:t>Jul</w:t>
            </w:r>
            <w:r>
              <w:rPr>
                <w:spacing w:val="-1"/>
                <w:sz w:val="14"/>
              </w:rPr>
              <w:t> </w:t>
            </w:r>
            <w:r>
              <w:rPr>
                <w:sz w:val="14"/>
              </w:rPr>
              <w:t>to</w:t>
            </w:r>
            <w:r>
              <w:rPr>
                <w:spacing w:val="-3"/>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Not</w:t>
            </w:r>
            <w:r>
              <w:rPr>
                <w:spacing w:val="-1"/>
                <w:sz w:val="14"/>
              </w:rPr>
              <w:t> </w:t>
            </w:r>
            <w:r>
              <w:rPr>
                <w:sz w:val="14"/>
              </w:rPr>
              <w:t>For</w:t>
            </w:r>
            <w:r>
              <w:rPr>
                <w:spacing w:val="-3"/>
                <w:sz w:val="14"/>
              </w:rPr>
              <w:t> </w:t>
            </w:r>
            <w:r>
              <w:rPr>
                <w:sz w:val="14"/>
              </w:rPr>
              <w:t>Profit</w:t>
            </w:r>
            <w:r>
              <w:rPr>
                <w:spacing w:val="-3"/>
                <w:sz w:val="14"/>
              </w:rPr>
              <w:t> </w:t>
            </w:r>
            <w:r>
              <w:rPr>
                <w:sz w:val="14"/>
              </w:rPr>
              <w:t>casual</w:t>
            </w:r>
            <w:r>
              <w:rPr>
                <w:spacing w:val="35"/>
                <w:sz w:val="14"/>
              </w:rPr>
              <w:t> </w:t>
            </w:r>
            <w:r>
              <w:rPr>
                <w:sz w:val="14"/>
              </w:rPr>
              <w:t>hour</w:t>
            </w:r>
            <w:r>
              <w:rPr>
                <w:spacing w:val="-2"/>
                <w:sz w:val="14"/>
              </w:rPr>
              <w:t> </w:t>
            </w:r>
            <w:r>
              <w:rPr>
                <w:sz w:val="14"/>
              </w:rPr>
              <w:t>rate</w:t>
            </w:r>
            <w:r>
              <w:rPr>
                <w:spacing w:val="-4"/>
                <w:sz w:val="14"/>
              </w:rPr>
              <w:t> </w:t>
            </w:r>
            <w:r>
              <w:rPr>
                <w:sz w:val="14"/>
              </w:rPr>
              <w:t>-</w:t>
            </w:r>
            <w:r>
              <w:rPr>
                <w:spacing w:val="-1"/>
                <w:sz w:val="14"/>
              </w:rPr>
              <w:t> </w:t>
            </w:r>
            <w:r>
              <w:rPr>
                <w:sz w:val="14"/>
              </w:rPr>
              <w:t>Jan</w:t>
            </w:r>
            <w:r>
              <w:rPr>
                <w:spacing w:val="-4"/>
                <w:sz w:val="14"/>
              </w:rPr>
              <w:t> </w:t>
            </w:r>
            <w:r>
              <w:rPr>
                <w:sz w:val="14"/>
              </w:rPr>
              <w:t>to</w:t>
            </w:r>
            <w:r>
              <w:rPr>
                <w:spacing w:val="-1"/>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26.88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Not</w:t>
            </w:r>
            <w:r>
              <w:rPr>
                <w:spacing w:val="-1"/>
                <w:sz w:val="14"/>
              </w:rPr>
              <w:t> </w:t>
            </w:r>
            <w:r>
              <w:rPr>
                <w:sz w:val="14"/>
              </w:rPr>
              <w:t>For</w:t>
            </w:r>
            <w:r>
              <w:rPr>
                <w:spacing w:val="-3"/>
                <w:sz w:val="14"/>
              </w:rPr>
              <w:t> </w:t>
            </w:r>
            <w:r>
              <w:rPr>
                <w:sz w:val="14"/>
              </w:rPr>
              <w:t>Profit</w:t>
            </w:r>
            <w:r>
              <w:rPr>
                <w:spacing w:val="35"/>
                <w:sz w:val="14"/>
              </w:rPr>
              <w:t> </w:t>
            </w:r>
            <w:r>
              <w:rPr>
                <w:sz w:val="14"/>
              </w:rPr>
              <w:t>regular</w:t>
            </w:r>
            <w:r>
              <w:rPr>
                <w:spacing w:val="-4"/>
                <w:sz w:val="14"/>
              </w:rPr>
              <w:t> </w:t>
            </w:r>
            <w:r>
              <w:rPr>
                <w:sz w:val="14"/>
              </w:rPr>
              <w:t>hour</w:t>
            </w:r>
            <w:r>
              <w:rPr>
                <w:spacing w:val="-2"/>
                <w:sz w:val="14"/>
              </w:rPr>
              <w:t> </w:t>
            </w:r>
            <w:r>
              <w:rPr>
                <w:sz w:val="14"/>
              </w:rPr>
              <w:t>rate</w:t>
            </w:r>
            <w:r>
              <w:rPr>
                <w:spacing w:val="-1"/>
                <w:sz w:val="14"/>
              </w:rPr>
              <w:t> </w:t>
            </w:r>
            <w:r>
              <w:rPr>
                <w:sz w:val="14"/>
              </w:rPr>
              <w:t>-</w:t>
            </w:r>
            <w:r>
              <w:rPr>
                <w:spacing w:val="-4"/>
                <w:sz w:val="14"/>
              </w:rPr>
              <w:t> </w:t>
            </w:r>
            <w:r>
              <w:rPr>
                <w:sz w:val="14"/>
              </w:rPr>
              <w:t>Jul</w:t>
            </w:r>
            <w:r>
              <w:rPr>
                <w:spacing w:val="-3"/>
                <w:sz w:val="14"/>
              </w:rPr>
              <w:t> </w:t>
            </w:r>
            <w:r>
              <w:rPr>
                <w:sz w:val="14"/>
              </w:rPr>
              <w:t>to</w:t>
            </w:r>
            <w:r>
              <w:rPr>
                <w:spacing w:val="-1"/>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3"/>
                <w:sz w:val="14"/>
              </w:rPr>
              <w:t> </w:t>
            </w:r>
            <w:r>
              <w:rPr>
                <w:sz w:val="14"/>
              </w:rPr>
              <w:t>Wilkins</w:t>
            </w:r>
            <w:r>
              <w:rPr>
                <w:spacing w:val="-3"/>
                <w:sz w:val="14"/>
              </w:rPr>
              <w:t> </w:t>
            </w:r>
            <w:r>
              <w:rPr>
                <w:sz w:val="14"/>
              </w:rPr>
              <w:t>Lodge</w:t>
            </w:r>
            <w:r>
              <w:rPr>
                <w:spacing w:val="-4"/>
                <w:sz w:val="14"/>
              </w:rPr>
              <w:t> </w:t>
            </w:r>
            <w:r>
              <w:rPr>
                <w:sz w:val="14"/>
              </w:rPr>
              <w:t>Not</w:t>
            </w:r>
            <w:r>
              <w:rPr>
                <w:spacing w:val="-1"/>
                <w:sz w:val="14"/>
              </w:rPr>
              <w:t> </w:t>
            </w:r>
            <w:r>
              <w:rPr>
                <w:sz w:val="14"/>
              </w:rPr>
              <w:t>For</w:t>
            </w:r>
            <w:r>
              <w:rPr>
                <w:spacing w:val="-3"/>
                <w:sz w:val="14"/>
              </w:rPr>
              <w:t> </w:t>
            </w:r>
            <w:r>
              <w:rPr>
                <w:sz w:val="14"/>
              </w:rPr>
              <w:t>Profit</w:t>
            </w:r>
            <w:r>
              <w:rPr>
                <w:spacing w:val="35"/>
                <w:sz w:val="14"/>
              </w:rPr>
              <w:t> </w:t>
            </w:r>
            <w:r>
              <w:rPr>
                <w:sz w:val="14"/>
              </w:rPr>
              <w:t>regular</w:t>
            </w:r>
            <w:r>
              <w:rPr>
                <w:spacing w:val="-4"/>
                <w:sz w:val="14"/>
              </w:rPr>
              <w:t> </w:t>
            </w:r>
            <w:r>
              <w:rPr>
                <w:sz w:val="14"/>
              </w:rPr>
              <w:t>hour</w:t>
            </w:r>
            <w:r>
              <w:rPr>
                <w:spacing w:val="-1"/>
                <w:sz w:val="14"/>
              </w:rPr>
              <w:t> </w:t>
            </w:r>
            <w:r>
              <w:rPr>
                <w:sz w:val="14"/>
              </w:rPr>
              <w:t>rate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19.40</w:t>
            </w:r>
          </w:p>
        </w:tc>
        <w:tc>
          <w:tcPr>
            <w:tcW w:w="995" w:type="dxa"/>
          </w:tcPr>
          <w:p>
            <w:pPr>
              <w:pStyle w:val="TableParagraph"/>
              <w:spacing w:line="140" w:lineRule="exact" w:before="17"/>
              <w:ind w:right="101"/>
              <w:jc w:val="right"/>
              <w:rPr>
                <w:sz w:val="14"/>
              </w:rPr>
            </w:pPr>
            <w:r>
              <w:rPr>
                <w:spacing w:val="-2"/>
                <w:sz w:val="14"/>
              </w:rPr>
              <w:t>20.85</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3"/>
                <w:sz w:val="14"/>
              </w:rPr>
              <w:t> </w:t>
            </w:r>
            <w:r>
              <w:rPr>
                <w:sz w:val="14"/>
              </w:rPr>
              <w:t>Wilkins</w:t>
            </w:r>
            <w:r>
              <w:rPr>
                <w:spacing w:val="-3"/>
                <w:sz w:val="14"/>
              </w:rPr>
              <w:t> </w:t>
            </w:r>
            <w:r>
              <w:rPr>
                <w:sz w:val="14"/>
              </w:rPr>
              <w:t>Lodge</w:t>
            </w:r>
            <w:r>
              <w:rPr>
                <w:spacing w:val="-4"/>
                <w:sz w:val="14"/>
              </w:rPr>
              <w:t> </w:t>
            </w:r>
            <w:r>
              <w:rPr>
                <w:sz w:val="14"/>
              </w:rPr>
              <w:t>Not</w:t>
            </w:r>
            <w:r>
              <w:rPr>
                <w:spacing w:val="-1"/>
                <w:sz w:val="14"/>
              </w:rPr>
              <w:t> </w:t>
            </w:r>
            <w:r>
              <w:rPr>
                <w:sz w:val="14"/>
              </w:rPr>
              <w:t>For</w:t>
            </w:r>
            <w:r>
              <w:rPr>
                <w:spacing w:val="-3"/>
                <w:sz w:val="14"/>
              </w:rPr>
              <w:t> </w:t>
            </w:r>
            <w:r>
              <w:rPr>
                <w:sz w:val="14"/>
              </w:rPr>
              <w:t>Profit</w:t>
            </w:r>
            <w:r>
              <w:rPr>
                <w:spacing w:val="-2"/>
                <w:sz w:val="14"/>
              </w:rPr>
              <w:t> </w:t>
            </w:r>
            <w:r>
              <w:rPr>
                <w:sz w:val="14"/>
              </w:rPr>
              <w:t>Night</w:t>
            </w:r>
            <w:r>
              <w:rPr>
                <w:spacing w:val="-1"/>
                <w:sz w:val="14"/>
              </w:rPr>
              <w:t> </w:t>
            </w:r>
            <w:r>
              <w:rPr>
                <w:sz w:val="14"/>
              </w:rPr>
              <w:t>Hire</w:t>
            </w:r>
            <w:r>
              <w:rPr>
                <w:spacing w:val="-2"/>
                <w:sz w:val="14"/>
              </w:rPr>
              <w:t> </w:t>
            </w:r>
            <w:r>
              <w:rPr>
                <w:sz w:val="14"/>
              </w:rPr>
              <w:t>-</w:t>
            </w:r>
            <w:r>
              <w:rPr>
                <w:spacing w:val="-4"/>
                <w:sz w:val="14"/>
              </w:rPr>
              <w:t> </w:t>
            </w:r>
            <w:r>
              <w:rPr>
                <w:sz w:val="14"/>
              </w:rPr>
              <w:t>Jul 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377.70</w:t>
            </w:r>
          </w:p>
        </w:tc>
        <w:tc>
          <w:tcPr>
            <w:tcW w:w="995" w:type="dxa"/>
          </w:tcPr>
          <w:p>
            <w:pPr>
              <w:pStyle w:val="TableParagraph"/>
              <w:spacing w:line="140" w:lineRule="exact" w:before="17"/>
              <w:ind w:right="102"/>
              <w:jc w:val="right"/>
              <w:rPr>
                <w:sz w:val="14"/>
              </w:rPr>
            </w:pPr>
            <w:r>
              <w:rPr>
                <w:spacing w:val="-2"/>
                <w:sz w:val="14"/>
              </w:rPr>
              <w:t>406.03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Bill</w:t>
            </w:r>
            <w:r>
              <w:rPr>
                <w:spacing w:val="-3"/>
                <w:sz w:val="14"/>
              </w:rPr>
              <w:t> </w:t>
            </w:r>
            <w:r>
              <w:rPr>
                <w:sz w:val="14"/>
              </w:rPr>
              <w:t>Wilkins</w:t>
            </w:r>
            <w:r>
              <w:rPr>
                <w:spacing w:val="-3"/>
                <w:sz w:val="14"/>
              </w:rPr>
              <w:t> </w:t>
            </w:r>
            <w:r>
              <w:rPr>
                <w:sz w:val="14"/>
              </w:rPr>
              <w:t>Lodge</w:t>
            </w:r>
            <w:r>
              <w:rPr>
                <w:spacing w:val="-3"/>
                <w:sz w:val="14"/>
              </w:rPr>
              <w:t> </w:t>
            </w:r>
            <w:r>
              <w:rPr>
                <w:sz w:val="14"/>
              </w:rPr>
              <w:t>Not</w:t>
            </w:r>
            <w:r>
              <w:rPr>
                <w:spacing w:val="-1"/>
                <w:sz w:val="14"/>
              </w:rPr>
              <w:t> </w:t>
            </w:r>
            <w:r>
              <w:rPr>
                <w:sz w:val="14"/>
              </w:rPr>
              <w:t>For</w:t>
            </w:r>
            <w:r>
              <w:rPr>
                <w:spacing w:val="-2"/>
                <w:sz w:val="14"/>
              </w:rPr>
              <w:t> </w:t>
            </w:r>
            <w:r>
              <w:rPr>
                <w:sz w:val="14"/>
              </w:rPr>
              <w:t>Profit</w:t>
            </w:r>
            <w:r>
              <w:rPr>
                <w:spacing w:val="-2"/>
                <w:sz w:val="14"/>
              </w:rPr>
              <w:t> </w:t>
            </w:r>
            <w:r>
              <w:rPr>
                <w:sz w:val="14"/>
              </w:rPr>
              <w:t>Night</w:t>
            </w:r>
            <w:r>
              <w:rPr>
                <w:spacing w:val="-1"/>
                <w:sz w:val="14"/>
              </w:rPr>
              <w:t> </w:t>
            </w:r>
            <w:r>
              <w:rPr>
                <w:sz w:val="14"/>
              </w:rPr>
              <w:t>Hire</w:t>
            </w:r>
            <w:r>
              <w:rPr>
                <w:spacing w:val="-1"/>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377.70</w:t>
            </w:r>
          </w:p>
        </w:tc>
        <w:tc>
          <w:tcPr>
            <w:tcW w:w="995" w:type="dxa"/>
          </w:tcPr>
          <w:p>
            <w:pPr>
              <w:pStyle w:val="TableParagraph"/>
              <w:spacing w:line="142" w:lineRule="exact" w:before="15"/>
              <w:ind w:right="102"/>
              <w:jc w:val="right"/>
              <w:rPr>
                <w:sz w:val="14"/>
              </w:rPr>
            </w:pPr>
            <w:r>
              <w:rPr>
                <w:spacing w:val="-2"/>
                <w:sz w:val="14"/>
              </w:rPr>
              <w:t>406.03</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Bill</w:t>
            </w:r>
            <w:r>
              <w:rPr>
                <w:spacing w:val="-4"/>
                <w:sz w:val="14"/>
              </w:rPr>
              <w:t> </w:t>
            </w:r>
            <w:r>
              <w:rPr>
                <w:sz w:val="14"/>
              </w:rPr>
              <w:t>Wilkins</w:t>
            </w:r>
            <w:r>
              <w:rPr>
                <w:spacing w:val="-4"/>
                <w:sz w:val="14"/>
              </w:rPr>
              <w:t> </w:t>
            </w:r>
            <w:r>
              <w:rPr>
                <w:sz w:val="14"/>
              </w:rPr>
              <w:t>Lodge</w:t>
            </w:r>
            <w:r>
              <w:rPr>
                <w:spacing w:val="-5"/>
                <w:sz w:val="14"/>
              </w:rPr>
              <w:t> </w:t>
            </w:r>
            <w:r>
              <w:rPr>
                <w:sz w:val="14"/>
              </w:rPr>
              <w:t>Community</w:t>
            </w:r>
            <w:r>
              <w:rPr>
                <w:spacing w:val="-1"/>
                <w:sz w:val="14"/>
              </w:rPr>
              <w:t> </w:t>
            </w:r>
            <w:r>
              <w:rPr>
                <w:sz w:val="14"/>
              </w:rPr>
              <w:t>casual</w:t>
            </w:r>
            <w:r>
              <w:rPr>
                <w:spacing w:val="34"/>
                <w:sz w:val="14"/>
              </w:rPr>
              <w:t> </w:t>
            </w:r>
            <w:r>
              <w:rPr>
                <w:sz w:val="14"/>
              </w:rPr>
              <w:t>hour</w:t>
            </w:r>
            <w:r>
              <w:rPr>
                <w:spacing w:val="-3"/>
                <w:sz w:val="14"/>
              </w:rPr>
              <w:t> </w:t>
            </w:r>
            <w:r>
              <w:rPr>
                <w:sz w:val="14"/>
              </w:rPr>
              <w:t>rate</w:t>
            </w:r>
            <w:r>
              <w:rPr>
                <w:spacing w:val="-3"/>
                <w:sz w:val="14"/>
              </w:rPr>
              <w:t> </w:t>
            </w:r>
            <w:r>
              <w:rPr>
                <w:sz w:val="14"/>
              </w:rPr>
              <w:t>-</w:t>
            </w:r>
            <w:r>
              <w:rPr>
                <w:spacing w:val="-4"/>
                <w:sz w:val="14"/>
              </w:rPr>
              <w:t> </w:t>
            </w:r>
            <w:r>
              <w:rPr>
                <w:sz w:val="14"/>
              </w:rPr>
              <w:t>Jul</w:t>
            </w:r>
            <w:r>
              <w:rPr>
                <w:spacing w:val="-4"/>
                <w:sz w:val="14"/>
              </w:rPr>
              <w:t> </w:t>
            </w:r>
            <w:r>
              <w:rPr>
                <w:sz w:val="14"/>
              </w:rPr>
              <w:t>to</w:t>
            </w:r>
            <w:r>
              <w:rPr>
                <w:spacing w:val="-2"/>
                <w:sz w:val="14"/>
              </w:rPr>
              <w:t> </w:t>
            </w:r>
            <w:r>
              <w:rPr>
                <w:spacing w:val="-5"/>
                <w:sz w:val="14"/>
              </w:rPr>
              <w:t>Dec</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28.30</w:t>
            </w:r>
          </w:p>
        </w:tc>
        <w:tc>
          <w:tcPr>
            <w:tcW w:w="995" w:type="dxa"/>
          </w:tcPr>
          <w:p>
            <w:pPr>
              <w:pStyle w:val="TableParagraph"/>
              <w:spacing w:line="140" w:lineRule="exact" w:before="15"/>
              <w:ind w:right="101"/>
              <w:jc w:val="right"/>
              <w:rPr>
                <w:sz w:val="14"/>
              </w:rPr>
            </w:pPr>
            <w:r>
              <w:rPr>
                <w:spacing w:val="-2"/>
                <w:sz w:val="14"/>
              </w:rPr>
              <w:t>30.42</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4"/>
                <w:sz w:val="14"/>
              </w:rPr>
              <w:t> </w:t>
            </w:r>
            <w:r>
              <w:rPr>
                <w:sz w:val="14"/>
              </w:rPr>
              <w:t>Lodge</w:t>
            </w:r>
            <w:r>
              <w:rPr>
                <w:spacing w:val="-5"/>
                <w:sz w:val="14"/>
              </w:rPr>
              <w:t> </w:t>
            </w:r>
            <w:r>
              <w:rPr>
                <w:sz w:val="14"/>
              </w:rPr>
              <w:t>Community</w:t>
            </w:r>
            <w:r>
              <w:rPr>
                <w:spacing w:val="-1"/>
                <w:sz w:val="14"/>
              </w:rPr>
              <w:t> </w:t>
            </w:r>
            <w:r>
              <w:rPr>
                <w:sz w:val="14"/>
              </w:rPr>
              <w:t>casual</w:t>
            </w:r>
            <w:r>
              <w:rPr>
                <w:spacing w:val="35"/>
                <w:sz w:val="14"/>
              </w:rPr>
              <w:t> </w:t>
            </w:r>
            <w:r>
              <w:rPr>
                <w:sz w:val="14"/>
              </w:rPr>
              <w:t>hour</w:t>
            </w:r>
            <w:r>
              <w:rPr>
                <w:spacing w:val="-3"/>
                <w:sz w:val="14"/>
              </w:rPr>
              <w:t> </w:t>
            </w:r>
            <w:r>
              <w:rPr>
                <w:sz w:val="14"/>
              </w:rPr>
              <w:t>rate</w:t>
            </w:r>
            <w:r>
              <w:rPr>
                <w:spacing w:val="-2"/>
                <w:sz w:val="14"/>
              </w:rPr>
              <w:t> </w:t>
            </w:r>
            <w:r>
              <w:rPr>
                <w:sz w:val="14"/>
              </w:rPr>
              <w:t>-</w:t>
            </w:r>
            <w:r>
              <w:rPr>
                <w:spacing w:val="-5"/>
                <w:sz w:val="14"/>
              </w:rPr>
              <w:t> </w:t>
            </w:r>
            <w:r>
              <w:rPr>
                <w:sz w:val="14"/>
              </w:rPr>
              <w:t>Jan</w:t>
            </w:r>
            <w:r>
              <w:rPr>
                <w:spacing w:val="-4"/>
                <w:sz w:val="14"/>
              </w:rPr>
              <w:t> </w:t>
            </w:r>
            <w:r>
              <w:rPr>
                <w:sz w:val="14"/>
              </w:rPr>
              <w:t>to</w:t>
            </w:r>
            <w:r>
              <w:rPr>
                <w:spacing w:val="-5"/>
                <w:sz w:val="14"/>
              </w:rPr>
              <w:t> 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28.30</w:t>
            </w:r>
          </w:p>
        </w:tc>
        <w:tc>
          <w:tcPr>
            <w:tcW w:w="995" w:type="dxa"/>
          </w:tcPr>
          <w:p>
            <w:pPr>
              <w:pStyle w:val="TableParagraph"/>
              <w:spacing w:line="140" w:lineRule="exact" w:before="17"/>
              <w:ind w:right="101"/>
              <w:jc w:val="right"/>
              <w:rPr>
                <w:sz w:val="14"/>
              </w:rPr>
            </w:pPr>
            <w:r>
              <w:rPr>
                <w:spacing w:val="-2"/>
                <w:sz w:val="14"/>
              </w:rPr>
              <w:t>30.42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4"/>
                <w:sz w:val="14"/>
              </w:rPr>
              <w:t> </w:t>
            </w:r>
            <w:r>
              <w:rPr>
                <w:sz w:val="14"/>
              </w:rPr>
              <w:t>Lodge</w:t>
            </w:r>
            <w:r>
              <w:rPr>
                <w:spacing w:val="-5"/>
                <w:sz w:val="14"/>
              </w:rPr>
              <w:t> </w:t>
            </w:r>
            <w:r>
              <w:rPr>
                <w:sz w:val="14"/>
              </w:rPr>
              <w:t>Community</w:t>
            </w:r>
            <w:r>
              <w:rPr>
                <w:spacing w:val="35"/>
                <w:sz w:val="14"/>
              </w:rPr>
              <w:t> </w:t>
            </w:r>
            <w:r>
              <w:rPr>
                <w:sz w:val="14"/>
              </w:rPr>
              <w:t>regular hour</w:t>
            </w:r>
            <w:r>
              <w:rPr>
                <w:spacing w:val="-5"/>
                <w:sz w:val="14"/>
              </w:rPr>
              <w:t> </w:t>
            </w:r>
            <w:r>
              <w:rPr>
                <w:sz w:val="14"/>
              </w:rPr>
              <w:t>rate</w:t>
            </w:r>
            <w:r>
              <w:rPr>
                <w:spacing w:val="-3"/>
                <w:sz w:val="14"/>
              </w:rPr>
              <w:t> </w:t>
            </w:r>
            <w:r>
              <w:rPr>
                <w:sz w:val="14"/>
              </w:rPr>
              <w:t>-</w:t>
            </w:r>
            <w:r>
              <w:rPr>
                <w:spacing w:val="-1"/>
                <w:sz w:val="14"/>
              </w:rPr>
              <w:t> </w:t>
            </w:r>
            <w:r>
              <w:rPr>
                <w:sz w:val="14"/>
              </w:rPr>
              <w:t>Jul</w:t>
            </w:r>
            <w:r>
              <w:rPr>
                <w:spacing w:val="-4"/>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4"/>
                <w:sz w:val="14"/>
              </w:rPr>
              <w:t> </w:t>
            </w:r>
            <w:r>
              <w:rPr>
                <w:sz w:val="14"/>
              </w:rPr>
              <w:t>Lodge</w:t>
            </w:r>
            <w:r>
              <w:rPr>
                <w:spacing w:val="-5"/>
                <w:sz w:val="14"/>
              </w:rPr>
              <w:t> </w:t>
            </w:r>
            <w:r>
              <w:rPr>
                <w:sz w:val="14"/>
              </w:rPr>
              <w:t>Community</w:t>
            </w:r>
            <w:r>
              <w:rPr>
                <w:spacing w:val="33"/>
                <w:sz w:val="14"/>
              </w:rPr>
              <w:t> </w:t>
            </w:r>
            <w:r>
              <w:rPr>
                <w:sz w:val="14"/>
              </w:rPr>
              <w:t>regular hour</w:t>
            </w:r>
            <w:r>
              <w:rPr>
                <w:spacing w:val="-5"/>
                <w:sz w:val="14"/>
              </w:rPr>
              <w:t> </w:t>
            </w:r>
            <w:r>
              <w:rPr>
                <w:sz w:val="14"/>
              </w:rPr>
              <w:t>rate</w:t>
            </w:r>
            <w:r>
              <w:rPr>
                <w:spacing w:val="-3"/>
                <w:sz w:val="14"/>
              </w:rPr>
              <w:t> </w:t>
            </w:r>
            <w:r>
              <w:rPr>
                <w:sz w:val="14"/>
              </w:rPr>
              <w:t>-</w:t>
            </w:r>
            <w:r>
              <w:rPr>
                <w:spacing w:val="-2"/>
                <w:sz w:val="14"/>
              </w:rPr>
              <w:t> </w:t>
            </w:r>
            <w:r>
              <w:rPr>
                <w:sz w:val="14"/>
              </w:rPr>
              <w:t>Jan</w:t>
            </w:r>
            <w:r>
              <w:rPr>
                <w:spacing w:val="-2"/>
                <w:sz w:val="14"/>
              </w:rPr>
              <w:t> </w:t>
            </w:r>
            <w:r>
              <w:rPr>
                <w:sz w:val="14"/>
              </w:rPr>
              <w:t>to</w:t>
            </w:r>
            <w:r>
              <w:rPr>
                <w:spacing w:val="-2"/>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22.20</w:t>
            </w:r>
          </w:p>
        </w:tc>
        <w:tc>
          <w:tcPr>
            <w:tcW w:w="995" w:type="dxa"/>
          </w:tcPr>
          <w:p>
            <w:pPr>
              <w:pStyle w:val="TableParagraph"/>
              <w:spacing w:line="140" w:lineRule="exact" w:before="17"/>
              <w:ind w:right="101"/>
              <w:jc w:val="right"/>
              <w:rPr>
                <w:sz w:val="14"/>
              </w:rPr>
            </w:pPr>
            <w:r>
              <w:rPr>
                <w:spacing w:val="-2"/>
                <w:sz w:val="14"/>
              </w:rPr>
              <w:t>23.86</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5"/>
                <w:sz w:val="14"/>
              </w:rPr>
              <w:t> </w:t>
            </w:r>
            <w:r>
              <w:rPr>
                <w:sz w:val="14"/>
              </w:rPr>
              <w:t>Community Night</w:t>
            </w:r>
            <w:r>
              <w:rPr>
                <w:spacing w:val="-4"/>
                <w:sz w:val="14"/>
              </w:rPr>
              <w:t> </w:t>
            </w:r>
            <w:r>
              <w:rPr>
                <w:sz w:val="14"/>
              </w:rPr>
              <w:t>Hire</w:t>
            </w:r>
            <w:r>
              <w:rPr>
                <w:spacing w:val="-3"/>
                <w:sz w:val="14"/>
              </w:rPr>
              <w:t> </w:t>
            </w:r>
            <w:r>
              <w:rPr>
                <w:sz w:val="14"/>
              </w:rPr>
              <w:t>-</w:t>
            </w:r>
            <w:r>
              <w:rPr>
                <w:spacing w:val="-4"/>
                <w:sz w:val="14"/>
              </w:rPr>
              <w:t> </w:t>
            </w:r>
            <w:r>
              <w:rPr>
                <w:sz w:val="14"/>
              </w:rPr>
              <w:t>Jul</w:t>
            </w:r>
            <w:r>
              <w:rPr>
                <w:spacing w:val="-4"/>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411.00</w:t>
            </w:r>
          </w:p>
        </w:tc>
        <w:tc>
          <w:tcPr>
            <w:tcW w:w="995" w:type="dxa"/>
          </w:tcPr>
          <w:p>
            <w:pPr>
              <w:pStyle w:val="TableParagraph"/>
              <w:spacing w:line="140" w:lineRule="exact" w:before="17"/>
              <w:ind w:right="102"/>
              <w:jc w:val="right"/>
              <w:rPr>
                <w:sz w:val="14"/>
              </w:rPr>
            </w:pPr>
            <w:r>
              <w:rPr>
                <w:spacing w:val="-2"/>
                <w:sz w:val="14"/>
              </w:rPr>
              <w:t>441.83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4"/>
                <w:sz w:val="14"/>
              </w:rPr>
              <w:t> </w:t>
            </w:r>
            <w:r>
              <w:rPr>
                <w:sz w:val="14"/>
              </w:rPr>
              <w:t>Lodge</w:t>
            </w:r>
            <w:r>
              <w:rPr>
                <w:spacing w:val="-4"/>
                <w:sz w:val="14"/>
              </w:rPr>
              <w:t> </w:t>
            </w:r>
            <w:r>
              <w:rPr>
                <w:sz w:val="14"/>
              </w:rPr>
              <w:t>Community</w:t>
            </w:r>
            <w:r>
              <w:rPr>
                <w:spacing w:val="-1"/>
                <w:sz w:val="14"/>
              </w:rPr>
              <w:t> </w:t>
            </w:r>
            <w:r>
              <w:rPr>
                <w:sz w:val="14"/>
              </w:rPr>
              <w:t>Night</w:t>
            </w:r>
            <w:r>
              <w:rPr>
                <w:spacing w:val="-3"/>
                <w:sz w:val="14"/>
              </w:rPr>
              <w:t> </w:t>
            </w:r>
            <w:r>
              <w:rPr>
                <w:sz w:val="14"/>
              </w:rPr>
              <w:t>Hire</w:t>
            </w:r>
            <w:r>
              <w:rPr>
                <w:spacing w:val="-4"/>
                <w:sz w:val="14"/>
              </w:rPr>
              <w:t> </w:t>
            </w:r>
            <w:r>
              <w:rPr>
                <w:sz w:val="14"/>
              </w:rPr>
              <w:t>-</w:t>
            </w:r>
            <w:r>
              <w:rPr>
                <w:spacing w:val="-4"/>
                <w:sz w:val="14"/>
              </w:rPr>
              <w:t> </w:t>
            </w:r>
            <w:r>
              <w:rPr>
                <w:sz w:val="14"/>
              </w:rPr>
              <w:t>Jan</w:t>
            </w:r>
            <w:r>
              <w:rPr>
                <w:spacing w:val="-3"/>
                <w:sz w:val="14"/>
              </w:rPr>
              <w:t> </w:t>
            </w:r>
            <w:r>
              <w:rPr>
                <w:sz w:val="14"/>
              </w:rPr>
              <w:t>to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411.00</w:t>
            </w:r>
          </w:p>
        </w:tc>
        <w:tc>
          <w:tcPr>
            <w:tcW w:w="995" w:type="dxa"/>
          </w:tcPr>
          <w:p>
            <w:pPr>
              <w:pStyle w:val="TableParagraph"/>
              <w:spacing w:line="140" w:lineRule="exact" w:before="17"/>
              <w:ind w:right="102"/>
              <w:jc w:val="right"/>
              <w:rPr>
                <w:sz w:val="14"/>
              </w:rPr>
            </w:pPr>
            <w:r>
              <w:rPr>
                <w:spacing w:val="-2"/>
                <w:sz w:val="14"/>
              </w:rPr>
              <w:t>441.83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Corporate</w:t>
            </w:r>
            <w:r>
              <w:rPr>
                <w:spacing w:val="-4"/>
                <w:sz w:val="14"/>
              </w:rPr>
              <w:t> </w:t>
            </w:r>
            <w:r>
              <w:rPr>
                <w:sz w:val="14"/>
              </w:rPr>
              <w:t>casual</w:t>
            </w:r>
            <w:r>
              <w:rPr>
                <w:spacing w:val="33"/>
                <w:sz w:val="14"/>
              </w:rPr>
              <w:t> </w:t>
            </w:r>
            <w:r>
              <w:rPr>
                <w:sz w:val="14"/>
              </w:rPr>
              <w:t>hour</w:t>
            </w:r>
            <w:r>
              <w:rPr>
                <w:spacing w:val="-2"/>
                <w:sz w:val="14"/>
              </w:rPr>
              <w:t> </w:t>
            </w:r>
            <w:r>
              <w:rPr>
                <w:sz w:val="14"/>
              </w:rPr>
              <w:t>rate</w:t>
            </w:r>
            <w:r>
              <w:rPr>
                <w:spacing w:val="-4"/>
                <w:sz w:val="14"/>
              </w:rPr>
              <w:t> </w:t>
            </w:r>
            <w:r>
              <w:rPr>
                <w:sz w:val="14"/>
              </w:rPr>
              <w:t>-</w:t>
            </w:r>
            <w:r>
              <w:rPr>
                <w:spacing w:val="-1"/>
                <w:sz w:val="14"/>
              </w:rPr>
              <w:t> </w:t>
            </w:r>
            <w:r>
              <w:rPr>
                <w:sz w:val="14"/>
              </w:rPr>
              <w:t>Jul</w:t>
            </w:r>
            <w:r>
              <w:rPr>
                <w:spacing w:val="-3"/>
                <w:sz w:val="14"/>
              </w:rPr>
              <w:t> </w:t>
            </w:r>
            <w:r>
              <w:rPr>
                <w:sz w:val="14"/>
              </w:rPr>
              <w:t>to</w:t>
            </w:r>
            <w:r>
              <w:rPr>
                <w:spacing w:val="-4"/>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Corporate</w:t>
            </w:r>
            <w:r>
              <w:rPr>
                <w:spacing w:val="-5"/>
                <w:sz w:val="14"/>
              </w:rPr>
              <w:t> </w:t>
            </w:r>
            <w:r>
              <w:rPr>
                <w:sz w:val="14"/>
              </w:rPr>
              <w:t>casual</w:t>
            </w:r>
            <w:r>
              <w:rPr>
                <w:spacing w:val="33"/>
                <w:sz w:val="14"/>
              </w:rPr>
              <w:t> </w:t>
            </w:r>
            <w:r>
              <w:rPr>
                <w:sz w:val="14"/>
              </w:rPr>
              <w:t>hour</w:t>
            </w:r>
            <w:r>
              <w:rPr>
                <w:spacing w:val="-2"/>
                <w:sz w:val="14"/>
              </w:rPr>
              <w:t> </w:t>
            </w:r>
            <w:r>
              <w:rPr>
                <w:sz w:val="14"/>
              </w:rPr>
              <w:t>rate</w:t>
            </w:r>
            <w:r>
              <w:rPr>
                <w:spacing w:val="-4"/>
                <w:sz w:val="14"/>
              </w:rPr>
              <w:t> </w:t>
            </w:r>
            <w:r>
              <w:rPr>
                <w:sz w:val="14"/>
              </w:rPr>
              <w:t>-</w:t>
            </w:r>
            <w:r>
              <w:rPr>
                <w:spacing w:val="-1"/>
                <w:sz w:val="14"/>
              </w:rPr>
              <w:t> </w:t>
            </w:r>
            <w:r>
              <w:rPr>
                <w:sz w:val="14"/>
              </w:rPr>
              <w:t>Jan</w:t>
            </w:r>
            <w:r>
              <w:rPr>
                <w:spacing w:val="-5"/>
                <w:sz w:val="14"/>
              </w:rPr>
              <w:t> </w:t>
            </w:r>
            <w:r>
              <w:rPr>
                <w:sz w:val="14"/>
              </w:rPr>
              <w:t>to</w:t>
            </w:r>
            <w:r>
              <w:rPr>
                <w:spacing w:val="-1"/>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33.30</w:t>
            </w:r>
          </w:p>
        </w:tc>
        <w:tc>
          <w:tcPr>
            <w:tcW w:w="995" w:type="dxa"/>
          </w:tcPr>
          <w:p>
            <w:pPr>
              <w:pStyle w:val="TableParagraph"/>
              <w:spacing w:line="140" w:lineRule="exact" w:before="17"/>
              <w:ind w:right="101"/>
              <w:jc w:val="right"/>
              <w:rPr>
                <w:sz w:val="14"/>
              </w:rPr>
            </w:pPr>
            <w:r>
              <w:rPr>
                <w:spacing w:val="-2"/>
                <w:sz w:val="14"/>
              </w:rPr>
              <w:t>35.80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4"/>
                <w:sz w:val="14"/>
              </w:rPr>
              <w:t> </w:t>
            </w:r>
            <w:r>
              <w:rPr>
                <w:sz w:val="14"/>
              </w:rPr>
              <w:t>Lodge</w:t>
            </w:r>
            <w:r>
              <w:rPr>
                <w:spacing w:val="-4"/>
                <w:sz w:val="14"/>
              </w:rPr>
              <w:t> </w:t>
            </w:r>
            <w:r>
              <w:rPr>
                <w:sz w:val="14"/>
              </w:rPr>
              <w:t>Corporate</w:t>
            </w:r>
            <w:r>
              <w:rPr>
                <w:spacing w:val="34"/>
                <w:sz w:val="14"/>
              </w:rPr>
              <w:t> </w:t>
            </w:r>
            <w:r>
              <w:rPr>
                <w:sz w:val="14"/>
              </w:rPr>
              <w:t>regular</w:t>
            </w:r>
            <w:r>
              <w:rPr>
                <w:spacing w:val="-6"/>
                <w:sz w:val="14"/>
              </w:rPr>
              <w:t> </w:t>
            </w:r>
            <w:r>
              <w:rPr>
                <w:sz w:val="14"/>
              </w:rPr>
              <w:t>hour</w:t>
            </w:r>
            <w:r>
              <w:rPr>
                <w:spacing w:val="-1"/>
                <w:sz w:val="14"/>
              </w:rPr>
              <w:t> </w:t>
            </w:r>
            <w:r>
              <w:rPr>
                <w:sz w:val="14"/>
              </w:rPr>
              <w:t>rate</w:t>
            </w:r>
            <w:r>
              <w:rPr>
                <w:spacing w:val="-2"/>
                <w:sz w:val="14"/>
              </w:rPr>
              <w:t> </w:t>
            </w:r>
            <w:r>
              <w:rPr>
                <w:sz w:val="14"/>
              </w:rPr>
              <w:t>-</w:t>
            </w:r>
            <w:r>
              <w:rPr>
                <w:spacing w:val="-5"/>
                <w:sz w:val="14"/>
              </w:rPr>
              <w:t> </w:t>
            </w:r>
            <w:r>
              <w:rPr>
                <w:sz w:val="14"/>
              </w:rPr>
              <w:t>Jul</w:t>
            </w:r>
            <w:r>
              <w:rPr>
                <w:spacing w:val="-3"/>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Corporate</w:t>
            </w:r>
            <w:r>
              <w:rPr>
                <w:spacing w:val="34"/>
                <w:sz w:val="14"/>
              </w:rPr>
              <w:t> </w:t>
            </w:r>
            <w:r>
              <w:rPr>
                <w:sz w:val="14"/>
              </w:rPr>
              <w:t>regular</w:t>
            </w:r>
            <w:r>
              <w:rPr>
                <w:spacing w:val="-6"/>
                <w:sz w:val="14"/>
              </w:rPr>
              <w:t> </w:t>
            </w:r>
            <w:r>
              <w:rPr>
                <w:sz w:val="14"/>
              </w:rPr>
              <w:t>hour</w:t>
            </w:r>
            <w:r>
              <w:rPr>
                <w:spacing w:val="-1"/>
                <w:sz w:val="14"/>
              </w:rPr>
              <w:t> </w:t>
            </w:r>
            <w:r>
              <w:rPr>
                <w:sz w:val="14"/>
              </w:rPr>
              <w:t>rate</w:t>
            </w:r>
            <w:r>
              <w:rPr>
                <w:spacing w:val="-2"/>
                <w:sz w:val="14"/>
              </w:rPr>
              <w:t> </w:t>
            </w:r>
            <w:r>
              <w:rPr>
                <w:sz w:val="14"/>
              </w:rPr>
              <w:t>-</w:t>
            </w:r>
            <w:r>
              <w:rPr>
                <w:spacing w:val="-4"/>
                <w:sz w:val="14"/>
              </w:rPr>
              <w:t> </w:t>
            </w:r>
            <w:r>
              <w:rPr>
                <w:sz w:val="14"/>
              </w:rPr>
              <w:t>Jan</w:t>
            </w:r>
            <w:r>
              <w:rPr>
                <w:spacing w:val="-4"/>
                <w:sz w:val="14"/>
              </w:rPr>
              <w:t> </w:t>
            </w:r>
            <w:r>
              <w:rPr>
                <w:sz w:val="14"/>
              </w:rPr>
              <w:t>to</w:t>
            </w:r>
            <w:r>
              <w:rPr>
                <w:spacing w:val="-4"/>
                <w:sz w:val="14"/>
              </w:rPr>
              <w:t> </w:t>
            </w:r>
            <w:r>
              <w:rPr>
                <w:spacing w:val="-5"/>
                <w:sz w:val="14"/>
              </w:rPr>
              <w:t>Jun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27.75</w:t>
            </w:r>
          </w:p>
        </w:tc>
        <w:tc>
          <w:tcPr>
            <w:tcW w:w="995" w:type="dxa"/>
          </w:tcPr>
          <w:p>
            <w:pPr>
              <w:pStyle w:val="TableParagraph"/>
              <w:spacing w:line="140" w:lineRule="exact" w:before="17"/>
              <w:ind w:right="101"/>
              <w:jc w:val="right"/>
              <w:rPr>
                <w:sz w:val="14"/>
              </w:rPr>
            </w:pPr>
            <w:r>
              <w:rPr>
                <w:spacing w:val="-2"/>
                <w:sz w:val="14"/>
              </w:rPr>
              <w:t>29.83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Bill</w:t>
            </w:r>
            <w:r>
              <w:rPr>
                <w:spacing w:val="-4"/>
                <w:sz w:val="14"/>
              </w:rPr>
              <w:t> </w:t>
            </w:r>
            <w:r>
              <w:rPr>
                <w:sz w:val="14"/>
              </w:rPr>
              <w:t>Wilkins</w:t>
            </w:r>
            <w:r>
              <w:rPr>
                <w:spacing w:val="-3"/>
                <w:sz w:val="14"/>
              </w:rPr>
              <w:t> </w:t>
            </w:r>
            <w:r>
              <w:rPr>
                <w:sz w:val="14"/>
              </w:rPr>
              <w:t>Lodge</w:t>
            </w:r>
            <w:r>
              <w:rPr>
                <w:spacing w:val="-5"/>
                <w:sz w:val="14"/>
              </w:rPr>
              <w:t> </w:t>
            </w:r>
            <w:r>
              <w:rPr>
                <w:sz w:val="14"/>
              </w:rPr>
              <w:t>Corporate</w:t>
            </w:r>
            <w:r>
              <w:rPr>
                <w:spacing w:val="-4"/>
                <w:sz w:val="14"/>
              </w:rPr>
              <w:t> </w:t>
            </w:r>
            <w:r>
              <w:rPr>
                <w:sz w:val="14"/>
              </w:rPr>
              <w:t>Night</w:t>
            </w:r>
            <w:r>
              <w:rPr>
                <w:spacing w:val="-1"/>
                <w:sz w:val="14"/>
              </w:rPr>
              <w:t> </w:t>
            </w:r>
            <w:r>
              <w:rPr>
                <w:sz w:val="14"/>
              </w:rPr>
              <w:t>Hire</w:t>
            </w:r>
            <w:r>
              <w:rPr>
                <w:spacing w:val="-3"/>
                <w:sz w:val="14"/>
              </w:rPr>
              <w:t> </w:t>
            </w:r>
            <w:r>
              <w:rPr>
                <w:sz w:val="14"/>
              </w:rPr>
              <w:t>-</w:t>
            </w:r>
            <w:r>
              <w:rPr>
                <w:spacing w:val="-4"/>
                <w:sz w:val="14"/>
              </w:rPr>
              <w:t> </w:t>
            </w:r>
            <w:r>
              <w:rPr>
                <w:sz w:val="14"/>
              </w:rPr>
              <w:t>Jul</w:t>
            </w:r>
            <w:r>
              <w:rPr>
                <w:spacing w:val="-1"/>
                <w:sz w:val="14"/>
              </w:rPr>
              <w:t> </w:t>
            </w:r>
            <w:r>
              <w:rPr>
                <w:sz w:val="14"/>
              </w:rPr>
              <w:t>to</w:t>
            </w:r>
            <w:r>
              <w:rPr>
                <w:spacing w:val="-2"/>
                <w:sz w:val="14"/>
              </w:rPr>
              <w:t> </w:t>
            </w:r>
            <w:r>
              <w:rPr>
                <w:spacing w:val="-5"/>
                <w:sz w:val="14"/>
              </w:rPr>
              <w:t>Dec</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444.00</w:t>
            </w:r>
          </w:p>
        </w:tc>
        <w:tc>
          <w:tcPr>
            <w:tcW w:w="995" w:type="dxa"/>
          </w:tcPr>
          <w:p>
            <w:pPr>
              <w:pStyle w:val="TableParagraph"/>
              <w:spacing w:line="140" w:lineRule="exact" w:before="17"/>
              <w:ind w:right="102"/>
              <w:jc w:val="right"/>
              <w:rPr>
                <w:sz w:val="14"/>
              </w:rPr>
            </w:pPr>
            <w:r>
              <w:rPr>
                <w:spacing w:val="-2"/>
                <w:sz w:val="14"/>
              </w:rPr>
              <w:t>477.30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Bill</w:t>
            </w:r>
            <w:r>
              <w:rPr>
                <w:spacing w:val="-4"/>
                <w:sz w:val="14"/>
              </w:rPr>
              <w:t> </w:t>
            </w:r>
            <w:r>
              <w:rPr>
                <w:sz w:val="14"/>
              </w:rPr>
              <w:t>Wilkins</w:t>
            </w:r>
            <w:r>
              <w:rPr>
                <w:spacing w:val="-3"/>
                <w:sz w:val="14"/>
              </w:rPr>
              <w:t> </w:t>
            </w:r>
            <w:r>
              <w:rPr>
                <w:sz w:val="14"/>
              </w:rPr>
              <w:t>Lodge</w:t>
            </w:r>
            <w:r>
              <w:rPr>
                <w:spacing w:val="-4"/>
                <w:sz w:val="14"/>
              </w:rPr>
              <w:t> </w:t>
            </w:r>
            <w:r>
              <w:rPr>
                <w:sz w:val="14"/>
              </w:rPr>
              <w:t>Corporate</w:t>
            </w:r>
            <w:r>
              <w:rPr>
                <w:spacing w:val="-4"/>
                <w:sz w:val="14"/>
              </w:rPr>
              <w:t> </w:t>
            </w:r>
            <w:r>
              <w:rPr>
                <w:sz w:val="14"/>
              </w:rPr>
              <w:t>Night</w:t>
            </w:r>
            <w:r>
              <w:rPr>
                <w:spacing w:val="-1"/>
                <w:sz w:val="14"/>
              </w:rPr>
              <w:t> </w:t>
            </w:r>
            <w:r>
              <w:rPr>
                <w:sz w:val="14"/>
              </w:rPr>
              <w:t>Hire</w:t>
            </w:r>
            <w:r>
              <w:rPr>
                <w:spacing w:val="-3"/>
                <w:sz w:val="14"/>
              </w:rPr>
              <w:t> </w:t>
            </w:r>
            <w:r>
              <w:rPr>
                <w:sz w:val="14"/>
              </w:rPr>
              <w:t>-</w:t>
            </w:r>
            <w:r>
              <w:rPr>
                <w:spacing w:val="-3"/>
                <w:sz w:val="14"/>
              </w:rPr>
              <w:t> </w:t>
            </w:r>
            <w:r>
              <w:rPr>
                <w:sz w:val="14"/>
              </w:rPr>
              <w:t>Jan</w:t>
            </w:r>
            <w:r>
              <w:rPr>
                <w:spacing w:val="-5"/>
                <w:sz w:val="14"/>
              </w:rPr>
              <w:t> </w:t>
            </w:r>
            <w:r>
              <w:rPr>
                <w:sz w:val="14"/>
              </w:rPr>
              <w:t>to</w:t>
            </w:r>
            <w:r>
              <w:rPr>
                <w:spacing w:val="-4"/>
                <w:sz w:val="14"/>
              </w:rPr>
              <w:t> </w:t>
            </w:r>
            <w:r>
              <w:rPr>
                <w:spacing w:val="-5"/>
                <w:sz w:val="14"/>
              </w:rPr>
              <w:t>Jun</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444.00</w:t>
            </w:r>
          </w:p>
        </w:tc>
        <w:tc>
          <w:tcPr>
            <w:tcW w:w="995" w:type="dxa"/>
          </w:tcPr>
          <w:p>
            <w:pPr>
              <w:pStyle w:val="TableParagraph"/>
              <w:spacing w:line="142" w:lineRule="exact" w:before="15"/>
              <w:ind w:right="101"/>
              <w:jc w:val="right"/>
              <w:rPr>
                <w:sz w:val="14"/>
              </w:rPr>
            </w:pPr>
            <w:r>
              <w:rPr>
                <w:spacing w:val="-2"/>
                <w:sz w:val="14"/>
              </w:rPr>
              <w:t>477.30</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b/>
                <w:sz w:val="14"/>
              </w:rPr>
            </w:pPr>
            <w:r>
              <w:rPr>
                <w:b/>
                <w:sz w:val="14"/>
              </w:rPr>
              <w:t>Cheong</w:t>
            </w:r>
            <w:r>
              <w:rPr>
                <w:b/>
                <w:spacing w:val="-5"/>
                <w:sz w:val="14"/>
              </w:rPr>
              <w:t> </w:t>
            </w:r>
            <w:r>
              <w:rPr>
                <w:b/>
                <w:sz w:val="14"/>
              </w:rPr>
              <w:t>Park</w:t>
            </w:r>
            <w:r>
              <w:rPr>
                <w:b/>
                <w:spacing w:val="-4"/>
                <w:sz w:val="14"/>
              </w:rPr>
              <w:t> Hall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Cheong</w:t>
            </w:r>
            <w:r>
              <w:rPr>
                <w:spacing w:val="-4"/>
                <w:sz w:val="14"/>
              </w:rPr>
              <w:t> </w:t>
            </w:r>
            <w:r>
              <w:rPr>
                <w:sz w:val="14"/>
              </w:rPr>
              <w:t>Park</w:t>
            </w:r>
            <w:r>
              <w:rPr>
                <w:spacing w:val="-5"/>
                <w:sz w:val="14"/>
              </w:rPr>
              <w:t> </w:t>
            </w:r>
            <w:r>
              <w:rPr>
                <w:sz w:val="14"/>
              </w:rPr>
              <w:t>Hall</w:t>
            </w:r>
            <w:r>
              <w:rPr>
                <w:spacing w:val="-3"/>
                <w:sz w:val="14"/>
              </w:rPr>
              <w:t> </w:t>
            </w:r>
            <w:r>
              <w:rPr>
                <w:spacing w:val="-4"/>
                <w:sz w:val="14"/>
              </w:rPr>
              <w:t>Hire</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6"/>
                <w:sz w:val="14"/>
              </w:rPr>
              <w:t> </w:t>
            </w:r>
            <w:r>
              <w:rPr>
                <w:b/>
                <w:spacing w:val="-2"/>
                <w:sz w:val="14"/>
              </w:rPr>
              <w:t>administration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251" w:hRule="atLeast"/>
        </w:trPr>
        <w:tc>
          <w:tcPr>
            <w:tcW w:w="5794" w:type="dxa"/>
          </w:tcPr>
          <w:p>
            <w:pPr>
              <w:pStyle w:val="TableParagraph"/>
              <w:spacing w:line="140" w:lineRule="exact" w:before="91"/>
              <w:ind w:left="107"/>
              <w:rPr>
                <w:sz w:val="14"/>
              </w:rPr>
            </w:pPr>
            <w:r>
              <w:rPr>
                <w:sz w:val="14"/>
              </w:rPr>
              <w:t>Catamore</w:t>
            </w:r>
            <w:r>
              <w:rPr>
                <w:spacing w:val="-3"/>
                <w:sz w:val="14"/>
              </w:rPr>
              <w:t> </w:t>
            </w:r>
            <w:r>
              <w:rPr>
                <w:sz w:val="14"/>
              </w:rPr>
              <w:t>Hall</w:t>
            </w:r>
            <w:r>
              <w:rPr>
                <w:spacing w:val="-4"/>
                <w:sz w:val="14"/>
              </w:rPr>
              <w:t> </w:t>
            </w:r>
            <w:r>
              <w:rPr>
                <w:sz w:val="14"/>
              </w:rPr>
              <w:t>Hire</w:t>
            </w:r>
            <w:r>
              <w:rPr>
                <w:spacing w:val="-2"/>
                <w:sz w:val="14"/>
              </w:rPr>
              <w:t> </w:t>
            </w:r>
            <w:r>
              <w:rPr>
                <w:sz w:val="14"/>
              </w:rPr>
              <w:t>per</w:t>
            </w:r>
            <w:r>
              <w:rPr>
                <w:spacing w:val="-4"/>
                <w:sz w:val="14"/>
              </w:rPr>
              <w:t> </w:t>
            </w:r>
            <w:r>
              <w:rPr>
                <w:sz w:val="14"/>
              </w:rPr>
              <w:t>hour</w:t>
            </w:r>
            <w:r>
              <w:rPr>
                <w:spacing w:val="-4"/>
                <w:sz w:val="14"/>
              </w:rPr>
              <w:t> </w:t>
            </w:r>
            <w:r>
              <w:rPr>
                <w:sz w:val="14"/>
              </w:rPr>
              <w:t>-</w:t>
            </w:r>
            <w:r>
              <w:rPr>
                <w:spacing w:val="-3"/>
                <w:sz w:val="14"/>
              </w:rPr>
              <w:t> </w:t>
            </w:r>
            <w:r>
              <w:rPr>
                <w:sz w:val="14"/>
              </w:rPr>
              <w:t>weekdays</w:t>
            </w:r>
            <w:r>
              <w:rPr>
                <w:spacing w:val="-3"/>
                <w:sz w:val="14"/>
              </w:rPr>
              <w:t> </w:t>
            </w:r>
            <w:r>
              <w:rPr>
                <w:sz w:val="14"/>
              </w:rPr>
              <w:t>&amp;</w:t>
            </w:r>
            <w:r>
              <w:rPr>
                <w:spacing w:val="-3"/>
                <w:sz w:val="14"/>
              </w:rPr>
              <w:t> </w:t>
            </w:r>
            <w:r>
              <w:rPr>
                <w:spacing w:val="-2"/>
                <w:sz w:val="14"/>
              </w:rPr>
              <w:t>weekends</w:t>
            </w:r>
          </w:p>
        </w:tc>
        <w:tc>
          <w:tcPr>
            <w:tcW w:w="1131" w:type="dxa"/>
          </w:tcPr>
          <w:p>
            <w:pPr>
              <w:pStyle w:val="TableParagraph"/>
              <w:spacing w:line="140" w:lineRule="exact" w:before="91"/>
              <w:ind w:left="5"/>
              <w:jc w:val="center"/>
              <w:rPr>
                <w:sz w:val="14"/>
              </w:rPr>
            </w:pPr>
            <w:r>
              <w:rPr>
                <w:w w:val="99"/>
                <w:sz w:val="14"/>
              </w:rPr>
              <w:t>N</w:t>
            </w:r>
          </w:p>
        </w:tc>
        <w:tc>
          <w:tcPr>
            <w:tcW w:w="567" w:type="dxa"/>
          </w:tcPr>
          <w:p>
            <w:pPr>
              <w:pStyle w:val="TableParagraph"/>
              <w:spacing w:line="140" w:lineRule="exact" w:before="91"/>
              <w:ind w:left="145" w:right="143"/>
              <w:jc w:val="center"/>
              <w:rPr>
                <w:sz w:val="14"/>
              </w:rPr>
            </w:pPr>
            <w:r>
              <w:rPr>
                <w:spacing w:val="-5"/>
                <w:sz w:val="14"/>
              </w:rPr>
              <w:t>Yes</w:t>
            </w:r>
          </w:p>
        </w:tc>
        <w:tc>
          <w:tcPr>
            <w:tcW w:w="997" w:type="dxa"/>
          </w:tcPr>
          <w:p>
            <w:pPr>
              <w:pStyle w:val="TableParagraph"/>
              <w:spacing w:line="140" w:lineRule="exact" w:before="91"/>
              <w:ind w:right="100"/>
              <w:jc w:val="right"/>
              <w:rPr>
                <w:sz w:val="14"/>
              </w:rPr>
            </w:pPr>
            <w:r>
              <w:rPr>
                <w:spacing w:val="-2"/>
                <w:sz w:val="14"/>
              </w:rPr>
              <w:t>34.00</w:t>
            </w:r>
          </w:p>
        </w:tc>
        <w:tc>
          <w:tcPr>
            <w:tcW w:w="995" w:type="dxa"/>
          </w:tcPr>
          <w:p>
            <w:pPr>
              <w:pStyle w:val="TableParagraph"/>
              <w:spacing w:line="140" w:lineRule="exact" w:before="91"/>
              <w:ind w:right="101"/>
              <w:jc w:val="right"/>
              <w:rPr>
                <w:sz w:val="14"/>
              </w:rPr>
            </w:pPr>
            <w:r>
              <w:rPr>
                <w:spacing w:val="-2"/>
                <w:sz w:val="14"/>
              </w:rPr>
              <w:t>37.00</w:t>
            </w:r>
          </w:p>
        </w:tc>
        <w:tc>
          <w:tcPr>
            <w:tcW w:w="861" w:type="dxa"/>
          </w:tcPr>
          <w:p>
            <w:pPr>
              <w:pStyle w:val="TableParagraph"/>
              <w:spacing w:line="140" w:lineRule="exact" w:before="91"/>
              <w:ind w:left="327"/>
              <w:rPr>
                <w:sz w:val="14"/>
              </w:rPr>
            </w:pPr>
            <w:r>
              <w:rPr>
                <w:spacing w:val="-5"/>
                <w:sz w:val="14"/>
              </w:rPr>
              <w:t>8.1</w:t>
            </w:r>
          </w:p>
        </w:tc>
      </w:tr>
      <w:tr>
        <w:trPr>
          <w:trHeight w:val="201" w:hRule="atLeast"/>
        </w:trPr>
        <w:tc>
          <w:tcPr>
            <w:tcW w:w="5794" w:type="dxa"/>
          </w:tcPr>
          <w:p>
            <w:pPr>
              <w:pStyle w:val="TableParagraph"/>
              <w:spacing w:line="140" w:lineRule="exact" w:before="41"/>
              <w:ind w:left="107"/>
              <w:rPr>
                <w:sz w:val="14"/>
              </w:rPr>
            </w:pPr>
            <w:r>
              <w:rPr>
                <w:sz w:val="14"/>
              </w:rPr>
              <w:t>Catamore</w:t>
            </w:r>
            <w:r>
              <w:rPr>
                <w:spacing w:val="-4"/>
                <w:sz w:val="14"/>
              </w:rPr>
              <w:t> </w:t>
            </w:r>
            <w:r>
              <w:rPr>
                <w:sz w:val="14"/>
              </w:rPr>
              <w:t>Hall</w:t>
            </w:r>
            <w:r>
              <w:rPr>
                <w:spacing w:val="-5"/>
                <w:sz w:val="14"/>
              </w:rPr>
              <w:t> </w:t>
            </w:r>
            <w:r>
              <w:rPr>
                <w:sz w:val="14"/>
              </w:rPr>
              <w:t>Hire</w:t>
            </w:r>
            <w:r>
              <w:rPr>
                <w:spacing w:val="-3"/>
                <w:sz w:val="14"/>
              </w:rPr>
              <w:t> </w:t>
            </w:r>
            <w:r>
              <w:rPr>
                <w:sz w:val="14"/>
              </w:rPr>
              <w:t>-</w:t>
            </w:r>
            <w:r>
              <w:rPr>
                <w:spacing w:val="-5"/>
                <w:sz w:val="14"/>
              </w:rPr>
              <w:t> </w:t>
            </w:r>
            <w:r>
              <w:rPr>
                <w:sz w:val="14"/>
              </w:rPr>
              <w:t>Weekend</w:t>
            </w:r>
            <w:r>
              <w:rPr>
                <w:spacing w:val="-3"/>
                <w:sz w:val="14"/>
              </w:rPr>
              <w:t> </w:t>
            </w:r>
            <w:r>
              <w:rPr>
                <w:sz w:val="14"/>
              </w:rPr>
              <w:t>function</w:t>
            </w:r>
            <w:r>
              <w:rPr>
                <w:spacing w:val="-1"/>
                <w:sz w:val="14"/>
              </w:rPr>
              <w:t> </w:t>
            </w:r>
            <w:r>
              <w:rPr>
                <w:spacing w:val="-4"/>
                <w:sz w:val="14"/>
              </w:rPr>
              <w:t>hire</w:t>
            </w:r>
          </w:p>
        </w:tc>
        <w:tc>
          <w:tcPr>
            <w:tcW w:w="1131" w:type="dxa"/>
          </w:tcPr>
          <w:p>
            <w:pPr>
              <w:pStyle w:val="TableParagraph"/>
              <w:spacing w:line="140" w:lineRule="exact" w:before="41"/>
              <w:ind w:left="5"/>
              <w:jc w:val="center"/>
              <w:rPr>
                <w:sz w:val="14"/>
              </w:rPr>
            </w:pPr>
            <w:r>
              <w:rPr>
                <w:w w:val="99"/>
                <w:sz w:val="14"/>
              </w:rPr>
              <w:t>N</w:t>
            </w:r>
          </w:p>
        </w:tc>
        <w:tc>
          <w:tcPr>
            <w:tcW w:w="567" w:type="dxa"/>
          </w:tcPr>
          <w:p>
            <w:pPr>
              <w:pStyle w:val="TableParagraph"/>
              <w:spacing w:line="140" w:lineRule="exact" w:before="41"/>
              <w:ind w:left="145" w:right="143"/>
              <w:jc w:val="center"/>
              <w:rPr>
                <w:sz w:val="14"/>
              </w:rPr>
            </w:pPr>
            <w:r>
              <w:rPr>
                <w:spacing w:val="-5"/>
                <w:sz w:val="14"/>
              </w:rPr>
              <w:t>Yes</w:t>
            </w:r>
          </w:p>
        </w:tc>
        <w:tc>
          <w:tcPr>
            <w:tcW w:w="997" w:type="dxa"/>
          </w:tcPr>
          <w:p>
            <w:pPr>
              <w:pStyle w:val="TableParagraph"/>
              <w:spacing w:line="140" w:lineRule="exact" w:before="41"/>
              <w:ind w:right="100"/>
              <w:jc w:val="right"/>
              <w:rPr>
                <w:sz w:val="14"/>
              </w:rPr>
            </w:pPr>
            <w:r>
              <w:rPr>
                <w:spacing w:val="-2"/>
                <w:sz w:val="14"/>
              </w:rPr>
              <w:t>293.00</w:t>
            </w:r>
          </w:p>
        </w:tc>
        <w:tc>
          <w:tcPr>
            <w:tcW w:w="995" w:type="dxa"/>
          </w:tcPr>
          <w:p>
            <w:pPr>
              <w:pStyle w:val="TableParagraph"/>
              <w:spacing w:line="140" w:lineRule="exact" w:before="41"/>
              <w:ind w:right="102"/>
              <w:jc w:val="right"/>
              <w:rPr>
                <w:sz w:val="14"/>
              </w:rPr>
            </w:pPr>
            <w:r>
              <w:rPr>
                <w:spacing w:val="-2"/>
                <w:sz w:val="14"/>
              </w:rPr>
              <w:t>315.00</w:t>
            </w:r>
          </w:p>
        </w:tc>
        <w:tc>
          <w:tcPr>
            <w:tcW w:w="861" w:type="dxa"/>
          </w:tcPr>
          <w:p>
            <w:pPr>
              <w:pStyle w:val="TableParagraph"/>
              <w:spacing w:line="140" w:lineRule="exact" w:before="41"/>
              <w:ind w:left="327"/>
              <w:rPr>
                <w:sz w:val="14"/>
              </w:rPr>
            </w:pPr>
            <w:r>
              <w:rPr>
                <w:spacing w:val="-5"/>
                <w:sz w:val="14"/>
              </w:rPr>
              <w:t>7.0</w:t>
            </w:r>
          </w:p>
        </w:tc>
      </w:tr>
      <w:tr>
        <w:trPr>
          <w:trHeight w:val="220" w:hRule="atLeast"/>
        </w:trPr>
        <w:tc>
          <w:tcPr>
            <w:tcW w:w="5794" w:type="dxa"/>
          </w:tcPr>
          <w:p>
            <w:pPr>
              <w:pStyle w:val="TableParagraph"/>
              <w:spacing w:line="140" w:lineRule="exact" w:before="60"/>
              <w:ind w:left="107"/>
              <w:rPr>
                <w:sz w:val="14"/>
              </w:rPr>
            </w:pPr>
            <w:r>
              <w:rPr>
                <w:sz w:val="14"/>
              </w:rPr>
              <w:t>Studio</w:t>
            </w:r>
            <w:r>
              <w:rPr>
                <w:spacing w:val="-2"/>
                <w:sz w:val="14"/>
              </w:rPr>
              <w:t> </w:t>
            </w:r>
            <w:r>
              <w:rPr>
                <w:sz w:val="14"/>
              </w:rPr>
              <w:t>Hire</w:t>
            </w:r>
            <w:r>
              <w:rPr>
                <w:spacing w:val="-5"/>
                <w:sz w:val="14"/>
              </w:rPr>
              <w:t> </w:t>
            </w:r>
            <w:r>
              <w:rPr>
                <w:sz w:val="14"/>
              </w:rPr>
              <w:t>per</w:t>
            </w:r>
            <w:r>
              <w:rPr>
                <w:spacing w:val="-2"/>
                <w:sz w:val="14"/>
              </w:rPr>
              <w:t> </w:t>
            </w:r>
            <w:r>
              <w:rPr>
                <w:sz w:val="14"/>
              </w:rPr>
              <w:t>hour</w:t>
            </w:r>
            <w:r>
              <w:rPr>
                <w:spacing w:val="-2"/>
                <w:sz w:val="14"/>
              </w:rPr>
              <w:t> </w:t>
            </w:r>
            <w:r>
              <w:rPr>
                <w:sz w:val="14"/>
              </w:rPr>
              <w:t>-</w:t>
            </w:r>
            <w:r>
              <w:rPr>
                <w:spacing w:val="-5"/>
                <w:sz w:val="14"/>
              </w:rPr>
              <w:t> </w:t>
            </w:r>
            <w:r>
              <w:rPr>
                <w:sz w:val="14"/>
              </w:rPr>
              <w:t>weekdays</w:t>
            </w:r>
            <w:r>
              <w:rPr>
                <w:spacing w:val="-1"/>
                <w:sz w:val="14"/>
              </w:rPr>
              <w:t> </w:t>
            </w:r>
            <w:r>
              <w:rPr>
                <w:sz w:val="14"/>
              </w:rPr>
              <w:t>&amp;</w:t>
            </w:r>
            <w:r>
              <w:rPr>
                <w:spacing w:val="-3"/>
                <w:sz w:val="14"/>
              </w:rPr>
              <w:t> </w:t>
            </w:r>
            <w:r>
              <w:rPr>
                <w:spacing w:val="-2"/>
                <w:sz w:val="14"/>
              </w:rPr>
              <w:t>weekends</w:t>
            </w:r>
          </w:p>
        </w:tc>
        <w:tc>
          <w:tcPr>
            <w:tcW w:w="1131" w:type="dxa"/>
          </w:tcPr>
          <w:p>
            <w:pPr>
              <w:pStyle w:val="TableParagraph"/>
              <w:spacing w:line="140" w:lineRule="exact" w:before="60"/>
              <w:ind w:left="5"/>
              <w:jc w:val="center"/>
              <w:rPr>
                <w:sz w:val="14"/>
              </w:rPr>
            </w:pPr>
            <w:r>
              <w:rPr>
                <w:w w:val="99"/>
                <w:sz w:val="14"/>
              </w:rPr>
              <w:t>N</w:t>
            </w:r>
          </w:p>
        </w:tc>
        <w:tc>
          <w:tcPr>
            <w:tcW w:w="567" w:type="dxa"/>
          </w:tcPr>
          <w:p>
            <w:pPr>
              <w:pStyle w:val="TableParagraph"/>
              <w:spacing w:line="140" w:lineRule="exact" w:before="60"/>
              <w:ind w:left="145" w:right="143"/>
              <w:jc w:val="center"/>
              <w:rPr>
                <w:sz w:val="14"/>
              </w:rPr>
            </w:pPr>
            <w:r>
              <w:rPr>
                <w:spacing w:val="-5"/>
                <w:sz w:val="14"/>
              </w:rPr>
              <w:t>Yes</w:t>
            </w:r>
          </w:p>
        </w:tc>
        <w:tc>
          <w:tcPr>
            <w:tcW w:w="997" w:type="dxa"/>
          </w:tcPr>
          <w:p>
            <w:pPr>
              <w:pStyle w:val="TableParagraph"/>
              <w:spacing w:line="140" w:lineRule="exact" w:before="60"/>
              <w:ind w:right="100"/>
              <w:jc w:val="right"/>
              <w:rPr>
                <w:sz w:val="14"/>
              </w:rPr>
            </w:pPr>
            <w:r>
              <w:rPr>
                <w:spacing w:val="-2"/>
                <w:sz w:val="14"/>
              </w:rPr>
              <w:t>25.00</w:t>
            </w:r>
          </w:p>
        </w:tc>
        <w:tc>
          <w:tcPr>
            <w:tcW w:w="995" w:type="dxa"/>
          </w:tcPr>
          <w:p>
            <w:pPr>
              <w:pStyle w:val="TableParagraph"/>
              <w:spacing w:line="140" w:lineRule="exact" w:before="60"/>
              <w:ind w:right="101"/>
              <w:jc w:val="right"/>
              <w:rPr>
                <w:sz w:val="14"/>
              </w:rPr>
            </w:pPr>
            <w:r>
              <w:rPr>
                <w:spacing w:val="-2"/>
                <w:sz w:val="14"/>
              </w:rPr>
              <w:t>28.00</w:t>
            </w:r>
          </w:p>
        </w:tc>
        <w:tc>
          <w:tcPr>
            <w:tcW w:w="861" w:type="dxa"/>
          </w:tcPr>
          <w:p>
            <w:pPr>
              <w:pStyle w:val="TableParagraph"/>
              <w:spacing w:line="140" w:lineRule="exact" w:before="60"/>
              <w:ind w:left="288"/>
              <w:rPr>
                <w:sz w:val="14"/>
              </w:rPr>
            </w:pPr>
            <w:r>
              <w:rPr>
                <w:spacing w:val="-4"/>
                <w:sz w:val="14"/>
              </w:rPr>
              <w:t>10.7</w:t>
            </w: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4"/>
                <w:sz w:val="14"/>
              </w:rPr>
              <w:t> </w:t>
            </w:r>
            <w:r>
              <w:rPr>
                <w:b/>
                <w:sz w:val="14"/>
              </w:rPr>
              <w:t>Music</w:t>
            </w:r>
            <w:r>
              <w:rPr>
                <w:b/>
                <w:spacing w:val="-6"/>
                <w:sz w:val="14"/>
              </w:rPr>
              <w:t> </w:t>
            </w:r>
            <w:r>
              <w:rPr>
                <w:b/>
                <w:sz w:val="14"/>
              </w:rPr>
              <w:t>Cafe</w:t>
            </w:r>
            <w:r>
              <w:rPr>
                <w:b/>
                <w:spacing w:val="-4"/>
                <w:sz w:val="14"/>
              </w:rPr>
              <w:t> </w:t>
            </w:r>
            <w:r>
              <w:rPr>
                <w:b/>
                <w:sz w:val="14"/>
              </w:rPr>
              <w:t>and</w:t>
            </w:r>
            <w:r>
              <w:rPr>
                <w:b/>
                <w:spacing w:val="-4"/>
                <w:sz w:val="14"/>
              </w:rPr>
              <w:t> </w:t>
            </w:r>
            <w:r>
              <w:rPr>
                <w:b/>
                <w:spacing w:val="-2"/>
                <w:sz w:val="14"/>
              </w:rPr>
              <w:t>Events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Wyreena</w:t>
            </w:r>
            <w:r>
              <w:rPr>
                <w:spacing w:val="-3"/>
                <w:sz w:val="14"/>
              </w:rPr>
              <w:t> </w:t>
            </w:r>
            <w:r>
              <w:rPr>
                <w:sz w:val="14"/>
              </w:rPr>
              <w:t>Open</w:t>
            </w:r>
            <w:r>
              <w:rPr>
                <w:spacing w:val="-4"/>
                <w:sz w:val="14"/>
              </w:rPr>
              <w:t> </w:t>
            </w:r>
            <w:r>
              <w:rPr>
                <w:sz w:val="14"/>
              </w:rPr>
              <w:t>Day</w:t>
            </w:r>
            <w:r>
              <w:rPr>
                <w:spacing w:val="-3"/>
                <w:sz w:val="14"/>
              </w:rPr>
              <w:t> </w:t>
            </w:r>
            <w:r>
              <w:rPr>
                <w:sz w:val="14"/>
              </w:rPr>
              <w:t>Music</w:t>
            </w:r>
            <w:r>
              <w:rPr>
                <w:spacing w:val="-5"/>
                <w:sz w:val="14"/>
              </w:rPr>
              <w:t> </w:t>
            </w:r>
            <w:r>
              <w:rPr>
                <w:spacing w:val="-4"/>
                <w:sz w:val="14"/>
              </w:rPr>
              <w:t>Café</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40.00</w:t>
            </w:r>
          </w:p>
        </w:tc>
        <w:tc>
          <w:tcPr>
            <w:tcW w:w="995" w:type="dxa"/>
          </w:tcPr>
          <w:p>
            <w:pPr>
              <w:pStyle w:val="TableParagraph"/>
              <w:spacing w:line="140" w:lineRule="exact" w:before="17"/>
              <w:ind w:right="101"/>
              <w:jc w:val="right"/>
              <w:rPr>
                <w:sz w:val="14"/>
              </w:rPr>
            </w:pPr>
            <w:r>
              <w:rPr>
                <w:spacing w:val="-2"/>
                <w:sz w:val="14"/>
              </w:rPr>
              <w:t>43.00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3"/>
                <w:sz w:val="14"/>
              </w:rPr>
              <w:t> </w:t>
            </w:r>
            <w:r>
              <w:rPr>
                <w:b/>
                <w:sz w:val="14"/>
              </w:rPr>
              <w:t>Course</w:t>
            </w:r>
            <w:r>
              <w:rPr>
                <w:b/>
                <w:spacing w:val="-4"/>
                <w:sz w:val="14"/>
              </w:rPr>
              <w:t> </w:t>
            </w:r>
            <w:r>
              <w:rPr>
                <w:b/>
                <w:sz w:val="14"/>
              </w:rPr>
              <w:t>Fees</w:t>
            </w:r>
            <w:r>
              <w:rPr>
                <w:b/>
                <w:spacing w:val="-7"/>
                <w:sz w:val="14"/>
              </w:rPr>
              <w:t> </w:t>
            </w:r>
            <w:r>
              <w:rPr>
                <w:b/>
                <w:sz w:val="14"/>
              </w:rPr>
              <w:t>Term</w:t>
            </w:r>
            <w:r>
              <w:rPr>
                <w:b/>
                <w:spacing w:val="-5"/>
                <w:sz w:val="14"/>
              </w:rPr>
              <w:t> </w:t>
            </w:r>
            <w:r>
              <w:rPr>
                <w:b/>
                <w:spacing w:val="-10"/>
                <w:sz w:val="14"/>
              </w:rPr>
              <w:t>1</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2" w:hRule="atLeast"/>
        </w:trPr>
        <w:tc>
          <w:tcPr>
            <w:tcW w:w="5794" w:type="dxa"/>
          </w:tcPr>
          <w:p>
            <w:pPr>
              <w:pStyle w:val="TableParagraph"/>
              <w:rPr>
                <w:sz w:val="14"/>
              </w:rPr>
            </w:pPr>
          </w:p>
          <w:p>
            <w:pPr>
              <w:pStyle w:val="TableParagraph"/>
              <w:ind w:left="107"/>
              <w:rPr>
                <w:sz w:val="14"/>
              </w:rPr>
            </w:pPr>
            <w:r>
              <w:rPr>
                <w:spacing w:val="-2"/>
                <w:sz w:val="14"/>
              </w:rPr>
              <w:t>Adults</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483" w:hRule="atLeast"/>
        </w:trPr>
        <w:tc>
          <w:tcPr>
            <w:tcW w:w="5794" w:type="dxa"/>
          </w:tcPr>
          <w:p>
            <w:pPr>
              <w:pStyle w:val="TableParagraph"/>
              <w:spacing w:before="1"/>
              <w:rPr>
                <w:sz w:val="14"/>
              </w:rPr>
            </w:pPr>
          </w:p>
          <w:p>
            <w:pPr>
              <w:pStyle w:val="TableParagraph"/>
              <w:ind w:left="107"/>
              <w:rPr>
                <w:sz w:val="14"/>
              </w:rPr>
            </w:pPr>
            <w:r>
              <w:rPr>
                <w:spacing w:val="-2"/>
                <w:sz w:val="14"/>
              </w:rPr>
              <w:t>Children</w:t>
            </w:r>
          </w:p>
        </w:tc>
        <w:tc>
          <w:tcPr>
            <w:tcW w:w="1131" w:type="dxa"/>
          </w:tcPr>
          <w:p>
            <w:pPr>
              <w:pStyle w:val="TableParagraph"/>
              <w:rPr>
                <w:sz w:val="16"/>
              </w:rPr>
            </w:pPr>
          </w:p>
          <w:p>
            <w:pPr>
              <w:pStyle w:val="TableParagraph"/>
              <w:spacing w:line="140" w:lineRule="exact" w:before="139"/>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9"/>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3"/>
                <w:sz w:val="14"/>
              </w:rPr>
              <w:t> </w:t>
            </w:r>
            <w:r>
              <w:rPr>
                <w:b/>
                <w:sz w:val="14"/>
              </w:rPr>
              <w:t>Course</w:t>
            </w:r>
            <w:r>
              <w:rPr>
                <w:b/>
                <w:spacing w:val="-4"/>
                <w:sz w:val="14"/>
              </w:rPr>
              <w:t> </w:t>
            </w:r>
            <w:r>
              <w:rPr>
                <w:b/>
                <w:sz w:val="14"/>
              </w:rPr>
              <w:t>Fees</w:t>
            </w:r>
            <w:r>
              <w:rPr>
                <w:b/>
                <w:spacing w:val="-7"/>
                <w:sz w:val="14"/>
              </w:rPr>
              <w:t> </w:t>
            </w:r>
            <w:r>
              <w:rPr>
                <w:b/>
                <w:sz w:val="14"/>
              </w:rPr>
              <w:t>Term</w:t>
            </w:r>
            <w:r>
              <w:rPr>
                <w:b/>
                <w:spacing w:val="-5"/>
                <w:sz w:val="14"/>
              </w:rPr>
              <w:t> </w:t>
            </w:r>
            <w:r>
              <w:rPr>
                <w:b/>
                <w:spacing w:val="-10"/>
                <w:sz w:val="14"/>
              </w:rPr>
              <w:t>2</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bl>
    <w:p>
      <w:pPr>
        <w:spacing w:after="0"/>
        <w:rPr>
          <w:rFonts w:ascii="Times New Roman"/>
          <w:sz w:val="10"/>
        </w:rPr>
        <w:sectPr>
          <w:footerReference w:type="default" r:id="rId40"/>
          <w:pgSz w:w="11910" w:h="16840"/>
          <w:pgMar w:footer="687" w:header="0" w:top="920" w:bottom="1199" w:left="620" w:right="400"/>
          <w:pgNumType w:start="89"/>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479" w:hRule="atLeast"/>
        </w:trPr>
        <w:tc>
          <w:tcPr>
            <w:tcW w:w="5794" w:type="dxa"/>
          </w:tcPr>
          <w:p>
            <w:pPr>
              <w:pStyle w:val="TableParagraph"/>
              <w:spacing w:before="10"/>
              <w:rPr>
                <w:sz w:val="13"/>
              </w:rPr>
            </w:pPr>
          </w:p>
          <w:p>
            <w:pPr>
              <w:pStyle w:val="TableParagraph"/>
              <w:ind w:left="107"/>
              <w:rPr>
                <w:sz w:val="14"/>
              </w:rPr>
            </w:pPr>
            <w:r>
              <w:rPr>
                <w:spacing w:val="-2"/>
                <w:sz w:val="14"/>
              </w:rPr>
              <w:t>Adults</w:t>
            </w:r>
          </w:p>
        </w:tc>
        <w:tc>
          <w:tcPr>
            <w:tcW w:w="1131" w:type="dxa"/>
          </w:tcPr>
          <w:p>
            <w:pPr>
              <w:pStyle w:val="TableParagraph"/>
              <w:rPr>
                <w:sz w:val="16"/>
              </w:rPr>
            </w:pPr>
          </w:p>
          <w:p>
            <w:pPr>
              <w:pStyle w:val="TableParagraph"/>
              <w:spacing w:line="140" w:lineRule="exact" w:before="136"/>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6"/>
              <w:ind w:left="145" w:right="143"/>
              <w:jc w:val="center"/>
              <w:rPr>
                <w:sz w:val="14"/>
              </w:rPr>
            </w:pPr>
            <w:r>
              <w:rPr>
                <w:spacing w:val="-5"/>
                <w:sz w:val="14"/>
              </w:rPr>
              <w:t>Yes</w:t>
            </w:r>
          </w:p>
        </w:tc>
        <w:tc>
          <w:tcPr>
            <w:tcW w:w="997" w:type="dxa"/>
          </w:tcPr>
          <w:p>
            <w:pPr>
              <w:pStyle w:val="TableParagraph"/>
              <w:spacing w:line="160" w:lineRule="exac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exac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484" w:hRule="atLeast"/>
        </w:trPr>
        <w:tc>
          <w:tcPr>
            <w:tcW w:w="5794" w:type="dxa"/>
          </w:tcPr>
          <w:p>
            <w:pPr>
              <w:pStyle w:val="TableParagraph"/>
              <w:spacing w:before="2"/>
              <w:rPr>
                <w:sz w:val="14"/>
              </w:rPr>
            </w:pPr>
          </w:p>
          <w:p>
            <w:pPr>
              <w:pStyle w:val="TableParagraph"/>
              <w:ind w:left="107"/>
              <w:rPr>
                <w:sz w:val="14"/>
              </w:rPr>
            </w:pPr>
            <w:r>
              <w:rPr>
                <w:spacing w:val="-2"/>
                <w:sz w:val="14"/>
              </w:rPr>
              <w:t>Children</w:t>
            </w:r>
          </w:p>
        </w:tc>
        <w:tc>
          <w:tcPr>
            <w:tcW w:w="1131" w:type="dxa"/>
          </w:tcPr>
          <w:p>
            <w:pPr>
              <w:pStyle w:val="TableParagraph"/>
              <w:rPr>
                <w:sz w:val="16"/>
              </w:rPr>
            </w:pPr>
          </w:p>
          <w:p>
            <w:pPr>
              <w:pStyle w:val="TableParagraph"/>
              <w:spacing w:line="140" w:lineRule="exact" w:before="140"/>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40"/>
              <w:ind w:left="145" w:right="143"/>
              <w:jc w:val="center"/>
              <w:rPr>
                <w:sz w:val="14"/>
              </w:rPr>
            </w:pPr>
            <w:r>
              <w:rPr>
                <w:spacing w:val="-5"/>
                <w:sz w:val="14"/>
              </w:rPr>
              <w:t>Yes</w:t>
            </w:r>
          </w:p>
        </w:tc>
        <w:tc>
          <w:tcPr>
            <w:tcW w:w="997" w:type="dxa"/>
          </w:tcPr>
          <w:p>
            <w:pPr>
              <w:pStyle w:val="TableParagraph"/>
              <w:ind w:left="110" w:right="107"/>
              <w:jc w:val="center"/>
              <w:rPr>
                <w:sz w:val="14"/>
              </w:rPr>
            </w:pPr>
            <w:r>
              <w:rPr>
                <w:spacing w:val="-2"/>
                <w:sz w:val="14"/>
              </w:rPr>
              <w:t>Varies</w:t>
            </w:r>
          </w:p>
          <w:p>
            <w:pPr>
              <w:pStyle w:val="TableParagraph"/>
              <w:spacing w:line="160" w:lineRule="atLeast"/>
              <w:ind w:left="110" w:right="103"/>
              <w:jc w:val="center"/>
              <w:rPr>
                <w:sz w:val="14"/>
              </w:rPr>
            </w:pP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ind w:left="106" w:right="107"/>
              <w:jc w:val="center"/>
              <w:rPr>
                <w:sz w:val="14"/>
              </w:rPr>
            </w:pPr>
            <w:r>
              <w:rPr>
                <w:spacing w:val="-2"/>
                <w:sz w:val="14"/>
              </w:rPr>
              <w:t>Varies</w:t>
            </w:r>
          </w:p>
          <w:p>
            <w:pPr>
              <w:pStyle w:val="TableParagraph"/>
              <w:spacing w:line="160" w:lineRule="atLeast"/>
              <w:ind w:left="109" w:right="106"/>
              <w:jc w:val="center"/>
              <w:rPr>
                <w:sz w:val="14"/>
              </w:rPr>
            </w:pP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3"/>
                <w:sz w:val="14"/>
              </w:rPr>
              <w:t> </w:t>
            </w:r>
            <w:r>
              <w:rPr>
                <w:b/>
                <w:sz w:val="14"/>
              </w:rPr>
              <w:t>Course</w:t>
            </w:r>
            <w:r>
              <w:rPr>
                <w:b/>
                <w:spacing w:val="-4"/>
                <w:sz w:val="14"/>
              </w:rPr>
              <w:t> </w:t>
            </w:r>
            <w:r>
              <w:rPr>
                <w:b/>
                <w:sz w:val="14"/>
              </w:rPr>
              <w:t>Fees</w:t>
            </w:r>
            <w:r>
              <w:rPr>
                <w:b/>
                <w:spacing w:val="-7"/>
                <w:sz w:val="14"/>
              </w:rPr>
              <w:t> </w:t>
            </w:r>
            <w:r>
              <w:rPr>
                <w:b/>
                <w:sz w:val="14"/>
              </w:rPr>
              <w:t>Term</w:t>
            </w:r>
            <w:r>
              <w:rPr>
                <w:b/>
                <w:spacing w:val="-5"/>
                <w:sz w:val="14"/>
              </w:rPr>
              <w:t> </w:t>
            </w:r>
            <w:r>
              <w:rPr>
                <w:b/>
                <w:spacing w:val="-10"/>
                <w:sz w:val="14"/>
              </w:rPr>
              <w:t>3</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2" w:hRule="atLeast"/>
        </w:trPr>
        <w:tc>
          <w:tcPr>
            <w:tcW w:w="5794" w:type="dxa"/>
          </w:tcPr>
          <w:p>
            <w:pPr>
              <w:pStyle w:val="TableParagraph"/>
              <w:rPr>
                <w:sz w:val="14"/>
              </w:rPr>
            </w:pPr>
          </w:p>
          <w:p>
            <w:pPr>
              <w:pStyle w:val="TableParagraph"/>
              <w:ind w:left="107"/>
              <w:rPr>
                <w:sz w:val="14"/>
              </w:rPr>
            </w:pPr>
            <w:r>
              <w:rPr>
                <w:spacing w:val="-2"/>
                <w:sz w:val="14"/>
              </w:rPr>
              <w:t>Adults</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480" w:hRule="atLeast"/>
        </w:trPr>
        <w:tc>
          <w:tcPr>
            <w:tcW w:w="5794" w:type="dxa"/>
          </w:tcPr>
          <w:p>
            <w:pPr>
              <w:pStyle w:val="TableParagraph"/>
              <w:spacing w:before="10"/>
              <w:rPr>
                <w:sz w:val="13"/>
              </w:rPr>
            </w:pPr>
          </w:p>
          <w:p>
            <w:pPr>
              <w:pStyle w:val="TableParagraph"/>
              <w:spacing w:before="1"/>
              <w:ind w:left="107"/>
              <w:rPr>
                <w:sz w:val="14"/>
              </w:rPr>
            </w:pPr>
            <w:r>
              <w:rPr>
                <w:spacing w:val="-2"/>
                <w:sz w:val="14"/>
              </w:rPr>
              <w:t>Children</w:t>
            </w:r>
          </w:p>
        </w:tc>
        <w:tc>
          <w:tcPr>
            <w:tcW w:w="1131" w:type="dxa"/>
          </w:tcPr>
          <w:p>
            <w:pPr>
              <w:pStyle w:val="TableParagraph"/>
              <w:rPr>
                <w:sz w:val="16"/>
              </w:rPr>
            </w:pPr>
          </w:p>
          <w:p>
            <w:pPr>
              <w:pStyle w:val="TableParagraph"/>
              <w:spacing w:line="140" w:lineRule="exact" w:before="137"/>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7"/>
              <w:ind w:left="145" w:right="143"/>
              <w:jc w:val="center"/>
              <w:rPr>
                <w:sz w:val="14"/>
              </w:rPr>
            </w:pPr>
            <w:r>
              <w:rPr>
                <w:spacing w:val="-5"/>
                <w:sz w:val="14"/>
              </w:rPr>
              <w:t>Yes</w:t>
            </w:r>
          </w:p>
        </w:tc>
        <w:tc>
          <w:tcPr>
            <w:tcW w:w="997" w:type="dxa"/>
          </w:tcPr>
          <w:p>
            <w:pPr>
              <w:pStyle w:val="TableParagraph"/>
              <w:spacing w:line="160" w:lineRule="exac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exac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Wyreena</w:t>
            </w:r>
            <w:r>
              <w:rPr>
                <w:b/>
                <w:spacing w:val="-3"/>
                <w:sz w:val="14"/>
              </w:rPr>
              <w:t> </w:t>
            </w:r>
            <w:r>
              <w:rPr>
                <w:b/>
                <w:sz w:val="14"/>
              </w:rPr>
              <w:t>Course</w:t>
            </w:r>
            <w:r>
              <w:rPr>
                <w:b/>
                <w:spacing w:val="-4"/>
                <w:sz w:val="14"/>
              </w:rPr>
              <w:t> </w:t>
            </w:r>
            <w:r>
              <w:rPr>
                <w:b/>
                <w:sz w:val="14"/>
              </w:rPr>
              <w:t>Fees</w:t>
            </w:r>
            <w:r>
              <w:rPr>
                <w:b/>
                <w:spacing w:val="-7"/>
                <w:sz w:val="14"/>
              </w:rPr>
              <w:t> </w:t>
            </w:r>
            <w:r>
              <w:rPr>
                <w:b/>
                <w:sz w:val="14"/>
              </w:rPr>
              <w:t>Term</w:t>
            </w:r>
            <w:r>
              <w:rPr>
                <w:b/>
                <w:spacing w:val="-5"/>
                <w:sz w:val="14"/>
              </w:rPr>
              <w:t> </w:t>
            </w:r>
            <w:r>
              <w:rPr>
                <w:b/>
                <w:spacing w:val="-10"/>
                <w:sz w:val="14"/>
              </w:rPr>
              <w:t>4</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4" w:hRule="atLeast"/>
        </w:trPr>
        <w:tc>
          <w:tcPr>
            <w:tcW w:w="5794" w:type="dxa"/>
          </w:tcPr>
          <w:p>
            <w:pPr>
              <w:pStyle w:val="TableParagraph"/>
              <w:spacing w:before="2"/>
              <w:rPr>
                <w:sz w:val="14"/>
              </w:rPr>
            </w:pPr>
          </w:p>
          <w:p>
            <w:pPr>
              <w:pStyle w:val="TableParagraph"/>
              <w:ind w:left="107"/>
              <w:rPr>
                <w:sz w:val="14"/>
              </w:rPr>
            </w:pPr>
            <w:r>
              <w:rPr>
                <w:spacing w:val="-2"/>
                <w:sz w:val="14"/>
              </w:rPr>
              <w:t>Adults</w:t>
            </w:r>
          </w:p>
        </w:tc>
        <w:tc>
          <w:tcPr>
            <w:tcW w:w="1131" w:type="dxa"/>
          </w:tcPr>
          <w:p>
            <w:pPr>
              <w:pStyle w:val="TableParagraph"/>
              <w:rPr>
                <w:sz w:val="16"/>
              </w:rPr>
            </w:pPr>
          </w:p>
          <w:p>
            <w:pPr>
              <w:pStyle w:val="TableParagraph"/>
              <w:spacing w:line="140" w:lineRule="exact" w:before="140"/>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40"/>
              <w:ind w:left="145" w:right="143"/>
              <w:jc w:val="center"/>
              <w:rPr>
                <w:sz w:val="14"/>
              </w:rPr>
            </w:pPr>
            <w:r>
              <w:rPr>
                <w:spacing w:val="-5"/>
                <w:sz w:val="14"/>
              </w:rPr>
              <w:t>Yes</w:t>
            </w:r>
          </w:p>
        </w:tc>
        <w:tc>
          <w:tcPr>
            <w:tcW w:w="997" w:type="dxa"/>
          </w:tcPr>
          <w:p>
            <w:pPr>
              <w:pStyle w:val="TableParagraph"/>
              <w:ind w:left="110" w:right="107"/>
              <w:jc w:val="center"/>
              <w:rPr>
                <w:sz w:val="14"/>
              </w:rPr>
            </w:pPr>
            <w:r>
              <w:rPr>
                <w:spacing w:val="-2"/>
                <w:sz w:val="14"/>
              </w:rPr>
              <w:t>Varies</w:t>
            </w:r>
          </w:p>
          <w:p>
            <w:pPr>
              <w:pStyle w:val="TableParagraph"/>
              <w:spacing w:line="160" w:lineRule="atLeast"/>
              <w:ind w:left="110" w:right="103"/>
              <w:jc w:val="center"/>
              <w:rPr>
                <w:sz w:val="14"/>
              </w:rPr>
            </w:pP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ind w:left="106" w:right="107"/>
              <w:jc w:val="center"/>
              <w:rPr>
                <w:sz w:val="14"/>
              </w:rPr>
            </w:pPr>
            <w:r>
              <w:rPr>
                <w:spacing w:val="-2"/>
                <w:sz w:val="14"/>
              </w:rPr>
              <w:t>Varies</w:t>
            </w:r>
          </w:p>
          <w:p>
            <w:pPr>
              <w:pStyle w:val="TableParagraph"/>
              <w:spacing w:line="160" w:lineRule="atLeast"/>
              <w:ind w:left="109" w:right="106"/>
              <w:jc w:val="center"/>
              <w:rPr>
                <w:sz w:val="14"/>
              </w:rPr>
            </w:pP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482" w:hRule="atLeast"/>
        </w:trPr>
        <w:tc>
          <w:tcPr>
            <w:tcW w:w="5794" w:type="dxa"/>
          </w:tcPr>
          <w:p>
            <w:pPr>
              <w:pStyle w:val="TableParagraph"/>
              <w:rPr>
                <w:sz w:val="14"/>
              </w:rPr>
            </w:pPr>
          </w:p>
          <w:p>
            <w:pPr>
              <w:pStyle w:val="TableParagraph"/>
              <w:ind w:left="107"/>
              <w:rPr>
                <w:sz w:val="14"/>
              </w:rPr>
            </w:pPr>
            <w:r>
              <w:rPr>
                <w:spacing w:val="-2"/>
                <w:sz w:val="14"/>
              </w:rPr>
              <w:t>Children</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176" w:hRule="atLeast"/>
        </w:trPr>
        <w:tc>
          <w:tcPr>
            <w:tcW w:w="5794" w:type="dxa"/>
          </w:tcPr>
          <w:p>
            <w:pPr>
              <w:pStyle w:val="TableParagraph"/>
              <w:spacing w:line="140" w:lineRule="exact" w:before="16"/>
              <w:ind w:left="107"/>
              <w:rPr>
                <w:b/>
                <w:sz w:val="14"/>
              </w:rPr>
            </w:pPr>
            <w:r>
              <w:rPr>
                <w:b/>
                <w:sz w:val="14"/>
              </w:rPr>
              <w:t>Wyreena</w:t>
            </w:r>
            <w:r>
              <w:rPr>
                <w:b/>
                <w:spacing w:val="-7"/>
                <w:sz w:val="14"/>
              </w:rPr>
              <w:t> </w:t>
            </w:r>
            <w:r>
              <w:rPr>
                <w:b/>
                <w:sz w:val="14"/>
              </w:rPr>
              <w:t>School</w:t>
            </w:r>
            <w:r>
              <w:rPr>
                <w:b/>
                <w:spacing w:val="-6"/>
                <w:sz w:val="14"/>
              </w:rPr>
              <w:t> </w:t>
            </w:r>
            <w:r>
              <w:rPr>
                <w:b/>
                <w:spacing w:val="-2"/>
                <w:sz w:val="14"/>
              </w:rPr>
              <w:t>Holiday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2" w:hRule="atLeast"/>
        </w:trPr>
        <w:tc>
          <w:tcPr>
            <w:tcW w:w="5794" w:type="dxa"/>
          </w:tcPr>
          <w:p>
            <w:pPr>
              <w:pStyle w:val="TableParagraph"/>
              <w:rPr>
                <w:sz w:val="14"/>
              </w:rPr>
            </w:pPr>
          </w:p>
          <w:p>
            <w:pPr>
              <w:pStyle w:val="TableParagraph"/>
              <w:ind w:left="107"/>
              <w:rPr>
                <w:sz w:val="14"/>
              </w:rPr>
            </w:pPr>
            <w:r>
              <w:rPr>
                <w:sz w:val="14"/>
              </w:rPr>
              <w:t>Wyreena</w:t>
            </w:r>
            <w:r>
              <w:rPr>
                <w:spacing w:val="-3"/>
                <w:sz w:val="14"/>
              </w:rPr>
              <w:t> </w:t>
            </w:r>
            <w:r>
              <w:rPr>
                <w:sz w:val="14"/>
              </w:rPr>
              <w:t>School</w:t>
            </w:r>
            <w:r>
              <w:rPr>
                <w:spacing w:val="-5"/>
                <w:sz w:val="14"/>
              </w:rPr>
              <w:t> </w:t>
            </w:r>
            <w:r>
              <w:rPr>
                <w:sz w:val="14"/>
              </w:rPr>
              <w:t>Holidays</w:t>
            </w:r>
            <w:r>
              <w:rPr>
                <w:spacing w:val="-3"/>
                <w:sz w:val="14"/>
              </w:rPr>
              <w:t> </w:t>
            </w:r>
            <w:r>
              <w:rPr>
                <w:sz w:val="14"/>
              </w:rPr>
              <w:t>Fees</w:t>
            </w:r>
            <w:r>
              <w:rPr>
                <w:spacing w:val="-5"/>
                <w:sz w:val="14"/>
              </w:rPr>
              <w:t> </w:t>
            </w:r>
            <w:r>
              <w:rPr>
                <w:sz w:val="14"/>
              </w:rPr>
              <w:t>Course</w:t>
            </w:r>
            <w:r>
              <w:rPr>
                <w:spacing w:val="-3"/>
                <w:sz w:val="14"/>
              </w:rPr>
              <w:t> </w:t>
            </w:r>
            <w:r>
              <w:rPr>
                <w:spacing w:val="-4"/>
                <w:sz w:val="14"/>
              </w:rPr>
              <w:t>Fees</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workshop</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course</w:t>
            </w:r>
          </w:p>
        </w:tc>
        <w:tc>
          <w:tcPr>
            <w:tcW w:w="861" w:type="dxa"/>
          </w:tcPr>
          <w:p>
            <w:pPr>
              <w:pStyle w:val="TableParagraph"/>
              <w:rPr>
                <w:rFonts w:ascii="Times New Roman"/>
                <w:sz w:val="12"/>
              </w:rPr>
            </w:pPr>
          </w:p>
        </w:tc>
      </w:tr>
      <w:tr>
        <w:trPr>
          <w:trHeight w:val="176" w:hRule="atLeast"/>
        </w:trPr>
        <w:tc>
          <w:tcPr>
            <w:tcW w:w="5794" w:type="dxa"/>
          </w:tcPr>
          <w:p>
            <w:pPr>
              <w:pStyle w:val="TableParagraph"/>
              <w:spacing w:line="140" w:lineRule="exact" w:before="16"/>
              <w:ind w:left="107"/>
              <w:rPr>
                <w:b/>
                <w:sz w:val="14"/>
              </w:rPr>
            </w:pPr>
            <w:r>
              <w:rPr>
                <w:b/>
                <w:sz w:val="14"/>
              </w:rPr>
              <w:t>Federation</w:t>
            </w:r>
            <w:r>
              <w:rPr>
                <w:b/>
                <w:spacing w:val="-7"/>
                <w:sz w:val="14"/>
              </w:rPr>
              <w:t> </w:t>
            </w:r>
            <w:r>
              <w:rPr>
                <w:b/>
                <w:sz w:val="14"/>
              </w:rPr>
              <w:t>Estate</w:t>
            </w:r>
            <w:r>
              <w:rPr>
                <w:b/>
                <w:spacing w:val="-7"/>
                <w:sz w:val="14"/>
              </w:rPr>
              <w:t> </w:t>
            </w:r>
            <w:r>
              <w:rPr>
                <w:b/>
                <w:spacing w:val="-2"/>
                <w:sz w:val="14"/>
              </w:rPr>
              <w:t>Gallery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4" w:hRule="atLeast"/>
        </w:trPr>
        <w:tc>
          <w:tcPr>
            <w:tcW w:w="5794" w:type="dxa"/>
          </w:tcPr>
          <w:p>
            <w:pPr>
              <w:pStyle w:val="TableParagraph"/>
              <w:rPr>
                <w:sz w:val="16"/>
              </w:rPr>
            </w:pPr>
          </w:p>
          <w:p>
            <w:pPr>
              <w:pStyle w:val="TableParagraph"/>
              <w:spacing w:line="140" w:lineRule="exact" w:before="140"/>
              <w:ind w:left="107"/>
              <w:rPr>
                <w:sz w:val="14"/>
              </w:rPr>
            </w:pPr>
            <w:r>
              <w:rPr>
                <w:sz w:val="14"/>
              </w:rPr>
              <w:t>Equipment</w:t>
            </w:r>
            <w:r>
              <w:rPr>
                <w:spacing w:val="-6"/>
                <w:sz w:val="14"/>
              </w:rPr>
              <w:t> </w:t>
            </w:r>
            <w:r>
              <w:rPr>
                <w:spacing w:val="-4"/>
                <w:sz w:val="14"/>
              </w:rPr>
              <w:t>hire</w:t>
            </w:r>
          </w:p>
        </w:tc>
        <w:tc>
          <w:tcPr>
            <w:tcW w:w="1131" w:type="dxa"/>
          </w:tcPr>
          <w:p>
            <w:pPr>
              <w:pStyle w:val="TableParagraph"/>
              <w:rPr>
                <w:sz w:val="16"/>
              </w:rPr>
            </w:pPr>
          </w:p>
          <w:p>
            <w:pPr>
              <w:pStyle w:val="TableParagraph"/>
              <w:spacing w:line="140" w:lineRule="exact" w:before="140"/>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40"/>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4"/>
                <w:sz w:val="14"/>
              </w:rPr>
              <w:t>type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4"/>
                <w:sz w:val="14"/>
              </w:rPr>
              <w:t>type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10"/>
                <w:sz w:val="14"/>
              </w:rPr>
              <w:t>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74.00</w:t>
            </w:r>
          </w:p>
        </w:tc>
        <w:tc>
          <w:tcPr>
            <w:tcW w:w="995" w:type="dxa"/>
          </w:tcPr>
          <w:p>
            <w:pPr>
              <w:pStyle w:val="TableParagraph"/>
              <w:spacing w:line="140" w:lineRule="exact" w:before="17"/>
              <w:ind w:right="101"/>
              <w:jc w:val="right"/>
              <w:rPr>
                <w:sz w:val="14"/>
              </w:rPr>
            </w:pPr>
            <w:r>
              <w:rPr>
                <w:spacing w:val="-2"/>
                <w:sz w:val="14"/>
              </w:rPr>
              <w:t>79.55</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10"/>
                <w:sz w:val="14"/>
              </w:rPr>
              <w:t>2</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71.00</w:t>
            </w:r>
          </w:p>
        </w:tc>
        <w:tc>
          <w:tcPr>
            <w:tcW w:w="995" w:type="dxa"/>
          </w:tcPr>
          <w:p>
            <w:pPr>
              <w:pStyle w:val="TableParagraph"/>
              <w:spacing w:line="140" w:lineRule="exact" w:before="17"/>
              <w:ind w:right="101"/>
              <w:jc w:val="right"/>
              <w:rPr>
                <w:sz w:val="14"/>
              </w:rPr>
            </w:pPr>
            <w:r>
              <w:rPr>
                <w:spacing w:val="-2"/>
                <w:sz w:val="14"/>
              </w:rPr>
              <w:t>76.33</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5"/>
                <w:sz w:val="14"/>
              </w:rPr>
              <w:t>1&amp;2</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139.00</w:t>
            </w:r>
          </w:p>
        </w:tc>
        <w:tc>
          <w:tcPr>
            <w:tcW w:w="995" w:type="dxa"/>
          </w:tcPr>
          <w:p>
            <w:pPr>
              <w:pStyle w:val="TableParagraph"/>
              <w:spacing w:line="142" w:lineRule="exact" w:before="15"/>
              <w:ind w:right="102"/>
              <w:jc w:val="right"/>
              <w:rPr>
                <w:sz w:val="14"/>
              </w:rPr>
            </w:pPr>
            <w:r>
              <w:rPr>
                <w:spacing w:val="-2"/>
                <w:sz w:val="14"/>
              </w:rPr>
              <w:t>149.43</w:t>
            </w:r>
          </w:p>
        </w:tc>
        <w:tc>
          <w:tcPr>
            <w:tcW w:w="861" w:type="dxa"/>
          </w:tcPr>
          <w:p>
            <w:pPr>
              <w:pStyle w:val="TableParagraph"/>
              <w:spacing w:line="142" w:lineRule="exact" w:before="15"/>
              <w:ind w:left="152" w:right="154"/>
              <w:jc w:val="center"/>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10"/>
                <w:sz w:val="14"/>
              </w:rPr>
              <w:t>3</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69.00</w:t>
            </w:r>
          </w:p>
        </w:tc>
        <w:tc>
          <w:tcPr>
            <w:tcW w:w="995" w:type="dxa"/>
          </w:tcPr>
          <w:p>
            <w:pPr>
              <w:pStyle w:val="TableParagraph"/>
              <w:spacing w:line="140" w:lineRule="exact" w:before="15"/>
              <w:ind w:right="101"/>
              <w:jc w:val="right"/>
              <w:rPr>
                <w:sz w:val="14"/>
              </w:rPr>
            </w:pPr>
            <w:r>
              <w:rPr>
                <w:spacing w:val="-2"/>
                <w:sz w:val="14"/>
              </w:rPr>
              <w:t>74.18</w:t>
            </w:r>
          </w:p>
        </w:tc>
        <w:tc>
          <w:tcPr>
            <w:tcW w:w="861" w:type="dxa"/>
          </w:tcPr>
          <w:p>
            <w:pPr>
              <w:pStyle w:val="TableParagraph"/>
              <w:spacing w:line="140" w:lineRule="exact" w:before="15"/>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10"/>
                <w:sz w:val="14"/>
              </w:rPr>
              <w:t>4</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67.00</w:t>
            </w:r>
          </w:p>
        </w:tc>
        <w:tc>
          <w:tcPr>
            <w:tcW w:w="995" w:type="dxa"/>
          </w:tcPr>
          <w:p>
            <w:pPr>
              <w:pStyle w:val="TableParagraph"/>
              <w:spacing w:line="140" w:lineRule="exact" w:before="17"/>
              <w:ind w:right="101"/>
              <w:jc w:val="right"/>
              <w:rPr>
                <w:sz w:val="14"/>
              </w:rPr>
            </w:pPr>
            <w:r>
              <w:rPr>
                <w:spacing w:val="-2"/>
                <w:sz w:val="14"/>
              </w:rPr>
              <w:t>72.03</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Facility</w:t>
            </w:r>
            <w:r>
              <w:rPr>
                <w:spacing w:val="-4"/>
                <w:sz w:val="14"/>
              </w:rPr>
              <w:t> </w:t>
            </w:r>
            <w:r>
              <w:rPr>
                <w:sz w:val="14"/>
              </w:rPr>
              <w:t>Hire</w:t>
            </w:r>
            <w:r>
              <w:rPr>
                <w:spacing w:val="-6"/>
                <w:sz w:val="14"/>
              </w:rPr>
              <w:t> </w:t>
            </w:r>
            <w:r>
              <w:rPr>
                <w:sz w:val="14"/>
              </w:rPr>
              <w:t>Room</w:t>
            </w:r>
            <w:r>
              <w:rPr>
                <w:spacing w:val="-2"/>
                <w:sz w:val="14"/>
              </w:rPr>
              <w:t> </w:t>
            </w:r>
            <w:r>
              <w:rPr>
                <w:spacing w:val="-10"/>
                <w:sz w:val="14"/>
              </w:rPr>
              <w:t>5</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61.00</w:t>
            </w:r>
          </w:p>
        </w:tc>
        <w:tc>
          <w:tcPr>
            <w:tcW w:w="995" w:type="dxa"/>
          </w:tcPr>
          <w:p>
            <w:pPr>
              <w:pStyle w:val="TableParagraph"/>
              <w:spacing w:line="140" w:lineRule="exact" w:before="17"/>
              <w:ind w:right="101"/>
              <w:jc w:val="right"/>
              <w:rPr>
                <w:sz w:val="14"/>
              </w:rPr>
            </w:pPr>
            <w:r>
              <w:rPr>
                <w:spacing w:val="-2"/>
                <w:sz w:val="14"/>
              </w:rPr>
              <w:t>65.58</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Facility</w:t>
            </w:r>
            <w:r>
              <w:rPr>
                <w:spacing w:val="-5"/>
                <w:sz w:val="14"/>
              </w:rPr>
              <w:t> </w:t>
            </w:r>
            <w:r>
              <w:rPr>
                <w:sz w:val="14"/>
              </w:rPr>
              <w:t>Hire</w:t>
            </w:r>
            <w:r>
              <w:rPr>
                <w:spacing w:val="-4"/>
                <w:sz w:val="14"/>
              </w:rPr>
              <w:t> </w:t>
            </w:r>
            <w:r>
              <w:rPr>
                <w:sz w:val="14"/>
              </w:rPr>
              <w:t>Federation</w:t>
            </w:r>
            <w:r>
              <w:rPr>
                <w:spacing w:val="-5"/>
                <w:sz w:val="14"/>
              </w:rPr>
              <w:t> </w:t>
            </w:r>
            <w:r>
              <w:rPr>
                <w:spacing w:val="-4"/>
                <w:sz w:val="14"/>
              </w:rPr>
              <w:t>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68.00</w:t>
            </w:r>
          </w:p>
        </w:tc>
        <w:tc>
          <w:tcPr>
            <w:tcW w:w="995" w:type="dxa"/>
          </w:tcPr>
          <w:p>
            <w:pPr>
              <w:pStyle w:val="TableParagraph"/>
              <w:spacing w:line="140" w:lineRule="exact" w:before="17"/>
              <w:ind w:right="101"/>
              <w:jc w:val="right"/>
              <w:rPr>
                <w:sz w:val="14"/>
              </w:rPr>
            </w:pPr>
            <w:r>
              <w:rPr>
                <w:spacing w:val="-2"/>
                <w:sz w:val="14"/>
              </w:rPr>
              <w:t>73.10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Federation</w:t>
            </w:r>
            <w:r>
              <w:rPr>
                <w:b/>
                <w:spacing w:val="-7"/>
                <w:sz w:val="14"/>
              </w:rPr>
              <w:t> </w:t>
            </w:r>
            <w:r>
              <w:rPr>
                <w:b/>
                <w:sz w:val="14"/>
              </w:rPr>
              <w:t>Estate</w:t>
            </w:r>
            <w:r>
              <w:rPr>
                <w:b/>
                <w:spacing w:val="-8"/>
                <w:sz w:val="14"/>
              </w:rPr>
              <w:t> </w:t>
            </w:r>
            <w:r>
              <w:rPr>
                <w:b/>
                <w:sz w:val="14"/>
              </w:rPr>
              <w:t>Cultural</w:t>
            </w:r>
            <w:r>
              <w:rPr>
                <w:b/>
                <w:spacing w:val="-6"/>
                <w:sz w:val="14"/>
              </w:rPr>
              <w:t> </w:t>
            </w:r>
            <w:r>
              <w:rPr>
                <w:b/>
                <w:spacing w:val="-2"/>
                <w:sz w:val="14"/>
              </w:rPr>
              <w:t>Centre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21" w:hRule="atLeast"/>
        </w:trPr>
        <w:tc>
          <w:tcPr>
            <w:tcW w:w="5794" w:type="dxa"/>
          </w:tcPr>
          <w:p>
            <w:pPr>
              <w:pStyle w:val="TableParagraph"/>
              <w:spacing w:before="82"/>
              <w:ind w:left="107"/>
              <w:rPr>
                <w:sz w:val="14"/>
              </w:rPr>
            </w:pPr>
            <w:r>
              <w:rPr>
                <w:sz w:val="14"/>
              </w:rPr>
              <w:t>Federation</w:t>
            </w:r>
            <w:r>
              <w:rPr>
                <w:spacing w:val="-6"/>
                <w:sz w:val="14"/>
              </w:rPr>
              <w:t> </w:t>
            </w:r>
            <w:r>
              <w:rPr>
                <w:sz w:val="14"/>
              </w:rPr>
              <w:t>Estate</w:t>
            </w:r>
            <w:r>
              <w:rPr>
                <w:spacing w:val="-2"/>
                <w:sz w:val="14"/>
              </w:rPr>
              <w:t> </w:t>
            </w:r>
            <w:r>
              <w:rPr>
                <w:sz w:val="14"/>
              </w:rPr>
              <w:t>Hire</w:t>
            </w:r>
            <w:r>
              <w:rPr>
                <w:spacing w:val="-5"/>
                <w:sz w:val="14"/>
              </w:rPr>
              <w:t> </w:t>
            </w:r>
            <w:r>
              <w:rPr>
                <w:sz w:val="14"/>
              </w:rPr>
              <w:t>of</w:t>
            </w:r>
            <w:r>
              <w:rPr>
                <w:spacing w:val="-5"/>
                <w:sz w:val="14"/>
              </w:rPr>
              <w:t> </w:t>
            </w:r>
            <w:r>
              <w:rPr>
                <w:sz w:val="14"/>
              </w:rPr>
              <w:t>Studio</w:t>
            </w:r>
            <w:r>
              <w:rPr>
                <w:spacing w:val="-3"/>
                <w:sz w:val="14"/>
              </w:rPr>
              <w:t> </w:t>
            </w:r>
            <w:r>
              <w:rPr>
                <w:spacing w:val="-10"/>
                <w:sz w:val="14"/>
              </w:rPr>
              <w:t>1</w:t>
            </w:r>
          </w:p>
        </w:tc>
        <w:tc>
          <w:tcPr>
            <w:tcW w:w="1131" w:type="dxa"/>
          </w:tcPr>
          <w:p>
            <w:pPr>
              <w:pStyle w:val="TableParagraph"/>
              <w:rPr>
                <w:sz w:val="14"/>
              </w:rPr>
            </w:pPr>
          </w:p>
          <w:p>
            <w:pPr>
              <w:pStyle w:val="TableParagraph"/>
              <w:spacing w:line="140" w:lineRule="exact"/>
              <w:ind w:left="5"/>
              <w:jc w:val="center"/>
              <w:rPr>
                <w:sz w:val="14"/>
              </w:rPr>
            </w:pPr>
            <w:r>
              <w:rPr>
                <w:w w:val="99"/>
                <w:sz w:val="14"/>
              </w:rPr>
              <w:t>N</w:t>
            </w:r>
          </w:p>
        </w:tc>
        <w:tc>
          <w:tcPr>
            <w:tcW w:w="567" w:type="dxa"/>
          </w:tcPr>
          <w:p>
            <w:pPr>
              <w:pStyle w:val="TableParagraph"/>
              <w:rPr>
                <w:sz w:val="14"/>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307" w:right="253" w:hanging="41"/>
              <w:rPr>
                <w:sz w:val="14"/>
              </w:rPr>
            </w:pPr>
            <w:r>
              <w:rPr>
                <w:spacing w:val="-2"/>
                <w:sz w:val="14"/>
              </w:rPr>
              <w:t>Leased</w:t>
            </w:r>
            <w:r>
              <w:rPr>
                <w:spacing w:val="40"/>
                <w:sz w:val="14"/>
              </w:rPr>
              <w:t> </w:t>
            </w:r>
            <w:r>
              <w:rPr>
                <w:spacing w:val="-2"/>
                <w:sz w:val="14"/>
              </w:rPr>
              <w:t>space</w:t>
            </w:r>
          </w:p>
        </w:tc>
        <w:tc>
          <w:tcPr>
            <w:tcW w:w="995" w:type="dxa"/>
          </w:tcPr>
          <w:p>
            <w:pPr>
              <w:pStyle w:val="TableParagraph"/>
              <w:spacing w:line="160" w:lineRule="atLeast"/>
              <w:ind w:left="306" w:right="255" w:hanging="44"/>
              <w:rPr>
                <w:sz w:val="14"/>
              </w:rPr>
            </w:pPr>
            <w:r>
              <w:rPr>
                <w:spacing w:val="-2"/>
                <w:sz w:val="14"/>
              </w:rPr>
              <w:t>Leased</w:t>
            </w:r>
            <w:r>
              <w:rPr>
                <w:spacing w:val="40"/>
                <w:sz w:val="14"/>
              </w:rPr>
              <w:t> </w:t>
            </w:r>
            <w:r>
              <w:rPr>
                <w:spacing w:val="-2"/>
                <w:sz w:val="14"/>
              </w:rPr>
              <w:t>space</w:t>
            </w:r>
          </w:p>
        </w:tc>
        <w:tc>
          <w:tcPr>
            <w:tcW w:w="861" w:type="dxa"/>
          </w:tcPr>
          <w:p>
            <w:pPr>
              <w:pStyle w:val="TableParagraph"/>
              <w:rPr>
                <w:rFonts w:ascii="Times New Roman"/>
                <w:sz w:val="12"/>
              </w:rPr>
            </w:pPr>
          </w:p>
        </w:tc>
      </w:tr>
      <w:tr>
        <w:trPr>
          <w:trHeight w:val="322" w:hRule="atLeast"/>
        </w:trPr>
        <w:tc>
          <w:tcPr>
            <w:tcW w:w="5794" w:type="dxa"/>
          </w:tcPr>
          <w:p>
            <w:pPr>
              <w:pStyle w:val="TableParagraph"/>
              <w:spacing w:before="81"/>
              <w:ind w:left="107"/>
              <w:rPr>
                <w:sz w:val="14"/>
              </w:rPr>
            </w:pPr>
            <w:r>
              <w:rPr>
                <w:sz w:val="14"/>
              </w:rPr>
              <w:t>Federation</w:t>
            </w:r>
            <w:r>
              <w:rPr>
                <w:spacing w:val="-6"/>
                <w:sz w:val="14"/>
              </w:rPr>
              <w:t> </w:t>
            </w:r>
            <w:r>
              <w:rPr>
                <w:sz w:val="14"/>
              </w:rPr>
              <w:t>Estate</w:t>
            </w:r>
            <w:r>
              <w:rPr>
                <w:spacing w:val="-2"/>
                <w:sz w:val="14"/>
              </w:rPr>
              <w:t> </w:t>
            </w:r>
            <w:r>
              <w:rPr>
                <w:sz w:val="14"/>
              </w:rPr>
              <w:t>Hire</w:t>
            </w:r>
            <w:r>
              <w:rPr>
                <w:spacing w:val="-5"/>
                <w:sz w:val="14"/>
              </w:rPr>
              <w:t> </w:t>
            </w:r>
            <w:r>
              <w:rPr>
                <w:sz w:val="14"/>
              </w:rPr>
              <w:t>of</w:t>
            </w:r>
            <w:r>
              <w:rPr>
                <w:spacing w:val="-5"/>
                <w:sz w:val="14"/>
              </w:rPr>
              <w:t> </w:t>
            </w:r>
            <w:r>
              <w:rPr>
                <w:sz w:val="14"/>
              </w:rPr>
              <w:t>Studio</w:t>
            </w:r>
            <w:r>
              <w:rPr>
                <w:spacing w:val="-3"/>
                <w:sz w:val="14"/>
              </w:rPr>
              <w:t> </w:t>
            </w:r>
            <w:r>
              <w:rPr>
                <w:spacing w:val="-10"/>
                <w:sz w:val="14"/>
              </w:rPr>
              <w:t>3</w:t>
            </w:r>
          </w:p>
        </w:tc>
        <w:tc>
          <w:tcPr>
            <w:tcW w:w="1131" w:type="dxa"/>
          </w:tcPr>
          <w:p>
            <w:pPr>
              <w:pStyle w:val="TableParagraph"/>
              <w:spacing w:before="1"/>
              <w:rPr>
                <w:sz w:val="14"/>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
              <w:rPr>
                <w:sz w:val="14"/>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307" w:right="253" w:hanging="41"/>
              <w:rPr>
                <w:sz w:val="14"/>
              </w:rPr>
            </w:pPr>
            <w:r>
              <w:rPr>
                <w:spacing w:val="-2"/>
                <w:sz w:val="14"/>
              </w:rPr>
              <w:t>Leased</w:t>
            </w:r>
            <w:r>
              <w:rPr>
                <w:spacing w:val="40"/>
                <w:sz w:val="14"/>
              </w:rPr>
              <w:t> </w:t>
            </w:r>
            <w:r>
              <w:rPr>
                <w:spacing w:val="-2"/>
                <w:sz w:val="14"/>
              </w:rPr>
              <w:t>space</w:t>
            </w:r>
          </w:p>
        </w:tc>
        <w:tc>
          <w:tcPr>
            <w:tcW w:w="995" w:type="dxa"/>
          </w:tcPr>
          <w:p>
            <w:pPr>
              <w:pStyle w:val="TableParagraph"/>
              <w:spacing w:line="160" w:lineRule="atLeast"/>
              <w:ind w:left="306" w:right="255" w:hanging="44"/>
              <w:rPr>
                <w:sz w:val="14"/>
              </w:rPr>
            </w:pPr>
            <w:r>
              <w:rPr>
                <w:spacing w:val="-2"/>
                <w:sz w:val="14"/>
              </w:rPr>
              <w:t>Leased</w:t>
            </w:r>
            <w:r>
              <w:rPr>
                <w:spacing w:val="40"/>
                <w:sz w:val="14"/>
              </w:rPr>
              <w:t> </w:t>
            </w:r>
            <w:r>
              <w:rPr>
                <w:spacing w:val="-2"/>
                <w:sz w:val="14"/>
              </w:rPr>
              <w:t>space</w:t>
            </w:r>
          </w:p>
        </w:tc>
        <w:tc>
          <w:tcPr>
            <w:tcW w:w="861" w:type="dxa"/>
          </w:tcPr>
          <w:p>
            <w:pPr>
              <w:pStyle w:val="TableParagraph"/>
              <w:rPr>
                <w:rFonts w:ascii="Times New Roman"/>
                <w:sz w:val="12"/>
              </w:rPr>
            </w:pPr>
          </w:p>
        </w:tc>
      </w:tr>
      <w:tr>
        <w:trPr>
          <w:trHeight w:val="189" w:hRule="atLeast"/>
        </w:trPr>
        <w:tc>
          <w:tcPr>
            <w:tcW w:w="5794" w:type="dxa"/>
          </w:tcPr>
          <w:p>
            <w:pPr>
              <w:pStyle w:val="TableParagraph"/>
              <w:spacing w:line="154" w:lineRule="exact" w:before="15"/>
              <w:ind w:left="107"/>
              <w:rPr>
                <w:sz w:val="14"/>
              </w:rPr>
            </w:pPr>
            <w:r>
              <w:rPr>
                <w:sz w:val="14"/>
              </w:rPr>
              <w:t>Federation</w:t>
            </w:r>
            <w:r>
              <w:rPr>
                <w:spacing w:val="-6"/>
                <w:sz w:val="14"/>
              </w:rPr>
              <w:t> </w:t>
            </w:r>
            <w:r>
              <w:rPr>
                <w:sz w:val="14"/>
              </w:rPr>
              <w:t>Estate</w:t>
            </w:r>
            <w:r>
              <w:rPr>
                <w:spacing w:val="-2"/>
                <w:sz w:val="14"/>
              </w:rPr>
              <w:t> </w:t>
            </w:r>
            <w:r>
              <w:rPr>
                <w:sz w:val="14"/>
              </w:rPr>
              <w:t>Hire</w:t>
            </w:r>
            <w:r>
              <w:rPr>
                <w:spacing w:val="-5"/>
                <w:sz w:val="14"/>
              </w:rPr>
              <w:t> </w:t>
            </w:r>
            <w:r>
              <w:rPr>
                <w:sz w:val="14"/>
              </w:rPr>
              <w:t>of</w:t>
            </w:r>
            <w:r>
              <w:rPr>
                <w:spacing w:val="-5"/>
                <w:sz w:val="14"/>
              </w:rPr>
              <w:t> </w:t>
            </w:r>
            <w:r>
              <w:rPr>
                <w:sz w:val="14"/>
              </w:rPr>
              <w:t>Studio</w:t>
            </w:r>
            <w:r>
              <w:rPr>
                <w:spacing w:val="-3"/>
                <w:sz w:val="14"/>
              </w:rPr>
              <w:t> </w:t>
            </w:r>
            <w:r>
              <w:rPr>
                <w:spacing w:val="-10"/>
                <w:sz w:val="14"/>
              </w:rPr>
              <w:t>4</w:t>
            </w:r>
          </w:p>
        </w:tc>
        <w:tc>
          <w:tcPr>
            <w:tcW w:w="1131" w:type="dxa"/>
          </w:tcPr>
          <w:p>
            <w:pPr>
              <w:pStyle w:val="TableParagraph"/>
              <w:spacing w:line="140" w:lineRule="exact" w:before="29"/>
              <w:ind w:left="5"/>
              <w:jc w:val="center"/>
              <w:rPr>
                <w:sz w:val="14"/>
              </w:rPr>
            </w:pPr>
            <w:r>
              <w:rPr>
                <w:w w:val="99"/>
                <w:sz w:val="14"/>
              </w:rPr>
              <w:t>N</w:t>
            </w:r>
          </w:p>
        </w:tc>
        <w:tc>
          <w:tcPr>
            <w:tcW w:w="567" w:type="dxa"/>
          </w:tcPr>
          <w:p>
            <w:pPr>
              <w:pStyle w:val="TableParagraph"/>
              <w:spacing w:line="140" w:lineRule="exact" w:before="29"/>
              <w:ind w:left="145" w:right="143"/>
              <w:jc w:val="center"/>
              <w:rPr>
                <w:sz w:val="14"/>
              </w:rPr>
            </w:pPr>
            <w:r>
              <w:rPr>
                <w:spacing w:val="-5"/>
                <w:sz w:val="14"/>
              </w:rPr>
              <w:t>Yes</w:t>
            </w:r>
          </w:p>
        </w:tc>
        <w:tc>
          <w:tcPr>
            <w:tcW w:w="997" w:type="dxa"/>
          </w:tcPr>
          <w:p>
            <w:pPr>
              <w:pStyle w:val="TableParagraph"/>
              <w:spacing w:line="154" w:lineRule="exact" w:before="15"/>
              <w:ind w:right="100"/>
              <w:jc w:val="right"/>
              <w:rPr>
                <w:sz w:val="14"/>
              </w:rPr>
            </w:pPr>
            <w:r>
              <w:rPr>
                <w:spacing w:val="-2"/>
                <w:sz w:val="14"/>
              </w:rPr>
              <w:t>56.00</w:t>
            </w:r>
          </w:p>
        </w:tc>
        <w:tc>
          <w:tcPr>
            <w:tcW w:w="995" w:type="dxa"/>
          </w:tcPr>
          <w:p>
            <w:pPr>
              <w:pStyle w:val="TableParagraph"/>
              <w:spacing w:line="154" w:lineRule="exact" w:before="15"/>
              <w:ind w:right="101"/>
              <w:jc w:val="right"/>
              <w:rPr>
                <w:sz w:val="14"/>
              </w:rPr>
            </w:pPr>
            <w:r>
              <w:rPr>
                <w:spacing w:val="-2"/>
                <w:sz w:val="14"/>
              </w:rPr>
              <w:t>60.20</w:t>
            </w:r>
          </w:p>
        </w:tc>
        <w:tc>
          <w:tcPr>
            <w:tcW w:w="861" w:type="dxa"/>
          </w:tcPr>
          <w:p>
            <w:pPr>
              <w:pStyle w:val="TableParagraph"/>
              <w:spacing w:line="140" w:lineRule="exact" w:before="29"/>
              <w:ind w:left="152" w:right="154"/>
              <w:jc w:val="center"/>
              <w:rPr>
                <w:sz w:val="14"/>
              </w:rPr>
            </w:pPr>
            <w:r>
              <w:rPr>
                <w:spacing w:val="-5"/>
                <w:sz w:val="14"/>
              </w:rPr>
              <w:t>7.0</w:t>
            </w:r>
          </w:p>
        </w:tc>
      </w:tr>
      <w:tr>
        <w:trPr>
          <w:trHeight w:val="484" w:hRule="atLeast"/>
        </w:trPr>
        <w:tc>
          <w:tcPr>
            <w:tcW w:w="5794" w:type="dxa"/>
          </w:tcPr>
          <w:p>
            <w:pPr>
              <w:pStyle w:val="TableParagraph"/>
              <w:spacing w:before="2"/>
              <w:rPr>
                <w:sz w:val="14"/>
              </w:rPr>
            </w:pPr>
          </w:p>
          <w:p>
            <w:pPr>
              <w:pStyle w:val="TableParagraph"/>
              <w:ind w:left="107"/>
              <w:rPr>
                <w:sz w:val="14"/>
              </w:rPr>
            </w:pPr>
            <w:r>
              <w:rPr>
                <w:sz w:val="14"/>
              </w:rPr>
              <w:t>Federation</w:t>
            </w:r>
            <w:r>
              <w:rPr>
                <w:spacing w:val="-7"/>
                <w:sz w:val="14"/>
              </w:rPr>
              <w:t> </w:t>
            </w:r>
            <w:r>
              <w:rPr>
                <w:sz w:val="14"/>
              </w:rPr>
              <w:t>Estate</w:t>
            </w:r>
            <w:r>
              <w:rPr>
                <w:spacing w:val="-4"/>
                <w:sz w:val="14"/>
              </w:rPr>
              <w:t> </w:t>
            </w:r>
            <w:r>
              <w:rPr>
                <w:sz w:val="14"/>
              </w:rPr>
              <w:t>Per</w:t>
            </w:r>
            <w:r>
              <w:rPr>
                <w:spacing w:val="-3"/>
                <w:sz w:val="14"/>
              </w:rPr>
              <w:t> </w:t>
            </w:r>
            <w:r>
              <w:rPr>
                <w:spacing w:val="-4"/>
                <w:sz w:val="14"/>
              </w:rPr>
              <w:t>month</w:t>
            </w:r>
          </w:p>
        </w:tc>
        <w:tc>
          <w:tcPr>
            <w:tcW w:w="1131" w:type="dxa"/>
          </w:tcPr>
          <w:p>
            <w:pPr>
              <w:pStyle w:val="TableParagraph"/>
              <w:rPr>
                <w:sz w:val="16"/>
              </w:rPr>
            </w:pPr>
          </w:p>
          <w:p>
            <w:pPr>
              <w:pStyle w:val="TableParagraph"/>
              <w:spacing w:line="140" w:lineRule="exact" w:before="140"/>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40"/>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Karralyka</w:t>
            </w:r>
            <w:r>
              <w:rPr>
                <w:b/>
                <w:spacing w:val="-7"/>
                <w:sz w:val="14"/>
              </w:rPr>
              <w:t> </w:t>
            </w:r>
            <w:r>
              <w:rPr>
                <w:b/>
                <w:sz w:val="14"/>
              </w:rPr>
              <w:t>Theatre</w:t>
            </w:r>
            <w:r>
              <w:rPr>
                <w:b/>
                <w:spacing w:val="-8"/>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50" w:lineRule="exact" w:before="7"/>
              <w:ind w:left="107"/>
              <w:rPr>
                <w:sz w:val="14"/>
              </w:rPr>
            </w:pPr>
            <w:r>
              <w:rPr>
                <w:sz w:val="14"/>
              </w:rPr>
              <w:t>Commercial</w:t>
            </w:r>
            <w:r>
              <w:rPr>
                <w:spacing w:val="-7"/>
                <w:sz w:val="14"/>
              </w:rPr>
              <w:t> </w:t>
            </w:r>
            <w:r>
              <w:rPr>
                <w:sz w:val="14"/>
              </w:rPr>
              <w:t>Performance</w:t>
            </w:r>
            <w:r>
              <w:rPr>
                <w:spacing w:val="-5"/>
                <w:sz w:val="14"/>
              </w:rPr>
              <w:t> </w:t>
            </w:r>
            <w:r>
              <w:rPr>
                <w:sz w:val="14"/>
              </w:rPr>
              <w:t>Monday-Friday</w:t>
            </w:r>
            <w:r>
              <w:rPr>
                <w:spacing w:val="-8"/>
                <w:sz w:val="14"/>
              </w:rPr>
              <w:t> </w:t>
            </w:r>
            <w:r>
              <w:rPr>
                <w:sz w:val="14"/>
              </w:rPr>
              <w:t>(per</w:t>
            </w:r>
            <w:r>
              <w:rPr>
                <w:spacing w:val="-8"/>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386.00</w:t>
            </w:r>
          </w:p>
        </w:tc>
        <w:tc>
          <w:tcPr>
            <w:tcW w:w="995" w:type="dxa"/>
          </w:tcPr>
          <w:p>
            <w:pPr>
              <w:pStyle w:val="TableParagraph"/>
              <w:spacing w:line="140" w:lineRule="exact" w:before="17"/>
              <w:ind w:right="102"/>
              <w:jc w:val="right"/>
              <w:rPr>
                <w:sz w:val="14"/>
              </w:rPr>
            </w:pPr>
            <w:r>
              <w:rPr>
                <w:spacing w:val="-2"/>
                <w:sz w:val="14"/>
              </w:rPr>
              <w:t>399.90</w:t>
            </w:r>
          </w:p>
        </w:tc>
        <w:tc>
          <w:tcPr>
            <w:tcW w:w="861" w:type="dxa"/>
          </w:tcPr>
          <w:p>
            <w:pPr>
              <w:pStyle w:val="TableParagraph"/>
              <w:spacing w:line="140" w:lineRule="exact" w:before="17"/>
              <w:ind w:left="152" w:right="154"/>
              <w:jc w:val="center"/>
              <w:rPr>
                <w:sz w:val="14"/>
              </w:rPr>
            </w:pPr>
            <w:r>
              <w:rPr>
                <w:spacing w:val="-5"/>
                <w:sz w:val="14"/>
              </w:rPr>
              <w:t>3.5</w:t>
            </w:r>
          </w:p>
        </w:tc>
      </w:tr>
      <w:tr>
        <w:trPr>
          <w:trHeight w:val="177" w:hRule="atLeast"/>
        </w:trPr>
        <w:tc>
          <w:tcPr>
            <w:tcW w:w="5794" w:type="dxa"/>
          </w:tcPr>
          <w:p>
            <w:pPr>
              <w:pStyle w:val="TableParagraph"/>
              <w:spacing w:line="150" w:lineRule="exact" w:before="7"/>
              <w:ind w:left="107"/>
              <w:rPr>
                <w:sz w:val="14"/>
              </w:rPr>
            </w:pPr>
            <w:r>
              <w:rPr>
                <w:sz w:val="14"/>
              </w:rPr>
              <w:t>Commercial</w:t>
            </w:r>
            <w:r>
              <w:rPr>
                <w:spacing w:val="-6"/>
                <w:sz w:val="14"/>
              </w:rPr>
              <w:t> </w:t>
            </w:r>
            <w:r>
              <w:rPr>
                <w:sz w:val="14"/>
              </w:rPr>
              <w:t>Rehearsal</w:t>
            </w:r>
            <w:r>
              <w:rPr>
                <w:spacing w:val="-5"/>
                <w:sz w:val="14"/>
              </w:rPr>
              <w:t> </w:t>
            </w:r>
            <w:r>
              <w:rPr>
                <w:sz w:val="14"/>
              </w:rPr>
              <w:t>Monday-Friday</w:t>
            </w:r>
            <w:r>
              <w:rPr>
                <w:spacing w:val="-6"/>
                <w:sz w:val="14"/>
              </w:rPr>
              <w:t> </w:t>
            </w:r>
            <w:r>
              <w:rPr>
                <w:sz w:val="14"/>
              </w:rPr>
              <w:t>(per</w:t>
            </w:r>
            <w:r>
              <w:rPr>
                <w:spacing w:val="-7"/>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360.00</w:t>
            </w:r>
          </w:p>
        </w:tc>
        <w:tc>
          <w:tcPr>
            <w:tcW w:w="995" w:type="dxa"/>
          </w:tcPr>
          <w:p>
            <w:pPr>
              <w:pStyle w:val="TableParagraph"/>
              <w:spacing w:line="140" w:lineRule="exact" w:before="17"/>
              <w:ind w:right="102"/>
              <w:jc w:val="right"/>
              <w:rPr>
                <w:sz w:val="14"/>
              </w:rPr>
            </w:pPr>
            <w:r>
              <w:rPr>
                <w:spacing w:val="-2"/>
                <w:sz w:val="14"/>
              </w:rPr>
              <w:t>375.00</w:t>
            </w:r>
          </w:p>
        </w:tc>
        <w:tc>
          <w:tcPr>
            <w:tcW w:w="861" w:type="dxa"/>
          </w:tcPr>
          <w:p>
            <w:pPr>
              <w:pStyle w:val="TableParagraph"/>
              <w:spacing w:line="140" w:lineRule="exact" w:before="17"/>
              <w:ind w:left="152" w:right="154"/>
              <w:jc w:val="center"/>
              <w:rPr>
                <w:sz w:val="14"/>
              </w:rPr>
            </w:pPr>
            <w:r>
              <w:rPr>
                <w:spacing w:val="-5"/>
                <w:sz w:val="14"/>
              </w:rPr>
              <w:t>4.0</w:t>
            </w:r>
          </w:p>
        </w:tc>
      </w:tr>
      <w:tr>
        <w:trPr>
          <w:trHeight w:val="177" w:hRule="atLeast"/>
        </w:trPr>
        <w:tc>
          <w:tcPr>
            <w:tcW w:w="5794" w:type="dxa"/>
          </w:tcPr>
          <w:p>
            <w:pPr>
              <w:pStyle w:val="TableParagraph"/>
              <w:spacing w:line="150" w:lineRule="exact" w:before="7"/>
              <w:ind w:left="107"/>
              <w:rPr>
                <w:sz w:val="14"/>
              </w:rPr>
            </w:pPr>
            <w:r>
              <w:rPr>
                <w:sz w:val="14"/>
              </w:rPr>
              <w:t>Commercial</w:t>
            </w:r>
            <w:r>
              <w:rPr>
                <w:spacing w:val="-7"/>
                <w:sz w:val="14"/>
              </w:rPr>
              <w:t> </w:t>
            </w:r>
            <w:r>
              <w:rPr>
                <w:sz w:val="14"/>
              </w:rPr>
              <w:t>Performance</w:t>
            </w:r>
            <w:r>
              <w:rPr>
                <w:spacing w:val="-4"/>
                <w:sz w:val="14"/>
              </w:rPr>
              <w:t> </w:t>
            </w:r>
            <w:r>
              <w:rPr>
                <w:sz w:val="14"/>
              </w:rPr>
              <w:t>Saturday</w:t>
            </w:r>
            <w:r>
              <w:rPr>
                <w:spacing w:val="-4"/>
                <w:sz w:val="14"/>
              </w:rPr>
              <w:t> </w:t>
            </w:r>
            <w:r>
              <w:rPr>
                <w:sz w:val="14"/>
              </w:rPr>
              <w:t>(per</w:t>
            </w:r>
            <w:r>
              <w:rPr>
                <w:spacing w:val="-7"/>
                <w:sz w:val="14"/>
              </w:rPr>
              <w:t> </w:t>
            </w:r>
            <w:r>
              <w:rPr>
                <w:spacing w:val="-4"/>
                <w:sz w:val="14"/>
              </w:rPr>
              <w:t>hour)</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398.00</w:t>
            </w:r>
          </w:p>
        </w:tc>
        <w:tc>
          <w:tcPr>
            <w:tcW w:w="995" w:type="dxa"/>
          </w:tcPr>
          <w:p>
            <w:pPr>
              <w:pStyle w:val="TableParagraph"/>
              <w:spacing w:line="142" w:lineRule="exact" w:before="15"/>
              <w:ind w:right="101"/>
              <w:jc w:val="right"/>
              <w:rPr>
                <w:sz w:val="14"/>
              </w:rPr>
            </w:pPr>
            <w:r>
              <w:rPr>
                <w:spacing w:val="-2"/>
                <w:sz w:val="14"/>
              </w:rPr>
              <w:t>415.00</w:t>
            </w:r>
          </w:p>
        </w:tc>
        <w:tc>
          <w:tcPr>
            <w:tcW w:w="861" w:type="dxa"/>
          </w:tcPr>
          <w:p>
            <w:pPr>
              <w:pStyle w:val="TableParagraph"/>
              <w:spacing w:line="142" w:lineRule="exact" w:before="15"/>
              <w:ind w:left="152" w:right="154"/>
              <w:jc w:val="center"/>
              <w:rPr>
                <w:sz w:val="14"/>
              </w:rPr>
            </w:pPr>
            <w:r>
              <w:rPr>
                <w:spacing w:val="-5"/>
                <w:sz w:val="14"/>
              </w:rPr>
              <w:t>4.1</w:t>
            </w:r>
          </w:p>
        </w:tc>
      </w:tr>
      <w:tr>
        <w:trPr>
          <w:trHeight w:val="174" w:hRule="atLeast"/>
        </w:trPr>
        <w:tc>
          <w:tcPr>
            <w:tcW w:w="5794" w:type="dxa"/>
          </w:tcPr>
          <w:p>
            <w:pPr>
              <w:pStyle w:val="TableParagraph"/>
              <w:spacing w:line="147" w:lineRule="exact" w:before="7"/>
              <w:ind w:left="107"/>
              <w:rPr>
                <w:sz w:val="14"/>
              </w:rPr>
            </w:pPr>
            <w:r>
              <w:rPr>
                <w:sz w:val="14"/>
              </w:rPr>
              <w:t>Commercial</w:t>
            </w:r>
            <w:r>
              <w:rPr>
                <w:spacing w:val="-4"/>
                <w:sz w:val="14"/>
              </w:rPr>
              <w:t> </w:t>
            </w:r>
            <w:r>
              <w:rPr>
                <w:sz w:val="14"/>
              </w:rPr>
              <w:t>Rehearsal</w:t>
            </w:r>
            <w:r>
              <w:rPr>
                <w:spacing w:val="-7"/>
                <w:sz w:val="14"/>
              </w:rPr>
              <w:t> </w:t>
            </w:r>
            <w:r>
              <w:rPr>
                <w:sz w:val="14"/>
              </w:rPr>
              <w:t>Saturday</w:t>
            </w:r>
            <w:r>
              <w:rPr>
                <w:spacing w:val="-4"/>
                <w:sz w:val="14"/>
              </w:rPr>
              <w:t> </w:t>
            </w:r>
            <w:r>
              <w:rPr>
                <w:sz w:val="14"/>
              </w:rPr>
              <w:t>(per</w:t>
            </w:r>
            <w:r>
              <w:rPr>
                <w:spacing w:val="-4"/>
                <w:sz w:val="14"/>
              </w:rPr>
              <w:t> </w:t>
            </w:r>
            <w:r>
              <w:rPr>
                <w:spacing w:val="-2"/>
                <w:sz w:val="14"/>
              </w:rPr>
              <w:t>hour)</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376.00</w:t>
            </w:r>
          </w:p>
        </w:tc>
        <w:tc>
          <w:tcPr>
            <w:tcW w:w="995" w:type="dxa"/>
          </w:tcPr>
          <w:p>
            <w:pPr>
              <w:pStyle w:val="TableParagraph"/>
              <w:spacing w:line="140" w:lineRule="exact" w:before="15"/>
              <w:ind w:right="102"/>
              <w:jc w:val="right"/>
              <w:rPr>
                <w:sz w:val="14"/>
              </w:rPr>
            </w:pPr>
            <w:r>
              <w:rPr>
                <w:spacing w:val="-2"/>
                <w:sz w:val="14"/>
              </w:rPr>
              <w:t>390.00</w:t>
            </w:r>
          </w:p>
        </w:tc>
        <w:tc>
          <w:tcPr>
            <w:tcW w:w="861" w:type="dxa"/>
          </w:tcPr>
          <w:p>
            <w:pPr>
              <w:pStyle w:val="TableParagraph"/>
              <w:spacing w:line="140" w:lineRule="exact" w:before="15"/>
              <w:ind w:left="152" w:right="154"/>
              <w:jc w:val="center"/>
              <w:rPr>
                <w:sz w:val="14"/>
              </w:rPr>
            </w:pPr>
            <w:r>
              <w:rPr>
                <w:spacing w:val="-5"/>
                <w:sz w:val="14"/>
              </w:rPr>
              <w:t>3.6</w:t>
            </w:r>
          </w:p>
        </w:tc>
      </w:tr>
      <w:tr>
        <w:trPr>
          <w:trHeight w:val="177" w:hRule="atLeast"/>
        </w:trPr>
        <w:tc>
          <w:tcPr>
            <w:tcW w:w="5794" w:type="dxa"/>
          </w:tcPr>
          <w:p>
            <w:pPr>
              <w:pStyle w:val="TableParagraph"/>
              <w:spacing w:line="147" w:lineRule="exact" w:before="10"/>
              <w:ind w:left="107"/>
              <w:rPr>
                <w:sz w:val="14"/>
              </w:rPr>
            </w:pPr>
            <w:r>
              <w:rPr>
                <w:sz w:val="14"/>
              </w:rPr>
              <w:t>Commercial</w:t>
            </w:r>
            <w:r>
              <w:rPr>
                <w:spacing w:val="-6"/>
                <w:sz w:val="14"/>
              </w:rPr>
              <w:t> </w:t>
            </w:r>
            <w:r>
              <w:rPr>
                <w:sz w:val="14"/>
              </w:rPr>
              <w:t>Performance</w:t>
            </w:r>
            <w:r>
              <w:rPr>
                <w:spacing w:val="-3"/>
                <w:sz w:val="14"/>
              </w:rPr>
              <w:t> </w:t>
            </w:r>
            <w:r>
              <w:rPr>
                <w:sz w:val="14"/>
              </w:rPr>
              <w:t>Sundays</w:t>
            </w:r>
            <w:r>
              <w:rPr>
                <w:spacing w:val="-6"/>
                <w:sz w:val="14"/>
              </w:rPr>
              <w:t> </w:t>
            </w:r>
            <w:r>
              <w:rPr>
                <w:sz w:val="14"/>
              </w:rPr>
              <w:t>and</w:t>
            </w:r>
            <w:r>
              <w:rPr>
                <w:spacing w:val="-4"/>
                <w:sz w:val="14"/>
              </w:rPr>
              <w:t> </w:t>
            </w:r>
            <w:r>
              <w:rPr>
                <w:sz w:val="14"/>
              </w:rPr>
              <w:t>Public</w:t>
            </w:r>
            <w:r>
              <w:rPr>
                <w:spacing w:val="-6"/>
                <w:sz w:val="14"/>
              </w:rPr>
              <w:t> </w:t>
            </w:r>
            <w:r>
              <w:rPr>
                <w:sz w:val="14"/>
              </w:rPr>
              <w:t>Holidays</w:t>
            </w:r>
            <w:r>
              <w:rPr>
                <w:spacing w:val="-3"/>
                <w:sz w:val="14"/>
              </w:rPr>
              <w:t> </w:t>
            </w:r>
            <w:r>
              <w:rPr>
                <w:sz w:val="14"/>
              </w:rPr>
              <w:t>(per</w:t>
            </w:r>
            <w:r>
              <w:rPr>
                <w:spacing w:val="-3"/>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410.00</w:t>
            </w:r>
          </w:p>
        </w:tc>
        <w:tc>
          <w:tcPr>
            <w:tcW w:w="995" w:type="dxa"/>
          </w:tcPr>
          <w:p>
            <w:pPr>
              <w:pStyle w:val="TableParagraph"/>
              <w:spacing w:line="140" w:lineRule="exact" w:before="17"/>
              <w:ind w:right="102"/>
              <w:jc w:val="right"/>
              <w:rPr>
                <w:sz w:val="14"/>
              </w:rPr>
            </w:pPr>
            <w:r>
              <w:rPr>
                <w:spacing w:val="-2"/>
                <w:sz w:val="14"/>
              </w:rPr>
              <w:t>425.00</w:t>
            </w:r>
          </w:p>
        </w:tc>
        <w:tc>
          <w:tcPr>
            <w:tcW w:w="861" w:type="dxa"/>
          </w:tcPr>
          <w:p>
            <w:pPr>
              <w:pStyle w:val="TableParagraph"/>
              <w:spacing w:line="140" w:lineRule="exact" w:before="17"/>
              <w:ind w:left="152" w:right="154"/>
              <w:jc w:val="center"/>
              <w:rPr>
                <w:sz w:val="14"/>
              </w:rPr>
            </w:pPr>
            <w:r>
              <w:rPr>
                <w:spacing w:val="-5"/>
                <w:sz w:val="14"/>
              </w:rPr>
              <w:t>3.5</w:t>
            </w:r>
          </w:p>
        </w:tc>
      </w:tr>
      <w:tr>
        <w:trPr>
          <w:trHeight w:val="177" w:hRule="atLeast"/>
        </w:trPr>
        <w:tc>
          <w:tcPr>
            <w:tcW w:w="5794" w:type="dxa"/>
          </w:tcPr>
          <w:p>
            <w:pPr>
              <w:pStyle w:val="TableParagraph"/>
              <w:spacing w:line="147" w:lineRule="exact" w:before="10"/>
              <w:ind w:left="107"/>
              <w:rPr>
                <w:sz w:val="14"/>
              </w:rPr>
            </w:pPr>
            <w:r>
              <w:rPr>
                <w:sz w:val="14"/>
              </w:rPr>
              <w:t>Commercial</w:t>
            </w:r>
            <w:r>
              <w:rPr>
                <w:spacing w:val="-3"/>
                <w:sz w:val="14"/>
              </w:rPr>
              <w:t> </w:t>
            </w:r>
            <w:r>
              <w:rPr>
                <w:sz w:val="14"/>
              </w:rPr>
              <w:t>Rehearsal</w:t>
            </w:r>
            <w:r>
              <w:rPr>
                <w:spacing w:val="-5"/>
                <w:sz w:val="14"/>
              </w:rPr>
              <w:t> </w:t>
            </w:r>
            <w:r>
              <w:rPr>
                <w:sz w:val="14"/>
              </w:rPr>
              <w:t>Sundays</w:t>
            </w:r>
            <w:r>
              <w:rPr>
                <w:spacing w:val="-6"/>
                <w:sz w:val="14"/>
              </w:rPr>
              <w:t> </w:t>
            </w:r>
            <w:r>
              <w:rPr>
                <w:sz w:val="14"/>
              </w:rPr>
              <w:t>and</w:t>
            </w:r>
            <w:r>
              <w:rPr>
                <w:spacing w:val="-6"/>
                <w:sz w:val="14"/>
              </w:rPr>
              <w:t> </w:t>
            </w:r>
            <w:r>
              <w:rPr>
                <w:sz w:val="14"/>
              </w:rPr>
              <w:t>Public</w:t>
            </w:r>
            <w:r>
              <w:rPr>
                <w:spacing w:val="-6"/>
                <w:sz w:val="14"/>
              </w:rPr>
              <w:t> </w:t>
            </w:r>
            <w:r>
              <w:rPr>
                <w:sz w:val="14"/>
              </w:rPr>
              <w:t>Holidays</w:t>
            </w:r>
            <w:r>
              <w:rPr>
                <w:spacing w:val="-2"/>
                <w:sz w:val="14"/>
              </w:rPr>
              <w:t> </w:t>
            </w:r>
            <w:r>
              <w:rPr>
                <w:sz w:val="14"/>
              </w:rPr>
              <w:t>(per</w:t>
            </w:r>
            <w:r>
              <w:rPr>
                <w:spacing w:val="-4"/>
                <w:sz w:val="14"/>
              </w:rPr>
              <w:t> 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388.00</w:t>
            </w:r>
          </w:p>
        </w:tc>
        <w:tc>
          <w:tcPr>
            <w:tcW w:w="995" w:type="dxa"/>
          </w:tcPr>
          <w:p>
            <w:pPr>
              <w:pStyle w:val="TableParagraph"/>
              <w:spacing w:line="140" w:lineRule="exact" w:before="17"/>
              <w:ind w:right="102"/>
              <w:jc w:val="right"/>
              <w:rPr>
                <w:sz w:val="14"/>
              </w:rPr>
            </w:pPr>
            <w:r>
              <w:rPr>
                <w:spacing w:val="-2"/>
                <w:sz w:val="14"/>
              </w:rPr>
              <w:t>405.00</w:t>
            </w:r>
          </w:p>
        </w:tc>
        <w:tc>
          <w:tcPr>
            <w:tcW w:w="861" w:type="dxa"/>
          </w:tcPr>
          <w:p>
            <w:pPr>
              <w:pStyle w:val="TableParagraph"/>
              <w:spacing w:line="140" w:lineRule="exact" w:before="17"/>
              <w:ind w:left="152" w:right="154"/>
              <w:jc w:val="center"/>
              <w:rPr>
                <w:sz w:val="14"/>
              </w:rPr>
            </w:pPr>
            <w:r>
              <w:rPr>
                <w:spacing w:val="-5"/>
                <w:sz w:val="14"/>
              </w:rPr>
              <w:t>4.2</w:t>
            </w:r>
          </w:p>
        </w:tc>
      </w:tr>
      <w:tr>
        <w:trPr>
          <w:trHeight w:val="179" w:hRule="atLeast"/>
        </w:trPr>
        <w:tc>
          <w:tcPr>
            <w:tcW w:w="5794" w:type="dxa"/>
          </w:tcPr>
          <w:p>
            <w:pPr>
              <w:pStyle w:val="TableParagraph"/>
              <w:spacing w:line="150" w:lineRule="exact" w:before="10"/>
              <w:ind w:left="107"/>
              <w:rPr>
                <w:sz w:val="14"/>
              </w:rPr>
            </w:pPr>
            <w:r>
              <w:rPr>
                <w:sz w:val="14"/>
              </w:rPr>
              <w:t>Community/Not</w:t>
            </w:r>
            <w:r>
              <w:rPr>
                <w:spacing w:val="-5"/>
                <w:sz w:val="14"/>
              </w:rPr>
              <w:t> </w:t>
            </w:r>
            <w:r>
              <w:rPr>
                <w:sz w:val="14"/>
              </w:rPr>
              <w:t>For</w:t>
            </w:r>
            <w:r>
              <w:rPr>
                <w:spacing w:val="-6"/>
                <w:sz w:val="14"/>
              </w:rPr>
              <w:t> </w:t>
            </w:r>
            <w:r>
              <w:rPr>
                <w:sz w:val="14"/>
              </w:rPr>
              <w:t>Profit</w:t>
            </w:r>
            <w:r>
              <w:rPr>
                <w:spacing w:val="-7"/>
                <w:sz w:val="14"/>
              </w:rPr>
              <w:t> </w:t>
            </w:r>
            <w:r>
              <w:rPr>
                <w:sz w:val="14"/>
              </w:rPr>
              <w:t>Performance</w:t>
            </w:r>
            <w:r>
              <w:rPr>
                <w:spacing w:val="-5"/>
                <w:sz w:val="14"/>
              </w:rPr>
              <w:t> </w:t>
            </w:r>
            <w:r>
              <w:rPr>
                <w:sz w:val="14"/>
              </w:rPr>
              <w:t>Monday-Friday</w:t>
            </w:r>
            <w:r>
              <w:rPr>
                <w:spacing w:val="-4"/>
                <w:sz w:val="14"/>
              </w:rPr>
              <w:t> </w:t>
            </w:r>
            <w:r>
              <w:rPr>
                <w:sz w:val="14"/>
              </w:rPr>
              <w:t>(per</w:t>
            </w:r>
            <w:r>
              <w:rPr>
                <w:spacing w:val="-4"/>
                <w:sz w:val="14"/>
              </w:rPr>
              <w:t> hour)</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45" w:right="143"/>
              <w:jc w:val="center"/>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305.00</w:t>
            </w:r>
          </w:p>
        </w:tc>
        <w:tc>
          <w:tcPr>
            <w:tcW w:w="995" w:type="dxa"/>
          </w:tcPr>
          <w:p>
            <w:pPr>
              <w:pStyle w:val="TableParagraph"/>
              <w:spacing w:line="140" w:lineRule="exact" w:before="19"/>
              <w:ind w:right="102"/>
              <w:jc w:val="right"/>
              <w:rPr>
                <w:sz w:val="14"/>
              </w:rPr>
            </w:pPr>
            <w:r>
              <w:rPr>
                <w:spacing w:val="-2"/>
                <w:sz w:val="14"/>
              </w:rPr>
              <w:t>315.00</w:t>
            </w:r>
          </w:p>
        </w:tc>
        <w:tc>
          <w:tcPr>
            <w:tcW w:w="861" w:type="dxa"/>
          </w:tcPr>
          <w:p>
            <w:pPr>
              <w:pStyle w:val="TableParagraph"/>
              <w:spacing w:line="140" w:lineRule="exact" w:before="19"/>
              <w:ind w:left="152" w:right="154"/>
              <w:jc w:val="center"/>
              <w:rPr>
                <w:sz w:val="14"/>
              </w:rPr>
            </w:pPr>
            <w:r>
              <w:rPr>
                <w:spacing w:val="-5"/>
                <w:sz w:val="14"/>
              </w:rPr>
              <w:t>3.2</w:t>
            </w:r>
          </w:p>
        </w:tc>
      </w:tr>
      <w:tr>
        <w:trPr>
          <w:trHeight w:val="181" w:hRule="atLeast"/>
        </w:trPr>
        <w:tc>
          <w:tcPr>
            <w:tcW w:w="5794" w:type="dxa"/>
          </w:tcPr>
          <w:p>
            <w:pPr>
              <w:pStyle w:val="TableParagraph"/>
              <w:spacing w:line="150" w:lineRule="exact" w:before="12"/>
              <w:ind w:left="107"/>
              <w:rPr>
                <w:sz w:val="14"/>
              </w:rPr>
            </w:pPr>
            <w:r>
              <w:rPr>
                <w:sz w:val="14"/>
              </w:rPr>
              <w:t>Community/Not</w:t>
            </w:r>
            <w:r>
              <w:rPr>
                <w:spacing w:val="-4"/>
                <w:sz w:val="14"/>
              </w:rPr>
              <w:t> </w:t>
            </w:r>
            <w:r>
              <w:rPr>
                <w:sz w:val="14"/>
              </w:rPr>
              <w:t>For</w:t>
            </w:r>
            <w:r>
              <w:rPr>
                <w:spacing w:val="-6"/>
                <w:sz w:val="14"/>
              </w:rPr>
              <w:t> </w:t>
            </w:r>
            <w:r>
              <w:rPr>
                <w:sz w:val="14"/>
              </w:rPr>
              <w:t>Profit</w:t>
            </w:r>
            <w:r>
              <w:rPr>
                <w:spacing w:val="-7"/>
                <w:sz w:val="14"/>
              </w:rPr>
              <w:t> </w:t>
            </w:r>
            <w:r>
              <w:rPr>
                <w:sz w:val="14"/>
              </w:rPr>
              <w:t>Rehearsal</w:t>
            </w:r>
            <w:r>
              <w:rPr>
                <w:spacing w:val="-4"/>
                <w:sz w:val="14"/>
              </w:rPr>
              <w:t> </w:t>
            </w:r>
            <w:r>
              <w:rPr>
                <w:sz w:val="14"/>
              </w:rPr>
              <w:t>Monday-Friday</w:t>
            </w:r>
            <w:r>
              <w:rPr>
                <w:spacing w:val="-4"/>
                <w:sz w:val="14"/>
              </w:rPr>
              <w:t> </w:t>
            </w:r>
            <w:r>
              <w:rPr>
                <w:sz w:val="14"/>
              </w:rPr>
              <w:t>(per</w:t>
            </w:r>
            <w:r>
              <w:rPr>
                <w:spacing w:val="-4"/>
                <w:sz w:val="14"/>
              </w:rPr>
              <w:t> hour)</w:t>
            </w:r>
          </w:p>
        </w:tc>
        <w:tc>
          <w:tcPr>
            <w:tcW w:w="1131" w:type="dxa"/>
          </w:tcPr>
          <w:p>
            <w:pPr>
              <w:pStyle w:val="TableParagraph"/>
              <w:spacing w:line="140" w:lineRule="exact" w:before="22"/>
              <w:ind w:left="5"/>
              <w:jc w:val="center"/>
              <w:rPr>
                <w:sz w:val="14"/>
              </w:rPr>
            </w:pPr>
            <w:r>
              <w:rPr>
                <w:w w:val="99"/>
                <w:sz w:val="14"/>
              </w:rPr>
              <w:t>N</w:t>
            </w:r>
          </w:p>
        </w:tc>
        <w:tc>
          <w:tcPr>
            <w:tcW w:w="567" w:type="dxa"/>
          </w:tcPr>
          <w:p>
            <w:pPr>
              <w:pStyle w:val="TableParagraph"/>
              <w:spacing w:line="140" w:lineRule="exact" w:before="22"/>
              <w:ind w:left="145" w:right="143"/>
              <w:jc w:val="center"/>
              <w:rPr>
                <w:sz w:val="14"/>
              </w:rPr>
            </w:pPr>
            <w:r>
              <w:rPr>
                <w:spacing w:val="-5"/>
                <w:sz w:val="14"/>
              </w:rPr>
              <w:t>Yes</w:t>
            </w:r>
          </w:p>
        </w:tc>
        <w:tc>
          <w:tcPr>
            <w:tcW w:w="997" w:type="dxa"/>
          </w:tcPr>
          <w:p>
            <w:pPr>
              <w:pStyle w:val="TableParagraph"/>
              <w:spacing w:line="140" w:lineRule="exact" w:before="22"/>
              <w:ind w:right="100"/>
              <w:jc w:val="right"/>
              <w:rPr>
                <w:sz w:val="14"/>
              </w:rPr>
            </w:pPr>
            <w:r>
              <w:rPr>
                <w:spacing w:val="-2"/>
                <w:sz w:val="14"/>
              </w:rPr>
              <w:t>289.00</w:t>
            </w:r>
          </w:p>
        </w:tc>
        <w:tc>
          <w:tcPr>
            <w:tcW w:w="995" w:type="dxa"/>
          </w:tcPr>
          <w:p>
            <w:pPr>
              <w:pStyle w:val="TableParagraph"/>
              <w:spacing w:line="140" w:lineRule="exact" w:before="22"/>
              <w:ind w:right="102"/>
              <w:jc w:val="right"/>
              <w:rPr>
                <w:sz w:val="14"/>
              </w:rPr>
            </w:pPr>
            <w:r>
              <w:rPr>
                <w:spacing w:val="-2"/>
                <w:sz w:val="14"/>
              </w:rPr>
              <w:t>300.00</w:t>
            </w:r>
          </w:p>
        </w:tc>
        <w:tc>
          <w:tcPr>
            <w:tcW w:w="861" w:type="dxa"/>
          </w:tcPr>
          <w:p>
            <w:pPr>
              <w:pStyle w:val="TableParagraph"/>
              <w:spacing w:line="140" w:lineRule="exact" w:before="22"/>
              <w:ind w:left="152" w:right="154"/>
              <w:jc w:val="center"/>
              <w:rPr>
                <w:sz w:val="14"/>
              </w:rPr>
            </w:pPr>
            <w:r>
              <w:rPr>
                <w:spacing w:val="-5"/>
                <w:sz w:val="14"/>
              </w:rPr>
              <w:t>3.7</w:t>
            </w:r>
          </w:p>
        </w:tc>
      </w:tr>
      <w:tr>
        <w:trPr>
          <w:trHeight w:val="179" w:hRule="atLeast"/>
        </w:trPr>
        <w:tc>
          <w:tcPr>
            <w:tcW w:w="5794" w:type="dxa"/>
          </w:tcPr>
          <w:p>
            <w:pPr>
              <w:pStyle w:val="TableParagraph"/>
              <w:spacing w:line="150" w:lineRule="exact" w:before="10"/>
              <w:ind w:left="107"/>
              <w:rPr>
                <w:sz w:val="14"/>
              </w:rPr>
            </w:pPr>
            <w:r>
              <w:rPr>
                <w:sz w:val="14"/>
              </w:rPr>
              <w:t>Community/Not</w:t>
            </w:r>
            <w:r>
              <w:rPr>
                <w:spacing w:val="-4"/>
                <w:sz w:val="14"/>
              </w:rPr>
              <w:t> </w:t>
            </w:r>
            <w:r>
              <w:rPr>
                <w:sz w:val="14"/>
              </w:rPr>
              <w:t>For</w:t>
            </w:r>
            <w:r>
              <w:rPr>
                <w:spacing w:val="-5"/>
                <w:sz w:val="14"/>
              </w:rPr>
              <w:t> </w:t>
            </w:r>
            <w:r>
              <w:rPr>
                <w:sz w:val="14"/>
              </w:rPr>
              <w:t>Profit</w:t>
            </w:r>
            <w:r>
              <w:rPr>
                <w:spacing w:val="-6"/>
                <w:sz w:val="14"/>
              </w:rPr>
              <w:t> </w:t>
            </w:r>
            <w:r>
              <w:rPr>
                <w:sz w:val="14"/>
              </w:rPr>
              <w:t>Performance</w:t>
            </w:r>
            <w:r>
              <w:rPr>
                <w:spacing w:val="-3"/>
                <w:sz w:val="14"/>
              </w:rPr>
              <w:t> </w:t>
            </w:r>
            <w:r>
              <w:rPr>
                <w:sz w:val="14"/>
              </w:rPr>
              <w:t>Saturday</w:t>
            </w:r>
            <w:r>
              <w:rPr>
                <w:spacing w:val="-5"/>
                <w:sz w:val="14"/>
              </w:rPr>
              <w:t> </w:t>
            </w:r>
            <w:r>
              <w:rPr>
                <w:sz w:val="14"/>
              </w:rPr>
              <w:t>(per</w:t>
            </w:r>
            <w:r>
              <w:rPr>
                <w:spacing w:val="-6"/>
                <w:sz w:val="14"/>
              </w:rPr>
              <w:t> </w:t>
            </w:r>
            <w:r>
              <w:rPr>
                <w:spacing w:val="-4"/>
                <w:sz w:val="14"/>
              </w:rPr>
              <w:t>hour)</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45" w:right="143"/>
              <w:jc w:val="center"/>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322.00</w:t>
            </w:r>
          </w:p>
        </w:tc>
        <w:tc>
          <w:tcPr>
            <w:tcW w:w="995" w:type="dxa"/>
          </w:tcPr>
          <w:p>
            <w:pPr>
              <w:pStyle w:val="TableParagraph"/>
              <w:spacing w:line="140" w:lineRule="exact" w:before="19"/>
              <w:ind w:right="102"/>
              <w:jc w:val="right"/>
              <w:rPr>
                <w:sz w:val="14"/>
              </w:rPr>
            </w:pPr>
            <w:r>
              <w:rPr>
                <w:spacing w:val="-2"/>
                <w:sz w:val="14"/>
              </w:rPr>
              <w:t>335.00</w:t>
            </w:r>
          </w:p>
        </w:tc>
        <w:tc>
          <w:tcPr>
            <w:tcW w:w="861" w:type="dxa"/>
          </w:tcPr>
          <w:p>
            <w:pPr>
              <w:pStyle w:val="TableParagraph"/>
              <w:spacing w:line="140" w:lineRule="exact" w:before="19"/>
              <w:ind w:left="152" w:right="154"/>
              <w:jc w:val="center"/>
              <w:rPr>
                <w:sz w:val="14"/>
              </w:rPr>
            </w:pPr>
            <w:r>
              <w:rPr>
                <w:spacing w:val="-5"/>
                <w:sz w:val="14"/>
              </w:rPr>
              <w:t>3.9</w:t>
            </w:r>
          </w:p>
        </w:tc>
      </w:tr>
      <w:tr>
        <w:trPr>
          <w:trHeight w:val="179" w:hRule="atLeast"/>
        </w:trPr>
        <w:tc>
          <w:tcPr>
            <w:tcW w:w="5794" w:type="dxa"/>
          </w:tcPr>
          <w:p>
            <w:pPr>
              <w:pStyle w:val="TableParagraph"/>
              <w:spacing w:line="150" w:lineRule="exact" w:before="10"/>
              <w:ind w:left="107"/>
              <w:rPr>
                <w:sz w:val="14"/>
              </w:rPr>
            </w:pPr>
            <w:r>
              <w:rPr>
                <w:sz w:val="14"/>
              </w:rPr>
              <w:t>Community/Not</w:t>
            </w:r>
            <w:r>
              <w:rPr>
                <w:spacing w:val="-3"/>
                <w:sz w:val="14"/>
              </w:rPr>
              <w:t> </w:t>
            </w:r>
            <w:r>
              <w:rPr>
                <w:sz w:val="14"/>
              </w:rPr>
              <w:t>For</w:t>
            </w:r>
            <w:r>
              <w:rPr>
                <w:spacing w:val="-5"/>
                <w:sz w:val="14"/>
              </w:rPr>
              <w:t> </w:t>
            </w:r>
            <w:r>
              <w:rPr>
                <w:sz w:val="14"/>
              </w:rPr>
              <w:t>Profit</w:t>
            </w:r>
            <w:r>
              <w:rPr>
                <w:spacing w:val="-5"/>
                <w:sz w:val="14"/>
              </w:rPr>
              <w:t> </w:t>
            </w:r>
            <w:r>
              <w:rPr>
                <w:sz w:val="14"/>
              </w:rPr>
              <w:t>Rehearsal</w:t>
            </w:r>
            <w:r>
              <w:rPr>
                <w:spacing w:val="-5"/>
                <w:sz w:val="14"/>
              </w:rPr>
              <w:t> </w:t>
            </w:r>
            <w:r>
              <w:rPr>
                <w:sz w:val="14"/>
              </w:rPr>
              <w:t>Saturday</w:t>
            </w:r>
            <w:r>
              <w:rPr>
                <w:spacing w:val="-5"/>
                <w:sz w:val="14"/>
              </w:rPr>
              <w:t> </w:t>
            </w:r>
            <w:r>
              <w:rPr>
                <w:sz w:val="14"/>
              </w:rPr>
              <w:t>(per</w:t>
            </w:r>
            <w:r>
              <w:rPr>
                <w:spacing w:val="-6"/>
                <w:sz w:val="14"/>
              </w:rPr>
              <w:t> </w:t>
            </w:r>
            <w:r>
              <w:rPr>
                <w:spacing w:val="-4"/>
                <w:sz w:val="14"/>
              </w:rPr>
              <w:t>hour)</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45" w:right="143"/>
              <w:jc w:val="center"/>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300.00</w:t>
            </w:r>
          </w:p>
        </w:tc>
        <w:tc>
          <w:tcPr>
            <w:tcW w:w="995" w:type="dxa"/>
          </w:tcPr>
          <w:p>
            <w:pPr>
              <w:pStyle w:val="TableParagraph"/>
              <w:spacing w:line="140" w:lineRule="exact" w:before="19"/>
              <w:ind w:right="102"/>
              <w:jc w:val="right"/>
              <w:rPr>
                <w:sz w:val="14"/>
              </w:rPr>
            </w:pPr>
            <w:r>
              <w:rPr>
                <w:spacing w:val="-2"/>
                <w:sz w:val="14"/>
              </w:rPr>
              <w:t>310.00</w:t>
            </w:r>
          </w:p>
        </w:tc>
        <w:tc>
          <w:tcPr>
            <w:tcW w:w="861" w:type="dxa"/>
          </w:tcPr>
          <w:p>
            <w:pPr>
              <w:pStyle w:val="TableParagraph"/>
              <w:spacing w:line="140" w:lineRule="exact" w:before="19"/>
              <w:ind w:left="152" w:right="154"/>
              <w:jc w:val="center"/>
              <w:rPr>
                <w:sz w:val="14"/>
              </w:rPr>
            </w:pPr>
            <w:r>
              <w:rPr>
                <w:spacing w:val="-5"/>
                <w:sz w:val="14"/>
              </w:rPr>
              <w:t>3.2</w:t>
            </w:r>
          </w:p>
        </w:tc>
      </w:tr>
      <w:tr>
        <w:trPr>
          <w:trHeight w:val="179" w:hRule="atLeast"/>
        </w:trPr>
        <w:tc>
          <w:tcPr>
            <w:tcW w:w="5794" w:type="dxa"/>
          </w:tcPr>
          <w:p>
            <w:pPr>
              <w:pStyle w:val="TableParagraph"/>
              <w:spacing w:line="150" w:lineRule="exact" w:before="10"/>
              <w:ind w:left="107"/>
              <w:rPr>
                <w:sz w:val="14"/>
              </w:rPr>
            </w:pPr>
            <w:r>
              <w:rPr>
                <w:sz w:val="14"/>
              </w:rPr>
              <w:t>Community/Not</w:t>
            </w:r>
            <w:r>
              <w:rPr>
                <w:spacing w:val="-3"/>
                <w:sz w:val="14"/>
              </w:rPr>
              <w:t> </w:t>
            </w:r>
            <w:r>
              <w:rPr>
                <w:sz w:val="14"/>
              </w:rPr>
              <w:t>For</w:t>
            </w:r>
            <w:r>
              <w:rPr>
                <w:spacing w:val="-5"/>
                <w:sz w:val="14"/>
              </w:rPr>
              <w:t> </w:t>
            </w:r>
            <w:r>
              <w:rPr>
                <w:sz w:val="14"/>
              </w:rPr>
              <w:t>Profit</w:t>
            </w:r>
            <w:r>
              <w:rPr>
                <w:spacing w:val="-5"/>
                <w:sz w:val="14"/>
              </w:rPr>
              <w:t> </w:t>
            </w:r>
            <w:r>
              <w:rPr>
                <w:sz w:val="14"/>
              </w:rPr>
              <w:t>Performance</w:t>
            </w:r>
            <w:r>
              <w:rPr>
                <w:spacing w:val="-3"/>
                <w:sz w:val="14"/>
              </w:rPr>
              <w:t> </w:t>
            </w:r>
            <w:r>
              <w:rPr>
                <w:sz w:val="14"/>
              </w:rPr>
              <w:t>Sundays</w:t>
            </w:r>
            <w:r>
              <w:rPr>
                <w:spacing w:val="-3"/>
                <w:sz w:val="14"/>
              </w:rPr>
              <w:t> </w:t>
            </w:r>
            <w:r>
              <w:rPr>
                <w:sz w:val="14"/>
              </w:rPr>
              <w:t>and</w:t>
            </w:r>
            <w:r>
              <w:rPr>
                <w:spacing w:val="-5"/>
                <w:sz w:val="14"/>
              </w:rPr>
              <w:t> </w:t>
            </w:r>
            <w:r>
              <w:rPr>
                <w:sz w:val="14"/>
              </w:rPr>
              <w:t>Public</w:t>
            </w:r>
            <w:r>
              <w:rPr>
                <w:spacing w:val="-5"/>
                <w:sz w:val="14"/>
              </w:rPr>
              <w:t> </w:t>
            </w:r>
            <w:r>
              <w:rPr>
                <w:sz w:val="14"/>
              </w:rPr>
              <w:t>Holidays</w:t>
            </w:r>
            <w:r>
              <w:rPr>
                <w:spacing w:val="-5"/>
                <w:sz w:val="14"/>
              </w:rPr>
              <w:t> </w:t>
            </w:r>
            <w:r>
              <w:rPr>
                <w:sz w:val="14"/>
              </w:rPr>
              <w:t>(per</w:t>
            </w:r>
            <w:r>
              <w:rPr>
                <w:spacing w:val="-6"/>
                <w:sz w:val="14"/>
              </w:rPr>
              <w:t> </w:t>
            </w:r>
            <w:r>
              <w:rPr>
                <w:spacing w:val="-2"/>
                <w:sz w:val="14"/>
              </w:rPr>
              <w:t>hour)</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45" w:right="143"/>
              <w:jc w:val="center"/>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328.00</w:t>
            </w:r>
          </w:p>
        </w:tc>
        <w:tc>
          <w:tcPr>
            <w:tcW w:w="995" w:type="dxa"/>
          </w:tcPr>
          <w:p>
            <w:pPr>
              <w:pStyle w:val="TableParagraph"/>
              <w:spacing w:line="140" w:lineRule="exact" w:before="19"/>
              <w:ind w:right="102"/>
              <w:jc w:val="right"/>
              <w:rPr>
                <w:sz w:val="14"/>
              </w:rPr>
            </w:pPr>
            <w:r>
              <w:rPr>
                <w:spacing w:val="-2"/>
                <w:sz w:val="14"/>
              </w:rPr>
              <w:t>340.00</w:t>
            </w:r>
          </w:p>
        </w:tc>
        <w:tc>
          <w:tcPr>
            <w:tcW w:w="861" w:type="dxa"/>
          </w:tcPr>
          <w:p>
            <w:pPr>
              <w:pStyle w:val="TableParagraph"/>
              <w:spacing w:line="140" w:lineRule="exact" w:before="19"/>
              <w:ind w:left="152" w:right="154"/>
              <w:jc w:val="center"/>
              <w:rPr>
                <w:sz w:val="14"/>
              </w:rPr>
            </w:pPr>
            <w:r>
              <w:rPr>
                <w:spacing w:val="-5"/>
                <w:sz w:val="14"/>
              </w:rPr>
              <w:t>3.5</w:t>
            </w:r>
          </w:p>
        </w:tc>
      </w:tr>
      <w:tr>
        <w:trPr>
          <w:trHeight w:val="179" w:hRule="atLeast"/>
        </w:trPr>
        <w:tc>
          <w:tcPr>
            <w:tcW w:w="5794" w:type="dxa"/>
          </w:tcPr>
          <w:p>
            <w:pPr>
              <w:pStyle w:val="TableParagraph"/>
              <w:spacing w:line="150" w:lineRule="exact" w:before="10"/>
              <w:ind w:left="107"/>
              <w:rPr>
                <w:sz w:val="14"/>
              </w:rPr>
            </w:pPr>
            <w:r>
              <w:rPr>
                <w:sz w:val="14"/>
              </w:rPr>
              <w:t>Community/Not</w:t>
            </w:r>
            <w:r>
              <w:rPr>
                <w:spacing w:val="-3"/>
                <w:sz w:val="14"/>
              </w:rPr>
              <w:t> </w:t>
            </w:r>
            <w:r>
              <w:rPr>
                <w:sz w:val="14"/>
              </w:rPr>
              <w:t>For</w:t>
            </w:r>
            <w:r>
              <w:rPr>
                <w:spacing w:val="-4"/>
                <w:sz w:val="14"/>
              </w:rPr>
              <w:t> </w:t>
            </w:r>
            <w:r>
              <w:rPr>
                <w:sz w:val="14"/>
              </w:rPr>
              <w:t>Profit</w:t>
            </w:r>
            <w:r>
              <w:rPr>
                <w:spacing w:val="-6"/>
                <w:sz w:val="14"/>
              </w:rPr>
              <w:t> </w:t>
            </w:r>
            <w:r>
              <w:rPr>
                <w:sz w:val="14"/>
              </w:rPr>
              <w:t>Rehearsal</w:t>
            </w:r>
            <w:r>
              <w:rPr>
                <w:spacing w:val="-4"/>
                <w:sz w:val="14"/>
              </w:rPr>
              <w:t> </w:t>
            </w:r>
            <w:r>
              <w:rPr>
                <w:sz w:val="14"/>
              </w:rPr>
              <w:t>Sundays</w:t>
            </w:r>
            <w:r>
              <w:rPr>
                <w:spacing w:val="-1"/>
                <w:sz w:val="14"/>
              </w:rPr>
              <w:t> </w:t>
            </w:r>
            <w:r>
              <w:rPr>
                <w:sz w:val="14"/>
              </w:rPr>
              <w:t>and</w:t>
            </w:r>
            <w:r>
              <w:rPr>
                <w:spacing w:val="-7"/>
                <w:sz w:val="14"/>
              </w:rPr>
              <w:t> </w:t>
            </w:r>
            <w:r>
              <w:rPr>
                <w:sz w:val="14"/>
              </w:rPr>
              <w:t>Public</w:t>
            </w:r>
            <w:r>
              <w:rPr>
                <w:spacing w:val="-4"/>
                <w:sz w:val="14"/>
              </w:rPr>
              <w:t> </w:t>
            </w:r>
            <w:r>
              <w:rPr>
                <w:sz w:val="14"/>
              </w:rPr>
              <w:t>Holidays</w:t>
            </w:r>
            <w:r>
              <w:rPr>
                <w:spacing w:val="-5"/>
                <w:sz w:val="14"/>
              </w:rPr>
              <w:t> </w:t>
            </w:r>
            <w:r>
              <w:rPr>
                <w:sz w:val="14"/>
              </w:rPr>
              <w:t>(per</w:t>
            </w:r>
            <w:r>
              <w:rPr>
                <w:spacing w:val="-5"/>
                <w:sz w:val="14"/>
              </w:rPr>
              <w:t> </w:t>
            </w:r>
            <w:r>
              <w:rPr>
                <w:spacing w:val="-4"/>
                <w:sz w:val="14"/>
              </w:rPr>
              <w:t>hour)</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45" w:right="143"/>
              <w:jc w:val="center"/>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311.00</w:t>
            </w:r>
          </w:p>
        </w:tc>
        <w:tc>
          <w:tcPr>
            <w:tcW w:w="995" w:type="dxa"/>
          </w:tcPr>
          <w:p>
            <w:pPr>
              <w:pStyle w:val="TableParagraph"/>
              <w:spacing w:line="140" w:lineRule="exact" w:before="19"/>
              <w:ind w:right="102"/>
              <w:jc w:val="right"/>
              <w:rPr>
                <w:sz w:val="14"/>
              </w:rPr>
            </w:pPr>
            <w:r>
              <w:rPr>
                <w:spacing w:val="-2"/>
                <w:sz w:val="14"/>
              </w:rPr>
              <w:t>325.00</w:t>
            </w:r>
          </w:p>
        </w:tc>
        <w:tc>
          <w:tcPr>
            <w:tcW w:w="861" w:type="dxa"/>
          </w:tcPr>
          <w:p>
            <w:pPr>
              <w:pStyle w:val="TableParagraph"/>
              <w:spacing w:line="140" w:lineRule="exact" w:before="19"/>
              <w:ind w:left="152" w:right="154"/>
              <w:jc w:val="center"/>
              <w:rPr>
                <w:sz w:val="14"/>
              </w:rPr>
            </w:pPr>
            <w:r>
              <w:rPr>
                <w:spacing w:val="-5"/>
                <w:sz w:val="14"/>
              </w:rPr>
              <w:t>4.3</w:t>
            </w:r>
          </w:p>
        </w:tc>
      </w:tr>
      <w:tr>
        <w:trPr>
          <w:trHeight w:val="177" w:hRule="atLeast"/>
        </w:trPr>
        <w:tc>
          <w:tcPr>
            <w:tcW w:w="5794" w:type="dxa"/>
          </w:tcPr>
          <w:p>
            <w:pPr>
              <w:pStyle w:val="TableParagraph"/>
              <w:spacing w:line="140" w:lineRule="exact" w:before="17"/>
              <w:ind w:left="107"/>
              <w:rPr>
                <w:b/>
                <w:sz w:val="14"/>
              </w:rPr>
            </w:pPr>
            <w:r>
              <w:rPr>
                <w:b/>
                <w:sz w:val="14"/>
              </w:rPr>
              <w:t>Karralyka</w:t>
            </w:r>
            <w:r>
              <w:rPr>
                <w:b/>
                <w:spacing w:val="-7"/>
                <w:sz w:val="14"/>
              </w:rPr>
              <w:t> </w:t>
            </w:r>
            <w:r>
              <w:rPr>
                <w:b/>
                <w:sz w:val="14"/>
              </w:rPr>
              <w:t>Theatre</w:t>
            </w:r>
            <w:r>
              <w:rPr>
                <w:b/>
                <w:spacing w:val="-8"/>
                <w:sz w:val="14"/>
              </w:rPr>
              <w:t> </w:t>
            </w:r>
            <w:r>
              <w:rPr>
                <w:b/>
                <w:spacing w:val="-2"/>
                <w:sz w:val="14"/>
              </w:rPr>
              <w:t>Tickets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645" w:hRule="atLeast"/>
        </w:trPr>
        <w:tc>
          <w:tcPr>
            <w:tcW w:w="5794" w:type="dxa"/>
          </w:tcPr>
          <w:p>
            <w:pPr>
              <w:pStyle w:val="TableParagraph"/>
              <w:spacing w:before="1"/>
              <w:rPr>
                <w:sz w:val="21"/>
              </w:rPr>
            </w:pPr>
          </w:p>
          <w:p>
            <w:pPr>
              <w:pStyle w:val="TableParagraph"/>
              <w:ind w:left="107"/>
              <w:rPr>
                <w:sz w:val="14"/>
              </w:rPr>
            </w:pPr>
            <w:r>
              <w:rPr>
                <w:sz w:val="14"/>
              </w:rPr>
              <w:t>Theatre</w:t>
            </w:r>
            <w:r>
              <w:rPr>
                <w:spacing w:val="-8"/>
                <w:sz w:val="14"/>
              </w:rPr>
              <w:t> </w:t>
            </w:r>
            <w:r>
              <w:rPr>
                <w:spacing w:val="-2"/>
                <w:sz w:val="14"/>
              </w:rPr>
              <w:t>Tickets</w:t>
            </w:r>
          </w:p>
        </w:tc>
        <w:tc>
          <w:tcPr>
            <w:tcW w:w="1131" w:type="dxa"/>
          </w:tcPr>
          <w:p>
            <w:pPr>
              <w:pStyle w:val="TableParagraph"/>
              <w:rPr>
                <w:sz w:val="16"/>
              </w:rPr>
            </w:pPr>
          </w:p>
          <w:p>
            <w:pPr>
              <w:pStyle w:val="TableParagraph"/>
              <w:rPr>
                <w:sz w:val="16"/>
              </w:rPr>
            </w:pPr>
          </w:p>
          <w:p>
            <w:pPr>
              <w:pStyle w:val="TableParagraph"/>
              <w:spacing w:line="140" w:lineRule="exact" w:before="117"/>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spacing w:line="140" w:lineRule="exact" w:before="117"/>
              <w:ind w:left="145" w:right="143"/>
              <w:jc w:val="center"/>
              <w:rPr>
                <w:sz w:val="14"/>
              </w:rPr>
            </w:pPr>
            <w:r>
              <w:rPr>
                <w:spacing w:val="-5"/>
                <w:sz w:val="14"/>
              </w:rPr>
              <w:t>Yes</w:t>
            </w:r>
          </w:p>
        </w:tc>
        <w:tc>
          <w:tcPr>
            <w:tcW w:w="997" w:type="dxa"/>
          </w:tcPr>
          <w:p>
            <w:pPr>
              <w:pStyle w:val="TableParagraph"/>
              <w:spacing w:line="242" w:lineRule="auto"/>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Program</w:t>
            </w:r>
          </w:p>
          <w:p>
            <w:pPr>
              <w:pStyle w:val="TableParagraph"/>
              <w:spacing w:line="137" w:lineRule="exact"/>
              <w:ind w:left="108" w:right="108"/>
              <w:jc w:val="center"/>
              <w:rPr>
                <w:sz w:val="14"/>
              </w:rPr>
            </w:pPr>
            <w:r>
              <w:rPr>
                <w:spacing w:val="-2"/>
                <w:sz w:val="14"/>
              </w:rPr>
              <w:t>costs</w:t>
            </w:r>
          </w:p>
        </w:tc>
        <w:tc>
          <w:tcPr>
            <w:tcW w:w="995" w:type="dxa"/>
          </w:tcPr>
          <w:p>
            <w:pPr>
              <w:pStyle w:val="TableParagraph"/>
              <w:spacing w:line="242" w:lineRule="auto"/>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Program</w:t>
            </w:r>
          </w:p>
          <w:p>
            <w:pPr>
              <w:pStyle w:val="TableParagraph"/>
              <w:spacing w:line="137" w:lineRule="exact"/>
              <w:ind w:left="107" w:right="107"/>
              <w:jc w:val="center"/>
              <w:rPr>
                <w:sz w:val="14"/>
              </w:rPr>
            </w:pPr>
            <w:r>
              <w:rPr>
                <w:spacing w:val="-2"/>
                <w:sz w:val="14"/>
              </w:rPr>
              <w:t>costs</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Karralyka</w:t>
            </w:r>
            <w:r>
              <w:rPr>
                <w:b/>
                <w:spacing w:val="-7"/>
                <w:sz w:val="14"/>
              </w:rPr>
              <w:t> </w:t>
            </w:r>
            <w:r>
              <w:rPr>
                <w:b/>
                <w:sz w:val="14"/>
              </w:rPr>
              <w:t>Theatre</w:t>
            </w:r>
            <w:r>
              <w:rPr>
                <w:b/>
                <w:spacing w:val="-8"/>
                <w:sz w:val="14"/>
              </w:rPr>
              <w:t> </w:t>
            </w:r>
            <w:r>
              <w:rPr>
                <w:b/>
                <w:spacing w:val="-2"/>
                <w:sz w:val="14"/>
              </w:rPr>
              <w:t>Equipment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1" w:hRule="atLeast"/>
        </w:trPr>
        <w:tc>
          <w:tcPr>
            <w:tcW w:w="5794" w:type="dxa"/>
          </w:tcPr>
          <w:p>
            <w:pPr>
              <w:pStyle w:val="TableParagraph"/>
              <w:rPr>
                <w:sz w:val="14"/>
              </w:rPr>
            </w:pPr>
          </w:p>
          <w:p>
            <w:pPr>
              <w:pStyle w:val="TableParagraph"/>
              <w:ind w:left="107"/>
              <w:rPr>
                <w:sz w:val="14"/>
              </w:rPr>
            </w:pPr>
            <w:r>
              <w:rPr>
                <w:sz w:val="14"/>
              </w:rPr>
              <w:t>Theatre</w:t>
            </w:r>
            <w:r>
              <w:rPr>
                <w:spacing w:val="-8"/>
                <w:sz w:val="14"/>
              </w:rPr>
              <w:t> </w:t>
            </w:r>
            <w:r>
              <w:rPr>
                <w:spacing w:val="-2"/>
                <w:sz w:val="14"/>
              </w:rPr>
              <w:t>Equipment</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861" w:type="dxa"/>
          </w:tcPr>
          <w:p>
            <w:pPr>
              <w:pStyle w:val="TableParagraph"/>
              <w:rPr>
                <w:rFonts w:ascii="Times New Roman"/>
                <w:sz w:val="12"/>
              </w:rPr>
            </w:pPr>
          </w:p>
        </w:tc>
      </w:tr>
      <w:tr>
        <w:trPr>
          <w:trHeight w:val="176" w:hRule="atLeast"/>
        </w:trPr>
        <w:tc>
          <w:tcPr>
            <w:tcW w:w="5794" w:type="dxa"/>
          </w:tcPr>
          <w:p>
            <w:pPr>
              <w:pStyle w:val="TableParagraph"/>
              <w:spacing w:line="140" w:lineRule="exact" w:before="16"/>
              <w:ind w:left="107"/>
              <w:rPr>
                <w:b/>
                <w:sz w:val="14"/>
              </w:rPr>
            </w:pPr>
            <w:r>
              <w:rPr>
                <w:b/>
                <w:sz w:val="14"/>
              </w:rPr>
              <w:t>Karralyka</w:t>
            </w:r>
            <w:r>
              <w:rPr>
                <w:b/>
                <w:spacing w:val="-7"/>
                <w:sz w:val="14"/>
              </w:rPr>
              <w:t> </w:t>
            </w:r>
            <w:r>
              <w:rPr>
                <w:b/>
                <w:sz w:val="14"/>
              </w:rPr>
              <w:t>Theatre</w:t>
            </w:r>
            <w:r>
              <w:rPr>
                <w:b/>
                <w:spacing w:val="-4"/>
                <w:sz w:val="14"/>
              </w:rPr>
              <w:t> </w:t>
            </w:r>
            <w:r>
              <w:rPr>
                <w:b/>
                <w:spacing w:val="-2"/>
                <w:sz w:val="14"/>
              </w:rPr>
              <w:t>Labour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1" w:hRule="atLeast"/>
        </w:trPr>
        <w:tc>
          <w:tcPr>
            <w:tcW w:w="5794" w:type="dxa"/>
          </w:tcPr>
          <w:p>
            <w:pPr>
              <w:pStyle w:val="TableParagraph"/>
              <w:rPr>
                <w:sz w:val="14"/>
              </w:rPr>
            </w:pPr>
          </w:p>
          <w:p>
            <w:pPr>
              <w:pStyle w:val="TableParagraph"/>
              <w:ind w:left="107"/>
              <w:rPr>
                <w:sz w:val="14"/>
              </w:rPr>
            </w:pPr>
            <w:r>
              <w:rPr>
                <w:sz w:val="14"/>
              </w:rPr>
              <w:t>Theatre</w:t>
            </w:r>
            <w:r>
              <w:rPr>
                <w:spacing w:val="-8"/>
                <w:sz w:val="14"/>
              </w:rPr>
              <w:t> </w:t>
            </w:r>
            <w:r>
              <w:rPr>
                <w:spacing w:val="-2"/>
                <w:sz w:val="14"/>
              </w:rPr>
              <w:t>labour</w:t>
            </w:r>
          </w:p>
        </w:tc>
        <w:tc>
          <w:tcPr>
            <w:tcW w:w="1131" w:type="dxa"/>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38"/>
              <w:ind w:left="145" w:right="143"/>
              <w:jc w:val="center"/>
              <w:rPr>
                <w:sz w:val="14"/>
              </w:rPr>
            </w:pPr>
            <w:r>
              <w:rPr>
                <w:spacing w:val="-5"/>
                <w:sz w:val="14"/>
              </w:rPr>
              <w:t>Yes</w:t>
            </w:r>
          </w:p>
        </w:tc>
        <w:tc>
          <w:tcPr>
            <w:tcW w:w="997" w:type="dxa"/>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995" w:type="dxa"/>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861" w:type="dxa"/>
          </w:tcPr>
          <w:p>
            <w:pPr>
              <w:pStyle w:val="TableParagraph"/>
              <w:rPr>
                <w:rFonts w:ascii="Times New Roman"/>
                <w:sz w:val="12"/>
              </w:rPr>
            </w:pPr>
          </w:p>
        </w:tc>
      </w:tr>
      <w:tr>
        <w:trPr>
          <w:trHeight w:val="176" w:hRule="atLeast"/>
        </w:trPr>
        <w:tc>
          <w:tcPr>
            <w:tcW w:w="5794" w:type="dxa"/>
          </w:tcPr>
          <w:p>
            <w:pPr>
              <w:pStyle w:val="TableParagraph"/>
              <w:spacing w:line="140" w:lineRule="exact" w:before="16"/>
              <w:ind w:left="107"/>
              <w:rPr>
                <w:b/>
                <w:sz w:val="14"/>
              </w:rPr>
            </w:pPr>
            <w:r>
              <w:rPr>
                <w:b/>
                <w:w w:val="95"/>
                <w:sz w:val="14"/>
              </w:rPr>
              <w:t>Karralyka</w:t>
            </w:r>
            <w:r>
              <w:rPr>
                <w:b/>
                <w:spacing w:val="54"/>
                <w:sz w:val="14"/>
              </w:rPr>
              <w:t> </w:t>
            </w:r>
            <w:r>
              <w:rPr>
                <w:b/>
                <w:w w:val="95"/>
                <w:sz w:val="14"/>
              </w:rPr>
              <w:t>Functions-</w:t>
            </w:r>
            <w:r>
              <w:rPr>
                <w:b/>
                <w:spacing w:val="-2"/>
                <w:w w:val="95"/>
                <w:sz w:val="14"/>
              </w:rPr>
              <w:t>Other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Commercial</w:t>
            </w:r>
            <w:r>
              <w:rPr>
                <w:spacing w:val="-1"/>
                <w:sz w:val="14"/>
              </w:rPr>
              <w:t> </w:t>
            </w:r>
            <w:r>
              <w:rPr>
                <w:sz w:val="14"/>
              </w:rPr>
              <w:t>Room</w:t>
            </w:r>
            <w:r>
              <w:rPr>
                <w:spacing w:val="-3"/>
                <w:sz w:val="14"/>
              </w:rPr>
              <w:t> </w:t>
            </w:r>
            <w:r>
              <w:rPr>
                <w:sz w:val="14"/>
              </w:rPr>
              <w:t>Hire</w:t>
            </w:r>
            <w:r>
              <w:rPr>
                <w:spacing w:val="-3"/>
                <w:sz w:val="14"/>
              </w:rPr>
              <w:t> </w:t>
            </w:r>
            <w:r>
              <w:rPr>
                <w:sz w:val="14"/>
              </w:rPr>
              <w:t>-</w:t>
            </w:r>
            <w:r>
              <w:rPr>
                <w:spacing w:val="-2"/>
                <w:sz w:val="14"/>
              </w:rPr>
              <w:t> </w:t>
            </w:r>
            <w:r>
              <w:rPr>
                <w:sz w:val="14"/>
              </w:rPr>
              <w:t>Full</w:t>
            </w:r>
            <w:r>
              <w:rPr>
                <w:spacing w:val="-4"/>
                <w:sz w:val="14"/>
              </w:rPr>
              <w:t> </w:t>
            </w:r>
            <w:r>
              <w:rPr>
                <w:sz w:val="14"/>
              </w:rPr>
              <w:t>Day</w:t>
            </w:r>
            <w:r>
              <w:rPr>
                <w:spacing w:val="-1"/>
                <w:sz w:val="14"/>
              </w:rPr>
              <w:t> </w:t>
            </w:r>
            <w:r>
              <w:rPr>
                <w:sz w:val="14"/>
              </w:rPr>
              <w:t>(8</w:t>
            </w:r>
            <w:r>
              <w:rPr>
                <w:spacing w:val="-2"/>
                <w:sz w:val="14"/>
              </w:rPr>
              <w:t> </w:t>
            </w:r>
            <w:r>
              <w:rPr>
                <w:sz w:val="14"/>
              </w:rPr>
              <w:t>hours)</w:t>
            </w:r>
            <w:r>
              <w:rPr>
                <w:spacing w:val="-2"/>
                <w:sz w:val="14"/>
              </w:rPr>
              <w:t> </w:t>
            </w:r>
            <w:r>
              <w:rPr>
                <w:sz w:val="14"/>
              </w:rPr>
              <w:t>-</w:t>
            </w:r>
            <w:r>
              <w:rPr>
                <w:spacing w:val="-4"/>
                <w:sz w:val="14"/>
              </w:rPr>
              <w:t> </w:t>
            </w:r>
            <w:r>
              <w:rPr>
                <w:sz w:val="14"/>
              </w:rPr>
              <w:t>Banquet</w:t>
            </w:r>
            <w:r>
              <w:rPr>
                <w:spacing w:val="-4"/>
                <w:sz w:val="14"/>
              </w:rPr>
              <w:t> </w:t>
            </w:r>
            <w:r>
              <w:rPr>
                <w:sz w:val="14"/>
              </w:rPr>
              <w:t>Room</w:t>
            </w:r>
            <w:r>
              <w:rPr>
                <w:spacing w:val="-2"/>
                <w:sz w:val="14"/>
              </w:rPr>
              <w:t> </w:t>
            </w:r>
            <w:r>
              <w:rPr>
                <w:sz w:val="14"/>
              </w:rPr>
              <w:t>(all</w:t>
            </w:r>
            <w:r>
              <w:rPr>
                <w:spacing w:val="-4"/>
                <w:sz w:val="14"/>
              </w:rPr>
              <w:t> </w:t>
            </w:r>
            <w:r>
              <w:rPr>
                <w:sz w:val="14"/>
              </w:rPr>
              <w:t>3</w:t>
            </w:r>
            <w:r>
              <w:rPr>
                <w:spacing w:val="-1"/>
                <w:sz w:val="14"/>
              </w:rPr>
              <w:t> </w:t>
            </w:r>
            <w:r>
              <w:rPr>
                <w:spacing w:val="-2"/>
                <w:sz w:val="14"/>
              </w:rPr>
              <w:t>rooms)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2,900.00</w:t>
            </w:r>
          </w:p>
        </w:tc>
        <w:tc>
          <w:tcPr>
            <w:tcW w:w="995" w:type="dxa"/>
          </w:tcPr>
          <w:p>
            <w:pPr>
              <w:pStyle w:val="TableParagraph"/>
              <w:spacing w:line="140" w:lineRule="exact" w:before="17"/>
              <w:ind w:right="101"/>
              <w:jc w:val="right"/>
              <w:rPr>
                <w:sz w:val="14"/>
              </w:rPr>
            </w:pPr>
            <w:r>
              <w:rPr>
                <w:spacing w:val="-2"/>
                <w:sz w:val="14"/>
              </w:rPr>
              <w:t>3,190.00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Room</w:t>
            </w:r>
            <w:r>
              <w:rPr>
                <w:spacing w:val="-3"/>
                <w:sz w:val="14"/>
              </w:rPr>
              <w:t> </w:t>
            </w:r>
            <w:r>
              <w:rPr>
                <w:sz w:val="14"/>
              </w:rPr>
              <w:t>Hire</w:t>
            </w:r>
            <w:r>
              <w:rPr>
                <w:spacing w:val="-3"/>
                <w:sz w:val="14"/>
              </w:rPr>
              <w:t> </w:t>
            </w:r>
            <w:r>
              <w:rPr>
                <w:sz w:val="14"/>
              </w:rPr>
              <w:t>-</w:t>
            </w:r>
            <w:r>
              <w:rPr>
                <w:spacing w:val="-2"/>
                <w:sz w:val="14"/>
              </w:rPr>
              <w:t> </w:t>
            </w:r>
            <w:r>
              <w:rPr>
                <w:sz w:val="14"/>
              </w:rPr>
              <w:t>Full</w:t>
            </w:r>
            <w:r>
              <w:rPr>
                <w:spacing w:val="-4"/>
                <w:sz w:val="14"/>
              </w:rPr>
              <w:t> </w:t>
            </w:r>
            <w:r>
              <w:rPr>
                <w:sz w:val="14"/>
              </w:rPr>
              <w:t>Day</w:t>
            </w:r>
            <w:r>
              <w:rPr>
                <w:spacing w:val="-2"/>
                <w:sz w:val="14"/>
              </w:rPr>
              <w:t> </w:t>
            </w:r>
            <w:r>
              <w:rPr>
                <w:sz w:val="14"/>
              </w:rPr>
              <w:t>(8</w:t>
            </w:r>
            <w:r>
              <w:rPr>
                <w:spacing w:val="-2"/>
                <w:sz w:val="14"/>
              </w:rPr>
              <w:t> </w:t>
            </w:r>
            <w:r>
              <w:rPr>
                <w:sz w:val="14"/>
              </w:rPr>
              <w:t>hours)</w:t>
            </w:r>
            <w:r>
              <w:rPr>
                <w:spacing w:val="33"/>
                <w:sz w:val="14"/>
              </w:rPr>
              <w:t> </w:t>
            </w:r>
            <w:r>
              <w:rPr>
                <w:sz w:val="14"/>
              </w:rPr>
              <w:t>-</w:t>
            </w:r>
            <w:r>
              <w:rPr>
                <w:spacing w:val="-2"/>
                <w:sz w:val="14"/>
              </w:rPr>
              <w:t> </w:t>
            </w:r>
            <w:r>
              <w:rPr>
                <w:sz w:val="14"/>
              </w:rPr>
              <w:t>Maroondah</w:t>
            </w:r>
            <w:r>
              <w:rPr>
                <w:spacing w:val="-5"/>
                <w:sz w:val="14"/>
              </w:rPr>
              <w:t> </w:t>
            </w:r>
            <w:r>
              <w:rPr>
                <w:spacing w:val="-4"/>
                <w:sz w:val="14"/>
              </w:rPr>
              <w:t>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1,500.00</w:t>
            </w:r>
          </w:p>
        </w:tc>
        <w:tc>
          <w:tcPr>
            <w:tcW w:w="995" w:type="dxa"/>
          </w:tcPr>
          <w:p>
            <w:pPr>
              <w:pStyle w:val="TableParagraph"/>
              <w:spacing w:line="140" w:lineRule="exact" w:before="17"/>
              <w:ind w:right="101"/>
              <w:jc w:val="right"/>
              <w:rPr>
                <w:sz w:val="14"/>
              </w:rPr>
            </w:pPr>
            <w:r>
              <w:rPr>
                <w:spacing w:val="-2"/>
                <w:sz w:val="14"/>
              </w:rPr>
              <w:t>1,650.00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Room</w:t>
            </w:r>
            <w:r>
              <w:rPr>
                <w:spacing w:val="-3"/>
                <w:sz w:val="14"/>
              </w:rPr>
              <w:t> </w:t>
            </w:r>
            <w:r>
              <w:rPr>
                <w:sz w:val="14"/>
              </w:rPr>
              <w:t>Hire</w:t>
            </w:r>
            <w:r>
              <w:rPr>
                <w:spacing w:val="-4"/>
                <w:sz w:val="14"/>
              </w:rPr>
              <w:t> </w:t>
            </w:r>
            <w:r>
              <w:rPr>
                <w:sz w:val="14"/>
              </w:rPr>
              <w:t>-</w:t>
            </w:r>
            <w:r>
              <w:rPr>
                <w:spacing w:val="-2"/>
                <w:sz w:val="14"/>
              </w:rPr>
              <w:t> </w:t>
            </w:r>
            <w:r>
              <w:rPr>
                <w:sz w:val="14"/>
              </w:rPr>
              <w:t>Full</w:t>
            </w:r>
            <w:r>
              <w:rPr>
                <w:spacing w:val="-5"/>
                <w:sz w:val="14"/>
              </w:rPr>
              <w:t> </w:t>
            </w:r>
            <w:r>
              <w:rPr>
                <w:sz w:val="14"/>
              </w:rPr>
              <w:t>Day</w:t>
            </w:r>
            <w:r>
              <w:rPr>
                <w:spacing w:val="-1"/>
                <w:sz w:val="14"/>
              </w:rPr>
              <w:t> </w:t>
            </w:r>
            <w:r>
              <w:rPr>
                <w:sz w:val="14"/>
              </w:rPr>
              <w:t>(8</w:t>
            </w:r>
            <w:r>
              <w:rPr>
                <w:spacing w:val="-3"/>
                <w:sz w:val="14"/>
              </w:rPr>
              <w:t> </w:t>
            </w:r>
            <w:r>
              <w:rPr>
                <w:sz w:val="14"/>
              </w:rPr>
              <w:t>hours)</w:t>
            </w:r>
            <w:r>
              <w:rPr>
                <w:spacing w:val="-2"/>
                <w:sz w:val="14"/>
              </w:rPr>
              <w:t> </w:t>
            </w:r>
            <w:r>
              <w:rPr>
                <w:sz w:val="14"/>
              </w:rPr>
              <w:t>-</w:t>
            </w:r>
            <w:r>
              <w:rPr>
                <w:spacing w:val="-3"/>
                <w:sz w:val="14"/>
              </w:rPr>
              <w:t> </w:t>
            </w:r>
            <w:r>
              <w:rPr>
                <w:sz w:val="14"/>
              </w:rPr>
              <w:t>Maroondah</w:t>
            </w:r>
            <w:r>
              <w:rPr>
                <w:spacing w:val="-2"/>
                <w:sz w:val="14"/>
              </w:rPr>
              <w:t> </w:t>
            </w:r>
            <w:r>
              <w:rPr>
                <w:sz w:val="14"/>
              </w:rPr>
              <w:t>&amp;</w:t>
            </w:r>
            <w:r>
              <w:rPr>
                <w:spacing w:val="-4"/>
                <w:sz w:val="14"/>
              </w:rPr>
              <w:t> </w:t>
            </w:r>
            <w:r>
              <w:rPr>
                <w:sz w:val="14"/>
              </w:rPr>
              <w:t>Mullum</w:t>
            </w:r>
            <w:r>
              <w:rPr>
                <w:spacing w:val="-4"/>
                <w:sz w:val="14"/>
              </w:rPr>
              <w:t> Rooms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2,000.00</w:t>
            </w:r>
          </w:p>
        </w:tc>
        <w:tc>
          <w:tcPr>
            <w:tcW w:w="995" w:type="dxa"/>
          </w:tcPr>
          <w:p>
            <w:pPr>
              <w:pStyle w:val="TableParagraph"/>
              <w:spacing w:line="140" w:lineRule="exact" w:before="17"/>
              <w:ind w:right="101"/>
              <w:jc w:val="right"/>
              <w:rPr>
                <w:sz w:val="14"/>
              </w:rPr>
            </w:pPr>
            <w:r>
              <w:rPr>
                <w:spacing w:val="-2"/>
                <w:sz w:val="14"/>
              </w:rPr>
              <w:t>2,200.00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Room</w:t>
            </w:r>
            <w:r>
              <w:rPr>
                <w:spacing w:val="-4"/>
                <w:sz w:val="14"/>
              </w:rPr>
              <w:t> </w:t>
            </w:r>
            <w:r>
              <w:rPr>
                <w:sz w:val="14"/>
              </w:rPr>
              <w:t>Hire</w:t>
            </w:r>
            <w:r>
              <w:rPr>
                <w:spacing w:val="-3"/>
                <w:sz w:val="14"/>
              </w:rPr>
              <w:t> </w:t>
            </w:r>
            <w:r>
              <w:rPr>
                <w:sz w:val="14"/>
              </w:rPr>
              <w:t>-</w:t>
            </w:r>
            <w:r>
              <w:rPr>
                <w:spacing w:val="-3"/>
                <w:sz w:val="14"/>
              </w:rPr>
              <w:t> </w:t>
            </w:r>
            <w:r>
              <w:rPr>
                <w:sz w:val="14"/>
              </w:rPr>
              <w:t>Full</w:t>
            </w:r>
            <w:r>
              <w:rPr>
                <w:spacing w:val="-4"/>
                <w:sz w:val="14"/>
              </w:rPr>
              <w:t> </w:t>
            </w:r>
            <w:r>
              <w:rPr>
                <w:sz w:val="14"/>
              </w:rPr>
              <w:t>Day</w:t>
            </w:r>
            <w:r>
              <w:rPr>
                <w:spacing w:val="-2"/>
                <w:sz w:val="14"/>
              </w:rPr>
              <w:t> </w:t>
            </w:r>
            <w:r>
              <w:rPr>
                <w:sz w:val="14"/>
              </w:rPr>
              <w:t>(8</w:t>
            </w:r>
            <w:r>
              <w:rPr>
                <w:spacing w:val="-2"/>
                <w:sz w:val="14"/>
              </w:rPr>
              <w:t> </w:t>
            </w:r>
            <w:r>
              <w:rPr>
                <w:sz w:val="14"/>
              </w:rPr>
              <w:t>hours)</w:t>
            </w:r>
            <w:r>
              <w:rPr>
                <w:spacing w:val="-3"/>
                <w:sz w:val="14"/>
              </w:rPr>
              <w:t> </w:t>
            </w:r>
            <w:r>
              <w:rPr>
                <w:sz w:val="14"/>
              </w:rPr>
              <w:t>-</w:t>
            </w:r>
            <w:r>
              <w:rPr>
                <w:spacing w:val="-2"/>
                <w:sz w:val="14"/>
              </w:rPr>
              <w:t> </w:t>
            </w:r>
            <w:r>
              <w:rPr>
                <w:sz w:val="14"/>
              </w:rPr>
              <w:t>Mt.</w:t>
            </w:r>
            <w:r>
              <w:rPr>
                <w:spacing w:val="-3"/>
                <w:sz w:val="14"/>
              </w:rPr>
              <w:t> </w:t>
            </w:r>
            <w:r>
              <w:rPr>
                <w:sz w:val="14"/>
              </w:rPr>
              <w:t>Dandenong</w:t>
            </w:r>
            <w:r>
              <w:rPr>
                <w:spacing w:val="-1"/>
                <w:sz w:val="14"/>
              </w:rPr>
              <w:t> </w:t>
            </w:r>
            <w:r>
              <w:rPr>
                <w:spacing w:val="-4"/>
                <w:sz w:val="14"/>
              </w:rPr>
              <w:t>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1,100.00</w:t>
            </w:r>
          </w:p>
        </w:tc>
        <w:tc>
          <w:tcPr>
            <w:tcW w:w="995" w:type="dxa"/>
          </w:tcPr>
          <w:p>
            <w:pPr>
              <w:pStyle w:val="TableParagraph"/>
              <w:spacing w:line="140" w:lineRule="exact" w:before="17"/>
              <w:ind w:right="101"/>
              <w:jc w:val="right"/>
              <w:rPr>
                <w:sz w:val="14"/>
              </w:rPr>
            </w:pPr>
            <w:r>
              <w:rPr>
                <w:spacing w:val="-2"/>
                <w:sz w:val="14"/>
              </w:rPr>
              <w:t>1,210.00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Room</w:t>
            </w:r>
            <w:r>
              <w:rPr>
                <w:spacing w:val="-3"/>
                <w:sz w:val="14"/>
              </w:rPr>
              <w:t> </w:t>
            </w:r>
            <w:r>
              <w:rPr>
                <w:sz w:val="14"/>
              </w:rPr>
              <w:t>Hire</w:t>
            </w:r>
            <w:r>
              <w:rPr>
                <w:spacing w:val="-3"/>
                <w:sz w:val="14"/>
              </w:rPr>
              <w:t> </w:t>
            </w:r>
            <w:r>
              <w:rPr>
                <w:sz w:val="14"/>
              </w:rPr>
              <w:t>-</w:t>
            </w:r>
            <w:r>
              <w:rPr>
                <w:spacing w:val="-3"/>
                <w:sz w:val="14"/>
              </w:rPr>
              <w:t> </w:t>
            </w:r>
            <w:r>
              <w:rPr>
                <w:sz w:val="14"/>
              </w:rPr>
              <w:t>Full</w:t>
            </w:r>
            <w:r>
              <w:rPr>
                <w:spacing w:val="-4"/>
                <w:sz w:val="14"/>
              </w:rPr>
              <w:t> </w:t>
            </w:r>
            <w:r>
              <w:rPr>
                <w:sz w:val="14"/>
              </w:rPr>
              <w:t>Day</w:t>
            </w:r>
            <w:r>
              <w:rPr>
                <w:spacing w:val="-1"/>
                <w:sz w:val="14"/>
              </w:rPr>
              <w:t> </w:t>
            </w:r>
            <w:r>
              <w:rPr>
                <w:sz w:val="14"/>
              </w:rPr>
              <w:t>(8</w:t>
            </w:r>
            <w:r>
              <w:rPr>
                <w:spacing w:val="-3"/>
                <w:sz w:val="14"/>
              </w:rPr>
              <w:t> </w:t>
            </w:r>
            <w:r>
              <w:rPr>
                <w:sz w:val="14"/>
              </w:rPr>
              <w:t>hours)</w:t>
            </w:r>
            <w:r>
              <w:rPr>
                <w:spacing w:val="-2"/>
                <w:sz w:val="14"/>
              </w:rPr>
              <w:t> </w:t>
            </w:r>
            <w:r>
              <w:rPr>
                <w:sz w:val="14"/>
              </w:rPr>
              <w:t>-</w:t>
            </w:r>
            <w:r>
              <w:rPr>
                <w:spacing w:val="-2"/>
                <w:sz w:val="14"/>
              </w:rPr>
              <w:t> </w:t>
            </w:r>
            <w:r>
              <w:rPr>
                <w:sz w:val="14"/>
              </w:rPr>
              <w:t>Mullum</w:t>
            </w:r>
            <w:r>
              <w:rPr>
                <w:spacing w:val="-3"/>
                <w:sz w:val="14"/>
              </w:rPr>
              <w:t> </w:t>
            </w:r>
            <w:r>
              <w:rPr>
                <w:spacing w:val="-4"/>
                <w:sz w:val="14"/>
              </w:rPr>
              <w:t>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1,100.00</w:t>
            </w:r>
          </w:p>
        </w:tc>
        <w:tc>
          <w:tcPr>
            <w:tcW w:w="995" w:type="dxa"/>
          </w:tcPr>
          <w:p>
            <w:pPr>
              <w:pStyle w:val="TableParagraph"/>
              <w:spacing w:line="140" w:lineRule="exact" w:before="17"/>
              <w:ind w:right="101"/>
              <w:jc w:val="right"/>
              <w:rPr>
                <w:sz w:val="14"/>
              </w:rPr>
            </w:pPr>
            <w:r>
              <w:rPr>
                <w:spacing w:val="-2"/>
                <w:sz w:val="14"/>
              </w:rPr>
              <w:t>1,210.00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Room</w:t>
            </w:r>
            <w:r>
              <w:rPr>
                <w:spacing w:val="-3"/>
                <w:sz w:val="14"/>
              </w:rPr>
              <w:t> </w:t>
            </w:r>
            <w:r>
              <w:rPr>
                <w:sz w:val="14"/>
              </w:rPr>
              <w:t>Hire</w:t>
            </w:r>
            <w:r>
              <w:rPr>
                <w:spacing w:val="-3"/>
                <w:sz w:val="14"/>
              </w:rPr>
              <w:t> </w:t>
            </w:r>
            <w:r>
              <w:rPr>
                <w:sz w:val="14"/>
              </w:rPr>
              <w:t>-</w:t>
            </w:r>
            <w:r>
              <w:rPr>
                <w:spacing w:val="-2"/>
                <w:sz w:val="14"/>
              </w:rPr>
              <w:t> </w:t>
            </w:r>
            <w:r>
              <w:rPr>
                <w:sz w:val="14"/>
              </w:rPr>
              <w:t>Full</w:t>
            </w:r>
            <w:r>
              <w:rPr>
                <w:spacing w:val="-5"/>
                <w:sz w:val="14"/>
              </w:rPr>
              <w:t> </w:t>
            </w:r>
            <w:r>
              <w:rPr>
                <w:sz w:val="14"/>
              </w:rPr>
              <w:t>Day</w:t>
            </w:r>
            <w:r>
              <w:rPr>
                <w:spacing w:val="-1"/>
                <w:sz w:val="14"/>
              </w:rPr>
              <w:t> </w:t>
            </w:r>
            <w:r>
              <w:rPr>
                <w:sz w:val="14"/>
              </w:rPr>
              <w:t>(8</w:t>
            </w:r>
            <w:r>
              <w:rPr>
                <w:spacing w:val="-2"/>
                <w:sz w:val="14"/>
              </w:rPr>
              <w:t> </w:t>
            </w:r>
            <w:r>
              <w:rPr>
                <w:sz w:val="14"/>
              </w:rPr>
              <w:t>hours)</w:t>
            </w:r>
            <w:r>
              <w:rPr>
                <w:spacing w:val="-2"/>
                <w:sz w:val="14"/>
              </w:rPr>
              <w:t> </w:t>
            </w:r>
            <w:r>
              <w:rPr>
                <w:sz w:val="14"/>
              </w:rPr>
              <w:t>-</w:t>
            </w:r>
            <w:r>
              <w:rPr>
                <w:spacing w:val="-3"/>
                <w:sz w:val="14"/>
              </w:rPr>
              <w:t> </w:t>
            </w:r>
            <w:r>
              <w:rPr>
                <w:sz w:val="14"/>
              </w:rPr>
              <w:t>Mt</w:t>
            </w:r>
            <w:r>
              <w:rPr>
                <w:spacing w:val="-5"/>
                <w:sz w:val="14"/>
              </w:rPr>
              <w:t> </w:t>
            </w:r>
            <w:r>
              <w:rPr>
                <w:sz w:val="14"/>
              </w:rPr>
              <w:t>Dandenong</w:t>
            </w:r>
            <w:r>
              <w:rPr>
                <w:spacing w:val="-5"/>
                <w:sz w:val="14"/>
              </w:rPr>
              <w:t> </w:t>
            </w:r>
            <w:r>
              <w:rPr>
                <w:sz w:val="14"/>
              </w:rPr>
              <w:t>&amp; Mullum</w:t>
            </w:r>
            <w:r>
              <w:rPr>
                <w:spacing w:val="-2"/>
                <w:sz w:val="14"/>
              </w:rPr>
              <w:t> Rooms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1,500.00</w:t>
            </w:r>
          </w:p>
        </w:tc>
        <w:tc>
          <w:tcPr>
            <w:tcW w:w="995" w:type="dxa"/>
          </w:tcPr>
          <w:p>
            <w:pPr>
              <w:pStyle w:val="TableParagraph"/>
              <w:spacing w:line="140" w:lineRule="exact" w:before="17"/>
              <w:ind w:right="101"/>
              <w:jc w:val="right"/>
              <w:rPr>
                <w:sz w:val="14"/>
              </w:rPr>
            </w:pPr>
            <w:r>
              <w:rPr>
                <w:spacing w:val="-2"/>
                <w:sz w:val="14"/>
              </w:rPr>
              <w:t>1,650.00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1"/>
                <w:sz w:val="14"/>
              </w:rPr>
              <w:t> </w:t>
            </w:r>
            <w:r>
              <w:rPr>
                <w:sz w:val="14"/>
              </w:rPr>
              <w:t>Room</w:t>
            </w:r>
            <w:r>
              <w:rPr>
                <w:spacing w:val="-2"/>
                <w:sz w:val="14"/>
              </w:rPr>
              <w:t> </w:t>
            </w:r>
            <w:r>
              <w:rPr>
                <w:sz w:val="14"/>
              </w:rPr>
              <w:t>Hire</w:t>
            </w:r>
            <w:r>
              <w:rPr>
                <w:spacing w:val="-3"/>
                <w:sz w:val="14"/>
              </w:rPr>
              <w:t> </w:t>
            </w:r>
            <w:r>
              <w:rPr>
                <w:sz w:val="14"/>
              </w:rPr>
              <w:t>-</w:t>
            </w:r>
            <w:r>
              <w:rPr>
                <w:spacing w:val="-4"/>
                <w:sz w:val="14"/>
              </w:rPr>
              <w:t> </w:t>
            </w:r>
            <w:r>
              <w:rPr>
                <w:sz w:val="14"/>
              </w:rPr>
              <w:t>Half</w:t>
            </w:r>
            <w:r>
              <w:rPr>
                <w:spacing w:val="-5"/>
                <w:sz w:val="14"/>
              </w:rPr>
              <w:t> </w:t>
            </w:r>
            <w:r>
              <w:rPr>
                <w:sz w:val="14"/>
              </w:rPr>
              <w:t>Day</w:t>
            </w:r>
            <w:r>
              <w:rPr>
                <w:spacing w:val="-3"/>
                <w:sz w:val="14"/>
              </w:rPr>
              <w:t> </w:t>
            </w:r>
            <w:r>
              <w:rPr>
                <w:sz w:val="14"/>
              </w:rPr>
              <w:t>(5</w:t>
            </w:r>
            <w:r>
              <w:rPr>
                <w:spacing w:val="-4"/>
                <w:sz w:val="14"/>
              </w:rPr>
              <w:t> </w:t>
            </w:r>
            <w:r>
              <w:rPr>
                <w:sz w:val="14"/>
              </w:rPr>
              <w:t>hours)</w:t>
            </w:r>
            <w:r>
              <w:rPr>
                <w:spacing w:val="-2"/>
                <w:sz w:val="14"/>
              </w:rPr>
              <w:t> </w:t>
            </w:r>
            <w:r>
              <w:rPr>
                <w:sz w:val="14"/>
              </w:rPr>
              <w:t>-</w:t>
            </w:r>
            <w:r>
              <w:rPr>
                <w:spacing w:val="-4"/>
                <w:sz w:val="14"/>
              </w:rPr>
              <w:t> </w:t>
            </w:r>
            <w:r>
              <w:rPr>
                <w:sz w:val="14"/>
              </w:rPr>
              <w:t>Banquet</w:t>
            </w:r>
            <w:r>
              <w:rPr>
                <w:spacing w:val="-3"/>
                <w:sz w:val="14"/>
              </w:rPr>
              <w:t> </w:t>
            </w:r>
            <w:r>
              <w:rPr>
                <w:sz w:val="14"/>
              </w:rPr>
              <w:t>Room (all</w:t>
            </w:r>
            <w:r>
              <w:rPr>
                <w:spacing w:val="-2"/>
                <w:sz w:val="14"/>
              </w:rPr>
              <w:t> </w:t>
            </w:r>
            <w:r>
              <w:rPr>
                <w:sz w:val="14"/>
              </w:rPr>
              <w:t>3</w:t>
            </w:r>
            <w:r>
              <w:rPr>
                <w:spacing w:val="-3"/>
                <w:sz w:val="14"/>
              </w:rPr>
              <w:t> </w:t>
            </w:r>
            <w:r>
              <w:rPr>
                <w:spacing w:val="-2"/>
                <w:sz w:val="14"/>
              </w:rPr>
              <w:t>rooms)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2,100.00</w:t>
            </w:r>
          </w:p>
        </w:tc>
        <w:tc>
          <w:tcPr>
            <w:tcW w:w="995" w:type="dxa"/>
          </w:tcPr>
          <w:p>
            <w:pPr>
              <w:pStyle w:val="TableParagraph"/>
              <w:spacing w:line="140" w:lineRule="exact" w:before="17"/>
              <w:ind w:right="101"/>
              <w:jc w:val="right"/>
              <w:rPr>
                <w:sz w:val="14"/>
              </w:rPr>
            </w:pPr>
            <w:r>
              <w:rPr>
                <w:spacing w:val="-2"/>
                <w:sz w:val="14"/>
              </w:rPr>
              <w:t>2,310.00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1"/>
                <w:sz w:val="14"/>
              </w:rPr>
              <w:t> </w:t>
            </w:r>
            <w:r>
              <w:rPr>
                <w:sz w:val="14"/>
              </w:rPr>
              <w:t>Room</w:t>
            </w:r>
            <w:r>
              <w:rPr>
                <w:spacing w:val="-3"/>
                <w:sz w:val="14"/>
              </w:rPr>
              <w:t> </w:t>
            </w:r>
            <w:r>
              <w:rPr>
                <w:sz w:val="14"/>
              </w:rPr>
              <w:t>Hire</w:t>
            </w:r>
            <w:r>
              <w:rPr>
                <w:spacing w:val="-2"/>
                <w:sz w:val="14"/>
              </w:rPr>
              <w:t> </w:t>
            </w:r>
            <w:r>
              <w:rPr>
                <w:sz w:val="14"/>
              </w:rPr>
              <w:t>-</w:t>
            </w:r>
            <w:r>
              <w:rPr>
                <w:spacing w:val="-4"/>
                <w:sz w:val="14"/>
              </w:rPr>
              <w:t> </w:t>
            </w:r>
            <w:r>
              <w:rPr>
                <w:sz w:val="14"/>
              </w:rPr>
              <w:t>Half</w:t>
            </w:r>
            <w:r>
              <w:rPr>
                <w:spacing w:val="-5"/>
                <w:sz w:val="14"/>
              </w:rPr>
              <w:t> </w:t>
            </w:r>
            <w:r>
              <w:rPr>
                <w:sz w:val="14"/>
              </w:rPr>
              <w:t>Day</w:t>
            </w:r>
            <w:r>
              <w:rPr>
                <w:spacing w:val="-3"/>
                <w:sz w:val="14"/>
              </w:rPr>
              <w:t> </w:t>
            </w:r>
            <w:r>
              <w:rPr>
                <w:sz w:val="14"/>
              </w:rPr>
              <w:t>(5</w:t>
            </w:r>
            <w:r>
              <w:rPr>
                <w:spacing w:val="-5"/>
                <w:sz w:val="14"/>
              </w:rPr>
              <w:t> </w:t>
            </w:r>
            <w:r>
              <w:rPr>
                <w:sz w:val="14"/>
              </w:rPr>
              <w:t>hours)</w:t>
            </w:r>
            <w:r>
              <w:rPr>
                <w:spacing w:val="-2"/>
                <w:sz w:val="14"/>
              </w:rPr>
              <w:t> </w:t>
            </w:r>
            <w:r>
              <w:rPr>
                <w:sz w:val="14"/>
              </w:rPr>
              <w:t>-</w:t>
            </w:r>
            <w:r>
              <w:rPr>
                <w:spacing w:val="-4"/>
                <w:sz w:val="14"/>
              </w:rPr>
              <w:t> </w:t>
            </w:r>
            <w:r>
              <w:rPr>
                <w:sz w:val="14"/>
              </w:rPr>
              <w:t>Maroondah</w:t>
            </w:r>
            <w:r>
              <w:rPr>
                <w:spacing w:val="-4"/>
                <w:sz w:val="14"/>
              </w:rPr>
              <w:t> 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1,300.00</w:t>
            </w:r>
          </w:p>
        </w:tc>
        <w:tc>
          <w:tcPr>
            <w:tcW w:w="995" w:type="dxa"/>
          </w:tcPr>
          <w:p>
            <w:pPr>
              <w:pStyle w:val="TableParagraph"/>
              <w:spacing w:line="140" w:lineRule="exact" w:before="17"/>
              <w:ind w:right="101"/>
              <w:jc w:val="right"/>
              <w:rPr>
                <w:sz w:val="14"/>
              </w:rPr>
            </w:pPr>
            <w:r>
              <w:rPr>
                <w:spacing w:val="-2"/>
                <w:sz w:val="14"/>
              </w:rPr>
              <w:t>1,430.00</w:t>
            </w:r>
          </w:p>
        </w:tc>
        <w:tc>
          <w:tcPr>
            <w:tcW w:w="861" w:type="dxa"/>
          </w:tcPr>
          <w:p>
            <w:pPr>
              <w:pStyle w:val="TableParagraph"/>
              <w:spacing w:line="140" w:lineRule="exact" w:before="17"/>
              <w:ind w:left="152" w:right="154"/>
              <w:jc w:val="center"/>
              <w:rPr>
                <w:sz w:val="14"/>
              </w:rPr>
            </w:pPr>
            <w:r>
              <w:rPr>
                <w:spacing w:val="-5"/>
                <w:sz w:val="14"/>
              </w:rPr>
              <w:t>9.1</w:t>
            </w:r>
          </w:p>
        </w:tc>
      </w:tr>
    </w:tbl>
    <w:p>
      <w:pPr>
        <w:spacing w:after="0" w:line="140" w:lineRule="exact"/>
        <w:jc w:val="center"/>
        <w:rPr>
          <w:sz w:val="14"/>
        </w:rPr>
        <w:sectPr>
          <w:type w:val="continuous"/>
          <w:pgSz w:w="11910" w:h="16840"/>
          <w:pgMar w:header="0" w:footer="687" w:top="920" w:bottom="1020"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Commercial</w:t>
            </w:r>
            <w:r>
              <w:rPr>
                <w:spacing w:val="-1"/>
                <w:sz w:val="14"/>
              </w:rPr>
              <w:t> </w:t>
            </w:r>
            <w:r>
              <w:rPr>
                <w:sz w:val="14"/>
              </w:rPr>
              <w:t>Room</w:t>
            </w:r>
            <w:r>
              <w:rPr>
                <w:spacing w:val="-3"/>
                <w:sz w:val="14"/>
              </w:rPr>
              <w:t> </w:t>
            </w:r>
            <w:r>
              <w:rPr>
                <w:sz w:val="14"/>
              </w:rPr>
              <w:t>Hire</w:t>
            </w:r>
            <w:r>
              <w:rPr>
                <w:spacing w:val="-2"/>
                <w:sz w:val="14"/>
              </w:rPr>
              <w:t> </w:t>
            </w:r>
            <w:r>
              <w:rPr>
                <w:sz w:val="14"/>
              </w:rPr>
              <w:t>-</w:t>
            </w:r>
            <w:r>
              <w:rPr>
                <w:spacing w:val="-5"/>
                <w:sz w:val="14"/>
              </w:rPr>
              <w:t> </w:t>
            </w:r>
            <w:r>
              <w:rPr>
                <w:sz w:val="14"/>
              </w:rPr>
              <w:t>Half</w:t>
            </w:r>
            <w:r>
              <w:rPr>
                <w:spacing w:val="-4"/>
                <w:sz w:val="14"/>
              </w:rPr>
              <w:t> </w:t>
            </w:r>
            <w:r>
              <w:rPr>
                <w:sz w:val="14"/>
              </w:rPr>
              <w:t>Day</w:t>
            </w:r>
            <w:r>
              <w:rPr>
                <w:spacing w:val="-4"/>
                <w:sz w:val="14"/>
              </w:rPr>
              <w:t> </w:t>
            </w:r>
            <w:r>
              <w:rPr>
                <w:sz w:val="14"/>
              </w:rPr>
              <w:t>(5</w:t>
            </w:r>
            <w:r>
              <w:rPr>
                <w:spacing w:val="-5"/>
                <w:sz w:val="14"/>
              </w:rPr>
              <w:t> </w:t>
            </w:r>
            <w:r>
              <w:rPr>
                <w:sz w:val="14"/>
              </w:rPr>
              <w:t>hours)</w:t>
            </w:r>
            <w:r>
              <w:rPr>
                <w:spacing w:val="-2"/>
                <w:sz w:val="14"/>
              </w:rPr>
              <w:t> </w:t>
            </w:r>
            <w:r>
              <w:rPr>
                <w:sz w:val="14"/>
              </w:rPr>
              <w:t>-</w:t>
            </w:r>
            <w:r>
              <w:rPr>
                <w:spacing w:val="-4"/>
                <w:sz w:val="14"/>
              </w:rPr>
              <w:t> </w:t>
            </w:r>
            <w:r>
              <w:rPr>
                <w:sz w:val="14"/>
              </w:rPr>
              <w:t>Maroondah</w:t>
            </w:r>
            <w:r>
              <w:rPr>
                <w:spacing w:val="-5"/>
                <w:sz w:val="14"/>
              </w:rPr>
              <w:t> </w:t>
            </w:r>
            <w:r>
              <w:rPr>
                <w:sz w:val="14"/>
              </w:rPr>
              <w:t>&amp; Mullum</w:t>
            </w:r>
            <w:r>
              <w:rPr>
                <w:spacing w:val="-1"/>
                <w:sz w:val="14"/>
              </w:rPr>
              <w:t> </w:t>
            </w:r>
            <w:r>
              <w:rPr>
                <w:spacing w:val="-4"/>
                <w:sz w:val="14"/>
              </w:rPr>
              <w:t>Rooms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1,600.00</w:t>
            </w:r>
          </w:p>
        </w:tc>
        <w:tc>
          <w:tcPr>
            <w:tcW w:w="995" w:type="dxa"/>
          </w:tcPr>
          <w:p>
            <w:pPr>
              <w:pStyle w:val="TableParagraph"/>
              <w:spacing w:line="140" w:lineRule="exact" w:before="15"/>
              <w:ind w:right="101"/>
              <w:jc w:val="right"/>
              <w:rPr>
                <w:sz w:val="14"/>
              </w:rPr>
            </w:pPr>
            <w:r>
              <w:rPr>
                <w:spacing w:val="-2"/>
                <w:sz w:val="14"/>
              </w:rPr>
              <w:t>1,760.00</w:t>
            </w:r>
          </w:p>
        </w:tc>
        <w:tc>
          <w:tcPr>
            <w:tcW w:w="861" w:type="dxa"/>
          </w:tcPr>
          <w:p>
            <w:pPr>
              <w:pStyle w:val="TableParagraph"/>
              <w:spacing w:line="140" w:lineRule="exact" w:before="15"/>
              <w:ind w:left="327"/>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1"/>
                <w:sz w:val="14"/>
              </w:rPr>
              <w:t> </w:t>
            </w:r>
            <w:r>
              <w:rPr>
                <w:sz w:val="14"/>
              </w:rPr>
              <w:t>Room</w:t>
            </w:r>
            <w:r>
              <w:rPr>
                <w:spacing w:val="-2"/>
                <w:sz w:val="14"/>
              </w:rPr>
              <w:t> </w:t>
            </w:r>
            <w:r>
              <w:rPr>
                <w:sz w:val="14"/>
              </w:rPr>
              <w:t>Hire</w:t>
            </w:r>
            <w:r>
              <w:rPr>
                <w:spacing w:val="-3"/>
                <w:sz w:val="14"/>
              </w:rPr>
              <w:t> </w:t>
            </w:r>
            <w:r>
              <w:rPr>
                <w:sz w:val="14"/>
              </w:rPr>
              <w:t>-</w:t>
            </w:r>
            <w:r>
              <w:rPr>
                <w:spacing w:val="-4"/>
                <w:sz w:val="14"/>
              </w:rPr>
              <w:t> </w:t>
            </w:r>
            <w:r>
              <w:rPr>
                <w:sz w:val="14"/>
              </w:rPr>
              <w:t>Half</w:t>
            </w:r>
            <w:r>
              <w:rPr>
                <w:spacing w:val="-4"/>
                <w:sz w:val="14"/>
              </w:rPr>
              <w:t> </w:t>
            </w:r>
            <w:r>
              <w:rPr>
                <w:sz w:val="14"/>
              </w:rPr>
              <w:t>Day</w:t>
            </w:r>
            <w:r>
              <w:rPr>
                <w:spacing w:val="-4"/>
                <w:sz w:val="14"/>
              </w:rPr>
              <w:t> </w:t>
            </w:r>
            <w:r>
              <w:rPr>
                <w:sz w:val="14"/>
              </w:rPr>
              <w:t>(5</w:t>
            </w:r>
            <w:r>
              <w:rPr>
                <w:spacing w:val="-5"/>
                <w:sz w:val="14"/>
              </w:rPr>
              <w:t> </w:t>
            </w:r>
            <w:r>
              <w:rPr>
                <w:sz w:val="14"/>
              </w:rPr>
              <w:t>hours)</w:t>
            </w:r>
            <w:r>
              <w:rPr>
                <w:spacing w:val="-2"/>
                <w:sz w:val="14"/>
              </w:rPr>
              <w:t> </w:t>
            </w:r>
            <w:r>
              <w:rPr>
                <w:sz w:val="14"/>
              </w:rPr>
              <w:t>-</w:t>
            </w:r>
            <w:r>
              <w:rPr>
                <w:spacing w:val="-4"/>
                <w:sz w:val="14"/>
              </w:rPr>
              <w:t> </w:t>
            </w:r>
            <w:r>
              <w:rPr>
                <w:sz w:val="14"/>
              </w:rPr>
              <w:t>Mt.</w:t>
            </w:r>
            <w:r>
              <w:rPr>
                <w:spacing w:val="-3"/>
                <w:sz w:val="14"/>
              </w:rPr>
              <w:t> </w:t>
            </w:r>
            <w:r>
              <w:rPr>
                <w:sz w:val="14"/>
              </w:rPr>
              <w:t>Dandenong</w:t>
            </w:r>
            <w:r>
              <w:rPr>
                <w:spacing w:val="-4"/>
                <w:sz w:val="14"/>
              </w:rPr>
              <w:t> 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900.00</w:t>
            </w:r>
          </w:p>
        </w:tc>
        <w:tc>
          <w:tcPr>
            <w:tcW w:w="995" w:type="dxa"/>
          </w:tcPr>
          <w:p>
            <w:pPr>
              <w:pStyle w:val="TableParagraph"/>
              <w:spacing w:line="140" w:lineRule="exact" w:before="17"/>
              <w:ind w:right="102"/>
              <w:jc w:val="right"/>
              <w:rPr>
                <w:sz w:val="14"/>
              </w:rPr>
            </w:pPr>
            <w:r>
              <w:rPr>
                <w:spacing w:val="-2"/>
                <w:sz w:val="14"/>
              </w:rPr>
              <w:t>990.00</w:t>
            </w:r>
          </w:p>
        </w:tc>
        <w:tc>
          <w:tcPr>
            <w:tcW w:w="861" w:type="dxa"/>
          </w:tcPr>
          <w:p>
            <w:pPr>
              <w:pStyle w:val="TableParagraph"/>
              <w:spacing w:line="140" w:lineRule="exact" w:before="17"/>
              <w:ind w:left="327"/>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1"/>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Half</w:t>
            </w:r>
            <w:r>
              <w:rPr>
                <w:spacing w:val="-4"/>
                <w:sz w:val="14"/>
              </w:rPr>
              <w:t> </w:t>
            </w:r>
            <w:r>
              <w:rPr>
                <w:sz w:val="14"/>
              </w:rPr>
              <w:t>Day</w:t>
            </w:r>
            <w:r>
              <w:rPr>
                <w:spacing w:val="-3"/>
                <w:sz w:val="14"/>
              </w:rPr>
              <w:t> </w:t>
            </w:r>
            <w:r>
              <w:rPr>
                <w:sz w:val="14"/>
              </w:rPr>
              <w:t>(5</w:t>
            </w:r>
            <w:r>
              <w:rPr>
                <w:spacing w:val="-5"/>
                <w:sz w:val="14"/>
              </w:rPr>
              <w:t> </w:t>
            </w:r>
            <w:r>
              <w:rPr>
                <w:sz w:val="14"/>
              </w:rPr>
              <w:t>hours)</w:t>
            </w:r>
            <w:r>
              <w:rPr>
                <w:spacing w:val="-1"/>
                <w:sz w:val="14"/>
              </w:rPr>
              <w:t> </w:t>
            </w:r>
            <w:r>
              <w:rPr>
                <w:sz w:val="14"/>
              </w:rPr>
              <w:t>-</w:t>
            </w:r>
            <w:r>
              <w:rPr>
                <w:spacing w:val="-5"/>
                <w:sz w:val="14"/>
              </w:rPr>
              <w:t> </w:t>
            </w:r>
            <w:r>
              <w:rPr>
                <w:sz w:val="14"/>
              </w:rPr>
              <w:t>Mullum</w:t>
            </w:r>
            <w:r>
              <w:rPr>
                <w:spacing w:val="-2"/>
                <w:sz w:val="14"/>
              </w:rPr>
              <w:t> </w:t>
            </w:r>
            <w:r>
              <w:rPr>
                <w:spacing w:val="-4"/>
                <w:sz w:val="14"/>
              </w:rPr>
              <w:t>Room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900.00</w:t>
            </w:r>
          </w:p>
        </w:tc>
        <w:tc>
          <w:tcPr>
            <w:tcW w:w="995" w:type="dxa"/>
          </w:tcPr>
          <w:p>
            <w:pPr>
              <w:pStyle w:val="TableParagraph"/>
              <w:spacing w:line="140" w:lineRule="exact" w:before="17"/>
              <w:ind w:right="102"/>
              <w:jc w:val="right"/>
              <w:rPr>
                <w:sz w:val="14"/>
              </w:rPr>
            </w:pPr>
            <w:r>
              <w:rPr>
                <w:spacing w:val="-2"/>
                <w:sz w:val="14"/>
              </w:rPr>
              <w:t>990.00</w:t>
            </w:r>
          </w:p>
        </w:tc>
        <w:tc>
          <w:tcPr>
            <w:tcW w:w="861" w:type="dxa"/>
          </w:tcPr>
          <w:p>
            <w:pPr>
              <w:pStyle w:val="TableParagraph"/>
              <w:spacing w:line="140" w:lineRule="exact" w:before="17"/>
              <w:ind w:left="327"/>
              <w:rPr>
                <w:sz w:val="14"/>
              </w:rPr>
            </w:pPr>
            <w:r>
              <w:rPr>
                <w:spacing w:val="-5"/>
                <w:sz w:val="14"/>
              </w:rPr>
              <w:t>9.1</w:t>
            </w:r>
          </w:p>
        </w:tc>
      </w:tr>
      <w:tr>
        <w:trPr>
          <w:trHeight w:val="177" w:hRule="atLeast"/>
        </w:trPr>
        <w:tc>
          <w:tcPr>
            <w:tcW w:w="5794" w:type="dxa"/>
          </w:tcPr>
          <w:p>
            <w:pPr>
              <w:pStyle w:val="TableParagraph"/>
              <w:spacing w:line="142" w:lineRule="exact" w:before="15"/>
              <w:ind w:left="107"/>
              <w:rPr>
                <w:sz w:val="14"/>
              </w:rPr>
            </w:pPr>
            <w:r>
              <w:rPr>
                <w:sz w:val="14"/>
              </w:rPr>
              <w:t>Room</w:t>
            </w:r>
            <w:r>
              <w:rPr>
                <w:spacing w:val="-3"/>
                <w:sz w:val="14"/>
              </w:rPr>
              <w:t> </w:t>
            </w:r>
            <w:r>
              <w:rPr>
                <w:sz w:val="14"/>
              </w:rPr>
              <w:t>Hire</w:t>
            </w:r>
            <w:r>
              <w:rPr>
                <w:spacing w:val="-4"/>
                <w:sz w:val="14"/>
              </w:rPr>
              <w:t> </w:t>
            </w:r>
            <w:r>
              <w:rPr>
                <w:sz w:val="14"/>
              </w:rPr>
              <w:t>-</w:t>
            </w:r>
            <w:r>
              <w:rPr>
                <w:spacing w:val="-2"/>
                <w:sz w:val="14"/>
              </w:rPr>
              <w:t> </w:t>
            </w:r>
            <w:r>
              <w:rPr>
                <w:sz w:val="14"/>
              </w:rPr>
              <w:t>Half</w:t>
            </w:r>
            <w:r>
              <w:rPr>
                <w:spacing w:val="-1"/>
                <w:sz w:val="14"/>
              </w:rPr>
              <w:t> </w:t>
            </w:r>
            <w:r>
              <w:rPr>
                <w:sz w:val="14"/>
              </w:rPr>
              <w:t>Day</w:t>
            </w:r>
            <w:r>
              <w:rPr>
                <w:spacing w:val="-2"/>
                <w:sz w:val="14"/>
              </w:rPr>
              <w:t> </w:t>
            </w:r>
            <w:r>
              <w:rPr>
                <w:sz w:val="14"/>
              </w:rPr>
              <w:t>(5</w:t>
            </w:r>
            <w:r>
              <w:rPr>
                <w:spacing w:val="-3"/>
                <w:sz w:val="14"/>
              </w:rPr>
              <w:t> </w:t>
            </w:r>
            <w:r>
              <w:rPr>
                <w:sz w:val="14"/>
              </w:rPr>
              <w:t>hours)</w:t>
            </w:r>
            <w:r>
              <w:rPr>
                <w:spacing w:val="-2"/>
                <w:sz w:val="14"/>
              </w:rPr>
              <w:t> </w:t>
            </w:r>
            <w:r>
              <w:rPr>
                <w:sz w:val="14"/>
              </w:rPr>
              <w:t>-</w:t>
            </w:r>
            <w:r>
              <w:rPr>
                <w:spacing w:val="-4"/>
                <w:sz w:val="14"/>
              </w:rPr>
              <w:t> </w:t>
            </w:r>
            <w:r>
              <w:rPr>
                <w:sz w:val="14"/>
              </w:rPr>
              <w:t>Mt</w:t>
            </w:r>
            <w:r>
              <w:rPr>
                <w:spacing w:val="-5"/>
                <w:sz w:val="14"/>
              </w:rPr>
              <w:t> </w:t>
            </w:r>
            <w:r>
              <w:rPr>
                <w:sz w:val="14"/>
              </w:rPr>
              <w:t>Dandenong</w:t>
            </w:r>
            <w:r>
              <w:rPr>
                <w:spacing w:val="-4"/>
                <w:sz w:val="14"/>
              </w:rPr>
              <w:t> </w:t>
            </w:r>
            <w:r>
              <w:rPr>
                <w:sz w:val="14"/>
              </w:rPr>
              <w:t>&amp;</w:t>
            </w:r>
            <w:r>
              <w:rPr>
                <w:spacing w:val="-1"/>
                <w:sz w:val="14"/>
              </w:rPr>
              <w:t> </w:t>
            </w:r>
            <w:r>
              <w:rPr>
                <w:sz w:val="14"/>
              </w:rPr>
              <w:t>Mullum</w:t>
            </w:r>
            <w:r>
              <w:rPr>
                <w:spacing w:val="-1"/>
                <w:sz w:val="14"/>
              </w:rPr>
              <w:t> </w:t>
            </w:r>
            <w:r>
              <w:rPr>
                <w:spacing w:val="-4"/>
                <w:sz w:val="14"/>
              </w:rPr>
              <w:t>Rooms</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1,300.00</w:t>
            </w:r>
          </w:p>
        </w:tc>
        <w:tc>
          <w:tcPr>
            <w:tcW w:w="995" w:type="dxa"/>
          </w:tcPr>
          <w:p>
            <w:pPr>
              <w:pStyle w:val="TableParagraph"/>
              <w:spacing w:line="142" w:lineRule="exact" w:before="15"/>
              <w:ind w:right="101"/>
              <w:jc w:val="right"/>
              <w:rPr>
                <w:sz w:val="14"/>
              </w:rPr>
            </w:pPr>
            <w:r>
              <w:rPr>
                <w:spacing w:val="-2"/>
                <w:sz w:val="14"/>
              </w:rPr>
              <w:t>1,430.00</w:t>
            </w:r>
          </w:p>
        </w:tc>
        <w:tc>
          <w:tcPr>
            <w:tcW w:w="861" w:type="dxa"/>
          </w:tcPr>
          <w:p>
            <w:pPr>
              <w:pStyle w:val="TableParagraph"/>
              <w:spacing w:line="142" w:lineRule="exact" w:before="15"/>
              <w:ind w:left="326"/>
              <w:rPr>
                <w:sz w:val="14"/>
              </w:rPr>
            </w:pPr>
            <w:r>
              <w:rPr>
                <w:spacing w:val="-5"/>
                <w:sz w:val="14"/>
              </w:rPr>
              <w:t>9.1</w:t>
            </w:r>
          </w:p>
        </w:tc>
      </w:tr>
      <w:tr>
        <w:trPr>
          <w:trHeight w:val="450" w:hRule="atLeast"/>
        </w:trPr>
        <w:tc>
          <w:tcPr>
            <w:tcW w:w="5794" w:type="dxa"/>
          </w:tcPr>
          <w:p>
            <w:pPr>
              <w:pStyle w:val="TableParagraph"/>
              <w:spacing w:before="65"/>
              <w:ind w:left="107"/>
              <w:rPr>
                <w:sz w:val="14"/>
              </w:rPr>
            </w:pPr>
            <w:r>
              <w:rPr>
                <w:sz w:val="14"/>
              </w:rPr>
              <w:t>Funerals</w:t>
            </w:r>
            <w:r>
              <w:rPr>
                <w:spacing w:val="-4"/>
                <w:sz w:val="14"/>
              </w:rPr>
              <w:t> </w:t>
            </w:r>
            <w:r>
              <w:rPr>
                <w:sz w:val="14"/>
              </w:rPr>
              <w:t>(4</w:t>
            </w:r>
            <w:r>
              <w:rPr>
                <w:spacing w:val="-3"/>
                <w:sz w:val="14"/>
              </w:rPr>
              <w:t> </w:t>
            </w:r>
            <w:r>
              <w:rPr>
                <w:spacing w:val="-2"/>
                <w:sz w:val="14"/>
              </w:rPr>
              <w:t>hours)</w:t>
            </w:r>
          </w:p>
          <w:p>
            <w:pPr>
              <w:pStyle w:val="TableParagraph"/>
              <w:ind w:left="107"/>
              <w:rPr>
                <w:sz w:val="14"/>
              </w:rPr>
            </w:pPr>
            <w:r>
              <w:rPr>
                <w:sz w:val="14"/>
              </w:rPr>
              <w:t>Includes</w:t>
            </w:r>
            <w:r>
              <w:rPr>
                <w:spacing w:val="-2"/>
                <w:sz w:val="14"/>
              </w:rPr>
              <w:t> </w:t>
            </w:r>
            <w:r>
              <w:rPr>
                <w:sz w:val="14"/>
              </w:rPr>
              <w:t>room</w:t>
            </w:r>
            <w:r>
              <w:rPr>
                <w:spacing w:val="-2"/>
                <w:sz w:val="14"/>
              </w:rPr>
              <w:t> </w:t>
            </w:r>
            <w:r>
              <w:rPr>
                <w:sz w:val="14"/>
              </w:rPr>
              <w:t>hire,</w:t>
            </w:r>
            <w:r>
              <w:rPr>
                <w:spacing w:val="-4"/>
                <w:sz w:val="14"/>
              </w:rPr>
              <w:t> </w:t>
            </w:r>
            <w:r>
              <w:rPr>
                <w:sz w:val="14"/>
              </w:rPr>
              <w:t>water</w:t>
            </w:r>
            <w:r>
              <w:rPr>
                <w:spacing w:val="-5"/>
                <w:sz w:val="14"/>
              </w:rPr>
              <w:t> </w:t>
            </w:r>
            <w:r>
              <w:rPr>
                <w:sz w:val="14"/>
              </w:rPr>
              <w:t>station,</w:t>
            </w:r>
            <w:r>
              <w:rPr>
                <w:spacing w:val="-2"/>
                <w:sz w:val="14"/>
              </w:rPr>
              <w:t> </w:t>
            </w:r>
            <w:r>
              <w:rPr>
                <w:sz w:val="14"/>
              </w:rPr>
              <w:t>1</w:t>
            </w:r>
            <w:r>
              <w:rPr>
                <w:spacing w:val="-5"/>
                <w:sz w:val="14"/>
              </w:rPr>
              <w:t> </w:t>
            </w:r>
            <w:r>
              <w:rPr>
                <w:sz w:val="14"/>
              </w:rPr>
              <w:t>x</w:t>
            </w:r>
            <w:r>
              <w:rPr>
                <w:spacing w:val="-2"/>
                <w:sz w:val="14"/>
              </w:rPr>
              <w:t> </w:t>
            </w:r>
            <w:r>
              <w:rPr>
                <w:sz w:val="14"/>
              </w:rPr>
              <w:t>technician</w:t>
            </w:r>
            <w:r>
              <w:rPr>
                <w:spacing w:val="-4"/>
                <w:sz w:val="14"/>
              </w:rPr>
              <w:t> </w:t>
            </w:r>
            <w:r>
              <w:rPr>
                <w:sz w:val="14"/>
              </w:rPr>
              <w:t>&amp;</w:t>
            </w:r>
            <w:r>
              <w:rPr>
                <w:spacing w:val="-4"/>
                <w:sz w:val="14"/>
              </w:rPr>
              <w:t> </w:t>
            </w:r>
            <w:r>
              <w:rPr>
                <w:sz w:val="14"/>
              </w:rPr>
              <w:t>AV</w:t>
            </w:r>
            <w:r>
              <w:rPr>
                <w:spacing w:val="-1"/>
                <w:sz w:val="14"/>
              </w:rPr>
              <w:t> </w:t>
            </w:r>
            <w:r>
              <w:rPr>
                <w:spacing w:val="-2"/>
                <w:sz w:val="14"/>
              </w:rPr>
              <w:t>equipment</w:t>
            </w:r>
          </w:p>
        </w:tc>
        <w:tc>
          <w:tcPr>
            <w:tcW w:w="1131" w:type="dxa"/>
          </w:tcPr>
          <w:p>
            <w:pPr>
              <w:pStyle w:val="TableParagraph"/>
              <w:rPr>
                <w:sz w:val="16"/>
              </w:rPr>
            </w:pPr>
          </w:p>
          <w:p>
            <w:pPr>
              <w:pStyle w:val="TableParagraph"/>
              <w:spacing w:line="140" w:lineRule="exact" w:before="107"/>
              <w:ind w:left="5"/>
              <w:jc w:val="center"/>
              <w:rPr>
                <w:sz w:val="14"/>
              </w:rPr>
            </w:pPr>
            <w:r>
              <w:rPr>
                <w:w w:val="99"/>
                <w:sz w:val="14"/>
              </w:rPr>
              <w:t>N</w:t>
            </w:r>
          </w:p>
        </w:tc>
        <w:tc>
          <w:tcPr>
            <w:tcW w:w="567" w:type="dxa"/>
          </w:tcPr>
          <w:p>
            <w:pPr>
              <w:pStyle w:val="TableParagraph"/>
              <w:rPr>
                <w:sz w:val="16"/>
              </w:rPr>
            </w:pPr>
          </w:p>
          <w:p>
            <w:pPr>
              <w:pStyle w:val="TableParagraph"/>
              <w:spacing w:line="140" w:lineRule="exact" w:before="107"/>
              <w:ind w:left="159"/>
              <w:rPr>
                <w:sz w:val="14"/>
              </w:rPr>
            </w:pPr>
            <w:r>
              <w:rPr>
                <w:spacing w:val="-5"/>
                <w:sz w:val="14"/>
              </w:rPr>
              <w:t>Yes</w:t>
            </w:r>
          </w:p>
        </w:tc>
        <w:tc>
          <w:tcPr>
            <w:tcW w:w="997" w:type="dxa"/>
          </w:tcPr>
          <w:p>
            <w:pPr>
              <w:pStyle w:val="TableParagraph"/>
              <w:rPr>
                <w:sz w:val="16"/>
              </w:rPr>
            </w:pPr>
          </w:p>
          <w:p>
            <w:pPr>
              <w:pStyle w:val="TableParagraph"/>
              <w:spacing w:line="140" w:lineRule="exact" w:before="107"/>
              <w:ind w:right="100"/>
              <w:jc w:val="right"/>
              <w:rPr>
                <w:sz w:val="14"/>
              </w:rPr>
            </w:pPr>
            <w:r>
              <w:rPr>
                <w:spacing w:val="-2"/>
                <w:sz w:val="14"/>
              </w:rPr>
              <w:t>2,500.00</w:t>
            </w:r>
          </w:p>
        </w:tc>
        <w:tc>
          <w:tcPr>
            <w:tcW w:w="995" w:type="dxa"/>
          </w:tcPr>
          <w:p>
            <w:pPr>
              <w:pStyle w:val="TableParagraph"/>
              <w:rPr>
                <w:sz w:val="16"/>
              </w:rPr>
            </w:pPr>
          </w:p>
          <w:p>
            <w:pPr>
              <w:pStyle w:val="TableParagraph"/>
              <w:spacing w:line="140" w:lineRule="exact" w:before="107"/>
              <w:ind w:right="101"/>
              <w:jc w:val="right"/>
              <w:rPr>
                <w:sz w:val="14"/>
              </w:rPr>
            </w:pPr>
            <w:r>
              <w:rPr>
                <w:spacing w:val="-2"/>
                <w:sz w:val="14"/>
              </w:rPr>
              <w:t>2,687.50</w:t>
            </w:r>
          </w:p>
        </w:tc>
        <w:tc>
          <w:tcPr>
            <w:tcW w:w="861" w:type="dxa"/>
          </w:tcPr>
          <w:p>
            <w:pPr>
              <w:pStyle w:val="TableParagraph"/>
              <w:rPr>
                <w:sz w:val="16"/>
              </w:rPr>
            </w:pPr>
          </w:p>
          <w:p>
            <w:pPr>
              <w:pStyle w:val="TableParagraph"/>
              <w:spacing w:line="140" w:lineRule="exact" w:before="107"/>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3"/>
                <w:sz w:val="14"/>
              </w:rPr>
              <w:t> </w:t>
            </w:r>
            <w:r>
              <w:rPr>
                <w:sz w:val="14"/>
              </w:rPr>
              <w:t>Room</w:t>
            </w:r>
            <w:r>
              <w:rPr>
                <w:spacing w:val="-2"/>
                <w:sz w:val="14"/>
              </w:rPr>
              <w:t> </w:t>
            </w:r>
            <w:r>
              <w:rPr>
                <w:sz w:val="14"/>
              </w:rPr>
              <w:t>Hire</w:t>
            </w:r>
            <w:r>
              <w:rPr>
                <w:spacing w:val="-1"/>
                <w:sz w:val="14"/>
              </w:rPr>
              <w:t> </w:t>
            </w:r>
            <w:r>
              <w:rPr>
                <w:sz w:val="14"/>
              </w:rPr>
              <w:t>-</w:t>
            </w:r>
            <w:r>
              <w:rPr>
                <w:spacing w:val="-4"/>
                <w:sz w:val="14"/>
              </w:rPr>
              <w:t> </w:t>
            </w:r>
            <w:r>
              <w:rPr>
                <w:sz w:val="14"/>
              </w:rPr>
              <w:t>Full</w:t>
            </w:r>
            <w:r>
              <w:rPr>
                <w:spacing w:val="-5"/>
                <w:sz w:val="14"/>
              </w:rPr>
              <w:t> </w:t>
            </w:r>
            <w:r>
              <w:rPr>
                <w:sz w:val="14"/>
              </w:rPr>
              <w:t>Day</w:t>
            </w:r>
            <w:r>
              <w:rPr>
                <w:spacing w:val="-1"/>
                <w:sz w:val="14"/>
              </w:rPr>
              <w:t> </w:t>
            </w:r>
            <w:r>
              <w:rPr>
                <w:sz w:val="14"/>
              </w:rPr>
              <w:t>(8</w:t>
            </w:r>
            <w:r>
              <w:rPr>
                <w:spacing w:val="-3"/>
                <w:sz w:val="14"/>
              </w:rPr>
              <w:t> </w:t>
            </w:r>
            <w:r>
              <w:rPr>
                <w:sz w:val="14"/>
              </w:rPr>
              <w:t>hours)</w:t>
            </w:r>
            <w:r>
              <w:rPr>
                <w:spacing w:val="-2"/>
                <w:sz w:val="14"/>
              </w:rPr>
              <w:t> </w:t>
            </w:r>
            <w:r>
              <w:rPr>
                <w:sz w:val="14"/>
              </w:rPr>
              <w:t>-</w:t>
            </w:r>
            <w:r>
              <w:rPr>
                <w:spacing w:val="-5"/>
                <w:sz w:val="14"/>
              </w:rPr>
              <w:t> </w:t>
            </w:r>
            <w:r>
              <w:rPr>
                <w:sz w:val="14"/>
              </w:rPr>
              <w:t>Banquet</w:t>
            </w:r>
            <w:r>
              <w:rPr>
                <w:spacing w:val="-3"/>
                <w:sz w:val="14"/>
              </w:rPr>
              <w:t> </w:t>
            </w:r>
            <w:r>
              <w:rPr>
                <w:sz w:val="14"/>
              </w:rPr>
              <w:t>Room</w:t>
            </w:r>
            <w:r>
              <w:rPr>
                <w:spacing w:val="-2"/>
                <w:sz w:val="14"/>
              </w:rPr>
              <w:t> </w:t>
            </w:r>
            <w:r>
              <w:rPr>
                <w:sz w:val="14"/>
              </w:rPr>
              <w:t>(all</w:t>
            </w:r>
            <w:r>
              <w:rPr>
                <w:spacing w:val="-3"/>
                <w:sz w:val="14"/>
              </w:rPr>
              <w:t> </w:t>
            </w:r>
            <w:r>
              <w:rPr>
                <w:sz w:val="14"/>
              </w:rPr>
              <w:t>3</w:t>
            </w:r>
            <w:r>
              <w:rPr>
                <w:spacing w:val="-1"/>
                <w:sz w:val="14"/>
              </w:rPr>
              <w:t> </w:t>
            </w:r>
            <w:r>
              <w:rPr>
                <w:spacing w:val="-2"/>
                <w:sz w:val="14"/>
              </w:rPr>
              <w:t>rooms)</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2,800.00</w:t>
            </w:r>
          </w:p>
        </w:tc>
        <w:tc>
          <w:tcPr>
            <w:tcW w:w="995" w:type="dxa"/>
          </w:tcPr>
          <w:p>
            <w:pPr>
              <w:pStyle w:val="TableParagraph"/>
              <w:spacing w:line="140" w:lineRule="exact" w:before="19"/>
              <w:ind w:right="101"/>
              <w:jc w:val="right"/>
              <w:rPr>
                <w:sz w:val="14"/>
              </w:rPr>
            </w:pPr>
            <w:r>
              <w:rPr>
                <w:spacing w:val="-2"/>
                <w:sz w:val="14"/>
              </w:rPr>
              <w:t>3,010.00</w:t>
            </w:r>
          </w:p>
        </w:tc>
        <w:tc>
          <w:tcPr>
            <w:tcW w:w="861" w:type="dxa"/>
          </w:tcPr>
          <w:p>
            <w:pPr>
              <w:pStyle w:val="TableParagraph"/>
              <w:spacing w:line="140" w:lineRule="exact" w:before="19"/>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3"/>
                <w:sz w:val="14"/>
              </w:rPr>
              <w:t> </w:t>
            </w:r>
            <w:r>
              <w:rPr>
                <w:sz w:val="14"/>
              </w:rPr>
              <w:t>Room</w:t>
            </w:r>
            <w:r>
              <w:rPr>
                <w:spacing w:val="-2"/>
                <w:sz w:val="14"/>
              </w:rPr>
              <w:t> </w:t>
            </w:r>
            <w:r>
              <w:rPr>
                <w:sz w:val="14"/>
              </w:rPr>
              <w:t>Hire</w:t>
            </w:r>
            <w:r>
              <w:rPr>
                <w:spacing w:val="-2"/>
                <w:sz w:val="14"/>
              </w:rPr>
              <w:t> </w:t>
            </w:r>
            <w:r>
              <w:rPr>
                <w:sz w:val="14"/>
              </w:rPr>
              <w:t>-</w:t>
            </w:r>
            <w:r>
              <w:rPr>
                <w:spacing w:val="-4"/>
                <w:sz w:val="14"/>
              </w:rPr>
              <w:t> </w:t>
            </w:r>
            <w:r>
              <w:rPr>
                <w:sz w:val="14"/>
              </w:rPr>
              <w:t>Full</w:t>
            </w:r>
            <w:r>
              <w:rPr>
                <w:spacing w:val="-5"/>
                <w:sz w:val="14"/>
              </w:rPr>
              <w:t> </w:t>
            </w:r>
            <w:r>
              <w:rPr>
                <w:sz w:val="14"/>
              </w:rPr>
              <w:t>Day</w:t>
            </w:r>
            <w:r>
              <w:rPr>
                <w:spacing w:val="-2"/>
                <w:sz w:val="14"/>
              </w:rPr>
              <w:t> </w:t>
            </w:r>
            <w:r>
              <w:rPr>
                <w:sz w:val="14"/>
              </w:rPr>
              <w:t>(8</w:t>
            </w:r>
            <w:r>
              <w:rPr>
                <w:spacing w:val="-2"/>
                <w:sz w:val="14"/>
              </w:rPr>
              <w:t> </w:t>
            </w:r>
            <w:r>
              <w:rPr>
                <w:sz w:val="14"/>
              </w:rPr>
              <w:t>hours)</w:t>
            </w:r>
            <w:r>
              <w:rPr>
                <w:spacing w:val="33"/>
                <w:sz w:val="14"/>
              </w:rPr>
              <w:t> </w:t>
            </w:r>
            <w:r>
              <w:rPr>
                <w:sz w:val="14"/>
              </w:rPr>
              <w:t>-</w:t>
            </w:r>
            <w:r>
              <w:rPr>
                <w:spacing w:val="-2"/>
                <w:sz w:val="14"/>
              </w:rPr>
              <w:t> </w:t>
            </w:r>
            <w:r>
              <w:rPr>
                <w:sz w:val="14"/>
              </w:rPr>
              <w:t>Maroondah</w:t>
            </w:r>
            <w:r>
              <w:rPr>
                <w:spacing w:val="-4"/>
                <w:sz w:val="14"/>
              </w:rPr>
              <w:t> 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1,400.00</w:t>
            </w:r>
          </w:p>
        </w:tc>
        <w:tc>
          <w:tcPr>
            <w:tcW w:w="995" w:type="dxa"/>
          </w:tcPr>
          <w:p>
            <w:pPr>
              <w:pStyle w:val="TableParagraph"/>
              <w:spacing w:line="140" w:lineRule="exact" w:before="19"/>
              <w:ind w:right="101"/>
              <w:jc w:val="right"/>
              <w:rPr>
                <w:sz w:val="14"/>
              </w:rPr>
            </w:pPr>
            <w:r>
              <w:rPr>
                <w:spacing w:val="-2"/>
                <w:sz w:val="14"/>
              </w:rPr>
              <w:t>1,505.00</w:t>
            </w:r>
          </w:p>
        </w:tc>
        <w:tc>
          <w:tcPr>
            <w:tcW w:w="861" w:type="dxa"/>
          </w:tcPr>
          <w:p>
            <w:pPr>
              <w:pStyle w:val="TableParagraph"/>
              <w:spacing w:line="140" w:lineRule="exact" w:before="19"/>
              <w:ind w:left="327"/>
              <w:rPr>
                <w:sz w:val="14"/>
              </w:rPr>
            </w:pPr>
            <w:r>
              <w:rPr>
                <w:spacing w:val="-5"/>
                <w:sz w:val="14"/>
              </w:rPr>
              <w:t>7.0</w:t>
            </w:r>
          </w:p>
        </w:tc>
      </w:tr>
      <w:tr>
        <w:trPr>
          <w:trHeight w:val="182" w:hRule="atLeast"/>
        </w:trPr>
        <w:tc>
          <w:tcPr>
            <w:tcW w:w="5794" w:type="dxa"/>
          </w:tcPr>
          <w:p>
            <w:pPr>
              <w:pStyle w:val="TableParagraph"/>
              <w:spacing w:line="142" w:lineRule="exact" w:before="19"/>
              <w:ind w:left="107"/>
              <w:rPr>
                <w:sz w:val="14"/>
              </w:rPr>
            </w:pPr>
            <w:r>
              <w:rPr>
                <w:sz w:val="14"/>
              </w:rPr>
              <w:t>Community/NFP</w:t>
            </w:r>
            <w:r>
              <w:rPr>
                <w:spacing w:val="-4"/>
                <w:sz w:val="14"/>
              </w:rPr>
              <w:t> </w:t>
            </w:r>
            <w:r>
              <w:rPr>
                <w:sz w:val="14"/>
              </w:rPr>
              <w:t>Room</w:t>
            </w:r>
            <w:r>
              <w:rPr>
                <w:spacing w:val="-2"/>
                <w:sz w:val="14"/>
              </w:rPr>
              <w:t> </w:t>
            </w:r>
            <w:r>
              <w:rPr>
                <w:sz w:val="14"/>
              </w:rPr>
              <w:t>Hire</w:t>
            </w:r>
            <w:r>
              <w:rPr>
                <w:spacing w:val="-1"/>
                <w:sz w:val="14"/>
              </w:rPr>
              <w:t> </w:t>
            </w:r>
            <w:r>
              <w:rPr>
                <w:sz w:val="14"/>
              </w:rPr>
              <w:t>-</w:t>
            </w:r>
            <w:r>
              <w:rPr>
                <w:spacing w:val="-6"/>
                <w:sz w:val="14"/>
              </w:rPr>
              <w:t> </w:t>
            </w:r>
            <w:r>
              <w:rPr>
                <w:sz w:val="14"/>
              </w:rPr>
              <w:t>Full</w:t>
            </w:r>
            <w:r>
              <w:rPr>
                <w:spacing w:val="-5"/>
                <w:sz w:val="14"/>
              </w:rPr>
              <w:t> </w:t>
            </w:r>
            <w:r>
              <w:rPr>
                <w:sz w:val="14"/>
              </w:rPr>
              <w:t>Day</w:t>
            </w:r>
            <w:r>
              <w:rPr>
                <w:spacing w:val="-2"/>
                <w:sz w:val="14"/>
              </w:rPr>
              <w:t> </w:t>
            </w:r>
            <w:r>
              <w:rPr>
                <w:sz w:val="14"/>
              </w:rPr>
              <w:t>(8</w:t>
            </w:r>
            <w:r>
              <w:rPr>
                <w:spacing w:val="-3"/>
                <w:sz w:val="14"/>
              </w:rPr>
              <w:t> </w:t>
            </w:r>
            <w:r>
              <w:rPr>
                <w:sz w:val="14"/>
              </w:rPr>
              <w:t>hours)</w:t>
            </w:r>
            <w:r>
              <w:rPr>
                <w:spacing w:val="-2"/>
                <w:sz w:val="14"/>
              </w:rPr>
              <w:t> </w:t>
            </w:r>
            <w:r>
              <w:rPr>
                <w:sz w:val="14"/>
              </w:rPr>
              <w:t>-</w:t>
            </w:r>
            <w:r>
              <w:rPr>
                <w:spacing w:val="-3"/>
                <w:sz w:val="14"/>
              </w:rPr>
              <w:t> </w:t>
            </w:r>
            <w:r>
              <w:rPr>
                <w:sz w:val="14"/>
              </w:rPr>
              <w:t>Maroondah</w:t>
            </w:r>
            <w:r>
              <w:rPr>
                <w:spacing w:val="-3"/>
                <w:sz w:val="14"/>
              </w:rPr>
              <w:t> </w:t>
            </w:r>
            <w:r>
              <w:rPr>
                <w:sz w:val="14"/>
              </w:rPr>
              <w:t>&amp;</w:t>
            </w:r>
            <w:r>
              <w:rPr>
                <w:spacing w:val="-3"/>
                <w:sz w:val="14"/>
              </w:rPr>
              <w:t> </w:t>
            </w:r>
            <w:r>
              <w:rPr>
                <w:sz w:val="14"/>
              </w:rPr>
              <w:t>Mullum</w:t>
            </w:r>
            <w:r>
              <w:rPr>
                <w:spacing w:val="-2"/>
                <w:sz w:val="14"/>
              </w:rPr>
              <w:t> </w:t>
            </w:r>
            <w:r>
              <w:rPr>
                <w:spacing w:val="-4"/>
                <w:sz w:val="14"/>
              </w:rPr>
              <w:t>Rooms</w:t>
            </w:r>
          </w:p>
        </w:tc>
        <w:tc>
          <w:tcPr>
            <w:tcW w:w="1131" w:type="dxa"/>
          </w:tcPr>
          <w:p>
            <w:pPr>
              <w:pStyle w:val="TableParagraph"/>
              <w:spacing w:line="142" w:lineRule="exact" w:before="19"/>
              <w:ind w:left="5"/>
              <w:jc w:val="center"/>
              <w:rPr>
                <w:sz w:val="14"/>
              </w:rPr>
            </w:pPr>
            <w:r>
              <w:rPr>
                <w:w w:val="99"/>
                <w:sz w:val="14"/>
              </w:rPr>
              <w:t>N</w:t>
            </w:r>
          </w:p>
        </w:tc>
        <w:tc>
          <w:tcPr>
            <w:tcW w:w="567" w:type="dxa"/>
          </w:tcPr>
          <w:p>
            <w:pPr>
              <w:pStyle w:val="TableParagraph"/>
              <w:spacing w:line="142" w:lineRule="exact" w:before="19"/>
              <w:ind w:left="159"/>
              <w:rPr>
                <w:sz w:val="14"/>
              </w:rPr>
            </w:pPr>
            <w:r>
              <w:rPr>
                <w:spacing w:val="-5"/>
                <w:sz w:val="14"/>
              </w:rPr>
              <w:t>Yes</w:t>
            </w:r>
          </w:p>
        </w:tc>
        <w:tc>
          <w:tcPr>
            <w:tcW w:w="997" w:type="dxa"/>
          </w:tcPr>
          <w:p>
            <w:pPr>
              <w:pStyle w:val="TableParagraph"/>
              <w:spacing w:line="142" w:lineRule="exact" w:before="19"/>
              <w:ind w:right="101"/>
              <w:jc w:val="right"/>
              <w:rPr>
                <w:sz w:val="14"/>
              </w:rPr>
            </w:pPr>
            <w:r>
              <w:rPr>
                <w:spacing w:val="-2"/>
                <w:sz w:val="14"/>
              </w:rPr>
              <w:t>2,000.00</w:t>
            </w:r>
          </w:p>
        </w:tc>
        <w:tc>
          <w:tcPr>
            <w:tcW w:w="995" w:type="dxa"/>
          </w:tcPr>
          <w:p>
            <w:pPr>
              <w:pStyle w:val="TableParagraph"/>
              <w:spacing w:line="142" w:lineRule="exact" w:before="19"/>
              <w:ind w:right="101"/>
              <w:jc w:val="right"/>
              <w:rPr>
                <w:sz w:val="14"/>
              </w:rPr>
            </w:pPr>
            <w:r>
              <w:rPr>
                <w:spacing w:val="-2"/>
                <w:sz w:val="14"/>
              </w:rPr>
              <w:t>2,150.00</w:t>
            </w:r>
          </w:p>
        </w:tc>
        <w:tc>
          <w:tcPr>
            <w:tcW w:w="861" w:type="dxa"/>
          </w:tcPr>
          <w:p>
            <w:pPr>
              <w:pStyle w:val="TableParagraph"/>
              <w:spacing w:line="142" w:lineRule="exact" w:before="19"/>
              <w:ind w:left="326"/>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4"/>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Full</w:t>
            </w:r>
            <w:r>
              <w:rPr>
                <w:spacing w:val="-5"/>
                <w:sz w:val="14"/>
              </w:rPr>
              <w:t> </w:t>
            </w:r>
            <w:r>
              <w:rPr>
                <w:sz w:val="14"/>
              </w:rPr>
              <w:t>Day</w:t>
            </w:r>
            <w:r>
              <w:rPr>
                <w:spacing w:val="-2"/>
                <w:sz w:val="14"/>
              </w:rPr>
              <w:t> </w:t>
            </w:r>
            <w:r>
              <w:rPr>
                <w:sz w:val="14"/>
              </w:rPr>
              <w:t>(8</w:t>
            </w:r>
            <w:r>
              <w:rPr>
                <w:spacing w:val="-3"/>
                <w:sz w:val="14"/>
              </w:rPr>
              <w:t> </w:t>
            </w:r>
            <w:r>
              <w:rPr>
                <w:sz w:val="14"/>
              </w:rPr>
              <w:t>hours)</w:t>
            </w:r>
            <w:r>
              <w:rPr>
                <w:spacing w:val="-4"/>
                <w:sz w:val="14"/>
              </w:rPr>
              <w:t> </w:t>
            </w:r>
            <w:r>
              <w:rPr>
                <w:sz w:val="14"/>
              </w:rPr>
              <w:t>-</w:t>
            </w:r>
            <w:r>
              <w:rPr>
                <w:spacing w:val="-2"/>
                <w:sz w:val="14"/>
              </w:rPr>
              <w:t> </w:t>
            </w:r>
            <w:r>
              <w:rPr>
                <w:sz w:val="14"/>
              </w:rPr>
              <w:t>Mt.</w:t>
            </w:r>
            <w:r>
              <w:rPr>
                <w:spacing w:val="-2"/>
                <w:sz w:val="14"/>
              </w:rPr>
              <w:t> </w:t>
            </w:r>
            <w:r>
              <w:rPr>
                <w:sz w:val="14"/>
              </w:rPr>
              <w:t>Dandenong</w:t>
            </w:r>
            <w:r>
              <w:rPr>
                <w:spacing w:val="-3"/>
                <w:sz w:val="14"/>
              </w:rPr>
              <w:t> </w:t>
            </w:r>
            <w:r>
              <w:rPr>
                <w:spacing w:val="-4"/>
                <w:sz w:val="14"/>
              </w:rPr>
              <w:t>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1,000.00</w:t>
            </w:r>
          </w:p>
        </w:tc>
        <w:tc>
          <w:tcPr>
            <w:tcW w:w="995" w:type="dxa"/>
          </w:tcPr>
          <w:p>
            <w:pPr>
              <w:pStyle w:val="TableParagraph"/>
              <w:spacing w:line="140" w:lineRule="exact" w:before="19"/>
              <w:ind w:right="101"/>
              <w:jc w:val="right"/>
              <w:rPr>
                <w:sz w:val="14"/>
              </w:rPr>
            </w:pPr>
            <w:r>
              <w:rPr>
                <w:spacing w:val="-2"/>
                <w:sz w:val="14"/>
              </w:rPr>
              <w:t>1,075.00</w:t>
            </w:r>
          </w:p>
        </w:tc>
        <w:tc>
          <w:tcPr>
            <w:tcW w:w="861" w:type="dxa"/>
          </w:tcPr>
          <w:p>
            <w:pPr>
              <w:pStyle w:val="TableParagraph"/>
              <w:spacing w:line="140" w:lineRule="exact" w:before="19"/>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3"/>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Full</w:t>
            </w:r>
            <w:r>
              <w:rPr>
                <w:spacing w:val="-4"/>
                <w:sz w:val="14"/>
              </w:rPr>
              <w:t> </w:t>
            </w:r>
            <w:r>
              <w:rPr>
                <w:sz w:val="14"/>
              </w:rPr>
              <w:t>Day</w:t>
            </w:r>
            <w:r>
              <w:rPr>
                <w:spacing w:val="-2"/>
                <w:sz w:val="14"/>
              </w:rPr>
              <w:t> </w:t>
            </w:r>
            <w:r>
              <w:rPr>
                <w:sz w:val="14"/>
              </w:rPr>
              <w:t>(8</w:t>
            </w:r>
            <w:r>
              <w:rPr>
                <w:spacing w:val="-3"/>
                <w:sz w:val="14"/>
              </w:rPr>
              <w:t> </w:t>
            </w:r>
            <w:r>
              <w:rPr>
                <w:sz w:val="14"/>
              </w:rPr>
              <w:t>hours)</w:t>
            </w:r>
            <w:r>
              <w:rPr>
                <w:spacing w:val="-3"/>
                <w:sz w:val="14"/>
              </w:rPr>
              <w:t> </w:t>
            </w:r>
            <w:r>
              <w:rPr>
                <w:sz w:val="14"/>
              </w:rPr>
              <w:t>-</w:t>
            </w:r>
            <w:r>
              <w:rPr>
                <w:spacing w:val="-2"/>
                <w:sz w:val="14"/>
              </w:rPr>
              <w:t> </w:t>
            </w:r>
            <w:r>
              <w:rPr>
                <w:sz w:val="14"/>
              </w:rPr>
              <w:t>Mullum</w:t>
            </w:r>
            <w:r>
              <w:rPr>
                <w:spacing w:val="-1"/>
                <w:sz w:val="14"/>
              </w:rPr>
              <w:t> </w:t>
            </w:r>
            <w:r>
              <w:rPr>
                <w:spacing w:val="-4"/>
                <w:sz w:val="14"/>
              </w:rPr>
              <w:t>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1,000.00</w:t>
            </w:r>
          </w:p>
        </w:tc>
        <w:tc>
          <w:tcPr>
            <w:tcW w:w="995" w:type="dxa"/>
          </w:tcPr>
          <w:p>
            <w:pPr>
              <w:pStyle w:val="TableParagraph"/>
              <w:spacing w:line="140" w:lineRule="exact" w:before="19"/>
              <w:ind w:right="101"/>
              <w:jc w:val="right"/>
              <w:rPr>
                <w:sz w:val="14"/>
              </w:rPr>
            </w:pPr>
            <w:r>
              <w:rPr>
                <w:spacing w:val="-2"/>
                <w:sz w:val="14"/>
              </w:rPr>
              <w:t>1,075.00</w:t>
            </w:r>
          </w:p>
        </w:tc>
        <w:tc>
          <w:tcPr>
            <w:tcW w:w="861" w:type="dxa"/>
          </w:tcPr>
          <w:p>
            <w:pPr>
              <w:pStyle w:val="TableParagraph"/>
              <w:spacing w:line="140" w:lineRule="exact" w:before="19"/>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3"/>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Full</w:t>
            </w:r>
            <w:r>
              <w:rPr>
                <w:spacing w:val="-4"/>
                <w:sz w:val="14"/>
              </w:rPr>
              <w:t> </w:t>
            </w:r>
            <w:r>
              <w:rPr>
                <w:sz w:val="14"/>
              </w:rPr>
              <w:t>Day</w:t>
            </w:r>
            <w:r>
              <w:rPr>
                <w:spacing w:val="-2"/>
                <w:sz w:val="14"/>
              </w:rPr>
              <w:t> </w:t>
            </w:r>
            <w:r>
              <w:rPr>
                <w:sz w:val="14"/>
              </w:rPr>
              <w:t>(8</w:t>
            </w:r>
            <w:r>
              <w:rPr>
                <w:spacing w:val="-3"/>
                <w:sz w:val="14"/>
              </w:rPr>
              <w:t> </w:t>
            </w:r>
            <w:r>
              <w:rPr>
                <w:sz w:val="14"/>
              </w:rPr>
              <w:t>hours)</w:t>
            </w:r>
            <w:r>
              <w:rPr>
                <w:spacing w:val="-3"/>
                <w:sz w:val="14"/>
              </w:rPr>
              <w:t> </w:t>
            </w:r>
            <w:r>
              <w:rPr>
                <w:sz w:val="14"/>
              </w:rPr>
              <w:t>-</w:t>
            </w:r>
            <w:r>
              <w:rPr>
                <w:spacing w:val="-2"/>
                <w:sz w:val="14"/>
              </w:rPr>
              <w:t> </w:t>
            </w:r>
            <w:r>
              <w:rPr>
                <w:sz w:val="14"/>
              </w:rPr>
              <w:t>Mt</w:t>
            </w:r>
            <w:r>
              <w:rPr>
                <w:spacing w:val="-5"/>
                <w:sz w:val="14"/>
              </w:rPr>
              <w:t> </w:t>
            </w:r>
            <w:r>
              <w:rPr>
                <w:sz w:val="14"/>
              </w:rPr>
              <w:t>Dandenong</w:t>
            </w:r>
            <w:r>
              <w:rPr>
                <w:spacing w:val="-4"/>
                <w:sz w:val="14"/>
              </w:rPr>
              <w:t> </w:t>
            </w:r>
            <w:r>
              <w:rPr>
                <w:sz w:val="14"/>
              </w:rPr>
              <w:t>&amp; Mullum</w:t>
            </w:r>
            <w:r>
              <w:rPr>
                <w:spacing w:val="-2"/>
                <w:sz w:val="14"/>
              </w:rPr>
              <w:t> </w:t>
            </w:r>
            <w:r>
              <w:rPr>
                <w:spacing w:val="-4"/>
                <w:sz w:val="14"/>
              </w:rPr>
              <w:t>Rooms</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1,400.00</w:t>
            </w:r>
          </w:p>
        </w:tc>
        <w:tc>
          <w:tcPr>
            <w:tcW w:w="995" w:type="dxa"/>
          </w:tcPr>
          <w:p>
            <w:pPr>
              <w:pStyle w:val="TableParagraph"/>
              <w:spacing w:line="140" w:lineRule="exact" w:before="19"/>
              <w:ind w:right="101"/>
              <w:jc w:val="right"/>
              <w:rPr>
                <w:sz w:val="14"/>
              </w:rPr>
            </w:pPr>
            <w:r>
              <w:rPr>
                <w:spacing w:val="-2"/>
                <w:sz w:val="14"/>
              </w:rPr>
              <w:t>1,505.00</w:t>
            </w:r>
          </w:p>
        </w:tc>
        <w:tc>
          <w:tcPr>
            <w:tcW w:w="861" w:type="dxa"/>
          </w:tcPr>
          <w:p>
            <w:pPr>
              <w:pStyle w:val="TableParagraph"/>
              <w:spacing w:line="140" w:lineRule="exact" w:before="19"/>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3"/>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Half</w:t>
            </w:r>
            <w:r>
              <w:rPr>
                <w:spacing w:val="-2"/>
                <w:sz w:val="14"/>
              </w:rPr>
              <w:t> </w:t>
            </w:r>
            <w:r>
              <w:rPr>
                <w:sz w:val="14"/>
              </w:rPr>
              <w:t>Day</w:t>
            </w:r>
            <w:r>
              <w:rPr>
                <w:spacing w:val="1"/>
                <w:sz w:val="14"/>
              </w:rPr>
              <w:t> </w:t>
            </w:r>
            <w:r>
              <w:rPr>
                <w:sz w:val="14"/>
              </w:rPr>
              <w:t>(5</w:t>
            </w:r>
            <w:r>
              <w:rPr>
                <w:spacing w:val="-3"/>
                <w:sz w:val="14"/>
              </w:rPr>
              <w:t> </w:t>
            </w:r>
            <w:r>
              <w:rPr>
                <w:sz w:val="14"/>
              </w:rPr>
              <w:t>hours)</w:t>
            </w:r>
            <w:r>
              <w:rPr>
                <w:spacing w:val="-2"/>
                <w:sz w:val="14"/>
              </w:rPr>
              <w:t> </w:t>
            </w:r>
            <w:r>
              <w:rPr>
                <w:sz w:val="14"/>
              </w:rPr>
              <w:t>-</w:t>
            </w:r>
            <w:r>
              <w:rPr>
                <w:spacing w:val="-4"/>
                <w:sz w:val="14"/>
              </w:rPr>
              <w:t> </w:t>
            </w:r>
            <w:r>
              <w:rPr>
                <w:sz w:val="14"/>
              </w:rPr>
              <w:t>Banquet</w:t>
            </w:r>
            <w:r>
              <w:rPr>
                <w:spacing w:val="-4"/>
                <w:sz w:val="14"/>
              </w:rPr>
              <w:t> </w:t>
            </w:r>
            <w:r>
              <w:rPr>
                <w:sz w:val="14"/>
              </w:rPr>
              <w:t>Room</w:t>
            </w:r>
            <w:r>
              <w:rPr>
                <w:spacing w:val="-2"/>
                <w:sz w:val="14"/>
              </w:rPr>
              <w:t> </w:t>
            </w:r>
            <w:r>
              <w:rPr>
                <w:sz w:val="14"/>
              </w:rPr>
              <w:t>(all</w:t>
            </w:r>
            <w:r>
              <w:rPr>
                <w:spacing w:val="-4"/>
                <w:sz w:val="14"/>
              </w:rPr>
              <w:t> </w:t>
            </w:r>
            <w:r>
              <w:rPr>
                <w:sz w:val="14"/>
              </w:rPr>
              <w:t>3</w:t>
            </w:r>
            <w:r>
              <w:rPr>
                <w:spacing w:val="-1"/>
                <w:sz w:val="14"/>
              </w:rPr>
              <w:t> </w:t>
            </w:r>
            <w:r>
              <w:rPr>
                <w:spacing w:val="-2"/>
                <w:sz w:val="14"/>
              </w:rPr>
              <w:t>rooms)</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1,000.00</w:t>
            </w:r>
          </w:p>
        </w:tc>
        <w:tc>
          <w:tcPr>
            <w:tcW w:w="995" w:type="dxa"/>
          </w:tcPr>
          <w:p>
            <w:pPr>
              <w:pStyle w:val="TableParagraph"/>
              <w:spacing w:line="140" w:lineRule="exact" w:before="19"/>
              <w:ind w:right="101"/>
              <w:jc w:val="right"/>
              <w:rPr>
                <w:sz w:val="14"/>
              </w:rPr>
            </w:pPr>
            <w:r>
              <w:rPr>
                <w:spacing w:val="-2"/>
                <w:sz w:val="14"/>
              </w:rPr>
              <w:t>1,075.00</w:t>
            </w:r>
          </w:p>
        </w:tc>
        <w:tc>
          <w:tcPr>
            <w:tcW w:w="861" w:type="dxa"/>
          </w:tcPr>
          <w:p>
            <w:pPr>
              <w:pStyle w:val="TableParagraph"/>
              <w:spacing w:line="140" w:lineRule="exact" w:before="19"/>
              <w:ind w:left="327"/>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4"/>
                <w:sz w:val="14"/>
              </w:rPr>
              <w:t> </w:t>
            </w:r>
            <w:r>
              <w:rPr>
                <w:sz w:val="14"/>
              </w:rPr>
              <w:t>Room</w:t>
            </w:r>
            <w:r>
              <w:rPr>
                <w:spacing w:val="-3"/>
                <w:sz w:val="14"/>
              </w:rPr>
              <w:t> </w:t>
            </w:r>
            <w:r>
              <w:rPr>
                <w:sz w:val="14"/>
              </w:rPr>
              <w:t>Hire</w:t>
            </w:r>
            <w:r>
              <w:rPr>
                <w:spacing w:val="-2"/>
                <w:sz w:val="14"/>
              </w:rPr>
              <w:t> </w:t>
            </w:r>
            <w:r>
              <w:rPr>
                <w:sz w:val="14"/>
              </w:rPr>
              <w:t>-</w:t>
            </w:r>
            <w:r>
              <w:rPr>
                <w:spacing w:val="-6"/>
                <w:sz w:val="14"/>
              </w:rPr>
              <w:t> </w:t>
            </w:r>
            <w:r>
              <w:rPr>
                <w:sz w:val="14"/>
              </w:rPr>
              <w:t>Half</w:t>
            </w:r>
            <w:r>
              <w:rPr>
                <w:spacing w:val="-3"/>
                <w:sz w:val="14"/>
              </w:rPr>
              <w:t> </w:t>
            </w:r>
            <w:r>
              <w:rPr>
                <w:sz w:val="14"/>
              </w:rPr>
              <w:t>Day (5</w:t>
            </w:r>
            <w:r>
              <w:rPr>
                <w:spacing w:val="-3"/>
                <w:sz w:val="14"/>
              </w:rPr>
              <w:t> </w:t>
            </w:r>
            <w:r>
              <w:rPr>
                <w:sz w:val="14"/>
              </w:rPr>
              <w:t>hours)</w:t>
            </w:r>
            <w:r>
              <w:rPr>
                <w:spacing w:val="-3"/>
                <w:sz w:val="14"/>
              </w:rPr>
              <w:t> </w:t>
            </w:r>
            <w:r>
              <w:rPr>
                <w:sz w:val="14"/>
              </w:rPr>
              <w:t>-</w:t>
            </w:r>
            <w:r>
              <w:rPr>
                <w:spacing w:val="-3"/>
                <w:sz w:val="14"/>
              </w:rPr>
              <w:t> </w:t>
            </w:r>
            <w:r>
              <w:rPr>
                <w:sz w:val="14"/>
              </w:rPr>
              <w:t>Maroondah</w:t>
            </w:r>
            <w:r>
              <w:rPr>
                <w:spacing w:val="-2"/>
                <w:sz w:val="14"/>
              </w:rPr>
              <w:t> </w:t>
            </w:r>
            <w:r>
              <w:rPr>
                <w:spacing w:val="-4"/>
                <w:sz w:val="14"/>
              </w:rPr>
              <w:t>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1,000.00</w:t>
            </w:r>
          </w:p>
        </w:tc>
        <w:tc>
          <w:tcPr>
            <w:tcW w:w="995" w:type="dxa"/>
          </w:tcPr>
          <w:p>
            <w:pPr>
              <w:pStyle w:val="TableParagraph"/>
              <w:spacing w:line="140" w:lineRule="exact" w:before="19"/>
              <w:ind w:right="101"/>
              <w:jc w:val="right"/>
              <w:rPr>
                <w:sz w:val="14"/>
              </w:rPr>
            </w:pPr>
            <w:r>
              <w:rPr>
                <w:spacing w:val="-2"/>
                <w:sz w:val="14"/>
              </w:rPr>
              <w:t>1,075.00</w:t>
            </w:r>
          </w:p>
        </w:tc>
        <w:tc>
          <w:tcPr>
            <w:tcW w:w="861" w:type="dxa"/>
          </w:tcPr>
          <w:p>
            <w:pPr>
              <w:pStyle w:val="TableParagraph"/>
              <w:spacing w:line="140" w:lineRule="exact" w:before="19"/>
              <w:ind w:left="327"/>
              <w:rPr>
                <w:sz w:val="14"/>
              </w:rPr>
            </w:pPr>
            <w:r>
              <w:rPr>
                <w:spacing w:val="-5"/>
                <w:sz w:val="14"/>
              </w:rPr>
              <w:t>7.0</w:t>
            </w:r>
          </w:p>
        </w:tc>
      </w:tr>
      <w:tr>
        <w:trPr>
          <w:trHeight w:val="182" w:hRule="atLeast"/>
        </w:trPr>
        <w:tc>
          <w:tcPr>
            <w:tcW w:w="5794" w:type="dxa"/>
          </w:tcPr>
          <w:p>
            <w:pPr>
              <w:pStyle w:val="TableParagraph"/>
              <w:spacing w:line="142" w:lineRule="exact" w:before="19"/>
              <w:ind w:left="107"/>
              <w:rPr>
                <w:sz w:val="14"/>
              </w:rPr>
            </w:pPr>
            <w:r>
              <w:rPr>
                <w:sz w:val="14"/>
              </w:rPr>
              <w:t>Community/NFPl</w:t>
            </w:r>
            <w:r>
              <w:rPr>
                <w:spacing w:val="-6"/>
                <w:sz w:val="14"/>
              </w:rPr>
              <w:t> </w:t>
            </w:r>
            <w:r>
              <w:rPr>
                <w:sz w:val="14"/>
              </w:rPr>
              <w:t>Room</w:t>
            </w:r>
            <w:r>
              <w:rPr>
                <w:spacing w:val="-2"/>
                <w:sz w:val="14"/>
              </w:rPr>
              <w:t> </w:t>
            </w:r>
            <w:r>
              <w:rPr>
                <w:sz w:val="14"/>
              </w:rPr>
              <w:t>Hire</w:t>
            </w:r>
            <w:r>
              <w:rPr>
                <w:spacing w:val="-4"/>
                <w:sz w:val="14"/>
              </w:rPr>
              <w:t> </w:t>
            </w:r>
            <w:r>
              <w:rPr>
                <w:sz w:val="14"/>
              </w:rPr>
              <w:t>-</w:t>
            </w:r>
            <w:r>
              <w:rPr>
                <w:spacing w:val="-3"/>
                <w:sz w:val="14"/>
              </w:rPr>
              <w:t> </w:t>
            </w:r>
            <w:r>
              <w:rPr>
                <w:sz w:val="14"/>
              </w:rPr>
              <w:t>Half</w:t>
            </w:r>
            <w:r>
              <w:rPr>
                <w:spacing w:val="-3"/>
                <w:sz w:val="14"/>
              </w:rPr>
              <w:t> </w:t>
            </w:r>
            <w:r>
              <w:rPr>
                <w:sz w:val="14"/>
              </w:rPr>
              <w:t>Day</w:t>
            </w:r>
            <w:r>
              <w:rPr>
                <w:spacing w:val="-1"/>
                <w:sz w:val="14"/>
              </w:rPr>
              <w:t> </w:t>
            </w:r>
            <w:r>
              <w:rPr>
                <w:sz w:val="14"/>
              </w:rPr>
              <w:t>(5</w:t>
            </w:r>
            <w:r>
              <w:rPr>
                <w:spacing w:val="-4"/>
                <w:sz w:val="14"/>
              </w:rPr>
              <w:t> </w:t>
            </w:r>
            <w:r>
              <w:rPr>
                <w:sz w:val="14"/>
              </w:rPr>
              <w:t>hours)</w:t>
            </w:r>
            <w:r>
              <w:rPr>
                <w:spacing w:val="-5"/>
                <w:sz w:val="14"/>
              </w:rPr>
              <w:t> </w:t>
            </w:r>
            <w:r>
              <w:rPr>
                <w:sz w:val="14"/>
              </w:rPr>
              <w:t>-</w:t>
            </w:r>
            <w:r>
              <w:rPr>
                <w:spacing w:val="-2"/>
                <w:sz w:val="14"/>
              </w:rPr>
              <w:t> </w:t>
            </w:r>
            <w:r>
              <w:rPr>
                <w:sz w:val="14"/>
              </w:rPr>
              <w:t>Maroondah</w:t>
            </w:r>
            <w:r>
              <w:rPr>
                <w:spacing w:val="-5"/>
                <w:sz w:val="14"/>
              </w:rPr>
              <w:t> </w:t>
            </w:r>
            <w:r>
              <w:rPr>
                <w:sz w:val="14"/>
              </w:rPr>
              <w:t>&amp;</w:t>
            </w:r>
            <w:r>
              <w:rPr>
                <w:spacing w:val="-2"/>
                <w:sz w:val="14"/>
              </w:rPr>
              <w:t> </w:t>
            </w:r>
            <w:r>
              <w:rPr>
                <w:sz w:val="14"/>
              </w:rPr>
              <w:t>Mullum</w:t>
            </w:r>
            <w:r>
              <w:rPr>
                <w:spacing w:val="-2"/>
                <w:sz w:val="14"/>
              </w:rPr>
              <w:t> </w:t>
            </w:r>
            <w:r>
              <w:rPr>
                <w:spacing w:val="-4"/>
                <w:sz w:val="14"/>
              </w:rPr>
              <w:t>Rooms</w:t>
            </w:r>
          </w:p>
        </w:tc>
        <w:tc>
          <w:tcPr>
            <w:tcW w:w="1131" w:type="dxa"/>
          </w:tcPr>
          <w:p>
            <w:pPr>
              <w:pStyle w:val="TableParagraph"/>
              <w:spacing w:line="142" w:lineRule="exact" w:before="19"/>
              <w:ind w:left="4"/>
              <w:jc w:val="center"/>
              <w:rPr>
                <w:sz w:val="14"/>
              </w:rPr>
            </w:pPr>
            <w:r>
              <w:rPr>
                <w:w w:val="99"/>
                <w:sz w:val="14"/>
              </w:rPr>
              <w:t>N</w:t>
            </w:r>
          </w:p>
        </w:tc>
        <w:tc>
          <w:tcPr>
            <w:tcW w:w="567" w:type="dxa"/>
          </w:tcPr>
          <w:p>
            <w:pPr>
              <w:pStyle w:val="TableParagraph"/>
              <w:spacing w:line="142" w:lineRule="exact" w:before="19"/>
              <w:ind w:left="159"/>
              <w:rPr>
                <w:sz w:val="14"/>
              </w:rPr>
            </w:pPr>
            <w:r>
              <w:rPr>
                <w:spacing w:val="-5"/>
                <w:sz w:val="14"/>
              </w:rPr>
              <w:t>Yes</w:t>
            </w:r>
          </w:p>
        </w:tc>
        <w:tc>
          <w:tcPr>
            <w:tcW w:w="997" w:type="dxa"/>
          </w:tcPr>
          <w:p>
            <w:pPr>
              <w:pStyle w:val="TableParagraph"/>
              <w:spacing w:line="142" w:lineRule="exact" w:before="19"/>
              <w:ind w:right="100"/>
              <w:jc w:val="right"/>
              <w:rPr>
                <w:sz w:val="14"/>
              </w:rPr>
            </w:pPr>
            <w:r>
              <w:rPr>
                <w:spacing w:val="-2"/>
                <w:sz w:val="14"/>
              </w:rPr>
              <w:t>2,000.00</w:t>
            </w:r>
          </w:p>
        </w:tc>
        <w:tc>
          <w:tcPr>
            <w:tcW w:w="995" w:type="dxa"/>
          </w:tcPr>
          <w:p>
            <w:pPr>
              <w:pStyle w:val="TableParagraph"/>
              <w:spacing w:line="142" w:lineRule="exact" w:before="19"/>
              <w:ind w:right="101"/>
              <w:jc w:val="right"/>
              <w:rPr>
                <w:sz w:val="14"/>
              </w:rPr>
            </w:pPr>
            <w:r>
              <w:rPr>
                <w:spacing w:val="-2"/>
                <w:sz w:val="14"/>
              </w:rPr>
              <w:t>2,150.00</w:t>
            </w:r>
          </w:p>
        </w:tc>
        <w:tc>
          <w:tcPr>
            <w:tcW w:w="861" w:type="dxa"/>
          </w:tcPr>
          <w:p>
            <w:pPr>
              <w:pStyle w:val="TableParagraph"/>
              <w:spacing w:line="142" w:lineRule="exact" w:before="19"/>
              <w:ind w:left="326"/>
              <w:rPr>
                <w:sz w:val="14"/>
              </w:rPr>
            </w:pPr>
            <w:r>
              <w:rPr>
                <w:spacing w:val="-5"/>
                <w:sz w:val="14"/>
              </w:rPr>
              <w:t>7.0</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4"/>
                <w:sz w:val="14"/>
              </w:rPr>
              <w:t> </w:t>
            </w:r>
            <w:r>
              <w:rPr>
                <w:sz w:val="14"/>
              </w:rPr>
              <w:t>Room</w:t>
            </w:r>
            <w:r>
              <w:rPr>
                <w:spacing w:val="-2"/>
                <w:sz w:val="14"/>
              </w:rPr>
              <w:t> </w:t>
            </w:r>
            <w:r>
              <w:rPr>
                <w:sz w:val="14"/>
              </w:rPr>
              <w:t>Hire</w:t>
            </w:r>
            <w:r>
              <w:rPr>
                <w:spacing w:val="-3"/>
                <w:sz w:val="14"/>
              </w:rPr>
              <w:t> </w:t>
            </w:r>
            <w:r>
              <w:rPr>
                <w:sz w:val="14"/>
              </w:rPr>
              <w:t>-</w:t>
            </w:r>
            <w:r>
              <w:rPr>
                <w:spacing w:val="-5"/>
                <w:sz w:val="14"/>
              </w:rPr>
              <w:t> </w:t>
            </w:r>
            <w:r>
              <w:rPr>
                <w:sz w:val="14"/>
              </w:rPr>
              <w:t>Half</w:t>
            </w:r>
            <w:r>
              <w:rPr>
                <w:spacing w:val="-3"/>
                <w:sz w:val="14"/>
              </w:rPr>
              <w:t> </w:t>
            </w:r>
            <w:r>
              <w:rPr>
                <w:sz w:val="14"/>
              </w:rPr>
              <w:t>Day (5</w:t>
            </w:r>
            <w:r>
              <w:rPr>
                <w:spacing w:val="-3"/>
                <w:sz w:val="14"/>
              </w:rPr>
              <w:t> </w:t>
            </w:r>
            <w:r>
              <w:rPr>
                <w:sz w:val="14"/>
              </w:rPr>
              <w:t>hours)</w:t>
            </w:r>
            <w:r>
              <w:rPr>
                <w:spacing w:val="-3"/>
                <w:sz w:val="14"/>
              </w:rPr>
              <w:t> </w:t>
            </w:r>
            <w:r>
              <w:rPr>
                <w:sz w:val="14"/>
              </w:rPr>
              <w:t>-</w:t>
            </w:r>
            <w:r>
              <w:rPr>
                <w:spacing w:val="-2"/>
                <w:sz w:val="14"/>
              </w:rPr>
              <w:t> </w:t>
            </w:r>
            <w:r>
              <w:rPr>
                <w:sz w:val="14"/>
              </w:rPr>
              <w:t>Mt.</w:t>
            </w:r>
            <w:r>
              <w:rPr>
                <w:spacing w:val="-3"/>
                <w:sz w:val="14"/>
              </w:rPr>
              <w:t> </w:t>
            </w:r>
            <w:r>
              <w:rPr>
                <w:sz w:val="14"/>
              </w:rPr>
              <w:t>Dandenong</w:t>
            </w:r>
            <w:r>
              <w:rPr>
                <w:spacing w:val="-1"/>
                <w:sz w:val="14"/>
              </w:rPr>
              <w:t> </w:t>
            </w:r>
            <w:r>
              <w:rPr>
                <w:spacing w:val="-4"/>
                <w:sz w:val="14"/>
              </w:rPr>
              <w:t>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1,500.00</w:t>
            </w:r>
          </w:p>
        </w:tc>
        <w:tc>
          <w:tcPr>
            <w:tcW w:w="995" w:type="dxa"/>
          </w:tcPr>
          <w:p>
            <w:pPr>
              <w:pStyle w:val="TableParagraph"/>
              <w:spacing w:line="140" w:lineRule="exact" w:before="19"/>
              <w:ind w:right="101"/>
              <w:jc w:val="right"/>
              <w:rPr>
                <w:sz w:val="14"/>
              </w:rPr>
            </w:pPr>
            <w:r>
              <w:rPr>
                <w:spacing w:val="-2"/>
                <w:sz w:val="14"/>
              </w:rPr>
              <w:t>1,614.50</w:t>
            </w:r>
          </w:p>
        </w:tc>
        <w:tc>
          <w:tcPr>
            <w:tcW w:w="861" w:type="dxa"/>
          </w:tcPr>
          <w:p>
            <w:pPr>
              <w:pStyle w:val="TableParagraph"/>
              <w:spacing w:line="140" w:lineRule="exact" w:before="19"/>
              <w:ind w:left="327"/>
              <w:rPr>
                <w:sz w:val="14"/>
              </w:rPr>
            </w:pPr>
            <w:r>
              <w:rPr>
                <w:spacing w:val="-5"/>
                <w:sz w:val="14"/>
              </w:rPr>
              <w:t>7.1</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4"/>
                <w:sz w:val="14"/>
              </w:rPr>
              <w:t> </w:t>
            </w:r>
            <w:r>
              <w:rPr>
                <w:sz w:val="14"/>
              </w:rPr>
              <w:t>Room</w:t>
            </w:r>
            <w:r>
              <w:rPr>
                <w:spacing w:val="-2"/>
                <w:sz w:val="14"/>
              </w:rPr>
              <w:t> </w:t>
            </w:r>
            <w:r>
              <w:rPr>
                <w:sz w:val="14"/>
              </w:rPr>
              <w:t>Hire</w:t>
            </w:r>
            <w:r>
              <w:rPr>
                <w:spacing w:val="-2"/>
                <w:sz w:val="14"/>
              </w:rPr>
              <w:t> </w:t>
            </w:r>
            <w:r>
              <w:rPr>
                <w:sz w:val="14"/>
              </w:rPr>
              <w:t>-</w:t>
            </w:r>
            <w:r>
              <w:rPr>
                <w:spacing w:val="-6"/>
                <w:sz w:val="14"/>
              </w:rPr>
              <w:t> </w:t>
            </w:r>
            <w:r>
              <w:rPr>
                <w:sz w:val="14"/>
              </w:rPr>
              <w:t>Half</w:t>
            </w:r>
            <w:r>
              <w:rPr>
                <w:spacing w:val="-2"/>
                <w:sz w:val="14"/>
              </w:rPr>
              <w:t> </w:t>
            </w:r>
            <w:r>
              <w:rPr>
                <w:sz w:val="14"/>
              </w:rPr>
              <w:t>Day</w:t>
            </w:r>
            <w:r>
              <w:rPr>
                <w:spacing w:val="1"/>
                <w:sz w:val="14"/>
              </w:rPr>
              <w:t> </w:t>
            </w:r>
            <w:r>
              <w:rPr>
                <w:sz w:val="14"/>
              </w:rPr>
              <w:t>(5</w:t>
            </w:r>
            <w:r>
              <w:rPr>
                <w:spacing w:val="-4"/>
                <w:sz w:val="14"/>
              </w:rPr>
              <w:t> </w:t>
            </w:r>
            <w:r>
              <w:rPr>
                <w:sz w:val="14"/>
              </w:rPr>
              <w:t>hours)</w:t>
            </w:r>
            <w:r>
              <w:rPr>
                <w:spacing w:val="-2"/>
                <w:sz w:val="14"/>
              </w:rPr>
              <w:t> </w:t>
            </w:r>
            <w:r>
              <w:rPr>
                <w:sz w:val="14"/>
              </w:rPr>
              <w:t>-</w:t>
            </w:r>
            <w:r>
              <w:rPr>
                <w:spacing w:val="-2"/>
                <w:sz w:val="14"/>
              </w:rPr>
              <w:t> </w:t>
            </w:r>
            <w:r>
              <w:rPr>
                <w:sz w:val="14"/>
              </w:rPr>
              <w:t>Mullum</w:t>
            </w:r>
            <w:r>
              <w:rPr>
                <w:spacing w:val="-3"/>
                <w:sz w:val="14"/>
              </w:rPr>
              <w:t> </w:t>
            </w:r>
            <w:r>
              <w:rPr>
                <w:spacing w:val="-4"/>
                <w:sz w:val="14"/>
              </w:rPr>
              <w:t>Room</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1,500.00</w:t>
            </w:r>
          </w:p>
        </w:tc>
        <w:tc>
          <w:tcPr>
            <w:tcW w:w="995" w:type="dxa"/>
          </w:tcPr>
          <w:p>
            <w:pPr>
              <w:pStyle w:val="TableParagraph"/>
              <w:spacing w:line="140" w:lineRule="exact" w:before="19"/>
              <w:ind w:right="101"/>
              <w:jc w:val="right"/>
              <w:rPr>
                <w:sz w:val="14"/>
              </w:rPr>
            </w:pPr>
            <w:r>
              <w:rPr>
                <w:spacing w:val="-2"/>
                <w:sz w:val="14"/>
              </w:rPr>
              <w:t>1,614.50</w:t>
            </w:r>
          </w:p>
        </w:tc>
        <w:tc>
          <w:tcPr>
            <w:tcW w:w="861" w:type="dxa"/>
          </w:tcPr>
          <w:p>
            <w:pPr>
              <w:pStyle w:val="TableParagraph"/>
              <w:spacing w:line="140" w:lineRule="exact" w:before="19"/>
              <w:ind w:left="327"/>
              <w:rPr>
                <w:sz w:val="14"/>
              </w:rPr>
            </w:pPr>
            <w:r>
              <w:rPr>
                <w:spacing w:val="-5"/>
                <w:sz w:val="14"/>
              </w:rPr>
              <w:t>7.1</w:t>
            </w:r>
          </w:p>
        </w:tc>
      </w:tr>
      <w:tr>
        <w:trPr>
          <w:trHeight w:val="179" w:hRule="atLeast"/>
        </w:trPr>
        <w:tc>
          <w:tcPr>
            <w:tcW w:w="5794" w:type="dxa"/>
          </w:tcPr>
          <w:p>
            <w:pPr>
              <w:pStyle w:val="TableParagraph"/>
              <w:spacing w:line="140" w:lineRule="exact" w:before="19"/>
              <w:ind w:left="107"/>
              <w:rPr>
                <w:sz w:val="14"/>
              </w:rPr>
            </w:pPr>
            <w:r>
              <w:rPr>
                <w:sz w:val="14"/>
              </w:rPr>
              <w:t>Community/NFP</w:t>
            </w:r>
            <w:r>
              <w:rPr>
                <w:spacing w:val="-4"/>
                <w:sz w:val="14"/>
              </w:rPr>
              <w:t> </w:t>
            </w:r>
            <w:r>
              <w:rPr>
                <w:sz w:val="14"/>
              </w:rPr>
              <w:t>Room</w:t>
            </w:r>
            <w:r>
              <w:rPr>
                <w:spacing w:val="-2"/>
                <w:sz w:val="14"/>
              </w:rPr>
              <w:t> </w:t>
            </w:r>
            <w:r>
              <w:rPr>
                <w:sz w:val="14"/>
              </w:rPr>
              <w:t>Hire</w:t>
            </w:r>
            <w:r>
              <w:rPr>
                <w:spacing w:val="-2"/>
                <w:sz w:val="14"/>
              </w:rPr>
              <w:t> </w:t>
            </w:r>
            <w:r>
              <w:rPr>
                <w:sz w:val="14"/>
              </w:rPr>
              <w:t>-</w:t>
            </w:r>
            <w:r>
              <w:rPr>
                <w:spacing w:val="-5"/>
                <w:sz w:val="14"/>
              </w:rPr>
              <w:t> </w:t>
            </w:r>
            <w:r>
              <w:rPr>
                <w:sz w:val="14"/>
              </w:rPr>
              <w:t>Half</w:t>
            </w:r>
            <w:r>
              <w:rPr>
                <w:spacing w:val="-2"/>
                <w:sz w:val="14"/>
              </w:rPr>
              <w:t> </w:t>
            </w:r>
            <w:r>
              <w:rPr>
                <w:sz w:val="14"/>
              </w:rPr>
              <w:t>Day (5</w:t>
            </w:r>
            <w:r>
              <w:rPr>
                <w:spacing w:val="-3"/>
                <w:sz w:val="14"/>
              </w:rPr>
              <w:t> </w:t>
            </w:r>
            <w:r>
              <w:rPr>
                <w:sz w:val="14"/>
              </w:rPr>
              <w:t>hours)</w:t>
            </w:r>
            <w:r>
              <w:rPr>
                <w:spacing w:val="-2"/>
                <w:sz w:val="14"/>
              </w:rPr>
              <w:t> </w:t>
            </w:r>
            <w:r>
              <w:rPr>
                <w:sz w:val="14"/>
              </w:rPr>
              <w:t>-</w:t>
            </w:r>
            <w:r>
              <w:rPr>
                <w:spacing w:val="-3"/>
                <w:sz w:val="14"/>
              </w:rPr>
              <w:t> </w:t>
            </w:r>
            <w:r>
              <w:rPr>
                <w:sz w:val="14"/>
              </w:rPr>
              <w:t>Mt</w:t>
            </w:r>
            <w:r>
              <w:rPr>
                <w:spacing w:val="-5"/>
                <w:sz w:val="14"/>
              </w:rPr>
              <w:t> </w:t>
            </w:r>
            <w:r>
              <w:rPr>
                <w:sz w:val="14"/>
              </w:rPr>
              <w:t>Dandenong</w:t>
            </w:r>
            <w:r>
              <w:rPr>
                <w:spacing w:val="-5"/>
                <w:sz w:val="14"/>
              </w:rPr>
              <w:t> </w:t>
            </w:r>
            <w:r>
              <w:rPr>
                <w:sz w:val="14"/>
              </w:rPr>
              <w:t>&amp; Mullum</w:t>
            </w:r>
            <w:r>
              <w:rPr>
                <w:spacing w:val="-2"/>
                <w:sz w:val="14"/>
              </w:rPr>
              <w:t> </w:t>
            </w:r>
            <w:r>
              <w:rPr>
                <w:spacing w:val="-4"/>
                <w:sz w:val="14"/>
              </w:rPr>
              <w:t>Rooms</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1,200.00</w:t>
            </w:r>
          </w:p>
        </w:tc>
        <w:tc>
          <w:tcPr>
            <w:tcW w:w="995" w:type="dxa"/>
          </w:tcPr>
          <w:p>
            <w:pPr>
              <w:pStyle w:val="TableParagraph"/>
              <w:spacing w:line="140" w:lineRule="exact" w:before="19"/>
              <w:ind w:right="101"/>
              <w:jc w:val="right"/>
              <w:rPr>
                <w:sz w:val="14"/>
              </w:rPr>
            </w:pPr>
            <w:r>
              <w:rPr>
                <w:spacing w:val="-2"/>
                <w:sz w:val="14"/>
              </w:rPr>
              <w:t>1,290.00</w:t>
            </w:r>
          </w:p>
        </w:tc>
        <w:tc>
          <w:tcPr>
            <w:tcW w:w="861" w:type="dxa"/>
          </w:tcPr>
          <w:p>
            <w:pPr>
              <w:pStyle w:val="TableParagraph"/>
              <w:spacing w:line="140" w:lineRule="exact" w:before="19"/>
              <w:ind w:left="327"/>
              <w:rPr>
                <w:sz w:val="14"/>
              </w:rPr>
            </w:pPr>
            <w:r>
              <w:rPr>
                <w:spacing w:val="-5"/>
                <w:sz w:val="14"/>
              </w:rPr>
              <w:t>7.0</w:t>
            </w:r>
          </w:p>
        </w:tc>
      </w:tr>
      <w:tr>
        <w:trPr>
          <w:trHeight w:val="267" w:hRule="atLeast"/>
        </w:trPr>
        <w:tc>
          <w:tcPr>
            <w:tcW w:w="5794" w:type="dxa"/>
            <w:tcBorders>
              <w:bottom w:val="single" w:sz="18" w:space="0" w:color="000000"/>
            </w:tcBorders>
            <w:shd w:val="clear" w:color="auto" w:fill="D8D8D8"/>
          </w:tcPr>
          <w:p>
            <w:pPr>
              <w:pStyle w:val="TableParagraph"/>
              <w:spacing w:line="214" w:lineRule="exact" w:before="33"/>
              <w:ind w:left="170"/>
              <w:rPr>
                <w:b/>
                <w:sz w:val="22"/>
              </w:rPr>
            </w:pPr>
            <w:r>
              <w:rPr>
                <w:b/>
                <w:sz w:val="22"/>
              </w:rPr>
              <w:t>Engineering</w:t>
            </w:r>
            <w:r>
              <w:rPr>
                <w:b/>
                <w:spacing w:val="-4"/>
                <w:sz w:val="22"/>
              </w:rPr>
              <w:t> </w:t>
            </w:r>
            <w:r>
              <w:rPr>
                <w:b/>
                <w:sz w:val="22"/>
              </w:rPr>
              <w:t>&amp;</w:t>
            </w:r>
            <w:r>
              <w:rPr>
                <w:b/>
                <w:spacing w:val="-6"/>
                <w:sz w:val="22"/>
              </w:rPr>
              <w:t> </w:t>
            </w:r>
            <w:r>
              <w:rPr>
                <w:b/>
                <w:sz w:val="22"/>
              </w:rPr>
              <w:t>Building</w:t>
            </w:r>
            <w:r>
              <w:rPr>
                <w:b/>
                <w:spacing w:val="-3"/>
                <w:sz w:val="22"/>
              </w:rPr>
              <w:t> </w:t>
            </w:r>
            <w:r>
              <w:rPr>
                <w:b/>
                <w:spacing w:val="-2"/>
                <w:sz w:val="22"/>
              </w:rPr>
              <w:t>Services</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Road</w:t>
            </w:r>
            <w:r>
              <w:rPr>
                <w:b/>
                <w:spacing w:val="-5"/>
                <w:sz w:val="14"/>
              </w:rPr>
              <w:t> </w:t>
            </w:r>
            <w:r>
              <w:rPr>
                <w:b/>
                <w:sz w:val="14"/>
              </w:rPr>
              <w:t>Opening</w:t>
            </w:r>
            <w:r>
              <w:rPr>
                <w:b/>
                <w:spacing w:val="-5"/>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Road</w:t>
            </w:r>
            <w:r>
              <w:rPr>
                <w:spacing w:val="-5"/>
                <w:sz w:val="14"/>
              </w:rPr>
              <w:t> </w:t>
            </w:r>
            <w:r>
              <w:rPr>
                <w:sz w:val="14"/>
              </w:rPr>
              <w:t>Opening</w:t>
            </w:r>
            <w:r>
              <w:rPr>
                <w:spacing w:val="-6"/>
                <w:sz w:val="14"/>
              </w:rPr>
              <w:t> </w:t>
            </w:r>
            <w:r>
              <w:rPr>
                <w:spacing w:val="-2"/>
                <w:sz w:val="14"/>
              </w:rPr>
              <w:t>Permit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277.00</w:t>
            </w:r>
          </w:p>
        </w:tc>
        <w:tc>
          <w:tcPr>
            <w:tcW w:w="995" w:type="dxa"/>
          </w:tcPr>
          <w:p>
            <w:pPr>
              <w:pStyle w:val="TableParagraph"/>
              <w:spacing w:line="140" w:lineRule="exact" w:before="17"/>
              <w:ind w:right="102"/>
              <w:jc w:val="right"/>
              <w:rPr>
                <w:sz w:val="14"/>
              </w:rPr>
            </w:pPr>
            <w:r>
              <w:rPr>
                <w:spacing w:val="-2"/>
                <w:sz w:val="14"/>
              </w:rPr>
              <w:t>298.00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Retrospective</w:t>
            </w:r>
            <w:r>
              <w:rPr>
                <w:spacing w:val="-8"/>
                <w:sz w:val="14"/>
              </w:rPr>
              <w:t> </w:t>
            </w:r>
            <w:r>
              <w:rPr>
                <w:sz w:val="14"/>
              </w:rPr>
              <w:t>Road</w:t>
            </w:r>
            <w:r>
              <w:rPr>
                <w:spacing w:val="-5"/>
                <w:sz w:val="14"/>
              </w:rPr>
              <w:t> </w:t>
            </w:r>
            <w:r>
              <w:rPr>
                <w:sz w:val="14"/>
              </w:rPr>
              <w:t>Opening</w:t>
            </w:r>
            <w:r>
              <w:rPr>
                <w:spacing w:val="-7"/>
                <w:sz w:val="14"/>
              </w:rPr>
              <w:t> </w:t>
            </w:r>
            <w:r>
              <w:rPr>
                <w:spacing w:val="-2"/>
                <w:sz w:val="14"/>
              </w:rPr>
              <w:t>Permit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416.00</w:t>
            </w:r>
          </w:p>
        </w:tc>
        <w:tc>
          <w:tcPr>
            <w:tcW w:w="995" w:type="dxa"/>
          </w:tcPr>
          <w:p>
            <w:pPr>
              <w:pStyle w:val="TableParagraph"/>
              <w:spacing w:line="140" w:lineRule="exact" w:before="17"/>
              <w:ind w:right="102"/>
              <w:jc w:val="right"/>
              <w:rPr>
                <w:sz w:val="14"/>
              </w:rPr>
            </w:pPr>
            <w:r>
              <w:rPr>
                <w:spacing w:val="-2"/>
                <w:sz w:val="14"/>
              </w:rPr>
              <w:t>447.00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b/>
                <w:sz w:val="14"/>
              </w:rPr>
            </w:pPr>
            <w:r>
              <w:rPr>
                <w:b/>
                <w:sz w:val="14"/>
              </w:rPr>
              <w:t>Flood/Overland</w:t>
            </w:r>
            <w:r>
              <w:rPr>
                <w:b/>
                <w:spacing w:val="-7"/>
                <w:sz w:val="14"/>
              </w:rPr>
              <w:t> </w:t>
            </w:r>
            <w:r>
              <w:rPr>
                <w:b/>
                <w:sz w:val="14"/>
              </w:rPr>
              <w:t>Flow</w:t>
            </w:r>
            <w:r>
              <w:rPr>
                <w:b/>
                <w:spacing w:val="-9"/>
                <w:sz w:val="14"/>
              </w:rPr>
              <w:t> </w:t>
            </w:r>
            <w:r>
              <w:rPr>
                <w:b/>
                <w:spacing w:val="-2"/>
                <w:sz w:val="14"/>
              </w:rPr>
              <w:t>Information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Build</w:t>
            </w:r>
            <w:r>
              <w:rPr>
                <w:spacing w:val="-5"/>
                <w:sz w:val="14"/>
              </w:rPr>
              <w:t> </w:t>
            </w:r>
            <w:r>
              <w:rPr>
                <w:sz w:val="14"/>
              </w:rPr>
              <w:t>on</w:t>
            </w:r>
            <w:r>
              <w:rPr>
                <w:spacing w:val="-3"/>
                <w:sz w:val="14"/>
              </w:rPr>
              <w:t> </w:t>
            </w:r>
            <w:r>
              <w:rPr>
                <w:sz w:val="14"/>
              </w:rPr>
              <w:t>flood</w:t>
            </w:r>
            <w:r>
              <w:rPr>
                <w:spacing w:val="-4"/>
                <w:sz w:val="14"/>
              </w:rPr>
              <w:t> </w:t>
            </w:r>
            <w:r>
              <w:rPr>
                <w:sz w:val="14"/>
              </w:rPr>
              <w:t>prone</w:t>
            </w:r>
            <w:r>
              <w:rPr>
                <w:spacing w:val="-4"/>
                <w:sz w:val="14"/>
              </w:rPr>
              <w:t> land</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311.80</w:t>
            </w:r>
          </w:p>
        </w:tc>
        <w:tc>
          <w:tcPr>
            <w:tcW w:w="995" w:type="dxa"/>
          </w:tcPr>
          <w:p>
            <w:pPr>
              <w:pStyle w:val="TableParagraph"/>
              <w:spacing w:line="140" w:lineRule="exact" w:before="17"/>
              <w:ind w:right="102"/>
              <w:jc w:val="right"/>
              <w:rPr>
                <w:sz w:val="14"/>
              </w:rPr>
            </w:pPr>
            <w:r>
              <w:rPr>
                <w:spacing w:val="-2"/>
                <w:sz w:val="14"/>
              </w:rPr>
              <w:t>320.25</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b/>
                <w:sz w:val="14"/>
              </w:rPr>
            </w:pPr>
            <w:r>
              <w:rPr>
                <w:b/>
                <w:sz w:val="14"/>
              </w:rPr>
              <w:t>Legal</w:t>
            </w:r>
            <w:r>
              <w:rPr>
                <w:b/>
                <w:spacing w:val="-3"/>
                <w:sz w:val="14"/>
              </w:rPr>
              <w:t> </w:t>
            </w:r>
            <w:r>
              <w:rPr>
                <w:b/>
                <w:sz w:val="14"/>
              </w:rPr>
              <w:t>Point</w:t>
            </w:r>
            <w:r>
              <w:rPr>
                <w:b/>
                <w:spacing w:val="-3"/>
                <w:sz w:val="14"/>
              </w:rPr>
              <w:t> </w:t>
            </w:r>
            <w:r>
              <w:rPr>
                <w:b/>
                <w:sz w:val="14"/>
              </w:rPr>
              <w:t>of</w:t>
            </w:r>
            <w:r>
              <w:rPr>
                <w:b/>
                <w:spacing w:val="-5"/>
                <w:sz w:val="14"/>
              </w:rPr>
              <w:t> </w:t>
            </w:r>
            <w:r>
              <w:rPr>
                <w:b/>
                <w:spacing w:val="-2"/>
                <w:sz w:val="14"/>
              </w:rPr>
              <w:t>Discharge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210" w:hRule="atLeast"/>
        </w:trPr>
        <w:tc>
          <w:tcPr>
            <w:tcW w:w="5794" w:type="dxa"/>
          </w:tcPr>
          <w:p>
            <w:pPr>
              <w:pStyle w:val="TableParagraph"/>
              <w:spacing w:line="140" w:lineRule="exact" w:before="51"/>
              <w:ind w:left="107"/>
              <w:rPr>
                <w:sz w:val="14"/>
              </w:rPr>
            </w:pPr>
            <w:r>
              <w:rPr>
                <w:sz w:val="14"/>
              </w:rPr>
              <w:t>Issue</w:t>
            </w:r>
            <w:r>
              <w:rPr>
                <w:spacing w:val="-4"/>
                <w:sz w:val="14"/>
              </w:rPr>
              <w:t> </w:t>
            </w:r>
            <w:r>
              <w:rPr>
                <w:sz w:val="14"/>
              </w:rPr>
              <w:t>of</w:t>
            </w:r>
            <w:r>
              <w:rPr>
                <w:spacing w:val="-2"/>
                <w:sz w:val="14"/>
              </w:rPr>
              <w:t> </w:t>
            </w:r>
            <w:r>
              <w:rPr>
                <w:sz w:val="14"/>
              </w:rPr>
              <w:t>Legal</w:t>
            </w:r>
            <w:r>
              <w:rPr>
                <w:spacing w:val="-5"/>
                <w:sz w:val="14"/>
              </w:rPr>
              <w:t> </w:t>
            </w:r>
            <w:r>
              <w:rPr>
                <w:sz w:val="14"/>
              </w:rPr>
              <w:t>Point</w:t>
            </w:r>
            <w:r>
              <w:rPr>
                <w:spacing w:val="-2"/>
                <w:sz w:val="14"/>
              </w:rPr>
              <w:t> </w:t>
            </w:r>
            <w:r>
              <w:rPr>
                <w:sz w:val="14"/>
              </w:rPr>
              <w:t>of</w:t>
            </w:r>
            <w:r>
              <w:rPr>
                <w:spacing w:val="-1"/>
                <w:sz w:val="14"/>
              </w:rPr>
              <w:t> </w:t>
            </w:r>
            <w:r>
              <w:rPr>
                <w:sz w:val="14"/>
              </w:rPr>
              <w:t>Discharge,</w:t>
            </w:r>
            <w:r>
              <w:rPr>
                <w:spacing w:val="-3"/>
                <w:sz w:val="14"/>
              </w:rPr>
              <w:t> </w:t>
            </w:r>
            <w:r>
              <w:rPr>
                <w:sz w:val="14"/>
              </w:rPr>
              <w:t>Fees</w:t>
            </w:r>
            <w:r>
              <w:rPr>
                <w:spacing w:val="-1"/>
                <w:sz w:val="14"/>
              </w:rPr>
              <w:t> </w:t>
            </w:r>
            <w:r>
              <w:rPr>
                <w:sz w:val="14"/>
              </w:rPr>
              <w:t>in</w:t>
            </w:r>
            <w:r>
              <w:rPr>
                <w:spacing w:val="-6"/>
                <w:sz w:val="14"/>
              </w:rPr>
              <w:t> </w:t>
            </w:r>
            <w:r>
              <w:rPr>
                <w:sz w:val="14"/>
              </w:rPr>
              <w:t>accordance</w:t>
            </w:r>
            <w:r>
              <w:rPr>
                <w:spacing w:val="-3"/>
                <w:sz w:val="14"/>
              </w:rPr>
              <w:t> </w:t>
            </w:r>
            <w:r>
              <w:rPr>
                <w:sz w:val="14"/>
              </w:rPr>
              <w:t>with</w:t>
            </w:r>
            <w:r>
              <w:rPr>
                <w:spacing w:val="-3"/>
                <w:sz w:val="14"/>
              </w:rPr>
              <w:t> </w:t>
            </w:r>
            <w:r>
              <w:rPr>
                <w:sz w:val="14"/>
              </w:rPr>
              <w:t>Statutory</w:t>
            </w:r>
            <w:r>
              <w:rPr>
                <w:spacing w:val="-5"/>
                <w:sz w:val="14"/>
              </w:rPr>
              <w:t> </w:t>
            </w:r>
            <w:r>
              <w:rPr>
                <w:sz w:val="14"/>
              </w:rPr>
              <w:t>Building</w:t>
            </w:r>
            <w:r>
              <w:rPr>
                <w:spacing w:val="-2"/>
                <w:sz w:val="14"/>
              </w:rPr>
              <w:t> </w:t>
            </w:r>
            <w:r>
              <w:rPr>
                <w:spacing w:val="-4"/>
                <w:sz w:val="14"/>
              </w:rPr>
              <w:t>Regs</w:t>
            </w:r>
          </w:p>
        </w:tc>
        <w:tc>
          <w:tcPr>
            <w:tcW w:w="1131" w:type="dxa"/>
          </w:tcPr>
          <w:p>
            <w:pPr>
              <w:pStyle w:val="TableParagraph"/>
              <w:spacing w:line="140" w:lineRule="exact" w:before="51"/>
              <w:ind w:left="7"/>
              <w:jc w:val="center"/>
              <w:rPr>
                <w:sz w:val="14"/>
              </w:rPr>
            </w:pPr>
            <w:r>
              <w:rPr>
                <w:w w:val="99"/>
                <w:sz w:val="14"/>
              </w:rPr>
              <w:t>S</w:t>
            </w:r>
          </w:p>
        </w:tc>
        <w:tc>
          <w:tcPr>
            <w:tcW w:w="567" w:type="dxa"/>
          </w:tcPr>
          <w:p>
            <w:pPr>
              <w:pStyle w:val="TableParagraph"/>
              <w:spacing w:line="140" w:lineRule="exact" w:before="51"/>
              <w:ind w:left="190"/>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155.35</w:t>
            </w:r>
          </w:p>
        </w:tc>
        <w:tc>
          <w:tcPr>
            <w:tcW w:w="995" w:type="dxa"/>
          </w:tcPr>
          <w:p>
            <w:pPr>
              <w:pStyle w:val="TableParagraph"/>
              <w:spacing w:line="140" w:lineRule="exact" w:before="51"/>
              <w:ind w:right="102"/>
              <w:jc w:val="right"/>
              <w:rPr>
                <w:sz w:val="14"/>
              </w:rPr>
            </w:pPr>
            <w:r>
              <w:rPr>
                <w:spacing w:val="-2"/>
                <w:sz w:val="14"/>
              </w:rPr>
              <w:t>231.40</w:t>
            </w:r>
          </w:p>
        </w:tc>
        <w:tc>
          <w:tcPr>
            <w:tcW w:w="861" w:type="dxa"/>
          </w:tcPr>
          <w:p>
            <w:pPr>
              <w:pStyle w:val="TableParagraph"/>
              <w:spacing w:line="140" w:lineRule="exact" w:before="51"/>
              <w:ind w:left="288"/>
              <w:rPr>
                <w:sz w:val="14"/>
              </w:rPr>
            </w:pPr>
            <w:r>
              <w:rPr>
                <w:spacing w:val="-4"/>
                <w:sz w:val="14"/>
              </w:rPr>
              <w:t>32.9</w:t>
            </w:r>
          </w:p>
        </w:tc>
      </w:tr>
      <w:tr>
        <w:trPr>
          <w:trHeight w:val="177" w:hRule="atLeast"/>
        </w:trPr>
        <w:tc>
          <w:tcPr>
            <w:tcW w:w="5794" w:type="dxa"/>
          </w:tcPr>
          <w:p>
            <w:pPr>
              <w:pStyle w:val="TableParagraph"/>
              <w:spacing w:line="140" w:lineRule="exact" w:before="17"/>
              <w:ind w:left="107"/>
              <w:rPr>
                <w:b/>
                <w:sz w:val="14"/>
              </w:rPr>
            </w:pPr>
            <w:r>
              <w:rPr>
                <w:b/>
                <w:sz w:val="14"/>
              </w:rPr>
              <w:t>Vehicle</w:t>
            </w:r>
            <w:r>
              <w:rPr>
                <w:b/>
                <w:spacing w:val="-6"/>
                <w:sz w:val="14"/>
              </w:rPr>
              <w:t> </w:t>
            </w:r>
            <w:r>
              <w:rPr>
                <w:b/>
                <w:sz w:val="14"/>
              </w:rPr>
              <w:t>Crossing</w:t>
            </w:r>
            <w:r>
              <w:rPr>
                <w:b/>
                <w:spacing w:val="-4"/>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Vehicle</w:t>
            </w:r>
            <w:r>
              <w:rPr>
                <w:spacing w:val="-4"/>
                <w:sz w:val="14"/>
              </w:rPr>
              <w:t> </w:t>
            </w:r>
            <w:r>
              <w:rPr>
                <w:sz w:val="14"/>
              </w:rPr>
              <w:t>Crossing</w:t>
            </w:r>
            <w:r>
              <w:rPr>
                <w:spacing w:val="-5"/>
                <w:sz w:val="14"/>
              </w:rPr>
              <w:t> </w:t>
            </w:r>
            <w:r>
              <w:rPr>
                <w:sz w:val="14"/>
              </w:rPr>
              <w:t>Inspections</w:t>
            </w:r>
            <w:r>
              <w:rPr>
                <w:spacing w:val="-4"/>
                <w:sz w:val="14"/>
              </w:rPr>
              <w:t> </w:t>
            </w:r>
            <w:r>
              <w:rPr>
                <w:sz w:val="14"/>
              </w:rPr>
              <w:t>/</w:t>
            </w:r>
            <w:r>
              <w:rPr>
                <w:spacing w:val="-3"/>
                <w:sz w:val="14"/>
              </w:rPr>
              <w:t> </w:t>
            </w:r>
            <w:r>
              <w:rPr>
                <w:sz w:val="14"/>
              </w:rPr>
              <w:t>User</w:t>
            </w:r>
            <w:r>
              <w:rPr>
                <w:spacing w:val="-5"/>
                <w:sz w:val="14"/>
              </w:rPr>
              <w:t> </w:t>
            </w:r>
            <w:r>
              <w:rPr>
                <w:sz w:val="14"/>
              </w:rPr>
              <w:t>charges</w:t>
            </w:r>
            <w:r>
              <w:rPr>
                <w:spacing w:val="-1"/>
                <w:sz w:val="14"/>
              </w:rPr>
              <w:t> </w:t>
            </w:r>
            <w:r>
              <w:rPr>
                <w:sz w:val="14"/>
              </w:rPr>
              <w:t>Fees</w:t>
            </w:r>
            <w:r>
              <w:rPr>
                <w:spacing w:val="-4"/>
                <w:sz w:val="14"/>
              </w:rPr>
              <w:t> </w:t>
            </w:r>
            <w:r>
              <w:rPr>
                <w:sz w:val="14"/>
              </w:rPr>
              <w:t>&amp;</w:t>
            </w:r>
            <w:r>
              <w:rPr>
                <w:spacing w:val="-1"/>
                <w:sz w:val="14"/>
              </w:rPr>
              <w:t> </w:t>
            </w:r>
            <w:r>
              <w:rPr>
                <w:spacing w:val="-4"/>
                <w:sz w:val="14"/>
              </w:rPr>
              <w:t>Fines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277.00</w:t>
            </w:r>
          </w:p>
        </w:tc>
        <w:tc>
          <w:tcPr>
            <w:tcW w:w="995" w:type="dxa"/>
          </w:tcPr>
          <w:p>
            <w:pPr>
              <w:pStyle w:val="TableParagraph"/>
              <w:spacing w:line="140" w:lineRule="exact" w:before="17"/>
              <w:ind w:right="102"/>
              <w:jc w:val="right"/>
              <w:rPr>
                <w:sz w:val="14"/>
              </w:rPr>
            </w:pPr>
            <w:r>
              <w:rPr>
                <w:spacing w:val="-2"/>
                <w:sz w:val="14"/>
              </w:rPr>
              <w:t>298.00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Retrospective</w:t>
            </w:r>
            <w:r>
              <w:rPr>
                <w:spacing w:val="-8"/>
                <w:sz w:val="14"/>
              </w:rPr>
              <w:t> </w:t>
            </w:r>
            <w:r>
              <w:rPr>
                <w:sz w:val="14"/>
              </w:rPr>
              <w:t>Vehicle</w:t>
            </w:r>
            <w:r>
              <w:rPr>
                <w:spacing w:val="-4"/>
                <w:sz w:val="14"/>
              </w:rPr>
              <w:t> </w:t>
            </w:r>
            <w:r>
              <w:rPr>
                <w:spacing w:val="-2"/>
                <w:sz w:val="14"/>
              </w:rPr>
              <w:t>Crossing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416.00</w:t>
            </w:r>
          </w:p>
        </w:tc>
        <w:tc>
          <w:tcPr>
            <w:tcW w:w="995" w:type="dxa"/>
          </w:tcPr>
          <w:p>
            <w:pPr>
              <w:pStyle w:val="TableParagraph"/>
              <w:spacing w:line="140" w:lineRule="exact" w:before="17"/>
              <w:ind w:right="102"/>
              <w:jc w:val="right"/>
              <w:rPr>
                <w:sz w:val="14"/>
              </w:rPr>
            </w:pPr>
            <w:r>
              <w:rPr>
                <w:spacing w:val="-2"/>
                <w:sz w:val="14"/>
              </w:rPr>
              <w:t>447.00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b/>
                <w:sz w:val="14"/>
              </w:rPr>
            </w:pPr>
            <w:r>
              <w:rPr>
                <w:b/>
                <w:spacing w:val="-2"/>
                <w:sz w:val="14"/>
              </w:rPr>
              <w:t>Drainage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Drainage</w:t>
            </w:r>
            <w:r>
              <w:rPr>
                <w:spacing w:val="-4"/>
                <w:sz w:val="14"/>
              </w:rPr>
              <w:t> </w:t>
            </w:r>
            <w:r>
              <w:rPr>
                <w:sz w:val="14"/>
              </w:rPr>
              <w:t>Fee</w:t>
            </w:r>
            <w:r>
              <w:rPr>
                <w:spacing w:val="-4"/>
                <w:sz w:val="14"/>
              </w:rPr>
              <w:t> </w:t>
            </w:r>
            <w:r>
              <w:rPr>
                <w:sz w:val="14"/>
              </w:rPr>
              <w:t>-</w:t>
            </w:r>
            <w:r>
              <w:rPr>
                <w:spacing w:val="-6"/>
                <w:sz w:val="14"/>
              </w:rPr>
              <w:t> </w:t>
            </w:r>
            <w:r>
              <w:rPr>
                <w:sz w:val="14"/>
              </w:rPr>
              <w:t>Stormwater</w:t>
            </w:r>
            <w:r>
              <w:rPr>
                <w:spacing w:val="-6"/>
                <w:sz w:val="14"/>
              </w:rPr>
              <w:t> </w:t>
            </w:r>
            <w:r>
              <w:rPr>
                <w:sz w:val="14"/>
              </w:rPr>
              <w:t>Flood</w:t>
            </w:r>
            <w:r>
              <w:rPr>
                <w:spacing w:val="-4"/>
                <w:sz w:val="14"/>
              </w:rPr>
              <w:t> </w:t>
            </w:r>
            <w:r>
              <w:rPr>
                <w:sz w:val="14"/>
              </w:rPr>
              <w:t>Modelling</w:t>
            </w:r>
            <w:r>
              <w:rPr>
                <w:spacing w:val="-4"/>
                <w:sz w:val="14"/>
              </w:rPr>
              <w:t> </w:t>
            </w:r>
            <w:r>
              <w:rPr>
                <w:spacing w:val="-2"/>
                <w:sz w:val="14"/>
              </w:rPr>
              <w:t>Information</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1"/>
              <w:jc w:val="right"/>
              <w:rPr>
                <w:sz w:val="14"/>
              </w:rPr>
            </w:pPr>
            <w:r>
              <w:rPr>
                <w:spacing w:val="-2"/>
                <w:sz w:val="14"/>
              </w:rPr>
              <w:t>65.00</w:t>
            </w:r>
          </w:p>
        </w:tc>
        <w:tc>
          <w:tcPr>
            <w:tcW w:w="995" w:type="dxa"/>
          </w:tcPr>
          <w:p>
            <w:pPr>
              <w:pStyle w:val="TableParagraph"/>
              <w:spacing w:line="142" w:lineRule="exact" w:before="15"/>
              <w:ind w:right="102"/>
              <w:jc w:val="right"/>
              <w:rPr>
                <w:sz w:val="14"/>
              </w:rPr>
            </w:pPr>
            <w:r>
              <w:rPr>
                <w:spacing w:val="-2"/>
                <w:sz w:val="14"/>
              </w:rPr>
              <w:t>70.00</w:t>
            </w:r>
          </w:p>
        </w:tc>
        <w:tc>
          <w:tcPr>
            <w:tcW w:w="861" w:type="dxa"/>
          </w:tcPr>
          <w:p>
            <w:pPr>
              <w:pStyle w:val="TableParagraph"/>
              <w:spacing w:line="142" w:lineRule="exact" w:before="15"/>
              <w:ind w:left="327"/>
              <w:rPr>
                <w:sz w:val="14"/>
              </w:rPr>
            </w:pPr>
            <w:r>
              <w:rPr>
                <w:spacing w:val="-5"/>
                <w:sz w:val="14"/>
              </w:rPr>
              <w:t>7.1</w:t>
            </w:r>
          </w:p>
        </w:tc>
      </w:tr>
      <w:tr>
        <w:trPr>
          <w:trHeight w:val="174" w:hRule="atLeast"/>
        </w:trPr>
        <w:tc>
          <w:tcPr>
            <w:tcW w:w="5794" w:type="dxa"/>
          </w:tcPr>
          <w:p>
            <w:pPr>
              <w:pStyle w:val="TableParagraph"/>
              <w:spacing w:line="140" w:lineRule="exact" w:before="15"/>
              <w:ind w:left="107"/>
              <w:rPr>
                <w:b/>
                <w:sz w:val="14"/>
              </w:rPr>
            </w:pPr>
            <w:r>
              <w:rPr>
                <w:b/>
                <w:sz w:val="14"/>
              </w:rPr>
              <w:t>Occupation</w:t>
            </w:r>
            <w:r>
              <w:rPr>
                <w:b/>
                <w:spacing w:val="-7"/>
                <w:sz w:val="14"/>
              </w:rPr>
              <w:t> </w:t>
            </w:r>
            <w:r>
              <w:rPr>
                <w:b/>
                <w:sz w:val="14"/>
              </w:rPr>
              <w:t>Road</w:t>
            </w:r>
            <w:r>
              <w:rPr>
                <w:b/>
                <w:spacing w:val="-6"/>
                <w:sz w:val="14"/>
              </w:rPr>
              <w:t> </w:t>
            </w:r>
            <w:r>
              <w:rPr>
                <w:b/>
                <w:sz w:val="14"/>
              </w:rPr>
              <w:t>Reserve</w:t>
            </w:r>
            <w:r>
              <w:rPr>
                <w:b/>
                <w:spacing w:val="-7"/>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5"/>
                <w:sz w:val="14"/>
              </w:rPr>
              <w:t> </w:t>
            </w:r>
            <w:r>
              <w:rPr>
                <w:sz w:val="14"/>
              </w:rPr>
              <w:t>Zone</w:t>
            </w:r>
            <w:r>
              <w:rPr>
                <w:spacing w:val="-5"/>
                <w:sz w:val="14"/>
              </w:rPr>
              <w:t> </w:t>
            </w:r>
            <w:r>
              <w:rPr>
                <w:sz w:val="14"/>
              </w:rPr>
              <w:t>(Residential/industrial</w:t>
            </w:r>
            <w:r>
              <w:rPr>
                <w:spacing w:val="-5"/>
                <w:sz w:val="14"/>
              </w:rPr>
              <w:t> </w:t>
            </w:r>
            <w:r>
              <w:rPr>
                <w:sz w:val="14"/>
              </w:rPr>
              <w:t>occupation</w:t>
            </w:r>
            <w:r>
              <w:rPr>
                <w:spacing w:val="-5"/>
                <w:sz w:val="14"/>
              </w:rPr>
              <w:t> </w:t>
            </w:r>
            <w:r>
              <w:rPr>
                <w:sz w:val="14"/>
              </w:rPr>
              <w:t>rate</w:t>
            </w:r>
            <w:r>
              <w:rPr>
                <w:spacing w:val="-6"/>
                <w:sz w:val="14"/>
              </w:rPr>
              <w:t> </w:t>
            </w:r>
            <w:r>
              <w:rPr>
                <w:sz w:val="14"/>
              </w:rPr>
              <w:t>$</w:t>
            </w:r>
            <w:r>
              <w:rPr>
                <w:spacing w:val="-2"/>
                <w:sz w:val="14"/>
              </w:rPr>
              <w:t> </w:t>
            </w:r>
            <w:r>
              <w:rPr>
                <w:sz w:val="14"/>
              </w:rPr>
              <w:t>per</w:t>
            </w:r>
            <w:r>
              <w:rPr>
                <w:spacing w:val="-7"/>
                <w:sz w:val="14"/>
              </w:rPr>
              <w:t> </w:t>
            </w:r>
            <w:r>
              <w:rPr>
                <w:sz w:val="14"/>
              </w:rPr>
              <w:t>sqm</w:t>
            </w:r>
            <w:r>
              <w:rPr>
                <w:spacing w:val="-4"/>
                <w:sz w:val="14"/>
              </w:rPr>
              <w:t> </w:t>
            </w:r>
            <w:r>
              <w:rPr>
                <w:sz w:val="14"/>
              </w:rPr>
              <w:t>per</w:t>
            </w:r>
            <w:r>
              <w:rPr>
                <w:spacing w:val="-6"/>
                <w:sz w:val="14"/>
              </w:rPr>
              <w:t> </w:t>
            </w:r>
            <w:r>
              <w:rPr>
                <w:spacing w:val="-4"/>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0.68</w:t>
            </w:r>
          </w:p>
        </w:tc>
        <w:tc>
          <w:tcPr>
            <w:tcW w:w="995" w:type="dxa"/>
          </w:tcPr>
          <w:p>
            <w:pPr>
              <w:pStyle w:val="TableParagraph"/>
              <w:spacing w:line="140" w:lineRule="exact" w:before="17"/>
              <w:ind w:right="101"/>
              <w:jc w:val="right"/>
              <w:rPr>
                <w:sz w:val="14"/>
              </w:rPr>
            </w:pPr>
            <w:r>
              <w:rPr>
                <w:spacing w:val="-4"/>
                <w:sz w:val="14"/>
              </w:rPr>
              <w:t>0.73</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6"/>
                <w:sz w:val="14"/>
              </w:rPr>
              <w:t> </w:t>
            </w:r>
            <w:r>
              <w:rPr>
                <w:sz w:val="14"/>
              </w:rPr>
              <w:t>Zone</w:t>
            </w:r>
            <w:r>
              <w:rPr>
                <w:spacing w:val="-6"/>
                <w:sz w:val="14"/>
              </w:rPr>
              <w:t> </w:t>
            </w:r>
            <w:r>
              <w:rPr>
                <w:sz w:val="14"/>
              </w:rPr>
              <w:t>permit</w:t>
            </w:r>
            <w:r>
              <w:rPr>
                <w:spacing w:val="-5"/>
                <w:sz w:val="14"/>
              </w:rPr>
              <w:t> </w:t>
            </w:r>
            <w:r>
              <w:rPr>
                <w:sz w:val="14"/>
              </w:rPr>
              <w:t>application</w:t>
            </w:r>
            <w:r>
              <w:rPr>
                <w:spacing w:val="-3"/>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117.00</w:t>
            </w:r>
          </w:p>
        </w:tc>
        <w:tc>
          <w:tcPr>
            <w:tcW w:w="995" w:type="dxa"/>
          </w:tcPr>
          <w:p>
            <w:pPr>
              <w:pStyle w:val="TableParagraph"/>
              <w:spacing w:line="140" w:lineRule="exact" w:before="17"/>
              <w:ind w:right="102"/>
              <w:jc w:val="right"/>
              <w:rPr>
                <w:sz w:val="14"/>
              </w:rPr>
            </w:pPr>
            <w:r>
              <w:rPr>
                <w:spacing w:val="-2"/>
                <w:sz w:val="14"/>
              </w:rPr>
              <w:t>126.00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6"/>
                <w:sz w:val="14"/>
              </w:rPr>
              <w:t> </w:t>
            </w:r>
            <w:r>
              <w:rPr>
                <w:sz w:val="14"/>
              </w:rPr>
              <w:t>Zone</w:t>
            </w:r>
            <w:r>
              <w:rPr>
                <w:spacing w:val="-7"/>
                <w:sz w:val="14"/>
              </w:rPr>
              <w:t> </w:t>
            </w:r>
            <w:r>
              <w:rPr>
                <w:sz w:val="14"/>
              </w:rPr>
              <w:t>permit</w:t>
            </w:r>
            <w:r>
              <w:rPr>
                <w:spacing w:val="-5"/>
                <w:sz w:val="14"/>
              </w:rPr>
              <w:t> </w:t>
            </w:r>
            <w:r>
              <w:rPr>
                <w:sz w:val="14"/>
              </w:rPr>
              <w:t>administration</w:t>
            </w:r>
            <w:r>
              <w:rPr>
                <w:spacing w:val="-7"/>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645.00</w:t>
            </w:r>
          </w:p>
        </w:tc>
        <w:tc>
          <w:tcPr>
            <w:tcW w:w="995" w:type="dxa"/>
          </w:tcPr>
          <w:p>
            <w:pPr>
              <w:pStyle w:val="TableParagraph"/>
              <w:spacing w:line="140" w:lineRule="exact" w:before="17"/>
              <w:ind w:right="102"/>
              <w:jc w:val="right"/>
              <w:rPr>
                <w:sz w:val="14"/>
              </w:rPr>
            </w:pPr>
            <w:r>
              <w:rPr>
                <w:spacing w:val="-2"/>
                <w:sz w:val="14"/>
              </w:rPr>
              <w:t>693.00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4"/>
                <w:sz w:val="14"/>
              </w:rPr>
              <w:t> </w:t>
            </w:r>
            <w:r>
              <w:rPr>
                <w:sz w:val="14"/>
              </w:rPr>
              <w:t>Zone</w:t>
            </w:r>
            <w:r>
              <w:rPr>
                <w:spacing w:val="-4"/>
                <w:sz w:val="14"/>
              </w:rPr>
              <w:t> </w:t>
            </w:r>
            <w:r>
              <w:rPr>
                <w:sz w:val="14"/>
              </w:rPr>
              <w:t>Occupation</w:t>
            </w:r>
            <w:r>
              <w:rPr>
                <w:spacing w:val="-3"/>
                <w:sz w:val="14"/>
              </w:rPr>
              <w:t> </w:t>
            </w:r>
            <w:r>
              <w:rPr>
                <w:sz w:val="14"/>
              </w:rPr>
              <w:t>(rate</w:t>
            </w:r>
            <w:r>
              <w:rPr>
                <w:spacing w:val="-2"/>
                <w:sz w:val="14"/>
              </w:rPr>
              <w:t> </w:t>
            </w:r>
            <w:r>
              <w:rPr>
                <w:sz w:val="14"/>
              </w:rPr>
              <w:t>$</w:t>
            </w:r>
            <w:r>
              <w:rPr>
                <w:spacing w:val="-6"/>
                <w:sz w:val="14"/>
              </w:rPr>
              <w:t> </w:t>
            </w:r>
            <w:r>
              <w:rPr>
                <w:sz w:val="14"/>
              </w:rPr>
              <w:t>per</w:t>
            </w:r>
            <w:r>
              <w:rPr>
                <w:spacing w:val="-5"/>
                <w:sz w:val="14"/>
              </w:rPr>
              <w:t> </w:t>
            </w:r>
            <w:r>
              <w:rPr>
                <w:sz w:val="14"/>
              </w:rPr>
              <w:t>sqm</w:t>
            </w:r>
            <w:r>
              <w:rPr>
                <w:spacing w:val="-3"/>
                <w:sz w:val="14"/>
              </w:rPr>
              <w:t> </w:t>
            </w:r>
            <w:r>
              <w:rPr>
                <w:sz w:val="14"/>
              </w:rPr>
              <w:t>per</w:t>
            </w:r>
            <w:r>
              <w:rPr>
                <w:spacing w:val="-5"/>
                <w:sz w:val="14"/>
              </w:rPr>
              <w:t> </w:t>
            </w:r>
            <w:r>
              <w:rPr>
                <w:spacing w:val="-4"/>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1.36</w:t>
            </w:r>
          </w:p>
        </w:tc>
        <w:tc>
          <w:tcPr>
            <w:tcW w:w="995" w:type="dxa"/>
          </w:tcPr>
          <w:p>
            <w:pPr>
              <w:pStyle w:val="TableParagraph"/>
              <w:spacing w:line="140" w:lineRule="exact" w:before="17"/>
              <w:ind w:right="101"/>
              <w:jc w:val="right"/>
              <w:rPr>
                <w:sz w:val="14"/>
              </w:rPr>
            </w:pPr>
            <w:r>
              <w:rPr>
                <w:spacing w:val="-4"/>
                <w:sz w:val="14"/>
              </w:rPr>
              <w:t>1.46</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4"/>
                <w:sz w:val="14"/>
              </w:rPr>
              <w:t> </w:t>
            </w:r>
            <w:r>
              <w:rPr>
                <w:sz w:val="14"/>
              </w:rPr>
              <w:t>Zone</w:t>
            </w:r>
            <w:r>
              <w:rPr>
                <w:spacing w:val="-5"/>
                <w:sz w:val="14"/>
              </w:rPr>
              <w:t> </w:t>
            </w:r>
            <w:r>
              <w:rPr>
                <w:sz w:val="14"/>
              </w:rPr>
              <w:t>permit</w:t>
            </w:r>
            <w:r>
              <w:rPr>
                <w:spacing w:val="-2"/>
                <w:sz w:val="14"/>
              </w:rPr>
              <w:t> </w:t>
            </w:r>
            <w:r>
              <w:rPr>
                <w:sz w:val="14"/>
              </w:rPr>
              <w:t>-</w:t>
            </w:r>
            <w:r>
              <w:rPr>
                <w:spacing w:val="-6"/>
                <w:sz w:val="14"/>
              </w:rPr>
              <w:t> </w:t>
            </w:r>
            <w:r>
              <w:rPr>
                <w:sz w:val="14"/>
              </w:rPr>
              <w:t>extension</w:t>
            </w:r>
            <w:r>
              <w:rPr>
                <w:spacing w:val="-5"/>
                <w:sz w:val="14"/>
              </w:rPr>
              <w:t> </w:t>
            </w:r>
            <w:r>
              <w:rPr>
                <w:sz w:val="14"/>
              </w:rPr>
              <w:t>of</w:t>
            </w:r>
            <w:r>
              <w:rPr>
                <w:spacing w:val="-3"/>
                <w:sz w:val="14"/>
              </w:rPr>
              <w:t> </w:t>
            </w:r>
            <w:r>
              <w:rPr>
                <w:sz w:val="14"/>
              </w:rPr>
              <w:t>time</w:t>
            </w:r>
            <w:r>
              <w:rPr>
                <w:spacing w:val="-5"/>
                <w:sz w:val="14"/>
              </w:rPr>
              <w:t> </w:t>
            </w:r>
            <w:r>
              <w:rPr>
                <w:sz w:val="14"/>
              </w:rPr>
              <w:t>application</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117.00</w:t>
            </w:r>
          </w:p>
        </w:tc>
        <w:tc>
          <w:tcPr>
            <w:tcW w:w="995" w:type="dxa"/>
          </w:tcPr>
          <w:p>
            <w:pPr>
              <w:pStyle w:val="TableParagraph"/>
              <w:spacing w:line="140" w:lineRule="exact" w:before="17"/>
              <w:ind w:right="102"/>
              <w:jc w:val="right"/>
              <w:rPr>
                <w:sz w:val="14"/>
              </w:rPr>
            </w:pPr>
            <w:r>
              <w:rPr>
                <w:spacing w:val="-2"/>
                <w:sz w:val="14"/>
              </w:rPr>
              <w:t>126.00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4"/>
                <w:sz w:val="14"/>
              </w:rPr>
              <w:t> </w:t>
            </w:r>
            <w:r>
              <w:rPr>
                <w:sz w:val="14"/>
              </w:rPr>
              <w:t>zone</w:t>
            </w:r>
            <w:r>
              <w:rPr>
                <w:spacing w:val="-2"/>
                <w:sz w:val="14"/>
              </w:rPr>
              <w:t> </w:t>
            </w:r>
            <w:r>
              <w:rPr>
                <w:sz w:val="14"/>
              </w:rPr>
              <w:t>permit</w:t>
            </w:r>
            <w:r>
              <w:rPr>
                <w:spacing w:val="-5"/>
                <w:sz w:val="14"/>
              </w:rPr>
              <w:t> </w:t>
            </w:r>
            <w:r>
              <w:rPr>
                <w:sz w:val="14"/>
              </w:rPr>
              <w:t>-</w:t>
            </w:r>
            <w:r>
              <w:rPr>
                <w:spacing w:val="-3"/>
                <w:sz w:val="14"/>
              </w:rPr>
              <w:t> </w:t>
            </w:r>
            <w:r>
              <w:rPr>
                <w:sz w:val="14"/>
              </w:rPr>
              <w:t>extension</w:t>
            </w:r>
            <w:r>
              <w:rPr>
                <w:spacing w:val="-4"/>
                <w:sz w:val="14"/>
              </w:rPr>
              <w:t> </w:t>
            </w:r>
            <w:r>
              <w:rPr>
                <w:sz w:val="14"/>
              </w:rPr>
              <w:t>of</w:t>
            </w:r>
            <w:r>
              <w:rPr>
                <w:spacing w:val="-3"/>
                <w:sz w:val="14"/>
              </w:rPr>
              <w:t> </w:t>
            </w:r>
            <w:r>
              <w:rPr>
                <w:sz w:val="14"/>
              </w:rPr>
              <w:t>time</w:t>
            </w:r>
            <w:r>
              <w:rPr>
                <w:spacing w:val="-7"/>
                <w:sz w:val="14"/>
              </w:rPr>
              <w:t> </w:t>
            </w:r>
            <w:r>
              <w:rPr>
                <w:sz w:val="14"/>
              </w:rPr>
              <w:t>administration</w:t>
            </w:r>
            <w:r>
              <w:rPr>
                <w:spacing w:val="-6"/>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130.00</w:t>
            </w:r>
          </w:p>
        </w:tc>
        <w:tc>
          <w:tcPr>
            <w:tcW w:w="995" w:type="dxa"/>
          </w:tcPr>
          <w:p>
            <w:pPr>
              <w:pStyle w:val="TableParagraph"/>
              <w:spacing w:line="140" w:lineRule="exact" w:before="17"/>
              <w:ind w:right="102"/>
              <w:jc w:val="right"/>
              <w:rPr>
                <w:sz w:val="14"/>
              </w:rPr>
            </w:pPr>
            <w:r>
              <w:rPr>
                <w:spacing w:val="-2"/>
                <w:sz w:val="14"/>
              </w:rPr>
              <w:t>140.00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4"/>
                <w:sz w:val="14"/>
              </w:rPr>
              <w:t> </w:t>
            </w:r>
            <w:r>
              <w:rPr>
                <w:sz w:val="14"/>
              </w:rPr>
              <w:t>Zone</w:t>
            </w:r>
            <w:r>
              <w:rPr>
                <w:spacing w:val="-4"/>
                <w:sz w:val="14"/>
              </w:rPr>
              <w:t> </w:t>
            </w:r>
            <w:r>
              <w:rPr>
                <w:sz w:val="14"/>
              </w:rPr>
              <w:t>occupation</w:t>
            </w:r>
            <w:r>
              <w:rPr>
                <w:spacing w:val="-3"/>
                <w:sz w:val="14"/>
              </w:rPr>
              <w:t> </w:t>
            </w:r>
            <w:r>
              <w:rPr>
                <w:sz w:val="14"/>
              </w:rPr>
              <w:t>-</w:t>
            </w:r>
            <w:r>
              <w:rPr>
                <w:spacing w:val="-5"/>
                <w:sz w:val="14"/>
              </w:rPr>
              <w:t> </w:t>
            </w:r>
            <w:r>
              <w:rPr>
                <w:sz w:val="14"/>
              </w:rPr>
              <w:t>extension</w:t>
            </w:r>
            <w:r>
              <w:rPr>
                <w:spacing w:val="-2"/>
                <w:sz w:val="14"/>
              </w:rPr>
              <w:t> </w:t>
            </w:r>
            <w:r>
              <w:rPr>
                <w:sz w:val="14"/>
              </w:rPr>
              <w:t>of</w:t>
            </w:r>
            <w:r>
              <w:rPr>
                <w:spacing w:val="-5"/>
                <w:sz w:val="14"/>
              </w:rPr>
              <w:t> </w:t>
            </w:r>
            <w:r>
              <w:rPr>
                <w:sz w:val="14"/>
              </w:rPr>
              <w:t>time</w:t>
            </w:r>
            <w:r>
              <w:rPr>
                <w:spacing w:val="-3"/>
                <w:sz w:val="14"/>
              </w:rPr>
              <w:t> </w:t>
            </w:r>
            <w:r>
              <w:rPr>
                <w:sz w:val="14"/>
              </w:rPr>
              <w:t>(rate</w:t>
            </w:r>
            <w:r>
              <w:rPr>
                <w:spacing w:val="-3"/>
                <w:sz w:val="14"/>
              </w:rPr>
              <w:t> </w:t>
            </w:r>
            <w:r>
              <w:rPr>
                <w:sz w:val="14"/>
              </w:rPr>
              <w:t>$</w:t>
            </w:r>
            <w:r>
              <w:rPr>
                <w:spacing w:val="-3"/>
                <w:sz w:val="14"/>
              </w:rPr>
              <w:t> </w:t>
            </w:r>
            <w:r>
              <w:rPr>
                <w:sz w:val="14"/>
              </w:rPr>
              <w:t>per</w:t>
            </w:r>
            <w:r>
              <w:rPr>
                <w:spacing w:val="-5"/>
                <w:sz w:val="14"/>
              </w:rPr>
              <w:t> </w:t>
            </w:r>
            <w:r>
              <w:rPr>
                <w:sz w:val="14"/>
              </w:rPr>
              <w:t>sqm</w:t>
            </w:r>
            <w:r>
              <w:rPr>
                <w:spacing w:val="-1"/>
                <w:sz w:val="14"/>
              </w:rPr>
              <w:t> </w:t>
            </w:r>
            <w:r>
              <w:rPr>
                <w:sz w:val="14"/>
              </w:rPr>
              <w:t>per</w:t>
            </w:r>
            <w:r>
              <w:rPr>
                <w:spacing w:val="-2"/>
                <w:sz w:val="14"/>
              </w:rPr>
              <w:t> </w:t>
            </w:r>
            <w:r>
              <w:rPr>
                <w:spacing w:val="-4"/>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1.36</w:t>
            </w:r>
          </w:p>
        </w:tc>
        <w:tc>
          <w:tcPr>
            <w:tcW w:w="995" w:type="dxa"/>
          </w:tcPr>
          <w:p>
            <w:pPr>
              <w:pStyle w:val="TableParagraph"/>
              <w:spacing w:line="140" w:lineRule="exact" w:before="17"/>
              <w:ind w:right="101"/>
              <w:jc w:val="right"/>
              <w:rPr>
                <w:sz w:val="14"/>
              </w:rPr>
            </w:pPr>
            <w:r>
              <w:rPr>
                <w:spacing w:val="-4"/>
                <w:sz w:val="14"/>
              </w:rPr>
              <w:t>1.46</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7"/>
                <w:sz w:val="14"/>
              </w:rPr>
              <w:t> </w:t>
            </w:r>
            <w:r>
              <w:rPr>
                <w:sz w:val="14"/>
              </w:rPr>
              <w:t>zone</w:t>
            </w:r>
            <w:r>
              <w:rPr>
                <w:spacing w:val="-5"/>
                <w:sz w:val="14"/>
              </w:rPr>
              <w:t> </w:t>
            </w:r>
            <w:r>
              <w:rPr>
                <w:sz w:val="14"/>
              </w:rPr>
              <w:t>(modification</w:t>
            </w:r>
            <w:r>
              <w:rPr>
                <w:spacing w:val="-5"/>
                <w:sz w:val="14"/>
              </w:rPr>
              <w:t> </w:t>
            </w:r>
            <w:r>
              <w:rPr>
                <w:spacing w:val="-4"/>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169.00</w:t>
            </w:r>
          </w:p>
        </w:tc>
        <w:tc>
          <w:tcPr>
            <w:tcW w:w="995" w:type="dxa"/>
          </w:tcPr>
          <w:p>
            <w:pPr>
              <w:pStyle w:val="TableParagraph"/>
              <w:spacing w:line="140" w:lineRule="exact" w:before="17"/>
              <w:ind w:right="102"/>
              <w:jc w:val="right"/>
              <w:rPr>
                <w:sz w:val="14"/>
              </w:rPr>
            </w:pPr>
            <w:r>
              <w:rPr>
                <w:spacing w:val="-2"/>
                <w:sz w:val="14"/>
              </w:rPr>
              <w:t>182.00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b/>
                <w:sz w:val="14"/>
              </w:rPr>
            </w:pPr>
            <w:r>
              <w:rPr>
                <w:b/>
                <w:sz w:val="14"/>
              </w:rPr>
              <w:t>Occupation</w:t>
            </w:r>
            <w:r>
              <w:rPr>
                <w:b/>
                <w:spacing w:val="-7"/>
                <w:sz w:val="14"/>
              </w:rPr>
              <w:t> </w:t>
            </w:r>
            <w:r>
              <w:rPr>
                <w:b/>
                <w:sz w:val="14"/>
              </w:rPr>
              <w:t>Road</w:t>
            </w:r>
            <w:r>
              <w:rPr>
                <w:b/>
                <w:spacing w:val="-6"/>
                <w:sz w:val="14"/>
              </w:rPr>
              <w:t> </w:t>
            </w:r>
            <w:r>
              <w:rPr>
                <w:b/>
                <w:sz w:val="14"/>
              </w:rPr>
              <w:t>Reserve</w:t>
            </w:r>
            <w:r>
              <w:rPr>
                <w:b/>
                <w:spacing w:val="-7"/>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Temporary</w:t>
            </w:r>
            <w:r>
              <w:rPr>
                <w:spacing w:val="-6"/>
                <w:sz w:val="14"/>
              </w:rPr>
              <w:t> </w:t>
            </w:r>
            <w:r>
              <w:rPr>
                <w:sz w:val="14"/>
              </w:rPr>
              <w:t>Storage</w:t>
            </w:r>
            <w:r>
              <w:rPr>
                <w:spacing w:val="-6"/>
                <w:sz w:val="14"/>
              </w:rPr>
              <w:t> </w:t>
            </w:r>
            <w:r>
              <w:rPr>
                <w:sz w:val="14"/>
              </w:rPr>
              <w:t>Container</w:t>
            </w:r>
            <w:r>
              <w:rPr>
                <w:spacing w:val="-5"/>
                <w:sz w:val="14"/>
              </w:rPr>
              <w:t> </w:t>
            </w:r>
            <w:r>
              <w:rPr>
                <w:sz w:val="14"/>
              </w:rPr>
              <w:t>Permit</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495.00</w:t>
            </w:r>
          </w:p>
        </w:tc>
        <w:tc>
          <w:tcPr>
            <w:tcW w:w="995" w:type="dxa"/>
          </w:tcPr>
          <w:p>
            <w:pPr>
              <w:pStyle w:val="TableParagraph"/>
              <w:spacing w:line="140" w:lineRule="exact" w:before="17"/>
              <w:ind w:right="102"/>
              <w:jc w:val="right"/>
              <w:rPr>
                <w:sz w:val="14"/>
              </w:rPr>
            </w:pPr>
            <w:r>
              <w:rPr>
                <w:spacing w:val="-2"/>
                <w:sz w:val="14"/>
              </w:rPr>
              <w:t>532.00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Construction</w:t>
            </w:r>
            <w:r>
              <w:rPr>
                <w:spacing w:val="-6"/>
                <w:sz w:val="14"/>
              </w:rPr>
              <w:t> </w:t>
            </w:r>
            <w:r>
              <w:rPr>
                <w:sz w:val="14"/>
              </w:rPr>
              <w:t>Zone</w:t>
            </w:r>
            <w:r>
              <w:rPr>
                <w:spacing w:val="-7"/>
                <w:sz w:val="14"/>
              </w:rPr>
              <w:t> </w:t>
            </w:r>
            <w:r>
              <w:rPr>
                <w:sz w:val="14"/>
              </w:rPr>
              <w:t>(expenditure</w:t>
            </w:r>
            <w:r>
              <w:rPr>
                <w:spacing w:val="-6"/>
                <w:sz w:val="14"/>
              </w:rPr>
              <w:t> </w:t>
            </w:r>
            <w:r>
              <w:rPr>
                <w:spacing w:val="-4"/>
                <w:sz w:val="14"/>
              </w:rPr>
              <w:t>fee)</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1,130.00</w:t>
            </w:r>
          </w:p>
        </w:tc>
        <w:tc>
          <w:tcPr>
            <w:tcW w:w="995" w:type="dxa"/>
          </w:tcPr>
          <w:p>
            <w:pPr>
              <w:pStyle w:val="TableParagraph"/>
              <w:spacing w:line="142" w:lineRule="exact" w:before="15"/>
              <w:ind w:right="102"/>
              <w:jc w:val="right"/>
              <w:rPr>
                <w:sz w:val="14"/>
              </w:rPr>
            </w:pPr>
            <w:r>
              <w:rPr>
                <w:spacing w:val="-2"/>
                <w:sz w:val="14"/>
              </w:rPr>
              <w:t>1,215.00</w:t>
            </w:r>
          </w:p>
        </w:tc>
        <w:tc>
          <w:tcPr>
            <w:tcW w:w="861" w:type="dxa"/>
          </w:tcPr>
          <w:p>
            <w:pPr>
              <w:pStyle w:val="TableParagraph"/>
              <w:spacing w:line="142" w:lineRule="exact" w:before="15"/>
              <w:ind w:left="327"/>
              <w:rPr>
                <w:sz w:val="14"/>
              </w:rPr>
            </w:pPr>
            <w:r>
              <w:rPr>
                <w:spacing w:val="-5"/>
                <w:sz w:val="14"/>
              </w:rPr>
              <w:t>7.0</w:t>
            </w:r>
          </w:p>
        </w:tc>
      </w:tr>
      <w:tr>
        <w:trPr>
          <w:trHeight w:val="174" w:hRule="atLeast"/>
        </w:trPr>
        <w:tc>
          <w:tcPr>
            <w:tcW w:w="5794" w:type="dxa"/>
          </w:tcPr>
          <w:p>
            <w:pPr>
              <w:pStyle w:val="TableParagraph"/>
              <w:spacing w:line="140" w:lineRule="exact" w:before="15"/>
              <w:ind w:left="107"/>
              <w:rPr>
                <w:b/>
                <w:sz w:val="14"/>
              </w:rPr>
            </w:pPr>
            <w:r>
              <w:rPr>
                <w:b/>
                <w:sz w:val="14"/>
              </w:rPr>
              <w:t>Traffic</w:t>
            </w:r>
            <w:r>
              <w:rPr>
                <w:b/>
                <w:spacing w:val="-4"/>
                <w:sz w:val="14"/>
              </w:rPr>
              <w:t> </w:t>
            </w:r>
            <w:r>
              <w:rPr>
                <w:b/>
                <w:sz w:val="14"/>
              </w:rPr>
              <w:t>Management</w:t>
            </w:r>
            <w:r>
              <w:rPr>
                <w:b/>
                <w:spacing w:val="-6"/>
                <w:sz w:val="14"/>
              </w:rPr>
              <w:t> </w:t>
            </w:r>
            <w:r>
              <w:rPr>
                <w:b/>
                <w:sz w:val="14"/>
              </w:rPr>
              <w:t>Plan</w:t>
            </w:r>
            <w:r>
              <w:rPr>
                <w:b/>
                <w:spacing w:val="-3"/>
                <w:sz w:val="14"/>
              </w:rPr>
              <w:t> </w:t>
            </w:r>
            <w:r>
              <w:rPr>
                <w:b/>
                <w:sz w:val="14"/>
              </w:rPr>
              <w:t>Approval</w:t>
            </w:r>
            <w:r>
              <w:rPr>
                <w:b/>
                <w:spacing w:val="-5"/>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Road</w:t>
            </w:r>
            <w:r>
              <w:rPr>
                <w:spacing w:val="-4"/>
                <w:sz w:val="14"/>
              </w:rPr>
              <w:t> </w:t>
            </w:r>
            <w:r>
              <w:rPr>
                <w:sz w:val="14"/>
              </w:rPr>
              <w:t>and</w:t>
            </w:r>
            <w:r>
              <w:rPr>
                <w:spacing w:val="-2"/>
                <w:sz w:val="14"/>
              </w:rPr>
              <w:t> </w:t>
            </w:r>
            <w:r>
              <w:rPr>
                <w:sz w:val="14"/>
              </w:rPr>
              <w:t>Footpath</w:t>
            </w:r>
            <w:r>
              <w:rPr>
                <w:spacing w:val="-2"/>
                <w:sz w:val="14"/>
              </w:rPr>
              <w:t> </w:t>
            </w:r>
            <w:r>
              <w:rPr>
                <w:sz w:val="14"/>
              </w:rPr>
              <w:t>Closure</w:t>
            </w:r>
            <w:r>
              <w:rPr>
                <w:spacing w:val="-5"/>
                <w:sz w:val="14"/>
              </w:rPr>
              <w:t> </w:t>
            </w:r>
            <w:r>
              <w:rPr>
                <w:sz w:val="14"/>
              </w:rPr>
              <w:t>Permit</w:t>
            </w:r>
            <w:r>
              <w:rPr>
                <w:spacing w:val="-5"/>
                <w:sz w:val="14"/>
              </w:rPr>
              <w:t> </w:t>
            </w:r>
            <w:r>
              <w:rPr>
                <w:sz w:val="14"/>
              </w:rPr>
              <w:t>(occupation</w:t>
            </w:r>
            <w:r>
              <w:rPr>
                <w:spacing w:val="-6"/>
                <w:sz w:val="14"/>
              </w:rPr>
              <w:t> </w:t>
            </w:r>
            <w:r>
              <w:rPr>
                <w:sz w:val="14"/>
              </w:rPr>
              <w:t>rate</w:t>
            </w:r>
            <w:r>
              <w:rPr>
                <w:spacing w:val="-3"/>
                <w:sz w:val="14"/>
              </w:rPr>
              <w:t> </w:t>
            </w:r>
            <w:r>
              <w:rPr>
                <w:sz w:val="14"/>
              </w:rPr>
              <w:t>$</w:t>
            </w:r>
            <w:r>
              <w:rPr>
                <w:spacing w:val="-2"/>
                <w:sz w:val="14"/>
              </w:rPr>
              <w:t> </w:t>
            </w:r>
            <w:r>
              <w:rPr>
                <w:sz w:val="14"/>
              </w:rPr>
              <w:t>per</w:t>
            </w:r>
            <w:r>
              <w:rPr>
                <w:spacing w:val="-3"/>
                <w:sz w:val="14"/>
              </w:rPr>
              <w:t> </w:t>
            </w:r>
            <w:r>
              <w:rPr>
                <w:sz w:val="14"/>
              </w:rPr>
              <w:t>sqm</w:t>
            </w:r>
            <w:r>
              <w:rPr>
                <w:spacing w:val="-1"/>
                <w:sz w:val="14"/>
              </w:rPr>
              <w:t> </w:t>
            </w:r>
            <w:r>
              <w:rPr>
                <w:sz w:val="14"/>
              </w:rPr>
              <w:t>per</w:t>
            </w:r>
            <w:r>
              <w:rPr>
                <w:spacing w:val="-3"/>
                <w:sz w:val="14"/>
              </w:rPr>
              <w:t> </w:t>
            </w:r>
            <w:r>
              <w:rPr>
                <w:spacing w:val="-4"/>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112.50</w:t>
            </w:r>
          </w:p>
        </w:tc>
        <w:tc>
          <w:tcPr>
            <w:tcW w:w="995" w:type="dxa"/>
          </w:tcPr>
          <w:p>
            <w:pPr>
              <w:pStyle w:val="TableParagraph"/>
              <w:spacing w:line="140" w:lineRule="exact" w:before="17"/>
              <w:ind w:right="102"/>
              <w:jc w:val="right"/>
              <w:rPr>
                <w:sz w:val="14"/>
              </w:rPr>
            </w:pPr>
            <w:r>
              <w:rPr>
                <w:spacing w:val="-2"/>
                <w:sz w:val="14"/>
              </w:rPr>
              <w:t>121.00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Road</w:t>
            </w:r>
            <w:r>
              <w:rPr>
                <w:spacing w:val="-4"/>
                <w:sz w:val="14"/>
              </w:rPr>
              <w:t> </w:t>
            </w:r>
            <w:r>
              <w:rPr>
                <w:sz w:val="14"/>
              </w:rPr>
              <w:t>and</w:t>
            </w:r>
            <w:r>
              <w:rPr>
                <w:spacing w:val="-3"/>
                <w:sz w:val="14"/>
              </w:rPr>
              <w:t> </w:t>
            </w:r>
            <w:r>
              <w:rPr>
                <w:sz w:val="14"/>
              </w:rPr>
              <w:t>Footpath</w:t>
            </w:r>
            <w:r>
              <w:rPr>
                <w:spacing w:val="-3"/>
                <w:sz w:val="14"/>
              </w:rPr>
              <w:t> </w:t>
            </w:r>
            <w:r>
              <w:rPr>
                <w:sz w:val="14"/>
              </w:rPr>
              <w:t>Closure</w:t>
            </w:r>
            <w:r>
              <w:rPr>
                <w:spacing w:val="-6"/>
                <w:sz w:val="14"/>
              </w:rPr>
              <w:t> </w:t>
            </w:r>
            <w:r>
              <w:rPr>
                <w:sz w:val="14"/>
              </w:rPr>
              <w:t>Permit</w:t>
            </w:r>
            <w:r>
              <w:rPr>
                <w:spacing w:val="-6"/>
                <w:sz w:val="14"/>
              </w:rPr>
              <w:t> </w:t>
            </w:r>
            <w:r>
              <w:rPr>
                <w:sz w:val="14"/>
              </w:rPr>
              <w:t>(application</w:t>
            </w:r>
            <w:r>
              <w:rPr>
                <w:spacing w:val="-2"/>
                <w:sz w:val="14"/>
              </w:rPr>
              <w:t> </w:t>
            </w:r>
            <w:r>
              <w:rPr>
                <w:spacing w:val="-4"/>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225.00</w:t>
            </w:r>
          </w:p>
        </w:tc>
        <w:tc>
          <w:tcPr>
            <w:tcW w:w="995" w:type="dxa"/>
          </w:tcPr>
          <w:p>
            <w:pPr>
              <w:pStyle w:val="TableParagraph"/>
              <w:spacing w:line="140" w:lineRule="exact" w:before="17"/>
              <w:ind w:right="102"/>
              <w:jc w:val="right"/>
              <w:rPr>
                <w:sz w:val="14"/>
              </w:rPr>
            </w:pPr>
            <w:r>
              <w:rPr>
                <w:spacing w:val="-2"/>
                <w:sz w:val="14"/>
              </w:rPr>
              <w:t>242.00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Road</w:t>
            </w:r>
            <w:r>
              <w:rPr>
                <w:spacing w:val="-5"/>
                <w:sz w:val="14"/>
              </w:rPr>
              <w:t> </w:t>
            </w:r>
            <w:r>
              <w:rPr>
                <w:sz w:val="14"/>
              </w:rPr>
              <w:t>and</w:t>
            </w:r>
            <w:r>
              <w:rPr>
                <w:spacing w:val="-3"/>
                <w:sz w:val="14"/>
              </w:rPr>
              <w:t> </w:t>
            </w:r>
            <w:r>
              <w:rPr>
                <w:sz w:val="14"/>
              </w:rPr>
              <w:t>Footpath</w:t>
            </w:r>
            <w:r>
              <w:rPr>
                <w:spacing w:val="-3"/>
                <w:sz w:val="14"/>
              </w:rPr>
              <w:t> </w:t>
            </w:r>
            <w:r>
              <w:rPr>
                <w:sz w:val="14"/>
              </w:rPr>
              <w:t>Closure</w:t>
            </w:r>
            <w:r>
              <w:rPr>
                <w:spacing w:val="-7"/>
                <w:sz w:val="14"/>
              </w:rPr>
              <w:t> </w:t>
            </w:r>
            <w:r>
              <w:rPr>
                <w:sz w:val="14"/>
              </w:rPr>
              <w:t>Permit</w:t>
            </w:r>
            <w:r>
              <w:rPr>
                <w:spacing w:val="-6"/>
                <w:sz w:val="14"/>
              </w:rPr>
              <w:t> </w:t>
            </w:r>
            <w:r>
              <w:rPr>
                <w:sz w:val="14"/>
              </w:rPr>
              <w:t>(modification</w:t>
            </w:r>
            <w:r>
              <w:rPr>
                <w:spacing w:val="-3"/>
                <w:sz w:val="14"/>
              </w:rPr>
              <w:t> </w:t>
            </w:r>
            <w:r>
              <w:rPr>
                <w:spacing w:val="-4"/>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90.00</w:t>
            </w:r>
          </w:p>
        </w:tc>
        <w:tc>
          <w:tcPr>
            <w:tcW w:w="995" w:type="dxa"/>
          </w:tcPr>
          <w:p>
            <w:pPr>
              <w:pStyle w:val="TableParagraph"/>
              <w:spacing w:line="140" w:lineRule="exact" w:before="17"/>
              <w:ind w:right="101"/>
              <w:jc w:val="right"/>
              <w:rPr>
                <w:sz w:val="14"/>
              </w:rPr>
            </w:pPr>
            <w:r>
              <w:rPr>
                <w:spacing w:val="-2"/>
                <w:sz w:val="14"/>
              </w:rPr>
              <w:t>97.00</w:t>
            </w:r>
          </w:p>
        </w:tc>
        <w:tc>
          <w:tcPr>
            <w:tcW w:w="861" w:type="dxa"/>
          </w:tcPr>
          <w:p>
            <w:pPr>
              <w:pStyle w:val="TableParagraph"/>
              <w:spacing w:line="140" w:lineRule="exact" w:before="17"/>
              <w:ind w:left="327"/>
              <w:rPr>
                <w:sz w:val="14"/>
              </w:rPr>
            </w:pPr>
            <w:r>
              <w:rPr>
                <w:spacing w:val="-5"/>
                <w:sz w:val="14"/>
              </w:rPr>
              <w:t>7.2</w:t>
            </w:r>
          </w:p>
        </w:tc>
      </w:tr>
      <w:tr>
        <w:trPr>
          <w:trHeight w:val="177" w:hRule="atLeast"/>
        </w:trPr>
        <w:tc>
          <w:tcPr>
            <w:tcW w:w="5794" w:type="dxa"/>
          </w:tcPr>
          <w:p>
            <w:pPr>
              <w:pStyle w:val="TableParagraph"/>
              <w:spacing w:line="140" w:lineRule="exact" w:before="17"/>
              <w:ind w:left="107"/>
              <w:rPr>
                <w:b/>
                <w:sz w:val="14"/>
              </w:rPr>
            </w:pPr>
            <w:r>
              <w:rPr>
                <w:b/>
                <w:spacing w:val="-2"/>
                <w:sz w:val="14"/>
              </w:rPr>
              <w:t>Development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Residential</w:t>
            </w:r>
            <w:r>
              <w:rPr>
                <w:spacing w:val="-5"/>
                <w:sz w:val="14"/>
              </w:rPr>
              <w:t> </w:t>
            </w:r>
            <w:r>
              <w:rPr>
                <w:sz w:val="14"/>
              </w:rPr>
              <w:t>Development</w:t>
            </w:r>
            <w:r>
              <w:rPr>
                <w:spacing w:val="-5"/>
                <w:sz w:val="14"/>
              </w:rPr>
              <w:t> </w:t>
            </w:r>
            <w:r>
              <w:rPr>
                <w:sz w:val="14"/>
              </w:rPr>
              <w:t>Plan</w:t>
            </w:r>
            <w:r>
              <w:rPr>
                <w:spacing w:val="-6"/>
                <w:sz w:val="14"/>
              </w:rPr>
              <w:t> </w:t>
            </w:r>
            <w:r>
              <w:rPr>
                <w:sz w:val="14"/>
              </w:rPr>
              <w:t>2-4</w:t>
            </w:r>
            <w:r>
              <w:rPr>
                <w:spacing w:val="-3"/>
                <w:sz w:val="14"/>
              </w:rPr>
              <w:t> </w:t>
            </w:r>
            <w:r>
              <w:rPr>
                <w:sz w:val="14"/>
              </w:rPr>
              <w:t>Lot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366.00</w:t>
            </w:r>
          </w:p>
        </w:tc>
        <w:tc>
          <w:tcPr>
            <w:tcW w:w="995" w:type="dxa"/>
          </w:tcPr>
          <w:p>
            <w:pPr>
              <w:pStyle w:val="TableParagraph"/>
              <w:spacing w:line="140" w:lineRule="exact" w:before="17"/>
              <w:ind w:right="102"/>
              <w:jc w:val="right"/>
              <w:rPr>
                <w:sz w:val="14"/>
              </w:rPr>
            </w:pPr>
            <w:r>
              <w:rPr>
                <w:spacing w:val="-2"/>
                <w:sz w:val="14"/>
              </w:rPr>
              <w:t>393.00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Residential</w:t>
            </w:r>
            <w:r>
              <w:rPr>
                <w:spacing w:val="-5"/>
                <w:sz w:val="14"/>
              </w:rPr>
              <w:t> </w:t>
            </w:r>
            <w:r>
              <w:rPr>
                <w:sz w:val="14"/>
              </w:rPr>
              <w:t>Development</w:t>
            </w:r>
            <w:r>
              <w:rPr>
                <w:spacing w:val="-5"/>
                <w:sz w:val="14"/>
              </w:rPr>
              <w:t> </w:t>
            </w:r>
            <w:r>
              <w:rPr>
                <w:sz w:val="14"/>
              </w:rPr>
              <w:t>Plan</w:t>
            </w:r>
            <w:r>
              <w:rPr>
                <w:spacing w:val="-6"/>
                <w:sz w:val="14"/>
              </w:rPr>
              <w:t> </w:t>
            </w:r>
            <w:r>
              <w:rPr>
                <w:sz w:val="14"/>
              </w:rPr>
              <w:t>5-9</w:t>
            </w:r>
            <w:r>
              <w:rPr>
                <w:spacing w:val="-3"/>
                <w:sz w:val="14"/>
              </w:rPr>
              <w:t> </w:t>
            </w:r>
            <w:r>
              <w:rPr>
                <w:sz w:val="14"/>
              </w:rPr>
              <w:t>Lot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873.00</w:t>
            </w:r>
          </w:p>
        </w:tc>
        <w:tc>
          <w:tcPr>
            <w:tcW w:w="995" w:type="dxa"/>
          </w:tcPr>
          <w:p>
            <w:pPr>
              <w:pStyle w:val="TableParagraph"/>
              <w:spacing w:line="140" w:lineRule="exact" w:before="17"/>
              <w:ind w:right="102"/>
              <w:jc w:val="right"/>
              <w:rPr>
                <w:sz w:val="14"/>
              </w:rPr>
            </w:pPr>
            <w:r>
              <w:rPr>
                <w:spacing w:val="-2"/>
                <w:sz w:val="14"/>
              </w:rPr>
              <w:t>938.00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Residential</w:t>
            </w:r>
            <w:r>
              <w:rPr>
                <w:spacing w:val="-5"/>
                <w:sz w:val="14"/>
              </w:rPr>
              <w:t> </w:t>
            </w:r>
            <w:r>
              <w:rPr>
                <w:sz w:val="14"/>
              </w:rPr>
              <w:t>Development</w:t>
            </w:r>
            <w:r>
              <w:rPr>
                <w:spacing w:val="-5"/>
                <w:sz w:val="14"/>
              </w:rPr>
              <w:t> </w:t>
            </w:r>
            <w:r>
              <w:rPr>
                <w:sz w:val="14"/>
              </w:rPr>
              <w:t>Plan</w:t>
            </w:r>
            <w:r>
              <w:rPr>
                <w:spacing w:val="-6"/>
                <w:sz w:val="14"/>
              </w:rPr>
              <w:t> </w:t>
            </w:r>
            <w:r>
              <w:rPr>
                <w:sz w:val="14"/>
              </w:rPr>
              <w:t>10+</w:t>
            </w:r>
            <w:r>
              <w:rPr>
                <w:spacing w:val="-4"/>
                <w:sz w:val="14"/>
              </w:rPr>
              <w:t> </w:t>
            </w:r>
            <w:r>
              <w:rPr>
                <w:sz w:val="14"/>
              </w:rPr>
              <w:t>Lot</w:t>
            </w:r>
            <w:r>
              <w:rPr>
                <w:spacing w:val="-3"/>
                <w:sz w:val="14"/>
              </w:rPr>
              <w: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1,457.00</w:t>
            </w:r>
          </w:p>
        </w:tc>
        <w:tc>
          <w:tcPr>
            <w:tcW w:w="995" w:type="dxa"/>
          </w:tcPr>
          <w:p>
            <w:pPr>
              <w:pStyle w:val="TableParagraph"/>
              <w:spacing w:line="140" w:lineRule="exact" w:before="17"/>
              <w:ind w:right="101"/>
              <w:jc w:val="right"/>
              <w:rPr>
                <w:sz w:val="14"/>
              </w:rPr>
            </w:pPr>
            <w:r>
              <w:rPr>
                <w:spacing w:val="-2"/>
                <w:sz w:val="14"/>
              </w:rPr>
              <w:t>1,566.00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Unit/Apartment</w:t>
            </w:r>
            <w:r>
              <w:rPr>
                <w:spacing w:val="-5"/>
                <w:sz w:val="14"/>
              </w:rPr>
              <w:t> </w:t>
            </w:r>
            <w:r>
              <w:rPr>
                <w:sz w:val="14"/>
              </w:rPr>
              <w:t>Development</w:t>
            </w:r>
            <w:r>
              <w:rPr>
                <w:spacing w:val="-4"/>
                <w:sz w:val="14"/>
              </w:rPr>
              <w:t> </w:t>
            </w:r>
            <w:r>
              <w:rPr>
                <w:sz w:val="14"/>
              </w:rPr>
              <w:t>Plan</w:t>
            </w:r>
            <w:r>
              <w:rPr>
                <w:spacing w:val="-4"/>
                <w:sz w:val="14"/>
              </w:rPr>
              <w:t> </w:t>
            </w:r>
            <w:r>
              <w:rPr>
                <w:sz w:val="14"/>
              </w:rPr>
              <w:t>up</w:t>
            </w:r>
            <w:r>
              <w:rPr>
                <w:spacing w:val="-3"/>
                <w:sz w:val="14"/>
              </w:rPr>
              <w:t> </w:t>
            </w:r>
            <w:r>
              <w:rPr>
                <w:sz w:val="14"/>
              </w:rPr>
              <w:t>to</w:t>
            </w:r>
            <w:r>
              <w:rPr>
                <w:spacing w:val="-5"/>
                <w:sz w:val="14"/>
              </w:rPr>
              <w:t> </w:t>
            </w:r>
            <w:r>
              <w:rPr>
                <w:sz w:val="14"/>
              </w:rPr>
              <w:t>10</w:t>
            </w:r>
            <w:r>
              <w:rPr>
                <w:spacing w:val="-6"/>
                <w:sz w:val="14"/>
              </w:rPr>
              <w:t> </w:t>
            </w:r>
            <w:r>
              <w:rPr>
                <w:sz w:val="14"/>
              </w:rPr>
              <w:t>unit</w:t>
            </w:r>
            <w:r>
              <w:rPr>
                <w:spacing w:val="-5"/>
                <w:sz w:val="14"/>
              </w:rPr>
              <w:t> </w:t>
            </w:r>
            <w:r>
              <w:rPr>
                <w:sz w:val="14"/>
              </w:rPr>
              <w:t>apartment</w:t>
            </w:r>
            <w:r>
              <w:rPr>
                <w:spacing w:val="-6"/>
                <w:sz w:val="14"/>
              </w:rPr>
              <w:t> </w:t>
            </w:r>
            <w:r>
              <w:rPr>
                <w:spacing w:val="-2"/>
                <w:sz w:val="14"/>
              </w:rPr>
              <w:t>building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366.00</w:t>
            </w:r>
          </w:p>
        </w:tc>
        <w:tc>
          <w:tcPr>
            <w:tcW w:w="995" w:type="dxa"/>
          </w:tcPr>
          <w:p>
            <w:pPr>
              <w:pStyle w:val="TableParagraph"/>
              <w:spacing w:line="140" w:lineRule="exact" w:before="17"/>
              <w:ind w:right="102"/>
              <w:jc w:val="right"/>
              <w:rPr>
                <w:sz w:val="14"/>
              </w:rPr>
            </w:pPr>
            <w:r>
              <w:rPr>
                <w:spacing w:val="-2"/>
                <w:sz w:val="14"/>
              </w:rPr>
              <w:t>393.00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Unit/Apartment</w:t>
            </w:r>
            <w:r>
              <w:rPr>
                <w:spacing w:val="-6"/>
                <w:sz w:val="14"/>
              </w:rPr>
              <w:t> </w:t>
            </w:r>
            <w:r>
              <w:rPr>
                <w:sz w:val="14"/>
              </w:rPr>
              <w:t>Development</w:t>
            </w:r>
            <w:r>
              <w:rPr>
                <w:spacing w:val="-6"/>
                <w:sz w:val="14"/>
              </w:rPr>
              <w:t> </w:t>
            </w:r>
            <w:r>
              <w:rPr>
                <w:sz w:val="14"/>
              </w:rPr>
              <w:t>Plan</w:t>
            </w:r>
            <w:r>
              <w:rPr>
                <w:spacing w:val="-5"/>
                <w:sz w:val="14"/>
              </w:rPr>
              <w:t> </w:t>
            </w:r>
            <w:r>
              <w:rPr>
                <w:sz w:val="14"/>
              </w:rPr>
              <w:t>11-40</w:t>
            </w:r>
            <w:r>
              <w:rPr>
                <w:spacing w:val="-7"/>
                <w:sz w:val="14"/>
              </w:rPr>
              <w:t> </w:t>
            </w:r>
            <w:r>
              <w:rPr>
                <w:sz w:val="14"/>
              </w:rPr>
              <w:t>unit</w:t>
            </w:r>
            <w:r>
              <w:rPr>
                <w:spacing w:val="-6"/>
                <w:sz w:val="14"/>
              </w:rPr>
              <w:t> </w:t>
            </w:r>
            <w:r>
              <w:rPr>
                <w:sz w:val="14"/>
              </w:rPr>
              <w:t>apartment</w:t>
            </w:r>
            <w:r>
              <w:rPr>
                <w:spacing w:val="-7"/>
                <w:sz w:val="14"/>
              </w:rPr>
              <w:t> </w:t>
            </w:r>
            <w:r>
              <w:rPr>
                <w:spacing w:val="-2"/>
                <w:sz w:val="14"/>
              </w:rPr>
              <w:t>building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873.00</w:t>
            </w:r>
          </w:p>
        </w:tc>
        <w:tc>
          <w:tcPr>
            <w:tcW w:w="995" w:type="dxa"/>
          </w:tcPr>
          <w:p>
            <w:pPr>
              <w:pStyle w:val="TableParagraph"/>
              <w:spacing w:line="140" w:lineRule="exact" w:before="17"/>
              <w:ind w:right="102"/>
              <w:jc w:val="right"/>
              <w:rPr>
                <w:sz w:val="14"/>
              </w:rPr>
            </w:pPr>
            <w:r>
              <w:rPr>
                <w:spacing w:val="-2"/>
                <w:sz w:val="14"/>
              </w:rPr>
              <w:t>938.00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Unit/Apartment</w:t>
            </w:r>
            <w:r>
              <w:rPr>
                <w:spacing w:val="-7"/>
                <w:sz w:val="14"/>
              </w:rPr>
              <w:t> </w:t>
            </w:r>
            <w:r>
              <w:rPr>
                <w:sz w:val="14"/>
              </w:rPr>
              <w:t>Development</w:t>
            </w:r>
            <w:r>
              <w:rPr>
                <w:spacing w:val="-7"/>
                <w:sz w:val="14"/>
              </w:rPr>
              <w:t> </w:t>
            </w:r>
            <w:r>
              <w:rPr>
                <w:sz w:val="14"/>
              </w:rPr>
              <w:t>Plan</w:t>
            </w:r>
            <w:r>
              <w:rPr>
                <w:spacing w:val="-5"/>
                <w:sz w:val="14"/>
              </w:rPr>
              <w:t> </w:t>
            </w:r>
            <w:r>
              <w:rPr>
                <w:sz w:val="14"/>
              </w:rPr>
              <w:t>41+</w:t>
            </w:r>
            <w:r>
              <w:rPr>
                <w:spacing w:val="-4"/>
                <w:sz w:val="14"/>
              </w:rPr>
              <w:t> </w:t>
            </w:r>
            <w:r>
              <w:rPr>
                <w:sz w:val="14"/>
              </w:rPr>
              <w:t>unit</w:t>
            </w:r>
            <w:r>
              <w:rPr>
                <w:spacing w:val="-5"/>
                <w:sz w:val="14"/>
              </w:rPr>
              <w:t> </w:t>
            </w:r>
            <w:r>
              <w:rPr>
                <w:sz w:val="14"/>
              </w:rPr>
              <w:t>apartment</w:t>
            </w:r>
            <w:r>
              <w:rPr>
                <w:spacing w:val="-5"/>
                <w:sz w:val="14"/>
              </w:rPr>
              <w:t> </w:t>
            </w:r>
            <w:r>
              <w:rPr>
                <w:spacing w:val="-2"/>
                <w:sz w:val="14"/>
              </w:rPr>
              <w:t>building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1,457.00</w:t>
            </w:r>
          </w:p>
        </w:tc>
        <w:tc>
          <w:tcPr>
            <w:tcW w:w="995" w:type="dxa"/>
          </w:tcPr>
          <w:p>
            <w:pPr>
              <w:pStyle w:val="TableParagraph"/>
              <w:spacing w:line="140" w:lineRule="exact" w:before="17"/>
              <w:ind w:right="101"/>
              <w:jc w:val="right"/>
              <w:rPr>
                <w:sz w:val="14"/>
              </w:rPr>
            </w:pPr>
            <w:r>
              <w:rPr>
                <w:spacing w:val="-2"/>
                <w:sz w:val="14"/>
              </w:rPr>
              <w:t>1,566.00</w:t>
            </w:r>
          </w:p>
        </w:tc>
        <w:tc>
          <w:tcPr>
            <w:tcW w:w="861" w:type="dxa"/>
          </w:tcPr>
          <w:p>
            <w:pPr>
              <w:pStyle w:val="TableParagraph"/>
              <w:spacing w:line="140" w:lineRule="exact" w:before="17"/>
              <w:ind w:left="327"/>
              <w:rPr>
                <w:sz w:val="14"/>
              </w:rPr>
            </w:pPr>
            <w:r>
              <w:rPr>
                <w:spacing w:val="-5"/>
                <w:sz w:val="14"/>
              </w:rPr>
              <w:t>7.0</w:t>
            </w:r>
          </w:p>
        </w:tc>
      </w:tr>
      <w:tr>
        <w:trPr>
          <w:trHeight w:val="352" w:hRule="atLeast"/>
        </w:trPr>
        <w:tc>
          <w:tcPr>
            <w:tcW w:w="5794" w:type="dxa"/>
          </w:tcPr>
          <w:p>
            <w:pPr>
              <w:pStyle w:val="TableParagraph"/>
              <w:spacing w:line="160" w:lineRule="atLeast" w:before="11"/>
              <w:ind w:left="107"/>
              <w:rPr>
                <w:sz w:val="14"/>
              </w:rPr>
            </w:pPr>
            <w:r>
              <w:rPr>
                <w:sz w:val="14"/>
              </w:rPr>
              <w:t>Commercial</w:t>
            </w:r>
            <w:r>
              <w:rPr>
                <w:spacing w:val="-3"/>
                <w:sz w:val="14"/>
              </w:rPr>
              <w:t> </w:t>
            </w:r>
            <w:r>
              <w:rPr>
                <w:sz w:val="14"/>
              </w:rPr>
              <w:t>Development</w:t>
            </w:r>
            <w:r>
              <w:rPr>
                <w:spacing w:val="-5"/>
                <w:sz w:val="14"/>
              </w:rPr>
              <w:t> </w:t>
            </w:r>
            <w:r>
              <w:rPr>
                <w:sz w:val="14"/>
              </w:rPr>
              <w:t>Plans</w:t>
            </w:r>
            <w:r>
              <w:rPr>
                <w:spacing w:val="-4"/>
                <w:sz w:val="14"/>
              </w:rPr>
              <w:t> </w:t>
            </w:r>
            <w:r>
              <w:rPr>
                <w:sz w:val="14"/>
              </w:rPr>
              <w:t>(based</w:t>
            </w:r>
            <w:r>
              <w:rPr>
                <w:spacing w:val="-7"/>
                <w:sz w:val="14"/>
              </w:rPr>
              <w:t> </w:t>
            </w:r>
            <w:r>
              <w:rPr>
                <w:sz w:val="14"/>
              </w:rPr>
              <w:t>on</w:t>
            </w:r>
            <w:r>
              <w:rPr>
                <w:spacing w:val="-5"/>
                <w:sz w:val="14"/>
              </w:rPr>
              <w:t> </w:t>
            </w:r>
            <w:r>
              <w:rPr>
                <w:sz w:val="14"/>
              </w:rPr>
              <w:t>floor</w:t>
            </w:r>
            <w:r>
              <w:rPr>
                <w:spacing w:val="-4"/>
                <w:sz w:val="14"/>
              </w:rPr>
              <w:t> </w:t>
            </w:r>
            <w:r>
              <w:rPr>
                <w:sz w:val="14"/>
              </w:rPr>
              <w:t>area</w:t>
            </w:r>
            <w:r>
              <w:rPr>
                <w:spacing w:val="-4"/>
                <w:sz w:val="14"/>
              </w:rPr>
              <w:t> </w:t>
            </w:r>
            <w:r>
              <w:rPr>
                <w:sz w:val="14"/>
              </w:rPr>
              <w:t>of</w:t>
            </w:r>
            <w:r>
              <w:rPr>
                <w:spacing w:val="-3"/>
                <w:sz w:val="14"/>
              </w:rPr>
              <w:t> </w:t>
            </w:r>
            <w:r>
              <w:rPr>
                <w:sz w:val="14"/>
              </w:rPr>
              <w:t>development)</w:t>
            </w:r>
            <w:r>
              <w:rPr>
                <w:spacing w:val="-6"/>
                <w:sz w:val="14"/>
              </w:rPr>
              <w:t> </w:t>
            </w:r>
            <w:r>
              <w:rPr>
                <w:sz w:val="14"/>
              </w:rPr>
              <w:t>Small</w:t>
            </w:r>
            <w:r>
              <w:rPr>
                <w:spacing w:val="-5"/>
                <w:sz w:val="14"/>
              </w:rPr>
              <w:t> </w:t>
            </w:r>
            <w:r>
              <w:rPr>
                <w:sz w:val="14"/>
              </w:rPr>
              <w:t>commercial</w:t>
            </w:r>
            <w:r>
              <w:rPr>
                <w:spacing w:val="40"/>
                <w:sz w:val="14"/>
              </w:rPr>
              <w:t> </w:t>
            </w:r>
            <w:r>
              <w:rPr>
                <w:sz w:val="14"/>
              </w:rPr>
              <w:t>development (&lt;500m2)</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366.00</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393.00</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6.9</w:t>
            </w:r>
          </w:p>
        </w:tc>
      </w:tr>
      <w:tr>
        <w:trPr>
          <w:trHeight w:val="354" w:hRule="atLeast"/>
        </w:trPr>
        <w:tc>
          <w:tcPr>
            <w:tcW w:w="5794" w:type="dxa"/>
          </w:tcPr>
          <w:p>
            <w:pPr>
              <w:pStyle w:val="TableParagraph"/>
              <w:spacing w:line="160" w:lineRule="atLeast" w:before="14"/>
              <w:ind w:left="107" w:right="174"/>
              <w:rPr>
                <w:sz w:val="14"/>
              </w:rPr>
            </w:pPr>
            <w:r>
              <w:rPr>
                <w:sz w:val="14"/>
              </w:rPr>
              <w:t>Commercial</w:t>
            </w:r>
            <w:r>
              <w:rPr>
                <w:spacing w:val="-3"/>
                <w:sz w:val="14"/>
              </w:rPr>
              <w:t> </w:t>
            </w:r>
            <w:r>
              <w:rPr>
                <w:sz w:val="14"/>
              </w:rPr>
              <w:t>Development</w:t>
            </w:r>
            <w:r>
              <w:rPr>
                <w:spacing w:val="-6"/>
                <w:sz w:val="14"/>
              </w:rPr>
              <w:t> </w:t>
            </w:r>
            <w:r>
              <w:rPr>
                <w:sz w:val="14"/>
              </w:rPr>
              <w:t>Plans</w:t>
            </w:r>
            <w:r>
              <w:rPr>
                <w:spacing w:val="-4"/>
                <w:sz w:val="14"/>
              </w:rPr>
              <w:t> </w:t>
            </w:r>
            <w:r>
              <w:rPr>
                <w:sz w:val="14"/>
              </w:rPr>
              <w:t>(based</w:t>
            </w:r>
            <w:r>
              <w:rPr>
                <w:spacing w:val="-8"/>
                <w:sz w:val="14"/>
              </w:rPr>
              <w:t> </w:t>
            </w:r>
            <w:r>
              <w:rPr>
                <w:sz w:val="14"/>
              </w:rPr>
              <w:t>on</w:t>
            </w:r>
            <w:r>
              <w:rPr>
                <w:spacing w:val="-6"/>
                <w:sz w:val="14"/>
              </w:rPr>
              <w:t> </w:t>
            </w:r>
            <w:r>
              <w:rPr>
                <w:sz w:val="14"/>
              </w:rPr>
              <w:t>floor</w:t>
            </w:r>
            <w:r>
              <w:rPr>
                <w:spacing w:val="-4"/>
                <w:sz w:val="14"/>
              </w:rPr>
              <w:t> </w:t>
            </w:r>
            <w:r>
              <w:rPr>
                <w:sz w:val="14"/>
              </w:rPr>
              <w:t>area</w:t>
            </w:r>
            <w:r>
              <w:rPr>
                <w:spacing w:val="-4"/>
                <w:sz w:val="14"/>
              </w:rPr>
              <w:t> </w:t>
            </w:r>
            <w:r>
              <w:rPr>
                <w:sz w:val="14"/>
              </w:rPr>
              <w:t>of</w:t>
            </w:r>
            <w:r>
              <w:rPr>
                <w:spacing w:val="-3"/>
                <w:sz w:val="14"/>
              </w:rPr>
              <w:t> </w:t>
            </w:r>
            <w:r>
              <w:rPr>
                <w:sz w:val="14"/>
              </w:rPr>
              <w:t>development)</w:t>
            </w:r>
            <w:r>
              <w:rPr>
                <w:spacing w:val="-4"/>
                <w:sz w:val="14"/>
              </w:rPr>
              <w:t> </w:t>
            </w:r>
            <w:r>
              <w:rPr>
                <w:sz w:val="14"/>
              </w:rPr>
              <w:t>Medium</w:t>
            </w:r>
            <w:r>
              <w:rPr>
                <w:spacing w:val="40"/>
                <w:sz w:val="14"/>
              </w:rPr>
              <w:t> </w:t>
            </w:r>
            <w:r>
              <w:rPr>
                <w:sz w:val="14"/>
              </w:rPr>
              <w:t>commercial development (500-2000m2)</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873.00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938.00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6.9</w:t>
            </w:r>
          </w:p>
        </w:tc>
      </w:tr>
      <w:tr>
        <w:trPr>
          <w:trHeight w:val="354" w:hRule="atLeast"/>
        </w:trPr>
        <w:tc>
          <w:tcPr>
            <w:tcW w:w="5794" w:type="dxa"/>
          </w:tcPr>
          <w:p>
            <w:pPr>
              <w:pStyle w:val="TableParagraph"/>
              <w:spacing w:line="160" w:lineRule="atLeast" w:before="14"/>
              <w:ind w:left="107"/>
              <w:rPr>
                <w:sz w:val="14"/>
              </w:rPr>
            </w:pPr>
            <w:r>
              <w:rPr>
                <w:sz w:val="14"/>
              </w:rPr>
              <w:t>Commercial</w:t>
            </w:r>
            <w:r>
              <w:rPr>
                <w:spacing w:val="-3"/>
                <w:sz w:val="14"/>
              </w:rPr>
              <w:t> </w:t>
            </w:r>
            <w:r>
              <w:rPr>
                <w:sz w:val="14"/>
              </w:rPr>
              <w:t>Development</w:t>
            </w:r>
            <w:r>
              <w:rPr>
                <w:spacing w:val="-6"/>
                <w:sz w:val="14"/>
              </w:rPr>
              <w:t> </w:t>
            </w:r>
            <w:r>
              <w:rPr>
                <w:sz w:val="14"/>
              </w:rPr>
              <w:t>Plans</w:t>
            </w:r>
            <w:r>
              <w:rPr>
                <w:spacing w:val="-4"/>
                <w:sz w:val="14"/>
              </w:rPr>
              <w:t> </w:t>
            </w:r>
            <w:r>
              <w:rPr>
                <w:sz w:val="14"/>
              </w:rPr>
              <w:t>(based</w:t>
            </w:r>
            <w:r>
              <w:rPr>
                <w:spacing w:val="-7"/>
                <w:sz w:val="14"/>
              </w:rPr>
              <w:t> </w:t>
            </w:r>
            <w:r>
              <w:rPr>
                <w:sz w:val="14"/>
              </w:rPr>
              <w:t>on</w:t>
            </w:r>
            <w:r>
              <w:rPr>
                <w:spacing w:val="-6"/>
                <w:sz w:val="14"/>
              </w:rPr>
              <w:t> </w:t>
            </w:r>
            <w:r>
              <w:rPr>
                <w:sz w:val="14"/>
              </w:rPr>
              <w:t>floor</w:t>
            </w:r>
            <w:r>
              <w:rPr>
                <w:spacing w:val="-4"/>
                <w:sz w:val="14"/>
              </w:rPr>
              <w:t> </w:t>
            </w:r>
            <w:r>
              <w:rPr>
                <w:sz w:val="14"/>
              </w:rPr>
              <w:t>area</w:t>
            </w:r>
            <w:r>
              <w:rPr>
                <w:spacing w:val="-4"/>
                <w:sz w:val="14"/>
              </w:rPr>
              <w:t> </w:t>
            </w:r>
            <w:r>
              <w:rPr>
                <w:sz w:val="14"/>
              </w:rPr>
              <w:t>of</w:t>
            </w:r>
            <w:r>
              <w:rPr>
                <w:spacing w:val="-3"/>
                <w:sz w:val="14"/>
              </w:rPr>
              <w:t> </w:t>
            </w:r>
            <w:r>
              <w:rPr>
                <w:sz w:val="14"/>
              </w:rPr>
              <w:t>development)</w:t>
            </w:r>
            <w:r>
              <w:rPr>
                <w:spacing w:val="-6"/>
                <w:sz w:val="14"/>
              </w:rPr>
              <w:t> </w:t>
            </w:r>
            <w:r>
              <w:rPr>
                <w:sz w:val="14"/>
              </w:rPr>
              <w:t>Large</w:t>
            </w:r>
            <w:r>
              <w:rPr>
                <w:spacing w:val="-5"/>
                <w:sz w:val="14"/>
              </w:rPr>
              <w:t> </w:t>
            </w:r>
            <w:r>
              <w:rPr>
                <w:sz w:val="14"/>
              </w:rPr>
              <w:t>Commercial</w:t>
            </w:r>
            <w:r>
              <w:rPr>
                <w:spacing w:val="40"/>
                <w:sz w:val="14"/>
              </w:rPr>
              <w:t> </w:t>
            </w:r>
            <w:r>
              <w:rPr>
                <w:sz w:val="14"/>
              </w:rPr>
              <w:t>development (2000m2+)</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1,457.00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1,566.00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Single</w:t>
            </w:r>
            <w:r>
              <w:rPr>
                <w:spacing w:val="-9"/>
                <w:sz w:val="14"/>
              </w:rPr>
              <w:t> </w:t>
            </w:r>
            <w:r>
              <w:rPr>
                <w:sz w:val="14"/>
              </w:rPr>
              <w:t>Industrial/factory/warehouse</w:t>
            </w:r>
            <w:r>
              <w:rPr>
                <w:spacing w:val="-7"/>
                <w:sz w:val="14"/>
              </w:rPr>
              <w: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366.00</w:t>
            </w:r>
          </w:p>
        </w:tc>
        <w:tc>
          <w:tcPr>
            <w:tcW w:w="995" w:type="dxa"/>
          </w:tcPr>
          <w:p>
            <w:pPr>
              <w:pStyle w:val="TableParagraph"/>
              <w:spacing w:line="140" w:lineRule="exact" w:before="17"/>
              <w:ind w:right="102"/>
              <w:jc w:val="right"/>
              <w:rPr>
                <w:sz w:val="14"/>
              </w:rPr>
            </w:pPr>
            <w:r>
              <w:rPr>
                <w:spacing w:val="-2"/>
                <w:sz w:val="14"/>
              </w:rPr>
              <w:t>393.00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2" w:lineRule="exact" w:before="15"/>
              <w:ind w:left="107"/>
              <w:rPr>
                <w:sz w:val="14"/>
              </w:rPr>
            </w:pPr>
            <w:r>
              <w:rPr>
                <w:w w:val="95"/>
                <w:sz w:val="14"/>
              </w:rPr>
              <w:t>2-5</w:t>
            </w:r>
            <w:r>
              <w:rPr>
                <w:spacing w:val="39"/>
                <w:sz w:val="14"/>
              </w:rPr>
              <w:t> </w:t>
            </w:r>
            <w:r>
              <w:rPr>
                <w:w w:val="95"/>
                <w:sz w:val="14"/>
              </w:rPr>
              <w:t>industrial/factory/warehouse</w:t>
            </w:r>
            <w:r>
              <w:rPr>
                <w:spacing w:val="40"/>
                <w:sz w:val="14"/>
              </w:rPr>
              <w:t> </w:t>
            </w:r>
            <w:r>
              <w:rPr>
                <w:spacing w:val="-2"/>
                <w:w w:val="95"/>
                <w:sz w:val="14"/>
              </w:rPr>
              <w:t>developments</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873.00</w:t>
            </w:r>
          </w:p>
        </w:tc>
        <w:tc>
          <w:tcPr>
            <w:tcW w:w="995" w:type="dxa"/>
          </w:tcPr>
          <w:p>
            <w:pPr>
              <w:pStyle w:val="TableParagraph"/>
              <w:spacing w:line="142" w:lineRule="exact" w:before="15"/>
              <w:ind w:right="101"/>
              <w:jc w:val="right"/>
              <w:rPr>
                <w:sz w:val="14"/>
              </w:rPr>
            </w:pPr>
            <w:r>
              <w:rPr>
                <w:spacing w:val="-2"/>
                <w:sz w:val="14"/>
              </w:rPr>
              <w:t>938.00</w:t>
            </w:r>
          </w:p>
        </w:tc>
        <w:tc>
          <w:tcPr>
            <w:tcW w:w="861" w:type="dxa"/>
          </w:tcPr>
          <w:p>
            <w:pPr>
              <w:pStyle w:val="TableParagraph"/>
              <w:spacing w:line="142" w:lineRule="exact" w:before="15"/>
              <w:ind w:left="326"/>
              <w:rPr>
                <w:sz w:val="14"/>
              </w:rPr>
            </w:pPr>
            <w:r>
              <w:rPr>
                <w:spacing w:val="-5"/>
                <w:sz w:val="14"/>
              </w:rPr>
              <w:t>6.9</w:t>
            </w:r>
          </w:p>
        </w:tc>
      </w:tr>
      <w:tr>
        <w:trPr>
          <w:trHeight w:val="174" w:hRule="atLeast"/>
        </w:trPr>
        <w:tc>
          <w:tcPr>
            <w:tcW w:w="5794" w:type="dxa"/>
          </w:tcPr>
          <w:p>
            <w:pPr>
              <w:pStyle w:val="TableParagraph"/>
              <w:spacing w:line="140" w:lineRule="exact" w:before="15"/>
              <w:ind w:left="107"/>
              <w:rPr>
                <w:sz w:val="14"/>
              </w:rPr>
            </w:pPr>
            <w:r>
              <w:rPr>
                <w:w w:val="95"/>
                <w:sz w:val="14"/>
              </w:rPr>
              <w:t>6+</w:t>
            </w:r>
            <w:r>
              <w:rPr>
                <w:spacing w:val="36"/>
                <w:sz w:val="14"/>
              </w:rPr>
              <w:t> </w:t>
            </w:r>
            <w:r>
              <w:rPr>
                <w:w w:val="95"/>
                <w:sz w:val="14"/>
              </w:rPr>
              <w:t>industrial/factory/warehouse</w:t>
            </w:r>
            <w:r>
              <w:rPr>
                <w:spacing w:val="39"/>
                <w:sz w:val="14"/>
              </w:rPr>
              <w:t> </w:t>
            </w:r>
            <w:r>
              <w:rPr>
                <w:spacing w:val="-2"/>
                <w:w w:val="95"/>
                <w:sz w:val="14"/>
              </w:rPr>
              <w:t>developments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1,457.00</w:t>
            </w:r>
          </w:p>
        </w:tc>
        <w:tc>
          <w:tcPr>
            <w:tcW w:w="995" w:type="dxa"/>
          </w:tcPr>
          <w:p>
            <w:pPr>
              <w:pStyle w:val="TableParagraph"/>
              <w:spacing w:line="140" w:lineRule="exact" w:before="15"/>
              <w:ind w:right="101"/>
              <w:jc w:val="right"/>
              <w:rPr>
                <w:sz w:val="14"/>
              </w:rPr>
            </w:pPr>
            <w:r>
              <w:rPr>
                <w:spacing w:val="-2"/>
                <w:sz w:val="14"/>
              </w:rPr>
              <w:t>1,566.00</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7"/>
                <w:sz w:val="14"/>
              </w:rPr>
              <w:t> </w:t>
            </w:r>
            <w:r>
              <w:rPr>
                <w:sz w:val="14"/>
              </w:rPr>
              <w:t>Management</w:t>
            </w:r>
            <w:r>
              <w:rPr>
                <w:spacing w:val="-7"/>
                <w:sz w:val="14"/>
              </w:rPr>
              <w:t> </w:t>
            </w:r>
            <w:r>
              <w:rPr>
                <w:sz w:val="14"/>
              </w:rPr>
              <w:t>Plan</w:t>
            </w:r>
            <w:r>
              <w:rPr>
                <w:spacing w:val="-6"/>
                <w:sz w:val="14"/>
              </w:rPr>
              <w:t> </w:t>
            </w:r>
            <w:r>
              <w:rPr>
                <w:sz w:val="14"/>
              </w:rPr>
              <w:t>Residential</w:t>
            </w:r>
            <w:r>
              <w:rPr>
                <w:spacing w:val="-7"/>
                <w:sz w:val="14"/>
              </w:rPr>
              <w: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366.00</w:t>
            </w:r>
          </w:p>
        </w:tc>
        <w:tc>
          <w:tcPr>
            <w:tcW w:w="995" w:type="dxa"/>
          </w:tcPr>
          <w:p>
            <w:pPr>
              <w:pStyle w:val="TableParagraph"/>
              <w:spacing w:line="140" w:lineRule="exact" w:before="17"/>
              <w:ind w:right="102"/>
              <w:jc w:val="right"/>
              <w:rPr>
                <w:sz w:val="14"/>
              </w:rPr>
            </w:pPr>
            <w:r>
              <w:rPr>
                <w:spacing w:val="-2"/>
                <w:sz w:val="14"/>
              </w:rPr>
              <w:t>393.00</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Construction</w:t>
            </w:r>
            <w:r>
              <w:rPr>
                <w:spacing w:val="-4"/>
                <w:sz w:val="14"/>
              </w:rPr>
              <w:t> </w:t>
            </w:r>
            <w:r>
              <w:rPr>
                <w:sz w:val="14"/>
              </w:rPr>
              <w:t>Management</w:t>
            </w:r>
            <w:r>
              <w:rPr>
                <w:spacing w:val="-5"/>
                <w:sz w:val="14"/>
              </w:rPr>
              <w:t> </w:t>
            </w:r>
            <w:r>
              <w:rPr>
                <w:sz w:val="14"/>
              </w:rPr>
              <w:t>Plan</w:t>
            </w:r>
            <w:r>
              <w:rPr>
                <w:spacing w:val="-4"/>
                <w:sz w:val="14"/>
              </w:rPr>
              <w:t> </w:t>
            </w:r>
            <w:r>
              <w:rPr>
                <w:sz w:val="14"/>
              </w:rPr>
              <w:t>Multi</w:t>
            </w:r>
            <w:r>
              <w:rPr>
                <w:spacing w:val="-5"/>
                <w:sz w:val="14"/>
              </w:rPr>
              <w:t> </w:t>
            </w:r>
            <w:r>
              <w:rPr>
                <w:sz w:val="14"/>
              </w:rPr>
              <w:t>story</w:t>
            </w:r>
            <w:r>
              <w:rPr>
                <w:spacing w:val="-4"/>
                <w:sz w:val="14"/>
              </w:rPr>
              <w:t> </w:t>
            </w:r>
            <w:r>
              <w:rPr>
                <w:sz w:val="14"/>
              </w:rPr>
              <w:t>/</w:t>
            </w:r>
            <w:r>
              <w:rPr>
                <w:spacing w:val="-3"/>
                <w:sz w:val="14"/>
              </w:rPr>
              <w:t> </w:t>
            </w:r>
            <w:r>
              <w:rPr>
                <w:sz w:val="14"/>
              </w:rPr>
              <w:t>Commercial</w:t>
            </w:r>
            <w:r>
              <w:rPr>
                <w:spacing w:val="-5"/>
                <w:sz w:val="14"/>
              </w:rPr>
              <w:t> </w:t>
            </w:r>
            <w:r>
              <w:rPr>
                <w:sz w:val="14"/>
              </w:rPr>
              <w:t>/</w:t>
            </w:r>
            <w:r>
              <w:rPr>
                <w:spacing w:val="-5"/>
                <w:sz w:val="14"/>
              </w:rPr>
              <w:t> </w:t>
            </w:r>
            <w:r>
              <w:rPr>
                <w:spacing w:val="-2"/>
                <w:sz w:val="14"/>
              </w:rPr>
              <w:t>industrial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873.00</w:t>
            </w:r>
          </w:p>
        </w:tc>
        <w:tc>
          <w:tcPr>
            <w:tcW w:w="995" w:type="dxa"/>
          </w:tcPr>
          <w:p>
            <w:pPr>
              <w:pStyle w:val="TableParagraph"/>
              <w:spacing w:line="140" w:lineRule="exact" w:before="17"/>
              <w:ind w:right="102"/>
              <w:jc w:val="right"/>
              <w:rPr>
                <w:sz w:val="14"/>
              </w:rPr>
            </w:pPr>
            <w:r>
              <w:rPr>
                <w:spacing w:val="-2"/>
                <w:sz w:val="14"/>
              </w:rPr>
              <w:t>938.48</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Amended</w:t>
            </w:r>
            <w:r>
              <w:rPr>
                <w:spacing w:val="-8"/>
                <w:sz w:val="14"/>
              </w:rPr>
              <w:t> </w:t>
            </w:r>
            <w:r>
              <w:rPr>
                <w:sz w:val="14"/>
              </w:rPr>
              <w:t>Endorsed</w:t>
            </w:r>
            <w:r>
              <w:rPr>
                <w:spacing w:val="-8"/>
                <w:sz w:val="14"/>
              </w:rPr>
              <w:t> </w:t>
            </w:r>
            <w:r>
              <w:rPr>
                <w:sz w:val="14"/>
              </w:rPr>
              <w:t>Engineering</w:t>
            </w:r>
            <w:r>
              <w:rPr>
                <w:spacing w:val="-7"/>
                <w:sz w:val="14"/>
              </w:rPr>
              <w:t> </w:t>
            </w:r>
            <w:r>
              <w:rPr>
                <w:spacing w:val="-4"/>
                <w:sz w:val="14"/>
              </w:rPr>
              <w:t>Plans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349.80</w:t>
            </w:r>
          </w:p>
        </w:tc>
        <w:tc>
          <w:tcPr>
            <w:tcW w:w="995" w:type="dxa"/>
          </w:tcPr>
          <w:p>
            <w:pPr>
              <w:pStyle w:val="TableParagraph"/>
              <w:spacing w:line="140" w:lineRule="exact" w:before="17"/>
              <w:ind w:right="102"/>
              <w:jc w:val="right"/>
              <w:rPr>
                <w:sz w:val="14"/>
              </w:rPr>
            </w:pPr>
            <w:r>
              <w:rPr>
                <w:spacing w:val="-2"/>
                <w:sz w:val="14"/>
              </w:rPr>
              <w:t>359.30</w:t>
            </w:r>
          </w:p>
        </w:tc>
        <w:tc>
          <w:tcPr>
            <w:tcW w:w="861" w:type="dxa"/>
          </w:tcPr>
          <w:p>
            <w:pPr>
              <w:pStyle w:val="TableParagraph"/>
              <w:spacing w:line="140" w:lineRule="exact" w:before="17"/>
              <w:ind w:left="327"/>
              <w:rPr>
                <w:sz w:val="14"/>
              </w:rPr>
            </w:pPr>
            <w:r>
              <w:rPr>
                <w:spacing w:val="-5"/>
                <w:sz w:val="14"/>
              </w:rPr>
              <w:t>2.6</w:t>
            </w:r>
          </w:p>
        </w:tc>
      </w:tr>
      <w:tr>
        <w:trPr>
          <w:trHeight w:val="354" w:hRule="atLeast"/>
        </w:trPr>
        <w:tc>
          <w:tcPr>
            <w:tcW w:w="5794" w:type="dxa"/>
          </w:tcPr>
          <w:p>
            <w:pPr>
              <w:pStyle w:val="TableParagraph"/>
              <w:spacing w:before="99"/>
              <w:ind w:left="107"/>
              <w:rPr>
                <w:b/>
                <w:sz w:val="14"/>
              </w:rPr>
            </w:pPr>
            <w:r>
              <w:rPr>
                <w:b/>
                <w:sz w:val="14"/>
              </w:rPr>
              <w:t>Subdivisions</w:t>
            </w:r>
            <w:r>
              <w:rPr>
                <w:b/>
                <w:spacing w:val="-8"/>
                <w:sz w:val="14"/>
              </w:rPr>
              <w:t> </w:t>
            </w:r>
            <w:r>
              <w:rPr>
                <w:b/>
                <w:sz w:val="14"/>
              </w:rPr>
              <w:t>Supervision,</w:t>
            </w:r>
            <w:r>
              <w:rPr>
                <w:b/>
                <w:spacing w:val="-3"/>
                <w:sz w:val="14"/>
              </w:rPr>
              <w:t> </w:t>
            </w:r>
            <w:r>
              <w:rPr>
                <w:b/>
                <w:sz w:val="14"/>
              </w:rPr>
              <w:t>Fee</w:t>
            </w:r>
            <w:r>
              <w:rPr>
                <w:b/>
                <w:spacing w:val="-4"/>
                <w:sz w:val="14"/>
              </w:rPr>
              <w:t> </w:t>
            </w:r>
            <w:r>
              <w:rPr>
                <w:b/>
                <w:sz w:val="14"/>
              </w:rPr>
              <w:t>set</w:t>
            </w:r>
            <w:r>
              <w:rPr>
                <w:b/>
                <w:spacing w:val="-6"/>
                <w:sz w:val="14"/>
              </w:rPr>
              <w:t> </w:t>
            </w:r>
            <w:r>
              <w:rPr>
                <w:b/>
                <w:sz w:val="14"/>
              </w:rPr>
              <w:t>by</w:t>
            </w:r>
            <w:r>
              <w:rPr>
                <w:b/>
                <w:spacing w:val="-5"/>
                <w:sz w:val="14"/>
              </w:rPr>
              <w:t> </w:t>
            </w:r>
            <w:r>
              <w:rPr>
                <w:b/>
                <w:sz w:val="14"/>
              </w:rPr>
              <w:t>Subdivision</w:t>
            </w:r>
            <w:r>
              <w:rPr>
                <w:b/>
                <w:spacing w:val="-6"/>
                <w:sz w:val="14"/>
              </w:rPr>
              <w:t> </w:t>
            </w:r>
            <w:r>
              <w:rPr>
                <w:b/>
                <w:spacing w:val="-5"/>
                <w:sz w:val="14"/>
              </w:rPr>
              <w:t>Act</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4"/>
              </w:rPr>
            </w:pPr>
          </w:p>
        </w:tc>
      </w:tr>
      <w:tr>
        <w:trPr>
          <w:trHeight w:val="177" w:hRule="atLeast"/>
        </w:trPr>
        <w:tc>
          <w:tcPr>
            <w:tcW w:w="5794" w:type="dxa"/>
          </w:tcPr>
          <w:p>
            <w:pPr>
              <w:pStyle w:val="TableParagraph"/>
              <w:spacing w:line="140" w:lineRule="exact" w:before="17"/>
              <w:ind w:left="107"/>
              <w:rPr>
                <w:b/>
                <w:sz w:val="14"/>
              </w:rPr>
            </w:pPr>
            <w:r>
              <w:rPr>
                <w:b/>
                <w:w w:val="95"/>
                <w:sz w:val="14"/>
              </w:rPr>
              <w:t>Engineering</w:t>
            </w:r>
            <w:r>
              <w:rPr>
                <w:b/>
                <w:spacing w:val="30"/>
                <w:sz w:val="14"/>
              </w:rPr>
              <w:t> </w:t>
            </w:r>
            <w:r>
              <w:rPr>
                <w:b/>
                <w:spacing w:val="-2"/>
                <w:sz w:val="14"/>
              </w:rPr>
              <w:t>Services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Build</w:t>
            </w:r>
            <w:r>
              <w:rPr>
                <w:spacing w:val="-7"/>
                <w:sz w:val="14"/>
              </w:rPr>
              <w:t> </w:t>
            </w:r>
            <w:r>
              <w:rPr>
                <w:sz w:val="14"/>
              </w:rPr>
              <w:t>Over</w:t>
            </w:r>
            <w:r>
              <w:rPr>
                <w:spacing w:val="-2"/>
                <w:sz w:val="14"/>
              </w:rPr>
              <w:t> </w:t>
            </w:r>
            <w:r>
              <w:rPr>
                <w:sz w:val="14"/>
              </w:rPr>
              <w:t>Easement</w:t>
            </w:r>
            <w:r>
              <w:rPr>
                <w:spacing w:val="-5"/>
                <w:sz w:val="14"/>
              </w:rPr>
              <w:t> </w:t>
            </w:r>
            <w:r>
              <w:rPr>
                <w:spacing w:val="-2"/>
                <w:sz w:val="14"/>
              </w:rPr>
              <w:t>Application</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311.80</w:t>
            </w:r>
          </w:p>
        </w:tc>
        <w:tc>
          <w:tcPr>
            <w:tcW w:w="995" w:type="dxa"/>
          </w:tcPr>
          <w:p>
            <w:pPr>
              <w:pStyle w:val="TableParagraph"/>
              <w:spacing w:line="140" w:lineRule="exact" w:before="17"/>
              <w:ind w:right="102"/>
              <w:jc w:val="right"/>
              <w:rPr>
                <w:sz w:val="14"/>
              </w:rPr>
            </w:pPr>
            <w:r>
              <w:rPr>
                <w:spacing w:val="-2"/>
                <w:sz w:val="14"/>
              </w:rPr>
              <w:t>320.25</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b/>
                <w:sz w:val="14"/>
              </w:rPr>
            </w:pPr>
            <w:r>
              <w:rPr>
                <w:b/>
                <w:sz w:val="14"/>
              </w:rPr>
              <w:t>Building</w:t>
            </w:r>
            <w:r>
              <w:rPr>
                <w:b/>
                <w:spacing w:val="-7"/>
                <w:sz w:val="14"/>
              </w:rPr>
              <w:t> </w:t>
            </w:r>
            <w:r>
              <w:rPr>
                <w:b/>
                <w:spacing w:val="-2"/>
                <w:sz w:val="14"/>
              </w:rPr>
              <w:t>Services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2" w:hRule="atLeast"/>
        </w:trPr>
        <w:tc>
          <w:tcPr>
            <w:tcW w:w="5794" w:type="dxa"/>
          </w:tcPr>
          <w:p>
            <w:pPr>
              <w:pStyle w:val="TableParagraph"/>
              <w:spacing w:line="160" w:lineRule="atLeast" w:before="10"/>
              <w:ind w:left="107"/>
              <w:rPr>
                <w:sz w:val="14"/>
              </w:rPr>
            </w:pPr>
            <w:r>
              <w:rPr>
                <w:sz w:val="14"/>
              </w:rPr>
              <w:t>$100,001</w:t>
            </w:r>
            <w:r>
              <w:rPr>
                <w:spacing w:val="-2"/>
                <w:sz w:val="14"/>
              </w:rPr>
              <w:t> </w:t>
            </w:r>
            <w:r>
              <w:rPr>
                <w:sz w:val="14"/>
              </w:rPr>
              <w:t>-</w:t>
            </w:r>
            <w:r>
              <w:rPr>
                <w:spacing w:val="-2"/>
                <w:sz w:val="14"/>
              </w:rPr>
              <w:t> </w:t>
            </w:r>
            <w:r>
              <w:rPr>
                <w:sz w:val="14"/>
              </w:rPr>
              <w:t>$150,000</w:t>
            </w:r>
            <w:r>
              <w:rPr>
                <w:spacing w:val="-2"/>
                <w:sz w:val="14"/>
              </w:rPr>
              <w:t> </w:t>
            </w:r>
            <w:r>
              <w:rPr>
                <w:sz w:val="14"/>
              </w:rPr>
              <w:t>Cost</w:t>
            </w:r>
            <w:r>
              <w:rPr>
                <w:spacing w:val="-5"/>
                <w:sz w:val="14"/>
              </w:rPr>
              <w:t> </w:t>
            </w:r>
            <w:r>
              <w:rPr>
                <w:sz w:val="14"/>
              </w:rPr>
              <w:t>of</w:t>
            </w:r>
            <w:r>
              <w:rPr>
                <w:spacing w:val="-4"/>
                <w:sz w:val="14"/>
              </w:rPr>
              <w:t> </w:t>
            </w:r>
            <w:r>
              <w:rPr>
                <w:sz w:val="14"/>
              </w:rPr>
              <w:t>Construction</w:t>
            </w:r>
            <w:r>
              <w:rPr>
                <w:spacing w:val="-5"/>
                <w:sz w:val="14"/>
              </w:rPr>
              <w:t> </w:t>
            </w:r>
            <w:r>
              <w:rPr>
                <w:sz w:val="14"/>
              </w:rPr>
              <w:t>including</w:t>
            </w:r>
            <w:r>
              <w:rPr>
                <w:spacing w:val="-2"/>
                <w:sz w:val="14"/>
              </w:rPr>
              <w:t> </w:t>
            </w:r>
            <w:r>
              <w:rPr>
                <w:sz w:val="14"/>
              </w:rPr>
              <w:t>5</w:t>
            </w:r>
            <w:r>
              <w:rPr>
                <w:spacing w:val="-5"/>
                <w:sz w:val="14"/>
              </w:rPr>
              <w:t> </w:t>
            </w:r>
            <w:r>
              <w:rPr>
                <w:sz w:val="14"/>
              </w:rPr>
              <w:t>inspections</w:t>
            </w:r>
            <w:r>
              <w:rPr>
                <w:spacing w:val="-2"/>
                <w:sz w:val="14"/>
              </w:rPr>
              <w:t> </w:t>
            </w:r>
            <w:r>
              <w:rPr>
                <w:sz w:val="14"/>
              </w:rPr>
              <w:t>($</w:t>
            </w:r>
            <w:r>
              <w:rPr>
                <w:spacing w:val="-2"/>
                <w:sz w:val="14"/>
              </w:rPr>
              <w:t> </w:t>
            </w:r>
            <w:r>
              <w:rPr>
                <w:sz w:val="14"/>
              </w:rPr>
              <w:t>Fee</w:t>
            </w:r>
            <w:r>
              <w:rPr>
                <w:spacing w:val="-4"/>
                <w:sz w:val="14"/>
              </w:rPr>
              <w:t> </w:t>
            </w:r>
            <w:r>
              <w:rPr>
                <w:sz w:val="14"/>
              </w:rPr>
              <w:t>+</w:t>
            </w:r>
            <w:r>
              <w:rPr>
                <w:spacing w:val="-2"/>
                <w:sz w:val="14"/>
              </w:rPr>
              <w:t> </w:t>
            </w:r>
            <w:r>
              <w:rPr>
                <w:sz w:val="14"/>
              </w:rPr>
              <w:t>(0.81%)</w:t>
            </w:r>
            <w:r>
              <w:rPr>
                <w:spacing w:val="-5"/>
                <w:sz w:val="14"/>
              </w:rPr>
              <w:t> </w:t>
            </w:r>
            <w:r>
              <w:rPr>
                <w:sz w:val="14"/>
              </w:rPr>
              <w:t>of</w:t>
            </w:r>
            <w:r>
              <w:rPr>
                <w:spacing w:val="40"/>
                <w:sz w:val="14"/>
              </w:rPr>
              <w:t> </w:t>
            </w:r>
            <w:r>
              <w:rPr>
                <w:sz w:val="14"/>
              </w:rPr>
              <w:t>building</w:t>
            </w:r>
            <w:r>
              <w:rPr>
                <w:spacing w:val="-4"/>
                <w:sz w:val="14"/>
              </w:rPr>
              <w:t> </w:t>
            </w:r>
            <w:r>
              <w:rPr>
                <w:sz w:val="14"/>
              </w:rPr>
              <w:t>works)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0"/>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4"/>
              </w:rPr>
            </w:pPr>
          </w:p>
        </w:tc>
      </w:tr>
    </w:tbl>
    <w:p>
      <w:pPr>
        <w:spacing w:after="0"/>
        <w:rPr>
          <w:rFonts w:ascii="Times New Roman"/>
          <w:sz w:val="14"/>
        </w:rPr>
        <w:sectPr>
          <w:type w:val="continuous"/>
          <w:pgSz w:w="11910" w:h="16840"/>
          <w:pgMar w:header="0" w:footer="687" w:top="920" w:bottom="1037"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50" w:lineRule="exact" w:before="6"/>
              <w:ind w:left="107"/>
              <w:rPr>
                <w:sz w:val="14"/>
              </w:rPr>
            </w:pPr>
            <w:r>
              <w:rPr>
                <w:sz w:val="14"/>
              </w:rPr>
              <w:t>Application</w:t>
            </w:r>
            <w:r>
              <w:rPr>
                <w:spacing w:val="-3"/>
                <w:sz w:val="14"/>
              </w:rPr>
              <w:t> </w:t>
            </w:r>
            <w:r>
              <w:rPr>
                <w:sz w:val="14"/>
              </w:rPr>
              <w:t>to</w:t>
            </w:r>
            <w:r>
              <w:rPr>
                <w:spacing w:val="-1"/>
                <w:sz w:val="14"/>
              </w:rPr>
              <w:t> </w:t>
            </w:r>
            <w:r>
              <w:rPr>
                <w:sz w:val="14"/>
              </w:rPr>
              <w:t>amend</w:t>
            </w:r>
            <w:r>
              <w:rPr>
                <w:spacing w:val="-4"/>
                <w:sz w:val="14"/>
              </w:rPr>
              <w:t> </w:t>
            </w:r>
            <w:r>
              <w:rPr>
                <w:sz w:val="14"/>
              </w:rPr>
              <w:t>a</w:t>
            </w:r>
            <w:r>
              <w:rPr>
                <w:spacing w:val="-3"/>
                <w:sz w:val="14"/>
              </w:rPr>
              <w:t> </w:t>
            </w:r>
            <w:r>
              <w:rPr>
                <w:sz w:val="14"/>
              </w:rPr>
              <w:t>Building</w:t>
            </w:r>
            <w:r>
              <w:rPr>
                <w:spacing w:val="-3"/>
                <w:sz w:val="14"/>
              </w:rPr>
              <w:t> </w:t>
            </w:r>
            <w:r>
              <w:rPr>
                <w:sz w:val="14"/>
              </w:rPr>
              <w:t>Permit</w:t>
            </w:r>
            <w:r>
              <w:rPr>
                <w:spacing w:val="33"/>
                <w:sz w:val="14"/>
              </w:rPr>
              <w:t> </w:t>
            </w:r>
            <w:r>
              <w:rPr>
                <w:sz w:val="14"/>
              </w:rPr>
              <w:t>Building</w:t>
            </w:r>
            <w:r>
              <w:rPr>
                <w:spacing w:val="-4"/>
                <w:sz w:val="14"/>
              </w:rPr>
              <w:t> </w:t>
            </w:r>
            <w:r>
              <w:rPr>
                <w:sz w:val="14"/>
              </w:rPr>
              <w:t>Class</w:t>
            </w:r>
            <w:r>
              <w:rPr>
                <w:spacing w:val="-1"/>
                <w:sz w:val="14"/>
              </w:rPr>
              <w:t> </w:t>
            </w:r>
            <w:r>
              <w:rPr>
                <w:sz w:val="14"/>
              </w:rPr>
              <w:t>1</w:t>
            </w:r>
            <w:r>
              <w:rPr>
                <w:spacing w:val="-4"/>
                <w:sz w:val="14"/>
              </w:rPr>
              <w:t> </w:t>
            </w:r>
            <w:r>
              <w:rPr>
                <w:sz w:val="14"/>
              </w:rPr>
              <w:t>&amp;</w:t>
            </w:r>
            <w:r>
              <w:rPr>
                <w:spacing w:val="-4"/>
                <w:sz w:val="14"/>
              </w:rPr>
              <w:t> </w:t>
            </w:r>
            <w:r>
              <w:rPr>
                <w:spacing w:val="-5"/>
                <w:sz w:val="14"/>
              </w:rPr>
              <w:t>10</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50" w:lineRule="exact" w:before="6"/>
              <w:ind w:right="100"/>
              <w:jc w:val="right"/>
              <w:rPr>
                <w:sz w:val="14"/>
              </w:rPr>
            </w:pPr>
            <w:r>
              <w:rPr>
                <w:spacing w:val="-2"/>
                <w:sz w:val="14"/>
              </w:rPr>
              <w:t>610.00</w:t>
            </w:r>
          </w:p>
        </w:tc>
        <w:tc>
          <w:tcPr>
            <w:tcW w:w="995" w:type="dxa"/>
          </w:tcPr>
          <w:p>
            <w:pPr>
              <w:pStyle w:val="TableParagraph"/>
              <w:spacing w:line="150" w:lineRule="exact" w:before="6"/>
              <w:ind w:right="102"/>
              <w:jc w:val="right"/>
              <w:rPr>
                <w:sz w:val="14"/>
              </w:rPr>
            </w:pPr>
            <w:r>
              <w:rPr>
                <w:spacing w:val="-2"/>
                <w:sz w:val="14"/>
              </w:rPr>
              <w:t>656.00</w:t>
            </w:r>
          </w:p>
        </w:tc>
        <w:tc>
          <w:tcPr>
            <w:tcW w:w="861" w:type="dxa"/>
          </w:tcPr>
          <w:p>
            <w:pPr>
              <w:pStyle w:val="TableParagraph"/>
              <w:spacing w:line="140" w:lineRule="exact" w:before="15"/>
              <w:ind w:left="327"/>
              <w:rPr>
                <w:sz w:val="14"/>
              </w:rPr>
            </w:pPr>
            <w:r>
              <w:rPr>
                <w:spacing w:val="-5"/>
                <w:sz w:val="14"/>
              </w:rPr>
              <w:t>7.0</w:t>
            </w:r>
          </w:p>
        </w:tc>
      </w:tr>
      <w:tr>
        <w:trPr>
          <w:trHeight w:val="177" w:hRule="atLeast"/>
        </w:trPr>
        <w:tc>
          <w:tcPr>
            <w:tcW w:w="5794" w:type="dxa"/>
          </w:tcPr>
          <w:p>
            <w:pPr>
              <w:pStyle w:val="TableParagraph"/>
              <w:spacing w:line="150" w:lineRule="exact" w:before="7"/>
              <w:ind w:left="107"/>
              <w:rPr>
                <w:sz w:val="14"/>
              </w:rPr>
            </w:pPr>
            <w:r>
              <w:rPr>
                <w:sz w:val="14"/>
              </w:rPr>
              <w:t>Application</w:t>
            </w:r>
            <w:r>
              <w:rPr>
                <w:spacing w:val="-3"/>
                <w:sz w:val="14"/>
              </w:rPr>
              <w:t> </w:t>
            </w:r>
            <w:r>
              <w:rPr>
                <w:sz w:val="14"/>
              </w:rPr>
              <w:t>to</w:t>
            </w:r>
            <w:r>
              <w:rPr>
                <w:spacing w:val="-1"/>
                <w:sz w:val="14"/>
              </w:rPr>
              <w:t> </w:t>
            </w:r>
            <w:r>
              <w:rPr>
                <w:sz w:val="14"/>
              </w:rPr>
              <w:t>amend</w:t>
            </w:r>
            <w:r>
              <w:rPr>
                <w:spacing w:val="-4"/>
                <w:sz w:val="14"/>
              </w:rPr>
              <w:t> </w:t>
            </w:r>
            <w:r>
              <w:rPr>
                <w:sz w:val="14"/>
              </w:rPr>
              <w:t>a</w:t>
            </w:r>
            <w:r>
              <w:rPr>
                <w:spacing w:val="-3"/>
                <w:sz w:val="14"/>
              </w:rPr>
              <w:t> </w:t>
            </w:r>
            <w:r>
              <w:rPr>
                <w:sz w:val="14"/>
              </w:rPr>
              <w:t>Building</w:t>
            </w:r>
            <w:r>
              <w:rPr>
                <w:spacing w:val="-3"/>
                <w:sz w:val="14"/>
              </w:rPr>
              <w:t> </w:t>
            </w:r>
            <w:r>
              <w:rPr>
                <w:sz w:val="14"/>
              </w:rPr>
              <w:t>Permit</w:t>
            </w:r>
            <w:r>
              <w:rPr>
                <w:spacing w:val="34"/>
                <w:sz w:val="14"/>
              </w:rPr>
              <w:t> </w:t>
            </w:r>
            <w:r>
              <w:rPr>
                <w:sz w:val="14"/>
              </w:rPr>
              <w:t>Building</w:t>
            </w:r>
            <w:r>
              <w:rPr>
                <w:spacing w:val="-5"/>
                <w:sz w:val="14"/>
              </w:rPr>
              <w:t> </w:t>
            </w:r>
            <w:r>
              <w:rPr>
                <w:sz w:val="14"/>
              </w:rPr>
              <w:t>Class 2</w:t>
            </w:r>
            <w:r>
              <w:rPr>
                <w:spacing w:val="-5"/>
                <w:sz w:val="14"/>
              </w:rPr>
              <w:t> </w:t>
            </w:r>
            <w:r>
              <w:rPr>
                <w:sz w:val="14"/>
              </w:rPr>
              <w:t>-</w:t>
            </w:r>
            <w:r>
              <w:rPr>
                <w:spacing w:val="-1"/>
                <w:sz w:val="14"/>
              </w:rPr>
              <w:t> </w:t>
            </w:r>
            <w:r>
              <w:rPr>
                <w:spacing w:val="-10"/>
                <w:sz w:val="14"/>
              </w:rPr>
              <w:t>9</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50" w:lineRule="exact" w:before="7"/>
              <w:ind w:right="100"/>
              <w:jc w:val="right"/>
              <w:rPr>
                <w:sz w:val="14"/>
              </w:rPr>
            </w:pPr>
            <w:r>
              <w:rPr>
                <w:spacing w:val="-2"/>
                <w:sz w:val="14"/>
              </w:rPr>
              <w:t>835.00</w:t>
            </w:r>
          </w:p>
        </w:tc>
        <w:tc>
          <w:tcPr>
            <w:tcW w:w="995" w:type="dxa"/>
          </w:tcPr>
          <w:p>
            <w:pPr>
              <w:pStyle w:val="TableParagraph"/>
              <w:spacing w:line="150" w:lineRule="exact" w:before="7"/>
              <w:ind w:right="102"/>
              <w:jc w:val="right"/>
              <w:rPr>
                <w:sz w:val="14"/>
              </w:rPr>
            </w:pPr>
            <w:r>
              <w:rPr>
                <w:spacing w:val="-2"/>
                <w:sz w:val="14"/>
              </w:rPr>
              <w:t>898.00</w:t>
            </w:r>
          </w:p>
        </w:tc>
        <w:tc>
          <w:tcPr>
            <w:tcW w:w="861" w:type="dxa"/>
          </w:tcPr>
          <w:p>
            <w:pPr>
              <w:pStyle w:val="TableParagraph"/>
              <w:spacing w:line="140" w:lineRule="exact" w:before="17"/>
              <w:ind w:left="327"/>
              <w:rPr>
                <w:sz w:val="14"/>
              </w:rPr>
            </w:pPr>
            <w:r>
              <w:rPr>
                <w:spacing w:val="-5"/>
                <w:sz w:val="14"/>
              </w:rPr>
              <w:t>7.0</w:t>
            </w:r>
          </w:p>
        </w:tc>
      </w:tr>
      <w:tr>
        <w:trPr>
          <w:trHeight w:val="352" w:hRule="atLeast"/>
        </w:trPr>
        <w:tc>
          <w:tcPr>
            <w:tcW w:w="5794" w:type="dxa"/>
          </w:tcPr>
          <w:p>
            <w:pPr>
              <w:pStyle w:val="TableParagraph"/>
              <w:spacing w:line="160" w:lineRule="atLeast" w:before="10"/>
              <w:ind w:left="107"/>
              <w:rPr>
                <w:sz w:val="14"/>
              </w:rPr>
            </w:pPr>
            <w:r>
              <w:rPr>
                <w:sz w:val="14"/>
              </w:rPr>
              <w:t>Building</w:t>
            </w:r>
            <w:r>
              <w:rPr>
                <w:spacing w:val="-7"/>
                <w:sz w:val="14"/>
              </w:rPr>
              <w:t> </w:t>
            </w:r>
            <w:r>
              <w:rPr>
                <w:sz w:val="14"/>
              </w:rPr>
              <w:t>Services</w:t>
            </w:r>
            <w:r>
              <w:rPr>
                <w:spacing w:val="-3"/>
                <w:sz w:val="14"/>
              </w:rPr>
              <w:t> </w:t>
            </w:r>
            <w:r>
              <w:rPr>
                <w:sz w:val="14"/>
              </w:rPr>
              <w:t>Additional</w:t>
            </w:r>
            <w:r>
              <w:rPr>
                <w:spacing w:val="-6"/>
                <w:sz w:val="14"/>
              </w:rPr>
              <w:t> </w:t>
            </w:r>
            <w:r>
              <w:rPr>
                <w:sz w:val="14"/>
              </w:rPr>
              <w:t>Inspection</w:t>
            </w:r>
            <w:r>
              <w:rPr>
                <w:spacing w:val="-5"/>
                <w:sz w:val="14"/>
              </w:rPr>
              <w:t> </w:t>
            </w:r>
            <w:r>
              <w:rPr>
                <w:sz w:val="14"/>
              </w:rPr>
              <w:t>Fees</w:t>
            </w:r>
            <w:r>
              <w:rPr>
                <w:spacing w:val="-6"/>
                <w:sz w:val="14"/>
              </w:rPr>
              <w:t> </w:t>
            </w:r>
            <w:r>
              <w:rPr>
                <w:sz w:val="14"/>
              </w:rPr>
              <w:t>Additional</w:t>
            </w:r>
            <w:r>
              <w:rPr>
                <w:spacing w:val="-3"/>
                <w:sz w:val="14"/>
              </w:rPr>
              <w:t> </w:t>
            </w:r>
            <w:r>
              <w:rPr>
                <w:sz w:val="14"/>
              </w:rPr>
              <w:t>Inspection</w:t>
            </w:r>
            <w:r>
              <w:rPr>
                <w:spacing w:val="-3"/>
                <w:sz w:val="14"/>
              </w:rPr>
              <w:t> </w:t>
            </w:r>
            <w:r>
              <w:rPr>
                <w:sz w:val="14"/>
              </w:rPr>
              <w:t>required</w:t>
            </w:r>
            <w:r>
              <w:rPr>
                <w:spacing w:val="-6"/>
                <w:sz w:val="14"/>
              </w:rPr>
              <w:t> </w:t>
            </w:r>
            <w:r>
              <w:rPr>
                <w:sz w:val="14"/>
              </w:rPr>
              <w:t>for</w:t>
            </w:r>
            <w:r>
              <w:rPr>
                <w:spacing w:val="-4"/>
                <w:sz w:val="14"/>
              </w:rPr>
              <w:t> </w:t>
            </w:r>
            <w:r>
              <w:rPr>
                <w:sz w:val="14"/>
              </w:rPr>
              <w:t>Building</w:t>
            </w:r>
            <w:r>
              <w:rPr>
                <w:spacing w:val="40"/>
                <w:sz w:val="14"/>
              </w:rPr>
              <w:t> </w:t>
            </w:r>
            <w:r>
              <w:rPr>
                <w:sz w:val="14"/>
              </w:rPr>
              <w:t>Permits &amp;</w:t>
            </w:r>
            <w:r>
              <w:rPr>
                <w:spacing w:val="40"/>
                <w:sz w:val="14"/>
              </w:rPr>
              <w:t> </w:t>
            </w:r>
            <w:r>
              <w:rPr>
                <w:sz w:val="14"/>
              </w:rPr>
              <w:t>Lapsed Permits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0"/>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9"/>
              <w:ind w:left="107"/>
              <w:rPr>
                <w:sz w:val="14"/>
              </w:rPr>
            </w:pPr>
            <w:r>
              <w:rPr>
                <w:sz w:val="14"/>
              </w:rPr>
              <w:t>Demolitions</w:t>
            </w:r>
            <w:r>
              <w:rPr>
                <w:spacing w:val="-5"/>
                <w:sz w:val="14"/>
              </w:rPr>
              <w:t> </w:t>
            </w:r>
            <w:r>
              <w:rPr>
                <w:sz w:val="14"/>
              </w:rPr>
              <w:t>Commercial</w:t>
            </w:r>
            <w:r>
              <w:rPr>
                <w:spacing w:val="33"/>
                <w:sz w:val="14"/>
              </w:rPr>
              <w:t> </w:t>
            </w:r>
            <w:r>
              <w:rPr>
                <w:sz w:val="14"/>
              </w:rPr>
              <w:t>($</w:t>
            </w:r>
            <w:r>
              <w:rPr>
                <w:spacing w:val="-2"/>
                <w:sz w:val="14"/>
              </w:rPr>
              <w:t> </w:t>
            </w:r>
            <w:r>
              <w:rPr>
                <w:sz w:val="14"/>
              </w:rPr>
              <w:t>Fee</w:t>
            </w:r>
            <w:r>
              <w:rPr>
                <w:spacing w:val="-4"/>
                <w:sz w:val="14"/>
              </w:rPr>
              <w:t> </w:t>
            </w:r>
            <w:r>
              <w:rPr>
                <w:sz w:val="14"/>
              </w:rPr>
              <w:t>+</w:t>
            </w:r>
            <w:r>
              <w:rPr>
                <w:spacing w:val="-1"/>
                <w:sz w:val="14"/>
              </w:rPr>
              <w:t> </w:t>
            </w:r>
            <w:r>
              <w:rPr>
                <w:sz w:val="14"/>
              </w:rPr>
              <w:t>$680</w:t>
            </w:r>
            <w:r>
              <w:rPr>
                <w:spacing w:val="-4"/>
                <w:sz w:val="14"/>
              </w:rPr>
              <w:t> </w:t>
            </w:r>
            <w:r>
              <w:rPr>
                <w:sz w:val="14"/>
              </w:rPr>
              <w:t>per</w:t>
            </w:r>
            <w:r>
              <w:rPr>
                <w:spacing w:val="-5"/>
                <w:sz w:val="14"/>
              </w:rPr>
              <w:t> </w:t>
            </w:r>
            <w:r>
              <w:rPr>
                <w:spacing w:val="-2"/>
                <w:sz w:val="14"/>
              </w:rPr>
              <w:t>storey)</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6"/>
              <w:ind w:left="107"/>
              <w:rPr>
                <w:sz w:val="14"/>
              </w:rPr>
            </w:pPr>
            <w:r>
              <w:rPr>
                <w:sz w:val="14"/>
              </w:rPr>
              <w:t>Demolitions</w:t>
            </w:r>
            <w:r>
              <w:rPr>
                <w:spacing w:val="-10"/>
                <w:sz w:val="14"/>
              </w:rPr>
              <w:t> </w:t>
            </w:r>
            <w:r>
              <w:rPr>
                <w:spacing w:val="-2"/>
                <w:sz w:val="14"/>
              </w:rPr>
              <w:t>Domestic</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before="96"/>
              <w:ind w:left="107"/>
              <w:rPr>
                <w:sz w:val="14"/>
              </w:rPr>
            </w:pPr>
            <w:r>
              <w:rPr>
                <w:sz w:val="14"/>
              </w:rPr>
              <w:t>Dwellings</w:t>
            </w:r>
            <w:r>
              <w:rPr>
                <w:spacing w:val="-6"/>
                <w:sz w:val="14"/>
              </w:rPr>
              <w:t> </w:t>
            </w:r>
            <w:r>
              <w:rPr>
                <w:sz w:val="14"/>
              </w:rPr>
              <w:t>&gt;</w:t>
            </w:r>
            <w:r>
              <w:rPr>
                <w:spacing w:val="-1"/>
                <w:sz w:val="14"/>
              </w:rPr>
              <w:t> </w:t>
            </w:r>
            <w:r>
              <w:rPr>
                <w:sz w:val="14"/>
              </w:rPr>
              <w:t>$300,000</w:t>
            </w:r>
            <w:r>
              <w:rPr>
                <w:spacing w:val="-4"/>
                <w:sz w:val="14"/>
              </w:rPr>
              <w:t> </w:t>
            </w:r>
            <w:r>
              <w:rPr>
                <w:sz w:val="14"/>
              </w:rPr>
              <w:t>unit</w:t>
            </w:r>
            <w:r>
              <w:rPr>
                <w:spacing w:val="-4"/>
                <w:sz w:val="14"/>
              </w:rPr>
              <w:t> </w:t>
            </w:r>
            <w:r>
              <w:rPr>
                <w:spacing w:val="-2"/>
                <w:sz w:val="14"/>
              </w:rPr>
              <w:t>development</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0"/>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9"/>
              <w:ind w:left="107"/>
              <w:rPr>
                <w:sz w:val="14"/>
              </w:rPr>
            </w:pPr>
            <w:r>
              <w:rPr>
                <w:sz w:val="14"/>
              </w:rPr>
              <w:t>Extension</w:t>
            </w:r>
            <w:r>
              <w:rPr>
                <w:spacing w:val="-3"/>
                <w:sz w:val="14"/>
              </w:rPr>
              <w:t> </w:t>
            </w:r>
            <w:r>
              <w:rPr>
                <w:sz w:val="14"/>
              </w:rPr>
              <w:t>of</w:t>
            </w:r>
            <w:r>
              <w:rPr>
                <w:spacing w:val="-3"/>
                <w:sz w:val="14"/>
              </w:rPr>
              <w:t> </w:t>
            </w:r>
            <w:r>
              <w:rPr>
                <w:sz w:val="14"/>
              </w:rPr>
              <w:t>Time</w:t>
            </w:r>
            <w:r>
              <w:rPr>
                <w:spacing w:val="-4"/>
                <w:sz w:val="14"/>
              </w:rPr>
              <w:t> </w:t>
            </w:r>
            <w:r>
              <w:rPr>
                <w:sz w:val="14"/>
              </w:rPr>
              <w:t>for</w:t>
            </w:r>
            <w:r>
              <w:rPr>
                <w:spacing w:val="-4"/>
                <w:sz w:val="14"/>
              </w:rPr>
              <w:t> </w:t>
            </w:r>
            <w:r>
              <w:rPr>
                <w:sz w:val="14"/>
              </w:rPr>
              <w:t>Permits</w:t>
            </w:r>
            <w:r>
              <w:rPr>
                <w:spacing w:val="35"/>
                <w:sz w:val="14"/>
              </w:rPr>
              <w:t> </w:t>
            </w:r>
            <w:r>
              <w:rPr>
                <w:sz w:val="14"/>
              </w:rPr>
              <w:t>Class</w:t>
            </w:r>
            <w:r>
              <w:rPr>
                <w:spacing w:val="-1"/>
                <w:sz w:val="14"/>
              </w:rPr>
              <w:t> </w:t>
            </w:r>
            <w:r>
              <w:rPr>
                <w:sz w:val="14"/>
              </w:rPr>
              <w:t>2 -</w:t>
            </w:r>
            <w:r>
              <w:rPr>
                <w:spacing w:val="-5"/>
                <w:sz w:val="14"/>
              </w:rPr>
              <w:t> </w:t>
            </w:r>
            <w:r>
              <w:rPr>
                <w:spacing w:val="-10"/>
                <w:sz w:val="14"/>
              </w:rPr>
              <w:t>9</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6"/>
              <w:ind w:left="107"/>
              <w:rPr>
                <w:sz w:val="14"/>
              </w:rPr>
            </w:pPr>
            <w:r>
              <w:rPr>
                <w:sz w:val="14"/>
              </w:rPr>
              <w:t>Extension</w:t>
            </w:r>
            <w:r>
              <w:rPr>
                <w:spacing w:val="-3"/>
                <w:sz w:val="14"/>
              </w:rPr>
              <w:t> </w:t>
            </w:r>
            <w:r>
              <w:rPr>
                <w:sz w:val="14"/>
              </w:rPr>
              <w:t>of</w:t>
            </w:r>
            <w:r>
              <w:rPr>
                <w:spacing w:val="-3"/>
                <w:sz w:val="14"/>
              </w:rPr>
              <w:t> </w:t>
            </w:r>
            <w:r>
              <w:rPr>
                <w:sz w:val="14"/>
              </w:rPr>
              <w:t>Time</w:t>
            </w:r>
            <w:r>
              <w:rPr>
                <w:spacing w:val="-5"/>
                <w:sz w:val="14"/>
              </w:rPr>
              <w:t> </w:t>
            </w:r>
            <w:r>
              <w:rPr>
                <w:sz w:val="14"/>
              </w:rPr>
              <w:t>for</w:t>
            </w:r>
            <w:r>
              <w:rPr>
                <w:spacing w:val="-4"/>
                <w:sz w:val="14"/>
              </w:rPr>
              <w:t> </w:t>
            </w:r>
            <w:r>
              <w:rPr>
                <w:sz w:val="14"/>
              </w:rPr>
              <w:t>Permits</w:t>
            </w:r>
            <w:r>
              <w:rPr>
                <w:spacing w:val="-3"/>
                <w:sz w:val="14"/>
              </w:rPr>
              <w:t> </w:t>
            </w:r>
            <w:r>
              <w:rPr>
                <w:sz w:val="14"/>
              </w:rPr>
              <w:t>Class</w:t>
            </w:r>
            <w:r>
              <w:rPr>
                <w:spacing w:val="-1"/>
                <w:sz w:val="14"/>
              </w:rPr>
              <w:t> </w:t>
            </w:r>
            <w:r>
              <w:rPr>
                <w:sz w:val="14"/>
              </w:rPr>
              <w:t>1</w:t>
            </w:r>
            <w:r>
              <w:rPr>
                <w:spacing w:val="-2"/>
                <w:sz w:val="14"/>
              </w:rPr>
              <w:t> </w:t>
            </w:r>
            <w:r>
              <w:rPr>
                <w:sz w:val="14"/>
              </w:rPr>
              <w:t>or</w:t>
            </w:r>
            <w:r>
              <w:rPr>
                <w:spacing w:val="-2"/>
                <w:sz w:val="14"/>
              </w:rPr>
              <w:t> </w:t>
            </w:r>
            <w:r>
              <w:rPr>
                <w:spacing w:val="-5"/>
                <w:sz w:val="14"/>
              </w:rPr>
              <w:t>10</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sz w:val="14"/>
              </w:rPr>
            </w:pPr>
            <w:r>
              <w:rPr>
                <w:sz w:val="14"/>
              </w:rPr>
              <w:t>Lodgement</w:t>
            </w:r>
            <w:r>
              <w:rPr>
                <w:spacing w:val="-9"/>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130.86</w:t>
            </w:r>
          </w:p>
        </w:tc>
        <w:tc>
          <w:tcPr>
            <w:tcW w:w="995" w:type="dxa"/>
          </w:tcPr>
          <w:p>
            <w:pPr>
              <w:pStyle w:val="TableParagraph"/>
              <w:spacing w:line="140" w:lineRule="exact" w:before="17"/>
              <w:ind w:right="102"/>
              <w:jc w:val="right"/>
              <w:rPr>
                <w:sz w:val="14"/>
              </w:rPr>
            </w:pPr>
            <w:r>
              <w:rPr>
                <w:spacing w:val="-2"/>
                <w:sz w:val="14"/>
              </w:rPr>
              <w:t>134.40</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2" w:lineRule="exact" w:before="15"/>
              <w:ind w:left="107"/>
              <w:rPr>
                <w:sz w:val="14"/>
              </w:rPr>
            </w:pPr>
            <w:r>
              <w:rPr>
                <w:sz w:val="14"/>
              </w:rPr>
              <w:t>Consent</w:t>
            </w:r>
            <w:r>
              <w:rPr>
                <w:spacing w:val="-6"/>
                <w:sz w:val="14"/>
              </w:rPr>
              <w:t> </w:t>
            </w:r>
            <w:r>
              <w:rPr>
                <w:sz w:val="14"/>
              </w:rPr>
              <w:t>&amp;</w:t>
            </w:r>
            <w:r>
              <w:rPr>
                <w:spacing w:val="-1"/>
                <w:sz w:val="14"/>
              </w:rPr>
              <w:t> </w:t>
            </w:r>
            <w:r>
              <w:rPr>
                <w:sz w:val="14"/>
              </w:rPr>
              <w:t>Reports:</w:t>
            </w:r>
            <w:r>
              <w:rPr>
                <w:spacing w:val="-3"/>
                <w:sz w:val="14"/>
              </w:rPr>
              <w:t> </w:t>
            </w:r>
            <w:r>
              <w:rPr>
                <w:sz w:val="14"/>
              </w:rPr>
              <w:t>(Dispensations)</w:t>
            </w:r>
            <w:r>
              <w:rPr>
                <w:spacing w:val="-6"/>
                <w:sz w:val="14"/>
              </w:rPr>
              <w:t> </w:t>
            </w:r>
            <w:r>
              <w:rPr>
                <w:sz w:val="14"/>
              </w:rPr>
              <w:t>Advertise</w:t>
            </w:r>
            <w:r>
              <w:rPr>
                <w:spacing w:val="-6"/>
                <w:sz w:val="14"/>
              </w:rPr>
              <w:t> </w:t>
            </w:r>
            <w:r>
              <w:rPr>
                <w:sz w:val="14"/>
              </w:rPr>
              <w:t>for</w:t>
            </w:r>
            <w:r>
              <w:rPr>
                <w:spacing w:val="-3"/>
                <w:sz w:val="14"/>
              </w:rPr>
              <w:t> </w:t>
            </w:r>
            <w:r>
              <w:rPr>
                <w:sz w:val="14"/>
              </w:rPr>
              <w:t>Owner</w:t>
            </w:r>
            <w:r>
              <w:rPr>
                <w:spacing w:val="-2"/>
                <w:sz w:val="14"/>
              </w:rPr>
              <w:t> </w:t>
            </w:r>
            <w:r>
              <w:rPr>
                <w:sz w:val="14"/>
              </w:rPr>
              <w:t>-</w:t>
            </w:r>
            <w:r>
              <w:rPr>
                <w:spacing w:val="-6"/>
                <w:sz w:val="14"/>
              </w:rPr>
              <w:t> </w:t>
            </w:r>
            <w:r>
              <w:rPr>
                <w:sz w:val="14"/>
              </w:rPr>
              <w:t>first</w:t>
            </w:r>
            <w:r>
              <w:rPr>
                <w:spacing w:val="-2"/>
                <w:sz w:val="14"/>
              </w:rPr>
              <w:t> property</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180.00</w:t>
            </w:r>
          </w:p>
        </w:tc>
        <w:tc>
          <w:tcPr>
            <w:tcW w:w="995" w:type="dxa"/>
          </w:tcPr>
          <w:p>
            <w:pPr>
              <w:pStyle w:val="TableParagraph"/>
              <w:spacing w:line="142" w:lineRule="exact" w:before="15"/>
              <w:ind w:right="101"/>
              <w:jc w:val="right"/>
              <w:rPr>
                <w:sz w:val="14"/>
              </w:rPr>
            </w:pPr>
            <w:r>
              <w:rPr>
                <w:spacing w:val="-2"/>
                <w:sz w:val="14"/>
              </w:rPr>
              <w:t>193.50</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Consent</w:t>
            </w:r>
            <w:r>
              <w:rPr>
                <w:spacing w:val="-6"/>
                <w:sz w:val="14"/>
              </w:rPr>
              <w:t> </w:t>
            </w:r>
            <w:r>
              <w:rPr>
                <w:sz w:val="14"/>
              </w:rPr>
              <w:t>&amp;</w:t>
            </w:r>
            <w:r>
              <w:rPr>
                <w:spacing w:val="-2"/>
                <w:sz w:val="14"/>
              </w:rPr>
              <w:t> </w:t>
            </w:r>
            <w:r>
              <w:rPr>
                <w:sz w:val="14"/>
              </w:rPr>
              <w:t>Reports:</w:t>
            </w:r>
            <w:r>
              <w:rPr>
                <w:spacing w:val="-3"/>
                <w:sz w:val="14"/>
              </w:rPr>
              <w:t> </w:t>
            </w:r>
            <w:r>
              <w:rPr>
                <w:sz w:val="14"/>
              </w:rPr>
              <w:t>(Dispensations)</w:t>
            </w:r>
            <w:r>
              <w:rPr>
                <w:spacing w:val="-7"/>
                <w:sz w:val="14"/>
              </w:rPr>
              <w:t> </w:t>
            </w:r>
            <w:r>
              <w:rPr>
                <w:sz w:val="14"/>
              </w:rPr>
              <w:t>Advertise</w:t>
            </w:r>
            <w:r>
              <w:rPr>
                <w:spacing w:val="-7"/>
                <w:sz w:val="14"/>
              </w:rPr>
              <w:t> </w:t>
            </w:r>
            <w:r>
              <w:rPr>
                <w:sz w:val="14"/>
              </w:rPr>
              <w:t>for</w:t>
            </w:r>
            <w:r>
              <w:rPr>
                <w:spacing w:val="-3"/>
                <w:sz w:val="14"/>
              </w:rPr>
              <w:t> </w:t>
            </w:r>
            <w:r>
              <w:rPr>
                <w:sz w:val="14"/>
              </w:rPr>
              <w:t>Owner</w:t>
            </w:r>
            <w:r>
              <w:rPr>
                <w:spacing w:val="-4"/>
                <w:sz w:val="14"/>
              </w:rPr>
              <w:t> </w:t>
            </w:r>
            <w:r>
              <w:rPr>
                <w:sz w:val="14"/>
              </w:rPr>
              <w:t>-</w:t>
            </w:r>
            <w:r>
              <w:rPr>
                <w:spacing w:val="-5"/>
                <w:sz w:val="14"/>
              </w:rPr>
              <w:t> </w:t>
            </w:r>
            <w:r>
              <w:rPr>
                <w:sz w:val="14"/>
              </w:rPr>
              <w:t>subsequent</w:t>
            </w:r>
            <w:r>
              <w:rPr>
                <w:spacing w:val="-6"/>
                <w:sz w:val="14"/>
              </w:rPr>
              <w:t> </w:t>
            </w:r>
            <w:r>
              <w:rPr>
                <w:spacing w:val="-2"/>
                <w:sz w:val="14"/>
              </w:rPr>
              <w:t>properties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73.00</w:t>
            </w:r>
          </w:p>
        </w:tc>
        <w:tc>
          <w:tcPr>
            <w:tcW w:w="995" w:type="dxa"/>
          </w:tcPr>
          <w:p>
            <w:pPr>
              <w:pStyle w:val="TableParagraph"/>
              <w:spacing w:line="140" w:lineRule="exact" w:before="15"/>
              <w:ind w:right="102"/>
              <w:jc w:val="right"/>
              <w:rPr>
                <w:sz w:val="14"/>
              </w:rPr>
            </w:pPr>
            <w:r>
              <w:rPr>
                <w:spacing w:val="-2"/>
                <w:sz w:val="14"/>
              </w:rPr>
              <w:t>78.00</w:t>
            </w:r>
          </w:p>
        </w:tc>
        <w:tc>
          <w:tcPr>
            <w:tcW w:w="861" w:type="dxa"/>
          </w:tcPr>
          <w:p>
            <w:pPr>
              <w:pStyle w:val="TableParagraph"/>
              <w:spacing w:line="140" w:lineRule="exact" w:before="15"/>
              <w:ind w:left="327"/>
              <w:rPr>
                <w:sz w:val="14"/>
              </w:rPr>
            </w:pPr>
            <w:r>
              <w:rPr>
                <w:spacing w:val="-5"/>
                <w:sz w:val="14"/>
              </w:rPr>
              <w:t>6.4</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6"/>
                <w:sz w:val="14"/>
              </w:rPr>
              <w:t> </w:t>
            </w:r>
            <w:r>
              <w:rPr>
                <w:sz w:val="14"/>
              </w:rPr>
              <w:t>&amp;</w:t>
            </w:r>
            <w:r>
              <w:rPr>
                <w:spacing w:val="-3"/>
                <w:sz w:val="14"/>
              </w:rPr>
              <w:t> </w:t>
            </w:r>
            <w:r>
              <w:rPr>
                <w:sz w:val="14"/>
              </w:rPr>
              <w:t>Reports:</w:t>
            </w:r>
            <w:r>
              <w:rPr>
                <w:spacing w:val="-3"/>
                <w:sz w:val="14"/>
              </w:rPr>
              <w:t> </w:t>
            </w:r>
            <w:r>
              <w:rPr>
                <w:sz w:val="14"/>
              </w:rPr>
              <w:t>(Dispensations)</w:t>
            </w:r>
            <w:r>
              <w:rPr>
                <w:spacing w:val="-7"/>
                <w:sz w:val="14"/>
              </w:rPr>
              <w:t> </w:t>
            </w:r>
            <w:r>
              <w:rPr>
                <w:sz w:val="14"/>
              </w:rPr>
              <w:t>Hoarding</w:t>
            </w:r>
            <w:r>
              <w:rPr>
                <w:spacing w:val="-2"/>
                <w:sz w:val="14"/>
              </w:rPr>
              <w:t> </w:t>
            </w:r>
            <w:r>
              <w:rPr>
                <w:sz w:val="14"/>
              </w:rPr>
              <w:t>Occupation</w:t>
            </w:r>
            <w:r>
              <w:rPr>
                <w:spacing w:val="-4"/>
                <w:sz w:val="14"/>
              </w:rPr>
              <w:t> </w:t>
            </w:r>
            <w:r>
              <w:rPr>
                <w:sz w:val="14"/>
              </w:rPr>
              <w:t>Activity</w:t>
            </w:r>
            <w:r>
              <w:rPr>
                <w:spacing w:val="-3"/>
                <w:sz w:val="14"/>
              </w:rPr>
              <w:t> </w:t>
            </w:r>
            <w:r>
              <w:rPr>
                <w:sz w:val="14"/>
              </w:rPr>
              <w:t>-</w:t>
            </w:r>
            <w:r>
              <w:rPr>
                <w:spacing w:val="-6"/>
                <w:sz w:val="14"/>
              </w:rPr>
              <w:t> </w:t>
            </w:r>
            <w:r>
              <w:rPr>
                <w:sz w:val="14"/>
              </w:rPr>
              <w:t>m2</w:t>
            </w:r>
            <w:r>
              <w:rPr>
                <w:spacing w:val="-3"/>
                <w:sz w:val="14"/>
              </w:rPr>
              <w:t> </w:t>
            </w:r>
            <w:r>
              <w:rPr>
                <w:sz w:val="14"/>
              </w:rPr>
              <w:t>daily</w:t>
            </w:r>
            <w:r>
              <w:rPr>
                <w:spacing w:val="-5"/>
                <w:sz w:val="14"/>
              </w:rPr>
              <w:t> </w:t>
            </w:r>
            <w:r>
              <w:rPr>
                <w:spacing w:val="-4"/>
                <w:sz w:val="14"/>
              </w:rPr>
              <w:t>rate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1.36</w:t>
            </w:r>
          </w:p>
        </w:tc>
        <w:tc>
          <w:tcPr>
            <w:tcW w:w="995" w:type="dxa"/>
          </w:tcPr>
          <w:p>
            <w:pPr>
              <w:pStyle w:val="TableParagraph"/>
              <w:spacing w:line="140" w:lineRule="exact" w:before="17"/>
              <w:ind w:right="101"/>
              <w:jc w:val="right"/>
              <w:rPr>
                <w:sz w:val="14"/>
              </w:rPr>
            </w:pPr>
            <w:r>
              <w:rPr>
                <w:spacing w:val="-4"/>
                <w:sz w:val="14"/>
              </w:rPr>
              <w:t>1.46</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7"/>
                <w:sz w:val="14"/>
              </w:rPr>
              <w:t> </w:t>
            </w:r>
            <w:r>
              <w:rPr>
                <w:sz w:val="14"/>
              </w:rPr>
              <w:t>&amp;</w:t>
            </w:r>
            <w:r>
              <w:rPr>
                <w:spacing w:val="-3"/>
                <w:sz w:val="14"/>
              </w:rPr>
              <w:t> </w:t>
            </w:r>
            <w:r>
              <w:rPr>
                <w:sz w:val="14"/>
              </w:rPr>
              <w:t>Reports:</w:t>
            </w:r>
            <w:r>
              <w:rPr>
                <w:spacing w:val="-3"/>
                <w:sz w:val="14"/>
              </w:rPr>
              <w:t> </w:t>
            </w:r>
            <w:r>
              <w:rPr>
                <w:sz w:val="14"/>
              </w:rPr>
              <w:t>(Dispensations)</w:t>
            </w:r>
            <w:r>
              <w:rPr>
                <w:spacing w:val="-6"/>
                <w:sz w:val="14"/>
              </w:rPr>
              <w:t> </w:t>
            </w:r>
            <w:r>
              <w:rPr>
                <w:sz w:val="14"/>
              </w:rPr>
              <w:t>Hoarding</w:t>
            </w:r>
            <w:r>
              <w:rPr>
                <w:spacing w:val="-3"/>
                <w:sz w:val="14"/>
              </w:rPr>
              <w:t> </w:t>
            </w:r>
            <w:r>
              <w:rPr>
                <w:sz w:val="14"/>
              </w:rPr>
              <w:t>Occupation</w:t>
            </w:r>
            <w:r>
              <w:rPr>
                <w:spacing w:val="-4"/>
                <w:sz w:val="14"/>
              </w:rPr>
              <w:t> </w:t>
            </w:r>
            <w:r>
              <w:rPr>
                <w:sz w:val="14"/>
              </w:rPr>
              <w:t>Domestic</w:t>
            </w:r>
            <w:r>
              <w:rPr>
                <w:spacing w:val="-6"/>
                <w:sz w:val="14"/>
              </w:rPr>
              <w:t> </w:t>
            </w:r>
            <w:r>
              <w:rPr>
                <w:sz w:val="14"/>
              </w:rPr>
              <w:t>-</w:t>
            </w:r>
            <w:r>
              <w:rPr>
                <w:spacing w:val="-3"/>
                <w:sz w:val="14"/>
              </w:rPr>
              <w:t> </w:t>
            </w:r>
            <w:r>
              <w:rPr>
                <w:sz w:val="14"/>
              </w:rPr>
              <w:t>per</w:t>
            </w:r>
            <w:r>
              <w:rPr>
                <w:spacing w:val="-7"/>
                <w:sz w:val="14"/>
              </w:rPr>
              <w:t> </w:t>
            </w:r>
            <w:r>
              <w:rPr>
                <w:spacing w:val="-4"/>
                <w:sz w:val="14"/>
              </w:rPr>
              <w:t>week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0.80</w:t>
            </w:r>
          </w:p>
        </w:tc>
        <w:tc>
          <w:tcPr>
            <w:tcW w:w="995" w:type="dxa"/>
          </w:tcPr>
          <w:p>
            <w:pPr>
              <w:pStyle w:val="TableParagraph"/>
              <w:spacing w:line="140" w:lineRule="exact" w:before="17"/>
              <w:ind w:right="101"/>
              <w:jc w:val="right"/>
              <w:rPr>
                <w:sz w:val="14"/>
              </w:rPr>
            </w:pPr>
            <w:r>
              <w:rPr>
                <w:spacing w:val="-4"/>
                <w:sz w:val="14"/>
              </w:rPr>
              <w:t>1.46</w:t>
            </w:r>
          </w:p>
        </w:tc>
        <w:tc>
          <w:tcPr>
            <w:tcW w:w="861" w:type="dxa"/>
          </w:tcPr>
          <w:p>
            <w:pPr>
              <w:pStyle w:val="TableParagraph"/>
              <w:spacing w:line="140" w:lineRule="exact" w:before="17"/>
              <w:ind w:left="288"/>
              <w:rPr>
                <w:sz w:val="14"/>
              </w:rPr>
            </w:pPr>
            <w:r>
              <w:rPr>
                <w:spacing w:val="-4"/>
                <w:sz w:val="14"/>
              </w:rPr>
              <w:t>45.2</w:t>
            </w:r>
          </w:p>
        </w:tc>
      </w:tr>
      <w:tr>
        <w:trPr>
          <w:trHeight w:val="405" w:hRule="atLeast"/>
        </w:trPr>
        <w:tc>
          <w:tcPr>
            <w:tcW w:w="5794" w:type="dxa"/>
          </w:tcPr>
          <w:p>
            <w:pPr>
              <w:pStyle w:val="TableParagraph"/>
              <w:spacing w:line="160" w:lineRule="atLeast" w:before="64"/>
              <w:ind w:left="107" w:right="174"/>
              <w:rPr>
                <w:sz w:val="14"/>
              </w:rPr>
            </w:pPr>
            <w:r>
              <w:rPr>
                <w:sz w:val="14"/>
              </w:rPr>
              <w:t>Consent</w:t>
            </w:r>
            <w:r>
              <w:rPr>
                <w:spacing w:val="-6"/>
                <w:sz w:val="14"/>
              </w:rPr>
              <w:t> </w:t>
            </w:r>
            <w:r>
              <w:rPr>
                <w:sz w:val="14"/>
              </w:rPr>
              <w:t>&amp;</w:t>
            </w:r>
            <w:r>
              <w:rPr>
                <w:spacing w:val="-2"/>
                <w:sz w:val="14"/>
              </w:rPr>
              <w:t> </w:t>
            </w:r>
            <w:r>
              <w:rPr>
                <w:sz w:val="14"/>
              </w:rPr>
              <w:t>Reports:</w:t>
            </w:r>
            <w:r>
              <w:rPr>
                <w:spacing w:val="-3"/>
                <w:sz w:val="14"/>
              </w:rPr>
              <w:t> </w:t>
            </w:r>
            <w:r>
              <w:rPr>
                <w:sz w:val="14"/>
              </w:rPr>
              <w:t>(Dispensations)</w:t>
            </w:r>
            <w:r>
              <w:rPr>
                <w:spacing w:val="-7"/>
                <w:sz w:val="14"/>
              </w:rPr>
              <w:t> </w:t>
            </w:r>
            <w:r>
              <w:rPr>
                <w:sz w:val="14"/>
              </w:rPr>
              <w:t>Hoarding</w:t>
            </w:r>
            <w:r>
              <w:rPr>
                <w:spacing w:val="-2"/>
                <w:sz w:val="14"/>
              </w:rPr>
              <w:t> </w:t>
            </w:r>
            <w:r>
              <w:rPr>
                <w:sz w:val="14"/>
              </w:rPr>
              <w:t>Occupation</w:t>
            </w:r>
            <w:r>
              <w:rPr>
                <w:spacing w:val="-4"/>
                <w:sz w:val="14"/>
              </w:rPr>
              <w:t> </w:t>
            </w:r>
            <w:r>
              <w:rPr>
                <w:sz w:val="14"/>
              </w:rPr>
              <w:t>Non-Declared</w:t>
            </w:r>
            <w:r>
              <w:rPr>
                <w:spacing w:val="-5"/>
                <w:sz w:val="14"/>
              </w:rPr>
              <w:t> </w:t>
            </w:r>
            <w:r>
              <w:rPr>
                <w:sz w:val="14"/>
              </w:rPr>
              <w:t>Roads</w:t>
            </w:r>
            <w:r>
              <w:rPr>
                <w:spacing w:val="-5"/>
                <w:sz w:val="14"/>
              </w:rPr>
              <w:t> </w:t>
            </w:r>
            <w:r>
              <w:rPr>
                <w:sz w:val="14"/>
              </w:rPr>
              <w:t>-</w:t>
            </w:r>
            <w:r>
              <w:rPr>
                <w:spacing w:val="-6"/>
                <w:sz w:val="14"/>
              </w:rPr>
              <w:t> </w:t>
            </w:r>
            <w:r>
              <w:rPr>
                <w:sz w:val="14"/>
              </w:rPr>
              <w:t>m2</w:t>
            </w:r>
            <w:r>
              <w:rPr>
                <w:spacing w:val="-3"/>
                <w:sz w:val="14"/>
              </w:rPr>
              <w:t> </w:t>
            </w:r>
            <w:r>
              <w:rPr>
                <w:sz w:val="14"/>
              </w:rPr>
              <w:t>per</w:t>
            </w:r>
            <w:r>
              <w:rPr>
                <w:spacing w:val="40"/>
                <w:sz w:val="14"/>
              </w:rPr>
              <w:t> </w:t>
            </w:r>
            <w:r>
              <w:rPr>
                <w:spacing w:val="-4"/>
                <w:sz w:val="14"/>
              </w:rPr>
              <w:t>day</w:t>
            </w:r>
          </w:p>
        </w:tc>
        <w:tc>
          <w:tcPr>
            <w:tcW w:w="1131" w:type="dxa"/>
          </w:tcPr>
          <w:p>
            <w:pPr>
              <w:pStyle w:val="TableParagraph"/>
              <w:spacing w:before="3"/>
              <w:rPr>
                <w:sz w:val="21"/>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3"/>
              <w:rPr>
                <w:sz w:val="21"/>
              </w:rPr>
            </w:pPr>
          </w:p>
          <w:p>
            <w:pPr>
              <w:pStyle w:val="TableParagraph"/>
              <w:spacing w:line="140" w:lineRule="exact" w:before="1"/>
              <w:ind w:left="159"/>
              <w:rPr>
                <w:sz w:val="14"/>
              </w:rPr>
            </w:pPr>
            <w:r>
              <w:rPr>
                <w:spacing w:val="-5"/>
                <w:sz w:val="14"/>
              </w:rPr>
              <w:t>Yes</w:t>
            </w:r>
          </w:p>
        </w:tc>
        <w:tc>
          <w:tcPr>
            <w:tcW w:w="997" w:type="dxa"/>
          </w:tcPr>
          <w:p>
            <w:pPr>
              <w:pStyle w:val="TableParagraph"/>
              <w:spacing w:before="3"/>
              <w:rPr>
                <w:sz w:val="21"/>
              </w:rPr>
            </w:pPr>
          </w:p>
          <w:p>
            <w:pPr>
              <w:pStyle w:val="TableParagraph"/>
              <w:spacing w:line="140" w:lineRule="exact" w:before="1"/>
              <w:ind w:right="100"/>
              <w:jc w:val="right"/>
              <w:rPr>
                <w:sz w:val="14"/>
              </w:rPr>
            </w:pPr>
            <w:r>
              <w:rPr>
                <w:spacing w:val="-4"/>
                <w:sz w:val="14"/>
              </w:rPr>
              <w:t>6.00</w:t>
            </w:r>
          </w:p>
        </w:tc>
        <w:tc>
          <w:tcPr>
            <w:tcW w:w="995" w:type="dxa"/>
          </w:tcPr>
          <w:p>
            <w:pPr>
              <w:pStyle w:val="TableParagraph"/>
              <w:spacing w:before="3"/>
              <w:rPr>
                <w:sz w:val="21"/>
              </w:rPr>
            </w:pPr>
          </w:p>
          <w:p>
            <w:pPr>
              <w:pStyle w:val="TableParagraph"/>
              <w:spacing w:line="140" w:lineRule="exact" w:before="1"/>
              <w:ind w:right="101"/>
              <w:jc w:val="right"/>
              <w:rPr>
                <w:sz w:val="14"/>
              </w:rPr>
            </w:pPr>
            <w:r>
              <w:rPr>
                <w:spacing w:val="-4"/>
                <w:sz w:val="14"/>
              </w:rPr>
              <w:t>6.42</w:t>
            </w:r>
          </w:p>
        </w:tc>
        <w:tc>
          <w:tcPr>
            <w:tcW w:w="861" w:type="dxa"/>
          </w:tcPr>
          <w:p>
            <w:pPr>
              <w:pStyle w:val="TableParagraph"/>
              <w:spacing w:before="3"/>
              <w:rPr>
                <w:sz w:val="21"/>
              </w:rPr>
            </w:pPr>
          </w:p>
          <w:p>
            <w:pPr>
              <w:pStyle w:val="TableParagraph"/>
              <w:spacing w:line="140" w:lineRule="exact" w:before="1"/>
              <w:ind w:left="327"/>
              <w:rPr>
                <w:sz w:val="14"/>
              </w:rPr>
            </w:pPr>
            <w:r>
              <w:rPr>
                <w:spacing w:val="-5"/>
                <w:sz w:val="14"/>
              </w:rPr>
              <w:t>6.5</w:t>
            </w:r>
          </w:p>
        </w:tc>
      </w:tr>
      <w:tr>
        <w:trPr>
          <w:trHeight w:val="374" w:hRule="atLeast"/>
        </w:trPr>
        <w:tc>
          <w:tcPr>
            <w:tcW w:w="5794" w:type="dxa"/>
          </w:tcPr>
          <w:p>
            <w:pPr>
              <w:pStyle w:val="TableParagraph"/>
              <w:spacing w:before="7"/>
              <w:rPr>
                <w:sz w:val="18"/>
              </w:rPr>
            </w:pPr>
          </w:p>
          <w:p>
            <w:pPr>
              <w:pStyle w:val="TableParagraph"/>
              <w:spacing w:line="140" w:lineRule="exact"/>
              <w:ind w:left="107"/>
              <w:rPr>
                <w:sz w:val="14"/>
              </w:rPr>
            </w:pPr>
            <w:r>
              <w:rPr>
                <w:sz w:val="14"/>
              </w:rPr>
              <w:t>Consent</w:t>
            </w:r>
            <w:r>
              <w:rPr>
                <w:spacing w:val="-7"/>
                <w:sz w:val="14"/>
              </w:rPr>
              <w:t> </w:t>
            </w:r>
            <w:r>
              <w:rPr>
                <w:sz w:val="14"/>
              </w:rPr>
              <w:t>&amp;</w:t>
            </w:r>
            <w:r>
              <w:rPr>
                <w:spacing w:val="-2"/>
                <w:sz w:val="14"/>
              </w:rPr>
              <w:t> </w:t>
            </w:r>
            <w:r>
              <w:rPr>
                <w:sz w:val="14"/>
              </w:rPr>
              <w:t>Reports:</w:t>
            </w:r>
            <w:r>
              <w:rPr>
                <w:spacing w:val="-4"/>
                <w:sz w:val="14"/>
              </w:rPr>
              <w:t> </w:t>
            </w:r>
            <w:r>
              <w:rPr>
                <w:sz w:val="14"/>
              </w:rPr>
              <w:t>(Dispensations)</w:t>
            </w:r>
            <w:r>
              <w:rPr>
                <w:spacing w:val="-7"/>
                <w:sz w:val="14"/>
              </w:rPr>
              <w:t> </w:t>
            </w:r>
            <w:r>
              <w:rPr>
                <w:sz w:val="14"/>
              </w:rPr>
              <w:t>Hoarding</w:t>
            </w:r>
            <w:r>
              <w:rPr>
                <w:spacing w:val="-2"/>
                <w:sz w:val="14"/>
              </w:rPr>
              <w:t> </w:t>
            </w:r>
            <w:r>
              <w:rPr>
                <w:sz w:val="14"/>
              </w:rPr>
              <w:t>Occupation</w:t>
            </w:r>
            <w:r>
              <w:rPr>
                <w:spacing w:val="-4"/>
                <w:sz w:val="14"/>
              </w:rPr>
              <w:t> </w:t>
            </w:r>
            <w:r>
              <w:rPr>
                <w:sz w:val="14"/>
              </w:rPr>
              <w:t>Activity</w:t>
            </w:r>
            <w:r>
              <w:rPr>
                <w:spacing w:val="-3"/>
                <w:sz w:val="14"/>
              </w:rPr>
              <w:t> </w:t>
            </w:r>
            <w:r>
              <w:rPr>
                <w:sz w:val="14"/>
              </w:rPr>
              <w:t>Centre</w:t>
            </w:r>
            <w:r>
              <w:rPr>
                <w:spacing w:val="-5"/>
                <w:sz w:val="14"/>
              </w:rPr>
              <w:t> </w:t>
            </w:r>
            <w:r>
              <w:rPr>
                <w:sz w:val="14"/>
              </w:rPr>
              <w:t>-</w:t>
            </w:r>
            <w:r>
              <w:rPr>
                <w:spacing w:val="-4"/>
                <w:sz w:val="14"/>
              </w:rPr>
              <w:t> </w:t>
            </w:r>
            <w:r>
              <w:rPr>
                <w:sz w:val="14"/>
              </w:rPr>
              <w:t>m2</w:t>
            </w:r>
            <w:r>
              <w:rPr>
                <w:spacing w:val="-3"/>
                <w:sz w:val="14"/>
              </w:rPr>
              <w:t> </w:t>
            </w:r>
            <w:r>
              <w:rPr>
                <w:sz w:val="14"/>
              </w:rPr>
              <w:t>per</w:t>
            </w:r>
            <w:r>
              <w:rPr>
                <w:spacing w:val="-3"/>
                <w:sz w:val="14"/>
              </w:rPr>
              <w:t> </w:t>
            </w:r>
            <w:r>
              <w:rPr>
                <w:spacing w:val="-4"/>
                <w:sz w:val="14"/>
              </w:rPr>
              <w:t>week</w:t>
            </w:r>
          </w:p>
        </w:tc>
        <w:tc>
          <w:tcPr>
            <w:tcW w:w="1131" w:type="dxa"/>
          </w:tcPr>
          <w:p>
            <w:pPr>
              <w:pStyle w:val="TableParagraph"/>
              <w:spacing w:before="7"/>
              <w:rPr>
                <w:sz w:val="18"/>
              </w:rPr>
            </w:pPr>
          </w:p>
          <w:p>
            <w:pPr>
              <w:pStyle w:val="TableParagraph"/>
              <w:spacing w:line="140" w:lineRule="exact"/>
              <w:ind w:left="5"/>
              <w:jc w:val="center"/>
              <w:rPr>
                <w:sz w:val="14"/>
              </w:rPr>
            </w:pPr>
            <w:r>
              <w:rPr>
                <w:w w:val="99"/>
                <w:sz w:val="14"/>
              </w:rPr>
              <w:t>N</w:t>
            </w:r>
          </w:p>
        </w:tc>
        <w:tc>
          <w:tcPr>
            <w:tcW w:w="567" w:type="dxa"/>
          </w:tcPr>
          <w:p>
            <w:pPr>
              <w:pStyle w:val="TableParagraph"/>
              <w:spacing w:before="7"/>
              <w:rPr>
                <w:sz w:val="18"/>
              </w:rPr>
            </w:pPr>
          </w:p>
          <w:p>
            <w:pPr>
              <w:pStyle w:val="TableParagraph"/>
              <w:spacing w:line="140" w:lineRule="exact"/>
              <w:ind w:left="159"/>
              <w:rPr>
                <w:sz w:val="14"/>
              </w:rPr>
            </w:pPr>
            <w:r>
              <w:rPr>
                <w:spacing w:val="-5"/>
                <w:sz w:val="14"/>
              </w:rPr>
              <w:t>Yes</w:t>
            </w:r>
          </w:p>
        </w:tc>
        <w:tc>
          <w:tcPr>
            <w:tcW w:w="997" w:type="dxa"/>
          </w:tcPr>
          <w:p>
            <w:pPr>
              <w:pStyle w:val="TableParagraph"/>
              <w:spacing w:before="7"/>
              <w:rPr>
                <w:sz w:val="18"/>
              </w:rPr>
            </w:pPr>
          </w:p>
          <w:p>
            <w:pPr>
              <w:pStyle w:val="TableParagraph"/>
              <w:spacing w:line="140" w:lineRule="exact"/>
              <w:ind w:right="100"/>
              <w:jc w:val="right"/>
              <w:rPr>
                <w:sz w:val="14"/>
              </w:rPr>
            </w:pPr>
            <w:r>
              <w:rPr>
                <w:spacing w:val="-4"/>
                <w:sz w:val="14"/>
              </w:rPr>
              <w:t>9.00</w:t>
            </w:r>
          </w:p>
        </w:tc>
        <w:tc>
          <w:tcPr>
            <w:tcW w:w="995" w:type="dxa"/>
          </w:tcPr>
          <w:p>
            <w:pPr>
              <w:pStyle w:val="TableParagraph"/>
              <w:spacing w:before="7"/>
              <w:rPr>
                <w:sz w:val="18"/>
              </w:rPr>
            </w:pPr>
          </w:p>
          <w:p>
            <w:pPr>
              <w:pStyle w:val="TableParagraph"/>
              <w:spacing w:line="140" w:lineRule="exact"/>
              <w:ind w:right="101"/>
              <w:jc w:val="right"/>
              <w:rPr>
                <w:sz w:val="14"/>
              </w:rPr>
            </w:pPr>
            <w:r>
              <w:rPr>
                <w:spacing w:val="-4"/>
                <w:sz w:val="14"/>
              </w:rPr>
              <w:t>9.60</w:t>
            </w:r>
          </w:p>
        </w:tc>
        <w:tc>
          <w:tcPr>
            <w:tcW w:w="861" w:type="dxa"/>
          </w:tcPr>
          <w:p>
            <w:pPr>
              <w:pStyle w:val="TableParagraph"/>
              <w:spacing w:before="7"/>
              <w:rPr>
                <w:sz w:val="18"/>
              </w:rPr>
            </w:pPr>
          </w:p>
          <w:p>
            <w:pPr>
              <w:pStyle w:val="TableParagraph"/>
              <w:spacing w:line="140" w:lineRule="exact"/>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7"/>
                <w:sz w:val="14"/>
              </w:rPr>
              <w:t> </w:t>
            </w:r>
            <w:r>
              <w:rPr>
                <w:sz w:val="14"/>
              </w:rPr>
              <w:t>&amp;</w:t>
            </w:r>
            <w:r>
              <w:rPr>
                <w:spacing w:val="-3"/>
                <w:sz w:val="14"/>
              </w:rPr>
              <w:t> </w:t>
            </w:r>
            <w:r>
              <w:rPr>
                <w:sz w:val="14"/>
              </w:rPr>
              <w:t>Reports:</w:t>
            </w:r>
            <w:r>
              <w:rPr>
                <w:spacing w:val="-4"/>
                <w:sz w:val="14"/>
              </w:rPr>
              <w:t> </w:t>
            </w:r>
            <w:r>
              <w:rPr>
                <w:sz w:val="14"/>
              </w:rPr>
              <w:t>(Dispensations)</w:t>
            </w:r>
            <w:r>
              <w:rPr>
                <w:spacing w:val="-8"/>
                <w:sz w:val="14"/>
              </w:rPr>
              <w:t> </w:t>
            </w:r>
            <w:r>
              <w:rPr>
                <w:sz w:val="14"/>
              </w:rPr>
              <w:t>Hoarding</w:t>
            </w:r>
            <w:r>
              <w:rPr>
                <w:spacing w:val="-6"/>
                <w:sz w:val="14"/>
              </w:rPr>
              <w:t> </w:t>
            </w:r>
            <w:r>
              <w:rPr>
                <w:spacing w:val="-2"/>
                <w:sz w:val="14"/>
              </w:rPr>
              <w:t>Permit</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316.40</w:t>
            </w:r>
          </w:p>
        </w:tc>
        <w:tc>
          <w:tcPr>
            <w:tcW w:w="995" w:type="dxa"/>
          </w:tcPr>
          <w:p>
            <w:pPr>
              <w:pStyle w:val="TableParagraph"/>
              <w:spacing w:line="140" w:lineRule="exact" w:before="17"/>
              <w:ind w:right="102"/>
              <w:jc w:val="right"/>
              <w:rPr>
                <w:sz w:val="14"/>
              </w:rPr>
            </w:pPr>
            <w:r>
              <w:rPr>
                <w:spacing w:val="-2"/>
                <w:sz w:val="14"/>
              </w:rPr>
              <w:t>320.25</w:t>
            </w:r>
          </w:p>
        </w:tc>
        <w:tc>
          <w:tcPr>
            <w:tcW w:w="861" w:type="dxa"/>
          </w:tcPr>
          <w:p>
            <w:pPr>
              <w:pStyle w:val="TableParagraph"/>
              <w:spacing w:line="140" w:lineRule="exact" w:before="17"/>
              <w:ind w:left="327"/>
              <w:rPr>
                <w:sz w:val="14"/>
              </w:rPr>
            </w:pPr>
            <w:r>
              <w:rPr>
                <w:spacing w:val="-5"/>
                <w:sz w:val="14"/>
              </w:rPr>
              <w:t>1.2</w:t>
            </w:r>
          </w:p>
        </w:tc>
      </w:tr>
      <w:tr>
        <w:trPr>
          <w:trHeight w:val="359" w:hRule="atLeast"/>
        </w:trPr>
        <w:tc>
          <w:tcPr>
            <w:tcW w:w="5794" w:type="dxa"/>
          </w:tcPr>
          <w:p>
            <w:pPr>
              <w:pStyle w:val="TableParagraph"/>
              <w:spacing w:before="4"/>
              <w:rPr>
                <w:sz w:val="17"/>
              </w:rPr>
            </w:pPr>
          </w:p>
          <w:p>
            <w:pPr>
              <w:pStyle w:val="TableParagraph"/>
              <w:spacing w:line="140" w:lineRule="exact"/>
              <w:ind w:left="107"/>
              <w:rPr>
                <w:sz w:val="14"/>
              </w:rPr>
            </w:pPr>
            <w:r>
              <w:rPr>
                <w:sz w:val="14"/>
              </w:rPr>
              <w:t>Consent</w:t>
            </w:r>
            <w:r>
              <w:rPr>
                <w:spacing w:val="-6"/>
                <w:sz w:val="14"/>
              </w:rPr>
              <w:t> </w:t>
            </w:r>
            <w:r>
              <w:rPr>
                <w:sz w:val="14"/>
              </w:rPr>
              <w:t>&amp;</w:t>
            </w:r>
            <w:r>
              <w:rPr>
                <w:spacing w:val="-1"/>
                <w:sz w:val="14"/>
              </w:rPr>
              <w:t> </w:t>
            </w:r>
            <w:r>
              <w:rPr>
                <w:sz w:val="14"/>
              </w:rPr>
              <w:t>Reports:</w:t>
            </w:r>
            <w:r>
              <w:rPr>
                <w:spacing w:val="-3"/>
                <w:sz w:val="14"/>
              </w:rPr>
              <w:t> </w:t>
            </w:r>
            <w:r>
              <w:rPr>
                <w:sz w:val="14"/>
              </w:rPr>
              <w:t>(Dispensations)</w:t>
            </w:r>
            <w:r>
              <w:rPr>
                <w:spacing w:val="-6"/>
                <w:sz w:val="14"/>
              </w:rPr>
              <w:t> </w:t>
            </w:r>
            <w:r>
              <w:rPr>
                <w:sz w:val="14"/>
              </w:rPr>
              <w:t>Permit</w:t>
            </w:r>
            <w:r>
              <w:rPr>
                <w:spacing w:val="-5"/>
                <w:sz w:val="14"/>
              </w:rPr>
              <w:t> </w:t>
            </w:r>
            <w:r>
              <w:rPr>
                <w:sz w:val="14"/>
              </w:rPr>
              <w:t>issued</w:t>
            </w:r>
            <w:r>
              <w:rPr>
                <w:spacing w:val="-4"/>
                <w:sz w:val="14"/>
              </w:rPr>
              <w:t> </w:t>
            </w:r>
            <w:r>
              <w:rPr>
                <w:sz w:val="14"/>
              </w:rPr>
              <w:t>or</w:t>
            </w:r>
            <w:r>
              <w:rPr>
                <w:spacing w:val="-5"/>
                <w:sz w:val="14"/>
              </w:rPr>
              <w:t> </w:t>
            </w:r>
            <w:r>
              <w:rPr>
                <w:sz w:val="14"/>
              </w:rPr>
              <w:t>work</w:t>
            </w:r>
            <w:r>
              <w:rPr>
                <w:spacing w:val="-3"/>
                <w:sz w:val="14"/>
              </w:rPr>
              <w:t> </w:t>
            </w:r>
            <w:r>
              <w:rPr>
                <w:sz w:val="14"/>
              </w:rPr>
              <w:t>commenced</w:t>
            </w:r>
            <w:r>
              <w:rPr>
                <w:spacing w:val="-2"/>
                <w:sz w:val="14"/>
              </w:rPr>
              <w:t> </w:t>
            </w:r>
            <w:r>
              <w:rPr>
                <w:sz w:val="14"/>
              </w:rPr>
              <w:t>-</w:t>
            </w:r>
            <w:r>
              <w:rPr>
                <w:spacing w:val="-3"/>
                <w:sz w:val="14"/>
              </w:rPr>
              <w:t> </w:t>
            </w:r>
            <w:r>
              <w:rPr>
                <w:sz w:val="14"/>
              </w:rPr>
              <w:t>first</w:t>
            </w:r>
            <w:r>
              <w:rPr>
                <w:spacing w:val="-1"/>
                <w:sz w:val="14"/>
              </w:rPr>
              <w:t> </w:t>
            </w:r>
            <w:r>
              <w:rPr>
                <w:spacing w:val="-2"/>
                <w:sz w:val="14"/>
              </w:rPr>
              <w:t>clause</w:t>
            </w:r>
          </w:p>
        </w:tc>
        <w:tc>
          <w:tcPr>
            <w:tcW w:w="1131" w:type="dxa"/>
          </w:tcPr>
          <w:p>
            <w:pPr>
              <w:pStyle w:val="TableParagraph"/>
              <w:spacing w:before="4"/>
              <w:rPr>
                <w:sz w:val="17"/>
              </w:rPr>
            </w:pPr>
          </w:p>
          <w:p>
            <w:pPr>
              <w:pStyle w:val="TableParagraph"/>
              <w:spacing w:line="140" w:lineRule="exact"/>
              <w:ind w:left="5"/>
              <w:jc w:val="center"/>
              <w:rPr>
                <w:sz w:val="14"/>
              </w:rPr>
            </w:pPr>
            <w:r>
              <w:rPr>
                <w:w w:val="99"/>
                <w:sz w:val="14"/>
              </w:rPr>
              <w:t>N</w:t>
            </w:r>
          </w:p>
        </w:tc>
        <w:tc>
          <w:tcPr>
            <w:tcW w:w="567" w:type="dxa"/>
          </w:tcPr>
          <w:p>
            <w:pPr>
              <w:pStyle w:val="TableParagraph"/>
              <w:spacing w:before="4"/>
              <w:rPr>
                <w:sz w:val="17"/>
              </w:rPr>
            </w:pPr>
          </w:p>
          <w:p>
            <w:pPr>
              <w:pStyle w:val="TableParagraph"/>
              <w:spacing w:line="140" w:lineRule="exact"/>
              <w:ind w:left="159"/>
              <w:rPr>
                <w:sz w:val="14"/>
              </w:rPr>
            </w:pPr>
            <w:r>
              <w:rPr>
                <w:spacing w:val="-5"/>
                <w:sz w:val="14"/>
              </w:rPr>
              <w:t>Yes</w:t>
            </w:r>
          </w:p>
        </w:tc>
        <w:tc>
          <w:tcPr>
            <w:tcW w:w="997" w:type="dxa"/>
          </w:tcPr>
          <w:p>
            <w:pPr>
              <w:pStyle w:val="TableParagraph"/>
              <w:spacing w:before="4"/>
              <w:rPr>
                <w:sz w:val="17"/>
              </w:rPr>
            </w:pPr>
          </w:p>
          <w:p>
            <w:pPr>
              <w:pStyle w:val="TableParagraph"/>
              <w:spacing w:line="140" w:lineRule="exact"/>
              <w:ind w:right="100"/>
              <w:jc w:val="right"/>
              <w:rPr>
                <w:sz w:val="14"/>
              </w:rPr>
            </w:pPr>
            <w:r>
              <w:rPr>
                <w:spacing w:val="-2"/>
                <w:sz w:val="14"/>
              </w:rPr>
              <w:t>492.00</w:t>
            </w:r>
          </w:p>
        </w:tc>
        <w:tc>
          <w:tcPr>
            <w:tcW w:w="995" w:type="dxa"/>
          </w:tcPr>
          <w:p>
            <w:pPr>
              <w:pStyle w:val="TableParagraph"/>
              <w:spacing w:before="4"/>
              <w:rPr>
                <w:sz w:val="17"/>
              </w:rPr>
            </w:pPr>
          </w:p>
          <w:p>
            <w:pPr>
              <w:pStyle w:val="TableParagraph"/>
              <w:spacing w:line="140" w:lineRule="exact"/>
              <w:ind w:right="102"/>
              <w:jc w:val="right"/>
              <w:rPr>
                <w:sz w:val="14"/>
              </w:rPr>
            </w:pPr>
            <w:r>
              <w:rPr>
                <w:spacing w:val="-2"/>
                <w:sz w:val="14"/>
              </w:rPr>
              <w:t>604.00</w:t>
            </w:r>
          </w:p>
        </w:tc>
        <w:tc>
          <w:tcPr>
            <w:tcW w:w="861" w:type="dxa"/>
          </w:tcPr>
          <w:p>
            <w:pPr>
              <w:pStyle w:val="TableParagraph"/>
              <w:spacing w:before="4"/>
              <w:rPr>
                <w:sz w:val="17"/>
              </w:rPr>
            </w:pPr>
          </w:p>
          <w:p>
            <w:pPr>
              <w:pStyle w:val="TableParagraph"/>
              <w:spacing w:line="140" w:lineRule="exact"/>
              <w:ind w:left="288"/>
              <w:rPr>
                <w:sz w:val="14"/>
              </w:rPr>
            </w:pPr>
            <w:r>
              <w:rPr>
                <w:spacing w:val="-4"/>
                <w:sz w:val="14"/>
              </w:rPr>
              <w:t>18.5</w:t>
            </w:r>
          </w:p>
        </w:tc>
      </w:tr>
      <w:tr>
        <w:trPr>
          <w:trHeight w:val="374" w:hRule="atLeast"/>
        </w:trPr>
        <w:tc>
          <w:tcPr>
            <w:tcW w:w="5794" w:type="dxa"/>
          </w:tcPr>
          <w:p>
            <w:pPr>
              <w:pStyle w:val="TableParagraph"/>
              <w:spacing w:line="160" w:lineRule="atLeast" w:before="33"/>
              <w:ind w:left="107" w:right="174"/>
              <w:rPr>
                <w:sz w:val="14"/>
              </w:rPr>
            </w:pPr>
            <w:r>
              <w:rPr>
                <w:sz w:val="14"/>
              </w:rPr>
              <w:t>Consent</w:t>
            </w:r>
            <w:r>
              <w:rPr>
                <w:spacing w:val="-6"/>
                <w:sz w:val="14"/>
              </w:rPr>
              <w:t> </w:t>
            </w:r>
            <w:r>
              <w:rPr>
                <w:sz w:val="14"/>
              </w:rPr>
              <w:t>&amp;</w:t>
            </w:r>
            <w:r>
              <w:rPr>
                <w:spacing w:val="-2"/>
                <w:sz w:val="14"/>
              </w:rPr>
              <w:t> </w:t>
            </w:r>
            <w:r>
              <w:rPr>
                <w:sz w:val="14"/>
              </w:rPr>
              <w:t>Reports:</w:t>
            </w:r>
            <w:r>
              <w:rPr>
                <w:spacing w:val="-3"/>
                <w:sz w:val="14"/>
              </w:rPr>
              <w:t> </w:t>
            </w:r>
            <w:r>
              <w:rPr>
                <w:sz w:val="14"/>
              </w:rPr>
              <w:t>(Dispensations)</w:t>
            </w:r>
            <w:r>
              <w:rPr>
                <w:spacing w:val="-7"/>
                <w:sz w:val="14"/>
              </w:rPr>
              <w:t> </w:t>
            </w:r>
            <w:r>
              <w:rPr>
                <w:sz w:val="14"/>
              </w:rPr>
              <w:t>Permit</w:t>
            </w:r>
            <w:r>
              <w:rPr>
                <w:spacing w:val="-6"/>
                <w:sz w:val="14"/>
              </w:rPr>
              <w:t> </w:t>
            </w:r>
            <w:r>
              <w:rPr>
                <w:sz w:val="14"/>
              </w:rPr>
              <w:t>issued</w:t>
            </w:r>
            <w:r>
              <w:rPr>
                <w:spacing w:val="-4"/>
                <w:sz w:val="14"/>
              </w:rPr>
              <w:t> </w:t>
            </w:r>
            <w:r>
              <w:rPr>
                <w:sz w:val="14"/>
              </w:rPr>
              <w:t>or</w:t>
            </w:r>
            <w:r>
              <w:rPr>
                <w:spacing w:val="-6"/>
                <w:sz w:val="14"/>
              </w:rPr>
              <w:t> </w:t>
            </w:r>
            <w:r>
              <w:rPr>
                <w:sz w:val="14"/>
              </w:rPr>
              <w:t>work</w:t>
            </w:r>
            <w:r>
              <w:rPr>
                <w:spacing w:val="-3"/>
                <w:sz w:val="14"/>
              </w:rPr>
              <w:t> </w:t>
            </w:r>
            <w:r>
              <w:rPr>
                <w:sz w:val="14"/>
              </w:rPr>
              <w:t>commenced</w:t>
            </w:r>
            <w:r>
              <w:rPr>
                <w:spacing w:val="-4"/>
                <w:sz w:val="14"/>
              </w:rPr>
              <w:t> </w:t>
            </w:r>
            <w:r>
              <w:rPr>
                <w:sz w:val="14"/>
              </w:rPr>
              <w:t>-</w:t>
            </w:r>
            <w:r>
              <w:rPr>
                <w:spacing w:val="-5"/>
                <w:sz w:val="14"/>
              </w:rPr>
              <w:t> </w:t>
            </w:r>
            <w:r>
              <w:rPr>
                <w:sz w:val="14"/>
              </w:rPr>
              <w:t>subsequent</w:t>
            </w:r>
            <w:r>
              <w:rPr>
                <w:spacing w:val="40"/>
                <w:sz w:val="14"/>
              </w:rPr>
              <w:t> </w:t>
            </w:r>
            <w:r>
              <w:rPr>
                <w:spacing w:val="-2"/>
                <w:sz w:val="14"/>
              </w:rPr>
              <w:t>clauses</w:t>
            </w:r>
          </w:p>
        </w:tc>
        <w:tc>
          <w:tcPr>
            <w:tcW w:w="1131" w:type="dxa"/>
          </w:tcPr>
          <w:p>
            <w:pPr>
              <w:pStyle w:val="TableParagraph"/>
              <w:spacing w:before="7"/>
              <w:rPr>
                <w:sz w:val="18"/>
              </w:rPr>
            </w:pPr>
          </w:p>
          <w:p>
            <w:pPr>
              <w:pStyle w:val="TableParagraph"/>
              <w:spacing w:line="140" w:lineRule="exact"/>
              <w:ind w:left="5"/>
              <w:jc w:val="center"/>
              <w:rPr>
                <w:sz w:val="14"/>
              </w:rPr>
            </w:pPr>
            <w:r>
              <w:rPr>
                <w:w w:val="99"/>
                <w:sz w:val="14"/>
              </w:rPr>
              <w:t>N</w:t>
            </w:r>
          </w:p>
        </w:tc>
        <w:tc>
          <w:tcPr>
            <w:tcW w:w="567" w:type="dxa"/>
          </w:tcPr>
          <w:p>
            <w:pPr>
              <w:pStyle w:val="TableParagraph"/>
              <w:spacing w:before="7"/>
              <w:rPr>
                <w:sz w:val="18"/>
              </w:rPr>
            </w:pPr>
          </w:p>
          <w:p>
            <w:pPr>
              <w:pStyle w:val="TableParagraph"/>
              <w:spacing w:line="140" w:lineRule="exact"/>
              <w:ind w:left="159"/>
              <w:rPr>
                <w:sz w:val="14"/>
              </w:rPr>
            </w:pPr>
            <w:r>
              <w:rPr>
                <w:spacing w:val="-5"/>
                <w:sz w:val="14"/>
              </w:rPr>
              <w:t>Yes</w:t>
            </w:r>
          </w:p>
        </w:tc>
        <w:tc>
          <w:tcPr>
            <w:tcW w:w="997" w:type="dxa"/>
          </w:tcPr>
          <w:p>
            <w:pPr>
              <w:pStyle w:val="TableParagraph"/>
              <w:spacing w:before="7"/>
              <w:rPr>
                <w:sz w:val="18"/>
              </w:rPr>
            </w:pPr>
          </w:p>
          <w:p>
            <w:pPr>
              <w:pStyle w:val="TableParagraph"/>
              <w:spacing w:line="140" w:lineRule="exact"/>
              <w:ind w:right="100"/>
              <w:jc w:val="right"/>
              <w:rPr>
                <w:sz w:val="14"/>
              </w:rPr>
            </w:pPr>
            <w:r>
              <w:rPr>
                <w:spacing w:val="-2"/>
                <w:sz w:val="14"/>
              </w:rPr>
              <w:t>311.80</w:t>
            </w:r>
          </w:p>
        </w:tc>
        <w:tc>
          <w:tcPr>
            <w:tcW w:w="995" w:type="dxa"/>
          </w:tcPr>
          <w:p>
            <w:pPr>
              <w:pStyle w:val="TableParagraph"/>
              <w:spacing w:before="7"/>
              <w:rPr>
                <w:sz w:val="18"/>
              </w:rPr>
            </w:pPr>
          </w:p>
          <w:p>
            <w:pPr>
              <w:pStyle w:val="TableParagraph"/>
              <w:spacing w:line="140" w:lineRule="exact"/>
              <w:ind w:right="102"/>
              <w:jc w:val="right"/>
              <w:rPr>
                <w:sz w:val="14"/>
              </w:rPr>
            </w:pPr>
            <w:r>
              <w:rPr>
                <w:spacing w:val="-2"/>
                <w:sz w:val="14"/>
              </w:rPr>
              <w:t>448.25</w:t>
            </w:r>
          </w:p>
        </w:tc>
        <w:tc>
          <w:tcPr>
            <w:tcW w:w="861" w:type="dxa"/>
          </w:tcPr>
          <w:p>
            <w:pPr>
              <w:pStyle w:val="TableParagraph"/>
              <w:spacing w:before="7"/>
              <w:rPr>
                <w:sz w:val="18"/>
              </w:rPr>
            </w:pPr>
          </w:p>
          <w:p>
            <w:pPr>
              <w:pStyle w:val="TableParagraph"/>
              <w:spacing w:line="140" w:lineRule="exact"/>
              <w:ind w:left="288"/>
              <w:rPr>
                <w:sz w:val="14"/>
              </w:rPr>
            </w:pPr>
            <w:r>
              <w:rPr>
                <w:spacing w:val="-4"/>
                <w:sz w:val="14"/>
              </w:rPr>
              <w:t>30.4</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8"/>
                <w:sz w:val="14"/>
              </w:rPr>
              <w:t> </w:t>
            </w:r>
            <w:r>
              <w:rPr>
                <w:sz w:val="14"/>
              </w:rPr>
              <w:t>&amp;</w:t>
            </w:r>
            <w:r>
              <w:rPr>
                <w:spacing w:val="-4"/>
                <w:sz w:val="14"/>
              </w:rPr>
              <w:t> </w:t>
            </w:r>
            <w:r>
              <w:rPr>
                <w:sz w:val="14"/>
              </w:rPr>
              <w:t>Reports:</w:t>
            </w:r>
            <w:r>
              <w:rPr>
                <w:spacing w:val="-5"/>
                <w:sz w:val="14"/>
              </w:rPr>
              <w:t> </w:t>
            </w:r>
            <w:r>
              <w:rPr>
                <w:sz w:val="14"/>
              </w:rPr>
              <w:t>(Dispensations)(Part</w:t>
            </w:r>
            <w:r>
              <w:rPr>
                <w:spacing w:val="-8"/>
                <w:sz w:val="14"/>
              </w:rPr>
              <w:t> </w:t>
            </w:r>
            <w:r>
              <w:rPr>
                <w:spacing w:val="-2"/>
                <w:sz w:val="14"/>
              </w:rPr>
              <w:t>5)(siting)</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311.80</w:t>
            </w:r>
          </w:p>
        </w:tc>
        <w:tc>
          <w:tcPr>
            <w:tcW w:w="995" w:type="dxa"/>
          </w:tcPr>
          <w:p>
            <w:pPr>
              <w:pStyle w:val="TableParagraph"/>
              <w:spacing w:line="140" w:lineRule="exact" w:before="17"/>
              <w:ind w:right="102"/>
              <w:jc w:val="right"/>
              <w:rPr>
                <w:sz w:val="14"/>
              </w:rPr>
            </w:pPr>
            <w:r>
              <w:rPr>
                <w:spacing w:val="-2"/>
                <w:sz w:val="14"/>
              </w:rPr>
              <w:t>448.25</w:t>
            </w:r>
          </w:p>
        </w:tc>
        <w:tc>
          <w:tcPr>
            <w:tcW w:w="861" w:type="dxa"/>
          </w:tcPr>
          <w:p>
            <w:pPr>
              <w:pStyle w:val="TableParagraph"/>
              <w:spacing w:line="140" w:lineRule="exact" w:before="17"/>
              <w:ind w:left="288"/>
              <w:rPr>
                <w:sz w:val="14"/>
              </w:rPr>
            </w:pPr>
            <w:r>
              <w:rPr>
                <w:spacing w:val="-4"/>
                <w:sz w:val="14"/>
              </w:rPr>
              <w:t>30.4</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6"/>
                <w:sz w:val="14"/>
              </w:rPr>
              <w:t> </w:t>
            </w:r>
            <w:r>
              <w:rPr>
                <w:sz w:val="14"/>
              </w:rPr>
              <w:t>&amp;</w:t>
            </w:r>
            <w:r>
              <w:rPr>
                <w:spacing w:val="-3"/>
                <w:sz w:val="14"/>
              </w:rPr>
              <w:t> </w:t>
            </w:r>
            <w:r>
              <w:rPr>
                <w:sz w:val="14"/>
              </w:rPr>
              <w:t>Reports:</w:t>
            </w:r>
            <w:r>
              <w:rPr>
                <w:spacing w:val="-3"/>
                <w:sz w:val="14"/>
              </w:rPr>
              <w:t> </w:t>
            </w:r>
            <w:r>
              <w:rPr>
                <w:sz w:val="14"/>
              </w:rPr>
              <w:t>(Dispensations)</w:t>
            </w:r>
            <w:r>
              <w:rPr>
                <w:spacing w:val="-7"/>
                <w:sz w:val="14"/>
              </w:rPr>
              <w:t> </w:t>
            </w:r>
            <w:r>
              <w:rPr>
                <w:sz w:val="14"/>
              </w:rPr>
              <w:t>(Reg</w:t>
            </w:r>
            <w:r>
              <w:rPr>
                <w:spacing w:val="-4"/>
                <w:sz w:val="14"/>
              </w:rPr>
              <w:t> </w:t>
            </w:r>
            <w:r>
              <w:rPr>
                <w:sz w:val="14"/>
              </w:rPr>
              <w:t>132(1)</w:t>
            </w:r>
            <w:r>
              <w:rPr>
                <w:spacing w:val="-5"/>
                <w:sz w:val="14"/>
              </w:rPr>
              <w:t> </w:t>
            </w:r>
            <w:r>
              <w:rPr>
                <w:sz w:val="14"/>
              </w:rPr>
              <w:t>and</w:t>
            </w:r>
            <w:r>
              <w:rPr>
                <w:spacing w:val="-2"/>
                <w:sz w:val="14"/>
              </w:rPr>
              <w:t> </w:t>
            </w:r>
            <w:r>
              <w:rPr>
                <w:sz w:val="14"/>
              </w:rPr>
              <w:t>Reg</w:t>
            </w:r>
            <w:r>
              <w:rPr>
                <w:spacing w:val="-7"/>
                <w:sz w:val="14"/>
              </w:rPr>
              <w:t> </w:t>
            </w:r>
            <w:r>
              <w:rPr>
                <w:sz w:val="14"/>
              </w:rPr>
              <w:t>134(2)(Street</w:t>
            </w:r>
            <w:r>
              <w:rPr>
                <w:spacing w:val="-3"/>
                <w:sz w:val="14"/>
              </w:rPr>
              <w:t> </w:t>
            </w:r>
            <w:r>
              <w:rPr>
                <w:spacing w:val="-2"/>
                <w:sz w:val="14"/>
              </w:rPr>
              <w:t>Projections)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311.80</w:t>
            </w:r>
          </w:p>
        </w:tc>
        <w:tc>
          <w:tcPr>
            <w:tcW w:w="995" w:type="dxa"/>
          </w:tcPr>
          <w:p>
            <w:pPr>
              <w:pStyle w:val="TableParagraph"/>
              <w:spacing w:line="140" w:lineRule="exact" w:before="17"/>
              <w:ind w:right="102"/>
              <w:jc w:val="right"/>
              <w:rPr>
                <w:sz w:val="14"/>
              </w:rPr>
            </w:pPr>
            <w:r>
              <w:rPr>
                <w:spacing w:val="-2"/>
                <w:sz w:val="14"/>
              </w:rPr>
              <w:t>320.25</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Consent</w:t>
            </w:r>
            <w:r>
              <w:rPr>
                <w:spacing w:val="-6"/>
                <w:sz w:val="14"/>
              </w:rPr>
              <w:t> </w:t>
            </w:r>
            <w:r>
              <w:rPr>
                <w:sz w:val="14"/>
              </w:rPr>
              <w:t>&amp;</w:t>
            </w:r>
            <w:r>
              <w:rPr>
                <w:spacing w:val="-2"/>
                <w:sz w:val="14"/>
              </w:rPr>
              <w:t> </w:t>
            </w:r>
            <w:r>
              <w:rPr>
                <w:sz w:val="14"/>
              </w:rPr>
              <w:t>Reports:</w:t>
            </w:r>
            <w:r>
              <w:rPr>
                <w:spacing w:val="-4"/>
                <w:sz w:val="14"/>
              </w:rPr>
              <w:t> </w:t>
            </w:r>
            <w:r>
              <w:rPr>
                <w:sz w:val="14"/>
              </w:rPr>
              <w:t>(Dispensations)</w:t>
            </w:r>
            <w:r>
              <w:rPr>
                <w:spacing w:val="-6"/>
                <w:sz w:val="14"/>
              </w:rPr>
              <w:t> </w:t>
            </w:r>
            <w:r>
              <w:rPr>
                <w:sz w:val="14"/>
              </w:rPr>
              <w:t>29A</w:t>
            </w:r>
            <w:r>
              <w:rPr>
                <w:spacing w:val="-5"/>
                <w:sz w:val="14"/>
              </w:rPr>
              <w:t> </w:t>
            </w:r>
            <w:r>
              <w:rPr>
                <w:spacing w:val="-2"/>
                <w:sz w:val="14"/>
              </w:rPr>
              <w:t>Process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89.70</w:t>
            </w:r>
          </w:p>
        </w:tc>
        <w:tc>
          <w:tcPr>
            <w:tcW w:w="995" w:type="dxa"/>
          </w:tcPr>
          <w:p>
            <w:pPr>
              <w:pStyle w:val="TableParagraph"/>
              <w:spacing w:line="140" w:lineRule="exact" w:before="17"/>
              <w:ind w:right="101"/>
              <w:jc w:val="right"/>
              <w:rPr>
                <w:sz w:val="14"/>
              </w:rPr>
            </w:pPr>
            <w:r>
              <w:rPr>
                <w:spacing w:val="-2"/>
                <w:sz w:val="14"/>
              </w:rPr>
              <w:t>93.90</w:t>
            </w:r>
          </w:p>
        </w:tc>
        <w:tc>
          <w:tcPr>
            <w:tcW w:w="861" w:type="dxa"/>
          </w:tcPr>
          <w:p>
            <w:pPr>
              <w:pStyle w:val="TableParagraph"/>
              <w:spacing w:line="140" w:lineRule="exact" w:before="17"/>
              <w:ind w:left="327"/>
              <w:rPr>
                <w:sz w:val="14"/>
              </w:rPr>
            </w:pPr>
            <w:r>
              <w:rPr>
                <w:spacing w:val="-5"/>
                <w:sz w:val="14"/>
              </w:rPr>
              <w:t>4.5</w:t>
            </w:r>
          </w:p>
        </w:tc>
      </w:tr>
      <w:tr>
        <w:trPr>
          <w:trHeight w:val="354" w:hRule="atLeast"/>
        </w:trPr>
        <w:tc>
          <w:tcPr>
            <w:tcW w:w="5794" w:type="dxa"/>
          </w:tcPr>
          <w:p>
            <w:pPr>
              <w:pStyle w:val="TableParagraph"/>
              <w:spacing w:line="160" w:lineRule="atLeast" w:before="14"/>
              <w:ind w:left="107"/>
              <w:rPr>
                <w:sz w:val="14"/>
              </w:rPr>
            </w:pPr>
            <w:r>
              <w:rPr>
                <w:sz w:val="14"/>
              </w:rPr>
              <w:t>Reg</w:t>
            </w:r>
            <w:r>
              <w:rPr>
                <w:spacing w:val="-2"/>
                <w:sz w:val="14"/>
              </w:rPr>
              <w:t> </w:t>
            </w:r>
            <w:r>
              <w:rPr>
                <w:sz w:val="14"/>
              </w:rPr>
              <w:t>51</w:t>
            </w:r>
            <w:r>
              <w:rPr>
                <w:spacing w:val="-2"/>
                <w:sz w:val="14"/>
              </w:rPr>
              <w:t> </w:t>
            </w:r>
            <w:r>
              <w:rPr>
                <w:sz w:val="14"/>
              </w:rPr>
              <w:t>(1),</w:t>
            </w:r>
            <w:r>
              <w:rPr>
                <w:spacing w:val="-4"/>
                <w:sz w:val="14"/>
              </w:rPr>
              <w:t> </w:t>
            </w:r>
            <w:r>
              <w:rPr>
                <w:sz w:val="14"/>
              </w:rPr>
              <w:t>(2)</w:t>
            </w:r>
            <w:r>
              <w:rPr>
                <w:spacing w:val="-2"/>
                <w:sz w:val="14"/>
              </w:rPr>
              <w:t> </w:t>
            </w:r>
            <w:r>
              <w:rPr>
                <w:sz w:val="14"/>
              </w:rPr>
              <w:t>&amp;</w:t>
            </w:r>
            <w:r>
              <w:rPr>
                <w:spacing w:val="-4"/>
                <w:sz w:val="14"/>
              </w:rPr>
              <w:t> </w:t>
            </w:r>
            <w:r>
              <w:rPr>
                <w:sz w:val="14"/>
              </w:rPr>
              <w:t>(3).</w:t>
            </w:r>
            <w:r>
              <w:rPr>
                <w:spacing w:val="-3"/>
                <w:sz w:val="14"/>
              </w:rPr>
              <w:t> </w:t>
            </w:r>
            <w:r>
              <w:rPr>
                <w:sz w:val="14"/>
              </w:rPr>
              <w:t>Owner</w:t>
            </w:r>
            <w:r>
              <w:rPr>
                <w:spacing w:val="-2"/>
                <w:sz w:val="14"/>
              </w:rPr>
              <w:t> </w:t>
            </w:r>
            <w:r>
              <w:rPr>
                <w:sz w:val="14"/>
              </w:rPr>
              <w:t>or</w:t>
            </w:r>
            <w:r>
              <w:rPr>
                <w:spacing w:val="-5"/>
                <w:sz w:val="14"/>
              </w:rPr>
              <w:t> </w:t>
            </w:r>
            <w:r>
              <w:rPr>
                <w:sz w:val="14"/>
              </w:rPr>
              <w:t>mortgagee</w:t>
            </w:r>
            <w:r>
              <w:rPr>
                <w:spacing w:val="-3"/>
                <w:sz w:val="14"/>
              </w:rPr>
              <w:t> </w:t>
            </w:r>
            <w:r>
              <w:rPr>
                <w:sz w:val="14"/>
              </w:rPr>
              <w:t>of</w:t>
            </w:r>
            <w:r>
              <w:rPr>
                <w:spacing w:val="-2"/>
                <w:sz w:val="14"/>
              </w:rPr>
              <w:t> </w:t>
            </w:r>
            <w:r>
              <w:rPr>
                <w:sz w:val="14"/>
              </w:rPr>
              <w:t>building</w:t>
            </w:r>
            <w:r>
              <w:rPr>
                <w:spacing w:val="-4"/>
                <w:sz w:val="14"/>
              </w:rPr>
              <w:t> </w:t>
            </w:r>
            <w:r>
              <w:rPr>
                <w:sz w:val="14"/>
              </w:rPr>
              <w:t>or</w:t>
            </w:r>
            <w:r>
              <w:rPr>
                <w:spacing w:val="-5"/>
                <w:sz w:val="14"/>
              </w:rPr>
              <w:t> </w:t>
            </w:r>
            <w:r>
              <w:rPr>
                <w:sz w:val="14"/>
              </w:rPr>
              <w:t>land</w:t>
            </w:r>
            <w:r>
              <w:rPr>
                <w:spacing w:val="-2"/>
                <w:sz w:val="14"/>
              </w:rPr>
              <w:t> </w:t>
            </w:r>
            <w:r>
              <w:rPr>
                <w:sz w:val="14"/>
              </w:rPr>
              <w:t>or</w:t>
            </w:r>
            <w:r>
              <w:rPr>
                <w:spacing w:val="-2"/>
                <w:sz w:val="14"/>
              </w:rPr>
              <w:t> </w:t>
            </w:r>
            <w:r>
              <w:rPr>
                <w:sz w:val="14"/>
              </w:rPr>
              <w:t>prescribed</w:t>
            </w:r>
            <w:r>
              <w:rPr>
                <w:spacing w:val="-6"/>
                <w:sz w:val="14"/>
              </w:rPr>
              <w:t> </w:t>
            </w:r>
            <w:r>
              <w:rPr>
                <w:sz w:val="14"/>
              </w:rPr>
              <w:t>building</w:t>
            </w:r>
            <w:r>
              <w:rPr>
                <w:spacing w:val="40"/>
                <w:sz w:val="14"/>
              </w:rPr>
              <w:t> </w:t>
            </w:r>
            <w:r>
              <w:rPr>
                <w:sz w:val="14"/>
              </w:rPr>
              <w:t>practitioner requesting information in respect to building or land</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50.70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52.10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2.7</w:t>
            </w:r>
          </w:p>
        </w:tc>
      </w:tr>
      <w:tr>
        <w:trPr>
          <w:trHeight w:val="359" w:hRule="atLeast"/>
        </w:trPr>
        <w:tc>
          <w:tcPr>
            <w:tcW w:w="5794" w:type="dxa"/>
          </w:tcPr>
          <w:p>
            <w:pPr>
              <w:pStyle w:val="TableParagraph"/>
              <w:spacing w:before="4"/>
              <w:rPr>
                <w:sz w:val="17"/>
              </w:rPr>
            </w:pPr>
          </w:p>
          <w:p>
            <w:pPr>
              <w:pStyle w:val="TableParagraph"/>
              <w:spacing w:line="140" w:lineRule="exact"/>
              <w:ind w:left="107"/>
              <w:rPr>
                <w:sz w:val="14"/>
              </w:rPr>
            </w:pPr>
            <w:r>
              <w:rPr>
                <w:sz w:val="14"/>
              </w:rPr>
              <w:t>Copy</w:t>
            </w:r>
            <w:r>
              <w:rPr>
                <w:spacing w:val="-2"/>
                <w:sz w:val="14"/>
              </w:rPr>
              <w:t> </w:t>
            </w:r>
            <w:r>
              <w:rPr>
                <w:sz w:val="14"/>
              </w:rPr>
              <w:t>of</w:t>
            </w:r>
            <w:r>
              <w:rPr>
                <w:spacing w:val="-2"/>
                <w:sz w:val="14"/>
              </w:rPr>
              <w:t> </w:t>
            </w:r>
            <w:r>
              <w:rPr>
                <w:sz w:val="14"/>
              </w:rPr>
              <w:t>plans</w:t>
            </w:r>
            <w:r>
              <w:rPr>
                <w:spacing w:val="-3"/>
                <w:sz w:val="14"/>
              </w:rPr>
              <w:t> </w:t>
            </w:r>
            <w:r>
              <w:rPr>
                <w:sz w:val="14"/>
              </w:rPr>
              <w:t>-</w:t>
            </w:r>
            <w:r>
              <w:rPr>
                <w:spacing w:val="-2"/>
                <w:sz w:val="14"/>
              </w:rPr>
              <w:t> </w:t>
            </w:r>
            <w:r>
              <w:rPr>
                <w:sz w:val="14"/>
              </w:rPr>
              <w:t>Class</w:t>
            </w:r>
            <w:r>
              <w:rPr>
                <w:spacing w:val="-2"/>
                <w:sz w:val="14"/>
              </w:rPr>
              <w:t> </w:t>
            </w:r>
            <w:r>
              <w:rPr>
                <w:sz w:val="14"/>
              </w:rPr>
              <w:t>1</w:t>
            </w:r>
            <w:r>
              <w:rPr>
                <w:spacing w:val="-1"/>
                <w:sz w:val="14"/>
              </w:rPr>
              <w:t> </w:t>
            </w:r>
            <w:r>
              <w:rPr>
                <w:sz w:val="14"/>
              </w:rPr>
              <w:t>or</w:t>
            </w:r>
            <w:r>
              <w:rPr>
                <w:spacing w:val="-2"/>
                <w:sz w:val="14"/>
              </w:rPr>
              <w:t> </w:t>
            </w:r>
            <w:r>
              <w:rPr>
                <w:sz w:val="14"/>
              </w:rPr>
              <w:t>10,</w:t>
            </w:r>
            <w:r>
              <w:rPr>
                <w:spacing w:val="-2"/>
                <w:sz w:val="14"/>
              </w:rPr>
              <w:t> </w:t>
            </w:r>
            <w:r>
              <w:rPr>
                <w:sz w:val="14"/>
              </w:rPr>
              <w:t>including</w:t>
            </w:r>
            <w:r>
              <w:rPr>
                <w:spacing w:val="-3"/>
                <w:sz w:val="14"/>
              </w:rPr>
              <w:t> </w:t>
            </w:r>
            <w:r>
              <w:rPr>
                <w:sz w:val="14"/>
              </w:rPr>
              <w:t>copy</w:t>
            </w:r>
            <w:r>
              <w:rPr>
                <w:spacing w:val="-1"/>
                <w:sz w:val="14"/>
              </w:rPr>
              <w:t> </w:t>
            </w:r>
            <w:r>
              <w:rPr>
                <w:sz w:val="14"/>
              </w:rPr>
              <w:t>of</w:t>
            </w:r>
            <w:r>
              <w:rPr>
                <w:spacing w:val="-2"/>
                <w:sz w:val="14"/>
              </w:rPr>
              <w:t> </w:t>
            </w:r>
            <w:r>
              <w:rPr>
                <w:sz w:val="14"/>
              </w:rPr>
              <w:t>any</w:t>
            </w:r>
            <w:r>
              <w:rPr>
                <w:spacing w:val="-4"/>
                <w:sz w:val="14"/>
              </w:rPr>
              <w:t> </w:t>
            </w:r>
            <w:r>
              <w:rPr>
                <w:sz w:val="14"/>
              </w:rPr>
              <w:t>associated</w:t>
            </w:r>
            <w:r>
              <w:rPr>
                <w:spacing w:val="-5"/>
                <w:sz w:val="14"/>
              </w:rPr>
              <w:t> </w:t>
            </w:r>
            <w:r>
              <w:rPr>
                <w:spacing w:val="-2"/>
                <w:sz w:val="14"/>
              </w:rPr>
              <w:t>documentation</w:t>
            </w:r>
          </w:p>
        </w:tc>
        <w:tc>
          <w:tcPr>
            <w:tcW w:w="1131" w:type="dxa"/>
          </w:tcPr>
          <w:p>
            <w:pPr>
              <w:pStyle w:val="TableParagraph"/>
              <w:spacing w:before="4"/>
              <w:rPr>
                <w:sz w:val="17"/>
              </w:rPr>
            </w:pPr>
          </w:p>
          <w:p>
            <w:pPr>
              <w:pStyle w:val="TableParagraph"/>
              <w:spacing w:line="140" w:lineRule="exact"/>
              <w:ind w:left="5"/>
              <w:jc w:val="center"/>
              <w:rPr>
                <w:sz w:val="14"/>
              </w:rPr>
            </w:pPr>
            <w:r>
              <w:rPr>
                <w:w w:val="99"/>
                <w:sz w:val="14"/>
              </w:rPr>
              <w:t>N</w:t>
            </w:r>
          </w:p>
        </w:tc>
        <w:tc>
          <w:tcPr>
            <w:tcW w:w="567" w:type="dxa"/>
          </w:tcPr>
          <w:p>
            <w:pPr>
              <w:pStyle w:val="TableParagraph"/>
              <w:spacing w:before="4"/>
              <w:rPr>
                <w:sz w:val="17"/>
              </w:rPr>
            </w:pPr>
          </w:p>
          <w:p>
            <w:pPr>
              <w:pStyle w:val="TableParagraph"/>
              <w:spacing w:line="140" w:lineRule="exact"/>
              <w:ind w:left="190"/>
              <w:rPr>
                <w:sz w:val="14"/>
              </w:rPr>
            </w:pPr>
            <w:r>
              <w:rPr>
                <w:spacing w:val="-5"/>
                <w:sz w:val="14"/>
              </w:rPr>
              <w:t>No</w:t>
            </w:r>
          </w:p>
        </w:tc>
        <w:tc>
          <w:tcPr>
            <w:tcW w:w="997" w:type="dxa"/>
          </w:tcPr>
          <w:p>
            <w:pPr>
              <w:pStyle w:val="TableParagraph"/>
              <w:spacing w:before="4"/>
              <w:rPr>
                <w:sz w:val="17"/>
              </w:rPr>
            </w:pPr>
          </w:p>
          <w:p>
            <w:pPr>
              <w:pStyle w:val="TableParagraph"/>
              <w:spacing w:line="140" w:lineRule="exact"/>
              <w:ind w:right="100"/>
              <w:jc w:val="right"/>
              <w:rPr>
                <w:sz w:val="14"/>
              </w:rPr>
            </w:pPr>
            <w:r>
              <w:rPr>
                <w:spacing w:val="-2"/>
                <w:sz w:val="14"/>
              </w:rPr>
              <w:t>175.00</w:t>
            </w:r>
          </w:p>
        </w:tc>
        <w:tc>
          <w:tcPr>
            <w:tcW w:w="995" w:type="dxa"/>
          </w:tcPr>
          <w:p>
            <w:pPr>
              <w:pStyle w:val="TableParagraph"/>
              <w:spacing w:before="4"/>
              <w:rPr>
                <w:sz w:val="17"/>
              </w:rPr>
            </w:pPr>
          </w:p>
          <w:p>
            <w:pPr>
              <w:pStyle w:val="TableParagraph"/>
              <w:spacing w:line="140" w:lineRule="exact"/>
              <w:ind w:right="102"/>
              <w:jc w:val="right"/>
              <w:rPr>
                <w:sz w:val="14"/>
              </w:rPr>
            </w:pPr>
            <w:r>
              <w:rPr>
                <w:spacing w:val="-2"/>
                <w:sz w:val="14"/>
              </w:rPr>
              <w:t>190.00</w:t>
            </w:r>
          </w:p>
        </w:tc>
        <w:tc>
          <w:tcPr>
            <w:tcW w:w="861" w:type="dxa"/>
          </w:tcPr>
          <w:p>
            <w:pPr>
              <w:pStyle w:val="TableParagraph"/>
              <w:spacing w:before="4"/>
              <w:rPr>
                <w:sz w:val="17"/>
              </w:rPr>
            </w:pPr>
          </w:p>
          <w:p>
            <w:pPr>
              <w:pStyle w:val="TableParagraph"/>
              <w:spacing w:line="140" w:lineRule="exact"/>
              <w:ind w:left="327"/>
              <w:rPr>
                <w:sz w:val="14"/>
              </w:rPr>
            </w:pPr>
            <w:r>
              <w:rPr>
                <w:spacing w:val="-5"/>
                <w:sz w:val="14"/>
              </w:rPr>
              <w:t>7.9</w:t>
            </w:r>
          </w:p>
        </w:tc>
      </w:tr>
      <w:tr>
        <w:trPr>
          <w:trHeight w:val="421" w:hRule="atLeast"/>
        </w:trPr>
        <w:tc>
          <w:tcPr>
            <w:tcW w:w="5794" w:type="dxa"/>
          </w:tcPr>
          <w:p>
            <w:pPr>
              <w:pStyle w:val="TableParagraph"/>
              <w:spacing w:line="160" w:lineRule="atLeast" w:before="81"/>
              <w:ind w:left="107"/>
              <w:rPr>
                <w:sz w:val="14"/>
              </w:rPr>
            </w:pPr>
            <w:r>
              <w:rPr>
                <w:sz w:val="14"/>
              </w:rPr>
              <w:t>Copy</w:t>
            </w:r>
            <w:r>
              <w:rPr>
                <w:spacing w:val="-1"/>
                <w:sz w:val="14"/>
              </w:rPr>
              <w:t> </w:t>
            </w:r>
            <w:r>
              <w:rPr>
                <w:sz w:val="14"/>
              </w:rPr>
              <w:t>of plans</w:t>
            </w:r>
            <w:r>
              <w:rPr>
                <w:spacing w:val="-3"/>
                <w:sz w:val="14"/>
              </w:rPr>
              <w:t> </w:t>
            </w:r>
            <w:r>
              <w:rPr>
                <w:sz w:val="14"/>
              </w:rPr>
              <w:t>-</w:t>
            </w:r>
            <w:r>
              <w:rPr>
                <w:spacing w:val="-2"/>
                <w:sz w:val="14"/>
              </w:rPr>
              <w:t> </w:t>
            </w:r>
            <w:r>
              <w:rPr>
                <w:sz w:val="14"/>
              </w:rPr>
              <w:t>Class</w:t>
            </w:r>
            <w:r>
              <w:rPr>
                <w:spacing w:val="-1"/>
                <w:sz w:val="14"/>
              </w:rPr>
              <w:t> </w:t>
            </w:r>
            <w:r>
              <w:rPr>
                <w:sz w:val="14"/>
              </w:rPr>
              <w:t>2 -</w:t>
            </w:r>
            <w:r>
              <w:rPr>
                <w:spacing w:val="-5"/>
                <w:sz w:val="14"/>
              </w:rPr>
              <w:t> </w:t>
            </w:r>
            <w:r>
              <w:rPr>
                <w:sz w:val="14"/>
              </w:rPr>
              <w:t>9,</w:t>
            </w:r>
            <w:r>
              <w:rPr>
                <w:spacing w:val="32"/>
                <w:sz w:val="14"/>
              </w:rPr>
              <w:t> </w:t>
            </w:r>
            <w:r>
              <w:rPr>
                <w:sz w:val="14"/>
              </w:rPr>
              <w:t>(Commercial</w:t>
            </w:r>
            <w:r>
              <w:rPr>
                <w:spacing w:val="-3"/>
                <w:sz w:val="14"/>
              </w:rPr>
              <w:t> </w:t>
            </w:r>
            <w:r>
              <w:rPr>
                <w:sz w:val="14"/>
              </w:rPr>
              <w:t>Plans</w:t>
            </w:r>
            <w:r>
              <w:rPr>
                <w:spacing w:val="-3"/>
                <w:sz w:val="14"/>
              </w:rPr>
              <w:t> </w:t>
            </w:r>
            <w:r>
              <w:rPr>
                <w:sz w:val="14"/>
              </w:rPr>
              <w:t>-</w:t>
            </w:r>
            <w:r>
              <w:rPr>
                <w:spacing w:val="-1"/>
                <w:sz w:val="14"/>
              </w:rPr>
              <w:t> </w:t>
            </w:r>
            <w:r>
              <w:rPr>
                <w:sz w:val="14"/>
              </w:rPr>
              <w:t>up</w:t>
            </w:r>
            <w:r>
              <w:rPr>
                <w:spacing w:val="-2"/>
                <w:sz w:val="14"/>
              </w:rPr>
              <w:t> </w:t>
            </w:r>
            <w:r>
              <w:rPr>
                <w:sz w:val="14"/>
              </w:rPr>
              <w:t>to 10</w:t>
            </w:r>
            <w:r>
              <w:rPr>
                <w:spacing w:val="-2"/>
                <w:sz w:val="14"/>
              </w:rPr>
              <w:t> </w:t>
            </w:r>
            <w:r>
              <w:rPr>
                <w:sz w:val="14"/>
              </w:rPr>
              <w:t>pages,</w:t>
            </w:r>
            <w:r>
              <w:rPr>
                <w:spacing w:val="-4"/>
                <w:sz w:val="14"/>
              </w:rPr>
              <w:t> </w:t>
            </w:r>
            <w:r>
              <w:rPr>
                <w:sz w:val="14"/>
              </w:rPr>
              <w:t>more</w:t>
            </w:r>
            <w:r>
              <w:rPr>
                <w:spacing w:val="-4"/>
                <w:sz w:val="14"/>
              </w:rPr>
              <w:t> </w:t>
            </w:r>
            <w:r>
              <w:rPr>
                <w:sz w:val="14"/>
              </w:rPr>
              <w:t>pages Price</w:t>
            </w:r>
            <w:r>
              <w:rPr>
                <w:spacing w:val="-4"/>
                <w:sz w:val="14"/>
              </w:rPr>
              <w:t> </w:t>
            </w:r>
            <w:r>
              <w:rPr>
                <w:sz w:val="14"/>
              </w:rPr>
              <w:t>On</w:t>
            </w:r>
            <w:r>
              <w:rPr>
                <w:spacing w:val="40"/>
                <w:sz w:val="14"/>
              </w:rPr>
              <w:t> </w:t>
            </w:r>
            <w:r>
              <w:rPr>
                <w:spacing w:val="-2"/>
                <w:sz w:val="14"/>
              </w:rPr>
              <w:t>Application)</w:t>
            </w:r>
          </w:p>
        </w:tc>
        <w:tc>
          <w:tcPr>
            <w:tcW w:w="1131" w:type="dxa"/>
          </w:tcPr>
          <w:p>
            <w:pPr>
              <w:pStyle w:val="TableParagraph"/>
              <w:spacing w:before="9"/>
              <w:rPr>
                <w:sz w:val="22"/>
              </w:rPr>
            </w:pPr>
          </w:p>
          <w:p>
            <w:pPr>
              <w:pStyle w:val="TableParagraph"/>
              <w:spacing w:line="140" w:lineRule="exact"/>
              <w:ind w:left="5"/>
              <w:jc w:val="center"/>
              <w:rPr>
                <w:sz w:val="14"/>
              </w:rPr>
            </w:pPr>
            <w:r>
              <w:rPr>
                <w:w w:val="99"/>
                <w:sz w:val="14"/>
              </w:rPr>
              <w:t>N</w:t>
            </w:r>
          </w:p>
        </w:tc>
        <w:tc>
          <w:tcPr>
            <w:tcW w:w="567" w:type="dxa"/>
          </w:tcPr>
          <w:p>
            <w:pPr>
              <w:pStyle w:val="TableParagraph"/>
              <w:spacing w:before="9"/>
              <w:rPr>
                <w:sz w:val="22"/>
              </w:rPr>
            </w:pPr>
          </w:p>
          <w:p>
            <w:pPr>
              <w:pStyle w:val="TableParagraph"/>
              <w:spacing w:line="140" w:lineRule="exact"/>
              <w:ind w:left="190"/>
              <w:rPr>
                <w:sz w:val="14"/>
              </w:rPr>
            </w:pPr>
            <w:r>
              <w:rPr>
                <w:spacing w:val="-5"/>
                <w:sz w:val="14"/>
              </w:rPr>
              <w:t>No</w:t>
            </w:r>
          </w:p>
        </w:tc>
        <w:tc>
          <w:tcPr>
            <w:tcW w:w="997" w:type="dxa"/>
          </w:tcPr>
          <w:p>
            <w:pPr>
              <w:pStyle w:val="TableParagraph"/>
              <w:spacing w:before="9"/>
              <w:rPr>
                <w:sz w:val="22"/>
              </w:rPr>
            </w:pPr>
          </w:p>
          <w:p>
            <w:pPr>
              <w:pStyle w:val="TableParagraph"/>
              <w:spacing w:line="140" w:lineRule="exact"/>
              <w:ind w:right="100"/>
              <w:jc w:val="right"/>
              <w:rPr>
                <w:sz w:val="14"/>
              </w:rPr>
            </w:pPr>
            <w:r>
              <w:rPr>
                <w:spacing w:val="-2"/>
                <w:sz w:val="14"/>
              </w:rPr>
              <w:t>295.00</w:t>
            </w:r>
          </w:p>
        </w:tc>
        <w:tc>
          <w:tcPr>
            <w:tcW w:w="995" w:type="dxa"/>
          </w:tcPr>
          <w:p>
            <w:pPr>
              <w:pStyle w:val="TableParagraph"/>
              <w:spacing w:before="9"/>
              <w:rPr>
                <w:sz w:val="22"/>
              </w:rPr>
            </w:pPr>
          </w:p>
          <w:p>
            <w:pPr>
              <w:pStyle w:val="TableParagraph"/>
              <w:spacing w:line="140" w:lineRule="exact"/>
              <w:ind w:right="102"/>
              <w:jc w:val="right"/>
              <w:rPr>
                <w:sz w:val="14"/>
              </w:rPr>
            </w:pPr>
            <w:r>
              <w:rPr>
                <w:spacing w:val="-2"/>
                <w:sz w:val="14"/>
              </w:rPr>
              <w:t>315.00</w:t>
            </w:r>
          </w:p>
        </w:tc>
        <w:tc>
          <w:tcPr>
            <w:tcW w:w="861" w:type="dxa"/>
          </w:tcPr>
          <w:p>
            <w:pPr>
              <w:pStyle w:val="TableParagraph"/>
              <w:spacing w:before="9"/>
              <w:rPr>
                <w:sz w:val="22"/>
              </w:rPr>
            </w:pPr>
          </w:p>
          <w:p>
            <w:pPr>
              <w:pStyle w:val="TableParagraph"/>
              <w:spacing w:line="140" w:lineRule="exact"/>
              <w:ind w:left="327"/>
              <w:rPr>
                <w:sz w:val="14"/>
              </w:rPr>
            </w:pPr>
            <w:r>
              <w:rPr>
                <w:spacing w:val="-5"/>
                <w:sz w:val="14"/>
              </w:rPr>
              <w:t>6.3</w:t>
            </w:r>
          </w:p>
        </w:tc>
      </w:tr>
      <w:tr>
        <w:trPr>
          <w:trHeight w:val="354" w:hRule="atLeast"/>
        </w:trPr>
        <w:tc>
          <w:tcPr>
            <w:tcW w:w="5794" w:type="dxa"/>
          </w:tcPr>
          <w:p>
            <w:pPr>
              <w:pStyle w:val="TableParagraph"/>
              <w:spacing w:line="160" w:lineRule="atLeast" w:before="13"/>
              <w:ind w:left="107" w:right="110"/>
              <w:rPr>
                <w:sz w:val="14"/>
              </w:rPr>
            </w:pPr>
            <w:r>
              <w:rPr>
                <w:sz w:val="14"/>
              </w:rPr>
              <w:t>Building</w:t>
            </w:r>
            <w:r>
              <w:rPr>
                <w:spacing w:val="-7"/>
                <w:sz w:val="14"/>
              </w:rPr>
              <w:t> </w:t>
            </w:r>
            <w:r>
              <w:rPr>
                <w:sz w:val="14"/>
              </w:rPr>
              <w:t>Permit</w:t>
            </w:r>
            <w:r>
              <w:rPr>
                <w:spacing w:val="-7"/>
                <w:sz w:val="14"/>
              </w:rPr>
              <w:t> </w:t>
            </w:r>
            <w:r>
              <w:rPr>
                <w:sz w:val="14"/>
              </w:rPr>
              <w:t>Fees</w:t>
            </w:r>
            <w:r>
              <w:rPr>
                <w:spacing w:val="-4"/>
                <w:sz w:val="14"/>
              </w:rPr>
              <w:t> </w:t>
            </w:r>
            <w:r>
              <w:rPr>
                <w:sz w:val="14"/>
              </w:rPr>
              <w:t>Garages/Sheds/Carports/veranda/shade</w:t>
            </w:r>
            <w:r>
              <w:rPr>
                <w:spacing w:val="-7"/>
                <w:sz w:val="14"/>
              </w:rPr>
              <w:t> </w:t>
            </w:r>
            <w:r>
              <w:rPr>
                <w:sz w:val="14"/>
              </w:rPr>
              <w:t>sails</w:t>
            </w:r>
            <w:r>
              <w:rPr>
                <w:spacing w:val="-7"/>
                <w:sz w:val="14"/>
              </w:rPr>
              <w:t> </w:t>
            </w:r>
            <w:r>
              <w:rPr>
                <w:sz w:val="14"/>
              </w:rPr>
              <w:t>$0-$25,000</w:t>
            </w:r>
            <w:r>
              <w:rPr>
                <w:spacing w:val="-8"/>
                <w:sz w:val="14"/>
              </w:rPr>
              <w:t> </w:t>
            </w:r>
            <w:r>
              <w:rPr>
                <w:sz w:val="14"/>
              </w:rPr>
              <w:t>(including</w:t>
            </w:r>
            <w:r>
              <w:rPr>
                <w:spacing w:val="40"/>
                <w:sz w:val="14"/>
              </w:rPr>
              <w:t> </w:t>
            </w:r>
            <w:r>
              <w:rPr>
                <w:sz w:val="14"/>
              </w:rPr>
              <w:t>3 inspections) ($Fee)</w:t>
            </w:r>
          </w:p>
        </w:tc>
        <w:tc>
          <w:tcPr>
            <w:tcW w:w="1131" w:type="dxa"/>
          </w:tcPr>
          <w:p>
            <w:pPr>
              <w:pStyle w:val="TableParagraph"/>
              <w:spacing w:before="8"/>
              <w:rPr>
                <w:sz w:val="16"/>
              </w:rPr>
            </w:pPr>
          </w:p>
          <w:p>
            <w:pPr>
              <w:pStyle w:val="TableParagraph"/>
              <w:spacing w:line="142" w:lineRule="exact"/>
              <w:ind w:left="4"/>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1"/>
              <w:ind w:left="107"/>
              <w:rPr>
                <w:sz w:val="14"/>
              </w:rPr>
            </w:pPr>
            <w:r>
              <w:rPr>
                <w:sz w:val="14"/>
              </w:rPr>
              <w:t>Building</w:t>
            </w:r>
            <w:r>
              <w:rPr>
                <w:spacing w:val="-9"/>
                <w:sz w:val="14"/>
              </w:rPr>
              <w:t> </w:t>
            </w:r>
            <w:r>
              <w:rPr>
                <w:sz w:val="14"/>
              </w:rPr>
              <w:t>Permit</w:t>
            </w:r>
            <w:r>
              <w:rPr>
                <w:spacing w:val="-9"/>
                <w:sz w:val="14"/>
              </w:rPr>
              <w:t> </w:t>
            </w:r>
            <w:r>
              <w:rPr>
                <w:sz w:val="14"/>
              </w:rPr>
              <w:t>Fees</w:t>
            </w:r>
            <w:r>
              <w:rPr>
                <w:spacing w:val="-6"/>
                <w:sz w:val="14"/>
              </w:rPr>
              <w:t> </w:t>
            </w:r>
            <w:r>
              <w:rPr>
                <w:sz w:val="14"/>
              </w:rPr>
              <w:t>Garages/Sheds/Carports/veranda/shade</w:t>
            </w:r>
            <w:r>
              <w:rPr>
                <w:spacing w:val="-9"/>
                <w:sz w:val="14"/>
              </w:rPr>
              <w:t> </w:t>
            </w:r>
            <w:r>
              <w:rPr>
                <w:sz w:val="14"/>
              </w:rPr>
              <w:t>sail</w:t>
            </w:r>
            <w:r>
              <w:rPr>
                <w:spacing w:val="-8"/>
                <w:sz w:val="14"/>
              </w:rPr>
              <w:t> </w:t>
            </w:r>
            <w:r>
              <w:rPr>
                <w:sz w:val="14"/>
              </w:rPr>
              <w:t>$25,001-$50,000</w:t>
            </w:r>
            <w:r>
              <w:rPr>
                <w:spacing w:val="40"/>
                <w:sz w:val="14"/>
              </w:rPr>
              <w:t> </w:t>
            </w:r>
            <w:r>
              <w:rPr>
                <w:sz w:val="14"/>
              </w:rPr>
              <w:t>including 3 inspections ($Fee+(0.45%) of building work</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ight="174"/>
              <w:rPr>
                <w:sz w:val="14"/>
              </w:rPr>
            </w:pPr>
            <w:r>
              <w:rPr>
                <w:sz w:val="14"/>
              </w:rPr>
              <w:t>Building</w:t>
            </w:r>
            <w:r>
              <w:rPr>
                <w:spacing w:val="-9"/>
                <w:sz w:val="14"/>
              </w:rPr>
              <w:t> </w:t>
            </w:r>
            <w:r>
              <w:rPr>
                <w:sz w:val="14"/>
              </w:rPr>
              <w:t>Permit</w:t>
            </w:r>
            <w:r>
              <w:rPr>
                <w:spacing w:val="-9"/>
                <w:sz w:val="14"/>
              </w:rPr>
              <w:t> </w:t>
            </w:r>
            <w:r>
              <w:rPr>
                <w:sz w:val="14"/>
              </w:rPr>
              <w:t>fee</w:t>
            </w:r>
            <w:r>
              <w:rPr>
                <w:spacing w:val="-9"/>
                <w:sz w:val="14"/>
              </w:rPr>
              <w:t> </w:t>
            </w:r>
            <w:r>
              <w:rPr>
                <w:sz w:val="14"/>
              </w:rPr>
              <w:t>garages/Sheds/Carports/verandas/shade</w:t>
            </w:r>
            <w:r>
              <w:rPr>
                <w:spacing w:val="-9"/>
                <w:sz w:val="14"/>
              </w:rPr>
              <w:t> </w:t>
            </w:r>
            <w:r>
              <w:rPr>
                <w:sz w:val="14"/>
              </w:rPr>
              <w:t>sails</w:t>
            </w:r>
            <w:r>
              <w:rPr>
                <w:spacing w:val="-7"/>
                <w:sz w:val="14"/>
              </w:rPr>
              <w:t> </w:t>
            </w:r>
            <w:r>
              <w:rPr>
                <w:sz w:val="14"/>
              </w:rPr>
              <w:t>$50,000+</w:t>
            </w:r>
            <w:r>
              <w:rPr>
                <w:spacing w:val="40"/>
                <w:sz w:val="14"/>
              </w:rPr>
              <w:t> </w:t>
            </w:r>
            <w:r>
              <w:rPr>
                <w:spacing w:val="-2"/>
                <w:sz w:val="14"/>
              </w:rPr>
              <w:t>($Fee+0.45%)</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6"/>
              <w:ind w:left="107"/>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Class</w:t>
            </w:r>
            <w:r>
              <w:rPr>
                <w:spacing w:val="-1"/>
                <w:sz w:val="14"/>
              </w:rPr>
              <w:t> </w:t>
            </w:r>
            <w:r>
              <w:rPr>
                <w:sz w:val="14"/>
              </w:rPr>
              <w:t>2</w:t>
            </w:r>
            <w:r>
              <w:rPr>
                <w:spacing w:val="-6"/>
                <w:sz w:val="14"/>
              </w:rPr>
              <w:t> </w:t>
            </w:r>
            <w:r>
              <w:rPr>
                <w:sz w:val="14"/>
              </w:rPr>
              <w:t>to</w:t>
            </w:r>
            <w:r>
              <w:rPr>
                <w:spacing w:val="-6"/>
                <w:sz w:val="14"/>
              </w:rPr>
              <w:t> </w:t>
            </w:r>
            <w:r>
              <w:rPr>
                <w:sz w:val="14"/>
              </w:rPr>
              <w:t>9</w:t>
            </w:r>
            <w:r>
              <w:rPr>
                <w:spacing w:val="-2"/>
                <w:sz w:val="14"/>
              </w:rPr>
              <w:t> </w:t>
            </w:r>
            <w:r>
              <w:rPr>
                <w:sz w:val="14"/>
              </w:rPr>
              <w:t>Buildings</w:t>
            </w:r>
            <w:r>
              <w:rPr>
                <w:spacing w:val="-1"/>
                <w:sz w:val="14"/>
              </w:rPr>
              <w:t> </w:t>
            </w:r>
            <w:r>
              <w:rPr>
                <w:sz w:val="14"/>
              </w:rPr>
              <w:t>Minor</w:t>
            </w:r>
            <w:r>
              <w:rPr>
                <w:spacing w:val="-5"/>
                <w:sz w:val="14"/>
              </w:rPr>
              <w:t> </w:t>
            </w:r>
            <w:r>
              <w:rPr>
                <w:sz w:val="14"/>
              </w:rPr>
              <w:t>works</w:t>
            </w:r>
            <w:r>
              <w:rPr>
                <w:spacing w:val="-5"/>
                <w:sz w:val="14"/>
              </w:rPr>
              <w:t> </w:t>
            </w:r>
            <w:r>
              <w:rPr>
                <w:sz w:val="14"/>
              </w:rPr>
              <w:t>$0-$10,000</w:t>
            </w:r>
            <w:r>
              <w:rPr>
                <w:spacing w:val="-3"/>
                <w:sz w:val="14"/>
              </w:rPr>
              <w:t> </w:t>
            </w:r>
            <w:r>
              <w:rPr>
                <w:sz w:val="14"/>
              </w:rPr>
              <w:t>($Fee+building</w:t>
            </w:r>
            <w:r>
              <w:rPr>
                <w:spacing w:val="-3"/>
                <w:sz w:val="14"/>
              </w:rPr>
              <w:t> </w:t>
            </w:r>
            <w:r>
              <w:rPr>
                <w:spacing w:val="-2"/>
                <w:sz w:val="14"/>
              </w:rPr>
              <w:t>work)</w:t>
            </w:r>
          </w:p>
        </w:tc>
        <w:tc>
          <w:tcPr>
            <w:tcW w:w="1131" w:type="dxa"/>
          </w:tcPr>
          <w:p>
            <w:pPr>
              <w:pStyle w:val="TableParagraph"/>
              <w:spacing w:before="8"/>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before="96"/>
              <w:ind w:left="107"/>
              <w:rPr>
                <w:sz w:val="14"/>
              </w:rPr>
            </w:pPr>
            <w:r>
              <w:rPr>
                <w:sz w:val="14"/>
              </w:rPr>
              <w:t>Building</w:t>
            </w:r>
            <w:r>
              <w:rPr>
                <w:spacing w:val="-5"/>
                <w:sz w:val="14"/>
              </w:rPr>
              <w:t> </w:t>
            </w:r>
            <w:r>
              <w:rPr>
                <w:sz w:val="14"/>
              </w:rPr>
              <w:t>Permit</w:t>
            </w:r>
            <w:r>
              <w:rPr>
                <w:spacing w:val="-4"/>
                <w:sz w:val="14"/>
              </w:rPr>
              <w:t> </w:t>
            </w:r>
            <w:r>
              <w:rPr>
                <w:sz w:val="14"/>
              </w:rPr>
              <w:t>Fee</w:t>
            </w:r>
            <w:r>
              <w:rPr>
                <w:spacing w:val="-5"/>
                <w:sz w:val="14"/>
              </w:rPr>
              <w:t> </w:t>
            </w:r>
            <w:r>
              <w:rPr>
                <w:sz w:val="14"/>
              </w:rPr>
              <w:t>Class</w:t>
            </w:r>
            <w:r>
              <w:rPr>
                <w:spacing w:val="-1"/>
                <w:sz w:val="14"/>
              </w:rPr>
              <w:t> </w:t>
            </w:r>
            <w:r>
              <w:rPr>
                <w:sz w:val="14"/>
              </w:rPr>
              <w:t>2</w:t>
            </w:r>
            <w:r>
              <w:rPr>
                <w:spacing w:val="-5"/>
                <w:sz w:val="14"/>
              </w:rPr>
              <w:t> </w:t>
            </w:r>
            <w:r>
              <w:rPr>
                <w:sz w:val="14"/>
              </w:rPr>
              <w:t>to</w:t>
            </w:r>
            <w:r>
              <w:rPr>
                <w:spacing w:val="-5"/>
                <w:sz w:val="14"/>
              </w:rPr>
              <w:t> </w:t>
            </w:r>
            <w:r>
              <w:rPr>
                <w:sz w:val="14"/>
              </w:rPr>
              <w:t>9</w:t>
            </w:r>
            <w:r>
              <w:rPr>
                <w:spacing w:val="-2"/>
                <w:sz w:val="14"/>
              </w:rPr>
              <w:t> </w:t>
            </w:r>
            <w:r>
              <w:rPr>
                <w:sz w:val="14"/>
              </w:rPr>
              <w:t>Buildings</w:t>
            </w:r>
            <w:r>
              <w:rPr>
                <w:spacing w:val="-1"/>
                <w:sz w:val="14"/>
              </w:rPr>
              <w:t> </w:t>
            </w:r>
            <w:r>
              <w:rPr>
                <w:sz w:val="14"/>
              </w:rPr>
              <w:t>$1,000,001+(Price</w:t>
            </w:r>
            <w:r>
              <w:rPr>
                <w:spacing w:val="-5"/>
                <w:sz w:val="14"/>
              </w:rPr>
              <w:t> </w:t>
            </w:r>
            <w:r>
              <w:rPr>
                <w:sz w:val="14"/>
              </w:rPr>
              <w:t>on</w:t>
            </w:r>
            <w:r>
              <w:rPr>
                <w:spacing w:val="-4"/>
                <w:sz w:val="14"/>
              </w:rPr>
              <w:t> </w:t>
            </w:r>
            <w:r>
              <w:rPr>
                <w:spacing w:val="-2"/>
                <w:sz w:val="14"/>
              </w:rPr>
              <w:t>Application)</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9"/>
              <w:ind w:left="107"/>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Class</w:t>
            </w:r>
            <w:r>
              <w:rPr>
                <w:spacing w:val="-1"/>
                <w:sz w:val="14"/>
              </w:rPr>
              <w:t> </w:t>
            </w:r>
            <w:r>
              <w:rPr>
                <w:sz w:val="14"/>
              </w:rPr>
              <w:t>2</w:t>
            </w:r>
            <w:r>
              <w:rPr>
                <w:spacing w:val="-6"/>
                <w:sz w:val="14"/>
              </w:rPr>
              <w:t> </w:t>
            </w:r>
            <w:r>
              <w:rPr>
                <w:sz w:val="14"/>
              </w:rPr>
              <w:t>to</w:t>
            </w:r>
            <w:r>
              <w:rPr>
                <w:spacing w:val="-6"/>
                <w:sz w:val="14"/>
              </w:rPr>
              <w:t> </w:t>
            </w:r>
            <w:r>
              <w:rPr>
                <w:sz w:val="14"/>
              </w:rPr>
              <w:t>9</w:t>
            </w:r>
            <w:r>
              <w:rPr>
                <w:spacing w:val="-2"/>
                <w:sz w:val="14"/>
              </w:rPr>
              <w:t> </w:t>
            </w:r>
            <w:r>
              <w:rPr>
                <w:sz w:val="14"/>
              </w:rPr>
              <w:t>$10,001-$50,000</w:t>
            </w:r>
            <w:r>
              <w:rPr>
                <w:spacing w:val="-3"/>
                <w:sz w:val="14"/>
              </w:rPr>
              <w:t> </w:t>
            </w:r>
            <w:r>
              <w:rPr>
                <w:sz w:val="14"/>
              </w:rPr>
              <w:t>($Fee+(045%</w:t>
            </w:r>
            <w:r>
              <w:rPr>
                <w:spacing w:val="-3"/>
                <w:sz w:val="14"/>
              </w:rPr>
              <w:t> </w:t>
            </w:r>
            <w:r>
              <w:rPr>
                <w:sz w:val="14"/>
              </w:rPr>
              <w:t>of</w:t>
            </w:r>
            <w:r>
              <w:rPr>
                <w:spacing w:val="-2"/>
                <w:sz w:val="14"/>
              </w:rPr>
              <w:t> </w:t>
            </w:r>
            <w:r>
              <w:rPr>
                <w:sz w:val="14"/>
              </w:rPr>
              <w:t>building</w:t>
            </w:r>
            <w:r>
              <w:rPr>
                <w:spacing w:val="-5"/>
                <w:sz w:val="14"/>
              </w:rPr>
              <w:t> </w:t>
            </w:r>
            <w:r>
              <w:rPr>
                <w:spacing w:val="-2"/>
                <w:sz w:val="14"/>
              </w:rPr>
              <w:t>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Class</w:t>
            </w:r>
            <w:r>
              <w:rPr>
                <w:spacing w:val="-1"/>
                <w:sz w:val="14"/>
              </w:rPr>
              <w:t> </w:t>
            </w:r>
            <w:r>
              <w:rPr>
                <w:sz w:val="14"/>
              </w:rPr>
              <w:t>2</w:t>
            </w:r>
            <w:r>
              <w:rPr>
                <w:spacing w:val="-6"/>
                <w:sz w:val="14"/>
              </w:rPr>
              <w:t> </w:t>
            </w:r>
            <w:r>
              <w:rPr>
                <w:sz w:val="14"/>
              </w:rPr>
              <w:t>to</w:t>
            </w:r>
            <w:r>
              <w:rPr>
                <w:spacing w:val="-6"/>
                <w:sz w:val="14"/>
              </w:rPr>
              <w:t> </w:t>
            </w:r>
            <w:r>
              <w:rPr>
                <w:sz w:val="14"/>
              </w:rPr>
              <w:t>9</w:t>
            </w:r>
            <w:r>
              <w:rPr>
                <w:spacing w:val="-2"/>
                <w:sz w:val="14"/>
              </w:rPr>
              <w:t> </w:t>
            </w:r>
            <w:r>
              <w:rPr>
                <w:sz w:val="14"/>
              </w:rPr>
              <w:t>Buildings</w:t>
            </w:r>
            <w:r>
              <w:rPr>
                <w:spacing w:val="-1"/>
                <w:sz w:val="14"/>
              </w:rPr>
              <w:t> </w:t>
            </w:r>
            <w:r>
              <w:rPr>
                <w:sz w:val="14"/>
              </w:rPr>
              <w:t>$50,001-$100,000</w:t>
            </w:r>
            <w:r>
              <w:rPr>
                <w:spacing w:val="-3"/>
                <w:sz w:val="14"/>
              </w:rPr>
              <w:t> </w:t>
            </w:r>
            <w:r>
              <w:rPr>
                <w:sz w:val="14"/>
              </w:rPr>
              <w:t>($Fee+(0.455)</w:t>
            </w:r>
            <w:r>
              <w:rPr>
                <w:spacing w:val="-2"/>
                <w:sz w:val="14"/>
              </w:rPr>
              <w:t> </w:t>
            </w:r>
            <w:r>
              <w:rPr>
                <w:sz w:val="14"/>
              </w:rPr>
              <w:t>of</w:t>
            </w:r>
            <w:r>
              <w:rPr>
                <w:spacing w:val="-4"/>
                <w:sz w:val="14"/>
              </w:rPr>
              <w:t> </w:t>
            </w:r>
            <w:r>
              <w:rPr>
                <w:sz w:val="14"/>
              </w:rPr>
              <w:t>building</w:t>
            </w:r>
            <w:r>
              <w:rPr>
                <w:spacing w:val="40"/>
                <w:sz w:val="14"/>
              </w:rPr>
              <w:t> </w:t>
            </w:r>
            <w:r>
              <w:rPr>
                <w:spacing w:val="-2"/>
                <w:sz w:val="14"/>
              </w:rPr>
              <w:t>works)</w:t>
            </w:r>
          </w:p>
        </w:tc>
        <w:tc>
          <w:tcPr>
            <w:tcW w:w="1131" w:type="dxa"/>
          </w:tcPr>
          <w:p>
            <w:pPr>
              <w:pStyle w:val="TableParagraph"/>
              <w:spacing w:before="8"/>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0"/>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Class</w:t>
            </w:r>
            <w:r>
              <w:rPr>
                <w:spacing w:val="-2"/>
                <w:sz w:val="14"/>
              </w:rPr>
              <w:t> </w:t>
            </w:r>
            <w:r>
              <w:rPr>
                <w:sz w:val="14"/>
              </w:rPr>
              <w:t>2</w:t>
            </w:r>
            <w:r>
              <w:rPr>
                <w:spacing w:val="-6"/>
                <w:sz w:val="14"/>
              </w:rPr>
              <w:t> </w:t>
            </w:r>
            <w:r>
              <w:rPr>
                <w:sz w:val="14"/>
              </w:rPr>
              <w:t>to</w:t>
            </w:r>
            <w:r>
              <w:rPr>
                <w:spacing w:val="-6"/>
                <w:sz w:val="14"/>
              </w:rPr>
              <w:t> </w:t>
            </w:r>
            <w:r>
              <w:rPr>
                <w:sz w:val="14"/>
              </w:rPr>
              <w:t>9</w:t>
            </w:r>
            <w:r>
              <w:rPr>
                <w:spacing w:val="-3"/>
                <w:sz w:val="14"/>
              </w:rPr>
              <w:t> </w:t>
            </w:r>
            <w:r>
              <w:rPr>
                <w:sz w:val="14"/>
              </w:rPr>
              <w:t>Buildings</w:t>
            </w:r>
            <w:r>
              <w:rPr>
                <w:spacing w:val="-2"/>
                <w:sz w:val="14"/>
              </w:rPr>
              <w:t> </w:t>
            </w:r>
            <w:r>
              <w:rPr>
                <w:sz w:val="14"/>
              </w:rPr>
              <w:t>$100,001-$300,000</w:t>
            </w:r>
            <w:r>
              <w:rPr>
                <w:spacing w:val="-3"/>
                <w:sz w:val="14"/>
              </w:rPr>
              <w:t> </w:t>
            </w:r>
            <w:r>
              <w:rPr>
                <w:sz w:val="14"/>
              </w:rPr>
              <w:t>($Fee+(0.45%)</w:t>
            </w:r>
            <w:r>
              <w:rPr>
                <w:spacing w:val="-4"/>
                <w:sz w:val="14"/>
              </w:rPr>
              <w:t> </w:t>
            </w:r>
            <w:r>
              <w:rPr>
                <w:sz w:val="14"/>
              </w:rPr>
              <w:t>of</w:t>
            </w:r>
            <w:r>
              <w:rPr>
                <w:spacing w:val="-3"/>
                <w:sz w:val="14"/>
              </w:rPr>
              <w:t> </w:t>
            </w:r>
            <w:r>
              <w:rPr>
                <w:sz w:val="14"/>
              </w:rPr>
              <w:t>building</w:t>
            </w:r>
            <w:r>
              <w:rPr>
                <w:spacing w:val="40"/>
                <w:sz w:val="14"/>
              </w:rPr>
              <w:t> </w:t>
            </w:r>
            <w:r>
              <w:rPr>
                <w:spacing w:val="-2"/>
                <w:sz w:val="14"/>
              </w:rPr>
              <w:t>works)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Class</w:t>
            </w:r>
            <w:r>
              <w:rPr>
                <w:spacing w:val="-2"/>
                <w:sz w:val="14"/>
              </w:rPr>
              <w:t> </w:t>
            </w:r>
            <w:r>
              <w:rPr>
                <w:sz w:val="14"/>
              </w:rPr>
              <w:t>2</w:t>
            </w:r>
            <w:r>
              <w:rPr>
                <w:spacing w:val="-7"/>
                <w:sz w:val="14"/>
              </w:rPr>
              <w:t> </w:t>
            </w:r>
            <w:r>
              <w:rPr>
                <w:sz w:val="14"/>
              </w:rPr>
              <w:t>to</w:t>
            </w:r>
            <w:r>
              <w:rPr>
                <w:spacing w:val="-7"/>
                <w:sz w:val="14"/>
              </w:rPr>
              <w:t> </w:t>
            </w:r>
            <w:r>
              <w:rPr>
                <w:sz w:val="14"/>
              </w:rPr>
              <w:t>9</w:t>
            </w:r>
            <w:r>
              <w:rPr>
                <w:spacing w:val="-3"/>
                <w:sz w:val="14"/>
              </w:rPr>
              <w:t> </w:t>
            </w:r>
            <w:r>
              <w:rPr>
                <w:sz w:val="14"/>
              </w:rPr>
              <w:t>Buildings</w:t>
            </w:r>
            <w:r>
              <w:rPr>
                <w:spacing w:val="-2"/>
                <w:sz w:val="14"/>
              </w:rPr>
              <w:t> </w:t>
            </w:r>
            <w:r>
              <w:rPr>
                <w:sz w:val="14"/>
              </w:rPr>
              <w:t>$300,001-$50,000($Fee+(0.45%</w:t>
            </w:r>
            <w:r>
              <w:rPr>
                <w:spacing w:val="-2"/>
                <w:sz w:val="14"/>
              </w:rPr>
              <w:t> </w:t>
            </w:r>
            <w:r>
              <w:rPr>
                <w:sz w:val="14"/>
              </w:rPr>
              <w:t>of</w:t>
            </w:r>
            <w:r>
              <w:rPr>
                <w:spacing w:val="-3"/>
                <w:sz w:val="14"/>
              </w:rPr>
              <w:t> </w:t>
            </w:r>
            <w:r>
              <w:rPr>
                <w:sz w:val="14"/>
              </w:rPr>
              <w:t>building</w:t>
            </w:r>
            <w:r>
              <w:rPr>
                <w:spacing w:val="40"/>
                <w:sz w:val="14"/>
              </w:rPr>
              <w:t> </w:t>
            </w:r>
            <w:r>
              <w:rPr>
                <w:spacing w:val="-2"/>
                <w:sz w:val="14"/>
              </w:rPr>
              <w:t>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6"/>
              <w:ind w:left="107"/>
              <w:rPr>
                <w:sz w:val="14"/>
              </w:rPr>
            </w:pPr>
            <w:r>
              <w:rPr>
                <w:sz w:val="14"/>
              </w:rPr>
              <w:t>Building</w:t>
            </w:r>
            <w:r>
              <w:rPr>
                <w:spacing w:val="-7"/>
                <w:sz w:val="14"/>
              </w:rPr>
              <w:t> </w:t>
            </w:r>
            <w:r>
              <w:rPr>
                <w:sz w:val="14"/>
              </w:rPr>
              <w:t>permit</w:t>
            </w:r>
            <w:r>
              <w:rPr>
                <w:spacing w:val="-3"/>
                <w:sz w:val="14"/>
              </w:rPr>
              <w:t> </w:t>
            </w:r>
            <w:r>
              <w:rPr>
                <w:sz w:val="14"/>
              </w:rPr>
              <w:t>Fee</w:t>
            </w:r>
            <w:r>
              <w:rPr>
                <w:spacing w:val="-6"/>
                <w:sz w:val="14"/>
              </w:rPr>
              <w:t> </w:t>
            </w:r>
            <w:r>
              <w:rPr>
                <w:sz w:val="14"/>
              </w:rPr>
              <w:t>Demolitions</w:t>
            </w:r>
            <w:r>
              <w:rPr>
                <w:spacing w:val="-5"/>
                <w:sz w:val="14"/>
              </w:rPr>
              <w:t> </w:t>
            </w:r>
            <w:r>
              <w:rPr>
                <w:sz w:val="14"/>
              </w:rPr>
              <w:t>Commercial</w:t>
            </w:r>
            <w:r>
              <w:rPr>
                <w:spacing w:val="-3"/>
                <w:sz w:val="14"/>
              </w:rPr>
              <w:t> </w:t>
            </w:r>
            <w:r>
              <w:rPr>
                <w:sz w:val="14"/>
              </w:rPr>
              <w:t>($Fee+$680</w:t>
            </w:r>
            <w:r>
              <w:rPr>
                <w:spacing w:val="-3"/>
                <w:sz w:val="14"/>
              </w:rPr>
              <w:t> </w:t>
            </w:r>
            <w:r>
              <w:rPr>
                <w:sz w:val="14"/>
              </w:rPr>
              <w:t>per</w:t>
            </w:r>
            <w:r>
              <w:rPr>
                <w:spacing w:val="-4"/>
                <w:sz w:val="14"/>
              </w:rPr>
              <w:t> </w:t>
            </w:r>
            <w:r>
              <w:rPr>
                <w:spacing w:val="-2"/>
                <w:sz w:val="14"/>
              </w:rPr>
              <w:t>storey)</w:t>
            </w:r>
          </w:p>
        </w:tc>
        <w:tc>
          <w:tcPr>
            <w:tcW w:w="1131" w:type="dxa"/>
          </w:tcPr>
          <w:p>
            <w:pPr>
              <w:pStyle w:val="TableParagraph"/>
              <w:spacing w:before="8"/>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before="96"/>
              <w:ind w:left="107"/>
              <w:rPr>
                <w:sz w:val="14"/>
              </w:rPr>
            </w:pPr>
            <w:r>
              <w:rPr>
                <w:sz w:val="14"/>
              </w:rPr>
              <w:t>Building</w:t>
            </w:r>
            <w:r>
              <w:rPr>
                <w:spacing w:val="-6"/>
                <w:sz w:val="14"/>
              </w:rPr>
              <w:t> </w:t>
            </w:r>
            <w:r>
              <w:rPr>
                <w:sz w:val="14"/>
              </w:rPr>
              <w:t>Permit</w:t>
            </w:r>
            <w:r>
              <w:rPr>
                <w:spacing w:val="-5"/>
                <w:sz w:val="14"/>
              </w:rPr>
              <w:t> </w:t>
            </w:r>
            <w:r>
              <w:rPr>
                <w:sz w:val="14"/>
              </w:rPr>
              <w:t>Fee</w:t>
            </w:r>
            <w:r>
              <w:rPr>
                <w:spacing w:val="-6"/>
                <w:sz w:val="14"/>
              </w:rPr>
              <w:t> </w:t>
            </w:r>
            <w:r>
              <w:rPr>
                <w:sz w:val="14"/>
              </w:rPr>
              <w:t>Demolitions</w:t>
            </w:r>
            <w:r>
              <w:rPr>
                <w:spacing w:val="-4"/>
                <w:sz w:val="14"/>
              </w:rPr>
              <w:t> </w:t>
            </w:r>
            <w:r>
              <w:rPr>
                <w:spacing w:val="-2"/>
                <w:sz w:val="14"/>
              </w:rPr>
              <w:t>Domestic</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0"/>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before="99"/>
              <w:ind w:left="107"/>
              <w:rPr>
                <w:sz w:val="14"/>
              </w:rPr>
            </w:pPr>
            <w:r>
              <w:rPr>
                <w:sz w:val="14"/>
              </w:rPr>
              <w:t>Building</w:t>
            </w:r>
            <w:r>
              <w:rPr>
                <w:spacing w:val="-6"/>
                <w:sz w:val="14"/>
              </w:rPr>
              <w:t> </w:t>
            </w:r>
            <w:r>
              <w:rPr>
                <w:sz w:val="14"/>
              </w:rPr>
              <w:t>Permit</w:t>
            </w:r>
            <w:r>
              <w:rPr>
                <w:spacing w:val="-5"/>
                <w:sz w:val="14"/>
              </w:rPr>
              <w:t> </w:t>
            </w:r>
            <w:r>
              <w:rPr>
                <w:sz w:val="14"/>
              </w:rPr>
              <w:t>Fee</w:t>
            </w:r>
            <w:r>
              <w:rPr>
                <w:spacing w:val="-5"/>
                <w:sz w:val="14"/>
              </w:rPr>
              <w:t> </w:t>
            </w:r>
            <w:r>
              <w:rPr>
                <w:sz w:val="14"/>
              </w:rPr>
              <w:t>Restump/underpin</w:t>
            </w:r>
            <w:r>
              <w:rPr>
                <w:spacing w:val="-1"/>
                <w:sz w:val="14"/>
              </w:rPr>
              <w:t> </w:t>
            </w:r>
            <w:r>
              <w:rPr>
                <w:sz w:val="14"/>
              </w:rPr>
              <w:t>of</w:t>
            </w:r>
            <w:r>
              <w:rPr>
                <w:spacing w:val="-5"/>
                <w:sz w:val="14"/>
              </w:rPr>
              <w:t> </w:t>
            </w:r>
            <w:r>
              <w:rPr>
                <w:sz w:val="14"/>
              </w:rPr>
              <w:t>dwelling</w:t>
            </w:r>
            <w:r>
              <w:rPr>
                <w:spacing w:val="-6"/>
                <w:sz w:val="14"/>
              </w:rPr>
              <w:t> </w:t>
            </w:r>
            <w:r>
              <w:rPr>
                <w:sz w:val="14"/>
              </w:rPr>
              <w:t>including</w:t>
            </w:r>
            <w:r>
              <w:rPr>
                <w:spacing w:val="-1"/>
                <w:sz w:val="14"/>
              </w:rPr>
              <w:t> </w:t>
            </w:r>
            <w:r>
              <w:rPr>
                <w:sz w:val="14"/>
              </w:rPr>
              <w:t>4</w:t>
            </w:r>
            <w:r>
              <w:rPr>
                <w:spacing w:val="-6"/>
                <w:sz w:val="14"/>
              </w:rPr>
              <w:t> </w:t>
            </w:r>
            <w:r>
              <w:rPr>
                <w:sz w:val="14"/>
              </w:rPr>
              <w:t>inspections</w:t>
            </w:r>
            <w:r>
              <w:rPr>
                <w:spacing w:val="-5"/>
                <w:sz w:val="14"/>
              </w:rPr>
              <w:t> </w:t>
            </w:r>
            <w:r>
              <w:rPr>
                <w:sz w:val="14"/>
              </w:rPr>
              <w:t>($</w:t>
            </w:r>
            <w:r>
              <w:rPr>
                <w:spacing w:val="-5"/>
                <w:sz w:val="14"/>
              </w:rPr>
              <w:t> </w:t>
            </w:r>
            <w:r>
              <w:rPr>
                <w:spacing w:val="-4"/>
                <w:sz w:val="14"/>
              </w:rPr>
              <w:t>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ight="174"/>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3"/>
                <w:sz w:val="14"/>
              </w:rPr>
              <w:t> </w:t>
            </w:r>
            <w:r>
              <w:rPr>
                <w:sz w:val="14"/>
              </w:rPr>
              <w:t>$12,000-$50,000</w:t>
            </w:r>
            <w:r>
              <w:rPr>
                <w:spacing w:val="-6"/>
                <w:sz w:val="14"/>
              </w:rPr>
              <w:t> </w:t>
            </w:r>
            <w:r>
              <w:rPr>
                <w:sz w:val="14"/>
              </w:rPr>
              <w:t>Cost</w:t>
            </w:r>
            <w:r>
              <w:rPr>
                <w:spacing w:val="-3"/>
                <w:sz w:val="14"/>
              </w:rPr>
              <w:t> </w:t>
            </w:r>
            <w:r>
              <w:rPr>
                <w:sz w:val="14"/>
              </w:rPr>
              <w:t>of</w:t>
            </w:r>
            <w:r>
              <w:rPr>
                <w:spacing w:val="-6"/>
                <w:sz w:val="14"/>
              </w:rPr>
              <w:t> </w:t>
            </w:r>
            <w:r>
              <w:rPr>
                <w:sz w:val="14"/>
              </w:rPr>
              <w:t>Construction</w:t>
            </w:r>
            <w:r>
              <w:rPr>
                <w:spacing w:val="-7"/>
                <w:sz w:val="14"/>
              </w:rPr>
              <w:t> </w:t>
            </w:r>
            <w:r>
              <w:rPr>
                <w:sz w:val="14"/>
              </w:rPr>
              <w:t>including</w:t>
            </w:r>
            <w:r>
              <w:rPr>
                <w:spacing w:val="-2"/>
                <w:sz w:val="14"/>
              </w:rPr>
              <w:t> </w:t>
            </w:r>
            <w:r>
              <w:rPr>
                <w:sz w:val="14"/>
              </w:rPr>
              <w:t>4</w:t>
            </w:r>
            <w:r>
              <w:rPr>
                <w:spacing w:val="40"/>
                <w:sz w:val="14"/>
              </w:rPr>
              <w:t> </w:t>
            </w:r>
            <w:r>
              <w:rPr>
                <w:sz w:val="14"/>
              </w:rPr>
              <w:t>inspections (Fee of building works)</w:t>
            </w:r>
          </w:p>
        </w:tc>
        <w:tc>
          <w:tcPr>
            <w:tcW w:w="1131" w:type="dxa"/>
          </w:tcPr>
          <w:p>
            <w:pPr>
              <w:pStyle w:val="TableParagraph"/>
              <w:spacing w:before="8"/>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90" w:hRule="atLeast"/>
        </w:trPr>
        <w:tc>
          <w:tcPr>
            <w:tcW w:w="5794" w:type="dxa"/>
          </w:tcPr>
          <w:p>
            <w:pPr>
              <w:pStyle w:val="TableParagraph"/>
              <w:spacing w:line="160" w:lineRule="atLeast" w:before="49"/>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3"/>
                <w:sz w:val="14"/>
              </w:rPr>
              <w:t> </w:t>
            </w:r>
            <w:r>
              <w:rPr>
                <w:sz w:val="14"/>
              </w:rPr>
              <w:t>$50,001-$100,000</w:t>
            </w:r>
            <w:r>
              <w:rPr>
                <w:spacing w:val="-3"/>
                <w:sz w:val="14"/>
              </w:rPr>
              <w:t> </w:t>
            </w:r>
            <w:r>
              <w:rPr>
                <w:sz w:val="14"/>
              </w:rPr>
              <w:t>Cost</w:t>
            </w:r>
            <w:r>
              <w:rPr>
                <w:spacing w:val="-3"/>
                <w:sz w:val="14"/>
              </w:rPr>
              <w:t> </w:t>
            </w:r>
            <w:r>
              <w:rPr>
                <w:sz w:val="14"/>
              </w:rPr>
              <w:t>of</w:t>
            </w:r>
            <w:r>
              <w:rPr>
                <w:spacing w:val="-3"/>
                <w:sz w:val="14"/>
              </w:rPr>
              <w:t> </w:t>
            </w:r>
            <w:r>
              <w:rPr>
                <w:sz w:val="14"/>
              </w:rPr>
              <w:t>Construction</w:t>
            </w:r>
            <w:r>
              <w:rPr>
                <w:spacing w:val="-6"/>
                <w:sz w:val="14"/>
              </w:rPr>
              <w:t> </w:t>
            </w:r>
            <w:r>
              <w:rPr>
                <w:sz w:val="14"/>
              </w:rPr>
              <w:t>including</w:t>
            </w:r>
            <w:r>
              <w:rPr>
                <w:spacing w:val="-7"/>
                <w:sz w:val="14"/>
              </w:rPr>
              <w:t> </w:t>
            </w:r>
            <w:r>
              <w:rPr>
                <w:sz w:val="14"/>
              </w:rPr>
              <w:t>4</w:t>
            </w:r>
            <w:r>
              <w:rPr>
                <w:spacing w:val="40"/>
                <w:sz w:val="14"/>
              </w:rPr>
              <w:t> </w:t>
            </w:r>
            <w:r>
              <w:rPr>
                <w:sz w:val="14"/>
              </w:rPr>
              <w:t>inspections ($Fee+(0.35%) of building works</w:t>
            </w:r>
          </w:p>
        </w:tc>
        <w:tc>
          <w:tcPr>
            <w:tcW w:w="1131" w:type="dxa"/>
          </w:tcPr>
          <w:p>
            <w:pPr>
              <w:pStyle w:val="TableParagraph"/>
              <w:rPr>
                <w:sz w:val="20"/>
              </w:rPr>
            </w:pPr>
          </w:p>
          <w:p>
            <w:pPr>
              <w:pStyle w:val="TableParagraph"/>
              <w:spacing w:line="140" w:lineRule="exact" w:before="1"/>
              <w:ind w:left="5"/>
              <w:jc w:val="center"/>
              <w:rPr>
                <w:sz w:val="14"/>
              </w:rPr>
            </w:pPr>
            <w:r>
              <w:rPr>
                <w:w w:val="99"/>
                <w:sz w:val="14"/>
              </w:rPr>
              <w:t>N</w:t>
            </w:r>
          </w:p>
        </w:tc>
        <w:tc>
          <w:tcPr>
            <w:tcW w:w="567" w:type="dxa"/>
          </w:tcPr>
          <w:p>
            <w:pPr>
              <w:pStyle w:val="TableParagraph"/>
              <w:rPr>
                <w:sz w:val="20"/>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49"/>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49"/>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1"/>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2"/>
                <w:sz w:val="14"/>
              </w:rPr>
              <w:t> </w:t>
            </w:r>
            <w:r>
              <w:rPr>
                <w:sz w:val="14"/>
              </w:rPr>
              <w:t>$100,001-$150,000</w:t>
            </w:r>
            <w:r>
              <w:rPr>
                <w:spacing w:val="-6"/>
                <w:sz w:val="14"/>
              </w:rPr>
              <w:t> </w:t>
            </w:r>
            <w:r>
              <w:rPr>
                <w:sz w:val="14"/>
              </w:rPr>
              <w:t>Cost</w:t>
            </w:r>
            <w:r>
              <w:rPr>
                <w:spacing w:val="-3"/>
                <w:sz w:val="14"/>
              </w:rPr>
              <w:t> </w:t>
            </w:r>
            <w:r>
              <w:rPr>
                <w:sz w:val="14"/>
              </w:rPr>
              <w:t>of</w:t>
            </w:r>
            <w:r>
              <w:rPr>
                <w:spacing w:val="-5"/>
                <w:sz w:val="14"/>
              </w:rPr>
              <w:t> </w:t>
            </w:r>
            <w:r>
              <w:rPr>
                <w:sz w:val="14"/>
              </w:rPr>
              <w:t>Construction</w:t>
            </w:r>
            <w:r>
              <w:rPr>
                <w:spacing w:val="-4"/>
                <w:sz w:val="14"/>
              </w:rPr>
              <w:t> </w:t>
            </w:r>
            <w:r>
              <w:rPr>
                <w:sz w:val="14"/>
              </w:rPr>
              <w:t>including</w:t>
            </w:r>
            <w:r>
              <w:rPr>
                <w:spacing w:val="-6"/>
                <w:sz w:val="14"/>
              </w:rPr>
              <w:t> </w:t>
            </w:r>
            <w:r>
              <w:rPr>
                <w:sz w:val="14"/>
              </w:rPr>
              <w:t>5</w:t>
            </w:r>
            <w:r>
              <w:rPr>
                <w:spacing w:val="40"/>
                <w:sz w:val="14"/>
              </w:rPr>
              <w:t> </w:t>
            </w:r>
            <w:r>
              <w:rPr>
                <w:sz w:val="14"/>
              </w:rPr>
              <w:t>inspections ($Fee+(0.30% of building works)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4"/>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3"/>
                <w:sz w:val="14"/>
              </w:rPr>
              <w:t> </w:t>
            </w:r>
            <w:r>
              <w:rPr>
                <w:sz w:val="14"/>
              </w:rPr>
              <w:t>$150,001-$200,000</w:t>
            </w:r>
            <w:r>
              <w:rPr>
                <w:spacing w:val="-3"/>
                <w:sz w:val="14"/>
              </w:rPr>
              <w:t> </w:t>
            </w:r>
            <w:r>
              <w:rPr>
                <w:sz w:val="14"/>
              </w:rPr>
              <w:t>Cost</w:t>
            </w:r>
            <w:r>
              <w:rPr>
                <w:spacing w:val="-3"/>
                <w:sz w:val="14"/>
              </w:rPr>
              <w:t> </w:t>
            </w:r>
            <w:r>
              <w:rPr>
                <w:sz w:val="14"/>
              </w:rPr>
              <w:t>of</w:t>
            </w:r>
            <w:r>
              <w:rPr>
                <w:spacing w:val="-3"/>
                <w:sz w:val="14"/>
              </w:rPr>
              <w:t> </w:t>
            </w:r>
            <w:r>
              <w:rPr>
                <w:sz w:val="14"/>
              </w:rPr>
              <w:t>Construction</w:t>
            </w:r>
            <w:r>
              <w:rPr>
                <w:spacing w:val="-6"/>
                <w:sz w:val="14"/>
              </w:rPr>
              <w:t> </w:t>
            </w:r>
            <w:r>
              <w:rPr>
                <w:sz w:val="14"/>
              </w:rPr>
              <w:t>including</w:t>
            </w:r>
            <w:r>
              <w:rPr>
                <w:spacing w:val="-3"/>
                <w:sz w:val="14"/>
              </w:rPr>
              <w:t> </w:t>
            </w:r>
            <w:r>
              <w:rPr>
                <w:sz w:val="14"/>
              </w:rPr>
              <w:t>5</w:t>
            </w:r>
            <w:r>
              <w:rPr>
                <w:spacing w:val="40"/>
                <w:sz w:val="14"/>
              </w:rPr>
              <w:t> </w:t>
            </w:r>
            <w:r>
              <w:rPr>
                <w:sz w:val="14"/>
              </w:rPr>
              <w:t>inspections ($Fee+(0.65%) of building 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4"/>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3"/>
                <w:sz w:val="14"/>
              </w:rPr>
              <w:t> </w:t>
            </w:r>
            <w:r>
              <w:rPr>
                <w:sz w:val="14"/>
              </w:rPr>
              <w:t>$200,001-$250,000</w:t>
            </w:r>
            <w:r>
              <w:rPr>
                <w:spacing w:val="-3"/>
                <w:sz w:val="14"/>
              </w:rPr>
              <w:t> </w:t>
            </w:r>
            <w:r>
              <w:rPr>
                <w:sz w:val="14"/>
              </w:rPr>
              <w:t>Cost</w:t>
            </w:r>
            <w:r>
              <w:rPr>
                <w:spacing w:val="-3"/>
                <w:sz w:val="14"/>
              </w:rPr>
              <w:t> </w:t>
            </w:r>
            <w:r>
              <w:rPr>
                <w:sz w:val="14"/>
              </w:rPr>
              <w:t>of</w:t>
            </w:r>
            <w:r>
              <w:rPr>
                <w:spacing w:val="-3"/>
                <w:sz w:val="14"/>
              </w:rPr>
              <w:t> </w:t>
            </w:r>
            <w:r>
              <w:rPr>
                <w:sz w:val="14"/>
              </w:rPr>
              <w:t>Construction</w:t>
            </w:r>
            <w:r>
              <w:rPr>
                <w:spacing w:val="-6"/>
                <w:sz w:val="14"/>
              </w:rPr>
              <w:t> </w:t>
            </w:r>
            <w:r>
              <w:rPr>
                <w:sz w:val="14"/>
              </w:rPr>
              <w:t>including</w:t>
            </w:r>
            <w:r>
              <w:rPr>
                <w:spacing w:val="-3"/>
                <w:sz w:val="14"/>
              </w:rPr>
              <w:t> </w:t>
            </w:r>
            <w:r>
              <w:rPr>
                <w:sz w:val="14"/>
              </w:rPr>
              <w:t>5</w:t>
            </w:r>
            <w:r>
              <w:rPr>
                <w:spacing w:val="40"/>
                <w:sz w:val="14"/>
              </w:rPr>
              <w:t> </w:t>
            </w:r>
            <w:r>
              <w:rPr>
                <w:sz w:val="14"/>
              </w:rPr>
              <w:t>inspections ($Fee+(0.65% of building 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1"/>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Dwellings</w:t>
            </w:r>
            <w:r>
              <w:rPr>
                <w:spacing w:val="-3"/>
                <w:sz w:val="14"/>
              </w:rPr>
              <w:t> </w:t>
            </w:r>
            <w:r>
              <w:rPr>
                <w:sz w:val="14"/>
              </w:rPr>
              <w:t>$250,001-$300,000</w:t>
            </w:r>
            <w:r>
              <w:rPr>
                <w:spacing w:val="-3"/>
                <w:sz w:val="14"/>
              </w:rPr>
              <w:t> </w:t>
            </w:r>
            <w:r>
              <w:rPr>
                <w:sz w:val="14"/>
              </w:rPr>
              <w:t>Cost</w:t>
            </w:r>
            <w:r>
              <w:rPr>
                <w:spacing w:val="-3"/>
                <w:sz w:val="14"/>
              </w:rPr>
              <w:t> </w:t>
            </w:r>
            <w:r>
              <w:rPr>
                <w:sz w:val="14"/>
              </w:rPr>
              <w:t>of</w:t>
            </w:r>
            <w:r>
              <w:rPr>
                <w:spacing w:val="-3"/>
                <w:sz w:val="14"/>
              </w:rPr>
              <w:t> </w:t>
            </w:r>
            <w:r>
              <w:rPr>
                <w:sz w:val="14"/>
              </w:rPr>
              <w:t>Construction</w:t>
            </w:r>
            <w:r>
              <w:rPr>
                <w:spacing w:val="-6"/>
                <w:sz w:val="14"/>
              </w:rPr>
              <w:t> </w:t>
            </w:r>
            <w:r>
              <w:rPr>
                <w:sz w:val="14"/>
              </w:rPr>
              <w:t>including</w:t>
            </w:r>
            <w:r>
              <w:rPr>
                <w:spacing w:val="-3"/>
                <w:sz w:val="14"/>
              </w:rPr>
              <w:t> </w:t>
            </w:r>
            <w:r>
              <w:rPr>
                <w:sz w:val="14"/>
              </w:rPr>
              <w:t>5</w:t>
            </w:r>
            <w:r>
              <w:rPr>
                <w:spacing w:val="40"/>
                <w:sz w:val="14"/>
              </w:rPr>
              <w:t> </w:t>
            </w:r>
            <w:r>
              <w:rPr>
                <w:sz w:val="14"/>
              </w:rPr>
              <w:t>inspections ($Fee+(0.65%) of building works)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bl>
    <w:p>
      <w:pPr>
        <w:spacing w:after="0"/>
        <w:rPr>
          <w:rFonts w:ascii="Times New Roman"/>
          <w:sz w:val="12"/>
        </w:rPr>
        <w:sectPr>
          <w:type w:val="continuous"/>
          <w:pgSz w:w="11910" w:h="16840"/>
          <w:pgMar w:header="0" w:footer="687" w:top="920" w:bottom="1355"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352" w:hRule="atLeast"/>
        </w:trPr>
        <w:tc>
          <w:tcPr>
            <w:tcW w:w="5794" w:type="dxa"/>
          </w:tcPr>
          <w:p>
            <w:pPr>
              <w:pStyle w:val="TableParagraph"/>
              <w:spacing w:line="160" w:lineRule="atLeast" w:before="11"/>
              <w:ind w:left="107" w:right="174"/>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Non</w:t>
            </w:r>
            <w:r>
              <w:rPr>
                <w:spacing w:val="-3"/>
                <w:sz w:val="14"/>
              </w:rPr>
              <w:t> </w:t>
            </w:r>
            <w:r>
              <w:rPr>
                <w:sz w:val="14"/>
              </w:rPr>
              <w:t>prescribed</w:t>
            </w:r>
            <w:r>
              <w:rPr>
                <w:spacing w:val="-3"/>
                <w:sz w:val="14"/>
              </w:rPr>
              <w:t> </w:t>
            </w:r>
            <w:r>
              <w:rPr>
                <w:sz w:val="14"/>
              </w:rPr>
              <w:t>Fences</w:t>
            </w:r>
            <w:r>
              <w:rPr>
                <w:spacing w:val="-2"/>
                <w:sz w:val="14"/>
              </w:rPr>
              <w:t> </w:t>
            </w:r>
            <w:r>
              <w:rPr>
                <w:sz w:val="14"/>
              </w:rPr>
              <w:t>due</w:t>
            </w:r>
            <w:r>
              <w:rPr>
                <w:spacing w:val="-4"/>
                <w:sz w:val="14"/>
              </w:rPr>
              <w:t> </w:t>
            </w:r>
            <w:r>
              <w:rPr>
                <w:sz w:val="14"/>
              </w:rPr>
              <w:t>to</w:t>
            </w:r>
            <w:r>
              <w:rPr>
                <w:spacing w:val="-5"/>
                <w:sz w:val="14"/>
              </w:rPr>
              <w:t> </w:t>
            </w:r>
            <w:r>
              <w:rPr>
                <w:sz w:val="14"/>
              </w:rPr>
              <w:t>report</w:t>
            </w:r>
            <w:r>
              <w:rPr>
                <w:spacing w:val="-3"/>
                <w:sz w:val="14"/>
              </w:rPr>
              <w:t> </w:t>
            </w:r>
            <w:r>
              <w:rPr>
                <w:sz w:val="14"/>
              </w:rPr>
              <w:t>and</w:t>
            </w:r>
            <w:r>
              <w:rPr>
                <w:spacing w:val="-5"/>
                <w:sz w:val="14"/>
              </w:rPr>
              <w:t> </w:t>
            </w:r>
            <w:r>
              <w:rPr>
                <w:sz w:val="14"/>
              </w:rPr>
              <w:t>consent</w:t>
            </w:r>
            <w:r>
              <w:rPr>
                <w:spacing w:val="-2"/>
                <w:sz w:val="14"/>
              </w:rPr>
              <w:t> </w:t>
            </w:r>
            <w:r>
              <w:rPr>
                <w:sz w:val="14"/>
              </w:rPr>
              <w:t>including</w:t>
            </w:r>
            <w:r>
              <w:rPr>
                <w:spacing w:val="-5"/>
                <w:sz w:val="14"/>
              </w:rPr>
              <w:t> </w:t>
            </w:r>
            <w:r>
              <w:rPr>
                <w:sz w:val="14"/>
              </w:rPr>
              <w:t>2</w:t>
            </w:r>
            <w:r>
              <w:rPr>
                <w:spacing w:val="40"/>
                <w:sz w:val="14"/>
              </w:rPr>
              <w:t> </w:t>
            </w:r>
            <w:r>
              <w:rPr>
                <w:spacing w:val="-2"/>
                <w:sz w:val="14"/>
              </w:rPr>
              <w:t>inspections</w:t>
            </w:r>
          </w:p>
        </w:tc>
        <w:tc>
          <w:tcPr>
            <w:tcW w:w="1131" w:type="dxa"/>
          </w:tcPr>
          <w:p>
            <w:pPr>
              <w:pStyle w:val="TableParagraph"/>
              <w:spacing w:before="6"/>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6"/>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0"/>
              <w:ind w:left="107"/>
              <w:rPr>
                <w:sz w:val="14"/>
              </w:rPr>
            </w:pPr>
            <w:r>
              <w:rPr>
                <w:sz w:val="14"/>
              </w:rPr>
              <w:t>Building</w:t>
            </w:r>
            <w:r>
              <w:rPr>
                <w:spacing w:val="-6"/>
                <w:sz w:val="14"/>
              </w:rPr>
              <w:t> </w:t>
            </w:r>
            <w:r>
              <w:rPr>
                <w:sz w:val="14"/>
              </w:rPr>
              <w:t>Permit</w:t>
            </w:r>
            <w:r>
              <w:rPr>
                <w:spacing w:val="-6"/>
                <w:sz w:val="14"/>
              </w:rPr>
              <w:t> </w:t>
            </w:r>
            <w:r>
              <w:rPr>
                <w:sz w:val="14"/>
              </w:rPr>
              <w:t>Fee</w:t>
            </w:r>
            <w:r>
              <w:rPr>
                <w:spacing w:val="-3"/>
                <w:sz w:val="14"/>
              </w:rPr>
              <w:t> </w:t>
            </w:r>
            <w:r>
              <w:rPr>
                <w:sz w:val="14"/>
              </w:rPr>
              <w:t>Fences/Ret</w:t>
            </w:r>
            <w:r>
              <w:rPr>
                <w:spacing w:val="-6"/>
                <w:sz w:val="14"/>
              </w:rPr>
              <w:t> </w:t>
            </w:r>
            <w:r>
              <w:rPr>
                <w:sz w:val="14"/>
              </w:rPr>
              <w:t>Walls/Masts/Poles</w:t>
            </w:r>
            <w:r>
              <w:rPr>
                <w:spacing w:val="-5"/>
                <w:sz w:val="14"/>
              </w:rPr>
              <w:t> </w:t>
            </w:r>
            <w:r>
              <w:rPr>
                <w:sz w:val="14"/>
              </w:rPr>
              <w:t>Up</w:t>
            </w:r>
            <w:r>
              <w:rPr>
                <w:spacing w:val="-6"/>
                <w:sz w:val="14"/>
              </w:rPr>
              <w:t> </w:t>
            </w:r>
            <w:r>
              <w:rPr>
                <w:sz w:val="14"/>
              </w:rPr>
              <w:t>to</w:t>
            </w:r>
            <w:r>
              <w:rPr>
                <w:spacing w:val="-4"/>
                <w:sz w:val="14"/>
              </w:rPr>
              <w:t> </w:t>
            </w:r>
            <w:r>
              <w:rPr>
                <w:sz w:val="14"/>
              </w:rPr>
              <w:t>$25,000</w:t>
            </w:r>
            <w:r>
              <w:rPr>
                <w:spacing w:val="-3"/>
                <w:sz w:val="14"/>
              </w:rPr>
              <w:t> </w:t>
            </w:r>
            <w:r>
              <w:rPr>
                <w:sz w:val="14"/>
              </w:rPr>
              <w:t>including</w:t>
            </w:r>
            <w:r>
              <w:rPr>
                <w:spacing w:val="-2"/>
                <w:sz w:val="14"/>
              </w:rPr>
              <w:t> </w:t>
            </w:r>
            <w:r>
              <w:rPr>
                <w:sz w:val="14"/>
              </w:rPr>
              <w:t>2</w:t>
            </w:r>
            <w:r>
              <w:rPr>
                <w:spacing w:val="-4"/>
                <w:sz w:val="14"/>
              </w:rPr>
              <w:t> </w:t>
            </w:r>
            <w:r>
              <w:rPr>
                <w:sz w:val="14"/>
              </w:rPr>
              <w:t>inspections</w:t>
            </w:r>
            <w:r>
              <w:rPr>
                <w:spacing w:val="40"/>
                <w:sz w:val="14"/>
              </w:rPr>
              <w:t> </w:t>
            </w:r>
            <w:r>
              <w:rPr>
                <w:spacing w:val="-2"/>
                <w:sz w:val="14"/>
              </w:rPr>
              <w:t>($Fee)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4"/>
              <w:ind w:left="107" w:right="174"/>
              <w:rPr>
                <w:sz w:val="14"/>
              </w:rPr>
            </w:pPr>
            <w:r>
              <w:rPr>
                <w:sz w:val="14"/>
              </w:rPr>
              <w:t>Building</w:t>
            </w:r>
            <w:r>
              <w:rPr>
                <w:spacing w:val="-6"/>
                <w:sz w:val="14"/>
              </w:rPr>
              <w:t> </w:t>
            </w:r>
            <w:r>
              <w:rPr>
                <w:sz w:val="14"/>
              </w:rPr>
              <w:t>Permit</w:t>
            </w:r>
            <w:r>
              <w:rPr>
                <w:spacing w:val="-6"/>
                <w:sz w:val="14"/>
              </w:rPr>
              <w:t> </w:t>
            </w:r>
            <w:r>
              <w:rPr>
                <w:sz w:val="14"/>
              </w:rPr>
              <w:t>Fee</w:t>
            </w:r>
            <w:r>
              <w:rPr>
                <w:spacing w:val="-4"/>
                <w:sz w:val="14"/>
              </w:rPr>
              <w:t> </w:t>
            </w:r>
            <w:r>
              <w:rPr>
                <w:sz w:val="14"/>
              </w:rPr>
              <w:t>Fences/Ret</w:t>
            </w:r>
            <w:r>
              <w:rPr>
                <w:spacing w:val="-6"/>
                <w:sz w:val="14"/>
              </w:rPr>
              <w:t> </w:t>
            </w:r>
            <w:r>
              <w:rPr>
                <w:sz w:val="14"/>
              </w:rPr>
              <w:t>Walls/Masts/Poles</w:t>
            </w:r>
            <w:r>
              <w:rPr>
                <w:spacing w:val="-6"/>
                <w:sz w:val="14"/>
              </w:rPr>
              <w:t> </w:t>
            </w:r>
            <w:r>
              <w:rPr>
                <w:sz w:val="14"/>
              </w:rPr>
              <w:t>$25,001-$50,000</w:t>
            </w:r>
            <w:r>
              <w:rPr>
                <w:spacing w:val="-6"/>
                <w:sz w:val="14"/>
              </w:rPr>
              <w:t> </w:t>
            </w:r>
            <w:r>
              <w:rPr>
                <w:sz w:val="14"/>
              </w:rPr>
              <w:t>including</w:t>
            </w:r>
            <w:r>
              <w:rPr>
                <w:spacing w:val="-5"/>
                <w:sz w:val="14"/>
              </w:rPr>
              <w:t> </w:t>
            </w:r>
            <w:r>
              <w:rPr>
                <w:sz w:val="14"/>
              </w:rPr>
              <w:t>2</w:t>
            </w:r>
            <w:r>
              <w:rPr>
                <w:spacing w:val="40"/>
                <w:sz w:val="14"/>
              </w:rPr>
              <w:t> </w:t>
            </w:r>
            <w:r>
              <w:rPr>
                <w:sz w:val="14"/>
              </w:rPr>
              <w:t>inspections ($Fee+0.45 of cost of building 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4"/>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6"/>
                <w:sz w:val="14"/>
              </w:rPr>
              <w:t> </w:t>
            </w:r>
            <w:r>
              <w:rPr>
                <w:sz w:val="14"/>
              </w:rPr>
              <w:t>Permit</w:t>
            </w:r>
            <w:r>
              <w:rPr>
                <w:spacing w:val="-6"/>
                <w:sz w:val="14"/>
              </w:rPr>
              <w:t> </w:t>
            </w:r>
            <w:r>
              <w:rPr>
                <w:sz w:val="14"/>
              </w:rPr>
              <w:t>Fee</w:t>
            </w:r>
            <w:r>
              <w:rPr>
                <w:spacing w:val="-3"/>
                <w:sz w:val="14"/>
              </w:rPr>
              <w:t> </w:t>
            </w:r>
            <w:r>
              <w:rPr>
                <w:sz w:val="14"/>
              </w:rPr>
              <w:t>Fences/Ret</w:t>
            </w:r>
            <w:r>
              <w:rPr>
                <w:spacing w:val="-6"/>
                <w:sz w:val="14"/>
              </w:rPr>
              <w:t> </w:t>
            </w:r>
            <w:r>
              <w:rPr>
                <w:sz w:val="14"/>
              </w:rPr>
              <w:t>Walls/Masts/Poles</w:t>
            </w:r>
            <w:r>
              <w:rPr>
                <w:spacing w:val="-5"/>
                <w:sz w:val="14"/>
              </w:rPr>
              <w:t> </w:t>
            </w:r>
            <w:r>
              <w:rPr>
                <w:sz w:val="14"/>
              </w:rPr>
              <w:t>$50,001-over</w:t>
            </w:r>
            <w:r>
              <w:rPr>
                <w:spacing w:val="-6"/>
                <w:sz w:val="14"/>
              </w:rPr>
              <w:t> </w:t>
            </w:r>
            <w:r>
              <w:rPr>
                <w:sz w:val="14"/>
              </w:rPr>
              <w:t>including</w:t>
            </w:r>
            <w:r>
              <w:rPr>
                <w:spacing w:val="-4"/>
                <w:sz w:val="14"/>
              </w:rPr>
              <w:t> </w:t>
            </w:r>
            <w:r>
              <w:rPr>
                <w:sz w:val="14"/>
              </w:rPr>
              <w:t>3</w:t>
            </w:r>
            <w:r>
              <w:rPr>
                <w:spacing w:val="-6"/>
                <w:sz w:val="14"/>
              </w:rPr>
              <w:t> </w:t>
            </w:r>
            <w:r>
              <w:rPr>
                <w:sz w:val="14"/>
              </w:rPr>
              <w:t>inspections</w:t>
            </w:r>
            <w:r>
              <w:rPr>
                <w:spacing w:val="40"/>
                <w:sz w:val="14"/>
              </w:rPr>
              <w:t> </w:t>
            </w:r>
            <w:r>
              <w:rPr>
                <w:sz w:val="14"/>
              </w:rPr>
              <w:t>($Fee+(0.45% f cost of building works)</w:t>
            </w:r>
          </w:p>
        </w:tc>
        <w:tc>
          <w:tcPr>
            <w:tcW w:w="1131" w:type="dxa"/>
          </w:tcPr>
          <w:p>
            <w:pPr>
              <w:pStyle w:val="TableParagraph"/>
              <w:spacing w:before="8"/>
              <w:rPr>
                <w:sz w:val="16"/>
              </w:rPr>
            </w:pPr>
          </w:p>
          <w:p>
            <w:pPr>
              <w:pStyle w:val="TableParagraph"/>
              <w:spacing w:line="142" w:lineRule="exact"/>
              <w:ind w:left="4"/>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1"/>
              <w:ind w:left="107" w:right="174"/>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Swimming</w:t>
            </w:r>
            <w:r>
              <w:rPr>
                <w:spacing w:val="-4"/>
                <w:sz w:val="14"/>
              </w:rPr>
              <w:t> </w:t>
            </w:r>
            <w:r>
              <w:rPr>
                <w:sz w:val="14"/>
              </w:rPr>
              <w:t>pool</w:t>
            </w:r>
            <w:r>
              <w:rPr>
                <w:spacing w:val="-5"/>
                <w:sz w:val="14"/>
              </w:rPr>
              <w:t> </w:t>
            </w:r>
            <w:r>
              <w:rPr>
                <w:sz w:val="14"/>
              </w:rPr>
              <w:t>Barrier</w:t>
            </w:r>
            <w:r>
              <w:rPr>
                <w:spacing w:val="-5"/>
                <w:sz w:val="14"/>
              </w:rPr>
              <w:t> </w:t>
            </w:r>
            <w:r>
              <w:rPr>
                <w:sz w:val="14"/>
              </w:rPr>
              <w:t>(Temp</w:t>
            </w:r>
            <w:r>
              <w:rPr>
                <w:spacing w:val="-4"/>
                <w:sz w:val="14"/>
              </w:rPr>
              <w:t> </w:t>
            </w:r>
            <w:r>
              <w:rPr>
                <w:sz w:val="14"/>
              </w:rPr>
              <w:t>Pool),</w:t>
            </w:r>
            <w:r>
              <w:rPr>
                <w:spacing w:val="-3"/>
                <w:sz w:val="14"/>
              </w:rPr>
              <w:t> </w:t>
            </w:r>
            <w:r>
              <w:rPr>
                <w:sz w:val="14"/>
              </w:rPr>
              <w:t>above</w:t>
            </w:r>
            <w:r>
              <w:rPr>
                <w:spacing w:val="-4"/>
                <w:sz w:val="14"/>
              </w:rPr>
              <w:t> </w:t>
            </w:r>
            <w:r>
              <w:rPr>
                <w:sz w:val="14"/>
              </w:rPr>
              <w:t>ground</w:t>
            </w:r>
            <w:r>
              <w:rPr>
                <w:spacing w:val="-2"/>
                <w:sz w:val="14"/>
              </w:rPr>
              <w:t> </w:t>
            </w:r>
            <w:r>
              <w:rPr>
                <w:sz w:val="14"/>
              </w:rPr>
              <w:t>pool,</w:t>
            </w:r>
            <w:r>
              <w:rPr>
                <w:spacing w:val="-3"/>
                <w:sz w:val="14"/>
              </w:rPr>
              <w:t> </w:t>
            </w:r>
            <w:r>
              <w:rPr>
                <w:sz w:val="14"/>
              </w:rPr>
              <w:t>Alterations</w:t>
            </w:r>
            <w:r>
              <w:rPr>
                <w:spacing w:val="40"/>
                <w:sz w:val="14"/>
              </w:rPr>
              <w:t> </w:t>
            </w:r>
            <w:r>
              <w:rPr>
                <w:sz w:val="14"/>
              </w:rPr>
              <w:t>to existing barrier including 2 inspections ($Fee)-NEW</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4"/>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Swimming</w:t>
            </w:r>
            <w:r>
              <w:rPr>
                <w:spacing w:val="-4"/>
                <w:sz w:val="14"/>
              </w:rPr>
              <w:t> </w:t>
            </w:r>
            <w:r>
              <w:rPr>
                <w:sz w:val="14"/>
              </w:rPr>
              <w:t>Pools</w:t>
            </w:r>
            <w:r>
              <w:rPr>
                <w:spacing w:val="-3"/>
                <w:sz w:val="14"/>
              </w:rPr>
              <w:t> </w:t>
            </w:r>
            <w:r>
              <w:rPr>
                <w:sz w:val="14"/>
              </w:rPr>
              <w:t>and</w:t>
            </w:r>
            <w:r>
              <w:rPr>
                <w:spacing w:val="-6"/>
                <w:sz w:val="14"/>
              </w:rPr>
              <w:t> </w:t>
            </w:r>
            <w:r>
              <w:rPr>
                <w:sz w:val="14"/>
              </w:rPr>
              <w:t>Spas</w:t>
            </w:r>
            <w:r>
              <w:rPr>
                <w:spacing w:val="-3"/>
                <w:sz w:val="14"/>
              </w:rPr>
              <w:t> </w:t>
            </w:r>
            <w:r>
              <w:rPr>
                <w:sz w:val="14"/>
              </w:rPr>
              <w:t>$12,001-$20,000</w:t>
            </w:r>
            <w:r>
              <w:rPr>
                <w:spacing w:val="-3"/>
                <w:sz w:val="14"/>
              </w:rPr>
              <w:t> </w:t>
            </w:r>
            <w:r>
              <w:rPr>
                <w:sz w:val="14"/>
              </w:rPr>
              <w:t>including</w:t>
            </w:r>
            <w:r>
              <w:rPr>
                <w:spacing w:val="-4"/>
                <w:sz w:val="14"/>
              </w:rPr>
              <w:t> </w:t>
            </w:r>
            <w:r>
              <w:rPr>
                <w:sz w:val="14"/>
              </w:rPr>
              <w:t>4</w:t>
            </w:r>
            <w:r>
              <w:rPr>
                <w:spacing w:val="-6"/>
                <w:sz w:val="14"/>
              </w:rPr>
              <w:t> </w:t>
            </w:r>
            <w:r>
              <w:rPr>
                <w:sz w:val="14"/>
              </w:rPr>
              <w:t>inspections</w:t>
            </w:r>
            <w:r>
              <w:rPr>
                <w:spacing w:val="40"/>
                <w:sz w:val="14"/>
              </w:rPr>
              <w:t> </w:t>
            </w:r>
            <w:r>
              <w:rPr>
                <w:sz w:val="14"/>
              </w:rPr>
              <w:t>($Fee+(0.30%) of building works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4"/>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Swimming</w:t>
            </w:r>
            <w:r>
              <w:rPr>
                <w:spacing w:val="-4"/>
                <w:sz w:val="14"/>
              </w:rPr>
              <w:t> </w:t>
            </w:r>
            <w:r>
              <w:rPr>
                <w:sz w:val="14"/>
              </w:rPr>
              <w:t>Pools</w:t>
            </w:r>
            <w:r>
              <w:rPr>
                <w:spacing w:val="-3"/>
                <w:sz w:val="14"/>
              </w:rPr>
              <w:t> </w:t>
            </w:r>
            <w:r>
              <w:rPr>
                <w:sz w:val="14"/>
              </w:rPr>
              <w:t>and</w:t>
            </w:r>
            <w:r>
              <w:rPr>
                <w:spacing w:val="-6"/>
                <w:sz w:val="14"/>
              </w:rPr>
              <w:t> </w:t>
            </w:r>
            <w:r>
              <w:rPr>
                <w:sz w:val="14"/>
              </w:rPr>
              <w:t>Spas</w:t>
            </w:r>
            <w:r>
              <w:rPr>
                <w:spacing w:val="-3"/>
                <w:sz w:val="14"/>
              </w:rPr>
              <w:t> </w:t>
            </w:r>
            <w:r>
              <w:rPr>
                <w:sz w:val="14"/>
              </w:rPr>
              <w:t>$20,001-$40,000</w:t>
            </w:r>
            <w:r>
              <w:rPr>
                <w:spacing w:val="-3"/>
                <w:sz w:val="14"/>
              </w:rPr>
              <w:t> </w:t>
            </w:r>
            <w:r>
              <w:rPr>
                <w:sz w:val="14"/>
              </w:rPr>
              <w:t>including</w:t>
            </w:r>
            <w:r>
              <w:rPr>
                <w:spacing w:val="-4"/>
                <w:sz w:val="14"/>
              </w:rPr>
              <w:t> </w:t>
            </w:r>
            <w:r>
              <w:rPr>
                <w:sz w:val="14"/>
              </w:rPr>
              <w:t>4</w:t>
            </w:r>
            <w:r>
              <w:rPr>
                <w:spacing w:val="-6"/>
                <w:sz w:val="14"/>
              </w:rPr>
              <w:t> </w:t>
            </w:r>
            <w:r>
              <w:rPr>
                <w:sz w:val="14"/>
              </w:rPr>
              <w:t>inspections</w:t>
            </w:r>
            <w:r>
              <w:rPr>
                <w:spacing w:val="40"/>
                <w:sz w:val="14"/>
              </w:rPr>
              <w:t> </w:t>
            </w:r>
            <w:r>
              <w:rPr>
                <w:sz w:val="14"/>
              </w:rPr>
              <w:t>($Fee+(0.35%) of building works)</w:t>
            </w:r>
          </w:p>
        </w:tc>
        <w:tc>
          <w:tcPr>
            <w:tcW w:w="1131" w:type="dxa"/>
          </w:tcPr>
          <w:p>
            <w:pPr>
              <w:pStyle w:val="TableParagraph"/>
              <w:spacing w:before="8"/>
              <w:rPr>
                <w:sz w:val="16"/>
              </w:rPr>
            </w:pPr>
          </w:p>
          <w:p>
            <w:pPr>
              <w:pStyle w:val="TableParagraph"/>
              <w:spacing w:line="142"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before="13"/>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3"/>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2" w:hRule="atLeast"/>
        </w:trPr>
        <w:tc>
          <w:tcPr>
            <w:tcW w:w="5794" w:type="dxa"/>
          </w:tcPr>
          <w:p>
            <w:pPr>
              <w:pStyle w:val="TableParagraph"/>
              <w:spacing w:line="160" w:lineRule="atLeast" w:before="11"/>
              <w:ind w:left="107"/>
              <w:rPr>
                <w:sz w:val="14"/>
              </w:rPr>
            </w:pPr>
            <w:r>
              <w:rPr>
                <w:sz w:val="14"/>
              </w:rPr>
              <w:t>Building</w:t>
            </w:r>
            <w:r>
              <w:rPr>
                <w:spacing w:val="-6"/>
                <w:sz w:val="14"/>
              </w:rPr>
              <w:t> </w:t>
            </w:r>
            <w:r>
              <w:rPr>
                <w:sz w:val="14"/>
              </w:rPr>
              <w:t>Permit</w:t>
            </w:r>
            <w:r>
              <w:rPr>
                <w:spacing w:val="-6"/>
                <w:sz w:val="14"/>
              </w:rPr>
              <w:t> </w:t>
            </w:r>
            <w:r>
              <w:rPr>
                <w:sz w:val="14"/>
              </w:rPr>
              <w:t>Fee</w:t>
            </w:r>
            <w:r>
              <w:rPr>
                <w:spacing w:val="-6"/>
                <w:sz w:val="14"/>
              </w:rPr>
              <w:t> </w:t>
            </w:r>
            <w:r>
              <w:rPr>
                <w:sz w:val="14"/>
              </w:rPr>
              <w:t>Swimming</w:t>
            </w:r>
            <w:r>
              <w:rPr>
                <w:spacing w:val="-4"/>
                <w:sz w:val="14"/>
              </w:rPr>
              <w:t> </w:t>
            </w:r>
            <w:r>
              <w:rPr>
                <w:sz w:val="14"/>
              </w:rPr>
              <w:t>Pools</w:t>
            </w:r>
            <w:r>
              <w:rPr>
                <w:spacing w:val="-3"/>
                <w:sz w:val="14"/>
              </w:rPr>
              <w:t> </w:t>
            </w:r>
            <w:r>
              <w:rPr>
                <w:sz w:val="14"/>
              </w:rPr>
              <w:t>and</w:t>
            </w:r>
            <w:r>
              <w:rPr>
                <w:spacing w:val="-6"/>
                <w:sz w:val="14"/>
              </w:rPr>
              <w:t> </w:t>
            </w:r>
            <w:r>
              <w:rPr>
                <w:sz w:val="14"/>
              </w:rPr>
              <w:t>Spas</w:t>
            </w:r>
            <w:r>
              <w:rPr>
                <w:spacing w:val="-3"/>
                <w:sz w:val="14"/>
              </w:rPr>
              <w:t> </w:t>
            </w:r>
            <w:r>
              <w:rPr>
                <w:sz w:val="14"/>
              </w:rPr>
              <w:t>$40,001-$60,000</w:t>
            </w:r>
            <w:r>
              <w:rPr>
                <w:spacing w:val="-3"/>
                <w:sz w:val="14"/>
              </w:rPr>
              <w:t> </w:t>
            </w:r>
            <w:r>
              <w:rPr>
                <w:sz w:val="14"/>
              </w:rPr>
              <w:t>including</w:t>
            </w:r>
            <w:r>
              <w:rPr>
                <w:spacing w:val="-4"/>
                <w:sz w:val="14"/>
              </w:rPr>
              <w:t> </w:t>
            </w:r>
            <w:r>
              <w:rPr>
                <w:sz w:val="14"/>
              </w:rPr>
              <w:t>4</w:t>
            </w:r>
            <w:r>
              <w:rPr>
                <w:spacing w:val="-6"/>
                <w:sz w:val="14"/>
              </w:rPr>
              <w:t> </w:t>
            </w:r>
            <w:r>
              <w:rPr>
                <w:sz w:val="14"/>
              </w:rPr>
              <w:t>inspections</w:t>
            </w:r>
            <w:r>
              <w:rPr>
                <w:spacing w:val="40"/>
                <w:sz w:val="14"/>
              </w:rPr>
              <w:t> </w:t>
            </w:r>
            <w:r>
              <w:rPr>
                <w:sz w:val="14"/>
              </w:rPr>
              <w:t>($Fee+(0.45%)cost of building works)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before="11"/>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1"/>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354" w:hRule="atLeast"/>
        </w:trPr>
        <w:tc>
          <w:tcPr>
            <w:tcW w:w="5794" w:type="dxa"/>
          </w:tcPr>
          <w:p>
            <w:pPr>
              <w:pStyle w:val="TableParagraph"/>
              <w:spacing w:line="160" w:lineRule="atLeast" w:before="13"/>
              <w:ind w:left="107"/>
              <w:rPr>
                <w:sz w:val="14"/>
              </w:rPr>
            </w:pPr>
            <w:r>
              <w:rPr>
                <w:sz w:val="14"/>
              </w:rPr>
              <w:t>Building</w:t>
            </w:r>
            <w:r>
              <w:rPr>
                <w:spacing w:val="-5"/>
                <w:sz w:val="14"/>
              </w:rPr>
              <w:t> </w:t>
            </w:r>
            <w:r>
              <w:rPr>
                <w:sz w:val="14"/>
              </w:rPr>
              <w:t>Permit</w:t>
            </w:r>
            <w:r>
              <w:rPr>
                <w:spacing w:val="-5"/>
                <w:sz w:val="14"/>
              </w:rPr>
              <w:t> </w:t>
            </w:r>
            <w:r>
              <w:rPr>
                <w:sz w:val="14"/>
              </w:rPr>
              <w:t>Fee</w:t>
            </w:r>
            <w:r>
              <w:rPr>
                <w:spacing w:val="-5"/>
                <w:sz w:val="14"/>
              </w:rPr>
              <w:t> </w:t>
            </w:r>
            <w:r>
              <w:rPr>
                <w:sz w:val="14"/>
              </w:rPr>
              <w:t>Swimming</w:t>
            </w:r>
            <w:r>
              <w:rPr>
                <w:spacing w:val="-3"/>
                <w:sz w:val="14"/>
              </w:rPr>
              <w:t> </w:t>
            </w:r>
            <w:r>
              <w:rPr>
                <w:sz w:val="14"/>
              </w:rPr>
              <w:t>Pools</w:t>
            </w:r>
            <w:r>
              <w:rPr>
                <w:spacing w:val="-3"/>
                <w:sz w:val="14"/>
              </w:rPr>
              <w:t> </w:t>
            </w:r>
            <w:r>
              <w:rPr>
                <w:sz w:val="14"/>
              </w:rPr>
              <w:t>and</w:t>
            </w:r>
            <w:r>
              <w:rPr>
                <w:spacing w:val="-5"/>
                <w:sz w:val="14"/>
              </w:rPr>
              <w:t> </w:t>
            </w:r>
            <w:r>
              <w:rPr>
                <w:sz w:val="14"/>
              </w:rPr>
              <w:t>Spas</w:t>
            </w:r>
            <w:r>
              <w:rPr>
                <w:spacing w:val="-3"/>
                <w:sz w:val="14"/>
              </w:rPr>
              <w:t> </w:t>
            </w:r>
            <w:r>
              <w:rPr>
                <w:sz w:val="14"/>
              </w:rPr>
              <w:t>$60,001+</w:t>
            </w:r>
            <w:r>
              <w:rPr>
                <w:spacing w:val="-2"/>
                <w:sz w:val="14"/>
              </w:rPr>
              <w:t> </w:t>
            </w:r>
            <w:r>
              <w:rPr>
                <w:sz w:val="14"/>
              </w:rPr>
              <w:t>over</w:t>
            </w:r>
            <w:r>
              <w:rPr>
                <w:spacing w:val="-5"/>
                <w:sz w:val="14"/>
              </w:rPr>
              <w:t> </w:t>
            </w:r>
            <w:r>
              <w:rPr>
                <w:sz w:val="14"/>
              </w:rPr>
              <w:t>including</w:t>
            </w:r>
            <w:r>
              <w:rPr>
                <w:spacing w:val="-3"/>
                <w:sz w:val="14"/>
              </w:rPr>
              <w:t> </w:t>
            </w:r>
            <w:r>
              <w:rPr>
                <w:sz w:val="14"/>
              </w:rPr>
              <w:t>4</w:t>
            </w:r>
            <w:r>
              <w:rPr>
                <w:spacing w:val="-5"/>
                <w:sz w:val="14"/>
              </w:rPr>
              <w:t> </w:t>
            </w:r>
            <w:r>
              <w:rPr>
                <w:sz w:val="14"/>
              </w:rPr>
              <w:t>inspections</w:t>
            </w:r>
            <w:r>
              <w:rPr>
                <w:spacing w:val="40"/>
                <w:sz w:val="14"/>
              </w:rPr>
              <w:t> </w:t>
            </w:r>
            <w:r>
              <w:rPr>
                <w:spacing w:val="-2"/>
                <w:sz w:val="14"/>
              </w:rPr>
              <w:t>($Fee+0.45%)</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line="160" w:lineRule="atLeast" w:before="14"/>
              <w:ind w:left="154" w:firstLine="86"/>
              <w:rPr>
                <w:sz w:val="14"/>
              </w:rPr>
            </w:pPr>
            <w:r>
              <w:rPr>
                <w:sz w:val="14"/>
              </w:rPr>
              <w:t>Price on</w:t>
            </w:r>
            <w:r>
              <w:rPr>
                <w:spacing w:val="40"/>
                <w:sz w:val="14"/>
              </w:rPr>
              <w:t> </w:t>
            </w:r>
            <w:r>
              <w:rPr>
                <w:spacing w:val="-2"/>
                <w:sz w:val="14"/>
              </w:rPr>
              <w:t>Application</w:t>
            </w:r>
          </w:p>
        </w:tc>
        <w:tc>
          <w:tcPr>
            <w:tcW w:w="995" w:type="dxa"/>
          </w:tcPr>
          <w:p>
            <w:pPr>
              <w:pStyle w:val="TableParagraph"/>
              <w:spacing w:line="160" w:lineRule="atLeast" w:before="14"/>
              <w:ind w:left="150" w:firstLine="86"/>
              <w:rPr>
                <w:sz w:val="14"/>
              </w:rPr>
            </w:pPr>
            <w:r>
              <w:rPr>
                <w:sz w:val="14"/>
              </w:rPr>
              <w:t>Price on</w:t>
            </w:r>
            <w:r>
              <w:rPr>
                <w:spacing w:val="40"/>
                <w:sz w:val="14"/>
              </w:rPr>
              <w:t> </w:t>
            </w:r>
            <w:r>
              <w:rPr>
                <w:spacing w:val="-2"/>
                <w:sz w:val="14"/>
              </w:rPr>
              <w:t>Application</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sz w:val="14"/>
              </w:rPr>
            </w:pPr>
            <w:r>
              <w:rPr>
                <w:sz w:val="14"/>
              </w:rPr>
              <w:t>Consent</w:t>
            </w:r>
            <w:r>
              <w:rPr>
                <w:spacing w:val="-7"/>
                <w:sz w:val="14"/>
              </w:rPr>
              <w:t> </w:t>
            </w:r>
            <w:r>
              <w:rPr>
                <w:sz w:val="14"/>
              </w:rPr>
              <w:t>&amp;</w:t>
            </w:r>
            <w:r>
              <w:rPr>
                <w:spacing w:val="-2"/>
                <w:sz w:val="14"/>
              </w:rPr>
              <w:t> </w:t>
            </w:r>
            <w:r>
              <w:rPr>
                <w:sz w:val="14"/>
              </w:rPr>
              <w:t>Reports:</w:t>
            </w:r>
            <w:r>
              <w:rPr>
                <w:spacing w:val="-3"/>
                <w:sz w:val="14"/>
              </w:rPr>
              <w:t> </w:t>
            </w:r>
            <w:r>
              <w:rPr>
                <w:sz w:val="14"/>
              </w:rPr>
              <w:t>(Dispensations)</w:t>
            </w:r>
            <w:r>
              <w:rPr>
                <w:spacing w:val="-7"/>
                <w:sz w:val="14"/>
              </w:rPr>
              <w:t> </w:t>
            </w:r>
            <w:r>
              <w:rPr>
                <w:sz w:val="14"/>
              </w:rPr>
              <w:t>Extension</w:t>
            </w:r>
            <w:r>
              <w:rPr>
                <w:spacing w:val="-3"/>
                <w:sz w:val="14"/>
              </w:rPr>
              <w:t> </w:t>
            </w:r>
            <w:r>
              <w:rPr>
                <w:sz w:val="14"/>
              </w:rPr>
              <w:t>of</w:t>
            </w:r>
            <w:r>
              <w:rPr>
                <w:spacing w:val="-6"/>
                <w:sz w:val="14"/>
              </w:rPr>
              <w:t> </w:t>
            </w:r>
            <w:r>
              <w:rPr>
                <w:spacing w:val="-4"/>
                <w:sz w:val="14"/>
              </w:rPr>
              <w:t>time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162.00</w:t>
            </w:r>
          </w:p>
        </w:tc>
        <w:tc>
          <w:tcPr>
            <w:tcW w:w="995" w:type="dxa"/>
          </w:tcPr>
          <w:p>
            <w:pPr>
              <w:pStyle w:val="TableParagraph"/>
              <w:spacing w:line="140" w:lineRule="exact" w:before="17"/>
              <w:ind w:right="102"/>
              <w:jc w:val="right"/>
              <w:rPr>
                <w:sz w:val="14"/>
              </w:rPr>
            </w:pPr>
            <w:r>
              <w:rPr>
                <w:spacing w:val="-2"/>
                <w:sz w:val="14"/>
              </w:rPr>
              <w:t>224.00</w:t>
            </w:r>
          </w:p>
        </w:tc>
        <w:tc>
          <w:tcPr>
            <w:tcW w:w="861" w:type="dxa"/>
          </w:tcPr>
          <w:p>
            <w:pPr>
              <w:pStyle w:val="TableParagraph"/>
              <w:spacing w:line="140" w:lineRule="exact" w:before="17"/>
              <w:ind w:left="288"/>
              <w:rPr>
                <w:sz w:val="14"/>
              </w:rPr>
            </w:pPr>
            <w:r>
              <w:rPr>
                <w:spacing w:val="-4"/>
                <w:sz w:val="14"/>
              </w:rPr>
              <w:t>27.7</w:t>
            </w:r>
          </w:p>
        </w:tc>
      </w:tr>
      <w:tr>
        <w:trPr>
          <w:trHeight w:val="352" w:hRule="atLeast"/>
        </w:trPr>
        <w:tc>
          <w:tcPr>
            <w:tcW w:w="5794" w:type="dxa"/>
          </w:tcPr>
          <w:p>
            <w:pPr>
              <w:pStyle w:val="TableParagraph"/>
              <w:spacing w:line="160" w:lineRule="atLeast" w:before="11"/>
              <w:ind w:left="107"/>
              <w:rPr>
                <w:sz w:val="14"/>
              </w:rPr>
            </w:pPr>
            <w:r>
              <w:rPr>
                <w:sz w:val="14"/>
              </w:rPr>
              <w:t>Copy</w:t>
            </w:r>
            <w:r>
              <w:rPr>
                <w:spacing w:val="-2"/>
                <w:sz w:val="14"/>
              </w:rPr>
              <w:t> </w:t>
            </w:r>
            <w:r>
              <w:rPr>
                <w:sz w:val="14"/>
              </w:rPr>
              <w:t>of</w:t>
            </w:r>
            <w:r>
              <w:rPr>
                <w:spacing w:val="-1"/>
                <w:sz w:val="14"/>
              </w:rPr>
              <w:t> </w:t>
            </w:r>
            <w:r>
              <w:rPr>
                <w:sz w:val="14"/>
              </w:rPr>
              <w:t>plans</w:t>
            </w:r>
            <w:r>
              <w:rPr>
                <w:spacing w:val="-4"/>
                <w:sz w:val="14"/>
              </w:rPr>
              <w:t> </w:t>
            </w:r>
            <w:r>
              <w:rPr>
                <w:sz w:val="14"/>
              </w:rPr>
              <w:t>-</w:t>
            </w:r>
            <w:r>
              <w:rPr>
                <w:spacing w:val="-3"/>
                <w:sz w:val="14"/>
              </w:rPr>
              <w:t> </w:t>
            </w:r>
            <w:r>
              <w:rPr>
                <w:sz w:val="14"/>
              </w:rPr>
              <w:t>Class</w:t>
            </w:r>
            <w:r>
              <w:rPr>
                <w:spacing w:val="-2"/>
                <w:sz w:val="14"/>
              </w:rPr>
              <w:t> </w:t>
            </w:r>
            <w:r>
              <w:rPr>
                <w:sz w:val="14"/>
              </w:rPr>
              <w:t>2</w:t>
            </w:r>
            <w:r>
              <w:rPr>
                <w:spacing w:val="-1"/>
                <w:sz w:val="14"/>
              </w:rPr>
              <w:t> </w:t>
            </w:r>
            <w:r>
              <w:rPr>
                <w:sz w:val="14"/>
              </w:rPr>
              <w:t>-</w:t>
            </w:r>
            <w:r>
              <w:rPr>
                <w:spacing w:val="-6"/>
                <w:sz w:val="14"/>
              </w:rPr>
              <w:t> </w:t>
            </w:r>
            <w:r>
              <w:rPr>
                <w:sz w:val="14"/>
              </w:rPr>
              <w:t>9,</w:t>
            </w:r>
            <w:r>
              <w:rPr>
                <w:spacing w:val="-5"/>
                <w:sz w:val="14"/>
              </w:rPr>
              <w:t> </w:t>
            </w:r>
            <w:r>
              <w:rPr>
                <w:sz w:val="14"/>
              </w:rPr>
              <w:t>Commercial</w:t>
            </w:r>
            <w:r>
              <w:rPr>
                <w:spacing w:val="-4"/>
                <w:sz w:val="14"/>
              </w:rPr>
              <w:t> </w:t>
            </w:r>
            <w:r>
              <w:rPr>
                <w:sz w:val="14"/>
              </w:rPr>
              <w:t>Plans</w:t>
            </w:r>
            <w:r>
              <w:rPr>
                <w:spacing w:val="-2"/>
                <w:sz w:val="14"/>
              </w:rPr>
              <w:t> </w:t>
            </w:r>
            <w:r>
              <w:rPr>
                <w:sz w:val="14"/>
              </w:rPr>
              <w:t>additional</w:t>
            </w:r>
            <w:r>
              <w:rPr>
                <w:spacing w:val="-1"/>
                <w:sz w:val="14"/>
              </w:rPr>
              <w:t> </w:t>
            </w:r>
            <w:r>
              <w:rPr>
                <w:sz w:val="14"/>
              </w:rPr>
              <w:t>permits</w:t>
            </w:r>
            <w:r>
              <w:rPr>
                <w:spacing w:val="-4"/>
                <w:sz w:val="14"/>
              </w:rPr>
              <w:t> </w:t>
            </w:r>
            <w:r>
              <w:rPr>
                <w:sz w:val="14"/>
              </w:rPr>
              <w:t>-</w:t>
            </w:r>
            <w:r>
              <w:rPr>
                <w:spacing w:val="-5"/>
                <w:sz w:val="14"/>
              </w:rPr>
              <w:t> </w:t>
            </w:r>
            <w:r>
              <w:rPr>
                <w:sz w:val="14"/>
              </w:rPr>
              <w:t>Copies</w:t>
            </w:r>
            <w:r>
              <w:rPr>
                <w:spacing w:val="-2"/>
                <w:sz w:val="14"/>
              </w:rPr>
              <w:t> </w:t>
            </w:r>
            <w:r>
              <w:rPr>
                <w:sz w:val="14"/>
              </w:rPr>
              <w:t>of</w:t>
            </w:r>
            <w:r>
              <w:rPr>
                <w:spacing w:val="-4"/>
                <w:sz w:val="14"/>
              </w:rPr>
              <w:t> </w:t>
            </w:r>
            <w:r>
              <w:rPr>
                <w:sz w:val="14"/>
              </w:rPr>
              <w:t>plans,</w:t>
            </w:r>
            <w:r>
              <w:rPr>
                <w:spacing w:val="40"/>
                <w:sz w:val="14"/>
              </w:rPr>
              <w:t> </w:t>
            </w:r>
            <w:r>
              <w:rPr>
                <w:sz w:val="14"/>
              </w:rPr>
              <w:t>Certificates or any requested information)</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150.00</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160.00</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b/>
                <w:sz w:val="14"/>
              </w:rPr>
            </w:pPr>
            <w:r>
              <w:rPr>
                <w:b/>
                <w:sz w:val="14"/>
              </w:rPr>
              <w:t>BS</w:t>
            </w:r>
            <w:r>
              <w:rPr>
                <w:b/>
                <w:spacing w:val="-4"/>
                <w:sz w:val="14"/>
              </w:rPr>
              <w:t> </w:t>
            </w:r>
            <w:r>
              <w:rPr>
                <w:b/>
                <w:sz w:val="14"/>
              </w:rPr>
              <w:t>Swimming</w:t>
            </w:r>
            <w:r>
              <w:rPr>
                <w:b/>
                <w:spacing w:val="-4"/>
                <w:sz w:val="14"/>
              </w:rPr>
              <w:t> </w:t>
            </w:r>
            <w:r>
              <w:rPr>
                <w:b/>
                <w:sz w:val="14"/>
              </w:rPr>
              <w:t>Pool</w:t>
            </w:r>
            <w:r>
              <w:rPr>
                <w:b/>
                <w:spacing w:val="-4"/>
                <w:sz w:val="14"/>
              </w:rPr>
              <w:t> Audit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Swimming</w:t>
            </w:r>
            <w:r>
              <w:rPr>
                <w:spacing w:val="-7"/>
                <w:sz w:val="14"/>
              </w:rPr>
              <w:t> </w:t>
            </w:r>
            <w:r>
              <w:rPr>
                <w:sz w:val="14"/>
              </w:rPr>
              <w:t>Pool</w:t>
            </w:r>
            <w:r>
              <w:rPr>
                <w:spacing w:val="-5"/>
                <w:sz w:val="14"/>
              </w:rPr>
              <w:t> </w:t>
            </w:r>
            <w:r>
              <w:rPr>
                <w:sz w:val="14"/>
              </w:rPr>
              <w:t>Audit</w:t>
            </w:r>
            <w:r>
              <w:rPr>
                <w:spacing w:val="-3"/>
                <w:sz w:val="14"/>
              </w:rPr>
              <w:t> </w:t>
            </w:r>
            <w:r>
              <w:rPr>
                <w:sz w:val="14"/>
              </w:rPr>
              <w:t>Lodgement</w:t>
            </w:r>
            <w:r>
              <w:rPr>
                <w:spacing w:val="-3"/>
                <w:sz w:val="14"/>
              </w:rPr>
              <w:t> </w:t>
            </w:r>
            <w:r>
              <w:rPr>
                <w:sz w:val="14"/>
              </w:rPr>
              <w:t>of</w:t>
            </w:r>
            <w:r>
              <w:rPr>
                <w:spacing w:val="-2"/>
                <w:sz w:val="14"/>
              </w:rPr>
              <w:t> </w:t>
            </w:r>
            <w:r>
              <w:rPr>
                <w:sz w:val="14"/>
              </w:rPr>
              <w:t>Form</w:t>
            </w:r>
            <w:r>
              <w:rPr>
                <w:spacing w:val="-5"/>
                <w:sz w:val="14"/>
              </w:rPr>
              <w:t> </w:t>
            </w:r>
            <w:r>
              <w:rPr>
                <w:sz w:val="14"/>
              </w:rPr>
              <w:t>23</w:t>
            </w:r>
            <w:r>
              <w:rPr>
                <w:spacing w:val="-5"/>
                <w:sz w:val="14"/>
              </w:rPr>
              <w:t> </w:t>
            </w:r>
            <w:r>
              <w:rPr>
                <w:sz w:val="14"/>
              </w:rPr>
              <w:t>Compliance</w:t>
            </w:r>
            <w:r>
              <w:rPr>
                <w:spacing w:val="-3"/>
                <w:sz w:val="14"/>
              </w:rPr>
              <w:t> </w:t>
            </w:r>
            <w:r>
              <w:rPr>
                <w:spacing w:val="-2"/>
                <w:sz w:val="14"/>
              </w:rPr>
              <w:t>Certificate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21.90</w:t>
            </w:r>
          </w:p>
        </w:tc>
        <w:tc>
          <w:tcPr>
            <w:tcW w:w="995" w:type="dxa"/>
          </w:tcPr>
          <w:p>
            <w:pPr>
              <w:pStyle w:val="TableParagraph"/>
              <w:spacing w:line="140" w:lineRule="exact" w:before="17"/>
              <w:ind w:right="101"/>
              <w:jc w:val="right"/>
              <w:rPr>
                <w:sz w:val="14"/>
              </w:rPr>
            </w:pPr>
            <w:r>
              <w:rPr>
                <w:spacing w:val="-2"/>
                <w:sz w:val="14"/>
              </w:rPr>
              <w:t>22.55</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Swimming</w:t>
            </w:r>
            <w:r>
              <w:rPr>
                <w:spacing w:val="-8"/>
                <w:sz w:val="14"/>
              </w:rPr>
              <w:t> </w:t>
            </w:r>
            <w:r>
              <w:rPr>
                <w:sz w:val="14"/>
              </w:rPr>
              <w:t>Pool/Spa</w:t>
            </w:r>
            <w:r>
              <w:rPr>
                <w:spacing w:val="-2"/>
                <w:sz w:val="14"/>
              </w:rPr>
              <w:t> </w:t>
            </w:r>
            <w:r>
              <w:rPr>
                <w:sz w:val="14"/>
              </w:rPr>
              <w:t>Form</w:t>
            </w:r>
            <w:r>
              <w:rPr>
                <w:spacing w:val="-5"/>
                <w:sz w:val="14"/>
              </w:rPr>
              <w:t> </w:t>
            </w:r>
            <w:r>
              <w:rPr>
                <w:sz w:val="14"/>
              </w:rPr>
              <w:t>24</w:t>
            </w:r>
            <w:r>
              <w:rPr>
                <w:spacing w:val="-5"/>
                <w:sz w:val="14"/>
              </w:rPr>
              <w:t> </w:t>
            </w:r>
            <w:r>
              <w:rPr>
                <w:sz w:val="14"/>
              </w:rPr>
              <w:t>Non-Compliance</w:t>
            </w:r>
            <w:r>
              <w:rPr>
                <w:spacing w:val="-7"/>
                <w:sz w:val="14"/>
              </w:rPr>
              <w:t> </w:t>
            </w:r>
            <w:r>
              <w:rPr>
                <w:spacing w:val="-2"/>
                <w:sz w:val="14"/>
              </w:rPr>
              <w:t>Certificate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413.40</w:t>
            </w:r>
          </w:p>
        </w:tc>
        <w:tc>
          <w:tcPr>
            <w:tcW w:w="995" w:type="dxa"/>
          </w:tcPr>
          <w:p>
            <w:pPr>
              <w:pStyle w:val="TableParagraph"/>
              <w:spacing w:line="140" w:lineRule="exact" w:before="17"/>
              <w:ind w:right="102"/>
              <w:jc w:val="right"/>
              <w:rPr>
                <w:sz w:val="14"/>
              </w:rPr>
            </w:pPr>
            <w:r>
              <w:rPr>
                <w:spacing w:val="-2"/>
                <w:sz w:val="14"/>
              </w:rPr>
              <w:t>424.60</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Swimming</w:t>
            </w:r>
            <w:r>
              <w:rPr>
                <w:spacing w:val="-6"/>
                <w:sz w:val="14"/>
              </w:rPr>
              <w:t> </w:t>
            </w:r>
            <w:r>
              <w:rPr>
                <w:sz w:val="14"/>
              </w:rPr>
              <w:t>Pool/Spa</w:t>
            </w:r>
            <w:r>
              <w:rPr>
                <w:spacing w:val="-5"/>
                <w:sz w:val="14"/>
              </w:rPr>
              <w:t> </w:t>
            </w:r>
            <w:r>
              <w:rPr>
                <w:sz w:val="14"/>
              </w:rPr>
              <w:t>Register</w:t>
            </w:r>
            <w:r>
              <w:rPr>
                <w:spacing w:val="-3"/>
                <w:sz w:val="14"/>
              </w:rPr>
              <w:t> </w:t>
            </w:r>
            <w:r>
              <w:rPr>
                <w:sz w:val="14"/>
              </w:rPr>
              <w:t>-</w:t>
            </w:r>
            <w:r>
              <w:rPr>
                <w:spacing w:val="-5"/>
                <w:sz w:val="14"/>
              </w:rPr>
              <w:t> </w:t>
            </w:r>
            <w:r>
              <w:rPr>
                <w:sz w:val="14"/>
              </w:rPr>
              <w:t>Registration</w:t>
            </w:r>
            <w:r>
              <w:rPr>
                <w:spacing w:val="-6"/>
                <w:sz w:val="14"/>
              </w:rPr>
              <w:t> </w:t>
            </w:r>
            <w:r>
              <w:rPr>
                <w:sz w:val="14"/>
              </w:rPr>
              <w:t>(2.15</w:t>
            </w:r>
            <w:r>
              <w:rPr>
                <w:spacing w:val="-5"/>
                <w:sz w:val="14"/>
              </w:rPr>
              <w:t> </w:t>
            </w:r>
            <w:r>
              <w:rPr>
                <w:sz w:val="14"/>
              </w:rPr>
              <w:t>fee</w:t>
            </w:r>
            <w:r>
              <w:rPr>
                <w:spacing w:val="-1"/>
                <w:sz w:val="14"/>
              </w:rPr>
              <w:t> </w:t>
            </w:r>
            <w:r>
              <w:rPr>
                <w:spacing w:val="-2"/>
                <w:sz w:val="14"/>
              </w:rPr>
              <w:t>units)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34.20</w:t>
            </w:r>
          </w:p>
        </w:tc>
        <w:tc>
          <w:tcPr>
            <w:tcW w:w="995" w:type="dxa"/>
          </w:tcPr>
          <w:p>
            <w:pPr>
              <w:pStyle w:val="TableParagraph"/>
              <w:spacing w:line="140" w:lineRule="exact" w:before="17"/>
              <w:ind w:right="101"/>
              <w:jc w:val="right"/>
              <w:rPr>
                <w:sz w:val="14"/>
              </w:rPr>
            </w:pPr>
            <w:r>
              <w:rPr>
                <w:spacing w:val="-2"/>
                <w:sz w:val="14"/>
              </w:rPr>
              <w:t>35.10</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Swimming</w:t>
            </w:r>
            <w:r>
              <w:rPr>
                <w:spacing w:val="-8"/>
                <w:sz w:val="14"/>
              </w:rPr>
              <w:t> </w:t>
            </w:r>
            <w:r>
              <w:rPr>
                <w:sz w:val="14"/>
              </w:rPr>
              <w:t>Pool</w:t>
            </w:r>
            <w:r>
              <w:rPr>
                <w:spacing w:val="-6"/>
                <w:sz w:val="14"/>
              </w:rPr>
              <w:t> </w:t>
            </w:r>
            <w:r>
              <w:rPr>
                <w:sz w:val="14"/>
              </w:rPr>
              <w:t>Audit</w:t>
            </w:r>
            <w:r>
              <w:rPr>
                <w:spacing w:val="-4"/>
                <w:sz w:val="14"/>
              </w:rPr>
              <w:t> </w:t>
            </w:r>
            <w:r>
              <w:rPr>
                <w:sz w:val="14"/>
              </w:rPr>
              <w:t>Fee-</w:t>
            </w:r>
            <w:r>
              <w:rPr>
                <w:spacing w:val="-2"/>
                <w:sz w:val="14"/>
              </w:rPr>
              <w:t>Registration</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48.75</w:t>
            </w:r>
          </w:p>
        </w:tc>
        <w:tc>
          <w:tcPr>
            <w:tcW w:w="995" w:type="dxa"/>
          </w:tcPr>
          <w:p>
            <w:pPr>
              <w:pStyle w:val="TableParagraph"/>
              <w:spacing w:line="140" w:lineRule="exact" w:before="17"/>
              <w:ind w:right="101"/>
              <w:jc w:val="right"/>
              <w:rPr>
                <w:sz w:val="14"/>
              </w:rPr>
            </w:pPr>
            <w:r>
              <w:rPr>
                <w:spacing w:val="-2"/>
                <w:sz w:val="14"/>
              </w:rPr>
              <w:t>52.10</w:t>
            </w:r>
          </w:p>
        </w:tc>
        <w:tc>
          <w:tcPr>
            <w:tcW w:w="861" w:type="dxa"/>
          </w:tcPr>
          <w:p>
            <w:pPr>
              <w:pStyle w:val="TableParagraph"/>
              <w:spacing w:line="140" w:lineRule="exact" w:before="17"/>
              <w:ind w:left="327"/>
              <w:rPr>
                <w:sz w:val="14"/>
              </w:rPr>
            </w:pPr>
            <w:r>
              <w:rPr>
                <w:spacing w:val="-5"/>
                <w:sz w:val="14"/>
              </w:rPr>
              <w:t>6.4</w:t>
            </w:r>
          </w:p>
        </w:tc>
      </w:tr>
      <w:tr>
        <w:trPr>
          <w:trHeight w:val="177" w:hRule="atLeast"/>
        </w:trPr>
        <w:tc>
          <w:tcPr>
            <w:tcW w:w="5794" w:type="dxa"/>
          </w:tcPr>
          <w:p>
            <w:pPr>
              <w:pStyle w:val="TableParagraph"/>
              <w:spacing w:line="140" w:lineRule="exact" w:before="17"/>
              <w:ind w:left="107"/>
              <w:rPr>
                <w:sz w:val="14"/>
              </w:rPr>
            </w:pPr>
            <w:r>
              <w:rPr>
                <w:spacing w:val="-2"/>
                <w:sz w:val="14"/>
              </w:rPr>
              <w:t>Infringements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385.00</w:t>
            </w:r>
          </w:p>
        </w:tc>
        <w:tc>
          <w:tcPr>
            <w:tcW w:w="995" w:type="dxa"/>
          </w:tcPr>
          <w:p>
            <w:pPr>
              <w:pStyle w:val="TableParagraph"/>
              <w:spacing w:line="140" w:lineRule="exact" w:before="17"/>
              <w:ind w:right="102"/>
              <w:jc w:val="right"/>
              <w:rPr>
                <w:sz w:val="14"/>
              </w:rPr>
            </w:pPr>
            <w:r>
              <w:rPr>
                <w:spacing w:val="-2"/>
                <w:sz w:val="14"/>
              </w:rPr>
              <w:t>395.00</w:t>
            </w:r>
          </w:p>
        </w:tc>
        <w:tc>
          <w:tcPr>
            <w:tcW w:w="861" w:type="dxa"/>
          </w:tcPr>
          <w:p>
            <w:pPr>
              <w:pStyle w:val="TableParagraph"/>
              <w:spacing w:line="140" w:lineRule="exact" w:before="17"/>
              <w:ind w:left="327"/>
              <w:rPr>
                <w:sz w:val="14"/>
              </w:rPr>
            </w:pPr>
            <w:r>
              <w:rPr>
                <w:spacing w:val="-5"/>
                <w:sz w:val="14"/>
              </w:rPr>
              <w:t>2.5</w:t>
            </w:r>
          </w:p>
        </w:tc>
      </w:tr>
      <w:tr>
        <w:trPr>
          <w:trHeight w:val="177" w:hRule="atLeast"/>
        </w:trPr>
        <w:tc>
          <w:tcPr>
            <w:tcW w:w="5794" w:type="dxa"/>
          </w:tcPr>
          <w:p>
            <w:pPr>
              <w:pStyle w:val="TableParagraph"/>
              <w:spacing w:line="140" w:lineRule="exact" w:before="17"/>
              <w:ind w:left="107"/>
              <w:rPr>
                <w:b/>
                <w:sz w:val="14"/>
              </w:rPr>
            </w:pPr>
            <w:r>
              <w:rPr>
                <w:b/>
                <w:sz w:val="14"/>
              </w:rPr>
              <w:t>Asset</w:t>
            </w:r>
            <w:r>
              <w:rPr>
                <w:b/>
                <w:spacing w:val="-6"/>
                <w:sz w:val="14"/>
              </w:rPr>
              <w:t> </w:t>
            </w:r>
            <w:r>
              <w:rPr>
                <w:b/>
                <w:sz w:val="14"/>
              </w:rPr>
              <w:t>Protection</w:t>
            </w:r>
            <w:r>
              <w:rPr>
                <w:b/>
                <w:spacing w:val="-5"/>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Asset</w:t>
            </w:r>
            <w:r>
              <w:rPr>
                <w:spacing w:val="-5"/>
                <w:sz w:val="14"/>
              </w:rPr>
              <w:t> </w:t>
            </w:r>
            <w:r>
              <w:rPr>
                <w:sz w:val="14"/>
              </w:rPr>
              <w:t>Protection</w:t>
            </w:r>
            <w:r>
              <w:rPr>
                <w:spacing w:val="-4"/>
                <w:sz w:val="14"/>
              </w:rPr>
              <w:t> </w:t>
            </w:r>
            <w:r>
              <w:rPr>
                <w:sz w:val="14"/>
              </w:rPr>
              <w:t>-</w:t>
            </w:r>
            <w:r>
              <w:rPr>
                <w:spacing w:val="34"/>
                <w:sz w:val="14"/>
              </w:rPr>
              <w:t> </w:t>
            </w:r>
            <w:r>
              <w:rPr>
                <w:sz w:val="14"/>
              </w:rPr>
              <w:t>Industrial</w:t>
            </w:r>
            <w:r>
              <w:rPr>
                <w:spacing w:val="-3"/>
                <w:sz w:val="14"/>
              </w:rPr>
              <w:t> </w:t>
            </w:r>
            <w:r>
              <w:rPr>
                <w:sz w:val="14"/>
              </w:rPr>
              <w:t>/</w:t>
            </w:r>
            <w:r>
              <w:rPr>
                <w:spacing w:val="-4"/>
                <w:sz w:val="14"/>
              </w:rPr>
              <w:t> </w:t>
            </w:r>
            <w:r>
              <w:rPr>
                <w:spacing w:val="-2"/>
                <w:sz w:val="14"/>
              </w:rPr>
              <w:t>Warehouse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750.00</w:t>
            </w:r>
          </w:p>
        </w:tc>
        <w:tc>
          <w:tcPr>
            <w:tcW w:w="995" w:type="dxa"/>
          </w:tcPr>
          <w:p>
            <w:pPr>
              <w:pStyle w:val="TableParagraph"/>
              <w:spacing w:line="140" w:lineRule="exact" w:before="17"/>
              <w:ind w:right="102"/>
              <w:jc w:val="right"/>
              <w:rPr>
                <w:sz w:val="14"/>
              </w:rPr>
            </w:pPr>
            <w:r>
              <w:rPr>
                <w:spacing w:val="-2"/>
                <w:sz w:val="14"/>
              </w:rPr>
              <w:t>810.00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Asset</w:t>
            </w:r>
            <w:r>
              <w:rPr>
                <w:spacing w:val="-9"/>
                <w:sz w:val="14"/>
              </w:rPr>
              <w:t> </w:t>
            </w:r>
            <w:r>
              <w:rPr>
                <w:sz w:val="14"/>
              </w:rPr>
              <w:t>Protection</w:t>
            </w:r>
            <w:r>
              <w:rPr>
                <w:spacing w:val="-8"/>
                <w:sz w:val="14"/>
              </w:rPr>
              <w:t> </w:t>
            </w:r>
            <w:r>
              <w:rPr>
                <w:sz w:val="14"/>
              </w:rPr>
              <w:t>-</w:t>
            </w:r>
            <w:r>
              <w:rPr>
                <w:spacing w:val="25"/>
                <w:sz w:val="14"/>
              </w:rPr>
              <w:t> </w:t>
            </w:r>
            <w:r>
              <w:rPr>
                <w:sz w:val="14"/>
              </w:rPr>
              <w:t>Veranda/Decks/Pergola/Alfresco/Small</w:t>
            </w:r>
            <w:r>
              <w:rPr>
                <w:spacing w:val="-6"/>
                <w:sz w:val="14"/>
              </w:rPr>
              <w:t> </w:t>
            </w:r>
            <w:r>
              <w:rPr>
                <w:spacing w:val="-4"/>
                <w:sz w:val="14"/>
              </w:rPr>
              <w:t>Shed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440.00</w:t>
            </w:r>
          </w:p>
        </w:tc>
        <w:tc>
          <w:tcPr>
            <w:tcW w:w="995" w:type="dxa"/>
          </w:tcPr>
          <w:p>
            <w:pPr>
              <w:pStyle w:val="TableParagraph"/>
              <w:spacing w:line="140" w:lineRule="exact" w:before="17"/>
              <w:ind w:right="102"/>
              <w:jc w:val="right"/>
              <w:rPr>
                <w:sz w:val="14"/>
              </w:rPr>
            </w:pPr>
            <w:r>
              <w:rPr>
                <w:spacing w:val="-2"/>
                <w:sz w:val="14"/>
              </w:rPr>
              <w:t>475.00</w:t>
            </w:r>
          </w:p>
        </w:tc>
        <w:tc>
          <w:tcPr>
            <w:tcW w:w="861" w:type="dxa"/>
          </w:tcPr>
          <w:p>
            <w:pPr>
              <w:pStyle w:val="TableParagraph"/>
              <w:spacing w:line="140" w:lineRule="exact" w:before="17"/>
              <w:ind w:left="327"/>
              <w:rPr>
                <w:sz w:val="14"/>
              </w:rPr>
            </w:pPr>
            <w:r>
              <w:rPr>
                <w:spacing w:val="-5"/>
                <w:sz w:val="14"/>
              </w:rPr>
              <w:t>7.4</w:t>
            </w:r>
          </w:p>
        </w:tc>
      </w:tr>
      <w:tr>
        <w:trPr>
          <w:trHeight w:val="374" w:hRule="atLeast"/>
        </w:trPr>
        <w:tc>
          <w:tcPr>
            <w:tcW w:w="5794" w:type="dxa"/>
          </w:tcPr>
          <w:p>
            <w:pPr>
              <w:pStyle w:val="TableParagraph"/>
              <w:spacing w:line="160" w:lineRule="atLeast" w:before="33"/>
              <w:ind w:left="107"/>
              <w:rPr>
                <w:sz w:val="14"/>
              </w:rPr>
            </w:pPr>
            <w:r>
              <w:rPr>
                <w:sz w:val="14"/>
              </w:rPr>
              <w:t>Asset</w:t>
            </w:r>
            <w:r>
              <w:rPr>
                <w:spacing w:val="-10"/>
                <w:sz w:val="14"/>
              </w:rPr>
              <w:t> </w:t>
            </w:r>
            <w:r>
              <w:rPr>
                <w:sz w:val="14"/>
              </w:rPr>
              <w:t>Protection</w:t>
            </w:r>
            <w:r>
              <w:rPr>
                <w:spacing w:val="-10"/>
                <w:sz w:val="14"/>
              </w:rPr>
              <w:t> </w:t>
            </w:r>
            <w:r>
              <w:rPr>
                <w:sz w:val="14"/>
              </w:rPr>
              <w:t>-</w:t>
            </w:r>
            <w:r>
              <w:rPr>
                <w:spacing w:val="-7"/>
                <w:sz w:val="14"/>
              </w:rPr>
              <w:t> </w:t>
            </w:r>
            <w:r>
              <w:rPr>
                <w:sz w:val="14"/>
              </w:rPr>
              <w:t>Demolition/New</w:t>
            </w:r>
            <w:r>
              <w:rPr>
                <w:spacing w:val="-6"/>
                <w:sz w:val="14"/>
              </w:rPr>
              <w:t> </w:t>
            </w:r>
            <w:r>
              <w:rPr>
                <w:sz w:val="14"/>
              </w:rPr>
              <w:t>dwelling/Swimming</w:t>
            </w:r>
            <w:r>
              <w:rPr>
                <w:spacing w:val="-8"/>
                <w:sz w:val="14"/>
              </w:rPr>
              <w:t> </w:t>
            </w:r>
            <w:r>
              <w:rPr>
                <w:sz w:val="14"/>
              </w:rPr>
              <w:t>pool/spa/Garage/Carport/large</w:t>
            </w:r>
            <w:r>
              <w:rPr>
                <w:spacing w:val="40"/>
                <w:sz w:val="14"/>
              </w:rPr>
              <w:t> </w:t>
            </w:r>
            <w:r>
              <w:rPr>
                <w:sz w:val="14"/>
              </w:rPr>
              <w:t>shed/Dependent Person Unit (DPU)/Extension/Addition/Alteration</w:t>
            </w:r>
          </w:p>
        </w:tc>
        <w:tc>
          <w:tcPr>
            <w:tcW w:w="1131" w:type="dxa"/>
          </w:tcPr>
          <w:p>
            <w:pPr>
              <w:pStyle w:val="TableParagraph"/>
              <w:spacing w:before="7"/>
              <w:rPr>
                <w:sz w:val="18"/>
              </w:rPr>
            </w:pPr>
          </w:p>
          <w:p>
            <w:pPr>
              <w:pStyle w:val="TableParagraph"/>
              <w:spacing w:line="140" w:lineRule="exact"/>
              <w:ind w:left="5"/>
              <w:jc w:val="center"/>
              <w:rPr>
                <w:sz w:val="14"/>
              </w:rPr>
            </w:pPr>
            <w:r>
              <w:rPr>
                <w:w w:val="99"/>
                <w:sz w:val="14"/>
              </w:rPr>
              <w:t>N</w:t>
            </w:r>
          </w:p>
        </w:tc>
        <w:tc>
          <w:tcPr>
            <w:tcW w:w="567" w:type="dxa"/>
          </w:tcPr>
          <w:p>
            <w:pPr>
              <w:pStyle w:val="TableParagraph"/>
              <w:spacing w:before="7"/>
              <w:rPr>
                <w:sz w:val="18"/>
              </w:rPr>
            </w:pPr>
          </w:p>
          <w:p>
            <w:pPr>
              <w:pStyle w:val="TableParagraph"/>
              <w:spacing w:line="140" w:lineRule="exact"/>
              <w:ind w:left="190"/>
              <w:rPr>
                <w:sz w:val="14"/>
              </w:rPr>
            </w:pPr>
            <w:r>
              <w:rPr>
                <w:spacing w:val="-5"/>
                <w:sz w:val="14"/>
              </w:rPr>
              <w:t>No</w:t>
            </w:r>
          </w:p>
        </w:tc>
        <w:tc>
          <w:tcPr>
            <w:tcW w:w="997" w:type="dxa"/>
          </w:tcPr>
          <w:p>
            <w:pPr>
              <w:pStyle w:val="TableParagraph"/>
              <w:spacing w:before="7"/>
              <w:rPr>
                <w:sz w:val="18"/>
              </w:rPr>
            </w:pPr>
          </w:p>
          <w:p>
            <w:pPr>
              <w:pStyle w:val="TableParagraph"/>
              <w:spacing w:line="140" w:lineRule="exact"/>
              <w:ind w:right="100"/>
              <w:jc w:val="right"/>
              <w:rPr>
                <w:sz w:val="14"/>
              </w:rPr>
            </w:pPr>
            <w:r>
              <w:rPr>
                <w:spacing w:val="-2"/>
                <w:sz w:val="14"/>
              </w:rPr>
              <w:t>565.00</w:t>
            </w:r>
          </w:p>
        </w:tc>
        <w:tc>
          <w:tcPr>
            <w:tcW w:w="995" w:type="dxa"/>
          </w:tcPr>
          <w:p>
            <w:pPr>
              <w:pStyle w:val="TableParagraph"/>
              <w:spacing w:before="7"/>
              <w:rPr>
                <w:sz w:val="18"/>
              </w:rPr>
            </w:pPr>
          </w:p>
          <w:p>
            <w:pPr>
              <w:pStyle w:val="TableParagraph"/>
              <w:spacing w:line="140" w:lineRule="exact"/>
              <w:ind w:right="102"/>
              <w:jc w:val="right"/>
              <w:rPr>
                <w:sz w:val="14"/>
              </w:rPr>
            </w:pPr>
            <w:r>
              <w:rPr>
                <w:spacing w:val="-2"/>
                <w:sz w:val="14"/>
              </w:rPr>
              <w:t>610.00</w:t>
            </w:r>
          </w:p>
        </w:tc>
        <w:tc>
          <w:tcPr>
            <w:tcW w:w="861" w:type="dxa"/>
          </w:tcPr>
          <w:p>
            <w:pPr>
              <w:pStyle w:val="TableParagraph"/>
              <w:spacing w:before="7"/>
              <w:rPr>
                <w:sz w:val="18"/>
              </w:rPr>
            </w:pPr>
          </w:p>
          <w:p>
            <w:pPr>
              <w:pStyle w:val="TableParagraph"/>
              <w:spacing w:line="140" w:lineRule="exact"/>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Multi</w:t>
            </w:r>
            <w:r>
              <w:rPr>
                <w:spacing w:val="-4"/>
                <w:sz w:val="14"/>
              </w:rPr>
              <w:t> </w:t>
            </w:r>
            <w:r>
              <w:rPr>
                <w:sz w:val="14"/>
              </w:rPr>
              <w:t>Dwelling/lots</w:t>
            </w:r>
            <w:r>
              <w:rPr>
                <w:spacing w:val="-6"/>
                <w:sz w:val="14"/>
              </w:rPr>
              <w:t> </w:t>
            </w:r>
            <w:r>
              <w:rPr>
                <w:sz w:val="14"/>
              </w:rPr>
              <w:t>-</w:t>
            </w:r>
            <w:r>
              <w:rPr>
                <w:spacing w:val="-4"/>
                <w:sz w:val="14"/>
              </w:rPr>
              <w:t> </w:t>
            </w:r>
            <w:r>
              <w:rPr>
                <w:spacing w:val="-10"/>
                <w:sz w:val="14"/>
              </w:rPr>
              <w:t>2</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750.00</w:t>
            </w:r>
          </w:p>
        </w:tc>
        <w:tc>
          <w:tcPr>
            <w:tcW w:w="995" w:type="dxa"/>
          </w:tcPr>
          <w:p>
            <w:pPr>
              <w:pStyle w:val="TableParagraph"/>
              <w:spacing w:line="140" w:lineRule="exact" w:before="17"/>
              <w:ind w:right="102"/>
              <w:jc w:val="right"/>
              <w:rPr>
                <w:sz w:val="14"/>
              </w:rPr>
            </w:pPr>
            <w:r>
              <w:rPr>
                <w:spacing w:val="-2"/>
                <w:sz w:val="14"/>
              </w:rPr>
              <w:t>810.00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2" w:lineRule="exact" w:before="15"/>
              <w:ind w:left="107"/>
              <w:rPr>
                <w:sz w:val="14"/>
              </w:rPr>
            </w:pPr>
            <w:r>
              <w:rPr>
                <w:sz w:val="14"/>
              </w:rPr>
              <w:t>Multi</w:t>
            </w:r>
            <w:r>
              <w:rPr>
                <w:spacing w:val="-3"/>
                <w:sz w:val="14"/>
              </w:rPr>
              <w:t> </w:t>
            </w:r>
            <w:r>
              <w:rPr>
                <w:sz w:val="14"/>
              </w:rPr>
              <w:t>Dwelling/lots</w:t>
            </w:r>
            <w:r>
              <w:rPr>
                <w:spacing w:val="-6"/>
                <w:sz w:val="14"/>
              </w:rPr>
              <w:t> </w:t>
            </w:r>
            <w:r>
              <w:rPr>
                <w:sz w:val="14"/>
              </w:rPr>
              <w:t>-</w:t>
            </w:r>
            <w:r>
              <w:rPr>
                <w:spacing w:val="-3"/>
                <w:sz w:val="14"/>
              </w:rPr>
              <w:t> </w:t>
            </w:r>
            <w:r>
              <w:rPr>
                <w:sz w:val="14"/>
              </w:rPr>
              <w:t>3</w:t>
            </w:r>
            <w:r>
              <w:rPr>
                <w:spacing w:val="-3"/>
                <w:sz w:val="14"/>
              </w:rPr>
              <w:t> </w:t>
            </w:r>
            <w:r>
              <w:rPr>
                <w:sz w:val="14"/>
              </w:rPr>
              <w:t>-</w:t>
            </w:r>
            <w:r>
              <w:rPr>
                <w:spacing w:val="-10"/>
                <w:sz w:val="14"/>
              </w:rPr>
              <w:t>5</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1,000.00</w:t>
            </w:r>
          </w:p>
        </w:tc>
        <w:tc>
          <w:tcPr>
            <w:tcW w:w="995" w:type="dxa"/>
          </w:tcPr>
          <w:p>
            <w:pPr>
              <w:pStyle w:val="TableParagraph"/>
              <w:spacing w:line="142" w:lineRule="exact" w:before="15"/>
              <w:ind w:right="101"/>
              <w:jc w:val="right"/>
              <w:rPr>
                <w:sz w:val="14"/>
              </w:rPr>
            </w:pPr>
            <w:r>
              <w:rPr>
                <w:spacing w:val="-2"/>
                <w:sz w:val="14"/>
              </w:rPr>
              <w:t>1,075.00</w:t>
            </w:r>
          </w:p>
        </w:tc>
        <w:tc>
          <w:tcPr>
            <w:tcW w:w="861" w:type="dxa"/>
          </w:tcPr>
          <w:p>
            <w:pPr>
              <w:pStyle w:val="TableParagraph"/>
              <w:spacing w:line="142" w:lineRule="exact" w:before="15"/>
              <w:ind w:left="326"/>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Multi</w:t>
            </w:r>
            <w:r>
              <w:rPr>
                <w:spacing w:val="-3"/>
                <w:sz w:val="14"/>
              </w:rPr>
              <w:t> </w:t>
            </w:r>
            <w:r>
              <w:rPr>
                <w:sz w:val="14"/>
              </w:rPr>
              <w:t>Dwelling/lots</w:t>
            </w:r>
            <w:r>
              <w:rPr>
                <w:spacing w:val="-5"/>
                <w:sz w:val="14"/>
              </w:rPr>
              <w:t> </w:t>
            </w:r>
            <w:r>
              <w:rPr>
                <w:sz w:val="14"/>
              </w:rPr>
              <w:t>-</w:t>
            </w:r>
            <w:r>
              <w:rPr>
                <w:spacing w:val="-4"/>
                <w:sz w:val="14"/>
              </w:rPr>
              <w:t> </w:t>
            </w:r>
            <w:r>
              <w:rPr>
                <w:sz w:val="14"/>
              </w:rPr>
              <w:t>6</w:t>
            </w:r>
            <w:r>
              <w:rPr>
                <w:spacing w:val="-3"/>
                <w:sz w:val="14"/>
              </w:rPr>
              <w:t> </w:t>
            </w:r>
            <w:r>
              <w:rPr>
                <w:sz w:val="14"/>
              </w:rPr>
              <w:t>-</w:t>
            </w:r>
            <w:r>
              <w:rPr>
                <w:spacing w:val="-10"/>
                <w:sz w:val="14"/>
              </w:rPr>
              <w:t>9</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1,250.00</w:t>
            </w:r>
          </w:p>
        </w:tc>
        <w:tc>
          <w:tcPr>
            <w:tcW w:w="995" w:type="dxa"/>
          </w:tcPr>
          <w:p>
            <w:pPr>
              <w:pStyle w:val="TableParagraph"/>
              <w:spacing w:line="140" w:lineRule="exact" w:before="15"/>
              <w:ind w:right="101"/>
              <w:jc w:val="right"/>
              <w:rPr>
                <w:sz w:val="14"/>
              </w:rPr>
            </w:pPr>
            <w:r>
              <w:rPr>
                <w:spacing w:val="-2"/>
                <w:sz w:val="14"/>
              </w:rPr>
              <w:t>1,345.00</w:t>
            </w:r>
          </w:p>
        </w:tc>
        <w:tc>
          <w:tcPr>
            <w:tcW w:w="861" w:type="dxa"/>
          </w:tcPr>
          <w:p>
            <w:pPr>
              <w:pStyle w:val="TableParagraph"/>
              <w:spacing w:line="140" w:lineRule="exact" w:before="15"/>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Multi</w:t>
            </w:r>
            <w:r>
              <w:rPr>
                <w:spacing w:val="-4"/>
                <w:sz w:val="14"/>
              </w:rPr>
              <w:t> </w:t>
            </w:r>
            <w:r>
              <w:rPr>
                <w:sz w:val="14"/>
              </w:rPr>
              <w:t>Dwelling/lots</w:t>
            </w:r>
            <w:r>
              <w:rPr>
                <w:spacing w:val="-6"/>
                <w:sz w:val="14"/>
              </w:rPr>
              <w:t> </w:t>
            </w:r>
            <w:r>
              <w:rPr>
                <w:sz w:val="14"/>
              </w:rPr>
              <w:t>-</w:t>
            </w:r>
            <w:r>
              <w:rPr>
                <w:spacing w:val="-4"/>
                <w:sz w:val="14"/>
              </w:rPr>
              <w:t> </w:t>
            </w:r>
            <w:r>
              <w:rPr>
                <w:spacing w:val="-5"/>
                <w:sz w:val="14"/>
              </w:rPr>
              <w:t>10+</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1,500.00</w:t>
            </w:r>
          </w:p>
        </w:tc>
        <w:tc>
          <w:tcPr>
            <w:tcW w:w="995" w:type="dxa"/>
          </w:tcPr>
          <w:p>
            <w:pPr>
              <w:pStyle w:val="TableParagraph"/>
              <w:spacing w:line="140" w:lineRule="exact" w:before="17"/>
              <w:ind w:right="101"/>
              <w:jc w:val="right"/>
              <w:rPr>
                <w:sz w:val="14"/>
              </w:rPr>
            </w:pPr>
            <w:r>
              <w:rPr>
                <w:spacing w:val="-2"/>
                <w:sz w:val="14"/>
              </w:rPr>
              <w:t>1,615.00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Multi</w:t>
            </w:r>
            <w:r>
              <w:rPr>
                <w:spacing w:val="-6"/>
                <w:sz w:val="14"/>
              </w:rPr>
              <w:t> </w:t>
            </w:r>
            <w:r>
              <w:rPr>
                <w:sz w:val="14"/>
              </w:rPr>
              <w:t>storey</w:t>
            </w:r>
            <w:r>
              <w:rPr>
                <w:spacing w:val="-6"/>
                <w:sz w:val="14"/>
              </w:rPr>
              <w:t> </w:t>
            </w:r>
            <w:r>
              <w:rPr>
                <w:sz w:val="14"/>
              </w:rPr>
              <w:t>complex/commercial</w:t>
            </w:r>
            <w:r>
              <w:rPr>
                <w:spacing w:val="-7"/>
                <w:sz w:val="14"/>
              </w:rPr>
              <w:t> </w:t>
            </w:r>
            <w:r>
              <w:rPr>
                <w:spacing w:val="-2"/>
                <w:sz w:val="14"/>
              </w:rPr>
              <w:t>development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2,500.00</w:t>
            </w:r>
          </w:p>
        </w:tc>
        <w:tc>
          <w:tcPr>
            <w:tcW w:w="995" w:type="dxa"/>
          </w:tcPr>
          <w:p>
            <w:pPr>
              <w:pStyle w:val="TableParagraph"/>
              <w:spacing w:line="140" w:lineRule="exact" w:before="17"/>
              <w:ind w:right="101"/>
              <w:jc w:val="right"/>
              <w:rPr>
                <w:sz w:val="14"/>
              </w:rPr>
            </w:pPr>
            <w:r>
              <w:rPr>
                <w:spacing w:val="-2"/>
                <w:sz w:val="14"/>
              </w:rPr>
              <w:t>2,690.00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Fee-Asset</w:t>
            </w:r>
            <w:r>
              <w:rPr>
                <w:spacing w:val="-10"/>
                <w:sz w:val="14"/>
              </w:rPr>
              <w:t> </w:t>
            </w:r>
            <w:r>
              <w:rPr>
                <w:spacing w:val="-2"/>
                <w:sz w:val="14"/>
              </w:rPr>
              <w:t>Protection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1,000.00</w:t>
            </w:r>
          </w:p>
        </w:tc>
        <w:tc>
          <w:tcPr>
            <w:tcW w:w="995" w:type="dxa"/>
          </w:tcPr>
          <w:p>
            <w:pPr>
              <w:pStyle w:val="TableParagraph"/>
              <w:spacing w:line="140" w:lineRule="exact" w:before="17"/>
              <w:ind w:right="101"/>
              <w:jc w:val="right"/>
              <w:rPr>
                <w:sz w:val="14"/>
              </w:rPr>
            </w:pPr>
            <w:r>
              <w:rPr>
                <w:spacing w:val="-2"/>
                <w:sz w:val="14"/>
              </w:rPr>
              <w:t>1,075.00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Service</w:t>
            </w:r>
            <w:r>
              <w:rPr>
                <w:b/>
                <w:spacing w:val="-8"/>
                <w:sz w:val="14"/>
              </w:rPr>
              <w:t> </w:t>
            </w:r>
            <w:r>
              <w:rPr>
                <w:b/>
                <w:sz w:val="14"/>
              </w:rPr>
              <w:t>Authority</w:t>
            </w:r>
            <w:r>
              <w:rPr>
                <w:b/>
                <w:spacing w:val="-8"/>
                <w:sz w:val="14"/>
              </w:rPr>
              <w:t> </w:t>
            </w:r>
            <w:r>
              <w:rPr>
                <w:b/>
                <w:spacing w:val="-2"/>
                <w:sz w:val="14"/>
              </w:rPr>
              <w:t>Inspections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Permit</w:t>
            </w:r>
            <w:r>
              <w:rPr>
                <w:spacing w:val="-6"/>
                <w:sz w:val="14"/>
              </w:rPr>
              <w:t> </w:t>
            </w:r>
            <w:r>
              <w:rPr>
                <w:spacing w:val="-2"/>
                <w:sz w:val="14"/>
              </w:rPr>
              <w:t>Income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100.00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327"/>
              <w:rPr>
                <w:sz w:val="14"/>
              </w:rPr>
            </w:pPr>
            <w:r>
              <w:rPr>
                <w:spacing w:val="-5"/>
                <w:sz w:val="14"/>
              </w:rPr>
              <w:t>0.0</w:t>
            </w:r>
          </w:p>
        </w:tc>
      </w:tr>
      <w:tr>
        <w:trPr>
          <w:trHeight w:val="267" w:hRule="atLeast"/>
        </w:trPr>
        <w:tc>
          <w:tcPr>
            <w:tcW w:w="5794" w:type="dxa"/>
            <w:tcBorders>
              <w:bottom w:val="single" w:sz="18" w:space="0" w:color="000000"/>
            </w:tcBorders>
            <w:shd w:val="clear" w:color="auto" w:fill="D8D8D8"/>
          </w:tcPr>
          <w:p>
            <w:pPr>
              <w:pStyle w:val="TableParagraph"/>
              <w:spacing w:line="214" w:lineRule="exact" w:before="33"/>
              <w:ind w:left="170"/>
              <w:rPr>
                <w:b/>
                <w:sz w:val="22"/>
              </w:rPr>
            </w:pPr>
            <w:r>
              <w:rPr>
                <w:b/>
                <w:sz w:val="22"/>
              </w:rPr>
              <w:t>Community</w:t>
            </w:r>
            <w:r>
              <w:rPr>
                <w:b/>
                <w:spacing w:val="-5"/>
                <w:sz w:val="22"/>
              </w:rPr>
              <w:t> </w:t>
            </w:r>
            <w:r>
              <w:rPr>
                <w:b/>
                <w:spacing w:val="-2"/>
                <w:sz w:val="22"/>
              </w:rPr>
              <w:t>Safety</w:t>
            </w:r>
          </w:p>
        </w:tc>
        <w:tc>
          <w:tcPr>
            <w:tcW w:w="1131" w:type="dxa"/>
            <w:shd w:val="clear" w:color="auto" w:fill="D8D8D8"/>
          </w:tcPr>
          <w:p>
            <w:pPr>
              <w:pStyle w:val="TableParagraph"/>
              <w:rPr>
                <w:rFonts w:ascii="Times New Roman"/>
                <w:sz w:val="12"/>
              </w:rPr>
            </w:pPr>
          </w:p>
        </w:tc>
        <w:tc>
          <w:tcPr>
            <w:tcW w:w="567" w:type="dxa"/>
            <w:shd w:val="clear" w:color="auto" w:fill="D8D8D8"/>
          </w:tcPr>
          <w:p>
            <w:pPr>
              <w:pStyle w:val="TableParagraph"/>
              <w:rPr>
                <w:rFonts w:ascii="Times New Roman"/>
                <w:sz w:val="12"/>
              </w:rPr>
            </w:pPr>
          </w:p>
        </w:tc>
        <w:tc>
          <w:tcPr>
            <w:tcW w:w="997" w:type="dxa"/>
            <w:shd w:val="clear" w:color="auto" w:fill="D8D8D8"/>
          </w:tcPr>
          <w:p>
            <w:pPr>
              <w:pStyle w:val="TableParagraph"/>
              <w:rPr>
                <w:rFonts w:ascii="Times New Roman"/>
                <w:sz w:val="12"/>
              </w:rPr>
            </w:pPr>
          </w:p>
        </w:tc>
        <w:tc>
          <w:tcPr>
            <w:tcW w:w="995" w:type="dxa"/>
            <w:shd w:val="clear" w:color="auto" w:fill="D8D8D8"/>
          </w:tcPr>
          <w:p>
            <w:pPr>
              <w:pStyle w:val="TableParagraph"/>
              <w:rPr>
                <w:rFonts w:ascii="Times New Roman"/>
                <w:sz w:val="12"/>
              </w:rPr>
            </w:pPr>
          </w:p>
        </w:tc>
        <w:tc>
          <w:tcPr>
            <w:tcW w:w="861" w:type="dxa"/>
            <w:shd w:val="clear" w:color="auto" w:fill="D8D8D8"/>
          </w:tcPr>
          <w:p>
            <w:pPr>
              <w:pStyle w:val="TableParagraph"/>
              <w:rPr>
                <w:rFonts w:ascii="Times New Roman"/>
                <w:sz w:val="12"/>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Local</w:t>
            </w:r>
            <w:r>
              <w:rPr>
                <w:b/>
                <w:spacing w:val="-5"/>
                <w:sz w:val="14"/>
              </w:rPr>
              <w:t> </w:t>
            </w:r>
            <w:r>
              <w:rPr>
                <w:b/>
                <w:spacing w:val="-4"/>
                <w:sz w:val="14"/>
              </w:rPr>
              <w:t>Laws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9" w:hRule="atLeast"/>
        </w:trPr>
        <w:tc>
          <w:tcPr>
            <w:tcW w:w="5794" w:type="dxa"/>
          </w:tcPr>
          <w:p>
            <w:pPr>
              <w:pStyle w:val="TableParagraph"/>
              <w:spacing w:line="150" w:lineRule="exact" w:before="10"/>
              <w:ind w:left="107"/>
              <w:rPr>
                <w:sz w:val="14"/>
              </w:rPr>
            </w:pPr>
            <w:r>
              <w:rPr>
                <w:sz w:val="14"/>
              </w:rPr>
              <w:t>Community</w:t>
            </w:r>
            <w:r>
              <w:rPr>
                <w:spacing w:val="-3"/>
                <w:sz w:val="14"/>
              </w:rPr>
              <w:t> </w:t>
            </w:r>
            <w:r>
              <w:rPr>
                <w:sz w:val="14"/>
              </w:rPr>
              <w:t>Local</w:t>
            </w:r>
            <w:r>
              <w:rPr>
                <w:spacing w:val="-4"/>
                <w:sz w:val="14"/>
              </w:rPr>
              <w:t> </w:t>
            </w:r>
            <w:r>
              <w:rPr>
                <w:sz w:val="14"/>
              </w:rPr>
              <w:t>Law</w:t>
            </w:r>
            <w:r>
              <w:rPr>
                <w:spacing w:val="-1"/>
                <w:sz w:val="14"/>
              </w:rPr>
              <w:t> </w:t>
            </w:r>
            <w:r>
              <w:rPr>
                <w:sz w:val="14"/>
              </w:rPr>
              <w:t>-</w:t>
            </w:r>
            <w:r>
              <w:rPr>
                <w:spacing w:val="-6"/>
                <w:sz w:val="14"/>
              </w:rPr>
              <w:t> </w:t>
            </w:r>
            <w:r>
              <w:rPr>
                <w:sz w:val="14"/>
              </w:rPr>
              <w:t>Infringement</w:t>
            </w:r>
            <w:r>
              <w:rPr>
                <w:spacing w:val="-6"/>
                <w:sz w:val="14"/>
              </w:rPr>
              <w:t> </w:t>
            </w:r>
            <w:r>
              <w:rPr>
                <w:sz w:val="14"/>
              </w:rPr>
              <w:t>Notice</w:t>
            </w:r>
            <w:r>
              <w:rPr>
                <w:spacing w:val="-3"/>
                <w:sz w:val="14"/>
              </w:rPr>
              <w:t> </w:t>
            </w:r>
            <w:r>
              <w:rPr>
                <w:sz w:val="14"/>
              </w:rPr>
              <w:t>-</w:t>
            </w:r>
            <w:r>
              <w:rPr>
                <w:spacing w:val="-2"/>
                <w:sz w:val="14"/>
              </w:rPr>
              <w:t> </w:t>
            </w:r>
            <w:r>
              <w:rPr>
                <w:sz w:val="14"/>
              </w:rPr>
              <w:t>1</w:t>
            </w:r>
            <w:r>
              <w:rPr>
                <w:spacing w:val="-5"/>
                <w:sz w:val="14"/>
              </w:rPr>
              <w:t> </w:t>
            </w:r>
            <w:r>
              <w:rPr>
                <w:sz w:val="14"/>
              </w:rPr>
              <w:t>Penalty</w:t>
            </w:r>
            <w:r>
              <w:rPr>
                <w:spacing w:val="-3"/>
                <w:sz w:val="14"/>
              </w:rPr>
              <w:t> </w:t>
            </w:r>
            <w:r>
              <w:rPr>
                <w:spacing w:val="-4"/>
                <w:sz w:val="14"/>
              </w:rPr>
              <w:t>Unit</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90"/>
              <w:rPr>
                <w:sz w:val="14"/>
              </w:rPr>
            </w:pPr>
            <w:r>
              <w:rPr>
                <w:spacing w:val="-5"/>
                <w:sz w:val="14"/>
              </w:rPr>
              <w:t>No</w:t>
            </w:r>
          </w:p>
        </w:tc>
        <w:tc>
          <w:tcPr>
            <w:tcW w:w="997" w:type="dxa"/>
          </w:tcPr>
          <w:p>
            <w:pPr>
              <w:pStyle w:val="TableParagraph"/>
              <w:spacing w:line="140" w:lineRule="exact" w:before="19"/>
              <w:ind w:right="100"/>
              <w:jc w:val="right"/>
              <w:rPr>
                <w:sz w:val="14"/>
              </w:rPr>
            </w:pPr>
            <w:r>
              <w:rPr>
                <w:spacing w:val="-2"/>
                <w:sz w:val="14"/>
              </w:rPr>
              <w:t>192.00</w:t>
            </w:r>
          </w:p>
        </w:tc>
        <w:tc>
          <w:tcPr>
            <w:tcW w:w="995" w:type="dxa"/>
          </w:tcPr>
          <w:p>
            <w:pPr>
              <w:pStyle w:val="TableParagraph"/>
              <w:spacing w:line="140" w:lineRule="exact" w:before="19"/>
              <w:ind w:right="102"/>
              <w:jc w:val="right"/>
              <w:rPr>
                <w:sz w:val="14"/>
              </w:rPr>
            </w:pPr>
            <w:r>
              <w:rPr>
                <w:spacing w:val="-2"/>
                <w:sz w:val="14"/>
              </w:rPr>
              <w:t>198.00</w:t>
            </w:r>
          </w:p>
        </w:tc>
        <w:tc>
          <w:tcPr>
            <w:tcW w:w="861" w:type="dxa"/>
          </w:tcPr>
          <w:p>
            <w:pPr>
              <w:pStyle w:val="TableParagraph"/>
              <w:spacing w:line="140" w:lineRule="exact" w:before="19"/>
              <w:ind w:left="327"/>
              <w:rPr>
                <w:sz w:val="14"/>
              </w:rPr>
            </w:pPr>
            <w:r>
              <w:rPr>
                <w:spacing w:val="-5"/>
                <w:sz w:val="14"/>
              </w:rPr>
              <w:t>3.0</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for</w:t>
            </w:r>
            <w:r>
              <w:rPr>
                <w:spacing w:val="-2"/>
                <w:sz w:val="14"/>
              </w:rPr>
              <w:t> </w:t>
            </w:r>
            <w:r>
              <w:rPr>
                <w:sz w:val="14"/>
              </w:rPr>
              <w:t>Footpath</w:t>
            </w:r>
            <w:r>
              <w:rPr>
                <w:spacing w:val="-3"/>
                <w:sz w:val="14"/>
              </w:rPr>
              <w:t> </w:t>
            </w:r>
            <w:r>
              <w:rPr>
                <w:sz w:val="14"/>
              </w:rPr>
              <w:t>Trading</w:t>
            </w:r>
            <w:r>
              <w:rPr>
                <w:spacing w:val="-2"/>
                <w:sz w:val="14"/>
              </w:rPr>
              <w:t> </w:t>
            </w:r>
            <w:r>
              <w:rPr>
                <w:sz w:val="14"/>
              </w:rPr>
              <w:t>-</w:t>
            </w:r>
            <w:r>
              <w:rPr>
                <w:spacing w:val="-3"/>
                <w:sz w:val="14"/>
              </w:rPr>
              <w:t> </w:t>
            </w:r>
            <w:r>
              <w:rPr>
                <w:sz w:val="14"/>
              </w:rPr>
              <w:t>1</w:t>
            </w:r>
            <w:r>
              <w:rPr>
                <w:spacing w:val="-5"/>
                <w:sz w:val="14"/>
              </w:rPr>
              <w:t> </w:t>
            </w:r>
            <w:r>
              <w:rPr>
                <w:spacing w:val="-2"/>
                <w:sz w:val="14"/>
              </w:rPr>
              <w:t>categories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143.00</w:t>
            </w:r>
          </w:p>
        </w:tc>
        <w:tc>
          <w:tcPr>
            <w:tcW w:w="995" w:type="dxa"/>
          </w:tcPr>
          <w:p>
            <w:pPr>
              <w:pStyle w:val="TableParagraph"/>
              <w:spacing w:line="140" w:lineRule="exact" w:before="17"/>
              <w:ind w:right="102"/>
              <w:jc w:val="right"/>
              <w:rPr>
                <w:sz w:val="14"/>
              </w:rPr>
            </w:pPr>
            <w:r>
              <w:rPr>
                <w:spacing w:val="-2"/>
                <w:sz w:val="14"/>
              </w:rPr>
              <w:t>154.00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for</w:t>
            </w:r>
            <w:r>
              <w:rPr>
                <w:spacing w:val="-2"/>
                <w:sz w:val="14"/>
              </w:rPr>
              <w:t> </w:t>
            </w:r>
            <w:r>
              <w:rPr>
                <w:sz w:val="14"/>
              </w:rPr>
              <w:t>Footpath</w:t>
            </w:r>
            <w:r>
              <w:rPr>
                <w:spacing w:val="-3"/>
                <w:sz w:val="14"/>
              </w:rPr>
              <w:t> </w:t>
            </w:r>
            <w:r>
              <w:rPr>
                <w:sz w:val="14"/>
              </w:rPr>
              <w:t>Trading</w:t>
            </w:r>
            <w:r>
              <w:rPr>
                <w:spacing w:val="-2"/>
                <w:sz w:val="14"/>
              </w:rPr>
              <w:t> </w:t>
            </w:r>
            <w:r>
              <w:rPr>
                <w:sz w:val="14"/>
              </w:rPr>
              <w:t>-</w:t>
            </w:r>
            <w:r>
              <w:rPr>
                <w:spacing w:val="-3"/>
                <w:sz w:val="14"/>
              </w:rPr>
              <w:t> </w:t>
            </w:r>
            <w:r>
              <w:rPr>
                <w:sz w:val="14"/>
              </w:rPr>
              <w:t>2</w:t>
            </w:r>
            <w:r>
              <w:rPr>
                <w:spacing w:val="-5"/>
                <w:sz w:val="14"/>
              </w:rPr>
              <w:t> </w:t>
            </w:r>
            <w:r>
              <w:rPr>
                <w:spacing w:val="-2"/>
                <w:sz w:val="14"/>
              </w:rPr>
              <w:t>categories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250.00</w:t>
            </w:r>
          </w:p>
        </w:tc>
        <w:tc>
          <w:tcPr>
            <w:tcW w:w="995" w:type="dxa"/>
          </w:tcPr>
          <w:p>
            <w:pPr>
              <w:pStyle w:val="TableParagraph"/>
              <w:spacing w:line="140" w:lineRule="exact" w:before="17"/>
              <w:ind w:right="102"/>
              <w:jc w:val="right"/>
              <w:rPr>
                <w:sz w:val="14"/>
              </w:rPr>
            </w:pPr>
            <w:r>
              <w:rPr>
                <w:spacing w:val="-2"/>
                <w:sz w:val="14"/>
              </w:rPr>
              <w:t>269.00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for</w:t>
            </w:r>
            <w:r>
              <w:rPr>
                <w:spacing w:val="-2"/>
                <w:sz w:val="14"/>
              </w:rPr>
              <w:t> </w:t>
            </w:r>
            <w:r>
              <w:rPr>
                <w:sz w:val="14"/>
              </w:rPr>
              <w:t>Footpath</w:t>
            </w:r>
            <w:r>
              <w:rPr>
                <w:spacing w:val="-3"/>
                <w:sz w:val="14"/>
              </w:rPr>
              <w:t> </w:t>
            </w:r>
            <w:r>
              <w:rPr>
                <w:sz w:val="14"/>
              </w:rPr>
              <w:t>Trading</w:t>
            </w:r>
            <w:r>
              <w:rPr>
                <w:spacing w:val="-2"/>
                <w:sz w:val="14"/>
              </w:rPr>
              <w:t> </w:t>
            </w:r>
            <w:r>
              <w:rPr>
                <w:sz w:val="14"/>
              </w:rPr>
              <w:t>-</w:t>
            </w:r>
            <w:r>
              <w:rPr>
                <w:spacing w:val="-3"/>
                <w:sz w:val="14"/>
              </w:rPr>
              <w:t> </w:t>
            </w:r>
            <w:r>
              <w:rPr>
                <w:sz w:val="14"/>
              </w:rPr>
              <w:t>3</w:t>
            </w:r>
            <w:r>
              <w:rPr>
                <w:spacing w:val="-5"/>
                <w:sz w:val="14"/>
              </w:rPr>
              <w:t> </w:t>
            </w:r>
            <w:r>
              <w:rPr>
                <w:spacing w:val="-2"/>
                <w:sz w:val="14"/>
              </w:rPr>
              <w:t>categories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395.00</w:t>
            </w:r>
          </w:p>
        </w:tc>
        <w:tc>
          <w:tcPr>
            <w:tcW w:w="995" w:type="dxa"/>
          </w:tcPr>
          <w:p>
            <w:pPr>
              <w:pStyle w:val="TableParagraph"/>
              <w:spacing w:line="140" w:lineRule="exact" w:before="17"/>
              <w:ind w:right="102"/>
              <w:jc w:val="right"/>
              <w:rPr>
                <w:sz w:val="14"/>
              </w:rPr>
            </w:pPr>
            <w:r>
              <w:rPr>
                <w:spacing w:val="-2"/>
                <w:sz w:val="14"/>
              </w:rPr>
              <w:t>425.00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Footpath</w:t>
            </w:r>
            <w:r>
              <w:rPr>
                <w:spacing w:val="-5"/>
                <w:sz w:val="14"/>
              </w:rPr>
              <w:t> </w:t>
            </w:r>
            <w:r>
              <w:rPr>
                <w:sz w:val="14"/>
              </w:rPr>
              <w:t>Trading</w:t>
            </w:r>
            <w:r>
              <w:rPr>
                <w:spacing w:val="-2"/>
                <w:sz w:val="14"/>
              </w:rPr>
              <w:t> </w:t>
            </w:r>
            <w:r>
              <w:rPr>
                <w:sz w:val="14"/>
              </w:rPr>
              <w:t>area</w:t>
            </w:r>
            <w:r>
              <w:rPr>
                <w:spacing w:val="-4"/>
                <w:sz w:val="14"/>
              </w:rPr>
              <w:t> </w:t>
            </w:r>
            <w:r>
              <w:rPr>
                <w:sz w:val="14"/>
              </w:rPr>
              <w:t>in</w:t>
            </w:r>
            <w:r>
              <w:rPr>
                <w:spacing w:val="-1"/>
                <w:sz w:val="14"/>
              </w:rPr>
              <w:t> </w:t>
            </w:r>
            <w:r>
              <w:rPr>
                <w:sz w:val="14"/>
              </w:rPr>
              <w:t>excess</w:t>
            </w:r>
            <w:r>
              <w:rPr>
                <w:spacing w:val="-5"/>
                <w:sz w:val="14"/>
              </w:rPr>
              <w:t> </w:t>
            </w:r>
            <w:r>
              <w:rPr>
                <w:sz w:val="14"/>
              </w:rPr>
              <w:t>of</w:t>
            </w:r>
            <w:r>
              <w:rPr>
                <w:spacing w:val="-3"/>
                <w:sz w:val="14"/>
              </w:rPr>
              <w:t> </w:t>
            </w:r>
            <w:r>
              <w:rPr>
                <w:sz w:val="14"/>
              </w:rPr>
              <w:t>6m2</w:t>
            </w:r>
            <w:r>
              <w:rPr>
                <w:spacing w:val="-5"/>
                <w:sz w:val="14"/>
              </w:rPr>
              <w:t> </w:t>
            </w:r>
            <w:r>
              <w:rPr>
                <w:sz w:val="14"/>
              </w:rPr>
              <w:t>(per</w:t>
            </w:r>
            <w:r>
              <w:rPr>
                <w:spacing w:val="-2"/>
                <w:sz w:val="14"/>
              </w:rPr>
              <w:t> </w:t>
            </w:r>
            <w:r>
              <w:rPr>
                <w:sz w:val="14"/>
              </w:rPr>
              <w:t>square</w:t>
            </w:r>
            <w:r>
              <w:rPr>
                <w:spacing w:val="-6"/>
                <w:sz w:val="14"/>
              </w:rPr>
              <w:t> </w:t>
            </w:r>
            <w:r>
              <w:rPr>
                <w:spacing w:val="-2"/>
                <w:sz w:val="14"/>
              </w:rPr>
              <w:t>metre)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40.00</w:t>
            </w:r>
          </w:p>
        </w:tc>
        <w:tc>
          <w:tcPr>
            <w:tcW w:w="995" w:type="dxa"/>
          </w:tcPr>
          <w:p>
            <w:pPr>
              <w:pStyle w:val="TableParagraph"/>
              <w:spacing w:line="140" w:lineRule="exact" w:before="17"/>
              <w:ind w:right="101"/>
              <w:jc w:val="right"/>
              <w:rPr>
                <w:sz w:val="14"/>
              </w:rPr>
            </w:pPr>
            <w:r>
              <w:rPr>
                <w:spacing w:val="-2"/>
                <w:sz w:val="14"/>
              </w:rPr>
              <w:t>43.00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Permit</w:t>
            </w:r>
            <w:r>
              <w:rPr>
                <w:spacing w:val="-4"/>
                <w:sz w:val="14"/>
              </w:rPr>
              <w:t> </w:t>
            </w:r>
            <w:r>
              <w:rPr>
                <w:sz w:val="14"/>
              </w:rPr>
              <w:t>for</w:t>
            </w:r>
            <w:r>
              <w:rPr>
                <w:spacing w:val="-4"/>
                <w:sz w:val="14"/>
              </w:rPr>
              <w:t> </w:t>
            </w:r>
            <w:r>
              <w:rPr>
                <w:sz w:val="14"/>
              </w:rPr>
              <w:t>Commercial</w:t>
            </w:r>
            <w:r>
              <w:rPr>
                <w:spacing w:val="-2"/>
                <w:sz w:val="14"/>
              </w:rPr>
              <w:t> </w:t>
            </w:r>
            <w:r>
              <w:rPr>
                <w:sz w:val="14"/>
              </w:rPr>
              <w:t>waste</w:t>
            </w:r>
            <w:r>
              <w:rPr>
                <w:spacing w:val="-5"/>
                <w:sz w:val="14"/>
              </w:rPr>
              <w:t> </w:t>
            </w:r>
            <w:r>
              <w:rPr>
                <w:sz w:val="14"/>
              </w:rPr>
              <w:t>bin</w:t>
            </w:r>
            <w:r>
              <w:rPr>
                <w:spacing w:val="-1"/>
                <w:sz w:val="14"/>
              </w:rPr>
              <w:t> </w:t>
            </w:r>
            <w:r>
              <w:rPr>
                <w:sz w:val="14"/>
              </w:rPr>
              <w:t>on</w:t>
            </w:r>
            <w:r>
              <w:rPr>
                <w:spacing w:val="-5"/>
                <w:sz w:val="14"/>
              </w:rPr>
              <w:t> </w:t>
            </w:r>
            <w:r>
              <w:rPr>
                <w:sz w:val="14"/>
              </w:rPr>
              <w:t>Council</w:t>
            </w:r>
            <w:r>
              <w:rPr>
                <w:spacing w:val="-5"/>
                <w:sz w:val="14"/>
              </w:rPr>
              <w:t> </w:t>
            </w:r>
            <w:r>
              <w:rPr>
                <w:sz w:val="14"/>
              </w:rPr>
              <w:t>land</w:t>
            </w:r>
            <w:r>
              <w:rPr>
                <w:spacing w:val="-2"/>
                <w:sz w:val="14"/>
              </w:rPr>
              <w:t> </w:t>
            </w:r>
            <w:r>
              <w:rPr>
                <w:sz w:val="14"/>
              </w:rPr>
              <w:t>(per</w:t>
            </w:r>
            <w:r>
              <w:rPr>
                <w:spacing w:val="-2"/>
                <w:sz w:val="14"/>
              </w:rPr>
              <w:t> </w:t>
            </w:r>
            <w:r>
              <w:rPr>
                <w:sz w:val="14"/>
              </w:rPr>
              <w:t>annum/per</w:t>
            </w:r>
            <w:r>
              <w:rPr>
                <w:spacing w:val="-5"/>
                <w:sz w:val="14"/>
              </w:rPr>
              <w:t> </w:t>
            </w:r>
            <w:r>
              <w:rPr>
                <w:spacing w:val="-4"/>
                <w:sz w:val="14"/>
              </w:rPr>
              <w:t>bin)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260.00</w:t>
            </w:r>
          </w:p>
        </w:tc>
        <w:tc>
          <w:tcPr>
            <w:tcW w:w="995" w:type="dxa"/>
          </w:tcPr>
          <w:p>
            <w:pPr>
              <w:pStyle w:val="TableParagraph"/>
              <w:spacing w:line="140" w:lineRule="exact" w:before="17"/>
              <w:ind w:right="102"/>
              <w:jc w:val="right"/>
              <w:rPr>
                <w:sz w:val="14"/>
              </w:rPr>
            </w:pPr>
            <w:r>
              <w:rPr>
                <w:spacing w:val="-2"/>
                <w:sz w:val="14"/>
              </w:rPr>
              <w:t>280.00</w:t>
            </w:r>
          </w:p>
        </w:tc>
        <w:tc>
          <w:tcPr>
            <w:tcW w:w="861" w:type="dxa"/>
          </w:tcPr>
          <w:p>
            <w:pPr>
              <w:pStyle w:val="TableParagraph"/>
              <w:spacing w:line="140" w:lineRule="exact" w:before="17"/>
              <w:ind w:left="327"/>
              <w:rPr>
                <w:sz w:val="14"/>
              </w:rPr>
            </w:pPr>
            <w:r>
              <w:rPr>
                <w:spacing w:val="-5"/>
                <w:sz w:val="14"/>
              </w:rPr>
              <w:t>7.1</w:t>
            </w:r>
          </w:p>
        </w:tc>
      </w:tr>
      <w:tr>
        <w:trPr>
          <w:trHeight w:val="373" w:hRule="atLeast"/>
        </w:trPr>
        <w:tc>
          <w:tcPr>
            <w:tcW w:w="5794" w:type="dxa"/>
          </w:tcPr>
          <w:p>
            <w:pPr>
              <w:pStyle w:val="TableParagraph"/>
              <w:spacing w:line="160" w:lineRule="atLeast" w:before="33"/>
              <w:ind w:left="107" w:right="174"/>
              <w:rPr>
                <w:sz w:val="14"/>
              </w:rPr>
            </w:pPr>
            <w:r>
              <w:rPr>
                <w:sz w:val="14"/>
              </w:rPr>
              <w:t>Permit</w:t>
            </w:r>
            <w:r>
              <w:rPr>
                <w:spacing w:val="-3"/>
                <w:sz w:val="14"/>
              </w:rPr>
              <w:t> </w:t>
            </w:r>
            <w:r>
              <w:rPr>
                <w:sz w:val="14"/>
              </w:rPr>
              <w:t>for</w:t>
            </w:r>
            <w:r>
              <w:rPr>
                <w:spacing w:val="-4"/>
                <w:sz w:val="14"/>
              </w:rPr>
              <w:t> </w:t>
            </w:r>
            <w:r>
              <w:rPr>
                <w:sz w:val="14"/>
              </w:rPr>
              <w:t>skip</w:t>
            </w:r>
            <w:r>
              <w:rPr>
                <w:spacing w:val="-3"/>
                <w:sz w:val="14"/>
              </w:rPr>
              <w:t> </w:t>
            </w:r>
            <w:r>
              <w:rPr>
                <w:sz w:val="14"/>
              </w:rPr>
              <w:t>bin</w:t>
            </w:r>
            <w:r>
              <w:rPr>
                <w:spacing w:val="-4"/>
                <w:sz w:val="14"/>
              </w:rPr>
              <w:t> </w:t>
            </w:r>
            <w:r>
              <w:rPr>
                <w:sz w:val="14"/>
              </w:rPr>
              <w:t>to</w:t>
            </w:r>
            <w:r>
              <w:rPr>
                <w:spacing w:val="-3"/>
                <w:sz w:val="14"/>
              </w:rPr>
              <w:t> </w:t>
            </w:r>
            <w:r>
              <w:rPr>
                <w:sz w:val="14"/>
              </w:rPr>
              <w:t>be</w:t>
            </w:r>
            <w:r>
              <w:rPr>
                <w:spacing w:val="-5"/>
                <w:sz w:val="14"/>
              </w:rPr>
              <w:t> </w:t>
            </w:r>
            <w:r>
              <w:rPr>
                <w:sz w:val="14"/>
              </w:rPr>
              <w:t>left</w:t>
            </w:r>
            <w:r>
              <w:rPr>
                <w:spacing w:val="-3"/>
                <w:sz w:val="14"/>
              </w:rPr>
              <w:t> </w:t>
            </w:r>
            <w:r>
              <w:rPr>
                <w:sz w:val="14"/>
              </w:rPr>
              <w:t>on</w:t>
            </w:r>
            <w:r>
              <w:rPr>
                <w:spacing w:val="-2"/>
                <w:sz w:val="14"/>
              </w:rPr>
              <w:t> </w:t>
            </w:r>
            <w:r>
              <w:rPr>
                <w:sz w:val="14"/>
              </w:rPr>
              <w:t>nature</w:t>
            </w:r>
            <w:r>
              <w:rPr>
                <w:spacing w:val="-3"/>
                <w:sz w:val="14"/>
              </w:rPr>
              <w:t> </w:t>
            </w:r>
            <w:r>
              <w:rPr>
                <w:sz w:val="14"/>
              </w:rPr>
              <w:t>strip</w:t>
            </w:r>
            <w:r>
              <w:rPr>
                <w:spacing w:val="-4"/>
                <w:sz w:val="14"/>
              </w:rPr>
              <w:t> </w:t>
            </w:r>
            <w:r>
              <w:rPr>
                <w:sz w:val="14"/>
              </w:rPr>
              <w:t>Contractor</w:t>
            </w:r>
            <w:r>
              <w:rPr>
                <w:spacing w:val="-4"/>
                <w:sz w:val="14"/>
              </w:rPr>
              <w:t> </w:t>
            </w:r>
            <w:r>
              <w:rPr>
                <w:sz w:val="14"/>
              </w:rPr>
              <w:t>-</w:t>
            </w:r>
            <w:r>
              <w:rPr>
                <w:spacing w:val="-1"/>
                <w:sz w:val="14"/>
              </w:rPr>
              <w:t> </w:t>
            </w:r>
            <w:r>
              <w:rPr>
                <w:sz w:val="14"/>
              </w:rPr>
              <w:t>not</w:t>
            </w:r>
            <w:r>
              <w:rPr>
                <w:spacing w:val="-4"/>
                <w:sz w:val="14"/>
              </w:rPr>
              <w:t> </w:t>
            </w:r>
            <w:r>
              <w:rPr>
                <w:sz w:val="14"/>
              </w:rPr>
              <w:t>individual person</w:t>
            </w:r>
            <w:r>
              <w:rPr>
                <w:spacing w:val="-5"/>
                <w:sz w:val="14"/>
              </w:rPr>
              <w:t> </w:t>
            </w:r>
            <w:r>
              <w:rPr>
                <w:sz w:val="14"/>
              </w:rPr>
              <w:t>1 to</w:t>
            </w:r>
            <w:r>
              <w:rPr>
                <w:spacing w:val="-3"/>
                <w:sz w:val="14"/>
              </w:rPr>
              <w:t> </w:t>
            </w:r>
            <w:r>
              <w:rPr>
                <w:sz w:val="14"/>
              </w:rPr>
              <w:t>3</w:t>
            </w:r>
            <w:r>
              <w:rPr>
                <w:spacing w:val="-2"/>
                <w:sz w:val="14"/>
              </w:rPr>
              <w:t> </w:t>
            </w:r>
            <w:r>
              <w:rPr>
                <w:sz w:val="14"/>
              </w:rPr>
              <w:t>days</w:t>
            </w:r>
            <w:r>
              <w:rPr>
                <w:spacing w:val="40"/>
                <w:sz w:val="14"/>
              </w:rPr>
              <w:t> </w:t>
            </w:r>
            <w:r>
              <w:rPr>
                <w:sz w:val="14"/>
              </w:rPr>
              <w:t>(per</w:t>
            </w:r>
            <w:r>
              <w:rPr>
                <w:spacing w:val="-8"/>
                <w:sz w:val="14"/>
              </w:rPr>
              <w:t> </w:t>
            </w:r>
            <w:r>
              <w:rPr>
                <w:sz w:val="14"/>
              </w:rPr>
              <w:t>bin)</w:t>
            </w:r>
          </w:p>
        </w:tc>
        <w:tc>
          <w:tcPr>
            <w:tcW w:w="1131" w:type="dxa"/>
          </w:tcPr>
          <w:p>
            <w:pPr>
              <w:pStyle w:val="TableParagraph"/>
              <w:spacing w:before="7"/>
              <w:rPr>
                <w:sz w:val="18"/>
              </w:rPr>
            </w:pPr>
          </w:p>
          <w:p>
            <w:pPr>
              <w:pStyle w:val="TableParagraph"/>
              <w:spacing w:line="140" w:lineRule="exact"/>
              <w:ind w:left="5"/>
              <w:jc w:val="center"/>
              <w:rPr>
                <w:sz w:val="14"/>
              </w:rPr>
            </w:pPr>
            <w:r>
              <w:rPr>
                <w:w w:val="99"/>
                <w:sz w:val="14"/>
              </w:rPr>
              <w:t>N</w:t>
            </w:r>
          </w:p>
        </w:tc>
        <w:tc>
          <w:tcPr>
            <w:tcW w:w="567" w:type="dxa"/>
          </w:tcPr>
          <w:p>
            <w:pPr>
              <w:pStyle w:val="TableParagraph"/>
              <w:spacing w:before="7"/>
              <w:rPr>
                <w:sz w:val="18"/>
              </w:rPr>
            </w:pPr>
          </w:p>
          <w:p>
            <w:pPr>
              <w:pStyle w:val="TableParagraph"/>
              <w:spacing w:line="140" w:lineRule="exact"/>
              <w:ind w:left="190"/>
              <w:rPr>
                <w:sz w:val="14"/>
              </w:rPr>
            </w:pPr>
            <w:r>
              <w:rPr>
                <w:spacing w:val="-5"/>
                <w:sz w:val="14"/>
              </w:rPr>
              <w:t>No</w:t>
            </w:r>
          </w:p>
        </w:tc>
        <w:tc>
          <w:tcPr>
            <w:tcW w:w="997" w:type="dxa"/>
          </w:tcPr>
          <w:p>
            <w:pPr>
              <w:pStyle w:val="TableParagraph"/>
              <w:spacing w:before="7"/>
              <w:rPr>
                <w:sz w:val="18"/>
              </w:rPr>
            </w:pPr>
          </w:p>
          <w:p>
            <w:pPr>
              <w:pStyle w:val="TableParagraph"/>
              <w:spacing w:line="140" w:lineRule="exact"/>
              <w:ind w:right="100"/>
              <w:jc w:val="right"/>
              <w:rPr>
                <w:sz w:val="14"/>
              </w:rPr>
            </w:pPr>
            <w:r>
              <w:rPr>
                <w:spacing w:val="-2"/>
                <w:sz w:val="14"/>
              </w:rPr>
              <w:t>95.00</w:t>
            </w:r>
          </w:p>
        </w:tc>
        <w:tc>
          <w:tcPr>
            <w:tcW w:w="995" w:type="dxa"/>
          </w:tcPr>
          <w:p>
            <w:pPr>
              <w:pStyle w:val="TableParagraph"/>
              <w:spacing w:before="7"/>
              <w:rPr>
                <w:sz w:val="18"/>
              </w:rPr>
            </w:pPr>
          </w:p>
          <w:p>
            <w:pPr>
              <w:pStyle w:val="TableParagraph"/>
              <w:spacing w:line="140" w:lineRule="exact"/>
              <w:ind w:right="102"/>
              <w:jc w:val="right"/>
              <w:rPr>
                <w:sz w:val="14"/>
              </w:rPr>
            </w:pPr>
            <w:r>
              <w:rPr>
                <w:spacing w:val="-2"/>
                <w:sz w:val="14"/>
              </w:rPr>
              <w:t>103.00</w:t>
            </w:r>
          </w:p>
        </w:tc>
        <w:tc>
          <w:tcPr>
            <w:tcW w:w="861" w:type="dxa"/>
          </w:tcPr>
          <w:p>
            <w:pPr>
              <w:pStyle w:val="TableParagraph"/>
              <w:spacing w:before="7"/>
              <w:rPr>
                <w:sz w:val="18"/>
              </w:rPr>
            </w:pPr>
          </w:p>
          <w:p>
            <w:pPr>
              <w:pStyle w:val="TableParagraph"/>
              <w:spacing w:line="140" w:lineRule="exact"/>
              <w:ind w:left="327"/>
              <w:rPr>
                <w:sz w:val="14"/>
              </w:rPr>
            </w:pPr>
            <w:r>
              <w:rPr>
                <w:spacing w:val="-5"/>
                <w:sz w:val="14"/>
              </w:rPr>
              <w:t>7.8</w:t>
            </w:r>
          </w:p>
        </w:tc>
      </w:tr>
      <w:tr>
        <w:trPr>
          <w:trHeight w:val="441" w:hRule="atLeast"/>
        </w:trPr>
        <w:tc>
          <w:tcPr>
            <w:tcW w:w="5794" w:type="dxa"/>
          </w:tcPr>
          <w:p>
            <w:pPr>
              <w:pStyle w:val="TableParagraph"/>
              <w:spacing w:line="160" w:lineRule="atLeast" w:before="100"/>
              <w:ind w:left="107" w:right="174"/>
              <w:rPr>
                <w:sz w:val="14"/>
              </w:rPr>
            </w:pPr>
            <w:r>
              <w:rPr>
                <w:sz w:val="14"/>
              </w:rPr>
              <w:t>Permit</w:t>
            </w:r>
            <w:r>
              <w:rPr>
                <w:spacing w:val="-3"/>
                <w:sz w:val="14"/>
              </w:rPr>
              <w:t> </w:t>
            </w:r>
            <w:r>
              <w:rPr>
                <w:sz w:val="14"/>
              </w:rPr>
              <w:t>for</w:t>
            </w:r>
            <w:r>
              <w:rPr>
                <w:spacing w:val="-4"/>
                <w:sz w:val="14"/>
              </w:rPr>
              <w:t> </w:t>
            </w:r>
            <w:r>
              <w:rPr>
                <w:sz w:val="14"/>
              </w:rPr>
              <w:t>skip</w:t>
            </w:r>
            <w:r>
              <w:rPr>
                <w:spacing w:val="-3"/>
                <w:sz w:val="14"/>
              </w:rPr>
              <w:t> </w:t>
            </w:r>
            <w:r>
              <w:rPr>
                <w:sz w:val="14"/>
              </w:rPr>
              <w:t>bin</w:t>
            </w:r>
            <w:r>
              <w:rPr>
                <w:spacing w:val="-4"/>
                <w:sz w:val="14"/>
              </w:rPr>
              <w:t> </w:t>
            </w:r>
            <w:r>
              <w:rPr>
                <w:sz w:val="14"/>
              </w:rPr>
              <w:t>to</w:t>
            </w:r>
            <w:r>
              <w:rPr>
                <w:spacing w:val="-3"/>
                <w:sz w:val="14"/>
              </w:rPr>
              <w:t> </w:t>
            </w:r>
            <w:r>
              <w:rPr>
                <w:sz w:val="14"/>
              </w:rPr>
              <w:t>be</w:t>
            </w:r>
            <w:r>
              <w:rPr>
                <w:spacing w:val="-5"/>
                <w:sz w:val="14"/>
              </w:rPr>
              <w:t> </w:t>
            </w:r>
            <w:r>
              <w:rPr>
                <w:sz w:val="14"/>
              </w:rPr>
              <w:t>left</w:t>
            </w:r>
            <w:r>
              <w:rPr>
                <w:spacing w:val="-3"/>
                <w:sz w:val="14"/>
              </w:rPr>
              <w:t> </w:t>
            </w:r>
            <w:r>
              <w:rPr>
                <w:sz w:val="14"/>
              </w:rPr>
              <w:t>on</w:t>
            </w:r>
            <w:r>
              <w:rPr>
                <w:spacing w:val="-2"/>
                <w:sz w:val="14"/>
              </w:rPr>
              <w:t> </w:t>
            </w:r>
            <w:r>
              <w:rPr>
                <w:sz w:val="14"/>
              </w:rPr>
              <w:t>nature</w:t>
            </w:r>
            <w:r>
              <w:rPr>
                <w:spacing w:val="-3"/>
                <w:sz w:val="14"/>
              </w:rPr>
              <w:t> </w:t>
            </w:r>
            <w:r>
              <w:rPr>
                <w:sz w:val="14"/>
              </w:rPr>
              <w:t>strip</w:t>
            </w:r>
            <w:r>
              <w:rPr>
                <w:spacing w:val="-4"/>
                <w:sz w:val="14"/>
              </w:rPr>
              <w:t> </w:t>
            </w:r>
            <w:r>
              <w:rPr>
                <w:sz w:val="14"/>
              </w:rPr>
              <w:t>Contractor</w:t>
            </w:r>
            <w:r>
              <w:rPr>
                <w:spacing w:val="-4"/>
                <w:sz w:val="14"/>
              </w:rPr>
              <w:t> </w:t>
            </w:r>
            <w:r>
              <w:rPr>
                <w:sz w:val="14"/>
              </w:rPr>
              <w:t>-</w:t>
            </w:r>
            <w:r>
              <w:rPr>
                <w:spacing w:val="-1"/>
                <w:sz w:val="14"/>
              </w:rPr>
              <w:t> </w:t>
            </w:r>
            <w:r>
              <w:rPr>
                <w:sz w:val="14"/>
              </w:rPr>
              <w:t>not</w:t>
            </w:r>
            <w:r>
              <w:rPr>
                <w:spacing w:val="-4"/>
                <w:sz w:val="14"/>
              </w:rPr>
              <w:t> </w:t>
            </w:r>
            <w:r>
              <w:rPr>
                <w:sz w:val="14"/>
              </w:rPr>
              <w:t>individual person</w:t>
            </w:r>
            <w:r>
              <w:rPr>
                <w:spacing w:val="-5"/>
                <w:sz w:val="14"/>
              </w:rPr>
              <w:t> </w:t>
            </w:r>
            <w:r>
              <w:rPr>
                <w:sz w:val="14"/>
              </w:rPr>
              <w:t>4 to</w:t>
            </w:r>
            <w:r>
              <w:rPr>
                <w:spacing w:val="-3"/>
                <w:sz w:val="14"/>
              </w:rPr>
              <w:t> </w:t>
            </w:r>
            <w:r>
              <w:rPr>
                <w:sz w:val="14"/>
              </w:rPr>
              <w:t>8</w:t>
            </w:r>
            <w:r>
              <w:rPr>
                <w:spacing w:val="-2"/>
                <w:sz w:val="14"/>
              </w:rPr>
              <w:t> </w:t>
            </w:r>
            <w:r>
              <w:rPr>
                <w:sz w:val="14"/>
              </w:rPr>
              <w:t>days</w:t>
            </w:r>
            <w:r>
              <w:rPr>
                <w:spacing w:val="40"/>
                <w:sz w:val="14"/>
              </w:rPr>
              <w:t> </w:t>
            </w:r>
            <w:r>
              <w:rPr>
                <w:sz w:val="14"/>
              </w:rPr>
              <w:t>(per</w:t>
            </w:r>
            <w:r>
              <w:rPr>
                <w:spacing w:val="-8"/>
                <w:sz w:val="14"/>
              </w:rPr>
              <w:t> </w:t>
            </w:r>
            <w:r>
              <w:rPr>
                <w:sz w:val="14"/>
              </w:rPr>
              <w:t>bin)</w:t>
            </w:r>
          </w:p>
        </w:tc>
        <w:tc>
          <w:tcPr>
            <w:tcW w:w="1131" w:type="dxa"/>
          </w:tcPr>
          <w:p>
            <w:pPr>
              <w:pStyle w:val="TableParagraph"/>
              <w:rPr>
                <w:sz w:val="16"/>
              </w:rPr>
            </w:pPr>
          </w:p>
          <w:p>
            <w:pPr>
              <w:pStyle w:val="TableParagraph"/>
              <w:spacing w:line="140" w:lineRule="exact" w:before="97"/>
              <w:ind w:left="5"/>
              <w:jc w:val="center"/>
              <w:rPr>
                <w:sz w:val="14"/>
              </w:rPr>
            </w:pPr>
            <w:r>
              <w:rPr>
                <w:w w:val="99"/>
                <w:sz w:val="14"/>
              </w:rPr>
              <w:t>N</w:t>
            </w:r>
          </w:p>
        </w:tc>
        <w:tc>
          <w:tcPr>
            <w:tcW w:w="567" w:type="dxa"/>
          </w:tcPr>
          <w:p>
            <w:pPr>
              <w:pStyle w:val="TableParagraph"/>
              <w:rPr>
                <w:sz w:val="16"/>
              </w:rPr>
            </w:pPr>
          </w:p>
          <w:p>
            <w:pPr>
              <w:pStyle w:val="TableParagraph"/>
              <w:spacing w:line="140" w:lineRule="exact" w:before="97"/>
              <w:ind w:left="190"/>
              <w:rPr>
                <w:sz w:val="14"/>
              </w:rPr>
            </w:pPr>
            <w:r>
              <w:rPr>
                <w:spacing w:val="-5"/>
                <w:sz w:val="14"/>
              </w:rPr>
              <w:t>No</w:t>
            </w:r>
          </w:p>
        </w:tc>
        <w:tc>
          <w:tcPr>
            <w:tcW w:w="997" w:type="dxa"/>
          </w:tcPr>
          <w:p>
            <w:pPr>
              <w:pStyle w:val="TableParagraph"/>
              <w:rPr>
                <w:sz w:val="16"/>
              </w:rPr>
            </w:pPr>
          </w:p>
          <w:p>
            <w:pPr>
              <w:pStyle w:val="TableParagraph"/>
              <w:spacing w:line="140" w:lineRule="exact" w:before="97"/>
              <w:ind w:right="100"/>
              <w:jc w:val="right"/>
              <w:rPr>
                <w:sz w:val="14"/>
              </w:rPr>
            </w:pPr>
            <w:r>
              <w:rPr>
                <w:spacing w:val="-2"/>
                <w:sz w:val="14"/>
              </w:rPr>
              <w:t>155.00</w:t>
            </w:r>
          </w:p>
        </w:tc>
        <w:tc>
          <w:tcPr>
            <w:tcW w:w="995" w:type="dxa"/>
          </w:tcPr>
          <w:p>
            <w:pPr>
              <w:pStyle w:val="TableParagraph"/>
              <w:rPr>
                <w:sz w:val="16"/>
              </w:rPr>
            </w:pPr>
          </w:p>
          <w:p>
            <w:pPr>
              <w:pStyle w:val="TableParagraph"/>
              <w:spacing w:line="140" w:lineRule="exact" w:before="97"/>
              <w:ind w:right="102"/>
              <w:jc w:val="right"/>
              <w:rPr>
                <w:sz w:val="14"/>
              </w:rPr>
            </w:pPr>
            <w:r>
              <w:rPr>
                <w:spacing w:val="-2"/>
                <w:sz w:val="14"/>
              </w:rPr>
              <w:t>167.00</w:t>
            </w:r>
          </w:p>
        </w:tc>
        <w:tc>
          <w:tcPr>
            <w:tcW w:w="861" w:type="dxa"/>
          </w:tcPr>
          <w:p>
            <w:pPr>
              <w:pStyle w:val="TableParagraph"/>
              <w:rPr>
                <w:sz w:val="16"/>
              </w:rPr>
            </w:pPr>
          </w:p>
          <w:p>
            <w:pPr>
              <w:pStyle w:val="TableParagraph"/>
              <w:spacing w:line="140" w:lineRule="exact" w:before="97"/>
              <w:ind w:left="327"/>
              <w:rPr>
                <w:sz w:val="14"/>
              </w:rPr>
            </w:pPr>
            <w:r>
              <w:rPr>
                <w:spacing w:val="-5"/>
                <w:sz w:val="14"/>
              </w:rPr>
              <w:t>7.2</w:t>
            </w:r>
          </w:p>
        </w:tc>
      </w:tr>
      <w:tr>
        <w:trPr>
          <w:trHeight w:val="373" w:hRule="atLeast"/>
        </w:trPr>
        <w:tc>
          <w:tcPr>
            <w:tcW w:w="5794" w:type="dxa"/>
          </w:tcPr>
          <w:p>
            <w:pPr>
              <w:pStyle w:val="TableParagraph"/>
              <w:spacing w:line="160" w:lineRule="atLeast" w:before="33"/>
              <w:ind w:left="107"/>
              <w:rPr>
                <w:sz w:val="14"/>
              </w:rPr>
            </w:pPr>
            <w:r>
              <w:rPr>
                <w:sz w:val="14"/>
              </w:rPr>
              <w:t>Permit</w:t>
            </w:r>
            <w:r>
              <w:rPr>
                <w:spacing w:val="-3"/>
                <w:sz w:val="14"/>
              </w:rPr>
              <w:t> </w:t>
            </w:r>
            <w:r>
              <w:rPr>
                <w:sz w:val="14"/>
              </w:rPr>
              <w:t>for</w:t>
            </w:r>
            <w:r>
              <w:rPr>
                <w:spacing w:val="-4"/>
                <w:sz w:val="14"/>
              </w:rPr>
              <w:t> </w:t>
            </w:r>
            <w:r>
              <w:rPr>
                <w:sz w:val="14"/>
              </w:rPr>
              <w:t>skip</w:t>
            </w:r>
            <w:r>
              <w:rPr>
                <w:spacing w:val="-3"/>
                <w:sz w:val="14"/>
              </w:rPr>
              <w:t> </w:t>
            </w:r>
            <w:r>
              <w:rPr>
                <w:sz w:val="14"/>
              </w:rPr>
              <w:t>bin</w:t>
            </w:r>
            <w:r>
              <w:rPr>
                <w:spacing w:val="-4"/>
                <w:sz w:val="14"/>
              </w:rPr>
              <w:t> </w:t>
            </w:r>
            <w:r>
              <w:rPr>
                <w:sz w:val="14"/>
              </w:rPr>
              <w:t>to</w:t>
            </w:r>
            <w:r>
              <w:rPr>
                <w:spacing w:val="-3"/>
                <w:sz w:val="14"/>
              </w:rPr>
              <w:t> </w:t>
            </w:r>
            <w:r>
              <w:rPr>
                <w:sz w:val="14"/>
              </w:rPr>
              <w:t>be</w:t>
            </w:r>
            <w:r>
              <w:rPr>
                <w:spacing w:val="-5"/>
                <w:sz w:val="14"/>
              </w:rPr>
              <w:t> </w:t>
            </w:r>
            <w:r>
              <w:rPr>
                <w:sz w:val="14"/>
              </w:rPr>
              <w:t>left</w:t>
            </w:r>
            <w:r>
              <w:rPr>
                <w:spacing w:val="-3"/>
                <w:sz w:val="14"/>
              </w:rPr>
              <w:t> </w:t>
            </w:r>
            <w:r>
              <w:rPr>
                <w:sz w:val="14"/>
              </w:rPr>
              <w:t>on</w:t>
            </w:r>
            <w:r>
              <w:rPr>
                <w:spacing w:val="-2"/>
                <w:sz w:val="14"/>
              </w:rPr>
              <w:t> </w:t>
            </w:r>
            <w:r>
              <w:rPr>
                <w:sz w:val="14"/>
              </w:rPr>
              <w:t>nature</w:t>
            </w:r>
            <w:r>
              <w:rPr>
                <w:spacing w:val="-3"/>
                <w:sz w:val="14"/>
              </w:rPr>
              <w:t> </w:t>
            </w:r>
            <w:r>
              <w:rPr>
                <w:sz w:val="14"/>
              </w:rPr>
              <w:t>strip</w:t>
            </w:r>
            <w:r>
              <w:rPr>
                <w:spacing w:val="-4"/>
                <w:sz w:val="14"/>
              </w:rPr>
              <w:t> </w:t>
            </w:r>
            <w:r>
              <w:rPr>
                <w:sz w:val="14"/>
              </w:rPr>
              <w:t>Contractor</w:t>
            </w:r>
            <w:r>
              <w:rPr>
                <w:spacing w:val="-4"/>
                <w:sz w:val="14"/>
              </w:rPr>
              <w:t> </w:t>
            </w:r>
            <w:r>
              <w:rPr>
                <w:sz w:val="14"/>
              </w:rPr>
              <w:t>-</w:t>
            </w:r>
            <w:r>
              <w:rPr>
                <w:spacing w:val="-1"/>
                <w:sz w:val="14"/>
              </w:rPr>
              <w:t> </w:t>
            </w:r>
            <w:r>
              <w:rPr>
                <w:sz w:val="14"/>
              </w:rPr>
              <w:t>not</w:t>
            </w:r>
            <w:r>
              <w:rPr>
                <w:spacing w:val="-4"/>
                <w:sz w:val="14"/>
              </w:rPr>
              <w:t> </w:t>
            </w:r>
            <w:r>
              <w:rPr>
                <w:sz w:val="14"/>
              </w:rPr>
              <w:t>individual person</w:t>
            </w:r>
            <w:r>
              <w:rPr>
                <w:spacing w:val="-5"/>
                <w:sz w:val="14"/>
              </w:rPr>
              <w:t> </w:t>
            </w:r>
            <w:r>
              <w:rPr>
                <w:sz w:val="14"/>
              </w:rPr>
              <w:t>9 to</w:t>
            </w:r>
            <w:r>
              <w:rPr>
                <w:spacing w:val="-3"/>
                <w:sz w:val="14"/>
              </w:rPr>
              <w:t> </w:t>
            </w:r>
            <w:r>
              <w:rPr>
                <w:sz w:val="14"/>
              </w:rPr>
              <w:t>14</w:t>
            </w:r>
            <w:r>
              <w:rPr>
                <w:spacing w:val="-5"/>
                <w:sz w:val="14"/>
              </w:rPr>
              <w:t> </w:t>
            </w:r>
            <w:r>
              <w:rPr>
                <w:sz w:val="14"/>
              </w:rPr>
              <w:t>days</w:t>
            </w:r>
            <w:r>
              <w:rPr>
                <w:spacing w:val="40"/>
                <w:sz w:val="14"/>
              </w:rPr>
              <w:t> </w:t>
            </w:r>
            <w:r>
              <w:rPr>
                <w:sz w:val="14"/>
              </w:rPr>
              <w:t>(per</w:t>
            </w:r>
            <w:r>
              <w:rPr>
                <w:spacing w:val="-8"/>
                <w:sz w:val="14"/>
              </w:rPr>
              <w:t> </w:t>
            </w:r>
            <w:r>
              <w:rPr>
                <w:sz w:val="14"/>
              </w:rPr>
              <w:t>bin)</w:t>
            </w:r>
          </w:p>
        </w:tc>
        <w:tc>
          <w:tcPr>
            <w:tcW w:w="1131" w:type="dxa"/>
          </w:tcPr>
          <w:p>
            <w:pPr>
              <w:pStyle w:val="TableParagraph"/>
              <w:spacing w:before="7"/>
              <w:rPr>
                <w:sz w:val="18"/>
              </w:rPr>
            </w:pPr>
          </w:p>
          <w:p>
            <w:pPr>
              <w:pStyle w:val="TableParagraph"/>
              <w:spacing w:line="140" w:lineRule="exact"/>
              <w:ind w:left="5"/>
              <w:jc w:val="center"/>
              <w:rPr>
                <w:sz w:val="14"/>
              </w:rPr>
            </w:pPr>
            <w:r>
              <w:rPr>
                <w:w w:val="99"/>
                <w:sz w:val="14"/>
              </w:rPr>
              <w:t>N</w:t>
            </w:r>
          </w:p>
        </w:tc>
        <w:tc>
          <w:tcPr>
            <w:tcW w:w="567" w:type="dxa"/>
          </w:tcPr>
          <w:p>
            <w:pPr>
              <w:pStyle w:val="TableParagraph"/>
              <w:spacing w:before="7"/>
              <w:rPr>
                <w:sz w:val="18"/>
              </w:rPr>
            </w:pPr>
          </w:p>
          <w:p>
            <w:pPr>
              <w:pStyle w:val="TableParagraph"/>
              <w:spacing w:line="140" w:lineRule="exact"/>
              <w:ind w:left="190"/>
              <w:rPr>
                <w:sz w:val="14"/>
              </w:rPr>
            </w:pPr>
            <w:r>
              <w:rPr>
                <w:spacing w:val="-5"/>
                <w:sz w:val="14"/>
              </w:rPr>
              <w:t>No</w:t>
            </w:r>
          </w:p>
        </w:tc>
        <w:tc>
          <w:tcPr>
            <w:tcW w:w="997" w:type="dxa"/>
          </w:tcPr>
          <w:p>
            <w:pPr>
              <w:pStyle w:val="TableParagraph"/>
              <w:spacing w:before="7"/>
              <w:rPr>
                <w:sz w:val="18"/>
              </w:rPr>
            </w:pPr>
          </w:p>
          <w:p>
            <w:pPr>
              <w:pStyle w:val="TableParagraph"/>
              <w:spacing w:line="140" w:lineRule="exact"/>
              <w:ind w:right="100"/>
              <w:jc w:val="right"/>
              <w:rPr>
                <w:sz w:val="14"/>
              </w:rPr>
            </w:pPr>
            <w:r>
              <w:rPr>
                <w:spacing w:val="-2"/>
                <w:sz w:val="14"/>
              </w:rPr>
              <w:t>208.00</w:t>
            </w:r>
          </w:p>
        </w:tc>
        <w:tc>
          <w:tcPr>
            <w:tcW w:w="995" w:type="dxa"/>
          </w:tcPr>
          <w:p>
            <w:pPr>
              <w:pStyle w:val="TableParagraph"/>
              <w:spacing w:before="7"/>
              <w:rPr>
                <w:sz w:val="18"/>
              </w:rPr>
            </w:pPr>
          </w:p>
          <w:p>
            <w:pPr>
              <w:pStyle w:val="TableParagraph"/>
              <w:spacing w:line="140" w:lineRule="exact"/>
              <w:ind w:right="102"/>
              <w:jc w:val="right"/>
              <w:rPr>
                <w:sz w:val="14"/>
              </w:rPr>
            </w:pPr>
            <w:r>
              <w:rPr>
                <w:spacing w:val="-2"/>
                <w:sz w:val="14"/>
              </w:rPr>
              <w:t>225.00</w:t>
            </w:r>
          </w:p>
        </w:tc>
        <w:tc>
          <w:tcPr>
            <w:tcW w:w="861" w:type="dxa"/>
          </w:tcPr>
          <w:p>
            <w:pPr>
              <w:pStyle w:val="TableParagraph"/>
              <w:spacing w:before="7"/>
              <w:rPr>
                <w:sz w:val="18"/>
              </w:rPr>
            </w:pPr>
          </w:p>
          <w:p>
            <w:pPr>
              <w:pStyle w:val="TableParagraph"/>
              <w:spacing w:line="140" w:lineRule="exact"/>
              <w:ind w:left="327"/>
              <w:rPr>
                <w:sz w:val="14"/>
              </w:rPr>
            </w:pPr>
            <w:r>
              <w:rPr>
                <w:spacing w:val="-5"/>
                <w:sz w:val="14"/>
              </w:rPr>
              <w:t>7.6</w:t>
            </w:r>
          </w:p>
        </w:tc>
      </w:tr>
      <w:tr>
        <w:trPr>
          <w:trHeight w:val="177" w:hRule="atLeast"/>
        </w:trPr>
        <w:tc>
          <w:tcPr>
            <w:tcW w:w="5794" w:type="dxa"/>
          </w:tcPr>
          <w:p>
            <w:pPr>
              <w:pStyle w:val="TableParagraph"/>
              <w:spacing w:line="140" w:lineRule="exact" w:before="17"/>
              <w:ind w:left="107"/>
              <w:rPr>
                <w:sz w:val="14"/>
              </w:rPr>
            </w:pPr>
            <w:r>
              <w:rPr>
                <w:sz w:val="14"/>
              </w:rPr>
              <w:t>Shipping</w:t>
            </w:r>
            <w:r>
              <w:rPr>
                <w:spacing w:val="-6"/>
                <w:sz w:val="14"/>
              </w:rPr>
              <w:t> </w:t>
            </w:r>
            <w:r>
              <w:rPr>
                <w:sz w:val="14"/>
              </w:rPr>
              <w:t>Container</w:t>
            </w:r>
            <w:r>
              <w:rPr>
                <w:spacing w:val="-5"/>
                <w:sz w:val="14"/>
              </w:rPr>
              <w:t> </w:t>
            </w:r>
            <w:r>
              <w:rPr>
                <w:sz w:val="14"/>
              </w:rPr>
              <w:t>Permit</w:t>
            </w:r>
            <w:r>
              <w:rPr>
                <w:spacing w:val="-2"/>
                <w:sz w:val="14"/>
              </w:rPr>
              <w:t> </w:t>
            </w:r>
            <w:r>
              <w:rPr>
                <w:sz w:val="14"/>
              </w:rPr>
              <w:t>(for</w:t>
            </w:r>
            <w:r>
              <w:rPr>
                <w:spacing w:val="-4"/>
                <w:sz w:val="14"/>
              </w:rPr>
              <w:t> </w:t>
            </w:r>
            <w:r>
              <w:rPr>
                <w:sz w:val="14"/>
              </w:rPr>
              <w:t>longer</w:t>
            </w:r>
            <w:r>
              <w:rPr>
                <w:spacing w:val="-5"/>
                <w:sz w:val="14"/>
              </w:rPr>
              <w:t> </w:t>
            </w:r>
            <w:r>
              <w:rPr>
                <w:sz w:val="14"/>
              </w:rPr>
              <w:t>than</w:t>
            </w:r>
            <w:r>
              <w:rPr>
                <w:spacing w:val="-3"/>
                <w:sz w:val="14"/>
              </w:rPr>
              <w:t> </w:t>
            </w:r>
            <w:r>
              <w:rPr>
                <w:sz w:val="14"/>
              </w:rPr>
              <w:t>28</w:t>
            </w:r>
            <w:r>
              <w:rPr>
                <w:spacing w:val="-2"/>
                <w:sz w:val="14"/>
              </w:rPr>
              <w:t> days)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250.00</w:t>
            </w:r>
          </w:p>
        </w:tc>
        <w:tc>
          <w:tcPr>
            <w:tcW w:w="995" w:type="dxa"/>
          </w:tcPr>
          <w:p>
            <w:pPr>
              <w:pStyle w:val="TableParagraph"/>
              <w:spacing w:line="140" w:lineRule="exact" w:before="17"/>
              <w:ind w:right="102"/>
              <w:jc w:val="right"/>
              <w:rPr>
                <w:sz w:val="14"/>
              </w:rPr>
            </w:pPr>
            <w:r>
              <w:rPr>
                <w:spacing w:val="-2"/>
                <w:sz w:val="14"/>
              </w:rPr>
              <w:t>275.00</w:t>
            </w:r>
          </w:p>
        </w:tc>
        <w:tc>
          <w:tcPr>
            <w:tcW w:w="861" w:type="dxa"/>
          </w:tcPr>
          <w:p>
            <w:pPr>
              <w:pStyle w:val="TableParagraph"/>
              <w:spacing w:line="140" w:lineRule="exact" w:before="17"/>
              <w:ind w:left="327"/>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Permit</w:t>
            </w:r>
            <w:r>
              <w:rPr>
                <w:spacing w:val="-6"/>
                <w:sz w:val="14"/>
              </w:rPr>
              <w:t> </w:t>
            </w:r>
            <w:r>
              <w:rPr>
                <w:sz w:val="14"/>
              </w:rPr>
              <w:t>to</w:t>
            </w:r>
            <w:r>
              <w:rPr>
                <w:spacing w:val="-3"/>
                <w:sz w:val="14"/>
              </w:rPr>
              <w:t> </w:t>
            </w:r>
            <w:r>
              <w:rPr>
                <w:sz w:val="14"/>
              </w:rPr>
              <w:t>keep</w:t>
            </w:r>
            <w:r>
              <w:rPr>
                <w:spacing w:val="-2"/>
                <w:sz w:val="14"/>
              </w:rPr>
              <w:t> </w:t>
            </w:r>
            <w:r>
              <w:rPr>
                <w:sz w:val="14"/>
              </w:rPr>
              <w:t>additional</w:t>
            </w:r>
            <w:r>
              <w:rPr>
                <w:spacing w:val="-3"/>
                <w:sz w:val="14"/>
              </w:rPr>
              <w:t> </w:t>
            </w:r>
            <w:r>
              <w:rPr>
                <w:sz w:val="14"/>
              </w:rPr>
              <w:t>animals</w:t>
            </w:r>
            <w:r>
              <w:rPr>
                <w:spacing w:val="-3"/>
                <w:sz w:val="14"/>
              </w:rPr>
              <w:t> </w:t>
            </w:r>
            <w:r>
              <w:rPr>
                <w:sz w:val="14"/>
              </w:rPr>
              <w:t>or</w:t>
            </w:r>
            <w:r>
              <w:rPr>
                <w:spacing w:val="-3"/>
                <w:sz w:val="14"/>
              </w:rPr>
              <w:t> </w:t>
            </w:r>
            <w:r>
              <w:rPr>
                <w:sz w:val="14"/>
              </w:rPr>
              <w:t>birds</w:t>
            </w:r>
            <w:r>
              <w:rPr>
                <w:spacing w:val="-6"/>
                <w:sz w:val="14"/>
              </w:rPr>
              <w:t> </w:t>
            </w:r>
            <w:r>
              <w:rPr>
                <w:sz w:val="14"/>
              </w:rPr>
              <w:t>(annual</w:t>
            </w:r>
            <w:r>
              <w:rPr>
                <w:spacing w:val="-3"/>
                <w:sz w:val="14"/>
              </w:rPr>
              <w:t> </w:t>
            </w:r>
            <w:r>
              <w:rPr>
                <w:spacing w:val="-2"/>
                <w:sz w:val="14"/>
              </w:rPr>
              <w:t>renewal)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60.00</w:t>
            </w:r>
          </w:p>
        </w:tc>
        <w:tc>
          <w:tcPr>
            <w:tcW w:w="995" w:type="dxa"/>
          </w:tcPr>
          <w:p>
            <w:pPr>
              <w:pStyle w:val="TableParagraph"/>
              <w:spacing w:line="140" w:lineRule="exact" w:before="17"/>
              <w:ind w:right="101"/>
              <w:jc w:val="right"/>
              <w:rPr>
                <w:sz w:val="14"/>
              </w:rPr>
            </w:pPr>
            <w:r>
              <w:rPr>
                <w:spacing w:val="-2"/>
                <w:sz w:val="14"/>
              </w:rPr>
              <w:t>65.00</w:t>
            </w:r>
          </w:p>
        </w:tc>
        <w:tc>
          <w:tcPr>
            <w:tcW w:w="861" w:type="dxa"/>
          </w:tcPr>
          <w:p>
            <w:pPr>
              <w:pStyle w:val="TableParagraph"/>
              <w:spacing w:line="140" w:lineRule="exact" w:before="17"/>
              <w:ind w:left="327"/>
              <w:rPr>
                <w:sz w:val="14"/>
              </w:rPr>
            </w:pPr>
            <w:r>
              <w:rPr>
                <w:spacing w:val="-5"/>
                <w:sz w:val="14"/>
              </w:rPr>
              <w:t>7.7</w:t>
            </w:r>
          </w:p>
        </w:tc>
      </w:tr>
      <w:tr>
        <w:trPr>
          <w:trHeight w:val="177" w:hRule="atLeast"/>
        </w:trPr>
        <w:tc>
          <w:tcPr>
            <w:tcW w:w="5794" w:type="dxa"/>
          </w:tcPr>
          <w:p>
            <w:pPr>
              <w:pStyle w:val="TableParagraph"/>
              <w:spacing w:line="140" w:lineRule="exact" w:before="17"/>
              <w:ind w:left="107"/>
              <w:rPr>
                <w:sz w:val="14"/>
              </w:rPr>
            </w:pPr>
            <w:r>
              <w:rPr>
                <w:sz w:val="14"/>
              </w:rPr>
              <w:t>Permit</w:t>
            </w:r>
            <w:r>
              <w:rPr>
                <w:spacing w:val="-4"/>
                <w:sz w:val="14"/>
              </w:rPr>
              <w:t> </w:t>
            </w:r>
            <w:r>
              <w:rPr>
                <w:sz w:val="14"/>
              </w:rPr>
              <w:t>to</w:t>
            </w:r>
            <w:r>
              <w:rPr>
                <w:spacing w:val="-2"/>
                <w:sz w:val="14"/>
              </w:rPr>
              <w:t> </w:t>
            </w:r>
            <w:r>
              <w:rPr>
                <w:sz w:val="14"/>
              </w:rPr>
              <w:t>sell</w:t>
            </w:r>
            <w:r>
              <w:rPr>
                <w:spacing w:val="-2"/>
                <w:sz w:val="14"/>
              </w:rPr>
              <w:t> </w:t>
            </w:r>
            <w:r>
              <w:rPr>
                <w:sz w:val="14"/>
              </w:rPr>
              <w:t>goods</w:t>
            </w:r>
            <w:r>
              <w:rPr>
                <w:spacing w:val="-2"/>
                <w:sz w:val="14"/>
              </w:rPr>
              <w:t> </w:t>
            </w:r>
            <w:r>
              <w:rPr>
                <w:sz w:val="14"/>
              </w:rPr>
              <w:t>i.e.</w:t>
            </w:r>
            <w:r>
              <w:rPr>
                <w:spacing w:val="-2"/>
                <w:sz w:val="14"/>
              </w:rPr>
              <w:t> </w:t>
            </w:r>
            <w:r>
              <w:rPr>
                <w:sz w:val="14"/>
              </w:rPr>
              <w:t>Street</w:t>
            </w:r>
            <w:r>
              <w:rPr>
                <w:spacing w:val="-5"/>
                <w:sz w:val="14"/>
              </w:rPr>
              <w:t> </w:t>
            </w:r>
            <w:r>
              <w:rPr>
                <w:sz w:val="14"/>
              </w:rPr>
              <w:t>Stalls</w:t>
            </w:r>
            <w:r>
              <w:rPr>
                <w:spacing w:val="-2"/>
                <w:sz w:val="14"/>
              </w:rPr>
              <w:t> </w:t>
            </w:r>
            <w:r>
              <w:rPr>
                <w:sz w:val="14"/>
              </w:rPr>
              <w:t>-</w:t>
            </w:r>
            <w:r>
              <w:rPr>
                <w:spacing w:val="-4"/>
                <w:sz w:val="14"/>
              </w:rPr>
              <w:t> </w:t>
            </w:r>
            <w:r>
              <w:rPr>
                <w:sz w:val="14"/>
              </w:rPr>
              <w:t>per</w:t>
            </w:r>
            <w:r>
              <w:rPr>
                <w:spacing w:val="-2"/>
                <w:sz w:val="14"/>
              </w:rPr>
              <w:t> </w:t>
            </w:r>
            <w:r>
              <w:rPr>
                <w:spacing w:val="-4"/>
                <w:sz w:val="14"/>
              </w:rPr>
              <w:t>annum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3,100.00</w:t>
            </w:r>
          </w:p>
        </w:tc>
        <w:tc>
          <w:tcPr>
            <w:tcW w:w="995" w:type="dxa"/>
          </w:tcPr>
          <w:p>
            <w:pPr>
              <w:pStyle w:val="TableParagraph"/>
              <w:spacing w:line="140" w:lineRule="exact" w:before="17"/>
              <w:ind w:right="101"/>
              <w:jc w:val="right"/>
              <w:rPr>
                <w:sz w:val="14"/>
              </w:rPr>
            </w:pPr>
            <w:r>
              <w:rPr>
                <w:spacing w:val="-2"/>
                <w:sz w:val="14"/>
              </w:rPr>
              <w:t>3,335.00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Real</w:t>
            </w:r>
            <w:r>
              <w:rPr>
                <w:spacing w:val="-4"/>
                <w:sz w:val="14"/>
              </w:rPr>
              <w:t> </w:t>
            </w:r>
            <w:r>
              <w:rPr>
                <w:sz w:val="14"/>
              </w:rPr>
              <w:t>Estate</w:t>
            </w:r>
            <w:r>
              <w:rPr>
                <w:spacing w:val="-3"/>
                <w:sz w:val="14"/>
              </w:rPr>
              <w:t> </w:t>
            </w:r>
            <w:r>
              <w:rPr>
                <w:sz w:val="14"/>
              </w:rPr>
              <w:t>Advertising</w:t>
            </w:r>
            <w:r>
              <w:rPr>
                <w:spacing w:val="-5"/>
                <w:sz w:val="14"/>
              </w:rPr>
              <w:t> </w:t>
            </w:r>
            <w:r>
              <w:rPr>
                <w:sz w:val="14"/>
              </w:rPr>
              <w:t>Sign</w:t>
            </w:r>
            <w:r>
              <w:rPr>
                <w:spacing w:val="-3"/>
                <w:sz w:val="14"/>
              </w:rPr>
              <w:t> </w:t>
            </w:r>
            <w:r>
              <w:rPr>
                <w:sz w:val="14"/>
              </w:rPr>
              <w:t>on</w:t>
            </w:r>
            <w:r>
              <w:rPr>
                <w:spacing w:val="-3"/>
                <w:sz w:val="14"/>
              </w:rPr>
              <w:t> </w:t>
            </w:r>
            <w:r>
              <w:rPr>
                <w:sz w:val="14"/>
              </w:rPr>
              <w:t>Council</w:t>
            </w:r>
            <w:r>
              <w:rPr>
                <w:spacing w:val="-4"/>
                <w:sz w:val="14"/>
              </w:rPr>
              <w:t> </w:t>
            </w:r>
            <w:r>
              <w:rPr>
                <w:sz w:val="14"/>
              </w:rPr>
              <w:t>land</w:t>
            </w:r>
            <w:r>
              <w:rPr>
                <w:spacing w:val="-1"/>
                <w:sz w:val="14"/>
              </w:rPr>
              <w:t> </w:t>
            </w:r>
            <w:r>
              <w:rPr>
                <w:sz w:val="14"/>
              </w:rPr>
              <w:t>(per</w:t>
            </w:r>
            <w:r>
              <w:rPr>
                <w:spacing w:val="-2"/>
                <w:sz w:val="14"/>
              </w:rPr>
              <w:t> annum)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470.00</w:t>
            </w:r>
          </w:p>
        </w:tc>
        <w:tc>
          <w:tcPr>
            <w:tcW w:w="995" w:type="dxa"/>
          </w:tcPr>
          <w:p>
            <w:pPr>
              <w:pStyle w:val="TableParagraph"/>
              <w:spacing w:line="140" w:lineRule="exact" w:before="17"/>
              <w:ind w:right="102"/>
              <w:jc w:val="right"/>
              <w:rPr>
                <w:sz w:val="14"/>
              </w:rPr>
            </w:pPr>
            <w:r>
              <w:rPr>
                <w:spacing w:val="-2"/>
                <w:sz w:val="14"/>
              </w:rPr>
              <w:t>506.00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Street</w:t>
            </w:r>
            <w:r>
              <w:rPr>
                <w:spacing w:val="-3"/>
                <w:sz w:val="14"/>
              </w:rPr>
              <w:t> </w:t>
            </w:r>
            <w:r>
              <w:rPr>
                <w:sz w:val="14"/>
              </w:rPr>
              <w:t>Performance</w:t>
            </w:r>
            <w:r>
              <w:rPr>
                <w:spacing w:val="-5"/>
                <w:sz w:val="14"/>
              </w:rPr>
              <w:t> </w:t>
            </w:r>
            <w:r>
              <w:rPr>
                <w:sz w:val="14"/>
              </w:rPr>
              <w:t>on</w:t>
            </w:r>
            <w:r>
              <w:rPr>
                <w:spacing w:val="-5"/>
                <w:sz w:val="14"/>
              </w:rPr>
              <w:t> </w:t>
            </w:r>
            <w:r>
              <w:rPr>
                <w:sz w:val="14"/>
              </w:rPr>
              <w:t>Council</w:t>
            </w:r>
            <w:r>
              <w:rPr>
                <w:spacing w:val="-6"/>
                <w:sz w:val="14"/>
              </w:rPr>
              <w:t> </w:t>
            </w:r>
            <w:r>
              <w:rPr>
                <w:spacing w:val="-4"/>
                <w:sz w:val="14"/>
              </w:rPr>
              <w:t>land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50.00</w:t>
            </w:r>
          </w:p>
        </w:tc>
        <w:tc>
          <w:tcPr>
            <w:tcW w:w="995" w:type="dxa"/>
          </w:tcPr>
          <w:p>
            <w:pPr>
              <w:pStyle w:val="TableParagraph"/>
              <w:spacing w:line="140" w:lineRule="exact" w:before="17"/>
              <w:ind w:right="101"/>
              <w:jc w:val="right"/>
              <w:rPr>
                <w:sz w:val="14"/>
              </w:rPr>
            </w:pPr>
            <w:r>
              <w:rPr>
                <w:spacing w:val="-2"/>
                <w:sz w:val="14"/>
              </w:rPr>
              <w:t>54.00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Street</w:t>
            </w:r>
            <w:r>
              <w:rPr>
                <w:spacing w:val="-2"/>
                <w:sz w:val="14"/>
              </w:rPr>
              <w:t> </w:t>
            </w:r>
            <w:r>
              <w:rPr>
                <w:sz w:val="14"/>
              </w:rPr>
              <w:t>Art</w:t>
            </w:r>
            <w:r>
              <w:rPr>
                <w:spacing w:val="-3"/>
                <w:sz w:val="14"/>
              </w:rPr>
              <w:t> </w:t>
            </w:r>
            <w:r>
              <w:rPr>
                <w:sz w:val="14"/>
              </w:rPr>
              <w:t>on</w:t>
            </w:r>
            <w:r>
              <w:rPr>
                <w:spacing w:val="-2"/>
                <w:sz w:val="14"/>
              </w:rPr>
              <w:t> </w:t>
            </w:r>
            <w:r>
              <w:rPr>
                <w:sz w:val="14"/>
              </w:rPr>
              <w:t>Council</w:t>
            </w:r>
            <w:r>
              <w:rPr>
                <w:spacing w:val="-4"/>
                <w:sz w:val="14"/>
              </w:rPr>
              <w:t> land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50.00</w:t>
            </w:r>
          </w:p>
        </w:tc>
        <w:tc>
          <w:tcPr>
            <w:tcW w:w="995" w:type="dxa"/>
          </w:tcPr>
          <w:p>
            <w:pPr>
              <w:pStyle w:val="TableParagraph"/>
              <w:spacing w:line="140" w:lineRule="exact" w:before="17"/>
              <w:ind w:right="101"/>
              <w:jc w:val="right"/>
              <w:rPr>
                <w:sz w:val="14"/>
              </w:rPr>
            </w:pPr>
            <w:r>
              <w:rPr>
                <w:spacing w:val="-2"/>
                <w:sz w:val="14"/>
              </w:rPr>
              <w:t>54.00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Fundraising</w:t>
            </w:r>
            <w:r>
              <w:rPr>
                <w:spacing w:val="-6"/>
                <w:sz w:val="14"/>
              </w:rPr>
              <w:t> </w:t>
            </w:r>
            <w:r>
              <w:rPr>
                <w:sz w:val="14"/>
              </w:rPr>
              <w:t>(if</w:t>
            </w:r>
            <w:r>
              <w:rPr>
                <w:spacing w:val="-3"/>
                <w:sz w:val="14"/>
              </w:rPr>
              <w:t> </w:t>
            </w:r>
            <w:r>
              <w:rPr>
                <w:sz w:val="14"/>
              </w:rPr>
              <w:t>not</w:t>
            </w:r>
            <w:r>
              <w:rPr>
                <w:spacing w:val="-6"/>
                <w:sz w:val="14"/>
              </w:rPr>
              <w:t> </w:t>
            </w:r>
            <w:r>
              <w:rPr>
                <w:sz w:val="14"/>
              </w:rPr>
              <w:t>registered</w:t>
            </w:r>
            <w:r>
              <w:rPr>
                <w:spacing w:val="-4"/>
                <w:sz w:val="14"/>
              </w:rPr>
              <w:t> </w:t>
            </w:r>
            <w:r>
              <w:rPr>
                <w:sz w:val="14"/>
              </w:rPr>
              <w:t>under</w:t>
            </w:r>
            <w:r>
              <w:rPr>
                <w:spacing w:val="-3"/>
                <w:sz w:val="14"/>
              </w:rPr>
              <w:t> </w:t>
            </w:r>
            <w:r>
              <w:rPr>
                <w:sz w:val="14"/>
              </w:rPr>
              <w:t>Fundraising</w:t>
            </w:r>
            <w:r>
              <w:rPr>
                <w:spacing w:val="-4"/>
                <w:sz w:val="14"/>
              </w:rPr>
              <w:t> Act)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130.00</w:t>
            </w:r>
          </w:p>
        </w:tc>
        <w:tc>
          <w:tcPr>
            <w:tcW w:w="995" w:type="dxa"/>
          </w:tcPr>
          <w:p>
            <w:pPr>
              <w:pStyle w:val="TableParagraph"/>
              <w:spacing w:line="140" w:lineRule="exact" w:before="17"/>
              <w:ind w:right="102"/>
              <w:jc w:val="right"/>
              <w:rPr>
                <w:sz w:val="14"/>
              </w:rPr>
            </w:pPr>
            <w:r>
              <w:rPr>
                <w:spacing w:val="-2"/>
                <w:sz w:val="14"/>
              </w:rPr>
              <w:t>140.00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Compulsory</w:t>
            </w:r>
            <w:r>
              <w:rPr>
                <w:spacing w:val="-4"/>
                <w:sz w:val="14"/>
              </w:rPr>
              <w:t> </w:t>
            </w:r>
            <w:r>
              <w:rPr>
                <w:sz w:val="14"/>
              </w:rPr>
              <w:t>Clearance</w:t>
            </w:r>
            <w:r>
              <w:rPr>
                <w:spacing w:val="-4"/>
                <w:sz w:val="14"/>
              </w:rPr>
              <w:t> </w:t>
            </w:r>
            <w:r>
              <w:rPr>
                <w:sz w:val="14"/>
              </w:rPr>
              <w:t>-</w:t>
            </w:r>
            <w:r>
              <w:rPr>
                <w:spacing w:val="-6"/>
                <w:sz w:val="14"/>
              </w:rPr>
              <w:t> </w:t>
            </w:r>
            <w:r>
              <w:rPr>
                <w:sz w:val="14"/>
              </w:rPr>
              <w:t>Administration</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123.00</w:t>
            </w:r>
          </w:p>
        </w:tc>
        <w:tc>
          <w:tcPr>
            <w:tcW w:w="995" w:type="dxa"/>
          </w:tcPr>
          <w:p>
            <w:pPr>
              <w:pStyle w:val="TableParagraph"/>
              <w:spacing w:line="140" w:lineRule="exact" w:before="17"/>
              <w:ind w:right="102"/>
              <w:jc w:val="right"/>
              <w:rPr>
                <w:sz w:val="14"/>
              </w:rPr>
            </w:pPr>
            <w:r>
              <w:rPr>
                <w:spacing w:val="-2"/>
                <w:sz w:val="14"/>
              </w:rPr>
              <w:t>135.00</w:t>
            </w:r>
          </w:p>
        </w:tc>
        <w:tc>
          <w:tcPr>
            <w:tcW w:w="861" w:type="dxa"/>
          </w:tcPr>
          <w:p>
            <w:pPr>
              <w:pStyle w:val="TableParagraph"/>
              <w:spacing w:line="140" w:lineRule="exact" w:before="17"/>
              <w:ind w:left="327"/>
              <w:rPr>
                <w:sz w:val="14"/>
              </w:rPr>
            </w:pPr>
            <w:r>
              <w:rPr>
                <w:spacing w:val="-5"/>
                <w:sz w:val="14"/>
              </w:rPr>
              <w:t>8.9</w:t>
            </w:r>
          </w:p>
        </w:tc>
      </w:tr>
      <w:tr>
        <w:trPr>
          <w:trHeight w:val="177" w:hRule="atLeast"/>
        </w:trPr>
        <w:tc>
          <w:tcPr>
            <w:tcW w:w="5794" w:type="dxa"/>
          </w:tcPr>
          <w:p>
            <w:pPr>
              <w:pStyle w:val="TableParagraph"/>
              <w:spacing w:line="140" w:lineRule="exact" w:before="17"/>
              <w:ind w:left="107"/>
              <w:rPr>
                <w:sz w:val="14"/>
              </w:rPr>
            </w:pPr>
            <w:r>
              <w:rPr>
                <w:sz w:val="14"/>
              </w:rPr>
              <w:t>Impound</w:t>
            </w:r>
            <w:r>
              <w:rPr>
                <w:spacing w:val="-5"/>
                <w:sz w:val="14"/>
              </w:rPr>
              <w:t> </w:t>
            </w:r>
            <w:r>
              <w:rPr>
                <w:sz w:val="14"/>
              </w:rPr>
              <w:t>fee</w:t>
            </w:r>
            <w:r>
              <w:rPr>
                <w:spacing w:val="-2"/>
                <w:sz w:val="14"/>
              </w:rPr>
              <w:t> </w:t>
            </w:r>
            <w:r>
              <w:rPr>
                <w:sz w:val="14"/>
              </w:rPr>
              <w:t>-</w:t>
            </w:r>
            <w:r>
              <w:rPr>
                <w:spacing w:val="-5"/>
                <w:sz w:val="14"/>
              </w:rPr>
              <w:t> </w:t>
            </w:r>
            <w:r>
              <w:rPr>
                <w:sz w:val="14"/>
              </w:rPr>
              <w:t>small</w:t>
            </w:r>
            <w:r>
              <w:rPr>
                <w:spacing w:val="-1"/>
                <w:sz w:val="14"/>
              </w:rPr>
              <w:t> </w:t>
            </w:r>
            <w:r>
              <w:rPr>
                <w:spacing w:val="-2"/>
                <w:sz w:val="14"/>
              </w:rPr>
              <w:t>items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73.00</w:t>
            </w:r>
          </w:p>
        </w:tc>
        <w:tc>
          <w:tcPr>
            <w:tcW w:w="995" w:type="dxa"/>
          </w:tcPr>
          <w:p>
            <w:pPr>
              <w:pStyle w:val="TableParagraph"/>
              <w:spacing w:line="140" w:lineRule="exact" w:before="17"/>
              <w:ind w:right="101"/>
              <w:jc w:val="right"/>
              <w:rPr>
                <w:sz w:val="14"/>
              </w:rPr>
            </w:pPr>
            <w:r>
              <w:rPr>
                <w:spacing w:val="-2"/>
                <w:sz w:val="14"/>
              </w:rPr>
              <w:t>80.00</w:t>
            </w:r>
          </w:p>
        </w:tc>
        <w:tc>
          <w:tcPr>
            <w:tcW w:w="861" w:type="dxa"/>
          </w:tcPr>
          <w:p>
            <w:pPr>
              <w:pStyle w:val="TableParagraph"/>
              <w:spacing w:line="140" w:lineRule="exact" w:before="17"/>
              <w:ind w:left="327"/>
              <w:rPr>
                <w:sz w:val="14"/>
              </w:rPr>
            </w:pPr>
            <w:r>
              <w:rPr>
                <w:spacing w:val="-5"/>
                <w:sz w:val="14"/>
              </w:rPr>
              <w:t>8.8</w:t>
            </w:r>
          </w:p>
        </w:tc>
      </w:tr>
      <w:tr>
        <w:trPr>
          <w:trHeight w:val="177" w:hRule="atLeast"/>
        </w:trPr>
        <w:tc>
          <w:tcPr>
            <w:tcW w:w="5794" w:type="dxa"/>
          </w:tcPr>
          <w:p>
            <w:pPr>
              <w:pStyle w:val="TableParagraph"/>
              <w:spacing w:line="142" w:lineRule="exact" w:before="15"/>
              <w:ind w:left="107"/>
              <w:rPr>
                <w:sz w:val="14"/>
              </w:rPr>
            </w:pPr>
            <w:r>
              <w:rPr>
                <w:sz w:val="14"/>
              </w:rPr>
              <w:t>Impound</w:t>
            </w:r>
            <w:r>
              <w:rPr>
                <w:spacing w:val="-5"/>
                <w:sz w:val="14"/>
              </w:rPr>
              <w:t> </w:t>
            </w:r>
            <w:r>
              <w:rPr>
                <w:sz w:val="14"/>
              </w:rPr>
              <w:t>fee</w:t>
            </w:r>
            <w:r>
              <w:rPr>
                <w:spacing w:val="-2"/>
                <w:sz w:val="14"/>
              </w:rPr>
              <w:t> </w:t>
            </w:r>
            <w:r>
              <w:rPr>
                <w:sz w:val="14"/>
              </w:rPr>
              <w:t>-</w:t>
            </w:r>
            <w:r>
              <w:rPr>
                <w:spacing w:val="-4"/>
                <w:sz w:val="14"/>
              </w:rPr>
              <w:t> </w:t>
            </w:r>
            <w:r>
              <w:rPr>
                <w:sz w:val="14"/>
              </w:rPr>
              <w:t>large</w:t>
            </w:r>
            <w:r>
              <w:rPr>
                <w:spacing w:val="-3"/>
                <w:sz w:val="14"/>
              </w:rPr>
              <w:t> </w:t>
            </w:r>
            <w:r>
              <w:rPr>
                <w:spacing w:val="-2"/>
                <w:sz w:val="14"/>
              </w:rPr>
              <w:t>items</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145.00</w:t>
            </w:r>
          </w:p>
        </w:tc>
        <w:tc>
          <w:tcPr>
            <w:tcW w:w="995" w:type="dxa"/>
          </w:tcPr>
          <w:p>
            <w:pPr>
              <w:pStyle w:val="TableParagraph"/>
              <w:spacing w:line="142" w:lineRule="exact" w:before="15"/>
              <w:ind w:right="101"/>
              <w:jc w:val="right"/>
              <w:rPr>
                <w:sz w:val="14"/>
              </w:rPr>
            </w:pPr>
            <w:r>
              <w:rPr>
                <w:spacing w:val="-2"/>
                <w:sz w:val="14"/>
              </w:rPr>
              <w:t>160.00</w:t>
            </w:r>
          </w:p>
        </w:tc>
        <w:tc>
          <w:tcPr>
            <w:tcW w:w="861" w:type="dxa"/>
          </w:tcPr>
          <w:p>
            <w:pPr>
              <w:pStyle w:val="TableParagraph"/>
              <w:spacing w:line="142" w:lineRule="exact" w:before="15"/>
              <w:ind w:left="326"/>
              <w:rPr>
                <w:sz w:val="14"/>
              </w:rPr>
            </w:pPr>
            <w:r>
              <w:rPr>
                <w:spacing w:val="-5"/>
                <w:sz w:val="14"/>
              </w:rPr>
              <w:t>9.4</w:t>
            </w:r>
          </w:p>
        </w:tc>
      </w:tr>
      <w:tr>
        <w:trPr>
          <w:trHeight w:val="210" w:hRule="atLeast"/>
        </w:trPr>
        <w:tc>
          <w:tcPr>
            <w:tcW w:w="5794" w:type="dxa"/>
          </w:tcPr>
          <w:p>
            <w:pPr>
              <w:pStyle w:val="TableParagraph"/>
              <w:spacing w:line="140" w:lineRule="exact" w:before="51"/>
              <w:ind w:left="107"/>
              <w:rPr>
                <w:sz w:val="14"/>
              </w:rPr>
            </w:pPr>
            <w:r>
              <w:rPr>
                <w:sz w:val="14"/>
              </w:rPr>
              <w:t>Impound</w:t>
            </w:r>
            <w:r>
              <w:rPr>
                <w:spacing w:val="-5"/>
                <w:sz w:val="14"/>
              </w:rPr>
              <w:t> </w:t>
            </w:r>
            <w:r>
              <w:rPr>
                <w:sz w:val="14"/>
              </w:rPr>
              <w:t>fee</w:t>
            </w:r>
            <w:r>
              <w:rPr>
                <w:spacing w:val="-3"/>
                <w:sz w:val="14"/>
              </w:rPr>
              <w:t> </w:t>
            </w:r>
            <w:r>
              <w:rPr>
                <w:sz w:val="14"/>
              </w:rPr>
              <w:t>for</w:t>
            </w:r>
            <w:r>
              <w:rPr>
                <w:spacing w:val="-4"/>
                <w:sz w:val="14"/>
              </w:rPr>
              <w:t> </w:t>
            </w:r>
            <w:r>
              <w:rPr>
                <w:sz w:val="14"/>
              </w:rPr>
              <w:t>skip</w:t>
            </w:r>
            <w:r>
              <w:rPr>
                <w:spacing w:val="-5"/>
                <w:sz w:val="14"/>
              </w:rPr>
              <w:t> </w:t>
            </w:r>
            <w:r>
              <w:rPr>
                <w:sz w:val="14"/>
              </w:rPr>
              <w:t>bin,</w:t>
            </w:r>
            <w:r>
              <w:rPr>
                <w:spacing w:val="-5"/>
                <w:sz w:val="14"/>
              </w:rPr>
              <w:t> </w:t>
            </w:r>
            <w:r>
              <w:rPr>
                <w:sz w:val="14"/>
              </w:rPr>
              <w:t>bulk</w:t>
            </w:r>
            <w:r>
              <w:rPr>
                <w:spacing w:val="-4"/>
                <w:sz w:val="14"/>
              </w:rPr>
              <w:t> </w:t>
            </w:r>
            <w:r>
              <w:rPr>
                <w:sz w:val="14"/>
              </w:rPr>
              <w:t>waste</w:t>
            </w:r>
            <w:r>
              <w:rPr>
                <w:spacing w:val="-5"/>
                <w:sz w:val="14"/>
              </w:rPr>
              <w:t> </w:t>
            </w:r>
            <w:r>
              <w:rPr>
                <w:sz w:val="14"/>
              </w:rPr>
              <w:t>container,</w:t>
            </w:r>
            <w:r>
              <w:rPr>
                <w:spacing w:val="-4"/>
                <w:sz w:val="14"/>
              </w:rPr>
              <w:t> </w:t>
            </w:r>
            <w:r>
              <w:rPr>
                <w:sz w:val="14"/>
              </w:rPr>
              <w:t>shipping</w:t>
            </w:r>
            <w:r>
              <w:rPr>
                <w:spacing w:val="-5"/>
                <w:sz w:val="14"/>
              </w:rPr>
              <w:t> </w:t>
            </w:r>
            <w:r>
              <w:rPr>
                <w:sz w:val="14"/>
              </w:rPr>
              <w:t>container,</w:t>
            </w:r>
            <w:r>
              <w:rPr>
                <w:spacing w:val="-5"/>
                <w:sz w:val="14"/>
              </w:rPr>
              <w:t> </w:t>
            </w:r>
            <w:r>
              <w:rPr>
                <w:sz w:val="14"/>
              </w:rPr>
              <w:t>clothing</w:t>
            </w:r>
            <w:r>
              <w:rPr>
                <w:spacing w:val="-2"/>
                <w:sz w:val="14"/>
              </w:rPr>
              <w:t> </w:t>
            </w:r>
            <w:r>
              <w:rPr>
                <w:sz w:val="14"/>
              </w:rPr>
              <w:t>recycling</w:t>
            </w:r>
            <w:r>
              <w:rPr>
                <w:spacing w:val="-1"/>
                <w:sz w:val="14"/>
              </w:rPr>
              <w:t> </w:t>
            </w:r>
            <w:r>
              <w:rPr>
                <w:spacing w:val="-5"/>
                <w:sz w:val="14"/>
              </w:rPr>
              <w:t>bin</w:t>
            </w:r>
          </w:p>
        </w:tc>
        <w:tc>
          <w:tcPr>
            <w:tcW w:w="1131" w:type="dxa"/>
          </w:tcPr>
          <w:p>
            <w:pPr>
              <w:pStyle w:val="TableParagraph"/>
              <w:spacing w:line="140" w:lineRule="exact" w:before="51"/>
              <w:ind w:left="5"/>
              <w:jc w:val="center"/>
              <w:rPr>
                <w:sz w:val="14"/>
              </w:rPr>
            </w:pPr>
            <w:r>
              <w:rPr>
                <w:w w:val="99"/>
                <w:sz w:val="14"/>
              </w:rPr>
              <w:t>N</w:t>
            </w:r>
          </w:p>
        </w:tc>
        <w:tc>
          <w:tcPr>
            <w:tcW w:w="567" w:type="dxa"/>
          </w:tcPr>
          <w:p>
            <w:pPr>
              <w:pStyle w:val="TableParagraph"/>
              <w:spacing w:line="140" w:lineRule="exact" w:before="51"/>
              <w:ind w:left="190"/>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440.00</w:t>
            </w:r>
          </w:p>
        </w:tc>
        <w:tc>
          <w:tcPr>
            <w:tcW w:w="995" w:type="dxa"/>
          </w:tcPr>
          <w:p>
            <w:pPr>
              <w:pStyle w:val="TableParagraph"/>
              <w:spacing w:line="140" w:lineRule="exact" w:before="51"/>
              <w:ind w:right="102"/>
              <w:jc w:val="right"/>
              <w:rPr>
                <w:sz w:val="14"/>
              </w:rPr>
            </w:pPr>
            <w:r>
              <w:rPr>
                <w:spacing w:val="-2"/>
                <w:sz w:val="14"/>
              </w:rPr>
              <w:t>480.00</w:t>
            </w:r>
          </w:p>
        </w:tc>
        <w:tc>
          <w:tcPr>
            <w:tcW w:w="861" w:type="dxa"/>
          </w:tcPr>
          <w:p>
            <w:pPr>
              <w:pStyle w:val="TableParagraph"/>
              <w:spacing w:line="140" w:lineRule="exact" w:before="51"/>
              <w:ind w:left="327"/>
              <w:rPr>
                <w:sz w:val="14"/>
              </w:rPr>
            </w:pPr>
            <w:r>
              <w:rPr>
                <w:spacing w:val="-5"/>
                <w:sz w:val="14"/>
              </w:rPr>
              <w:t>8.3</w:t>
            </w:r>
          </w:p>
        </w:tc>
      </w:tr>
      <w:tr>
        <w:trPr>
          <w:trHeight w:val="177" w:hRule="atLeast"/>
        </w:trPr>
        <w:tc>
          <w:tcPr>
            <w:tcW w:w="5794" w:type="dxa"/>
          </w:tcPr>
          <w:p>
            <w:pPr>
              <w:pStyle w:val="TableParagraph"/>
              <w:spacing w:line="142" w:lineRule="exact" w:before="15"/>
              <w:ind w:left="107"/>
              <w:rPr>
                <w:sz w:val="14"/>
              </w:rPr>
            </w:pPr>
            <w:r>
              <w:rPr>
                <w:sz w:val="14"/>
              </w:rPr>
              <w:t>Impound</w:t>
            </w:r>
            <w:r>
              <w:rPr>
                <w:spacing w:val="-5"/>
                <w:sz w:val="14"/>
              </w:rPr>
              <w:t> </w:t>
            </w:r>
            <w:r>
              <w:rPr>
                <w:sz w:val="14"/>
              </w:rPr>
              <w:t>Storage</w:t>
            </w:r>
            <w:r>
              <w:rPr>
                <w:spacing w:val="-5"/>
                <w:sz w:val="14"/>
              </w:rPr>
              <w:t> </w:t>
            </w:r>
            <w:r>
              <w:rPr>
                <w:sz w:val="14"/>
              </w:rPr>
              <w:t>fee -</w:t>
            </w:r>
            <w:r>
              <w:rPr>
                <w:spacing w:val="-5"/>
                <w:sz w:val="14"/>
              </w:rPr>
              <w:t> </w:t>
            </w:r>
            <w:r>
              <w:rPr>
                <w:sz w:val="14"/>
              </w:rPr>
              <w:t>small</w:t>
            </w:r>
            <w:r>
              <w:rPr>
                <w:spacing w:val="-3"/>
                <w:sz w:val="14"/>
              </w:rPr>
              <w:t> </w:t>
            </w:r>
            <w:r>
              <w:rPr>
                <w:sz w:val="14"/>
              </w:rPr>
              <w:t>items</w:t>
            </w:r>
            <w:r>
              <w:rPr>
                <w:spacing w:val="-4"/>
                <w:sz w:val="14"/>
              </w:rPr>
              <w:t> </w:t>
            </w:r>
            <w:r>
              <w:rPr>
                <w:sz w:val="14"/>
              </w:rPr>
              <w:t>per</w:t>
            </w:r>
            <w:r>
              <w:rPr>
                <w:spacing w:val="-1"/>
                <w:sz w:val="14"/>
              </w:rPr>
              <w:t> </w:t>
            </w:r>
            <w:r>
              <w:rPr>
                <w:spacing w:val="-5"/>
                <w:sz w:val="14"/>
              </w:rPr>
              <w:t>day</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11.00</w:t>
            </w:r>
          </w:p>
        </w:tc>
        <w:tc>
          <w:tcPr>
            <w:tcW w:w="995" w:type="dxa"/>
          </w:tcPr>
          <w:p>
            <w:pPr>
              <w:pStyle w:val="TableParagraph"/>
              <w:spacing w:line="142" w:lineRule="exact" w:before="15"/>
              <w:ind w:right="101"/>
              <w:jc w:val="right"/>
              <w:rPr>
                <w:sz w:val="14"/>
              </w:rPr>
            </w:pPr>
            <w:r>
              <w:rPr>
                <w:spacing w:val="-2"/>
                <w:sz w:val="14"/>
              </w:rPr>
              <w:t>12.00</w:t>
            </w:r>
          </w:p>
        </w:tc>
        <w:tc>
          <w:tcPr>
            <w:tcW w:w="861" w:type="dxa"/>
          </w:tcPr>
          <w:p>
            <w:pPr>
              <w:pStyle w:val="TableParagraph"/>
              <w:spacing w:line="142" w:lineRule="exact" w:before="15"/>
              <w:ind w:left="326"/>
              <w:rPr>
                <w:sz w:val="14"/>
              </w:rPr>
            </w:pPr>
            <w:r>
              <w:rPr>
                <w:spacing w:val="-5"/>
                <w:sz w:val="14"/>
              </w:rPr>
              <w:t>8.3</w:t>
            </w:r>
          </w:p>
        </w:tc>
      </w:tr>
      <w:tr>
        <w:trPr>
          <w:trHeight w:val="174" w:hRule="atLeast"/>
        </w:trPr>
        <w:tc>
          <w:tcPr>
            <w:tcW w:w="5794" w:type="dxa"/>
          </w:tcPr>
          <w:p>
            <w:pPr>
              <w:pStyle w:val="TableParagraph"/>
              <w:spacing w:line="140" w:lineRule="exact" w:before="15"/>
              <w:ind w:left="107"/>
              <w:rPr>
                <w:sz w:val="14"/>
              </w:rPr>
            </w:pPr>
            <w:r>
              <w:rPr>
                <w:sz w:val="14"/>
              </w:rPr>
              <w:t>Impound</w:t>
            </w:r>
            <w:r>
              <w:rPr>
                <w:spacing w:val="-5"/>
                <w:sz w:val="14"/>
              </w:rPr>
              <w:t> </w:t>
            </w:r>
            <w:r>
              <w:rPr>
                <w:sz w:val="14"/>
              </w:rPr>
              <w:t>Storage</w:t>
            </w:r>
            <w:r>
              <w:rPr>
                <w:spacing w:val="-6"/>
                <w:sz w:val="14"/>
              </w:rPr>
              <w:t> </w:t>
            </w:r>
            <w:r>
              <w:rPr>
                <w:sz w:val="14"/>
              </w:rPr>
              <w:t>fee</w:t>
            </w:r>
            <w:r>
              <w:rPr>
                <w:spacing w:val="-1"/>
                <w:sz w:val="14"/>
              </w:rPr>
              <w:t> </w:t>
            </w:r>
            <w:r>
              <w:rPr>
                <w:sz w:val="14"/>
              </w:rPr>
              <w:t>-</w:t>
            </w:r>
            <w:r>
              <w:rPr>
                <w:spacing w:val="-5"/>
                <w:sz w:val="14"/>
              </w:rPr>
              <w:t> </w:t>
            </w:r>
            <w:r>
              <w:rPr>
                <w:sz w:val="14"/>
              </w:rPr>
              <w:t>Vehicle/large</w:t>
            </w:r>
            <w:r>
              <w:rPr>
                <w:spacing w:val="-5"/>
                <w:sz w:val="14"/>
              </w:rPr>
              <w:t> </w:t>
            </w:r>
            <w:r>
              <w:rPr>
                <w:sz w:val="14"/>
              </w:rPr>
              <w:t>item</w:t>
            </w:r>
            <w:r>
              <w:rPr>
                <w:spacing w:val="-2"/>
                <w:sz w:val="14"/>
              </w:rPr>
              <w:t> </w:t>
            </w:r>
            <w:r>
              <w:rPr>
                <w:sz w:val="14"/>
              </w:rPr>
              <w:t>per</w:t>
            </w:r>
            <w:r>
              <w:rPr>
                <w:spacing w:val="-2"/>
                <w:sz w:val="14"/>
              </w:rPr>
              <w:t> </w:t>
            </w:r>
            <w:r>
              <w:rPr>
                <w:spacing w:val="-5"/>
                <w:sz w:val="14"/>
              </w:rPr>
              <w:t>day</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27.00</w:t>
            </w:r>
          </w:p>
        </w:tc>
        <w:tc>
          <w:tcPr>
            <w:tcW w:w="995" w:type="dxa"/>
          </w:tcPr>
          <w:p>
            <w:pPr>
              <w:pStyle w:val="TableParagraph"/>
              <w:spacing w:line="140" w:lineRule="exact" w:before="15"/>
              <w:ind w:right="101"/>
              <w:jc w:val="right"/>
              <w:rPr>
                <w:sz w:val="14"/>
              </w:rPr>
            </w:pPr>
            <w:r>
              <w:rPr>
                <w:spacing w:val="-2"/>
                <w:sz w:val="14"/>
              </w:rPr>
              <w:t>30.00</w:t>
            </w:r>
          </w:p>
        </w:tc>
        <w:tc>
          <w:tcPr>
            <w:tcW w:w="861" w:type="dxa"/>
          </w:tcPr>
          <w:p>
            <w:pPr>
              <w:pStyle w:val="TableParagraph"/>
              <w:spacing w:line="140" w:lineRule="exact" w:before="15"/>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General</w:t>
            </w:r>
            <w:r>
              <w:rPr>
                <w:spacing w:val="-6"/>
                <w:sz w:val="14"/>
              </w:rPr>
              <w:t> </w:t>
            </w:r>
            <w:r>
              <w:rPr>
                <w:sz w:val="14"/>
              </w:rPr>
              <w:t>Local</w:t>
            </w:r>
            <w:r>
              <w:rPr>
                <w:spacing w:val="-2"/>
                <w:sz w:val="14"/>
              </w:rPr>
              <w:t> </w:t>
            </w:r>
            <w:r>
              <w:rPr>
                <w:sz w:val="14"/>
              </w:rPr>
              <w:t>Law</w:t>
            </w:r>
            <w:r>
              <w:rPr>
                <w:spacing w:val="-3"/>
                <w:sz w:val="14"/>
              </w:rPr>
              <w:t> </w:t>
            </w:r>
            <w:r>
              <w:rPr>
                <w:sz w:val="14"/>
              </w:rPr>
              <w:t>Permit</w:t>
            </w:r>
            <w:r>
              <w:rPr>
                <w:spacing w:val="-5"/>
                <w:sz w:val="14"/>
              </w:rPr>
              <w:t> </w:t>
            </w:r>
            <w:r>
              <w:rPr>
                <w:spacing w:val="-2"/>
                <w:sz w:val="14"/>
              </w:rPr>
              <w:t>Application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110.00</w:t>
            </w:r>
          </w:p>
        </w:tc>
        <w:tc>
          <w:tcPr>
            <w:tcW w:w="995" w:type="dxa"/>
          </w:tcPr>
          <w:p>
            <w:pPr>
              <w:pStyle w:val="TableParagraph"/>
              <w:spacing w:line="140" w:lineRule="exact" w:before="17"/>
              <w:ind w:right="102"/>
              <w:jc w:val="right"/>
              <w:rPr>
                <w:sz w:val="14"/>
              </w:rPr>
            </w:pPr>
            <w:r>
              <w:rPr>
                <w:spacing w:val="-2"/>
                <w:sz w:val="14"/>
              </w:rPr>
              <w:t>119.00</w:t>
            </w:r>
          </w:p>
        </w:tc>
        <w:tc>
          <w:tcPr>
            <w:tcW w:w="861" w:type="dxa"/>
          </w:tcPr>
          <w:p>
            <w:pPr>
              <w:pStyle w:val="TableParagraph"/>
              <w:spacing w:line="140" w:lineRule="exact" w:before="17"/>
              <w:ind w:left="327"/>
              <w:rPr>
                <w:sz w:val="14"/>
              </w:rPr>
            </w:pPr>
            <w:r>
              <w:rPr>
                <w:spacing w:val="-5"/>
                <w:sz w:val="14"/>
              </w:rPr>
              <w:t>7.6</w:t>
            </w:r>
          </w:p>
        </w:tc>
      </w:tr>
      <w:tr>
        <w:trPr>
          <w:trHeight w:val="177" w:hRule="atLeast"/>
        </w:trPr>
        <w:tc>
          <w:tcPr>
            <w:tcW w:w="5794" w:type="dxa"/>
          </w:tcPr>
          <w:p>
            <w:pPr>
              <w:pStyle w:val="TableParagraph"/>
              <w:spacing w:line="140" w:lineRule="exact" w:before="17"/>
              <w:ind w:left="107"/>
              <w:rPr>
                <w:sz w:val="14"/>
              </w:rPr>
            </w:pPr>
            <w:r>
              <w:rPr>
                <w:sz w:val="14"/>
              </w:rPr>
              <w:t>Permit</w:t>
            </w:r>
            <w:r>
              <w:rPr>
                <w:spacing w:val="-4"/>
                <w:sz w:val="14"/>
              </w:rPr>
              <w:t> </w:t>
            </w:r>
            <w:r>
              <w:rPr>
                <w:sz w:val="14"/>
              </w:rPr>
              <w:t>Clothing</w:t>
            </w:r>
            <w:r>
              <w:rPr>
                <w:spacing w:val="-6"/>
                <w:sz w:val="14"/>
              </w:rPr>
              <w:t> </w:t>
            </w:r>
            <w:r>
              <w:rPr>
                <w:sz w:val="14"/>
              </w:rPr>
              <w:t>Bin</w:t>
            </w:r>
            <w:r>
              <w:rPr>
                <w:spacing w:val="-3"/>
                <w:sz w:val="14"/>
              </w:rPr>
              <w:t> </w:t>
            </w:r>
            <w:r>
              <w:rPr>
                <w:sz w:val="14"/>
              </w:rPr>
              <w:t>on</w:t>
            </w:r>
            <w:r>
              <w:rPr>
                <w:spacing w:val="-2"/>
                <w:sz w:val="14"/>
              </w:rPr>
              <w:t> </w:t>
            </w:r>
            <w:r>
              <w:rPr>
                <w:sz w:val="14"/>
              </w:rPr>
              <w:t>Council</w:t>
            </w:r>
            <w:r>
              <w:rPr>
                <w:spacing w:val="-1"/>
                <w:sz w:val="14"/>
              </w:rPr>
              <w:t> </w:t>
            </w:r>
            <w:r>
              <w:rPr>
                <w:spacing w:val="-4"/>
                <w:sz w:val="14"/>
              </w:rPr>
              <w:t>Land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1,260.00</w:t>
            </w:r>
          </w:p>
        </w:tc>
        <w:tc>
          <w:tcPr>
            <w:tcW w:w="995" w:type="dxa"/>
          </w:tcPr>
          <w:p>
            <w:pPr>
              <w:pStyle w:val="TableParagraph"/>
              <w:spacing w:line="140" w:lineRule="exact" w:before="17"/>
              <w:ind w:right="101"/>
              <w:jc w:val="right"/>
              <w:rPr>
                <w:sz w:val="14"/>
              </w:rPr>
            </w:pPr>
            <w:r>
              <w:rPr>
                <w:spacing w:val="-2"/>
                <w:sz w:val="14"/>
              </w:rPr>
              <w:t>1,365.00</w:t>
            </w:r>
          </w:p>
        </w:tc>
        <w:tc>
          <w:tcPr>
            <w:tcW w:w="861" w:type="dxa"/>
          </w:tcPr>
          <w:p>
            <w:pPr>
              <w:pStyle w:val="TableParagraph"/>
              <w:spacing w:line="140" w:lineRule="exact" w:before="17"/>
              <w:ind w:left="327"/>
              <w:rPr>
                <w:sz w:val="14"/>
              </w:rPr>
            </w:pPr>
            <w:r>
              <w:rPr>
                <w:spacing w:val="-5"/>
                <w:sz w:val="14"/>
              </w:rPr>
              <w:t>7.7</w:t>
            </w:r>
          </w:p>
        </w:tc>
      </w:tr>
      <w:tr>
        <w:trPr>
          <w:trHeight w:val="177" w:hRule="atLeast"/>
        </w:trPr>
        <w:tc>
          <w:tcPr>
            <w:tcW w:w="5794" w:type="dxa"/>
          </w:tcPr>
          <w:p>
            <w:pPr>
              <w:pStyle w:val="TableParagraph"/>
              <w:spacing w:line="140" w:lineRule="exact" w:before="17"/>
              <w:ind w:left="107"/>
              <w:rPr>
                <w:b/>
                <w:sz w:val="14"/>
              </w:rPr>
            </w:pPr>
            <w:r>
              <w:rPr>
                <w:b/>
                <w:spacing w:val="-2"/>
                <w:sz w:val="14"/>
              </w:rPr>
              <w:t>Animals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Domestic</w:t>
            </w:r>
            <w:r>
              <w:rPr>
                <w:spacing w:val="-5"/>
                <w:sz w:val="14"/>
              </w:rPr>
              <w:t> </w:t>
            </w:r>
            <w:r>
              <w:rPr>
                <w:sz w:val="14"/>
              </w:rPr>
              <w:t>Animal</w:t>
            </w:r>
            <w:r>
              <w:rPr>
                <w:spacing w:val="-5"/>
                <w:sz w:val="14"/>
              </w:rPr>
              <w:t> </w:t>
            </w:r>
            <w:r>
              <w:rPr>
                <w:sz w:val="14"/>
              </w:rPr>
              <w:t>Business</w:t>
            </w:r>
            <w:r>
              <w:rPr>
                <w:spacing w:val="-4"/>
                <w:sz w:val="14"/>
              </w:rPr>
              <w:t> </w:t>
            </w:r>
            <w:r>
              <w:rPr>
                <w:spacing w:val="-2"/>
                <w:sz w:val="14"/>
              </w:rPr>
              <w:t>Registration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260.00</w:t>
            </w:r>
          </w:p>
        </w:tc>
        <w:tc>
          <w:tcPr>
            <w:tcW w:w="995" w:type="dxa"/>
          </w:tcPr>
          <w:p>
            <w:pPr>
              <w:pStyle w:val="TableParagraph"/>
              <w:spacing w:line="140" w:lineRule="exact" w:before="17"/>
              <w:ind w:right="102"/>
              <w:jc w:val="right"/>
              <w:rPr>
                <w:sz w:val="14"/>
              </w:rPr>
            </w:pPr>
            <w:r>
              <w:rPr>
                <w:spacing w:val="-2"/>
                <w:sz w:val="14"/>
              </w:rPr>
              <w:t>280.00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Animal</w:t>
            </w:r>
            <w:r>
              <w:rPr>
                <w:spacing w:val="-4"/>
                <w:sz w:val="14"/>
              </w:rPr>
              <w:t> </w:t>
            </w:r>
            <w:r>
              <w:rPr>
                <w:sz w:val="14"/>
              </w:rPr>
              <w:t>Registration</w:t>
            </w:r>
            <w:r>
              <w:rPr>
                <w:spacing w:val="-5"/>
                <w:sz w:val="14"/>
              </w:rPr>
              <w:t> </w:t>
            </w:r>
            <w:r>
              <w:rPr>
                <w:sz w:val="14"/>
              </w:rPr>
              <w:t>-</w:t>
            </w:r>
            <w:r>
              <w:rPr>
                <w:spacing w:val="-2"/>
                <w:sz w:val="14"/>
              </w:rPr>
              <w:t> </w:t>
            </w:r>
            <w:r>
              <w:rPr>
                <w:sz w:val="14"/>
              </w:rPr>
              <w:t>Dog</w:t>
            </w:r>
            <w:r>
              <w:rPr>
                <w:spacing w:val="-3"/>
                <w:sz w:val="14"/>
              </w:rPr>
              <w:t> </w:t>
            </w:r>
            <w:r>
              <w:rPr>
                <w:sz w:val="14"/>
              </w:rPr>
              <w:t>-</w:t>
            </w:r>
            <w:r>
              <w:rPr>
                <w:spacing w:val="-2"/>
                <w:sz w:val="14"/>
              </w:rPr>
              <w:t> </w:t>
            </w:r>
            <w:r>
              <w:rPr>
                <w:sz w:val="14"/>
              </w:rPr>
              <w:t>Microchipped</w:t>
            </w:r>
            <w:r>
              <w:rPr>
                <w:spacing w:val="-2"/>
                <w:sz w:val="14"/>
              </w:rPr>
              <w:t> </w:t>
            </w:r>
            <w:r>
              <w:rPr>
                <w:sz w:val="14"/>
              </w:rPr>
              <w:t>-</w:t>
            </w:r>
            <w:r>
              <w:rPr>
                <w:spacing w:val="-5"/>
                <w:sz w:val="14"/>
              </w:rPr>
              <w:t> </w:t>
            </w:r>
            <w:r>
              <w:rPr>
                <w:spacing w:val="-2"/>
                <w:sz w:val="14"/>
              </w:rPr>
              <w:t>Desexed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59.00</w:t>
            </w:r>
          </w:p>
        </w:tc>
        <w:tc>
          <w:tcPr>
            <w:tcW w:w="995" w:type="dxa"/>
          </w:tcPr>
          <w:p>
            <w:pPr>
              <w:pStyle w:val="TableParagraph"/>
              <w:spacing w:line="140" w:lineRule="exact" w:before="17"/>
              <w:ind w:right="101"/>
              <w:jc w:val="right"/>
              <w:rPr>
                <w:sz w:val="14"/>
              </w:rPr>
            </w:pPr>
            <w:r>
              <w:rPr>
                <w:spacing w:val="-2"/>
                <w:sz w:val="14"/>
              </w:rPr>
              <w:t>63.00</w:t>
            </w:r>
          </w:p>
        </w:tc>
        <w:tc>
          <w:tcPr>
            <w:tcW w:w="861" w:type="dxa"/>
          </w:tcPr>
          <w:p>
            <w:pPr>
              <w:pStyle w:val="TableParagraph"/>
              <w:spacing w:line="140" w:lineRule="exact" w:before="17"/>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Animal</w:t>
            </w:r>
            <w:r>
              <w:rPr>
                <w:spacing w:val="-4"/>
                <w:sz w:val="14"/>
              </w:rPr>
              <w:t> </w:t>
            </w:r>
            <w:r>
              <w:rPr>
                <w:sz w:val="14"/>
              </w:rPr>
              <w:t>Registration</w:t>
            </w:r>
            <w:r>
              <w:rPr>
                <w:spacing w:val="-5"/>
                <w:sz w:val="14"/>
              </w:rPr>
              <w:t> </w:t>
            </w:r>
            <w:r>
              <w:rPr>
                <w:sz w:val="14"/>
              </w:rPr>
              <w:t>-</w:t>
            </w:r>
            <w:r>
              <w:rPr>
                <w:spacing w:val="-1"/>
                <w:sz w:val="14"/>
              </w:rPr>
              <w:t> </w:t>
            </w:r>
            <w:r>
              <w:rPr>
                <w:sz w:val="14"/>
              </w:rPr>
              <w:t>Dog</w:t>
            </w:r>
            <w:r>
              <w:rPr>
                <w:spacing w:val="-4"/>
                <w:sz w:val="14"/>
              </w:rPr>
              <w:t> </w:t>
            </w:r>
            <w:r>
              <w:rPr>
                <w:sz w:val="14"/>
              </w:rPr>
              <w:t>-</w:t>
            </w:r>
            <w:r>
              <w:rPr>
                <w:spacing w:val="-2"/>
                <w:sz w:val="14"/>
              </w:rPr>
              <w:t> </w:t>
            </w:r>
            <w:r>
              <w:rPr>
                <w:sz w:val="14"/>
              </w:rPr>
              <w:t>Microchipped</w:t>
            </w:r>
            <w:r>
              <w:rPr>
                <w:spacing w:val="-2"/>
                <w:sz w:val="14"/>
              </w:rPr>
              <w:t> </w:t>
            </w:r>
            <w:r>
              <w:rPr>
                <w:sz w:val="14"/>
              </w:rPr>
              <w:t>-</w:t>
            </w:r>
            <w:r>
              <w:rPr>
                <w:spacing w:val="-4"/>
                <w:sz w:val="14"/>
              </w:rPr>
              <w:t> </w:t>
            </w:r>
            <w:r>
              <w:rPr>
                <w:sz w:val="14"/>
              </w:rPr>
              <w:t>Desexed</w:t>
            </w:r>
            <w:r>
              <w:rPr>
                <w:spacing w:val="-2"/>
                <w:sz w:val="14"/>
              </w:rPr>
              <w:t> </w:t>
            </w:r>
            <w:r>
              <w:rPr>
                <w:sz w:val="14"/>
              </w:rPr>
              <w:t>-</w:t>
            </w:r>
            <w:r>
              <w:rPr>
                <w:spacing w:val="-5"/>
                <w:sz w:val="14"/>
              </w:rPr>
              <w:t> </w:t>
            </w:r>
            <w:r>
              <w:rPr>
                <w:spacing w:val="-2"/>
                <w:sz w:val="14"/>
              </w:rPr>
              <w:t>Pensioner/Concession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29.50</w:t>
            </w:r>
          </w:p>
        </w:tc>
        <w:tc>
          <w:tcPr>
            <w:tcW w:w="995" w:type="dxa"/>
          </w:tcPr>
          <w:p>
            <w:pPr>
              <w:pStyle w:val="TableParagraph"/>
              <w:spacing w:line="140" w:lineRule="exact" w:before="17"/>
              <w:ind w:right="101"/>
              <w:jc w:val="right"/>
              <w:rPr>
                <w:sz w:val="14"/>
              </w:rPr>
            </w:pPr>
            <w:r>
              <w:rPr>
                <w:spacing w:val="-2"/>
                <w:sz w:val="14"/>
              </w:rPr>
              <w:t>31.50</w:t>
            </w:r>
          </w:p>
        </w:tc>
        <w:tc>
          <w:tcPr>
            <w:tcW w:w="861" w:type="dxa"/>
          </w:tcPr>
          <w:p>
            <w:pPr>
              <w:pStyle w:val="TableParagraph"/>
              <w:spacing w:line="140" w:lineRule="exact" w:before="17"/>
              <w:ind w:left="327"/>
              <w:rPr>
                <w:sz w:val="14"/>
              </w:rPr>
            </w:pPr>
            <w:r>
              <w:rPr>
                <w:spacing w:val="-5"/>
                <w:sz w:val="14"/>
              </w:rPr>
              <w:t>6.3</w:t>
            </w:r>
          </w:p>
        </w:tc>
      </w:tr>
    </w:tbl>
    <w:p>
      <w:pPr>
        <w:spacing w:after="0" w:line="140" w:lineRule="exact"/>
        <w:rPr>
          <w:sz w:val="14"/>
        </w:rPr>
        <w:sectPr>
          <w:type w:val="continuous"/>
          <w:pgSz w:w="11910" w:h="16840"/>
          <w:pgMar w:header="0" w:footer="687" w:top="920" w:bottom="1097"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239" w:hRule="atLeast"/>
        </w:trPr>
        <w:tc>
          <w:tcPr>
            <w:tcW w:w="5794" w:type="dxa"/>
          </w:tcPr>
          <w:p>
            <w:pPr>
              <w:pStyle w:val="TableParagraph"/>
              <w:spacing w:line="140" w:lineRule="exact" w:before="80"/>
              <w:ind w:left="107"/>
              <w:rPr>
                <w:sz w:val="14"/>
              </w:rPr>
            </w:pPr>
            <w:r>
              <w:rPr>
                <w:sz w:val="14"/>
              </w:rPr>
              <w:t>Animal</w:t>
            </w:r>
            <w:r>
              <w:rPr>
                <w:spacing w:val="-4"/>
                <w:sz w:val="14"/>
              </w:rPr>
              <w:t> </w:t>
            </w:r>
            <w:r>
              <w:rPr>
                <w:sz w:val="14"/>
              </w:rPr>
              <w:t>Registration</w:t>
            </w:r>
            <w:r>
              <w:rPr>
                <w:spacing w:val="-5"/>
                <w:sz w:val="14"/>
              </w:rPr>
              <w:t> </w:t>
            </w:r>
            <w:r>
              <w:rPr>
                <w:sz w:val="14"/>
              </w:rPr>
              <w:t>-</w:t>
            </w:r>
            <w:r>
              <w:rPr>
                <w:spacing w:val="-2"/>
                <w:sz w:val="14"/>
              </w:rPr>
              <w:t> </w:t>
            </w:r>
            <w:r>
              <w:rPr>
                <w:sz w:val="14"/>
              </w:rPr>
              <w:t>Dog</w:t>
            </w:r>
            <w:r>
              <w:rPr>
                <w:spacing w:val="-3"/>
                <w:sz w:val="14"/>
              </w:rPr>
              <w:t> </w:t>
            </w:r>
            <w:r>
              <w:rPr>
                <w:sz w:val="14"/>
              </w:rPr>
              <w:t>-</w:t>
            </w:r>
            <w:r>
              <w:rPr>
                <w:spacing w:val="-2"/>
                <w:sz w:val="14"/>
              </w:rPr>
              <w:t> </w:t>
            </w:r>
            <w:r>
              <w:rPr>
                <w:sz w:val="14"/>
              </w:rPr>
              <w:t>Microchipped</w:t>
            </w:r>
            <w:r>
              <w:rPr>
                <w:spacing w:val="-2"/>
                <w:sz w:val="14"/>
              </w:rPr>
              <w:t> </w:t>
            </w:r>
            <w:r>
              <w:rPr>
                <w:sz w:val="14"/>
              </w:rPr>
              <w:t>-</w:t>
            </w:r>
            <w:r>
              <w:rPr>
                <w:spacing w:val="-5"/>
                <w:sz w:val="14"/>
              </w:rPr>
              <w:t> </w:t>
            </w:r>
            <w:r>
              <w:rPr>
                <w:spacing w:val="-2"/>
                <w:sz w:val="14"/>
              </w:rPr>
              <w:t>Entire</w:t>
            </w:r>
          </w:p>
        </w:tc>
        <w:tc>
          <w:tcPr>
            <w:tcW w:w="1131" w:type="dxa"/>
          </w:tcPr>
          <w:p>
            <w:pPr>
              <w:pStyle w:val="TableParagraph"/>
              <w:spacing w:line="140" w:lineRule="exact" w:before="80"/>
              <w:ind w:left="512"/>
              <w:rPr>
                <w:sz w:val="14"/>
              </w:rPr>
            </w:pPr>
            <w:r>
              <w:rPr>
                <w:w w:val="99"/>
                <w:sz w:val="14"/>
              </w:rPr>
              <w:t>N</w:t>
            </w:r>
          </w:p>
        </w:tc>
        <w:tc>
          <w:tcPr>
            <w:tcW w:w="567" w:type="dxa"/>
          </w:tcPr>
          <w:p>
            <w:pPr>
              <w:pStyle w:val="TableParagraph"/>
              <w:spacing w:line="140" w:lineRule="exact" w:before="80"/>
              <w:ind w:left="190"/>
              <w:rPr>
                <w:sz w:val="14"/>
              </w:rPr>
            </w:pPr>
            <w:r>
              <w:rPr>
                <w:spacing w:val="-5"/>
                <w:sz w:val="14"/>
              </w:rPr>
              <w:t>No</w:t>
            </w:r>
          </w:p>
        </w:tc>
        <w:tc>
          <w:tcPr>
            <w:tcW w:w="997" w:type="dxa"/>
          </w:tcPr>
          <w:p>
            <w:pPr>
              <w:pStyle w:val="TableParagraph"/>
              <w:spacing w:line="140" w:lineRule="exact" w:before="80"/>
              <w:ind w:right="100"/>
              <w:jc w:val="right"/>
              <w:rPr>
                <w:sz w:val="14"/>
              </w:rPr>
            </w:pPr>
            <w:r>
              <w:rPr>
                <w:spacing w:val="-2"/>
                <w:sz w:val="14"/>
              </w:rPr>
              <w:t>190.00</w:t>
            </w:r>
          </w:p>
        </w:tc>
        <w:tc>
          <w:tcPr>
            <w:tcW w:w="995" w:type="dxa"/>
          </w:tcPr>
          <w:p>
            <w:pPr>
              <w:pStyle w:val="TableParagraph"/>
              <w:spacing w:line="140" w:lineRule="exact" w:before="80"/>
              <w:ind w:right="102"/>
              <w:jc w:val="right"/>
              <w:rPr>
                <w:sz w:val="14"/>
              </w:rPr>
            </w:pPr>
            <w:r>
              <w:rPr>
                <w:spacing w:val="-2"/>
                <w:sz w:val="14"/>
              </w:rPr>
              <w:t>206.00</w:t>
            </w:r>
          </w:p>
        </w:tc>
        <w:tc>
          <w:tcPr>
            <w:tcW w:w="861" w:type="dxa"/>
          </w:tcPr>
          <w:p>
            <w:pPr>
              <w:pStyle w:val="TableParagraph"/>
              <w:spacing w:line="140" w:lineRule="exact" w:before="80"/>
              <w:ind w:left="327"/>
              <w:rPr>
                <w:sz w:val="14"/>
              </w:rPr>
            </w:pPr>
            <w:r>
              <w:rPr>
                <w:spacing w:val="-5"/>
                <w:sz w:val="14"/>
              </w:rPr>
              <w:t>7.8</w:t>
            </w:r>
          </w:p>
        </w:tc>
      </w:tr>
      <w:tr>
        <w:trPr>
          <w:trHeight w:val="225" w:hRule="atLeast"/>
        </w:trPr>
        <w:tc>
          <w:tcPr>
            <w:tcW w:w="5794" w:type="dxa"/>
          </w:tcPr>
          <w:p>
            <w:pPr>
              <w:pStyle w:val="TableParagraph"/>
              <w:spacing w:line="140" w:lineRule="exact" w:before="65"/>
              <w:ind w:left="107"/>
              <w:rPr>
                <w:sz w:val="14"/>
              </w:rPr>
            </w:pPr>
            <w:r>
              <w:rPr>
                <w:sz w:val="14"/>
              </w:rPr>
              <w:t>Animal</w:t>
            </w:r>
            <w:r>
              <w:rPr>
                <w:spacing w:val="-4"/>
                <w:sz w:val="14"/>
              </w:rPr>
              <w:t> </w:t>
            </w:r>
            <w:r>
              <w:rPr>
                <w:sz w:val="14"/>
              </w:rPr>
              <w:t>Registration</w:t>
            </w:r>
            <w:r>
              <w:rPr>
                <w:spacing w:val="-4"/>
                <w:sz w:val="14"/>
              </w:rPr>
              <w:t> </w:t>
            </w:r>
            <w:r>
              <w:rPr>
                <w:sz w:val="14"/>
              </w:rPr>
              <w:t>-</w:t>
            </w:r>
            <w:r>
              <w:rPr>
                <w:spacing w:val="-2"/>
                <w:sz w:val="14"/>
              </w:rPr>
              <w:t> </w:t>
            </w:r>
            <w:r>
              <w:rPr>
                <w:sz w:val="14"/>
              </w:rPr>
              <w:t>Dog</w:t>
            </w:r>
            <w:r>
              <w:rPr>
                <w:spacing w:val="-3"/>
                <w:sz w:val="14"/>
              </w:rPr>
              <w:t> </w:t>
            </w:r>
            <w:r>
              <w:rPr>
                <w:sz w:val="14"/>
              </w:rPr>
              <w:t>-</w:t>
            </w:r>
            <w:r>
              <w:rPr>
                <w:spacing w:val="-1"/>
                <w:sz w:val="14"/>
              </w:rPr>
              <w:t> </w:t>
            </w:r>
            <w:r>
              <w:rPr>
                <w:sz w:val="14"/>
              </w:rPr>
              <w:t>Microchipped</w:t>
            </w:r>
            <w:r>
              <w:rPr>
                <w:spacing w:val="-2"/>
                <w:sz w:val="14"/>
              </w:rPr>
              <w:t> </w:t>
            </w:r>
            <w:r>
              <w:rPr>
                <w:sz w:val="14"/>
              </w:rPr>
              <w:t>-</w:t>
            </w:r>
            <w:r>
              <w:rPr>
                <w:spacing w:val="-4"/>
                <w:sz w:val="14"/>
              </w:rPr>
              <w:t> </w:t>
            </w:r>
            <w:r>
              <w:rPr>
                <w:sz w:val="14"/>
              </w:rPr>
              <w:t>Entire</w:t>
            </w:r>
            <w:r>
              <w:rPr>
                <w:spacing w:val="-2"/>
                <w:sz w:val="14"/>
              </w:rPr>
              <w:t> </w:t>
            </w:r>
            <w:r>
              <w:rPr>
                <w:sz w:val="14"/>
              </w:rPr>
              <w:t>-</w:t>
            </w:r>
            <w:r>
              <w:rPr>
                <w:spacing w:val="-5"/>
                <w:sz w:val="14"/>
              </w:rPr>
              <w:t> </w:t>
            </w:r>
            <w:r>
              <w:rPr>
                <w:spacing w:val="-2"/>
                <w:sz w:val="14"/>
              </w:rPr>
              <w:t>Pensioner/Concession</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90"/>
              <w:rPr>
                <w:sz w:val="14"/>
              </w:rPr>
            </w:pPr>
            <w:r>
              <w:rPr>
                <w:spacing w:val="-5"/>
                <w:sz w:val="14"/>
              </w:rPr>
              <w:t>No</w:t>
            </w:r>
          </w:p>
        </w:tc>
        <w:tc>
          <w:tcPr>
            <w:tcW w:w="997" w:type="dxa"/>
          </w:tcPr>
          <w:p>
            <w:pPr>
              <w:pStyle w:val="TableParagraph"/>
              <w:spacing w:line="140" w:lineRule="exact" w:before="65"/>
              <w:ind w:right="100"/>
              <w:jc w:val="right"/>
              <w:rPr>
                <w:sz w:val="14"/>
              </w:rPr>
            </w:pPr>
            <w:r>
              <w:rPr>
                <w:spacing w:val="-2"/>
                <w:sz w:val="14"/>
              </w:rPr>
              <w:t>95.00</w:t>
            </w:r>
          </w:p>
        </w:tc>
        <w:tc>
          <w:tcPr>
            <w:tcW w:w="995" w:type="dxa"/>
          </w:tcPr>
          <w:p>
            <w:pPr>
              <w:pStyle w:val="TableParagraph"/>
              <w:spacing w:line="140" w:lineRule="exact" w:before="65"/>
              <w:ind w:right="102"/>
              <w:jc w:val="right"/>
              <w:rPr>
                <w:sz w:val="14"/>
              </w:rPr>
            </w:pPr>
            <w:r>
              <w:rPr>
                <w:spacing w:val="-2"/>
                <w:sz w:val="14"/>
              </w:rPr>
              <w:t>103.00</w:t>
            </w:r>
          </w:p>
        </w:tc>
        <w:tc>
          <w:tcPr>
            <w:tcW w:w="861" w:type="dxa"/>
          </w:tcPr>
          <w:p>
            <w:pPr>
              <w:pStyle w:val="TableParagraph"/>
              <w:spacing w:line="140" w:lineRule="exact" w:before="65"/>
              <w:ind w:left="327"/>
              <w:rPr>
                <w:sz w:val="14"/>
              </w:rPr>
            </w:pPr>
            <w:r>
              <w:rPr>
                <w:spacing w:val="-5"/>
                <w:sz w:val="14"/>
              </w:rPr>
              <w:t>7.8</w:t>
            </w:r>
          </w:p>
        </w:tc>
      </w:tr>
      <w:tr>
        <w:trPr>
          <w:trHeight w:val="421" w:hRule="atLeast"/>
        </w:trPr>
        <w:tc>
          <w:tcPr>
            <w:tcW w:w="5794" w:type="dxa"/>
          </w:tcPr>
          <w:p>
            <w:pPr>
              <w:pStyle w:val="TableParagraph"/>
              <w:spacing w:line="160" w:lineRule="atLeast" w:before="81"/>
              <w:ind w:left="107"/>
              <w:rPr>
                <w:sz w:val="14"/>
              </w:rPr>
            </w:pPr>
            <w:r>
              <w:rPr>
                <w:sz w:val="14"/>
              </w:rPr>
              <w:t>Animal</w:t>
            </w:r>
            <w:r>
              <w:rPr>
                <w:spacing w:val="-4"/>
                <w:sz w:val="14"/>
              </w:rPr>
              <w:t> </w:t>
            </w:r>
            <w:r>
              <w:rPr>
                <w:sz w:val="14"/>
              </w:rPr>
              <w:t>Registrations</w:t>
            </w:r>
            <w:r>
              <w:rPr>
                <w:spacing w:val="-4"/>
                <w:sz w:val="14"/>
              </w:rPr>
              <w:t> </w:t>
            </w:r>
            <w:r>
              <w:rPr>
                <w:sz w:val="14"/>
              </w:rPr>
              <w:t>Dogs</w:t>
            </w:r>
            <w:r>
              <w:rPr>
                <w:spacing w:val="-2"/>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5"/>
                <w:sz w:val="14"/>
              </w:rPr>
              <w:t> </w:t>
            </w:r>
            <w:r>
              <w:rPr>
                <w:sz w:val="14"/>
              </w:rPr>
              <w:t>AND</w:t>
            </w:r>
            <w:r>
              <w:rPr>
                <w:spacing w:val="-4"/>
                <w:sz w:val="14"/>
              </w:rPr>
              <w:t> </w:t>
            </w:r>
            <w:r>
              <w:rPr>
                <w:sz w:val="14"/>
              </w:rPr>
              <w:t>registered</w:t>
            </w:r>
            <w:r>
              <w:rPr>
                <w:spacing w:val="-3"/>
                <w:sz w:val="14"/>
              </w:rPr>
              <w:t> </w:t>
            </w:r>
            <w:r>
              <w:rPr>
                <w:sz w:val="14"/>
              </w:rPr>
              <w:t>with</w:t>
            </w:r>
            <w:r>
              <w:rPr>
                <w:spacing w:val="-5"/>
                <w:sz w:val="14"/>
              </w:rPr>
              <w:t> </w:t>
            </w:r>
            <w:r>
              <w:rPr>
                <w:sz w:val="14"/>
              </w:rPr>
              <w:t>Dogs</w:t>
            </w:r>
            <w:r>
              <w:rPr>
                <w:spacing w:val="40"/>
                <w:sz w:val="14"/>
              </w:rPr>
              <w:t> </w:t>
            </w:r>
            <w:r>
              <w:rPr>
                <w:sz w:val="14"/>
              </w:rPr>
              <w:t>Victoria (for breeding purposes) - Full fee</w:t>
            </w:r>
          </w:p>
        </w:tc>
        <w:tc>
          <w:tcPr>
            <w:tcW w:w="1131" w:type="dxa"/>
          </w:tcPr>
          <w:p>
            <w:pPr>
              <w:pStyle w:val="TableParagraph"/>
              <w:spacing w:before="9"/>
              <w:rPr>
                <w:sz w:val="22"/>
              </w:rPr>
            </w:pPr>
          </w:p>
          <w:p>
            <w:pPr>
              <w:pStyle w:val="TableParagraph"/>
              <w:spacing w:line="140" w:lineRule="exact"/>
              <w:ind w:left="512"/>
              <w:rPr>
                <w:sz w:val="14"/>
              </w:rPr>
            </w:pPr>
            <w:r>
              <w:rPr>
                <w:w w:val="99"/>
                <w:sz w:val="14"/>
              </w:rPr>
              <w:t>N</w:t>
            </w:r>
          </w:p>
        </w:tc>
        <w:tc>
          <w:tcPr>
            <w:tcW w:w="567" w:type="dxa"/>
          </w:tcPr>
          <w:p>
            <w:pPr>
              <w:pStyle w:val="TableParagraph"/>
              <w:spacing w:before="9"/>
              <w:rPr>
                <w:sz w:val="22"/>
              </w:rPr>
            </w:pPr>
          </w:p>
          <w:p>
            <w:pPr>
              <w:pStyle w:val="TableParagraph"/>
              <w:spacing w:line="140" w:lineRule="exact"/>
              <w:ind w:left="190"/>
              <w:rPr>
                <w:sz w:val="14"/>
              </w:rPr>
            </w:pPr>
            <w:r>
              <w:rPr>
                <w:spacing w:val="-5"/>
                <w:sz w:val="14"/>
              </w:rPr>
              <w:t>No</w:t>
            </w:r>
          </w:p>
        </w:tc>
        <w:tc>
          <w:tcPr>
            <w:tcW w:w="997" w:type="dxa"/>
          </w:tcPr>
          <w:p>
            <w:pPr>
              <w:pStyle w:val="TableParagraph"/>
              <w:spacing w:before="9"/>
              <w:rPr>
                <w:sz w:val="22"/>
              </w:rPr>
            </w:pPr>
          </w:p>
          <w:p>
            <w:pPr>
              <w:pStyle w:val="TableParagraph"/>
              <w:spacing w:line="140" w:lineRule="exact"/>
              <w:ind w:right="100"/>
              <w:jc w:val="right"/>
              <w:rPr>
                <w:sz w:val="14"/>
              </w:rPr>
            </w:pPr>
            <w:r>
              <w:rPr>
                <w:spacing w:val="-2"/>
                <w:sz w:val="14"/>
              </w:rPr>
              <w:t>59.00</w:t>
            </w:r>
          </w:p>
        </w:tc>
        <w:tc>
          <w:tcPr>
            <w:tcW w:w="995" w:type="dxa"/>
          </w:tcPr>
          <w:p>
            <w:pPr>
              <w:pStyle w:val="TableParagraph"/>
              <w:spacing w:before="9"/>
              <w:rPr>
                <w:sz w:val="22"/>
              </w:rPr>
            </w:pPr>
          </w:p>
          <w:p>
            <w:pPr>
              <w:pStyle w:val="TableParagraph"/>
              <w:spacing w:line="140" w:lineRule="exact"/>
              <w:ind w:right="101"/>
              <w:jc w:val="right"/>
              <w:rPr>
                <w:sz w:val="14"/>
              </w:rPr>
            </w:pPr>
            <w:r>
              <w:rPr>
                <w:spacing w:val="-2"/>
                <w:sz w:val="14"/>
              </w:rPr>
              <w:t>63.00</w:t>
            </w:r>
          </w:p>
        </w:tc>
        <w:tc>
          <w:tcPr>
            <w:tcW w:w="861" w:type="dxa"/>
          </w:tcPr>
          <w:p>
            <w:pPr>
              <w:pStyle w:val="TableParagraph"/>
              <w:spacing w:before="9"/>
              <w:rPr>
                <w:sz w:val="22"/>
              </w:rPr>
            </w:pPr>
          </w:p>
          <w:p>
            <w:pPr>
              <w:pStyle w:val="TableParagraph"/>
              <w:spacing w:line="140" w:lineRule="exact"/>
              <w:ind w:left="327"/>
              <w:rPr>
                <w:sz w:val="14"/>
              </w:rPr>
            </w:pPr>
            <w:r>
              <w:rPr>
                <w:spacing w:val="-5"/>
                <w:sz w:val="14"/>
              </w:rPr>
              <w:t>6.3</w:t>
            </w:r>
          </w:p>
        </w:tc>
      </w:tr>
      <w:tr>
        <w:trPr>
          <w:trHeight w:val="422" w:hRule="atLeast"/>
        </w:trPr>
        <w:tc>
          <w:tcPr>
            <w:tcW w:w="5794" w:type="dxa"/>
          </w:tcPr>
          <w:p>
            <w:pPr>
              <w:pStyle w:val="TableParagraph"/>
              <w:spacing w:line="160" w:lineRule="atLeast" w:before="81"/>
              <w:ind w:left="107"/>
              <w:rPr>
                <w:sz w:val="14"/>
              </w:rPr>
            </w:pPr>
            <w:r>
              <w:rPr>
                <w:sz w:val="14"/>
              </w:rPr>
              <w:t>Animal</w:t>
            </w:r>
            <w:r>
              <w:rPr>
                <w:spacing w:val="-4"/>
                <w:sz w:val="14"/>
              </w:rPr>
              <w:t> </w:t>
            </w:r>
            <w:r>
              <w:rPr>
                <w:sz w:val="14"/>
              </w:rPr>
              <w:t>Registrations</w:t>
            </w:r>
            <w:r>
              <w:rPr>
                <w:spacing w:val="-4"/>
                <w:sz w:val="14"/>
              </w:rPr>
              <w:t> </w:t>
            </w:r>
            <w:r>
              <w:rPr>
                <w:sz w:val="14"/>
              </w:rPr>
              <w:t>Dogs</w:t>
            </w:r>
            <w:r>
              <w:rPr>
                <w:spacing w:val="-2"/>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5"/>
                <w:sz w:val="14"/>
              </w:rPr>
              <w:t> </w:t>
            </w:r>
            <w:r>
              <w:rPr>
                <w:sz w:val="14"/>
              </w:rPr>
              <w:t>AND</w:t>
            </w:r>
            <w:r>
              <w:rPr>
                <w:spacing w:val="-4"/>
                <w:sz w:val="14"/>
              </w:rPr>
              <w:t> </w:t>
            </w:r>
            <w:r>
              <w:rPr>
                <w:sz w:val="14"/>
              </w:rPr>
              <w:t>registered</w:t>
            </w:r>
            <w:r>
              <w:rPr>
                <w:spacing w:val="-3"/>
                <w:sz w:val="14"/>
              </w:rPr>
              <w:t> </w:t>
            </w:r>
            <w:r>
              <w:rPr>
                <w:sz w:val="14"/>
              </w:rPr>
              <w:t>with</w:t>
            </w:r>
            <w:r>
              <w:rPr>
                <w:spacing w:val="-5"/>
                <w:sz w:val="14"/>
              </w:rPr>
              <w:t> </w:t>
            </w:r>
            <w:r>
              <w:rPr>
                <w:sz w:val="14"/>
              </w:rPr>
              <w:t>Dogs</w:t>
            </w:r>
            <w:r>
              <w:rPr>
                <w:spacing w:val="40"/>
                <w:sz w:val="14"/>
              </w:rPr>
              <w:t> </w:t>
            </w:r>
            <w:r>
              <w:rPr>
                <w:sz w:val="14"/>
              </w:rPr>
              <w:t>Victoria (for breeding purposes) - Pensioner/Concession</w:t>
            </w:r>
          </w:p>
        </w:tc>
        <w:tc>
          <w:tcPr>
            <w:tcW w:w="1131" w:type="dxa"/>
          </w:tcPr>
          <w:p>
            <w:pPr>
              <w:pStyle w:val="TableParagraph"/>
              <w:spacing w:before="9"/>
              <w:rPr>
                <w:sz w:val="22"/>
              </w:rPr>
            </w:pPr>
          </w:p>
          <w:p>
            <w:pPr>
              <w:pStyle w:val="TableParagraph"/>
              <w:spacing w:line="140" w:lineRule="exact"/>
              <w:ind w:left="512"/>
              <w:rPr>
                <w:sz w:val="14"/>
              </w:rPr>
            </w:pPr>
            <w:r>
              <w:rPr>
                <w:w w:val="99"/>
                <w:sz w:val="14"/>
              </w:rPr>
              <w:t>N</w:t>
            </w:r>
          </w:p>
        </w:tc>
        <w:tc>
          <w:tcPr>
            <w:tcW w:w="567" w:type="dxa"/>
          </w:tcPr>
          <w:p>
            <w:pPr>
              <w:pStyle w:val="TableParagraph"/>
              <w:spacing w:before="9"/>
              <w:rPr>
                <w:sz w:val="22"/>
              </w:rPr>
            </w:pPr>
          </w:p>
          <w:p>
            <w:pPr>
              <w:pStyle w:val="TableParagraph"/>
              <w:spacing w:line="140" w:lineRule="exact"/>
              <w:ind w:left="190"/>
              <w:rPr>
                <w:sz w:val="14"/>
              </w:rPr>
            </w:pPr>
            <w:r>
              <w:rPr>
                <w:spacing w:val="-5"/>
                <w:sz w:val="14"/>
              </w:rPr>
              <w:t>No</w:t>
            </w:r>
          </w:p>
        </w:tc>
        <w:tc>
          <w:tcPr>
            <w:tcW w:w="997" w:type="dxa"/>
          </w:tcPr>
          <w:p>
            <w:pPr>
              <w:pStyle w:val="TableParagraph"/>
              <w:spacing w:before="9"/>
              <w:rPr>
                <w:sz w:val="22"/>
              </w:rPr>
            </w:pPr>
          </w:p>
          <w:p>
            <w:pPr>
              <w:pStyle w:val="TableParagraph"/>
              <w:spacing w:line="140" w:lineRule="exact"/>
              <w:ind w:right="100"/>
              <w:jc w:val="right"/>
              <w:rPr>
                <w:sz w:val="14"/>
              </w:rPr>
            </w:pPr>
            <w:r>
              <w:rPr>
                <w:spacing w:val="-2"/>
                <w:sz w:val="14"/>
              </w:rPr>
              <w:t>29.50</w:t>
            </w:r>
          </w:p>
        </w:tc>
        <w:tc>
          <w:tcPr>
            <w:tcW w:w="995" w:type="dxa"/>
          </w:tcPr>
          <w:p>
            <w:pPr>
              <w:pStyle w:val="TableParagraph"/>
              <w:spacing w:before="9"/>
              <w:rPr>
                <w:sz w:val="22"/>
              </w:rPr>
            </w:pPr>
          </w:p>
          <w:p>
            <w:pPr>
              <w:pStyle w:val="TableParagraph"/>
              <w:spacing w:line="140" w:lineRule="exact"/>
              <w:ind w:right="101"/>
              <w:jc w:val="right"/>
              <w:rPr>
                <w:sz w:val="14"/>
              </w:rPr>
            </w:pPr>
            <w:r>
              <w:rPr>
                <w:spacing w:val="-2"/>
                <w:sz w:val="14"/>
              </w:rPr>
              <w:t>31.50</w:t>
            </w:r>
          </w:p>
        </w:tc>
        <w:tc>
          <w:tcPr>
            <w:tcW w:w="861" w:type="dxa"/>
          </w:tcPr>
          <w:p>
            <w:pPr>
              <w:pStyle w:val="TableParagraph"/>
              <w:spacing w:before="9"/>
              <w:rPr>
                <w:sz w:val="22"/>
              </w:rPr>
            </w:pPr>
          </w:p>
          <w:p>
            <w:pPr>
              <w:pStyle w:val="TableParagraph"/>
              <w:spacing w:line="140" w:lineRule="exact"/>
              <w:ind w:left="327"/>
              <w:rPr>
                <w:sz w:val="14"/>
              </w:rPr>
            </w:pPr>
            <w:r>
              <w:rPr>
                <w:spacing w:val="-5"/>
                <w:sz w:val="14"/>
              </w:rPr>
              <w:t>6.3</w:t>
            </w:r>
          </w:p>
        </w:tc>
      </w:tr>
      <w:tr>
        <w:trPr>
          <w:trHeight w:val="422" w:hRule="atLeast"/>
        </w:trPr>
        <w:tc>
          <w:tcPr>
            <w:tcW w:w="5794" w:type="dxa"/>
          </w:tcPr>
          <w:p>
            <w:pPr>
              <w:pStyle w:val="TableParagraph"/>
              <w:spacing w:line="160" w:lineRule="atLeast" w:before="81"/>
              <w:ind w:left="107" w:right="174"/>
              <w:rPr>
                <w:sz w:val="14"/>
              </w:rPr>
            </w:pPr>
            <w:r>
              <w:rPr>
                <w:sz w:val="14"/>
              </w:rPr>
              <w:t>Animal</w:t>
            </w:r>
            <w:r>
              <w:rPr>
                <w:spacing w:val="-4"/>
                <w:sz w:val="14"/>
              </w:rPr>
              <w:t> </w:t>
            </w:r>
            <w:r>
              <w:rPr>
                <w:sz w:val="14"/>
              </w:rPr>
              <w:t>Registrations</w:t>
            </w:r>
            <w:r>
              <w:rPr>
                <w:spacing w:val="-4"/>
                <w:sz w:val="14"/>
              </w:rPr>
              <w:t> </w:t>
            </w:r>
            <w:r>
              <w:rPr>
                <w:sz w:val="14"/>
              </w:rPr>
              <w:t>Dogs</w:t>
            </w:r>
            <w:r>
              <w:rPr>
                <w:spacing w:val="-1"/>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2"/>
                <w:sz w:val="14"/>
              </w:rPr>
              <w:t> </w:t>
            </w:r>
            <w:r>
              <w:rPr>
                <w:sz w:val="14"/>
              </w:rPr>
              <w:t>under</w:t>
            </w:r>
            <w:r>
              <w:rPr>
                <w:spacing w:val="-5"/>
                <w:sz w:val="14"/>
              </w:rPr>
              <w:t> </w:t>
            </w:r>
            <w:r>
              <w:rPr>
                <w:sz w:val="14"/>
              </w:rPr>
              <w:t>6</w:t>
            </w:r>
            <w:r>
              <w:rPr>
                <w:spacing w:val="-5"/>
                <w:sz w:val="14"/>
              </w:rPr>
              <w:t> </w:t>
            </w:r>
            <w:r>
              <w:rPr>
                <w:sz w:val="14"/>
              </w:rPr>
              <w:t>months</w:t>
            </w:r>
            <w:r>
              <w:rPr>
                <w:spacing w:val="-2"/>
                <w:sz w:val="14"/>
              </w:rPr>
              <w:t> </w:t>
            </w:r>
            <w:r>
              <w:rPr>
                <w:sz w:val="14"/>
              </w:rPr>
              <w:t>of</w:t>
            </w:r>
            <w:r>
              <w:rPr>
                <w:spacing w:val="-4"/>
                <w:sz w:val="14"/>
              </w:rPr>
              <w:t> </w:t>
            </w:r>
            <w:r>
              <w:rPr>
                <w:sz w:val="14"/>
              </w:rPr>
              <w:t>age</w:t>
            </w:r>
            <w:r>
              <w:rPr>
                <w:spacing w:val="-1"/>
                <w:sz w:val="14"/>
              </w:rPr>
              <w:t> </w:t>
            </w:r>
            <w:r>
              <w:rPr>
                <w:sz w:val="14"/>
              </w:rPr>
              <w:t>-</w:t>
            </w:r>
            <w:r>
              <w:rPr>
                <w:spacing w:val="40"/>
                <w:sz w:val="14"/>
              </w:rPr>
              <w:t> </w:t>
            </w:r>
            <w:r>
              <w:rPr>
                <w:sz w:val="14"/>
              </w:rPr>
              <w:t>Full</w:t>
            </w:r>
            <w:r>
              <w:rPr>
                <w:spacing w:val="-4"/>
                <w:sz w:val="14"/>
              </w:rPr>
              <w:t> </w:t>
            </w:r>
            <w:r>
              <w:rPr>
                <w:sz w:val="14"/>
              </w:rPr>
              <w:t>fee</w:t>
            </w:r>
          </w:p>
        </w:tc>
        <w:tc>
          <w:tcPr>
            <w:tcW w:w="1131" w:type="dxa"/>
          </w:tcPr>
          <w:p>
            <w:pPr>
              <w:pStyle w:val="TableParagraph"/>
              <w:spacing w:before="9"/>
              <w:rPr>
                <w:sz w:val="22"/>
              </w:rPr>
            </w:pPr>
          </w:p>
          <w:p>
            <w:pPr>
              <w:pStyle w:val="TableParagraph"/>
              <w:spacing w:line="140" w:lineRule="exact"/>
              <w:ind w:left="512"/>
              <w:rPr>
                <w:sz w:val="14"/>
              </w:rPr>
            </w:pPr>
            <w:r>
              <w:rPr>
                <w:w w:val="99"/>
                <w:sz w:val="14"/>
              </w:rPr>
              <w:t>N</w:t>
            </w:r>
          </w:p>
        </w:tc>
        <w:tc>
          <w:tcPr>
            <w:tcW w:w="567" w:type="dxa"/>
          </w:tcPr>
          <w:p>
            <w:pPr>
              <w:pStyle w:val="TableParagraph"/>
              <w:spacing w:before="9"/>
              <w:rPr>
                <w:sz w:val="22"/>
              </w:rPr>
            </w:pPr>
          </w:p>
          <w:p>
            <w:pPr>
              <w:pStyle w:val="TableParagraph"/>
              <w:spacing w:line="140" w:lineRule="exact"/>
              <w:ind w:left="190"/>
              <w:rPr>
                <w:sz w:val="14"/>
              </w:rPr>
            </w:pPr>
            <w:r>
              <w:rPr>
                <w:spacing w:val="-5"/>
                <w:sz w:val="14"/>
              </w:rPr>
              <w:t>No</w:t>
            </w:r>
          </w:p>
        </w:tc>
        <w:tc>
          <w:tcPr>
            <w:tcW w:w="997" w:type="dxa"/>
          </w:tcPr>
          <w:p>
            <w:pPr>
              <w:pStyle w:val="TableParagraph"/>
              <w:spacing w:before="9"/>
              <w:rPr>
                <w:sz w:val="22"/>
              </w:rPr>
            </w:pPr>
          </w:p>
          <w:p>
            <w:pPr>
              <w:pStyle w:val="TableParagraph"/>
              <w:spacing w:line="140" w:lineRule="exact"/>
              <w:ind w:right="100"/>
              <w:jc w:val="right"/>
              <w:rPr>
                <w:sz w:val="14"/>
              </w:rPr>
            </w:pPr>
            <w:r>
              <w:rPr>
                <w:spacing w:val="-2"/>
                <w:sz w:val="14"/>
              </w:rPr>
              <w:t>59.00</w:t>
            </w:r>
          </w:p>
        </w:tc>
        <w:tc>
          <w:tcPr>
            <w:tcW w:w="995" w:type="dxa"/>
          </w:tcPr>
          <w:p>
            <w:pPr>
              <w:pStyle w:val="TableParagraph"/>
              <w:spacing w:before="9"/>
              <w:rPr>
                <w:sz w:val="22"/>
              </w:rPr>
            </w:pPr>
          </w:p>
          <w:p>
            <w:pPr>
              <w:pStyle w:val="TableParagraph"/>
              <w:spacing w:line="140" w:lineRule="exact"/>
              <w:ind w:right="101"/>
              <w:jc w:val="right"/>
              <w:rPr>
                <w:sz w:val="14"/>
              </w:rPr>
            </w:pPr>
            <w:r>
              <w:rPr>
                <w:spacing w:val="-2"/>
                <w:sz w:val="14"/>
              </w:rPr>
              <w:t>63.00</w:t>
            </w:r>
          </w:p>
        </w:tc>
        <w:tc>
          <w:tcPr>
            <w:tcW w:w="861" w:type="dxa"/>
          </w:tcPr>
          <w:p>
            <w:pPr>
              <w:pStyle w:val="TableParagraph"/>
              <w:spacing w:before="9"/>
              <w:rPr>
                <w:sz w:val="22"/>
              </w:rPr>
            </w:pPr>
          </w:p>
          <w:p>
            <w:pPr>
              <w:pStyle w:val="TableParagraph"/>
              <w:spacing w:line="140" w:lineRule="exact"/>
              <w:ind w:left="327"/>
              <w:rPr>
                <w:sz w:val="14"/>
              </w:rPr>
            </w:pPr>
            <w:r>
              <w:rPr>
                <w:spacing w:val="-5"/>
                <w:sz w:val="14"/>
              </w:rPr>
              <w:t>6.3</w:t>
            </w:r>
          </w:p>
        </w:tc>
      </w:tr>
      <w:tr>
        <w:trPr>
          <w:trHeight w:val="390" w:hRule="atLeast"/>
        </w:trPr>
        <w:tc>
          <w:tcPr>
            <w:tcW w:w="5794" w:type="dxa"/>
          </w:tcPr>
          <w:p>
            <w:pPr>
              <w:pStyle w:val="TableParagraph"/>
              <w:spacing w:line="160" w:lineRule="atLeast" w:before="50"/>
              <w:ind w:left="107"/>
              <w:rPr>
                <w:sz w:val="14"/>
              </w:rPr>
            </w:pPr>
            <w:r>
              <w:rPr>
                <w:sz w:val="14"/>
              </w:rPr>
              <w:t>Animal</w:t>
            </w:r>
            <w:r>
              <w:rPr>
                <w:spacing w:val="-4"/>
                <w:sz w:val="14"/>
              </w:rPr>
              <w:t> </w:t>
            </w:r>
            <w:r>
              <w:rPr>
                <w:sz w:val="14"/>
              </w:rPr>
              <w:t>Registrations</w:t>
            </w:r>
            <w:r>
              <w:rPr>
                <w:spacing w:val="-4"/>
                <w:sz w:val="14"/>
              </w:rPr>
              <w:t> </w:t>
            </w:r>
            <w:r>
              <w:rPr>
                <w:sz w:val="14"/>
              </w:rPr>
              <w:t>Dogs</w:t>
            </w:r>
            <w:r>
              <w:rPr>
                <w:spacing w:val="-1"/>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2"/>
                <w:sz w:val="14"/>
              </w:rPr>
              <w:t> </w:t>
            </w:r>
            <w:r>
              <w:rPr>
                <w:sz w:val="14"/>
              </w:rPr>
              <w:t>under</w:t>
            </w:r>
            <w:r>
              <w:rPr>
                <w:spacing w:val="-5"/>
                <w:sz w:val="14"/>
              </w:rPr>
              <w:t> </w:t>
            </w:r>
            <w:r>
              <w:rPr>
                <w:sz w:val="14"/>
              </w:rPr>
              <w:t>6</w:t>
            </w:r>
            <w:r>
              <w:rPr>
                <w:spacing w:val="-5"/>
                <w:sz w:val="14"/>
              </w:rPr>
              <w:t> </w:t>
            </w:r>
            <w:r>
              <w:rPr>
                <w:sz w:val="14"/>
              </w:rPr>
              <w:t>months</w:t>
            </w:r>
            <w:r>
              <w:rPr>
                <w:spacing w:val="-2"/>
                <w:sz w:val="14"/>
              </w:rPr>
              <w:t> </w:t>
            </w:r>
            <w:r>
              <w:rPr>
                <w:sz w:val="14"/>
              </w:rPr>
              <w:t>of</w:t>
            </w:r>
            <w:r>
              <w:rPr>
                <w:spacing w:val="-4"/>
                <w:sz w:val="14"/>
              </w:rPr>
              <w:t> </w:t>
            </w:r>
            <w:r>
              <w:rPr>
                <w:sz w:val="14"/>
              </w:rPr>
              <w:t>age</w:t>
            </w:r>
            <w:r>
              <w:rPr>
                <w:spacing w:val="-1"/>
                <w:sz w:val="14"/>
              </w:rPr>
              <w:t> </w:t>
            </w:r>
            <w:r>
              <w:rPr>
                <w:sz w:val="14"/>
              </w:rPr>
              <w:t>-</w:t>
            </w:r>
            <w:r>
              <w:rPr>
                <w:spacing w:val="40"/>
                <w:sz w:val="14"/>
              </w:rPr>
              <w:t> </w:t>
            </w:r>
            <w:r>
              <w:rPr>
                <w:spacing w:val="-2"/>
                <w:sz w:val="14"/>
              </w:rPr>
              <w:t>Pensioner/Concession</w:t>
            </w:r>
          </w:p>
        </w:tc>
        <w:tc>
          <w:tcPr>
            <w:tcW w:w="1131" w:type="dxa"/>
          </w:tcPr>
          <w:p>
            <w:pPr>
              <w:pStyle w:val="TableParagraph"/>
              <w:rPr>
                <w:sz w:val="20"/>
              </w:rPr>
            </w:pPr>
          </w:p>
          <w:p>
            <w:pPr>
              <w:pStyle w:val="TableParagraph"/>
              <w:spacing w:line="140" w:lineRule="exact" w:before="1"/>
              <w:ind w:left="512"/>
              <w:rPr>
                <w:sz w:val="14"/>
              </w:rPr>
            </w:pPr>
            <w:r>
              <w:rPr>
                <w:w w:val="99"/>
                <w:sz w:val="14"/>
              </w:rPr>
              <w:t>N</w:t>
            </w:r>
          </w:p>
        </w:tc>
        <w:tc>
          <w:tcPr>
            <w:tcW w:w="567" w:type="dxa"/>
          </w:tcPr>
          <w:p>
            <w:pPr>
              <w:pStyle w:val="TableParagraph"/>
              <w:rPr>
                <w:sz w:val="20"/>
              </w:rPr>
            </w:pPr>
          </w:p>
          <w:p>
            <w:pPr>
              <w:pStyle w:val="TableParagraph"/>
              <w:spacing w:line="140" w:lineRule="exact" w:before="1"/>
              <w:ind w:left="190"/>
              <w:rPr>
                <w:sz w:val="14"/>
              </w:rPr>
            </w:pPr>
            <w:r>
              <w:rPr>
                <w:spacing w:val="-5"/>
                <w:sz w:val="14"/>
              </w:rPr>
              <w:t>No</w:t>
            </w:r>
          </w:p>
        </w:tc>
        <w:tc>
          <w:tcPr>
            <w:tcW w:w="997" w:type="dxa"/>
          </w:tcPr>
          <w:p>
            <w:pPr>
              <w:pStyle w:val="TableParagraph"/>
              <w:rPr>
                <w:sz w:val="20"/>
              </w:rPr>
            </w:pPr>
          </w:p>
          <w:p>
            <w:pPr>
              <w:pStyle w:val="TableParagraph"/>
              <w:spacing w:line="140" w:lineRule="exact" w:before="1"/>
              <w:ind w:right="100"/>
              <w:jc w:val="right"/>
              <w:rPr>
                <w:sz w:val="14"/>
              </w:rPr>
            </w:pPr>
            <w:r>
              <w:rPr>
                <w:spacing w:val="-2"/>
                <w:sz w:val="14"/>
              </w:rPr>
              <w:t>29.50</w:t>
            </w:r>
          </w:p>
        </w:tc>
        <w:tc>
          <w:tcPr>
            <w:tcW w:w="995" w:type="dxa"/>
          </w:tcPr>
          <w:p>
            <w:pPr>
              <w:pStyle w:val="TableParagraph"/>
              <w:rPr>
                <w:sz w:val="20"/>
              </w:rPr>
            </w:pPr>
          </w:p>
          <w:p>
            <w:pPr>
              <w:pStyle w:val="TableParagraph"/>
              <w:spacing w:line="140" w:lineRule="exact" w:before="1"/>
              <w:ind w:right="101"/>
              <w:jc w:val="right"/>
              <w:rPr>
                <w:sz w:val="14"/>
              </w:rPr>
            </w:pPr>
            <w:r>
              <w:rPr>
                <w:spacing w:val="-2"/>
                <w:sz w:val="14"/>
              </w:rPr>
              <w:t>31.50</w:t>
            </w:r>
          </w:p>
        </w:tc>
        <w:tc>
          <w:tcPr>
            <w:tcW w:w="861" w:type="dxa"/>
          </w:tcPr>
          <w:p>
            <w:pPr>
              <w:pStyle w:val="TableParagraph"/>
              <w:rPr>
                <w:sz w:val="20"/>
              </w:rPr>
            </w:pPr>
          </w:p>
          <w:p>
            <w:pPr>
              <w:pStyle w:val="TableParagraph"/>
              <w:spacing w:line="140" w:lineRule="exact" w:before="1"/>
              <w:ind w:left="327"/>
              <w:rPr>
                <w:sz w:val="14"/>
              </w:rPr>
            </w:pPr>
            <w:r>
              <w:rPr>
                <w:spacing w:val="-5"/>
                <w:sz w:val="14"/>
              </w:rPr>
              <w:t>6.3</w:t>
            </w:r>
          </w:p>
        </w:tc>
      </w:tr>
      <w:tr>
        <w:trPr>
          <w:trHeight w:val="390" w:hRule="atLeast"/>
        </w:trPr>
        <w:tc>
          <w:tcPr>
            <w:tcW w:w="5794" w:type="dxa"/>
          </w:tcPr>
          <w:p>
            <w:pPr>
              <w:pStyle w:val="TableParagraph"/>
              <w:spacing w:line="160" w:lineRule="atLeast" w:before="50"/>
              <w:ind w:left="107"/>
              <w:rPr>
                <w:sz w:val="14"/>
              </w:rPr>
            </w:pPr>
            <w:r>
              <w:rPr>
                <w:sz w:val="14"/>
              </w:rPr>
              <w:t>Animal</w:t>
            </w:r>
            <w:r>
              <w:rPr>
                <w:spacing w:val="-5"/>
                <w:sz w:val="14"/>
              </w:rPr>
              <w:t> </w:t>
            </w:r>
            <w:r>
              <w:rPr>
                <w:sz w:val="14"/>
              </w:rPr>
              <w:t>Registrations</w:t>
            </w:r>
            <w:r>
              <w:rPr>
                <w:spacing w:val="-3"/>
                <w:sz w:val="14"/>
              </w:rPr>
              <w:t> </w:t>
            </w:r>
            <w:r>
              <w:rPr>
                <w:sz w:val="14"/>
              </w:rPr>
              <w:t>-</w:t>
            </w:r>
            <w:r>
              <w:rPr>
                <w:spacing w:val="-6"/>
                <w:sz w:val="14"/>
              </w:rPr>
              <w:t> </w:t>
            </w:r>
            <w:r>
              <w:rPr>
                <w:sz w:val="14"/>
              </w:rPr>
              <w:t>Dangerous</w:t>
            </w:r>
            <w:r>
              <w:rPr>
                <w:spacing w:val="-3"/>
                <w:sz w:val="14"/>
              </w:rPr>
              <w:t> </w:t>
            </w:r>
            <w:r>
              <w:rPr>
                <w:sz w:val="14"/>
              </w:rPr>
              <w:t>Dog</w:t>
            </w:r>
            <w:r>
              <w:rPr>
                <w:spacing w:val="-2"/>
                <w:sz w:val="14"/>
              </w:rPr>
              <w:t> </w:t>
            </w:r>
            <w:r>
              <w:rPr>
                <w:sz w:val="14"/>
              </w:rPr>
              <w:t>(includes</w:t>
            </w:r>
            <w:r>
              <w:rPr>
                <w:spacing w:val="-3"/>
                <w:sz w:val="14"/>
              </w:rPr>
              <w:t> </w:t>
            </w:r>
            <w:r>
              <w:rPr>
                <w:sz w:val="14"/>
              </w:rPr>
              <w:t>dogs</w:t>
            </w:r>
            <w:r>
              <w:rPr>
                <w:spacing w:val="-3"/>
                <w:sz w:val="14"/>
              </w:rPr>
              <w:t> </w:t>
            </w:r>
            <w:r>
              <w:rPr>
                <w:sz w:val="14"/>
              </w:rPr>
              <w:t>declared</w:t>
            </w:r>
            <w:r>
              <w:rPr>
                <w:spacing w:val="-6"/>
                <w:sz w:val="14"/>
              </w:rPr>
              <w:t> </w:t>
            </w:r>
            <w:r>
              <w:rPr>
                <w:sz w:val="14"/>
              </w:rPr>
              <w:t>menacing</w:t>
            </w:r>
            <w:r>
              <w:rPr>
                <w:spacing w:val="-3"/>
                <w:sz w:val="14"/>
              </w:rPr>
              <w:t> </w:t>
            </w:r>
            <w:r>
              <w:rPr>
                <w:sz w:val="14"/>
              </w:rPr>
              <w:t>&amp;</w:t>
            </w:r>
            <w:r>
              <w:rPr>
                <w:spacing w:val="-5"/>
                <w:sz w:val="14"/>
              </w:rPr>
              <w:t> </w:t>
            </w:r>
            <w:r>
              <w:rPr>
                <w:sz w:val="14"/>
              </w:rPr>
              <w:t>all</w:t>
            </w:r>
            <w:r>
              <w:rPr>
                <w:spacing w:val="-3"/>
                <w:sz w:val="14"/>
              </w:rPr>
              <w:t> </w:t>
            </w:r>
            <w:r>
              <w:rPr>
                <w:sz w:val="14"/>
              </w:rPr>
              <w:t>restricted</w:t>
            </w:r>
            <w:r>
              <w:rPr>
                <w:spacing w:val="40"/>
                <w:sz w:val="14"/>
              </w:rPr>
              <w:t> </w:t>
            </w:r>
            <w:r>
              <w:rPr>
                <w:spacing w:val="-2"/>
                <w:sz w:val="14"/>
              </w:rPr>
              <w:t>breeds)</w:t>
            </w:r>
          </w:p>
        </w:tc>
        <w:tc>
          <w:tcPr>
            <w:tcW w:w="1131" w:type="dxa"/>
          </w:tcPr>
          <w:p>
            <w:pPr>
              <w:pStyle w:val="TableParagraph"/>
              <w:rPr>
                <w:sz w:val="20"/>
              </w:rPr>
            </w:pPr>
          </w:p>
          <w:p>
            <w:pPr>
              <w:pStyle w:val="TableParagraph"/>
              <w:spacing w:line="140" w:lineRule="exact" w:before="1"/>
              <w:ind w:left="512"/>
              <w:rPr>
                <w:sz w:val="14"/>
              </w:rPr>
            </w:pPr>
            <w:r>
              <w:rPr>
                <w:w w:val="99"/>
                <w:sz w:val="14"/>
              </w:rPr>
              <w:t>N</w:t>
            </w:r>
          </w:p>
        </w:tc>
        <w:tc>
          <w:tcPr>
            <w:tcW w:w="567" w:type="dxa"/>
          </w:tcPr>
          <w:p>
            <w:pPr>
              <w:pStyle w:val="TableParagraph"/>
              <w:rPr>
                <w:sz w:val="20"/>
              </w:rPr>
            </w:pPr>
          </w:p>
          <w:p>
            <w:pPr>
              <w:pStyle w:val="TableParagraph"/>
              <w:spacing w:line="140" w:lineRule="exact" w:before="1"/>
              <w:ind w:left="190"/>
              <w:rPr>
                <w:sz w:val="14"/>
              </w:rPr>
            </w:pPr>
            <w:r>
              <w:rPr>
                <w:spacing w:val="-5"/>
                <w:sz w:val="14"/>
              </w:rPr>
              <w:t>No</w:t>
            </w:r>
          </w:p>
        </w:tc>
        <w:tc>
          <w:tcPr>
            <w:tcW w:w="997" w:type="dxa"/>
          </w:tcPr>
          <w:p>
            <w:pPr>
              <w:pStyle w:val="TableParagraph"/>
              <w:rPr>
                <w:sz w:val="20"/>
              </w:rPr>
            </w:pPr>
          </w:p>
          <w:p>
            <w:pPr>
              <w:pStyle w:val="TableParagraph"/>
              <w:spacing w:line="140" w:lineRule="exact" w:before="1"/>
              <w:ind w:right="100"/>
              <w:jc w:val="right"/>
              <w:rPr>
                <w:sz w:val="14"/>
              </w:rPr>
            </w:pPr>
            <w:r>
              <w:rPr>
                <w:spacing w:val="-2"/>
                <w:sz w:val="14"/>
              </w:rPr>
              <w:t>320.00</w:t>
            </w:r>
          </w:p>
        </w:tc>
        <w:tc>
          <w:tcPr>
            <w:tcW w:w="995" w:type="dxa"/>
          </w:tcPr>
          <w:p>
            <w:pPr>
              <w:pStyle w:val="TableParagraph"/>
              <w:rPr>
                <w:sz w:val="20"/>
              </w:rPr>
            </w:pPr>
          </w:p>
          <w:p>
            <w:pPr>
              <w:pStyle w:val="TableParagraph"/>
              <w:spacing w:line="140" w:lineRule="exact" w:before="1"/>
              <w:ind w:right="102"/>
              <w:jc w:val="right"/>
              <w:rPr>
                <w:sz w:val="14"/>
              </w:rPr>
            </w:pPr>
            <w:r>
              <w:rPr>
                <w:spacing w:val="-2"/>
                <w:sz w:val="14"/>
              </w:rPr>
              <w:t>345.00</w:t>
            </w:r>
          </w:p>
        </w:tc>
        <w:tc>
          <w:tcPr>
            <w:tcW w:w="861" w:type="dxa"/>
          </w:tcPr>
          <w:p>
            <w:pPr>
              <w:pStyle w:val="TableParagraph"/>
              <w:rPr>
                <w:sz w:val="20"/>
              </w:rPr>
            </w:pPr>
          </w:p>
          <w:p>
            <w:pPr>
              <w:pStyle w:val="TableParagraph"/>
              <w:spacing w:line="140" w:lineRule="exact" w:before="1"/>
              <w:ind w:left="327"/>
              <w:rPr>
                <w:sz w:val="14"/>
              </w:rPr>
            </w:pPr>
            <w:r>
              <w:rPr>
                <w:spacing w:val="-5"/>
                <w:sz w:val="14"/>
              </w:rPr>
              <w:t>7.2</w:t>
            </w:r>
          </w:p>
        </w:tc>
      </w:tr>
      <w:tr>
        <w:trPr>
          <w:trHeight w:val="177" w:hRule="atLeast"/>
        </w:trPr>
        <w:tc>
          <w:tcPr>
            <w:tcW w:w="5794" w:type="dxa"/>
          </w:tcPr>
          <w:p>
            <w:pPr>
              <w:pStyle w:val="TableParagraph"/>
              <w:spacing w:line="140" w:lineRule="exact" w:before="17"/>
              <w:ind w:left="107"/>
              <w:rPr>
                <w:sz w:val="14"/>
              </w:rPr>
            </w:pPr>
            <w:r>
              <w:rPr>
                <w:sz w:val="14"/>
              </w:rPr>
              <w:t>Animal</w:t>
            </w:r>
            <w:r>
              <w:rPr>
                <w:spacing w:val="-4"/>
                <w:sz w:val="14"/>
              </w:rPr>
              <w:t> </w:t>
            </w:r>
            <w:r>
              <w:rPr>
                <w:sz w:val="14"/>
              </w:rPr>
              <w:t>Registrations</w:t>
            </w:r>
            <w:r>
              <w:rPr>
                <w:spacing w:val="-1"/>
                <w:sz w:val="14"/>
              </w:rPr>
              <w:t> </w:t>
            </w:r>
            <w:r>
              <w:rPr>
                <w:sz w:val="14"/>
              </w:rPr>
              <w:t>-</w:t>
            </w:r>
            <w:r>
              <w:rPr>
                <w:spacing w:val="-5"/>
                <w:sz w:val="14"/>
              </w:rPr>
              <w:t> </w:t>
            </w:r>
            <w:r>
              <w:rPr>
                <w:sz w:val="14"/>
              </w:rPr>
              <w:t>Cat</w:t>
            </w:r>
            <w:r>
              <w:rPr>
                <w:spacing w:val="-4"/>
                <w:sz w:val="14"/>
              </w:rPr>
              <w:t> </w:t>
            </w:r>
            <w:r>
              <w:rPr>
                <w:sz w:val="14"/>
              </w:rPr>
              <w:t>-</w:t>
            </w:r>
            <w:r>
              <w:rPr>
                <w:spacing w:val="-2"/>
                <w:sz w:val="14"/>
              </w:rPr>
              <w:t> </w:t>
            </w:r>
            <w:r>
              <w:rPr>
                <w:sz w:val="14"/>
              </w:rPr>
              <w:t>Microchipped</w:t>
            </w:r>
            <w:r>
              <w:rPr>
                <w:spacing w:val="-2"/>
                <w:sz w:val="14"/>
              </w:rPr>
              <w:t> </w:t>
            </w:r>
            <w:r>
              <w:rPr>
                <w:sz w:val="14"/>
              </w:rPr>
              <w:t>-</w:t>
            </w:r>
            <w:r>
              <w:rPr>
                <w:spacing w:val="-5"/>
                <w:sz w:val="14"/>
              </w:rPr>
              <w:t> </w:t>
            </w:r>
            <w:r>
              <w:rPr>
                <w:spacing w:val="-2"/>
                <w:sz w:val="14"/>
              </w:rPr>
              <w:t>Desexed</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48.00</w:t>
            </w:r>
          </w:p>
        </w:tc>
        <w:tc>
          <w:tcPr>
            <w:tcW w:w="995" w:type="dxa"/>
          </w:tcPr>
          <w:p>
            <w:pPr>
              <w:pStyle w:val="TableParagraph"/>
              <w:spacing w:line="140" w:lineRule="exact" w:before="17"/>
              <w:ind w:right="101"/>
              <w:jc w:val="right"/>
              <w:rPr>
                <w:sz w:val="14"/>
              </w:rPr>
            </w:pPr>
            <w:r>
              <w:rPr>
                <w:spacing w:val="-2"/>
                <w:sz w:val="14"/>
              </w:rPr>
              <w:t>51.00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0" w:lineRule="exact" w:before="17"/>
              <w:ind w:left="107"/>
              <w:rPr>
                <w:sz w:val="14"/>
              </w:rPr>
            </w:pPr>
            <w:r>
              <w:rPr>
                <w:sz w:val="14"/>
              </w:rPr>
              <w:t>Animal</w:t>
            </w:r>
            <w:r>
              <w:rPr>
                <w:spacing w:val="-4"/>
                <w:sz w:val="14"/>
              </w:rPr>
              <w:t> </w:t>
            </w:r>
            <w:r>
              <w:rPr>
                <w:sz w:val="14"/>
              </w:rPr>
              <w:t>Registrations</w:t>
            </w:r>
            <w:r>
              <w:rPr>
                <w:spacing w:val="-1"/>
                <w:sz w:val="14"/>
              </w:rPr>
              <w:t> </w:t>
            </w:r>
            <w:r>
              <w:rPr>
                <w:sz w:val="14"/>
              </w:rPr>
              <w:t>-</w:t>
            </w:r>
            <w:r>
              <w:rPr>
                <w:spacing w:val="-5"/>
                <w:sz w:val="14"/>
              </w:rPr>
              <w:t> </w:t>
            </w:r>
            <w:r>
              <w:rPr>
                <w:sz w:val="14"/>
              </w:rPr>
              <w:t>Cat</w:t>
            </w:r>
            <w:r>
              <w:rPr>
                <w:spacing w:val="-4"/>
                <w:sz w:val="14"/>
              </w:rPr>
              <w:t> </w:t>
            </w:r>
            <w:r>
              <w:rPr>
                <w:sz w:val="14"/>
              </w:rPr>
              <w:t>-</w:t>
            </w:r>
            <w:r>
              <w:rPr>
                <w:spacing w:val="-2"/>
                <w:sz w:val="14"/>
              </w:rPr>
              <w:t> </w:t>
            </w:r>
            <w:r>
              <w:rPr>
                <w:sz w:val="14"/>
              </w:rPr>
              <w:t>Microchipped</w:t>
            </w:r>
            <w:r>
              <w:rPr>
                <w:spacing w:val="-2"/>
                <w:sz w:val="14"/>
              </w:rPr>
              <w:t> </w:t>
            </w:r>
            <w:r>
              <w:rPr>
                <w:sz w:val="14"/>
              </w:rPr>
              <w:t>-</w:t>
            </w:r>
            <w:r>
              <w:rPr>
                <w:spacing w:val="-4"/>
                <w:sz w:val="14"/>
              </w:rPr>
              <w:t> </w:t>
            </w:r>
            <w:r>
              <w:rPr>
                <w:sz w:val="14"/>
              </w:rPr>
              <w:t>Desexed</w:t>
            </w:r>
            <w:r>
              <w:rPr>
                <w:spacing w:val="-2"/>
                <w:sz w:val="14"/>
              </w:rPr>
              <w:t> </w:t>
            </w:r>
            <w:r>
              <w:rPr>
                <w:sz w:val="14"/>
              </w:rPr>
              <w:t>-</w:t>
            </w:r>
            <w:r>
              <w:rPr>
                <w:spacing w:val="-5"/>
                <w:sz w:val="14"/>
              </w:rPr>
              <w:t> </w:t>
            </w:r>
            <w:r>
              <w:rPr>
                <w:spacing w:val="-2"/>
                <w:sz w:val="14"/>
              </w:rPr>
              <w:t>Pensioner/Concession</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24.00</w:t>
            </w:r>
          </w:p>
        </w:tc>
        <w:tc>
          <w:tcPr>
            <w:tcW w:w="995" w:type="dxa"/>
          </w:tcPr>
          <w:p>
            <w:pPr>
              <w:pStyle w:val="TableParagraph"/>
              <w:spacing w:line="140" w:lineRule="exact" w:before="17"/>
              <w:ind w:right="101"/>
              <w:jc w:val="right"/>
              <w:rPr>
                <w:sz w:val="14"/>
              </w:rPr>
            </w:pPr>
            <w:r>
              <w:rPr>
                <w:spacing w:val="-2"/>
                <w:sz w:val="14"/>
              </w:rPr>
              <w:t>25.50</w:t>
            </w:r>
          </w:p>
        </w:tc>
        <w:tc>
          <w:tcPr>
            <w:tcW w:w="861" w:type="dxa"/>
          </w:tcPr>
          <w:p>
            <w:pPr>
              <w:pStyle w:val="TableParagraph"/>
              <w:spacing w:line="140" w:lineRule="exact" w:before="17"/>
              <w:ind w:left="327"/>
              <w:rPr>
                <w:sz w:val="14"/>
              </w:rPr>
            </w:pPr>
            <w:r>
              <w:rPr>
                <w:spacing w:val="-5"/>
                <w:sz w:val="14"/>
              </w:rPr>
              <w:t>5.9</w:t>
            </w:r>
          </w:p>
        </w:tc>
      </w:tr>
      <w:tr>
        <w:trPr>
          <w:trHeight w:val="210" w:hRule="atLeast"/>
        </w:trPr>
        <w:tc>
          <w:tcPr>
            <w:tcW w:w="5794" w:type="dxa"/>
          </w:tcPr>
          <w:p>
            <w:pPr>
              <w:pStyle w:val="TableParagraph"/>
              <w:spacing w:line="140" w:lineRule="exact" w:before="51"/>
              <w:ind w:left="107"/>
              <w:rPr>
                <w:sz w:val="14"/>
              </w:rPr>
            </w:pPr>
            <w:r>
              <w:rPr>
                <w:sz w:val="14"/>
              </w:rPr>
              <w:t>Animal</w:t>
            </w:r>
            <w:r>
              <w:rPr>
                <w:spacing w:val="-4"/>
                <w:sz w:val="14"/>
              </w:rPr>
              <w:t> </w:t>
            </w:r>
            <w:r>
              <w:rPr>
                <w:sz w:val="14"/>
              </w:rPr>
              <w:t>Registrations</w:t>
            </w:r>
            <w:r>
              <w:rPr>
                <w:spacing w:val="-1"/>
                <w:sz w:val="14"/>
              </w:rPr>
              <w:t> </w:t>
            </w:r>
            <w:r>
              <w:rPr>
                <w:sz w:val="14"/>
              </w:rPr>
              <w:t>-</w:t>
            </w:r>
            <w:r>
              <w:rPr>
                <w:spacing w:val="-5"/>
                <w:sz w:val="14"/>
              </w:rPr>
              <w:t> </w:t>
            </w:r>
            <w:r>
              <w:rPr>
                <w:sz w:val="14"/>
              </w:rPr>
              <w:t>Cat</w:t>
            </w:r>
            <w:r>
              <w:rPr>
                <w:spacing w:val="-3"/>
                <w:sz w:val="14"/>
              </w:rPr>
              <w:t> </w:t>
            </w:r>
            <w:r>
              <w:rPr>
                <w:sz w:val="14"/>
              </w:rPr>
              <w:t>-</w:t>
            </w:r>
            <w:r>
              <w:rPr>
                <w:spacing w:val="-5"/>
                <w:sz w:val="14"/>
              </w:rPr>
              <w:t> </w:t>
            </w:r>
            <w:r>
              <w:rPr>
                <w:spacing w:val="-2"/>
                <w:sz w:val="14"/>
              </w:rPr>
              <w:t>Entire</w:t>
            </w:r>
          </w:p>
        </w:tc>
        <w:tc>
          <w:tcPr>
            <w:tcW w:w="1131" w:type="dxa"/>
          </w:tcPr>
          <w:p>
            <w:pPr>
              <w:pStyle w:val="TableParagraph"/>
              <w:spacing w:line="140" w:lineRule="exact" w:before="51"/>
              <w:ind w:left="512"/>
              <w:rPr>
                <w:sz w:val="14"/>
              </w:rPr>
            </w:pPr>
            <w:r>
              <w:rPr>
                <w:w w:val="99"/>
                <w:sz w:val="14"/>
              </w:rPr>
              <w:t>N</w:t>
            </w:r>
          </w:p>
        </w:tc>
        <w:tc>
          <w:tcPr>
            <w:tcW w:w="567" w:type="dxa"/>
          </w:tcPr>
          <w:p>
            <w:pPr>
              <w:pStyle w:val="TableParagraph"/>
              <w:spacing w:line="140" w:lineRule="exact" w:before="51"/>
              <w:ind w:left="190"/>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144.00</w:t>
            </w:r>
          </w:p>
        </w:tc>
        <w:tc>
          <w:tcPr>
            <w:tcW w:w="995" w:type="dxa"/>
          </w:tcPr>
          <w:p>
            <w:pPr>
              <w:pStyle w:val="TableParagraph"/>
              <w:spacing w:line="140" w:lineRule="exact" w:before="51"/>
              <w:ind w:right="102"/>
              <w:jc w:val="right"/>
              <w:rPr>
                <w:sz w:val="14"/>
              </w:rPr>
            </w:pPr>
            <w:r>
              <w:rPr>
                <w:spacing w:val="-2"/>
                <w:sz w:val="14"/>
              </w:rPr>
              <w:t>156.00</w:t>
            </w:r>
          </w:p>
        </w:tc>
        <w:tc>
          <w:tcPr>
            <w:tcW w:w="861" w:type="dxa"/>
          </w:tcPr>
          <w:p>
            <w:pPr>
              <w:pStyle w:val="TableParagraph"/>
              <w:spacing w:line="140" w:lineRule="exact" w:before="51"/>
              <w:ind w:left="327"/>
              <w:rPr>
                <w:sz w:val="14"/>
              </w:rPr>
            </w:pPr>
            <w:r>
              <w:rPr>
                <w:spacing w:val="-5"/>
                <w:sz w:val="14"/>
              </w:rPr>
              <w:t>7.7</w:t>
            </w:r>
          </w:p>
        </w:tc>
      </w:tr>
      <w:tr>
        <w:trPr>
          <w:trHeight w:val="210" w:hRule="atLeast"/>
        </w:trPr>
        <w:tc>
          <w:tcPr>
            <w:tcW w:w="5794" w:type="dxa"/>
          </w:tcPr>
          <w:p>
            <w:pPr>
              <w:pStyle w:val="TableParagraph"/>
              <w:spacing w:line="140" w:lineRule="exact" w:before="51"/>
              <w:ind w:left="107"/>
              <w:rPr>
                <w:sz w:val="14"/>
              </w:rPr>
            </w:pPr>
            <w:r>
              <w:rPr>
                <w:sz w:val="14"/>
              </w:rPr>
              <w:t>Animal</w:t>
            </w:r>
            <w:r>
              <w:rPr>
                <w:spacing w:val="-3"/>
                <w:sz w:val="14"/>
              </w:rPr>
              <w:t> </w:t>
            </w:r>
            <w:r>
              <w:rPr>
                <w:sz w:val="14"/>
              </w:rPr>
              <w:t>Registrations</w:t>
            </w:r>
            <w:r>
              <w:rPr>
                <w:spacing w:val="-1"/>
                <w:sz w:val="14"/>
              </w:rPr>
              <w:t> </w:t>
            </w:r>
            <w:r>
              <w:rPr>
                <w:sz w:val="14"/>
              </w:rPr>
              <w:t>-</w:t>
            </w:r>
            <w:r>
              <w:rPr>
                <w:spacing w:val="-3"/>
                <w:sz w:val="14"/>
              </w:rPr>
              <w:t> </w:t>
            </w:r>
            <w:r>
              <w:rPr>
                <w:sz w:val="14"/>
              </w:rPr>
              <w:t>Cat</w:t>
            </w:r>
            <w:r>
              <w:rPr>
                <w:spacing w:val="-3"/>
                <w:sz w:val="14"/>
              </w:rPr>
              <w:t> </w:t>
            </w:r>
            <w:r>
              <w:rPr>
                <w:sz w:val="14"/>
              </w:rPr>
              <w:t>-</w:t>
            </w:r>
            <w:r>
              <w:rPr>
                <w:spacing w:val="-4"/>
                <w:sz w:val="14"/>
              </w:rPr>
              <w:t> </w:t>
            </w:r>
            <w:r>
              <w:rPr>
                <w:sz w:val="14"/>
              </w:rPr>
              <w:t>Entire</w:t>
            </w:r>
            <w:r>
              <w:rPr>
                <w:spacing w:val="-4"/>
                <w:sz w:val="14"/>
              </w:rPr>
              <w:t> </w:t>
            </w:r>
            <w:r>
              <w:rPr>
                <w:sz w:val="14"/>
              </w:rPr>
              <w:t>-</w:t>
            </w:r>
            <w:r>
              <w:rPr>
                <w:spacing w:val="-1"/>
                <w:sz w:val="14"/>
              </w:rPr>
              <w:t> </w:t>
            </w:r>
            <w:r>
              <w:rPr>
                <w:spacing w:val="-2"/>
                <w:sz w:val="14"/>
              </w:rPr>
              <w:t>Pensioner/Concession</w:t>
            </w:r>
          </w:p>
        </w:tc>
        <w:tc>
          <w:tcPr>
            <w:tcW w:w="1131" w:type="dxa"/>
          </w:tcPr>
          <w:p>
            <w:pPr>
              <w:pStyle w:val="TableParagraph"/>
              <w:spacing w:line="140" w:lineRule="exact" w:before="51"/>
              <w:ind w:left="512"/>
              <w:rPr>
                <w:sz w:val="14"/>
              </w:rPr>
            </w:pPr>
            <w:r>
              <w:rPr>
                <w:w w:val="99"/>
                <w:sz w:val="14"/>
              </w:rPr>
              <w:t>N</w:t>
            </w:r>
          </w:p>
        </w:tc>
        <w:tc>
          <w:tcPr>
            <w:tcW w:w="567" w:type="dxa"/>
          </w:tcPr>
          <w:p>
            <w:pPr>
              <w:pStyle w:val="TableParagraph"/>
              <w:spacing w:line="140" w:lineRule="exact" w:before="51"/>
              <w:ind w:left="190"/>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72.00</w:t>
            </w:r>
          </w:p>
        </w:tc>
        <w:tc>
          <w:tcPr>
            <w:tcW w:w="995" w:type="dxa"/>
          </w:tcPr>
          <w:p>
            <w:pPr>
              <w:pStyle w:val="TableParagraph"/>
              <w:spacing w:line="140" w:lineRule="exact" w:before="51"/>
              <w:ind w:right="101"/>
              <w:jc w:val="right"/>
              <w:rPr>
                <w:sz w:val="14"/>
              </w:rPr>
            </w:pPr>
            <w:r>
              <w:rPr>
                <w:spacing w:val="-2"/>
                <w:sz w:val="14"/>
              </w:rPr>
              <w:t>78.00</w:t>
            </w:r>
          </w:p>
        </w:tc>
        <w:tc>
          <w:tcPr>
            <w:tcW w:w="861" w:type="dxa"/>
          </w:tcPr>
          <w:p>
            <w:pPr>
              <w:pStyle w:val="TableParagraph"/>
              <w:spacing w:line="140" w:lineRule="exact" w:before="51"/>
              <w:ind w:left="327"/>
              <w:rPr>
                <w:sz w:val="14"/>
              </w:rPr>
            </w:pPr>
            <w:r>
              <w:rPr>
                <w:spacing w:val="-5"/>
                <w:sz w:val="14"/>
              </w:rPr>
              <w:t>7.7</w:t>
            </w:r>
          </w:p>
        </w:tc>
      </w:tr>
      <w:tr>
        <w:trPr>
          <w:trHeight w:val="405" w:hRule="atLeast"/>
        </w:trPr>
        <w:tc>
          <w:tcPr>
            <w:tcW w:w="5794" w:type="dxa"/>
          </w:tcPr>
          <w:p>
            <w:pPr>
              <w:pStyle w:val="TableParagraph"/>
              <w:spacing w:line="160" w:lineRule="atLeast" w:before="64"/>
              <w:ind w:left="107"/>
              <w:rPr>
                <w:sz w:val="14"/>
              </w:rPr>
            </w:pPr>
            <w:r>
              <w:rPr>
                <w:sz w:val="14"/>
              </w:rPr>
              <w:t>Animal</w:t>
            </w:r>
            <w:r>
              <w:rPr>
                <w:spacing w:val="-4"/>
                <w:sz w:val="14"/>
              </w:rPr>
              <w:t> </w:t>
            </w:r>
            <w:r>
              <w:rPr>
                <w:sz w:val="14"/>
              </w:rPr>
              <w:t>Registrations</w:t>
            </w:r>
            <w:r>
              <w:rPr>
                <w:spacing w:val="-4"/>
                <w:sz w:val="14"/>
              </w:rPr>
              <w:t> </w:t>
            </w:r>
            <w:r>
              <w:rPr>
                <w:sz w:val="14"/>
              </w:rPr>
              <w:t>Cats</w:t>
            </w:r>
            <w:r>
              <w:rPr>
                <w:spacing w:val="-2"/>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33"/>
                <w:sz w:val="14"/>
              </w:rPr>
              <w:t> </w:t>
            </w:r>
            <w:r>
              <w:rPr>
                <w:sz w:val="14"/>
              </w:rPr>
              <w:t>AND</w:t>
            </w:r>
            <w:r>
              <w:rPr>
                <w:spacing w:val="-4"/>
                <w:sz w:val="14"/>
              </w:rPr>
              <w:t> </w:t>
            </w:r>
            <w:r>
              <w:rPr>
                <w:sz w:val="14"/>
              </w:rPr>
              <w:t>registered</w:t>
            </w:r>
            <w:r>
              <w:rPr>
                <w:spacing w:val="-3"/>
                <w:sz w:val="14"/>
              </w:rPr>
              <w:t> </w:t>
            </w:r>
            <w:r>
              <w:rPr>
                <w:sz w:val="14"/>
              </w:rPr>
              <w:t>with</w:t>
            </w:r>
            <w:r>
              <w:rPr>
                <w:spacing w:val="-3"/>
                <w:sz w:val="14"/>
              </w:rPr>
              <w:t> </w:t>
            </w:r>
            <w:r>
              <w:rPr>
                <w:sz w:val="14"/>
              </w:rPr>
              <w:t>Feline</w:t>
            </w:r>
            <w:r>
              <w:rPr>
                <w:spacing w:val="40"/>
                <w:sz w:val="14"/>
              </w:rPr>
              <w:t> </w:t>
            </w:r>
            <w:r>
              <w:rPr>
                <w:sz w:val="14"/>
              </w:rPr>
              <w:t>Control Council (for breeding purposes) - Full fee</w:t>
            </w:r>
          </w:p>
        </w:tc>
        <w:tc>
          <w:tcPr>
            <w:tcW w:w="1131" w:type="dxa"/>
          </w:tcPr>
          <w:p>
            <w:pPr>
              <w:pStyle w:val="TableParagraph"/>
              <w:spacing w:before="3"/>
              <w:rPr>
                <w:sz w:val="21"/>
              </w:rPr>
            </w:pPr>
          </w:p>
          <w:p>
            <w:pPr>
              <w:pStyle w:val="TableParagraph"/>
              <w:spacing w:line="140" w:lineRule="exact" w:before="1"/>
              <w:ind w:left="512"/>
              <w:rPr>
                <w:sz w:val="14"/>
              </w:rPr>
            </w:pPr>
            <w:r>
              <w:rPr>
                <w:w w:val="99"/>
                <w:sz w:val="14"/>
              </w:rPr>
              <w:t>N</w:t>
            </w:r>
          </w:p>
        </w:tc>
        <w:tc>
          <w:tcPr>
            <w:tcW w:w="567" w:type="dxa"/>
          </w:tcPr>
          <w:p>
            <w:pPr>
              <w:pStyle w:val="TableParagraph"/>
              <w:spacing w:before="3"/>
              <w:rPr>
                <w:sz w:val="21"/>
              </w:rPr>
            </w:pPr>
          </w:p>
          <w:p>
            <w:pPr>
              <w:pStyle w:val="TableParagraph"/>
              <w:spacing w:line="140" w:lineRule="exact" w:before="1"/>
              <w:ind w:left="190"/>
              <w:rPr>
                <w:sz w:val="14"/>
              </w:rPr>
            </w:pPr>
            <w:r>
              <w:rPr>
                <w:spacing w:val="-5"/>
                <w:sz w:val="14"/>
              </w:rPr>
              <w:t>No</w:t>
            </w:r>
          </w:p>
        </w:tc>
        <w:tc>
          <w:tcPr>
            <w:tcW w:w="997" w:type="dxa"/>
          </w:tcPr>
          <w:p>
            <w:pPr>
              <w:pStyle w:val="TableParagraph"/>
              <w:spacing w:before="3"/>
              <w:rPr>
                <w:sz w:val="21"/>
              </w:rPr>
            </w:pPr>
          </w:p>
          <w:p>
            <w:pPr>
              <w:pStyle w:val="TableParagraph"/>
              <w:spacing w:line="140" w:lineRule="exact" w:before="1"/>
              <w:ind w:right="100"/>
              <w:jc w:val="right"/>
              <w:rPr>
                <w:sz w:val="14"/>
              </w:rPr>
            </w:pPr>
            <w:r>
              <w:rPr>
                <w:spacing w:val="-2"/>
                <w:sz w:val="14"/>
              </w:rPr>
              <w:t>48.00</w:t>
            </w:r>
          </w:p>
        </w:tc>
        <w:tc>
          <w:tcPr>
            <w:tcW w:w="995" w:type="dxa"/>
          </w:tcPr>
          <w:p>
            <w:pPr>
              <w:pStyle w:val="TableParagraph"/>
              <w:spacing w:before="3"/>
              <w:rPr>
                <w:sz w:val="21"/>
              </w:rPr>
            </w:pPr>
          </w:p>
          <w:p>
            <w:pPr>
              <w:pStyle w:val="TableParagraph"/>
              <w:spacing w:line="140" w:lineRule="exact" w:before="1"/>
              <w:ind w:right="101"/>
              <w:jc w:val="right"/>
              <w:rPr>
                <w:sz w:val="14"/>
              </w:rPr>
            </w:pPr>
            <w:r>
              <w:rPr>
                <w:spacing w:val="-2"/>
                <w:sz w:val="14"/>
              </w:rPr>
              <w:t>51.00</w:t>
            </w:r>
          </w:p>
        </w:tc>
        <w:tc>
          <w:tcPr>
            <w:tcW w:w="861" w:type="dxa"/>
          </w:tcPr>
          <w:p>
            <w:pPr>
              <w:pStyle w:val="TableParagraph"/>
              <w:spacing w:before="3"/>
              <w:rPr>
                <w:sz w:val="21"/>
              </w:rPr>
            </w:pPr>
          </w:p>
          <w:p>
            <w:pPr>
              <w:pStyle w:val="TableParagraph"/>
              <w:spacing w:line="140" w:lineRule="exact" w:before="1"/>
              <w:ind w:left="327"/>
              <w:rPr>
                <w:sz w:val="14"/>
              </w:rPr>
            </w:pPr>
            <w:r>
              <w:rPr>
                <w:spacing w:val="-5"/>
                <w:sz w:val="14"/>
              </w:rPr>
              <w:t>5.9</w:t>
            </w:r>
          </w:p>
        </w:tc>
      </w:tr>
      <w:tr>
        <w:trPr>
          <w:trHeight w:val="410" w:hRule="atLeast"/>
        </w:trPr>
        <w:tc>
          <w:tcPr>
            <w:tcW w:w="5794" w:type="dxa"/>
          </w:tcPr>
          <w:p>
            <w:pPr>
              <w:pStyle w:val="TableParagraph"/>
              <w:spacing w:line="160" w:lineRule="atLeast" w:before="69"/>
              <w:ind w:left="107"/>
              <w:rPr>
                <w:sz w:val="14"/>
              </w:rPr>
            </w:pPr>
            <w:r>
              <w:rPr>
                <w:sz w:val="14"/>
              </w:rPr>
              <w:t>Animal</w:t>
            </w:r>
            <w:r>
              <w:rPr>
                <w:spacing w:val="-4"/>
                <w:sz w:val="14"/>
              </w:rPr>
              <w:t> </w:t>
            </w:r>
            <w:r>
              <w:rPr>
                <w:sz w:val="14"/>
              </w:rPr>
              <w:t>Registrations</w:t>
            </w:r>
            <w:r>
              <w:rPr>
                <w:spacing w:val="-4"/>
                <w:sz w:val="14"/>
              </w:rPr>
              <w:t> </w:t>
            </w:r>
            <w:r>
              <w:rPr>
                <w:sz w:val="14"/>
              </w:rPr>
              <w:t>Cats</w:t>
            </w:r>
            <w:r>
              <w:rPr>
                <w:spacing w:val="-2"/>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(undesexed)</w:t>
            </w:r>
            <w:r>
              <w:rPr>
                <w:spacing w:val="33"/>
                <w:sz w:val="14"/>
              </w:rPr>
              <w:t> </w:t>
            </w:r>
            <w:r>
              <w:rPr>
                <w:sz w:val="14"/>
              </w:rPr>
              <w:t>AND</w:t>
            </w:r>
            <w:r>
              <w:rPr>
                <w:spacing w:val="-4"/>
                <w:sz w:val="14"/>
              </w:rPr>
              <w:t> </w:t>
            </w:r>
            <w:r>
              <w:rPr>
                <w:sz w:val="14"/>
              </w:rPr>
              <w:t>registered</w:t>
            </w:r>
            <w:r>
              <w:rPr>
                <w:spacing w:val="-3"/>
                <w:sz w:val="14"/>
              </w:rPr>
              <w:t> </w:t>
            </w:r>
            <w:r>
              <w:rPr>
                <w:sz w:val="14"/>
              </w:rPr>
              <w:t>with</w:t>
            </w:r>
            <w:r>
              <w:rPr>
                <w:spacing w:val="-3"/>
                <w:sz w:val="14"/>
              </w:rPr>
              <w:t> </w:t>
            </w:r>
            <w:r>
              <w:rPr>
                <w:sz w:val="14"/>
              </w:rPr>
              <w:t>Feline</w:t>
            </w:r>
            <w:r>
              <w:rPr>
                <w:spacing w:val="40"/>
                <w:sz w:val="14"/>
              </w:rPr>
              <w:t> </w:t>
            </w:r>
            <w:r>
              <w:rPr>
                <w:sz w:val="14"/>
              </w:rPr>
              <w:t>Control Council (for breeding purposes) - Pensioner/Concession</w:t>
            </w:r>
          </w:p>
        </w:tc>
        <w:tc>
          <w:tcPr>
            <w:tcW w:w="1131" w:type="dxa"/>
          </w:tcPr>
          <w:p>
            <w:pPr>
              <w:pStyle w:val="TableParagraph"/>
              <w:spacing w:before="8"/>
              <w:rPr>
                <w:sz w:val="21"/>
              </w:rPr>
            </w:pPr>
          </w:p>
          <w:p>
            <w:pPr>
              <w:pStyle w:val="TableParagraph"/>
              <w:spacing w:line="140" w:lineRule="exact"/>
              <w:ind w:left="512"/>
              <w:rPr>
                <w:sz w:val="14"/>
              </w:rPr>
            </w:pPr>
            <w:r>
              <w:rPr>
                <w:w w:val="99"/>
                <w:sz w:val="14"/>
              </w:rPr>
              <w:t>N</w:t>
            </w:r>
          </w:p>
        </w:tc>
        <w:tc>
          <w:tcPr>
            <w:tcW w:w="567" w:type="dxa"/>
          </w:tcPr>
          <w:p>
            <w:pPr>
              <w:pStyle w:val="TableParagraph"/>
              <w:spacing w:before="8"/>
              <w:rPr>
                <w:sz w:val="21"/>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21"/>
              </w:rPr>
            </w:pPr>
          </w:p>
          <w:p>
            <w:pPr>
              <w:pStyle w:val="TableParagraph"/>
              <w:spacing w:line="140" w:lineRule="exact"/>
              <w:ind w:right="100"/>
              <w:jc w:val="right"/>
              <w:rPr>
                <w:sz w:val="14"/>
              </w:rPr>
            </w:pPr>
            <w:r>
              <w:rPr>
                <w:spacing w:val="-2"/>
                <w:sz w:val="14"/>
              </w:rPr>
              <w:t>24.00</w:t>
            </w:r>
          </w:p>
        </w:tc>
        <w:tc>
          <w:tcPr>
            <w:tcW w:w="995" w:type="dxa"/>
          </w:tcPr>
          <w:p>
            <w:pPr>
              <w:pStyle w:val="TableParagraph"/>
              <w:spacing w:before="8"/>
              <w:rPr>
                <w:sz w:val="21"/>
              </w:rPr>
            </w:pPr>
          </w:p>
          <w:p>
            <w:pPr>
              <w:pStyle w:val="TableParagraph"/>
              <w:spacing w:line="140" w:lineRule="exact"/>
              <w:ind w:right="101"/>
              <w:jc w:val="right"/>
              <w:rPr>
                <w:sz w:val="14"/>
              </w:rPr>
            </w:pPr>
            <w:r>
              <w:rPr>
                <w:spacing w:val="-2"/>
                <w:sz w:val="14"/>
              </w:rPr>
              <w:t>25.50</w:t>
            </w:r>
          </w:p>
        </w:tc>
        <w:tc>
          <w:tcPr>
            <w:tcW w:w="861" w:type="dxa"/>
          </w:tcPr>
          <w:p>
            <w:pPr>
              <w:pStyle w:val="TableParagraph"/>
              <w:spacing w:before="8"/>
              <w:rPr>
                <w:sz w:val="21"/>
              </w:rPr>
            </w:pPr>
          </w:p>
          <w:p>
            <w:pPr>
              <w:pStyle w:val="TableParagraph"/>
              <w:spacing w:line="140" w:lineRule="exact"/>
              <w:ind w:left="327"/>
              <w:rPr>
                <w:sz w:val="14"/>
              </w:rPr>
            </w:pPr>
            <w:r>
              <w:rPr>
                <w:spacing w:val="-5"/>
                <w:sz w:val="14"/>
              </w:rPr>
              <w:t>5.9</w:t>
            </w:r>
          </w:p>
        </w:tc>
      </w:tr>
      <w:tr>
        <w:trPr>
          <w:trHeight w:val="210" w:hRule="atLeast"/>
        </w:trPr>
        <w:tc>
          <w:tcPr>
            <w:tcW w:w="5794" w:type="dxa"/>
          </w:tcPr>
          <w:p>
            <w:pPr>
              <w:pStyle w:val="TableParagraph"/>
              <w:spacing w:line="140" w:lineRule="exact" w:before="51"/>
              <w:ind w:left="107"/>
              <w:rPr>
                <w:sz w:val="14"/>
              </w:rPr>
            </w:pPr>
            <w:r>
              <w:rPr>
                <w:sz w:val="14"/>
              </w:rPr>
              <w:t>Animal</w:t>
            </w:r>
            <w:r>
              <w:rPr>
                <w:spacing w:val="-4"/>
                <w:sz w:val="14"/>
              </w:rPr>
              <w:t> </w:t>
            </w:r>
            <w:r>
              <w:rPr>
                <w:sz w:val="14"/>
              </w:rPr>
              <w:t>Registrations</w:t>
            </w:r>
            <w:r>
              <w:rPr>
                <w:spacing w:val="-4"/>
                <w:sz w:val="14"/>
              </w:rPr>
              <w:t> </w:t>
            </w:r>
            <w:r>
              <w:rPr>
                <w:sz w:val="14"/>
              </w:rPr>
              <w:t>Cats</w:t>
            </w:r>
            <w:r>
              <w:rPr>
                <w:spacing w:val="-2"/>
                <w:sz w:val="14"/>
              </w:rPr>
              <w:t> </w:t>
            </w:r>
            <w:r>
              <w:rPr>
                <w:sz w:val="14"/>
              </w:rPr>
              <w:t>Microchipped</w:t>
            </w:r>
            <w:r>
              <w:rPr>
                <w:spacing w:val="-4"/>
                <w:sz w:val="14"/>
              </w:rPr>
              <w:t> </w:t>
            </w:r>
            <w:r>
              <w:rPr>
                <w:sz w:val="14"/>
              </w:rPr>
              <w:t>-</w:t>
            </w:r>
            <w:r>
              <w:rPr>
                <w:spacing w:val="-5"/>
                <w:sz w:val="14"/>
              </w:rPr>
              <w:t> </w:t>
            </w:r>
            <w:r>
              <w:rPr>
                <w:sz w:val="14"/>
              </w:rPr>
              <w:t>Entire</w:t>
            </w:r>
            <w:r>
              <w:rPr>
                <w:spacing w:val="-5"/>
                <w:sz w:val="14"/>
              </w:rPr>
              <w:t> </w:t>
            </w:r>
            <w:r>
              <w:rPr>
                <w:sz w:val="14"/>
              </w:rPr>
              <w:t>under</w:t>
            </w:r>
            <w:r>
              <w:rPr>
                <w:spacing w:val="-2"/>
                <w:sz w:val="14"/>
              </w:rPr>
              <w:t> </w:t>
            </w:r>
            <w:r>
              <w:rPr>
                <w:sz w:val="14"/>
              </w:rPr>
              <w:t>6</w:t>
            </w:r>
            <w:r>
              <w:rPr>
                <w:spacing w:val="-5"/>
                <w:sz w:val="14"/>
              </w:rPr>
              <w:t> </w:t>
            </w:r>
            <w:r>
              <w:rPr>
                <w:sz w:val="14"/>
              </w:rPr>
              <w:t>months</w:t>
            </w:r>
            <w:r>
              <w:rPr>
                <w:spacing w:val="-2"/>
                <w:sz w:val="14"/>
              </w:rPr>
              <w:t> </w:t>
            </w:r>
            <w:r>
              <w:rPr>
                <w:sz w:val="14"/>
              </w:rPr>
              <w:t>of age</w:t>
            </w:r>
            <w:r>
              <w:rPr>
                <w:spacing w:val="-5"/>
                <w:sz w:val="14"/>
              </w:rPr>
              <w:t> </w:t>
            </w:r>
            <w:r>
              <w:rPr>
                <w:sz w:val="14"/>
              </w:rPr>
              <w:t>-</w:t>
            </w:r>
            <w:r>
              <w:rPr>
                <w:spacing w:val="-2"/>
                <w:sz w:val="14"/>
              </w:rPr>
              <w:t> </w:t>
            </w:r>
            <w:r>
              <w:rPr>
                <w:sz w:val="14"/>
              </w:rPr>
              <w:t>Full</w:t>
            </w:r>
            <w:r>
              <w:rPr>
                <w:spacing w:val="-4"/>
                <w:sz w:val="14"/>
              </w:rPr>
              <w:t> </w:t>
            </w:r>
            <w:r>
              <w:rPr>
                <w:spacing w:val="-5"/>
                <w:sz w:val="14"/>
              </w:rPr>
              <w:t>fee</w:t>
            </w:r>
          </w:p>
        </w:tc>
        <w:tc>
          <w:tcPr>
            <w:tcW w:w="1131" w:type="dxa"/>
          </w:tcPr>
          <w:p>
            <w:pPr>
              <w:pStyle w:val="TableParagraph"/>
              <w:spacing w:line="140" w:lineRule="exact" w:before="51"/>
              <w:ind w:left="512"/>
              <w:rPr>
                <w:sz w:val="14"/>
              </w:rPr>
            </w:pPr>
            <w:r>
              <w:rPr>
                <w:w w:val="99"/>
                <w:sz w:val="14"/>
              </w:rPr>
              <w:t>N</w:t>
            </w:r>
          </w:p>
        </w:tc>
        <w:tc>
          <w:tcPr>
            <w:tcW w:w="567" w:type="dxa"/>
          </w:tcPr>
          <w:p>
            <w:pPr>
              <w:pStyle w:val="TableParagraph"/>
              <w:spacing w:line="140" w:lineRule="exact" w:before="51"/>
              <w:ind w:left="190"/>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48.00</w:t>
            </w:r>
          </w:p>
        </w:tc>
        <w:tc>
          <w:tcPr>
            <w:tcW w:w="995" w:type="dxa"/>
          </w:tcPr>
          <w:p>
            <w:pPr>
              <w:pStyle w:val="TableParagraph"/>
              <w:spacing w:line="140" w:lineRule="exact" w:before="51"/>
              <w:ind w:right="101"/>
              <w:jc w:val="right"/>
              <w:rPr>
                <w:sz w:val="14"/>
              </w:rPr>
            </w:pPr>
            <w:r>
              <w:rPr>
                <w:spacing w:val="-2"/>
                <w:sz w:val="14"/>
              </w:rPr>
              <w:t>51.00</w:t>
            </w:r>
          </w:p>
        </w:tc>
        <w:tc>
          <w:tcPr>
            <w:tcW w:w="861" w:type="dxa"/>
          </w:tcPr>
          <w:p>
            <w:pPr>
              <w:pStyle w:val="TableParagraph"/>
              <w:spacing w:line="140" w:lineRule="exact" w:before="51"/>
              <w:ind w:left="327"/>
              <w:rPr>
                <w:sz w:val="14"/>
              </w:rPr>
            </w:pPr>
            <w:r>
              <w:rPr>
                <w:spacing w:val="-5"/>
                <w:sz w:val="14"/>
              </w:rPr>
              <w:t>5.9</w:t>
            </w:r>
          </w:p>
        </w:tc>
      </w:tr>
      <w:tr>
        <w:trPr>
          <w:trHeight w:val="374" w:hRule="atLeast"/>
        </w:trPr>
        <w:tc>
          <w:tcPr>
            <w:tcW w:w="5794" w:type="dxa"/>
          </w:tcPr>
          <w:p>
            <w:pPr>
              <w:pStyle w:val="TableParagraph"/>
              <w:spacing w:line="160" w:lineRule="atLeast" w:before="33"/>
              <w:ind w:left="107"/>
              <w:rPr>
                <w:sz w:val="14"/>
              </w:rPr>
            </w:pPr>
            <w:r>
              <w:rPr>
                <w:sz w:val="14"/>
              </w:rPr>
              <w:t>Animal</w:t>
            </w:r>
            <w:r>
              <w:rPr>
                <w:spacing w:val="-4"/>
                <w:sz w:val="14"/>
              </w:rPr>
              <w:t> </w:t>
            </w:r>
            <w:r>
              <w:rPr>
                <w:sz w:val="14"/>
              </w:rPr>
              <w:t>Registrations</w:t>
            </w:r>
            <w:r>
              <w:rPr>
                <w:spacing w:val="-4"/>
                <w:sz w:val="14"/>
              </w:rPr>
              <w:t> </w:t>
            </w:r>
            <w:r>
              <w:rPr>
                <w:sz w:val="14"/>
              </w:rPr>
              <w:t>Cats</w:t>
            </w:r>
            <w:r>
              <w:rPr>
                <w:spacing w:val="-2"/>
                <w:sz w:val="14"/>
              </w:rPr>
              <w:t> </w:t>
            </w:r>
            <w:r>
              <w:rPr>
                <w:sz w:val="14"/>
              </w:rPr>
              <w:t>Microchipped</w:t>
            </w:r>
            <w:r>
              <w:rPr>
                <w:spacing w:val="-5"/>
                <w:sz w:val="14"/>
              </w:rPr>
              <w:t> </w:t>
            </w:r>
            <w:r>
              <w:rPr>
                <w:sz w:val="14"/>
              </w:rPr>
              <w:t>-</w:t>
            </w:r>
            <w:r>
              <w:rPr>
                <w:spacing w:val="-5"/>
                <w:sz w:val="14"/>
              </w:rPr>
              <w:t> </w:t>
            </w:r>
            <w:r>
              <w:rPr>
                <w:sz w:val="14"/>
              </w:rPr>
              <w:t>Entire</w:t>
            </w:r>
            <w:r>
              <w:rPr>
                <w:spacing w:val="-6"/>
                <w:sz w:val="14"/>
              </w:rPr>
              <w:t> </w:t>
            </w:r>
            <w:r>
              <w:rPr>
                <w:sz w:val="14"/>
              </w:rPr>
              <w:t>under</w:t>
            </w:r>
            <w:r>
              <w:rPr>
                <w:spacing w:val="-2"/>
                <w:sz w:val="14"/>
              </w:rPr>
              <w:t> </w:t>
            </w:r>
            <w:r>
              <w:rPr>
                <w:sz w:val="14"/>
              </w:rPr>
              <w:t>6</w:t>
            </w:r>
            <w:r>
              <w:rPr>
                <w:spacing w:val="-5"/>
                <w:sz w:val="14"/>
              </w:rPr>
              <w:t> </w:t>
            </w:r>
            <w:r>
              <w:rPr>
                <w:sz w:val="14"/>
              </w:rPr>
              <w:t>months</w:t>
            </w:r>
            <w:r>
              <w:rPr>
                <w:spacing w:val="-1"/>
                <w:sz w:val="14"/>
              </w:rPr>
              <w:t> </w:t>
            </w:r>
            <w:r>
              <w:rPr>
                <w:sz w:val="14"/>
              </w:rPr>
              <w:t>of</w:t>
            </w:r>
            <w:r>
              <w:rPr>
                <w:spacing w:val="-2"/>
                <w:sz w:val="14"/>
              </w:rPr>
              <w:t> </w:t>
            </w:r>
            <w:r>
              <w:rPr>
                <w:sz w:val="14"/>
              </w:rPr>
              <w:t>age</w:t>
            </w:r>
            <w:r>
              <w:rPr>
                <w:spacing w:val="-6"/>
                <w:sz w:val="14"/>
              </w:rPr>
              <w:t> </w:t>
            </w:r>
            <w:r>
              <w:rPr>
                <w:sz w:val="14"/>
              </w:rPr>
              <w:t>-</w:t>
            </w:r>
            <w:r>
              <w:rPr>
                <w:spacing w:val="40"/>
                <w:sz w:val="14"/>
              </w:rPr>
              <w:t> </w:t>
            </w:r>
            <w:r>
              <w:rPr>
                <w:spacing w:val="-2"/>
                <w:sz w:val="14"/>
              </w:rPr>
              <w:t>Pensioner/Concession</w:t>
            </w:r>
          </w:p>
        </w:tc>
        <w:tc>
          <w:tcPr>
            <w:tcW w:w="1131" w:type="dxa"/>
          </w:tcPr>
          <w:p>
            <w:pPr>
              <w:pStyle w:val="TableParagraph"/>
              <w:spacing w:before="7"/>
              <w:rPr>
                <w:sz w:val="18"/>
              </w:rPr>
            </w:pPr>
          </w:p>
          <w:p>
            <w:pPr>
              <w:pStyle w:val="TableParagraph"/>
              <w:spacing w:line="140" w:lineRule="exact"/>
              <w:ind w:left="512"/>
              <w:rPr>
                <w:sz w:val="14"/>
              </w:rPr>
            </w:pPr>
            <w:r>
              <w:rPr>
                <w:w w:val="99"/>
                <w:sz w:val="14"/>
              </w:rPr>
              <w:t>N</w:t>
            </w:r>
          </w:p>
        </w:tc>
        <w:tc>
          <w:tcPr>
            <w:tcW w:w="567" w:type="dxa"/>
          </w:tcPr>
          <w:p>
            <w:pPr>
              <w:pStyle w:val="TableParagraph"/>
              <w:spacing w:before="7"/>
              <w:rPr>
                <w:sz w:val="18"/>
              </w:rPr>
            </w:pPr>
          </w:p>
          <w:p>
            <w:pPr>
              <w:pStyle w:val="TableParagraph"/>
              <w:spacing w:line="140" w:lineRule="exact"/>
              <w:ind w:left="190"/>
              <w:rPr>
                <w:sz w:val="14"/>
              </w:rPr>
            </w:pPr>
            <w:r>
              <w:rPr>
                <w:spacing w:val="-5"/>
                <w:sz w:val="14"/>
              </w:rPr>
              <w:t>No</w:t>
            </w:r>
          </w:p>
        </w:tc>
        <w:tc>
          <w:tcPr>
            <w:tcW w:w="997" w:type="dxa"/>
          </w:tcPr>
          <w:p>
            <w:pPr>
              <w:pStyle w:val="TableParagraph"/>
              <w:spacing w:before="7"/>
              <w:rPr>
                <w:sz w:val="18"/>
              </w:rPr>
            </w:pPr>
          </w:p>
          <w:p>
            <w:pPr>
              <w:pStyle w:val="TableParagraph"/>
              <w:spacing w:line="140" w:lineRule="exact"/>
              <w:ind w:right="100"/>
              <w:jc w:val="right"/>
              <w:rPr>
                <w:sz w:val="14"/>
              </w:rPr>
            </w:pPr>
            <w:r>
              <w:rPr>
                <w:spacing w:val="-2"/>
                <w:sz w:val="14"/>
              </w:rPr>
              <w:t>24.00</w:t>
            </w:r>
          </w:p>
        </w:tc>
        <w:tc>
          <w:tcPr>
            <w:tcW w:w="995" w:type="dxa"/>
          </w:tcPr>
          <w:p>
            <w:pPr>
              <w:pStyle w:val="TableParagraph"/>
              <w:spacing w:before="7"/>
              <w:rPr>
                <w:sz w:val="18"/>
              </w:rPr>
            </w:pPr>
          </w:p>
          <w:p>
            <w:pPr>
              <w:pStyle w:val="TableParagraph"/>
              <w:spacing w:line="140" w:lineRule="exact"/>
              <w:ind w:right="101"/>
              <w:jc w:val="right"/>
              <w:rPr>
                <w:sz w:val="14"/>
              </w:rPr>
            </w:pPr>
            <w:r>
              <w:rPr>
                <w:spacing w:val="-2"/>
                <w:sz w:val="14"/>
              </w:rPr>
              <w:t>25.50</w:t>
            </w:r>
          </w:p>
        </w:tc>
        <w:tc>
          <w:tcPr>
            <w:tcW w:w="861" w:type="dxa"/>
          </w:tcPr>
          <w:p>
            <w:pPr>
              <w:pStyle w:val="TableParagraph"/>
              <w:spacing w:before="7"/>
              <w:rPr>
                <w:sz w:val="18"/>
              </w:rPr>
            </w:pPr>
          </w:p>
          <w:p>
            <w:pPr>
              <w:pStyle w:val="TableParagraph"/>
              <w:spacing w:line="140" w:lineRule="exact"/>
              <w:ind w:left="327"/>
              <w:rPr>
                <w:sz w:val="14"/>
              </w:rPr>
            </w:pPr>
            <w:r>
              <w:rPr>
                <w:spacing w:val="-5"/>
                <w:sz w:val="14"/>
              </w:rPr>
              <w:t>5.9</w:t>
            </w:r>
          </w:p>
        </w:tc>
      </w:tr>
      <w:tr>
        <w:trPr>
          <w:trHeight w:val="225" w:hRule="atLeast"/>
        </w:trPr>
        <w:tc>
          <w:tcPr>
            <w:tcW w:w="5794" w:type="dxa"/>
          </w:tcPr>
          <w:p>
            <w:pPr>
              <w:pStyle w:val="TableParagraph"/>
              <w:spacing w:line="140" w:lineRule="exact" w:before="65"/>
              <w:ind w:left="107"/>
              <w:rPr>
                <w:sz w:val="14"/>
              </w:rPr>
            </w:pPr>
            <w:r>
              <w:rPr>
                <w:sz w:val="14"/>
              </w:rPr>
              <w:t>Reclaim</w:t>
            </w:r>
            <w:r>
              <w:rPr>
                <w:spacing w:val="1"/>
                <w:sz w:val="14"/>
              </w:rPr>
              <w:t> </w:t>
            </w:r>
            <w:r>
              <w:rPr>
                <w:sz w:val="14"/>
              </w:rPr>
              <w:t>Fees</w:t>
            </w:r>
            <w:r>
              <w:rPr>
                <w:spacing w:val="-3"/>
                <w:sz w:val="14"/>
              </w:rPr>
              <w:t> </w:t>
            </w:r>
            <w:r>
              <w:rPr>
                <w:sz w:val="14"/>
              </w:rPr>
              <w:t>-</w:t>
            </w:r>
            <w:r>
              <w:rPr>
                <w:spacing w:val="-1"/>
                <w:sz w:val="14"/>
              </w:rPr>
              <w:t> </w:t>
            </w:r>
            <w:r>
              <w:rPr>
                <w:sz w:val="14"/>
              </w:rPr>
              <w:t>Dog</w:t>
            </w:r>
            <w:r>
              <w:rPr>
                <w:spacing w:val="-1"/>
                <w:sz w:val="14"/>
              </w:rPr>
              <w:t> </w:t>
            </w:r>
            <w:r>
              <w:rPr>
                <w:sz w:val="14"/>
              </w:rPr>
              <w:t>-</w:t>
            </w:r>
            <w:r>
              <w:rPr>
                <w:spacing w:val="-4"/>
                <w:sz w:val="14"/>
              </w:rPr>
              <w:t> </w:t>
            </w:r>
            <w:r>
              <w:rPr>
                <w:sz w:val="14"/>
              </w:rPr>
              <w:t>Animal</w:t>
            </w:r>
            <w:r>
              <w:rPr>
                <w:spacing w:val="-3"/>
                <w:sz w:val="14"/>
              </w:rPr>
              <w:t> </w:t>
            </w:r>
            <w:r>
              <w:rPr>
                <w:sz w:val="14"/>
              </w:rPr>
              <w:t>Aid -</w:t>
            </w:r>
            <w:r>
              <w:rPr>
                <w:spacing w:val="-4"/>
                <w:sz w:val="14"/>
              </w:rPr>
              <w:t> </w:t>
            </w:r>
            <w:r>
              <w:rPr>
                <w:sz w:val="14"/>
              </w:rPr>
              <w:t>1</w:t>
            </w:r>
            <w:r>
              <w:rPr>
                <w:spacing w:val="-1"/>
                <w:sz w:val="14"/>
              </w:rPr>
              <w:t> </w:t>
            </w:r>
            <w:r>
              <w:rPr>
                <w:sz w:val="14"/>
              </w:rPr>
              <w:t>-</w:t>
            </w:r>
            <w:r>
              <w:rPr>
                <w:spacing w:val="-1"/>
                <w:sz w:val="14"/>
              </w:rPr>
              <w:t> </w:t>
            </w:r>
            <w:r>
              <w:rPr>
                <w:sz w:val="14"/>
              </w:rPr>
              <w:t>2</w:t>
            </w:r>
            <w:r>
              <w:rPr>
                <w:spacing w:val="-2"/>
                <w:sz w:val="14"/>
              </w:rPr>
              <w:t> </w:t>
            </w:r>
            <w:r>
              <w:rPr>
                <w:sz w:val="14"/>
              </w:rPr>
              <w:t>days</w:t>
            </w:r>
            <w:r>
              <w:rPr>
                <w:spacing w:val="36"/>
                <w:sz w:val="14"/>
              </w:rPr>
              <w:t> </w:t>
            </w:r>
            <w:r>
              <w:rPr>
                <w:sz w:val="14"/>
              </w:rPr>
              <w:t>-</w:t>
            </w:r>
            <w:r>
              <w:rPr>
                <w:spacing w:val="-1"/>
                <w:sz w:val="14"/>
              </w:rPr>
              <w:t> </w:t>
            </w:r>
            <w:r>
              <w:rPr>
                <w:spacing w:val="-2"/>
                <w:sz w:val="14"/>
              </w:rPr>
              <w:t>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160.00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2"/>
                <w:sz w:val="14"/>
              </w:rPr>
              <w:t> </w:t>
            </w:r>
            <w:r>
              <w:rPr>
                <w:sz w:val="14"/>
              </w:rPr>
              <w:t>Dog-</w:t>
            </w:r>
            <w:r>
              <w:rPr>
                <w:spacing w:val="-1"/>
                <w:sz w:val="14"/>
              </w:rPr>
              <w:t> </w:t>
            </w:r>
            <w:r>
              <w:rPr>
                <w:sz w:val="14"/>
              </w:rPr>
              <w:t>Animal</w:t>
            </w:r>
            <w:r>
              <w:rPr>
                <w:spacing w:val="-3"/>
                <w:sz w:val="14"/>
              </w:rPr>
              <w:t> </w:t>
            </w:r>
            <w:r>
              <w:rPr>
                <w:sz w:val="14"/>
              </w:rPr>
              <w:t>Aid</w:t>
            </w:r>
            <w:r>
              <w:rPr>
                <w:spacing w:val="-5"/>
                <w:sz w:val="14"/>
              </w:rPr>
              <w:t> </w:t>
            </w:r>
            <w:r>
              <w:rPr>
                <w:sz w:val="14"/>
              </w:rPr>
              <w:t>-</w:t>
            </w:r>
            <w:r>
              <w:rPr>
                <w:spacing w:val="-1"/>
                <w:sz w:val="14"/>
              </w:rPr>
              <w:t> </w:t>
            </w:r>
            <w:r>
              <w:rPr>
                <w:sz w:val="14"/>
              </w:rPr>
              <w:t>3-5</w:t>
            </w:r>
            <w:r>
              <w:rPr>
                <w:spacing w:val="-4"/>
                <w:sz w:val="14"/>
              </w:rPr>
              <w:t> </w:t>
            </w:r>
            <w:r>
              <w:rPr>
                <w:sz w:val="14"/>
              </w:rPr>
              <w:t>days</w:t>
            </w:r>
            <w:r>
              <w:rPr>
                <w:spacing w:val="-3"/>
                <w:sz w:val="14"/>
              </w:rPr>
              <w:t> </w:t>
            </w:r>
            <w:r>
              <w:rPr>
                <w:sz w:val="14"/>
              </w:rPr>
              <w:t>-</w:t>
            </w:r>
            <w:r>
              <w:rPr>
                <w:spacing w:val="-2"/>
                <w:sz w:val="14"/>
              </w:rPr>
              <w:t> 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180.00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2"/>
                <w:sz w:val="14"/>
              </w:rPr>
              <w:t> </w:t>
            </w:r>
            <w:r>
              <w:rPr>
                <w:sz w:val="14"/>
              </w:rPr>
              <w:t>Dog</w:t>
            </w:r>
            <w:r>
              <w:rPr>
                <w:spacing w:val="-2"/>
                <w:sz w:val="14"/>
              </w:rPr>
              <w:t> </w:t>
            </w:r>
            <w:r>
              <w:rPr>
                <w:sz w:val="14"/>
              </w:rPr>
              <w:t>-</w:t>
            </w:r>
            <w:r>
              <w:rPr>
                <w:spacing w:val="-1"/>
                <w:sz w:val="14"/>
              </w:rPr>
              <w:t> </w:t>
            </w:r>
            <w:r>
              <w:rPr>
                <w:sz w:val="14"/>
              </w:rPr>
              <w:t>Animal</w:t>
            </w:r>
            <w:r>
              <w:rPr>
                <w:spacing w:val="-3"/>
                <w:sz w:val="14"/>
              </w:rPr>
              <w:t> </w:t>
            </w:r>
            <w:r>
              <w:rPr>
                <w:sz w:val="14"/>
              </w:rPr>
              <w:t>Aid</w:t>
            </w:r>
            <w:r>
              <w:rPr>
                <w:spacing w:val="-4"/>
                <w:sz w:val="14"/>
              </w:rPr>
              <w:t> </w:t>
            </w:r>
            <w:r>
              <w:rPr>
                <w:sz w:val="14"/>
              </w:rPr>
              <w:t>-</w:t>
            </w:r>
            <w:r>
              <w:rPr>
                <w:spacing w:val="-1"/>
                <w:sz w:val="14"/>
              </w:rPr>
              <w:t> </w:t>
            </w:r>
            <w:r>
              <w:rPr>
                <w:sz w:val="14"/>
              </w:rPr>
              <w:t>6</w:t>
            </w:r>
            <w:r>
              <w:rPr>
                <w:spacing w:val="-4"/>
                <w:sz w:val="14"/>
              </w:rPr>
              <w:t> </w:t>
            </w:r>
            <w:r>
              <w:rPr>
                <w:sz w:val="14"/>
              </w:rPr>
              <w:t>-</w:t>
            </w:r>
            <w:r>
              <w:rPr>
                <w:spacing w:val="-1"/>
                <w:sz w:val="14"/>
              </w:rPr>
              <w:t> </w:t>
            </w:r>
            <w:r>
              <w:rPr>
                <w:sz w:val="14"/>
              </w:rPr>
              <w:t>8</w:t>
            </w:r>
            <w:r>
              <w:rPr>
                <w:spacing w:val="-2"/>
                <w:sz w:val="14"/>
              </w:rPr>
              <w:t> </w:t>
            </w:r>
            <w:r>
              <w:rPr>
                <w:sz w:val="14"/>
              </w:rPr>
              <w:t>days -</w:t>
            </w:r>
            <w:r>
              <w:rPr>
                <w:spacing w:val="-4"/>
                <w:sz w:val="14"/>
              </w:rPr>
              <w:t> </w:t>
            </w:r>
            <w:r>
              <w:rPr>
                <w:spacing w:val="-2"/>
                <w:sz w:val="14"/>
              </w:rPr>
              <w:t>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200.00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Dog</w:t>
            </w:r>
            <w:r>
              <w:rPr>
                <w:spacing w:val="-2"/>
                <w:sz w:val="14"/>
              </w:rPr>
              <w:t> </w:t>
            </w:r>
            <w:r>
              <w:rPr>
                <w:sz w:val="14"/>
              </w:rPr>
              <w:t>-</w:t>
            </w:r>
            <w:r>
              <w:rPr>
                <w:spacing w:val="-1"/>
                <w:sz w:val="14"/>
              </w:rPr>
              <w:t> </w:t>
            </w:r>
            <w:r>
              <w:rPr>
                <w:sz w:val="14"/>
              </w:rPr>
              <w:t>Animal</w:t>
            </w:r>
            <w:r>
              <w:rPr>
                <w:spacing w:val="-3"/>
                <w:sz w:val="14"/>
              </w:rPr>
              <w:t> </w:t>
            </w:r>
            <w:r>
              <w:rPr>
                <w:sz w:val="14"/>
              </w:rPr>
              <w:t>Aid</w:t>
            </w:r>
            <w:r>
              <w:rPr>
                <w:spacing w:val="-4"/>
                <w:sz w:val="14"/>
              </w:rPr>
              <w:t> </w:t>
            </w:r>
            <w:r>
              <w:rPr>
                <w:sz w:val="14"/>
              </w:rPr>
              <w:t>-</w:t>
            </w:r>
            <w:r>
              <w:rPr>
                <w:spacing w:val="-1"/>
                <w:sz w:val="14"/>
              </w:rPr>
              <w:t> </w:t>
            </w:r>
            <w:r>
              <w:rPr>
                <w:sz w:val="14"/>
              </w:rPr>
              <w:t>1-</w:t>
            </w:r>
            <w:r>
              <w:rPr>
                <w:spacing w:val="-1"/>
                <w:sz w:val="14"/>
              </w:rPr>
              <w:t> </w:t>
            </w:r>
            <w:r>
              <w:rPr>
                <w:sz w:val="14"/>
              </w:rPr>
              <w:t>2</w:t>
            </w:r>
            <w:r>
              <w:rPr>
                <w:spacing w:val="-2"/>
                <w:sz w:val="14"/>
              </w:rPr>
              <w:t> </w:t>
            </w:r>
            <w:r>
              <w:rPr>
                <w:sz w:val="14"/>
              </w:rPr>
              <w:t>days</w:t>
            </w:r>
            <w:r>
              <w:rPr>
                <w:spacing w:val="-3"/>
                <w:sz w:val="14"/>
              </w:rPr>
              <w:t> </w:t>
            </w:r>
            <w:r>
              <w:rPr>
                <w:sz w:val="14"/>
              </w:rPr>
              <w:t>-</w:t>
            </w:r>
            <w:r>
              <w:rPr>
                <w:spacing w:val="-1"/>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240.00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w:t>
            </w:r>
            <w:r>
              <w:rPr>
                <w:spacing w:val="1"/>
                <w:sz w:val="14"/>
              </w:rPr>
              <w:t> </w:t>
            </w:r>
            <w:r>
              <w:rPr>
                <w:sz w:val="14"/>
              </w:rPr>
              <w:t>Fees</w:t>
            </w:r>
            <w:r>
              <w:rPr>
                <w:spacing w:val="-3"/>
                <w:sz w:val="14"/>
              </w:rPr>
              <w:t> </w:t>
            </w:r>
            <w:r>
              <w:rPr>
                <w:sz w:val="14"/>
              </w:rPr>
              <w:t>Dog</w:t>
            </w:r>
            <w:r>
              <w:rPr>
                <w:spacing w:val="-2"/>
                <w:sz w:val="14"/>
              </w:rPr>
              <w:t> </w:t>
            </w:r>
            <w:r>
              <w:rPr>
                <w:sz w:val="14"/>
              </w:rPr>
              <w:t>- Animal</w:t>
            </w:r>
            <w:r>
              <w:rPr>
                <w:spacing w:val="-3"/>
                <w:sz w:val="14"/>
              </w:rPr>
              <w:t> </w:t>
            </w:r>
            <w:r>
              <w:rPr>
                <w:sz w:val="14"/>
              </w:rPr>
              <w:t>Aid</w:t>
            </w:r>
            <w:r>
              <w:rPr>
                <w:spacing w:val="-4"/>
                <w:sz w:val="14"/>
              </w:rPr>
              <w:t> </w:t>
            </w:r>
            <w:r>
              <w:rPr>
                <w:sz w:val="14"/>
              </w:rPr>
              <w:t>-</w:t>
            </w:r>
            <w:r>
              <w:rPr>
                <w:spacing w:val="-1"/>
                <w:sz w:val="14"/>
              </w:rPr>
              <w:t> </w:t>
            </w:r>
            <w:r>
              <w:rPr>
                <w:sz w:val="14"/>
              </w:rPr>
              <w:t>3</w:t>
            </w:r>
            <w:r>
              <w:rPr>
                <w:spacing w:val="-3"/>
                <w:sz w:val="14"/>
              </w:rPr>
              <w:t> </w:t>
            </w:r>
            <w:r>
              <w:rPr>
                <w:sz w:val="14"/>
              </w:rPr>
              <w:t>-5</w:t>
            </w:r>
            <w:r>
              <w:rPr>
                <w:spacing w:val="-2"/>
                <w:sz w:val="14"/>
              </w:rPr>
              <w:t> </w:t>
            </w:r>
            <w:r>
              <w:rPr>
                <w:sz w:val="14"/>
              </w:rPr>
              <w:t>days</w:t>
            </w:r>
            <w:r>
              <w:rPr>
                <w:spacing w:val="36"/>
                <w:sz w:val="14"/>
              </w:rPr>
              <w:t> </w:t>
            </w:r>
            <w:r>
              <w:rPr>
                <w:sz w:val="14"/>
              </w:rPr>
              <w:t>-</w:t>
            </w:r>
            <w:r>
              <w:rPr>
                <w:spacing w:val="-4"/>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270.00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Dog</w:t>
            </w:r>
            <w:r>
              <w:rPr>
                <w:spacing w:val="-2"/>
                <w:sz w:val="14"/>
              </w:rPr>
              <w:t> </w:t>
            </w:r>
            <w:r>
              <w:rPr>
                <w:sz w:val="14"/>
              </w:rPr>
              <w:t>-</w:t>
            </w:r>
            <w:r>
              <w:rPr>
                <w:spacing w:val="-1"/>
                <w:sz w:val="14"/>
              </w:rPr>
              <w:t> </w:t>
            </w:r>
            <w:r>
              <w:rPr>
                <w:sz w:val="14"/>
              </w:rPr>
              <w:t>Animal</w:t>
            </w:r>
            <w:r>
              <w:rPr>
                <w:spacing w:val="-3"/>
                <w:sz w:val="14"/>
              </w:rPr>
              <w:t> </w:t>
            </w:r>
            <w:r>
              <w:rPr>
                <w:sz w:val="14"/>
              </w:rPr>
              <w:t>Aid</w:t>
            </w:r>
            <w:r>
              <w:rPr>
                <w:spacing w:val="-4"/>
                <w:sz w:val="14"/>
              </w:rPr>
              <w:t> </w:t>
            </w:r>
            <w:r>
              <w:rPr>
                <w:sz w:val="14"/>
              </w:rPr>
              <w:t>-</w:t>
            </w:r>
            <w:r>
              <w:rPr>
                <w:spacing w:val="-1"/>
                <w:sz w:val="14"/>
              </w:rPr>
              <w:t> </w:t>
            </w:r>
            <w:r>
              <w:rPr>
                <w:sz w:val="14"/>
              </w:rPr>
              <w:t>6</w:t>
            </w:r>
            <w:r>
              <w:rPr>
                <w:spacing w:val="-4"/>
                <w:sz w:val="14"/>
              </w:rPr>
              <w:t> </w:t>
            </w:r>
            <w:r>
              <w:rPr>
                <w:sz w:val="14"/>
              </w:rPr>
              <w:t>-</w:t>
            </w:r>
            <w:r>
              <w:rPr>
                <w:spacing w:val="-1"/>
                <w:sz w:val="14"/>
              </w:rPr>
              <w:t> </w:t>
            </w:r>
            <w:r>
              <w:rPr>
                <w:sz w:val="14"/>
              </w:rPr>
              <w:t>8</w:t>
            </w:r>
            <w:r>
              <w:rPr>
                <w:spacing w:val="-2"/>
                <w:sz w:val="14"/>
              </w:rPr>
              <w:t> </w:t>
            </w:r>
            <w:r>
              <w:rPr>
                <w:sz w:val="14"/>
              </w:rPr>
              <w:t>days -</w:t>
            </w:r>
            <w:r>
              <w:rPr>
                <w:spacing w:val="-4"/>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300.00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Dog</w:t>
            </w:r>
            <w:r>
              <w:rPr>
                <w:spacing w:val="-2"/>
                <w:sz w:val="14"/>
              </w:rPr>
              <w:t> </w:t>
            </w:r>
            <w:r>
              <w:rPr>
                <w:sz w:val="14"/>
              </w:rPr>
              <w:t>-</w:t>
            </w:r>
            <w:r>
              <w:rPr>
                <w:spacing w:val="-1"/>
                <w:sz w:val="14"/>
              </w:rPr>
              <w:t> </w:t>
            </w:r>
            <w:r>
              <w:rPr>
                <w:sz w:val="14"/>
              </w:rPr>
              <w:t>Animal</w:t>
            </w:r>
            <w:r>
              <w:rPr>
                <w:spacing w:val="-3"/>
                <w:sz w:val="14"/>
              </w:rPr>
              <w:t> </w:t>
            </w:r>
            <w:r>
              <w:rPr>
                <w:sz w:val="14"/>
              </w:rPr>
              <w:t>Aid</w:t>
            </w:r>
            <w:r>
              <w:rPr>
                <w:spacing w:val="31"/>
                <w:sz w:val="14"/>
              </w:rPr>
              <w:t> </w:t>
            </w:r>
            <w:r>
              <w:rPr>
                <w:sz w:val="14"/>
              </w:rPr>
              <w:t>&gt;8</w:t>
            </w:r>
            <w:r>
              <w:rPr>
                <w:spacing w:val="-2"/>
                <w:sz w:val="14"/>
              </w:rPr>
              <w:t> </w:t>
            </w:r>
            <w:r>
              <w:rPr>
                <w:sz w:val="14"/>
              </w:rPr>
              <w:t>days</w:t>
            </w:r>
            <w:r>
              <w:rPr>
                <w:spacing w:val="-4"/>
                <w:sz w:val="14"/>
              </w:rPr>
              <w:t> </w:t>
            </w:r>
            <w:r>
              <w:rPr>
                <w:sz w:val="14"/>
              </w:rPr>
              <w:t>(per</w:t>
            </w:r>
            <w:r>
              <w:rPr>
                <w:spacing w:val="-1"/>
                <w:sz w:val="14"/>
              </w:rPr>
              <w:t> </w:t>
            </w:r>
            <w:r>
              <w:rPr>
                <w:spacing w:val="-4"/>
                <w:sz w:val="14"/>
              </w:rPr>
              <w:t>day)</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1"/>
              <w:jc w:val="right"/>
              <w:rPr>
                <w:sz w:val="14"/>
              </w:rPr>
            </w:pPr>
            <w:r>
              <w:rPr>
                <w:spacing w:val="-2"/>
                <w:sz w:val="14"/>
              </w:rPr>
              <w:t>40.00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Seized</w:t>
            </w:r>
            <w:r>
              <w:rPr>
                <w:spacing w:val="-3"/>
                <w:sz w:val="14"/>
              </w:rPr>
              <w:t> </w:t>
            </w:r>
            <w:r>
              <w:rPr>
                <w:sz w:val="14"/>
              </w:rPr>
              <w:t>Dog</w:t>
            </w:r>
            <w:r>
              <w:rPr>
                <w:spacing w:val="-2"/>
                <w:sz w:val="14"/>
              </w:rPr>
              <w:t> </w:t>
            </w:r>
            <w:r>
              <w:rPr>
                <w:sz w:val="14"/>
              </w:rPr>
              <w:t>-</w:t>
            </w:r>
            <w:r>
              <w:rPr>
                <w:spacing w:val="-1"/>
                <w:sz w:val="14"/>
              </w:rPr>
              <w:t> </w:t>
            </w:r>
            <w:r>
              <w:rPr>
                <w:sz w:val="14"/>
              </w:rPr>
              <w:t>per</w:t>
            </w:r>
            <w:r>
              <w:rPr>
                <w:spacing w:val="-4"/>
                <w:sz w:val="14"/>
              </w:rPr>
              <w:t> </w:t>
            </w:r>
            <w:r>
              <w:rPr>
                <w:sz w:val="14"/>
              </w:rPr>
              <w:t>day</w:t>
            </w:r>
            <w:r>
              <w:rPr>
                <w:spacing w:val="-1"/>
                <w:sz w:val="14"/>
              </w:rPr>
              <w:t> </w:t>
            </w:r>
            <w:r>
              <w:rPr>
                <w:sz w:val="14"/>
              </w:rPr>
              <w:t>-</w:t>
            </w:r>
            <w:r>
              <w:rPr>
                <w:spacing w:val="-4"/>
                <w:sz w:val="14"/>
              </w:rPr>
              <w:t> </w:t>
            </w:r>
            <w:r>
              <w:rPr>
                <w:sz w:val="14"/>
              </w:rPr>
              <w:t>Animal</w:t>
            </w:r>
            <w:r>
              <w:rPr>
                <w:spacing w:val="-3"/>
                <w:sz w:val="14"/>
              </w:rPr>
              <w:t> </w:t>
            </w:r>
            <w:r>
              <w:rPr>
                <w:spacing w:val="-5"/>
                <w:sz w:val="14"/>
              </w:rPr>
              <w:t>Aid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2"/>
                <w:sz w:val="14"/>
              </w:rPr>
              <w:t>35.00</w:t>
            </w:r>
          </w:p>
        </w:tc>
        <w:tc>
          <w:tcPr>
            <w:tcW w:w="995" w:type="dxa"/>
          </w:tcPr>
          <w:p>
            <w:pPr>
              <w:pStyle w:val="TableParagraph"/>
              <w:spacing w:line="140" w:lineRule="exact" w:before="65"/>
              <w:ind w:right="101"/>
              <w:jc w:val="right"/>
              <w:rPr>
                <w:sz w:val="14"/>
              </w:rPr>
            </w:pPr>
            <w:r>
              <w:rPr>
                <w:spacing w:val="-2"/>
                <w:sz w:val="14"/>
              </w:rPr>
              <w:t>40.00</w:t>
            </w:r>
          </w:p>
        </w:tc>
        <w:tc>
          <w:tcPr>
            <w:tcW w:w="861" w:type="dxa"/>
          </w:tcPr>
          <w:p>
            <w:pPr>
              <w:pStyle w:val="TableParagraph"/>
              <w:spacing w:line="140" w:lineRule="exact" w:before="65"/>
              <w:ind w:left="288"/>
              <w:rPr>
                <w:sz w:val="14"/>
              </w:rPr>
            </w:pPr>
            <w:r>
              <w:rPr>
                <w:spacing w:val="-4"/>
                <w:sz w:val="14"/>
              </w:rPr>
              <w:t>12.5</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4"/>
                <w:sz w:val="14"/>
              </w:rPr>
              <w:t> </w:t>
            </w:r>
            <w:r>
              <w:rPr>
                <w:sz w:val="14"/>
              </w:rPr>
              <w:t>Cat-</w:t>
            </w:r>
            <w:r>
              <w:rPr>
                <w:spacing w:val="-4"/>
                <w:sz w:val="14"/>
              </w:rPr>
              <w:t> </w:t>
            </w:r>
            <w:r>
              <w:rPr>
                <w:sz w:val="14"/>
              </w:rPr>
              <w:t>Animal</w:t>
            </w:r>
            <w:r>
              <w:rPr>
                <w:spacing w:val="-4"/>
                <w:sz w:val="14"/>
              </w:rPr>
              <w:t> </w:t>
            </w:r>
            <w:r>
              <w:rPr>
                <w:sz w:val="14"/>
              </w:rPr>
              <w:t>Aid</w:t>
            </w:r>
            <w:r>
              <w:rPr>
                <w:spacing w:val="-1"/>
                <w:sz w:val="14"/>
              </w:rPr>
              <w:t> </w:t>
            </w:r>
            <w:r>
              <w:rPr>
                <w:sz w:val="14"/>
              </w:rPr>
              <w:t>-</w:t>
            </w:r>
            <w:r>
              <w:rPr>
                <w:spacing w:val="-5"/>
                <w:sz w:val="14"/>
              </w:rPr>
              <w:t> </w:t>
            </w:r>
            <w:r>
              <w:rPr>
                <w:sz w:val="14"/>
              </w:rPr>
              <w:t>1-2</w:t>
            </w:r>
            <w:r>
              <w:rPr>
                <w:spacing w:val="-3"/>
                <w:sz w:val="14"/>
              </w:rPr>
              <w:t> </w:t>
            </w:r>
            <w:r>
              <w:rPr>
                <w:sz w:val="14"/>
              </w:rPr>
              <w:t>days</w:t>
            </w:r>
            <w:r>
              <w:rPr>
                <w:spacing w:val="-3"/>
                <w:sz w:val="14"/>
              </w:rPr>
              <w:t> </w:t>
            </w:r>
            <w:r>
              <w:rPr>
                <w:spacing w:val="-2"/>
                <w:sz w:val="14"/>
              </w:rPr>
              <w:t>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1"/>
              <w:jc w:val="right"/>
              <w:rPr>
                <w:sz w:val="14"/>
              </w:rPr>
            </w:pPr>
            <w:r>
              <w:rPr>
                <w:spacing w:val="-2"/>
                <w:sz w:val="14"/>
              </w:rPr>
              <w:t>80.00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2" w:lineRule="exact" w:before="63"/>
              <w:ind w:left="107"/>
              <w:rPr>
                <w:sz w:val="14"/>
              </w:rPr>
            </w:pPr>
            <w:r>
              <w:rPr>
                <w:sz w:val="14"/>
              </w:rPr>
              <w:t>Reclaim Fees</w:t>
            </w:r>
            <w:r>
              <w:rPr>
                <w:spacing w:val="-3"/>
                <w:sz w:val="14"/>
              </w:rPr>
              <w:t> </w:t>
            </w:r>
            <w:r>
              <w:rPr>
                <w:sz w:val="14"/>
              </w:rPr>
              <w:t>Cat</w:t>
            </w:r>
            <w:r>
              <w:rPr>
                <w:spacing w:val="-3"/>
                <w:sz w:val="14"/>
              </w:rPr>
              <w:t> </w:t>
            </w:r>
            <w:r>
              <w:rPr>
                <w:sz w:val="14"/>
              </w:rPr>
              <w:t>-</w:t>
            </w:r>
            <w:r>
              <w:rPr>
                <w:spacing w:val="-4"/>
                <w:sz w:val="14"/>
              </w:rPr>
              <w:t> </w:t>
            </w:r>
            <w:r>
              <w:rPr>
                <w:sz w:val="14"/>
              </w:rPr>
              <w:t>Animal</w:t>
            </w:r>
            <w:r>
              <w:rPr>
                <w:spacing w:val="-3"/>
                <w:sz w:val="14"/>
              </w:rPr>
              <w:t> </w:t>
            </w:r>
            <w:r>
              <w:rPr>
                <w:sz w:val="14"/>
              </w:rPr>
              <w:t>Aid</w:t>
            </w:r>
            <w:r>
              <w:rPr>
                <w:spacing w:val="-2"/>
                <w:sz w:val="14"/>
              </w:rPr>
              <w:t> </w:t>
            </w:r>
            <w:r>
              <w:rPr>
                <w:sz w:val="14"/>
              </w:rPr>
              <w:t>-</w:t>
            </w:r>
            <w:r>
              <w:rPr>
                <w:spacing w:val="-1"/>
                <w:sz w:val="14"/>
              </w:rPr>
              <w:t> </w:t>
            </w:r>
            <w:r>
              <w:rPr>
                <w:sz w:val="14"/>
              </w:rPr>
              <w:t>3-5</w:t>
            </w:r>
            <w:r>
              <w:rPr>
                <w:spacing w:val="-2"/>
                <w:sz w:val="14"/>
              </w:rPr>
              <w:t> </w:t>
            </w:r>
            <w:r>
              <w:rPr>
                <w:sz w:val="14"/>
              </w:rPr>
              <w:t>days</w:t>
            </w:r>
            <w:r>
              <w:rPr>
                <w:spacing w:val="-3"/>
                <w:sz w:val="14"/>
              </w:rPr>
              <w:t> </w:t>
            </w:r>
            <w:r>
              <w:rPr>
                <w:spacing w:val="-2"/>
                <w:sz w:val="14"/>
              </w:rPr>
              <w:t>Registered</w:t>
            </w:r>
          </w:p>
        </w:tc>
        <w:tc>
          <w:tcPr>
            <w:tcW w:w="1131" w:type="dxa"/>
          </w:tcPr>
          <w:p>
            <w:pPr>
              <w:pStyle w:val="TableParagraph"/>
              <w:spacing w:line="142" w:lineRule="exact" w:before="63"/>
              <w:ind w:left="513"/>
              <w:rPr>
                <w:sz w:val="14"/>
              </w:rPr>
            </w:pPr>
            <w:r>
              <w:rPr>
                <w:w w:val="99"/>
                <w:sz w:val="14"/>
              </w:rPr>
              <w:t>N</w:t>
            </w:r>
          </w:p>
        </w:tc>
        <w:tc>
          <w:tcPr>
            <w:tcW w:w="567" w:type="dxa"/>
          </w:tcPr>
          <w:p>
            <w:pPr>
              <w:pStyle w:val="TableParagraph"/>
              <w:spacing w:line="142" w:lineRule="exact" w:before="63"/>
              <w:ind w:left="159"/>
              <w:rPr>
                <w:sz w:val="14"/>
              </w:rPr>
            </w:pPr>
            <w:r>
              <w:rPr>
                <w:spacing w:val="-5"/>
                <w:sz w:val="14"/>
              </w:rPr>
              <w:t>Yes</w:t>
            </w:r>
          </w:p>
        </w:tc>
        <w:tc>
          <w:tcPr>
            <w:tcW w:w="997" w:type="dxa"/>
          </w:tcPr>
          <w:p>
            <w:pPr>
              <w:pStyle w:val="TableParagraph"/>
              <w:spacing w:line="142" w:lineRule="exact" w:before="63"/>
              <w:ind w:right="101"/>
              <w:jc w:val="right"/>
              <w:rPr>
                <w:sz w:val="14"/>
              </w:rPr>
            </w:pPr>
            <w:r>
              <w:rPr>
                <w:spacing w:val="-4"/>
                <w:sz w:val="14"/>
              </w:rPr>
              <w:t>0.00</w:t>
            </w:r>
          </w:p>
        </w:tc>
        <w:tc>
          <w:tcPr>
            <w:tcW w:w="995" w:type="dxa"/>
          </w:tcPr>
          <w:p>
            <w:pPr>
              <w:pStyle w:val="TableParagraph"/>
              <w:spacing w:line="142" w:lineRule="exact" w:before="63"/>
              <w:ind w:right="102"/>
              <w:jc w:val="right"/>
              <w:rPr>
                <w:sz w:val="14"/>
              </w:rPr>
            </w:pPr>
            <w:r>
              <w:rPr>
                <w:spacing w:val="-2"/>
                <w:sz w:val="14"/>
              </w:rPr>
              <w:t>90.00</w:t>
            </w:r>
          </w:p>
        </w:tc>
        <w:tc>
          <w:tcPr>
            <w:tcW w:w="861" w:type="dxa"/>
          </w:tcPr>
          <w:p>
            <w:pPr>
              <w:pStyle w:val="TableParagraph"/>
              <w:spacing w:line="142" w:lineRule="exact" w:before="63"/>
              <w:ind w:left="327"/>
              <w:rPr>
                <w:sz w:val="14"/>
              </w:rPr>
            </w:pPr>
            <w:r>
              <w:rPr>
                <w:spacing w:val="-5"/>
                <w:sz w:val="14"/>
              </w:rPr>
              <w:t>0.0</w:t>
            </w:r>
          </w:p>
        </w:tc>
      </w:tr>
      <w:tr>
        <w:trPr>
          <w:trHeight w:val="222" w:hRule="atLeast"/>
        </w:trPr>
        <w:tc>
          <w:tcPr>
            <w:tcW w:w="5794" w:type="dxa"/>
          </w:tcPr>
          <w:p>
            <w:pPr>
              <w:pStyle w:val="TableParagraph"/>
              <w:spacing w:line="140" w:lineRule="exact" w:before="63"/>
              <w:ind w:left="107"/>
              <w:rPr>
                <w:sz w:val="14"/>
              </w:rPr>
            </w:pPr>
            <w:r>
              <w:rPr>
                <w:sz w:val="14"/>
              </w:rPr>
              <w:t>Reclaim Fees</w:t>
            </w:r>
            <w:r>
              <w:rPr>
                <w:spacing w:val="-3"/>
                <w:sz w:val="14"/>
              </w:rPr>
              <w:t> </w:t>
            </w:r>
            <w:r>
              <w:rPr>
                <w:sz w:val="14"/>
              </w:rPr>
              <w:t>Cat</w:t>
            </w:r>
            <w:r>
              <w:rPr>
                <w:spacing w:val="-3"/>
                <w:sz w:val="14"/>
              </w:rPr>
              <w:t> </w:t>
            </w:r>
            <w:r>
              <w:rPr>
                <w:sz w:val="14"/>
              </w:rPr>
              <w:t>-</w:t>
            </w:r>
            <w:r>
              <w:rPr>
                <w:spacing w:val="-4"/>
                <w:sz w:val="14"/>
              </w:rPr>
              <w:t> </w:t>
            </w:r>
            <w:r>
              <w:rPr>
                <w:sz w:val="14"/>
              </w:rPr>
              <w:t>Animal</w:t>
            </w:r>
            <w:r>
              <w:rPr>
                <w:spacing w:val="-3"/>
                <w:sz w:val="14"/>
              </w:rPr>
              <w:t> </w:t>
            </w:r>
            <w:r>
              <w:rPr>
                <w:sz w:val="14"/>
              </w:rPr>
              <w:t>Aid</w:t>
            </w:r>
            <w:r>
              <w:rPr>
                <w:spacing w:val="-2"/>
                <w:sz w:val="14"/>
              </w:rPr>
              <w:t> </w:t>
            </w:r>
            <w:r>
              <w:rPr>
                <w:sz w:val="14"/>
              </w:rPr>
              <w:t>-</w:t>
            </w:r>
            <w:r>
              <w:rPr>
                <w:spacing w:val="-1"/>
                <w:sz w:val="14"/>
              </w:rPr>
              <w:t> </w:t>
            </w:r>
            <w:r>
              <w:rPr>
                <w:sz w:val="14"/>
              </w:rPr>
              <w:t>6-8</w:t>
            </w:r>
            <w:r>
              <w:rPr>
                <w:spacing w:val="-3"/>
                <w:sz w:val="14"/>
              </w:rPr>
              <w:t> </w:t>
            </w:r>
            <w:r>
              <w:rPr>
                <w:sz w:val="14"/>
              </w:rPr>
              <w:t>days</w:t>
            </w:r>
            <w:r>
              <w:rPr>
                <w:spacing w:val="-3"/>
                <w:sz w:val="14"/>
              </w:rPr>
              <w:t> </w:t>
            </w:r>
            <w:r>
              <w:rPr>
                <w:spacing w:val="-2"/>
                <w:sz w:val="14"/>
              </w:rPr>
              <w:t>Registered</w:t>
            </w:r>
          </w:p>
        </w:tc>
        <w:tc>
          <w:tcPr>
            <w:tcW w:w="1131" w:type="dxa"/>
          </w:tcPr>
          <w:p>
            <w:pPr>
              <w:pStyle w:val="TableParagraph"/>
              <w:spacing w:line="140" w:lineRule="exact" w:before="63"/>
              <w:ind w:left="512"/>
              <w:rPr>
                <w:sz w:val="14"/>
              </w:rPr>
            </w:pPr>
            <w:r>
              <w:rPr>
                <w:w w:val="99"/>
                <w:sz w:val="14"/>
              </w:rPr>
              <w:t>N</w:t>
            </w:r>
          </w:p>
        </w:tc>
        <w:tc>
          <w:tcPr>
            <w:tcW w:w="567" w:type="dxa"/>
          </w:tcPr>
          <w:p>
            <w:pPr>
              <w:pStyle w:val="TableParagraph"/>
              <w:spacing w:line="140" w:lineRule="exact" w:before="63"/>
              <w:ind w:left="159"/>
              <w:rPr>
                <w:sz w:val="14"/>
              </w:rPr>
            </w:pPr>
            <w:r>
              <w:rPr>
                <w:spacing w:val="-5"/>
                <w:sz w:val="14"/>
              </w:rPr>
              <w:t>Yes</w:t>
            </w:r>
          </w:p>
        </w:tc>
        <w:tc>
          <w:tcPr>
            <w:tcW w:w="997" w:type="dxa"/>
          </w:tcPr>
          <w:p>
            <w:pPr>
              <w:pStyle w:val="TableParagraph"/>
              <w:spacing w:line="140" w:lineRule="exact" w:before="63"/>
              <w:ind w:right="100"/>
              <w:jc w:val="right"/>
              <w:rPr>
                <w:sz w:val="14"/>
              </w:rPr>
            </w:pPr>
            <w:r>
              <w:rPr>
                <w:spacing w:val="-4"/>
                <w:sz w:val="14"/>
              </w:rPr>
              <w:t>0.00</w:t>
            </w:r>
          </w:p>
        </w:tc>
        <w:tc>
          <w:tcPr>
            <w:tcW w:w="995" w:type="dxa"/>
          </w:tcPr>
          <w:p>
            <w:pPr>
              <w:pStyle w:val="TableParagraph"/>
              <w:spacing w:line="140" w:lineRule="exact" w:before="63"/>
              <w:ind w:right="102"/>
              <w:jc w:val="right"/>
              <w:rPr>
                <w:sz w:val="14"/>
              </w:rPr>
            </w:pPr>
            <w:r>
              <w:rPr>
                <w:spacing w:val="-2"/>
                <w:sz w:val="14"/>
              </w:rPr>
              <w:t>100.00</w:t>
            </w:r>
          </w:p>
        </w:tc>
        <w:tc>
          <w:tcPr>
            <w:tcW w:w="861" w:type="dxa"/>
          </w:tcPr>
          <w:p>
            <w:pPr>
              <w:pStyle w:val="TableParagraph"/>
              <w:spacing w:line="140" w:lineRule="exact" w:before="63"/>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Cat</w:t>
            </w:r>
            <w:r>
              <w:rPr>
                <w:spacing w:val="-3"/>
                <w:sz w:val="14"/>
              </w:rPr>
              <w:t> </w:t>
            </w:r>
            <w:r>
              <w:rPr>
                <w:sz w:val="14"/>
              </w:rPr>
              <w:t>-</w:t>
            </w:r>
            <w:r>
              <w:rPr>
                <w:spacing w:val="-4"/>
                <w:sz w:val="14"/>
              </w:rPr>
              <w:t> </w:t>
            </w:r>
            <w:r>
              <w:rPr>
                <w:sz w:val="14"/>
              </w:rPr>
              <w:t>Animal</w:t>
            </w:r>
            <w:r>
              <w:rPr>
                <w:spacing w:val="-3"/>
                <w:sz w:val="14"/>
              </w:rPr>
              <w:t> </w:t>
            </w:r>
            <w:r>
              <w:rPr>
                <w:sz w:val="14"/>
              </w:rPr>
              <w:t>Aid</w:t>
            </w:r>
            <w:r>
              <w:rPr>
                <w:spacing w:val="-2"/>
                <w:sz w:val="14"/>
              </w:rPr>
              <w:t> </w:t>
            </w:r>
            <w:r>
              <w:rPr>
                <w:sz w:val="14"/>
              </w:rPr>
              <w:t>-</w:t>
            </w:r>
            <w:r>
              <w:rPr>
                <w:spacing w:val="-1"/>
                <w:sz w:val="14"/>
              </w:rPr>
              <w:t> </w:t>
            </w:r>
            <w:r>
              <w:rPr>
                <w:sz w:val="14"/>
              </w:rPr>
              <w:t>1-2</w:t>
            </w:r>
            <w:r>
              <w:rPr>
                <w:spacing w:val="-3"/>
                <w:sz w:val="14"/>
              </w:rPr>
              <w:t> </w:t>
            </w:r>
            <w:r>
              <w:rPr>
                <w:sz w:val="14"/>
              </w:rPr>
              <w:t>days</w:t>
            </w:r>
            <w:r>
              <w:rPr>
                <w:spacing w:val="-3"/>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120.00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4"/>
                <w:sz w:val="14"/>
              </w:rPr>
              <w:t> </w:t>
            </w:r>
            <w:r>
              <w:rPr>
                <w:sz w:val="14"/>
              </w:rPr>
              <w:t>Cat-</w:t>
            </w:r>
            <w:r>
              <w:rPr>
                <w:spacing w:val="-4"/>
                <w:sz w:val="14"/>
              </w:rPr>
              <w:t> </w:t>
            </w:r>
            <w:r>
              <w:rPr>
                <w:sz w:val="14"/>
              </w:rPr>
              <w:t>Animal</w:t>
            </w:r>
            <w:r>
              <w:rPr>
                <w:spacing w:val="-4"/>
                <w:sz w:val="14"/>
              </w:rPr>
              <w:t> </w:t>
            </w:r>
            <w:r>
              <w:rPr>
                <w:sz w:val="14"/>
              </w:rPr>
              <w:t>Aid</w:t>
            </w:r>
            <w:r>
              <w:rPr>
                <w:spacing w:val="-1"/>
                <w:sz w:val="14"/>
              </w:rPr>
              <w:t> </w:t>
            </w:r>
            <w:r>
              <w:rPr>
                <w:sz w:val="14"/>
              </w:rPr>
              <w:t>-</w:t>
            </w:r>
            <w:r>
              <w:rPr>
                <w:spacing w:val="-5"/>
                <w:sz w:val="14"/>
              </w:rPr>
              <w:t> </w:t>
            </w:r>
            <w:r>
              <w:rPr>
                <w:sz w:val="14"/>
              </w:rPr>
              <w:t>3-5</w:t>
            </w:r>
            <w:r>
              <w:rPr>
                <w:spacing w:val="-3"/>
                <w:sz w:val="14"/>
              </w:rPr>
              <w:t> </w:t>
            </w:r>
            <w:r>
              <w:rPr>
                <w:sz w:val="14"/>
              </w:rPr>
              <w:t>days</w:t>
            </w:r>
            <w:r>
              <w:rPr>
                <w:spacing w:val="-3"/>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135.00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Cat</w:t>
            </w:r>
            <w:r>
              <w:rPr>
                <w:spacing w:val="-2"/>
                <w:sz w:val="14"/>
              </w:rPr>
              <w:t> </w:t>
            </w:r>
            <w:r>
              <w:rPr>
                <w:sz w:val="14"/>
              </w:rPr>
              <w:t>-</w:t>
            </w:r>
            <w:r>
              <w:rPr>
                <w:spacing w:val="-4"/>
                <w:sz w:val="14"/>
              </w:rPr>
              <w:t> </w:t>
            </w:r>
            <w:r>
              <w:rPr>
                <w:sz w:val="14"/>
              </w:rPr>
              <w:t>Animal</w:t>
            </w:r>
            <w:r>
              <w:rPr>
                <w:spacing w:val="-3"/>
                <w:sz w:val="14"/>
              </w:rPr>
              <w:t> </w:t>
            </w:r>
            <w:r>
              <w:rPr>
                <w:sz w:val="14"/>
              </w:rPr>
              <w:t>Aid</w:t>
            </w:r>
            <w:r>
              <w:rPr>
                <w:spacing w:val="-1"/>
                <w:sz w:val="14"/>
              </w:rPr>
              <w:t> </w:t>
            </w:r>
            <w:r>
              <w:rPr>
                <w:sz w:val="14"/>
              </w:rPr>
              <w:t>-</w:t>
            </w:r>
            <w:r>
              <w:rPr>
                <w:spacing w:val="-1"/>
                <w:sz w:val="14"/>
              </w:rPr>
              <w:t> </w:t>
            </w:r>
            <w:r>
              <w:rPr>
                <w:sz w:val="14"/>
              </w:rPr>
              <w:t>6</w:t>
            </w:r>
            <w:r>
              <w:rPr>
                <w:spacing w:val="-4"/>
                <w:sz w:val="14"/>
              </w:rPr>
              <w:t> </w:t>
            </w:r>
            <w:r>
              <w:rPr>
                <w:sz w:val="14"/>
              </w:rPr>
              <w:t>-8</w:t>
            </w:r>
            <w:r>
              <w:rPr>
                <w:spacing w:val="-4"/>
                <w:sz w:val="14"/>
              </w:rPr>
              <w:t> </w:t>
            </w:r>
            <w:r>
              <w:rPr>
                <w:sz w:val="14"/>
              </w:rPr>
              <w:t>days</w:t>
            </w:r>
            <w:r>
              <w:rPr>
                <w:spacing w:val="-3"/>
                <w:sz w:val="14"/>
              </w:rPr>
              <w:t> </w:t>
            </w:r>
            <w:r>
              <w:rPr>
                <w:spacing w:val="-2"/>
                <w:sz w:val="14"/>
              </w:rPr>
              <w:t>Unregistered</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2"/>
              <w:jc w:val="right"/>
              <w:rPr>
                <w:sz w:val="14"/>
              </w:rPr>
            </w:pPr>
            <w:r>
              <w:rPr>
                <w:spacing w:val="-2"/>
                <w:sz w:val="14"/>
              </w:rPr>
              <w:t>150.00</w:t>
            </w:r>
          </w:p>
        </w:tc>
        <w:tc>
          <w:tcPr>
            <w:tcW w:w="861" w:type="dxa"/>
          </w:tcPr>
          <w:p>
            <w:pPr>
              <w:pStyle w:val="TableParagraph"/>
              <w:spacing w:line="140" w:lineRule="exact" w:before="65"/>
              <w:ind w:left="327"/>
              <w:rPr>
                <w:sz w:val="14"/>
              </w:rPr>
            </w:pPr>
            <w:r>
              <w:rPr>
                <w:spacing w:val="-5"/>
                <w:sz w:val="14"/>
              </w:rPr>
              <w:t>0.0</w:t>
            </w:r>
          </w:p>
        </w:tc>
      </w:tr>
      <w:tr>
        <w:trPr>
          <w:trHeight w:val="225" w:hRule="atLeast"/>
        </w:trPr>
        <w:tc>
          <w:tcPr>
            <w:tcW w:w="5794" w:type="dxa"/>
          </w:tcPr>
          <w:p>
            <w:pPr>
              <w:pStyle w:val="TableParagraph"/>
              <w:spacing w:line="140" w:lineRule="exact" w:before="65"/>
              <w:ind w:left="107"/>
              <w:rPr>
                <w:sz w:val="14"/>
              </w:rPr>
            </w:pPr>
            <w:r>
              <w:rPr>
                <w:sz w:val="14"/>
              </w:rPr>
              <w:t>Reclaim Fees</w:t>
            </w:r>
            <w:r>
              <w:rPr>
                <w:spacing w:val="-3"/>
                <w:sz w:val="14"/>
              </w:rPr>
              <w:t> </w:t>
            </w:r>
            <w:r>
              <w:rPr>
                <w:sz w:val="14"/>
              </w:rPr>
              <w:t>Cat</w:t>
            </w:r>
            <w:r>
              <w:rPr>
                <w:spacing w:val="-2"/>
                <w:sz w:val="14"/>
              </w:rPr>
              <w:t> </w:t>
            </w:r>
            <w:r>
              <w:rPr>
                <w:sz w:val="14"/>
              </w:rPr>
              <w:t>-</w:t>
            </w:r>
            <w:r>
              <w:rPr>
                <w:spacing w:val="-4"/>
                <w:sz w:val="14"/>
              </w:rPr>
              <w:t> </w:t>
            </w:r>
            <w:r>
              <w:rPr>
                <w:sz w:val="14"/>
              </w:rPr>
              <w:t>Animal</w:t>
            </w:r>
            <w:r>
              <w:rPr>
                <w:spacing w:val="-4"/>
                <w:sz w:val="14"/>
              </w:rPr>
              <w:t> </w:t>
            </w:r>
            <w:r>
              <w:rPr>
                <w:sz w:val="14"/>
              </w:rPr>
              <w:t>Aid</w:t>
            </w:r>
            <w:r>
              <w:rPr>
                <w:spacing w:val="35"/>
                <w:sz w:val="14"/>
              </w:rPr>
              <w:t> </w:t>
            </w:r>
            <w:r>
              <w:rPr>
                <w:sz w:val="14"/>
              </w:rPr>
              <w:t>&gt;8</w:t>
            </w:r>
            <w:r>
              <w:rPr>
                <w:spacing w:val="-2"/>
                <w:sz w:val="14"/>
              </w:rPr>
              <w:t> </w:t>
            </w:r>
            <w:r>
              <w:rPr>
                <w:sz w:val="14"/>
              </w:rPr>
              <w:t>days</w:t>
            </w:r>
            <w:r>
              <w:rPr>
                <w:spacing w:val="-4"/>
                <w:sz w:val="14"/>
              </w:rPr>
              <w:t> </w:t>
            </w:r>
            <w:r>
              <w:rPr>
                <w:sz w:val="14"/>
              </w:rPr>
              <w:t>(per</w:t>
            </w:r>
            <w:r>
              <w:rPr>
                <w:spacing w:val="-2"/>
                <w:sz w:val="14"/>
              </w:rPr>
              <w:t> </w:t>
            </w:r>
            <w:r>
              <w:rPr>
                <w:spacing w:val="-4"/>
                <w:sz w:val="14"/>
              </w:rPr>
              <w:t>day)</w:t>
            </w:r>
          </w:p>
        </w:tc>
        <w:tc>
          <w:tcPr>
            <w:tcW w:w="1131" w:type="dxa"/>
          </w:tcPr>
          <w:p>
            <w:pPr>
              <w:pStyle w:val="TableParagraph"/>
              <w:spacing w:line="140" w:lineRule="exact" w:before="65"/>
              <w:ind w:left="512"/>
              <w:rPr>
                <w:sz w:val="14"/>
              </w:rPr>
            </w:pPr>
            <w:r>
              <w:rPr>
                <w:w w:val="99"/>
                <w:sz w:val="14"/>
              </w:rPr>
              <w:t>N</w:t>
            </w:r>
          </w:p>
        </w:tc>
        <w:tc>
          <w:tcPr>
            <w:tcW w:w="567" w:type="dxa"/>
          </w:tcPr>
          <w:p>
            <w:pPr>
              <w:pStyle w:val="TableParagraph"/>
              <w:spacing w:line="140" w:lineRule="exact" w:before="65"/>
              <w:ind w:left="159"/>
              <w:rPr>
                <w:sz w:val="14"/>
              </w:rPr>
            </w:pPr>
            <w:r>
              <w:rPr>
                <w:spacing w:val="-5"/>
                <w:sz w:val="14"/>
              </w:rPr>
              <w:t>Yes</w:t>
            </w:r>
          </w:p>
        </w:tc>
        <w:tc>
          <w:tcPr>
            <w:tcW w:w="997" w:type="dxa"/>
          </w:tcPr>
          <w:p>
            <w:pPr>
              <w:pStyle w:val="TableParagraph"/>
              <w:spacing w:line="140" w:lineRule="exact" w:before="65"/>
              <w:ind w:right="100"/>
              <w:jc w:val="right"/>
              <w:rPr>
                <w:sz w:val="14"/>
              </w:rPr>
            </w:pPr>
            <w:r>
              <w:rPr>
                <w:spacing w:val="-4"/>
                <w:sz w:val="14"/>
              </w:rPr>
              <w:t>0.00</w:t>
            </w:r>
          </w:p>
        </w:tc>
        <w:tc>
          <w:tcPr>
            <w:tcW w:w="995" w:type="dxa"/>
          </w:tcPr>
          <w:p>
            <w:pPr>
              <w:pStyle w:val="TableParagraph"/>
              <w:spacing w:line="140" w:lineRule="exact" w:before="65"/>
              <w:ind w:right="101"/>
              <w:jc w:val="right"/>
              <w:rPr>
                <w:sz w:val="14"/>
              </w:rPr>
            </w:pPr>
            <w:r>
              <w:rPr>
                <w:spacing w:val="-2"/>
                <w:sz w:val="14"/>
              </w:rPr>
              <w:t>20.00</w:t>
            </w:r>
          </w:p>
        </w:tc>
        <w:tc>
          <w:tcPr>
            <w:tcW w:w="861" w:type="dxa"/>
          </w:tcPr>
          <w:p>
            <w:pPr>
              <w:pStyle w:val="TableParagraph"/>
              <w:spacing w:line="140" w:lineRule="exact" w:before="6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pacing w:val="-2"/>
                <w:sz w:val="14"/>
              </w:rPr>
              <w:t>Traffic</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4" w:hRule="atLeast"/>
        </w:trPr>
        <w:tc>
          <w:tcPr>
            <w:tcW w:w="5794" w:type="dxa"/>
          </w:tcPr>
          <w:p>
            <w:pPr>
              <w:pStyle w:val="TableParagraph"/>
              <w:spacing w:line="160" w:lineRule="atLeast" w:before="14"/>
              <w:ind w:left="107" w:right="174"/>
              <w:rPr>
                <w:sz w:val="14"/>
              </w:rPr>
            </w:pPr>
            <w:r>
              <w:rPr>
                <w:sz w:val="14"/>
              </w:rPr>
              <w:t>Parking</w:t>
            </w:r>
            <w:r>
              <w:rPr>
                <w:spacing w:val="-6"/>
                <w:sz w:val="14"/>
              </w:rPr>
              <w:t> </w:t>
            </w:r>
            <w:r>
              <w:rPr>
                <w:sz w:val="14"/>
              </w:rPr>
              <w:t>Road</w:t>
            </w:r>
            <w:r>
              <w:rPr>
                <w:spacing w:val="-3"/>
                <w:sz w:val="14"/>
              </w:rPr>
              <w:t> </w:t>
            </w:r>
            <w:r>
              <w:rPr>
                <w:sz w:val="14"/>
              </w:rPr>
              <w:t>Safety</w:t>
            </w:r>
            <w:r>
              <w:rPr>
                <w:spacing w:val="-2"/>
                <w:sz w:val="14"/>
              </w:rPr>
              <w:t> </w:t>
            </w:r>
            <w:r>
              <w:rPr>
                <w:sz w:val="14"/>
              </w:rPr>
              <w:t>(General)</w:t>
            </w:r>
            <w:r>
              <w:rPr>
                <w:spacing w:val="-5"/>
                <w:sz w:val="14"/>
              </w:rPr>
              <w:t> </w:t>
            </w:r>
            <w:r>
              <w:rPr>
                <w:sz w:val="14"/>
              </w:rPr>
              <w:t>Regulations</w:t>
            </w:r>
            <w:r>
              <w:rPr>
                <w:spacing w:val="-2"/>
                <w:sz w:val="14"/>
              </w:rPr>
              <w:t> </w:t>
            </w:r>
            <w:r>
              <w:rPr>
                <w:sz w:val="14"/>
              </w:rPr>
              <w:t>2019</w:t>
            </w:r>
            <w:r>
              <w:rPr>
                <w:spacing w:val="-5"/>
                <w:sz w:val="14"/>
              </w:rPr>
              <w:t> </w:t>
            </w:r>
            <w:r>
              <w:rPr>
                <w:sz w:val="14"/>
              </w:rPr>
              <w:t>"Green</w:t>
            </w:r>
            <w:r>
              <w:rPr>
                <w:spacing w:val="-4"/>
                <w:sz w:val="14"/>
              </w:rPr>
              <w:t> </w:t>
            </w:r>
            <w:r>
              <w:rPr>
                <w:sz w:val="14"/>
              </w:rPr>
              <w:t>Sign"</w:t>
            </w:r>
            <w:r>
              <w:rPr>
                <w:spacing w:val="-3"/>
                <w:sz w:val="14"/>
              </w:rPr>
              <w:t> </w:t>
            </w:r>
            <w:r>
              <w:rPr>
                <w:sz w:val="14"/>
              </w:rPr>
              <w:t>Offence</w:t>
            </w:r>
            <w:r>
              <w:rPr>
                <w:spacing w:val="-1"/>
                <w:sz w:val="14"/>
              </w:rPr>
              <w:t> </w:t>
            </w:r>
            <w:r>
              <w:rPr>
                <w:sz w:val="14"/>
              </w:rPr>
              <w:t>Codes</w:t>
            </w:r>
            <w:r>
              <w:rPr>
                <w:spacing w:val="-2"/>
                <w:sz w:val="14"/>
              </w:rPr>
              <w:t> </w:t>
            </w:r>
            <w:r>
              <w:rPr>
                <w:sz w:val="14"/>
              </w:rPr>
              <w:t>701</w:t>
            </w:r>
            <w:r>
              <w:rPr>
                <w:spacing w:val="-5"/>
                <w:sz w:val="14"/>
              </w:rPr>
              <w:t> </w:t>
            </w:r>
            <w:r>
              <w:rPr>
                <w:sz w:val="14"/>
              </w:rPr>
              <w:t>-</w:t>
            </w:r>
            <w:r>
              <w:rPr>
                <w:spacing w:val="-2"/>
                <w:sz w:val="14"/>
              </w:rPr>
              <w:t> </w:t>
            </w:r>
            <w:r>
              <w:rPr>
                <w:sz w:val="14"/>
              </w:rPr>
              <w:t>714</w:t>
            </w:r>
            <w:r>
              <w:rPr>
                <w:spacing w:val="40"/>
                <w:sz w:val="14"/>
              </w:rPr>
              <w:t> </w:t>
            </w:r>
            <w:r>
              <w:rPr>
                <w:sz w:val="14"/>
              </w:rPr>
              <w:t>(0.5 penalty unit)</w:t>
            </w:r>
          </w:p>
        </w:tc>
        <w:tc>
          <w:tcPr>
            <w:tcW w:w="1131" w:type="dxa"/>
          </w:tcPr>
          <w:p>
            <w:pPr>
              <w:pStyle w:val="TableParagraph"/>
              <w:spacing w:before="10"/>
              <w:rPr>
                <w:sz w:val="16"/>
              </w:rPr>
            </w:pPr>
          </w:p>
          <w:p>
            <w:pPr>
              <w:pStyle w:val="TableParagraph"/>
              <w:spacing w:line="140" w:lineRule="exact" w:before="1"/>
              <w:ind w:left="517"/>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92.00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99.00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7.1</w:t>
            </w:r>
          </w:p>
        </w:tc>
      </w:tr>
      <w:tr>
        <w:trPr>
          <w:trHeight w:val="321" w:hRule="atLeast"/>
        </w:trPr>
        <w:tc>
          <w:tcPr>
            <w:tcW w:w="5794" w:type="dxa"/>
          </w:tcPr>
          <w:p>
            <w:pPr>
              <w:pStyle w:val="TableParagraph"/>
              <w:spacing w:line="160" w:lineRule="atLeast"/>
              <w:ind w:left="107" w:right="174"/>
              <w:rPr>
                <w:sz w:val="14"/>
              </w:rPr>
            </w:pPr>
            <w:r>
              <w:rPr>
                <w:sz w:val="14"/>
              </w:rPr>
              <w:t>Parking</w:t>
            </w:r>
            <w:r>
              <w:rPr>
                <w:spacing w:val="-6"/>
                <w:sz w:val="14"/>
              </w:rPr>
              <w:t> </w:t>
            </w:r>
            <w:r>
              <w:rPr>
                <w:sz w:val="14"/>
              </w:rPr>
              <w:t>Road</w:t>
            </w:r>
            <w:r>
              <w:rPr>
                <w:spacing w:val="-3"/>
                <w:sz w:val="14"/>
              </w:rPr>
              <w:t> </w:t>
            </w:r>
            <w:r>
              <w:rPr>
                <w:sz w:val="14"/>
              </w:rPr>
              <w:t>Safety</w:t>
            </w:r>
            <w:r>
              <w:rPr>
                <w:spacing w:val="-2"/>
                <w:sz w:val="14"/>
              </w:rPr>
              <w:t> </w:t>
            </w:r>
            <w:r>
              <w:rPr>
                <w:sz w:val="14"/>
              </w:rPr>
              <w:t>(General)</w:t>
            </w:r>
            <w:r>
              <w:rPr>
                <w:spacing w:val="-5"/>
                <w:sz w:val="14"/>
              </w:rPr>
              <w:t> </w:t>
            </w:r>
            <w:r>
              <w:rPr>
                <w:sz w:val="14"/>
              </w:rPr>
              <w:t>Regulations</w:t>
            </w:r>
            <w:r>
              <w:rPr>
                <w:spacing w:val="-2"/>
                <w:sz w:val="14"/>
              </w:rPr>
              <w:t> </w:t>
            </w:r>
            <w:r>
              <w:rPr>
                <w:sz w:val="14"/>
              </w:rPr>
              <w:t>2019</w:t>
            </w:r>
            <w:r>
              <w:rPr>
                <w:spacing w:val="-1"/>
                <w:sz w:val="14"/>
              </w:rPr>
              <w:t> </w:t>
            </w:r>
            <w:r>
              <w:rPr>
                <w:sz w:val="14"/>
              </w:rPr>
              <w:t>Offence</w:t>
            </w:r>
            <w:r>
              <w:rPr>
                <w:spacing w:val="-6"/>
                <w:sz w:val="14"/>
              </w:rPr>
              <w:t> </w:t>
            </w:r>
            <w:r>
              <w:rPr>
                <w:sz w:val="14"/>
              </w:rPr>
              <w:t>Codes</w:t>
            </w:r>
            <w:r>
              <w:rPr>
                <w:spacing w:val="-2"/>
                <w:sz w:val="14"/>
              </w:rPr>
              <w:t> </w:t>
            </w:r>
            <w:r>
              <w:rPr>
                <w:sz w:val="14"/>
              </w:rPr>
              <w:t>715</w:t>
            </w:r>
            <w:r>
              <w:rPr>
                <w:spacing w:val="-1"/>
                <w:sz w:val="14"/>
              </w:rPr>
              <w:t> </w:t>
            </w:r>
            <w:r>
              <w:rPr>
                <w:sz w:val="14"/>
              </w:rPr>
              <w:t>-</w:t>
            </w:r>
            <w:r>
              <w:rPr>
                <w:spacing w:val="-5"/>
                <w:sz w:val="14"/>
              </w:rPr>
              <w:t> </w:t>
            </w:r>
            <w:r>
              <w:rPr>
                <w:sz w:val="14"/>
              </w:rPr>
              <w:t>808</w:t>
            </w:r>
            <w:r>
              <w:rPr>
                <w:spacing w:val="-3"/>
                <w:sz w:val="14"/>
              </w:rPr>
              <w:t> </w:t>
            </w:r>
            <w:r>
              <w:rPr>
                <w:sz w:val="14"/>
              </w:rPr>
              <w:t>(0.6</w:t>
            </w:r>
            <w:r>
              <w:rPr>
                <w:spacing w:val="-5"/>
                <w:sz w:val="14"/>
              </w:rPr>
              <w:t> </w:t>
            </w:r>
            <w:r>
              <w:rPr>
                <w:sz w:val="14"/>
              </w:rPr>
              <w:t>penalty</w:t>
            </w:r>
            <w:r>
              <w:rPr>
                <w:spacing w:val="40"/>
                <w:sz w:val="14"/>
              </w:rPr>
              <w:t> </w:t>
            </w:r>
            <w:r>
              <w:rPr>
                <w:spacing w:val="-2"/>
                <w:sz w:val="14"/>
              </w:rPr>
              <w:t>unit)</w:t>
            </w:r>
          </w:p>
        </w:tc>
        <w:tc>
          <w:tcPr>
            <w:tcW w:w="1131" w:type="dxa"/>
          </w:tcPr>
          <w:p>
            <w:pPr>
              <w:pStyle w:val="TableParagraph"/>
              <w:rPr>
                <w:sz w:val="14"/>
              </w:rPr>
            </w:pPr>
          </w:p>
          <w:p>
            <w:pPr>
              <w:pStyle w:val="TableParagraph"/>
              <w:spacing w:line="140" w:lineRule="exact"/>
              <w:ind w:left="517"/>
              <w:rPr>
                <w:sz w:val="14"/>
              </w:rPr>
            </w:pPr>
            <w:r>
              <w:rPr>
                <w:w w:val="99"/>
                <w:sz w:val="14"/>
              </w:rPr>
              <w:t>S</w:t>
            </w:r>
          </w:p>
        </w:tc>
        <w:tc>
          <w:tcPr>
            <w:tcW w:w="567" w:type="dxa"/>
          </w:tcPr>
          <w:p>
            <w:pPr>
              <w:pStyle w:val="TableParagraph"/>
              <w:rPr>
                <w:sz w:val="14"/>
              </w:rPr>
            </w:pPr>
          </w:p>
          <w:p>
            <w:pPr>
              <w:pStyle w:val="TableParagraph"/>
              <w:spacing w:line="140" w:lineRule="exact"/>
              <w:ind w:left="190"/>
              <w:rPr>
                <w:sz w:val="14"/>
              </w:rPr>
            </w:pPr>
            <w:r>
              <w:rPr>
                <w:spacing w:val="-5"/>
                <w:sz w:val="14"/>
              </w:rPr>
              <w:t>No</w:t>
            </w:r>
          </w:p>
        </w:tc>
        <w:tc>
          <w:tcPr>
            <w:tcW w:w="997" w:type="dxa"/>
          </w:tcPr>
          <w:p>
            <w:pPr>
              <w:pStyle w:val="TableParagraph"/>
              <w:rPr>
                <w:sz w:val="14"/>
              </w:rPr>
            </w:pPr>
          </w:p>
          <w:p>
            <w:pPr>
              <w:pStyle w:val="TableParagraph"/>
              <w:spacing w:line="140" w:lineRule="exact"/>
              <w:ind w:right="100"/>
              <w:jc w:val="right"/>
              <w:rPr>
                <w:sz w:val="14"/>
              </w:rPr>
            </w:pPr>
            <w:r>
              <w:rPr>
                <w:spacing w:val="-2"/>
                <w:sz w:val="14"/>
              </w:rPr>
              <w:t>111.00</w:t>
            </w:r>
          </w:p>
        </w:tc>
        <w:tc>
          <w:tcPr>
            <w:tcW w:w="995" w:type="dxa"/>
          </w:tcPr>
          <w:p>
            <w:pPr>
              <w:pStyle w:val="TableParagraph"/>
              <w:rPr>
                <w:sz w:val="14"/>
              </w:rPr>
            </w:pPr>
          </w:p>
          <w:p>
            <w:pPr>
              <w:pStyle w:val="TableParagraph"/>
              <w:spacing w:line="140" w:lineRule="exact"/>
              <w:ind w:right="101"/>
              <w:jc w:val="right"/>
              <w:rPr>
                <w:sz w:val="14"/>
              </w:rPr>
            </w:pPr>
            <w:r>
              <w:rPr>
                <w:spacing w:val="-2"/>
                <w:sz w:val="14"/>
              </w:rPr>
              <w:t>119.00</w:t>
            </w:r>
          </w:p>
        </w:tc>
        <w:tc>
          <w:tcPr>
            <w:tcW w:w="861" w:type="dxa"/>
          </w:tcPr>
          <w:p>
            <w:pPr>
              <w:pStyle w:val="TableParagraph"/>
              <w:rPr>
                <w:sz w:val="14"/>
              </w:rPr>
            </w:pPr>
          </w:p>
          <w:p>
            <w:pPr>
              <w:pStyle w:val="TableParagraph"/>
              <w:spacing w:line="140" w:lineRule="exact"/>
              <w:ind w:left="327"/>
              <w:rPr>
                <w:sz w:val="14"/>
              </w:rPr>
            </w:pPr>
            <w:r>
              <w:rPr>
                <w:spacing w:val="-5"/>
                <w:sz w:val="14"/>
              </w:rPr>
              <w:t>6.7</w:t>
            </w:r>
          </w:p>
        </w:tc>
      </w:tr>
      <w:tr>
        <w:trPr>
          <w:trHeight w:val="176" w:hRule="atLeast"/>
        </w:trPr>
        <w:tc>
          <w:tcPr>
            <w:tcW w:w="5794" w:type="dxa"/>
          </w:tcPr>
          <w:p>
            <w:pPr>
              <w:pStyle w:val="TableParagraph"/>
              <w:spacing w:line="140" w:lineRule="exact" w:before="16"/>
              <w:ind w:left="107"/>
              <w:rPr>
                <w:sz w:val="14"/>
              </w:rPr>
            </w:pPr>
            <w:r>
              <w:rPr>
                <w:sz w:val="14"/>
              </w:rPr>
              <w:t>Statutory</w:t>
            </w:r>
            <w:r>
              <w:rPr>
                <w:spacing w:val="-3"/>
                <w:sz w:val="14"/>
              </w:rPr>
              <w:t> </w:t>
            </w:r>
            <w:r>
              <w:rPr>
                <w:sz w:val="14"/>
              </w:rPr>
              <w:t>Offences</w:t>
            </w:r>
            <w:r>
              <w:rPr>
                <w:spacing w:val="-2"/>
                <w:sz w:val="14"/>
              </w:rPr>
              <w:t> </w:t>
            </w:r>
            <w:r>
              <w:rPr>
                <w:sz w:val="14"/>
              </w:rPr>
              <w:t>Fine</w:t>
            </w:r>
            <w:r>
              <w:rPr>
                <w:spacing w:val="-5"/>
                <w:sz w:val="14"/>
              </w:rPr>
              <w:t> </w:t>
            </w:r>
            <w:r>
              <w:rPr>
                <w:sz w:val="14"/>
              </w:rPr>
              <w:t>prescribed</w:t>
            </w:r>
            <w:r>
              <w:rPr>
                <w:spacing w:val="-2"/>
                <w:sz w:val="14"/>
              </w:rPr>
              <w:t> </w:t>
            </w:r>
            <w:r>
              <w:rPr>
                <w:sz w:val="14"/>
              </w:rPr>
              <w:t>in</w:t>
            </w:r>
            <w:r>
              <w:rPr>
                <w:spacing w:val="-5"/>
                <w:sz w:val="14"/>
              </w:rPr>
              <w:t> </w:t>
            </w:r>
            <w:r>
              <w:rPr>
                <w:sz w:val="14"/>
              </w:rPr>
              <w:t>Road</w:t>
            </w:r>
            <w:r>
              <w:rPr>
                <w:spacing w:val="-4"/>
                <w:sz w:val="14"/>
              </w:rPr>
              <w:t> </w:t>
            </w:r>
            <w:r>
              <w:rPr>
                <w:sz w:val="14"/>
              </w:rPr>
              <w:t>Rules</w:t>
            </w:r>
            <w:r>
              <w:rPr>
                <w:spacing w:val="-4"/>
                <w:sz w:val="14"/>
              </w:rPr>
              <w:t> </w:t>
            </w:r>
            <w:r>
              <w:rPr>
                <w:sz w:val="14"/>
              </w:rPr>
              <w:t>Victoria</w:t>
            </w:r>
            <w:r>
              <w:rPr>
                <w:spacing w:val="33"/>
                <w:sz w:val="14"/>
              </w:rPr>
              <w:t> </w:t>
            </w:r>
            <w:r>
              <w:rPr>
                <w:sz w:val="14"/>
              </w:rPr>
              <w:t>(1</w:t>
            </w:r>
            <w:r>
              <w:rPr>
                <w:spacing w:val="-5"/>
                <w:sz w:val="14"/>
              </w:rPr>
              <w:t> </w:t>
            </w:r>
            <w:r>
              <w:rPr>
                <w:sz w:val="14"/>
              </w:rPr>
              <w:t>Penalty</w:t>
            </w:r>
            <w:r>
              <w:rPr>
                <w:spacing w:val="-4"/>
                <w:sz w:val="14"/>
              </w:rPr>
              <w:t> unit)</w:t>
            </w:r>
          </w:p>
        </w:tc>
        <w:tc>
          <w:tcPr>
            <w:tcW w:w="1131" w:type="dxa"/>
          </w:tcPr>
          <w:p>
            <w:pPr>
              <w:pStyle w:val="TableParagraph"/>
              <w:spacing w:line="140" w:lineRule="exact" w:before="16"/>
              <w:ind w:left="474"/>
              <w:rPr>
                <w:sz w:val="14"/>
              </w:rPr>
            </w:pPr>
            <w:r>
              <w:rPr>
                <w:spacing w:val="-5"/>
                <w:sz w:val="14"/>
              </w:rPr>
              <w:t>No</w:t>
            </w:r>
          </w:p>
        </w:tc>
        <w:tc>
          <w:tcPr>
            <w:tcW w:w="567" w:type="dxa"/>
          </w:tcPr>
          <w:p>
            <w:pPr>
              <w:pStyle w:val="TableParagraph"/>
              <w:spacing w:line="140" w:lineRule="exact" w:before="16"/>
              <w:ind w:left="190"/>
              <w:rPr>
                <w:sz w:val="14"/>
              </w:rPr>
            </w:pPr>
            <w:r>
              <w:rPr>
                <w:spacing w:val="-5"/>
                <w:sz w:val="14"/>
              </w:rPr>
              <w:t>No</w:t>
            </w:r>
          </w:p>
        </w:tc>
        <w:tc>
          <w:tcPr>
            <w:tcW w:w="997" w:type="dxa"/>
          </w:tcPr>
          <w:p>
            <w:pPr>
              <w:pStyle w:val="TableParagraph"/>
              <w:spacing w:line="140" w:lineRule="exact" w:before="16"/>
              <w:ind w:right="100"/>
              <w:jc w:val="right"/>
              <w:rPr>
                <w:sz w:val="14"/>
              </w:rPr>
            </w:pPr>
            <w:r>
              <w:rPr>
                <w:spacing w:val="-2"/>
                <w:sz w:val="14"/>
              </w:rPr>
              <w:t>192.00</w:t>
            </w:r>
          </w:p>
        </w:tc>
        <w:tc>
          <w:tcPr>
            <w:tcW w:w="995" w:type="dxa"/>
          </w:tcPr>
          <w:p>
            <w:pPr>
              <w:pStyle w:val="TableParagraph"/>
              <w:spacing w:line="140" w:lineRule="exact" w:before="16"/>
              <w:ind w:right="102"/>
              <w:jc w:val="right"/>
              <w:rPr>
                <w:sz w:val="14"/>
              </w:rPr>
            </w:pPr>
            <w:r>
              <w:rPr>
                <w:spacing w:val="-2"/>
                <w:sz w:val="14"/>
              </w:rPr>
              <w:t>198.00</w:t>
            </w:r>
          </w:p>
        </w:tc>
        <w:tc>
          <w:tcPr>
            <w:tcW w:w="861" w:type="dxa"/>
          </w:tcPr>
          <w:p>
            <w:pPr>
              <w:pStyle w:val="TableParagraph"/>
              <w:spacing w:line="140" w:lineRule="exact" w:before="16"/>
              <w:ind w:left="327"/>
              <w:rPr>
                <w:sz w:val="14"/>
              </w:rPr>
            </w:pPr>
            <w:r>
              <w:rPr>
                <w:spacing w:val="-5"/>
                <w:sz w:val="14"/>
              </w:rPr>
              <w:t>3.0</w:t>
            </w:r>
          </w:p>
        </w:tc>
      </w:tr>
      <w:tr>
        <w:trPr>
          <w:trHeight w:val="177" w:hRule="atLeast"/>
        </w:trPr>
        <w:tc>
          <w:tcPr>
            <w:tcW w:w="5794" w:type="dxa"/>
          </w:tcPr>
          <w:p>
            <w:pPr>
              <w:pStyle w:val="TableParagraph"/>
              <w:spacing w:line="140" w:lineRule="exact" w:before="17"/>
              <w:ind w:left="107"/>
              <w:rPr>
                <w:sz w:val="14"/>
              </w:rPr>
            </w:pPr>
            <w:r>
              <w:rPr>
                <w:sz w:val="14"/>
              </w:rPr>
              <w:t>Abandoned</w:t>
            </w:r>
            <w:r>
              <w:rPr>
                <w:spacing w:val="-6"/>
                <w:sz w:val="14"/>
              </w:rPr>
              <w:t> </w:t>
            </w:r>
            <w:r>
              <w:rPr>
                <w:sz w:val="14"/>
              </w:rPr>
              <w:t>vehicles</w:t>
            </w:r>
            <w:r>
              <w:rPr>
                <w:spacing w:val="-4"/>
                <w:sz w:val="14"/>
              </w:rPr>
              <w:t> </w:t>
            </w:r>
            <w:r>
              <w:rPr>
                <w:sz w:val="14"/>
              </w:rPr>
              <w:t>reclaim</w:t>
            </w:r>
            <w:r>
              <w:rPr>
                <w:spacing w:val="-6"/>
                <w:sz w:val="14"/>
              </w:rPr>
              <w:t> </w:t>
            </w:r>
            <w:r>
              <w:rPr>
                <w:spacing w:val="-5"/>
                <w:sz w:val="14"/>
              </w:rPr>
              <w:t>fee</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440.00</w:t>
            </w:r>
          </w:p>
        </w:tc>
        <w:tc>
          <w:tcPr>
            <w:tcW w:w="995" w:type="dxa"/>
          </w:tcPr>
          <w:p>
            <w:pPr>
              <w:pStyle w:val="TableParagraph"/>
              <w:spacing w:line="140" w:lineRule="exact" w:before="17"/>
              <w:ind w:right="102"/>
              <w:jc w:val="right"/>
              <w:rPr>
                <w:sz w:val="14"/>
              </w:rPr>
            </w:pPr>
            <w:r>
              <w:rPr>
                <w:spacing w:val="-2"/>
                <w:sz w:val="14"/>
              </w:rPr>
              <w:t>475.00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Abandoned</w:t>
            </w:r>
            <w:r>
              <w:rPr>
                <w:spacing w:val="-4"/>
                <w:sz w:val="14"/>
              </w:rPr>
              <w:t> </w:t>
            </w:r>
            <w:r>
              <w:rPr>
                <w:sz w:val="14"/>
              </w:rPr>
              <w:t>Vehicles</w:t>
            </w:r>
            <w:r>
              <w:rPr>
                <w:spacing w:val="-2"/>
                <w:sz w:val="14"/>
              </w:rPr>
              <w:t> </w:t>
            </w:r>
            <w:r>
              <w:rPr>
                <w:sz w:val="14"/>
              </w:rPr>
              <w:t>-</w:t>
            </w:r>
            <w:r>
              <w:rPr>
                <w:spacing w:val="-6"/>
                <w:sz w:val="14"/>
              </w:rPr>
              <w:t> </w:t>
            </w:r>
            <w:r>
              <w:rPr>
                <w:sz w:val="14"/>
              </w:rPr>
              <w:t>Storage</w:t>
            </w:r>
            <w:r>
              <w:rPr>
                <w:spacing w:val="-2"/>
                <w:sz w:val="14"/>
              </w:rPr>
              <w:t> </w:t>
            </w:r>
            <w:r>
              <w:rPr>
                <w:sz w:val="14"/>
              </w:rPr>
              <w:t>Fee</w:t>
            </w:r>
            <w:r>
              <w:rPr>
                <w:spacing w:val="-2"/>
                <w:sz w:val="14"/>
              </w:rPr>
              <w:t> </w:t>
            </w:r>
            <w:r>
              <w:rPr>
                <w:sz w:val="14"/>
              </w:rPr>
              <w:t>(per</w:t>
            </w:r>
            <w:r>
              <w:rPr>
                <w:spacing w:val="-5"/>
                <w:sz w:val="14"/>
              </w:rPr>
              <w:t> </w:t>
            </w:r>
            <w:r>
              <w:rPr>
                <w:spacing w:val="-4"/>
                <w:sz w:val="14"/>
              </w:rPr>
              <w:t>day)</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288"/>
              <w:rPr>
                <w:sz w:val="14"/>
              </w:rPr>
            </w:pPr>
            <w:r>
              <w:rPr>
                <w:spacing w:val="-4"/>
                <w:sz w:val="14"/>
              </w:rPr>
              <w:t>16.7</w:t>
            </w:r>
          </w:p>
        </w:tc>
      </w:tr>
      <w:tr>
        <w:trPr>
          <w:trHeight w:val="177" w:hRule="atLeast"/>
        </w:trPr>
        <w:tc>
          <w:tcPr>
            <w:tcW w:w="5794" w:type="dxa"/>
          </w:tcPr>
          <w:p>
            <w:pPr>
              <w:pStyle w:val="TableParagraph"/>
              <w:spacing w:line="140" w:lineRule="exact" w:before="17"/>
              <w:ind w:left="107"/>
              <w:rPr>
                <w:sz w:val="14"/>
              </w:rPr>
            </w:pPr>
            <w:r>
              <w:rPr>
                <w:sz w:val="14"/>
              </w:rPr>
              <w:t>Permit</w:t>
            </w:r>
            <w:r>
              <w:rPr>
                <w:spacing w:val="-4"/>
                <w:sz w:val="14"/>
              </w:rPr>
              <w:t> </w:t>
            </w:r>
            <w:r>
              <w:rPr>
                <w:sz w:val="14"/>
              </w:rPr>
              <w:t>to</w:t>
            </w:r>
            <w:r>
              <w:rPr>
                <w:spacing w:val="-2"/>
                <w:sz w:val="14"/>
              </w:rPr>
              <w:t> </w:t>
            </w:r>
            <w:r>
              <w:rPr>
                <w:sz w:val="14"/>
              </w:rPr>
              <w:t>Burn</w:t>
            </w:r>
            <w:r>
              <w:rPr>
                <w:spacing w:val="-6"/>
                <w:sz w:val="14"/>
              </w:rPr>
              <w:t> </w:t>
            </w:r>
            <w:r>
              <w:rPr>
                <w:spacing w:val="-5"/>
                <w:sz w:val="14"/>
              </w:rPr>
              <w:t>Off</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210.00</w:t>
            </w:r>
          </w:p>
        </w:tc>
        <w:tc>
          <w:tcPr>
            <w:tcW w:w="995" w:type="dxa"/>
          </w:tcPr>
          <w:p>
            <w:pPr>
              <w:pStyle w:val="TableParagraph"/>
              <w:spacing w:line="140" w:lineRule="exact" w:before="17"/>
              <w:ind w:right="102"/>
              <w:jc w:val="right"/>
              <w:rPr>
                <w:sz w:val="14"/>
              </w:rPr>
            </w:pPr>
            <w:r>
              <w:rPr>
                <w:spacing w:val="-2"/>
                <w:sz w:val="14"/>
              </w:rPr>
              <w:t>225.00</w:t>
            </w:r>
          </w:p>
        </w:tc>
        <w:tc>
          <w:tcPr>
            <w:tcW w:w="861" w:type="dxa"/>
          </w:tcPr>
          <w:p>
            <w:pPr>
              <w:pStyle w:val="TableParagraph"/>
              <w:spacing w:line="140" w:lineRule="exact" w:before="17"/>
              <w:ind w:left="327"/>
              <w:rPr>
                <w:sz w:val="14"/>
              </w:rPr>
            </w:pPr>
            <w:r>
              <w:rPr>
                <w:spacing w:val="-5"/>
                <w:sz w:val="14"/>
              </w:rPr>
              <w:t>6.7</w:t>
            </w:r>
          </w:p>
        </w:tc>
      </w:tr>
      <w:tr>
        <w:trPr>
          <w:trHeight w:val="177" w:hRule="atLeast"/>
        </w:trPr>
        <w:tc>
          <w:tcPr>
            <w:tcW w:w="5794" w:type="dxa"/>
          </w:tcPr>
          <w:p>
            <w:pPr>
              <w:pStyle w:val="TableParagraph"/>
              <w:spacing w:line="140" w:lineRule="exact" w:before="17"/>
              <w:ind w:left="107"/>
              <w:rPr>
                <w:sz w:val="14"/>
              </w:rPr>
            </w:pPr>
            <w:r>
              <w:rPr>
                <w:sz w:val="14"/>
              </w:rPr>
              <w:t>Trader</w:t>
            </w:r>
            <w:r>
              <w:rPr>
                <w:spacing w:val="-5"/>
                <w:sz w:val="14"/>
              </w:rPr>
              <w:t> </w:t>
            </w:r>
            <w:r>
              <w:rPr>
                <w:sz w:val="14"/>
              </w:rPr>
              <w:t>Parking</w:t>
            </w:r>
            <w:r>
              <w:rPr>
                <w:spacing w:val="-5"/>
                <w:sz w:val="14"/>
              </w:rPr>
              <w:t> </w:t>
            </w:r>
            <w:r>
              <w:rPr>
                <w:sz w:val="14"/>
              </w:rPr>
              <w:t>Permit</w:t>
            </w:r>
            <w:r>
              <w:rPr>
                <w:spacing w:val="-5"/>
                <w:sz w:val="14"/>
              </w:rPr>
              <w:t> </w:t>
            </w:r>
            <w:r>
              <w:rPr>
                <w:sz w:val="14"/>
              </w:rPr>
              <w:t>vehicle</w:t>
            </w:r>
            <w:r>
              <w:rPr>
                <w:spacing w:val="-3"/>
                <w:sz w:val="14"/>
              </w:rPr>
              <w:t> </w:t>
            </w:r>
            <w:r>
              <w:rPr>
                <w:sz w:val="14"/>
              </w:rPr>
              <w:t>12</w:t>
            </w:r>
            <w:r>
              <w:rPr>
                <w:spacing w:val="-2"/>
                <w:sz w:val="14"/>
              </w:rPr>
              <w:t> 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196.00</w:t>
            </w:r>
          </w:p>
        </w:tc>
        <w:tc>
          <w:tcPr>
            <w:tcW w:w="995" w:type="dxa"/>
          </w:tcPr>
          <w:p>
            <w:pPr>
              <w:pStyle w:val="TableParagraph"/>
              <w:spacing w:line="140" w:lineRule="exact" w:before="17"/>
              <w:ind w:right="102"/>
              <w:jc w:val="right"/>
              <w:rPr>
                <w:sz w:val="14"/>
              </w:rPr>
            </w:pPr>
            <w:r>
              <w:rPr>
                <w:spacing w:val="-2"/>
                <w:sz w:val="14"/>
              </w:rPr>
              <w:t>211.00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2" w:lineRule="exact" w:before="15"/>
              <w:ind w:left="107"/>
              <w:rPr>
                <w:sz w:val="14"/>
              </w:rPr>
            </w:pPr>
            <w:r>
              <w:rPr>
                <w:sz w:val="14"/>
              </w:rPr>
              <w:t>Trader</w:t>
            </w:r>
            <w:r>
              <w:rPr>
                <w:spacing w:val="-5"/>
                <w:sz w:val="14"/>
              </w:rPr>
              <w:t> </w:t>
            </w:r>
            <w:r>
              <w:rPr>
                <w:sz w:val="14"/>
              </w:rPr>
              <w:t>Parking</w:t>
            </w:r>
            <w:r>
              <w:rPr>
                <w:spacing w:val="-5"/>
                <w:sz w:val="14"/>
              </w:rPr>
              <w:t> </w:t>
            </w:r>
            <w:r>
              <w:rPr>
                <w:sz w:val="14"/>
              </w:rPr>
              <w:t>Permit</w:t>
            </w:r>
            <w:r>
              <w:rPr>
                <w:spacing w:val="-4"/>
                <w:sz w:val="14"/>
              </w:rPr>
              <w:t> </w:t>
            </w:r>
            <w:r>
              <w:rPr>
                <w:sz w:val="14"/>
              </w:rPr>
              <w:t>vehicle</w:t>
            </w:r>
            <w:r>
              <w:rPr>
                <w:spacing w:val="-3"/>
                <w:sz w:val="14"/>
              </w:rPr>
              <w:t> </w:t>
            </w:r>
            <w:r>
              <w:rPr>
                <w:sz w:val="14"/>
              </w:rPr>
              <w:t>9</w:t>
            </w:r>
            <w:r>
              <w:rPr>
                <w:spacing w:val="-5"/>
                <w:sz w:val="14"/>
              </w:rPr>
              <w:t> </w:t>
            </w:r>
            <w:r>
              <w:rPr>
                <w:spacing w:val="-2"/>
                <w:sz w:val="14"/>
              </w:rPr>
              <w:t>months</w:t>
            </w:r>
          </w:p>
        </w:tc>
        <w:tc>
          <w:tcPr>
            <w:tcW w:w="1131" w:type="dxa"/>
          </w:tcPr>
          <w:p>
            <w:pPr>
              <w:pStyle w:val="TableParagraph"/>
              <w:spacing w:line="142" w:lineRule="exact" w:before="15"/>
              <w:ind w:left="513"/>
              <w:rPr>
                <w:sz w:val="14"/>
              </w:rPr>
            </w:pPr>
            <w:r>
              <w:rPr>
                <w:w w:val="99"/>
                <w:sz w:val="14"/>
              </w:rPr>
              <w:t>N</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147.00</w:t>
            </w:r>
          </w:p>
        </w:tc>
        <w:tc>
          <w:tcPr>
            <w:tcW w:w="995" w:type="dxa"/>
          </w:tcPr>
          <w:p>
            <w:pPr>
              <w:pStyle w:val="TableParagraph"/>
              <w:spacing w:line="142" w:lineRule="exact" w:before="15"/>
              <w:ind w:right="101"/>
              <w:jc w:val="right"/>
              <w:rPr>
                <w:sz w:val="14"/>
              </w:rPr>
            </w:pPr>
            <w:r>
              <w:rPr>
                <w:spacing w:val="-2"/>
                <w:sz w:val="14"/>
              </w:rPr>
              <w:t>159.00</w:t>
            </w:r>
          </w:p>
        </w:tc>
        <w:tc>
          <w:tcPr>
            <w:tcW w:w="861" w:type="dxa"/>
          </w:tcPr>
          <w:p>
            <w:pPr>
              <w:pStyle w:val="TableParagraph"/>
              <w:spacing w:line="142" w:lineRule="exact" w:before="15"/>
              <w:ind w:left="326"/>
              <w:rPr>
                <w:sz w:val="14"/>
              </w:rPr>
            </w:pPr>
            <w:r>
              <w:rPr>
                <w:spacing w:val="-5"/>
                <w:sz w:val="14"/>
              </w:rPr>
              <w:t>7.5</w:t>
            </w:r>
          </w:p>
        </w:tc>
      </w:tr>
      <w:tr>
        <w:trPr>
          <w:trHeight w:val="174" w:hRule="atLeast"/>
        </w:trPr>
        <w:tc>
          <w:tcPr>
            <w:tcW w:w="5794" w:type="dxa"/>
          </w:tcPr>
          <w:p>
            <w:pPr>
              <w:pStyle w:val="TableParagraph"/>
              <w:spacing w:line="140" w:lineRule="exact" w:before="15"/>
              <w:ind w:left="107"/>
              <w:rPr>
                <w:sz w:val="14"/>
              </w:rPr>
            </w:pPr>
            <w:r>
              <w:rPr>
                <w:sz w:val="14"/>
              </w:rPr>
              <w:t>Trader</w:t>
            </w:r>
            <w:r>
              <w:rPr>
                <w:spacing w:val="-5"/>
                <w:sz w:val="14"/>
              </w:rPr>
              <w:t> </w:t>
            </w:r>
            <w:r>
              <w:rPr>
                <w:sz w:val="14"/>
              </w:rPr>
              <w:t>Parking</w:t>
            </w:r>
            <w:r>
              <w:rPr>
                <w:spacing w:val="-5"/>
                <w:sz w:val="14"/>
              </w:rPr>
              <w:t> </w:t>
            </w:r>
            <w:r>
              <w:rPr>
                <w:sz w:val="14"/>
              </w:rPr>
              <w:t>Permit</w:t>
            </w:r>
            <w:r>
              <w:rPr>
                <w:spacing w:val="-4"/>
                <w:sz w:val="14"/>
              </w:rPr>
              <w:t> </w:t>
            </w:r>
            <w:r>
              <w:rPr>
                <w:sz w:val="14"/>
              </w:rPr>
              <w:t>vehicle</w:t>
            </w:r>
            <w:r>
              <w:rPr>
                <w:spacing w:val="-3"/>
                <w:sz w:val="14"/>
              </w:rPr>
              <w:t> </w:t>
            </w:r>
            <w:r>
              <w:rPr>
                <w:sz w:val="14"/>
              </w:rPr>
              <w:t>6</w:t>
            </w:r>
            <w:r>
              <w:rPr>
                <w:spacing w:val="-5"/>
                <w:sz w:val="14"/>
              </w:rPr>
              <w:t> </w:t>
            </w:r>
            <w:r>
              <w:rPr>
                <w:spacing w:val="-2"/>
                <w:sz w:val="14"/>
              </w:rPr>
              <w:t>months</w:t>
            </w:r>
          </w:p>
        </w:tc>
        <w:tc>
          <w:tcPr>
            <w:tcW w:w="1131" w:type="dxa"/>
          </w:tcPr>
          <w:p>
            <w:pPr>
              <w:pStyle w:val="TableParagraph"/>
              <w:spacing w:line="140" w:lineRule="exact" w:before="15"/>
              <w:ind w:left="512"/>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98.00</w:t>
            </w:r>
          </w:p>
        </w:tc>
        <w:tc>
          <w:tcPr>
            <w:tcW w:w="995" w:type="dxa"/>
          </w:tcPr>
          <w:p>
            <w:pPr>
              <w:pStyle w:val="TableParagraph"/>
              <w:spacing w:line="140" w:lineRule="exact" w:before="15"/>
              <w:ind w:right="102"/>
              <w:jc w:val="right"/>
              <w:rPr>
                <w:sz w:val="14"/>
              </w:rPr>
            </w:pPr>
            <w:r>
              <w:rPr>
                <w:spacing w:val="-2"/>
                <w:sz w:val="14"/>
              </w:rPr>
              <w:t>106.00</w:t>
            </w:r>
          </w:p>
        </w:tc>
        <w:tc>
          <w:tcPr>
            <w:tcW w:w="861" w:type="dxa"/>
          </w:tcPr>
          <w:p>
            <w:pPr>
              <w:pStyle w:val="TableParagraph"/>
              <w:spacing w:line="140" w:lineRule="exact" w:before="15"/>
              <w:ind w:left="327"/>
              <w:rPr>
                <w:sz w:val="14"/>
              </w:rPr>
            </w:pPr>
            <w:r>
              <w:rPr>
                <w:spacing w:val="-5"/>
                <w:sz w:val="14"/>
              </w:rPr>
              <w:t>7.5</w:t>
            </w:r>
          </w:p>
        </w:tc>
      </w:tr>
      <w:tr>
        <w:trPr>
          <w:trHeight w:val="177" w:hRule="atLeast"/>
        </w:trPr>
        <w:tc>
          <w:tcPr>
            <w:tcW w:w="5794" w:type="dxa"/>
          </w:tcPr>
          <w:p>
            <w:pPr>
              <w:pStyle w:val="TableParagraph"/>
              <w:spacing w:line="140" w:lineRule="exact" w:before="17"/>
              <w:ind w:left="107"/>
              <w:rPr>
                <w:sz w:val="14"/>
              </w:rPr>
            </w:pPr>
            <w:r>
              <w:rPr>
                <w:sz w:val="14"/>
              </w:rPr>
              <w:t>Trader</w:t>
            </w:r>
            <w:r>
              <w:rPr>
                <w:spacing w:val="-5"/>
                <w:sz w:val="14"/>
              </w:rPr>
              <w:t> </w:t>
            </w:r>
            <w:r>
              <w:rPr>
                <w:sz w:val="14"/>
              </w:rPr>
              <w:t>Parking</w:t>
            </w:r>
            <w:r>
              <w:rPr>
                <w:spacing w:val="-5"/>
                <w:sz w:val="14"/>
              </w:rPr>
              <w:t> </w:t>
            </w:r>
            <w:r>
              <w:rPr>
                <w:sz w:val="14"/>
              </w:rPr>
              <w:t>Permit</w:t>
            </w:r>
            <w:r>
              <w:rPr>
                <w:spacing w:val="-4"/>
                <w:sz w:val="14"/>
              </w:rPr>
              <w:t> </w:t>
            </w:r>
            <w:r>
              <w:rPr>
                <w:sz w:val="14"/>
              </w:rPr>
              <w:t>vehicle</w:t>
            </w:r>
            <w:r>
              <w:rPr>
                <w:spacing w:val="-3"/>
                <w:sz w:val="14"/>
              </w:rPr>
              <w:t> </w:t>
            </w:r>
            <w:r>
              <w:rPr>
                <w:sz w:val="14"/>
              </w:rPr>
              <w:t>3</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49.00</w:t>
            </w:r>
          </w:p>
        </w:tc>
        <w:tc>
          <w:tcPr>
            <w:tcW w:w="995" w:type="dxa"/>
          </w:tcPr>
          <w:p>
            <w:pPr>
              <w:pStyle w:val="TableParagraph"/>
              <w:spacing w:line="140" w:lineRule="exact" w:before="17"/>
              <w:ind w:right="101"/>
              <w:jc w:val="right"/>
              <w:rPr>
                <w:sz w:val="14"/>
              </w:rPr>
            </w:pPr>
            <w:r>
              <w:rPr>
                <w:spacing w:val="-2"/>
                <w:sz w:val="14"/>
              </w:rPr>
              <w:t>53.00</w:t>
            </w:r>
          </w:p>
        </w:tc>
        <w:tc>
          <w:tcPr>
            <w:tcW w:w="861" w:type="dxa"/>
          </w:tcPr>
          <w:p>
            <w:pPr>
              <w:pStyle w:val="TableParagraph"/>
              <w:spacing w:line="140" w:lineRule="exact" w:before="17"/>
              <w:ind w:left="327"/>
              <w:rPr>
                <w:sz w:val="14"/>
              </w:rPr>
            </w:pPr>
            <w:r>
              <w:rPr>
                <w:spacing w:val="-5"/>
                <w:sz w:val="14"/>
              </w:rPr>
              <w:t>7.5</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2"/>
                <w:sz w:val="14"/>
              </w:rPr>
              <w:t> </w:t>
            </w:r>
            <w:r>
              <w:rPr>
                <w:sz w:val="14"/>
              </w:rPr>
              <w:t>Residential</w:t>
            </w:r>
            <w:r>
              <w:rPr>
                <w:spacing w:val="-4"/>
                <w:sz w:val="14"/>
              </w:rPr>
              <w:t> </w:t>
            </w:r>
            <w:r>
              <w:rPr>
                <w:sz w:val="14"/>
              </w:rPr>
              <w:t>Parking</w:t>
            </w:r>
            <w:r>
              <w:rPr>
                <w:spacing w:val="-6"/>
                <w:sz w:val="14"/>
              </w:rPr>
              <w:t> </w:t>
            </w:r>
            <w:r>
              <w:rPr>
                <w:sz w:val="14"/>
              </w:rPr>
              <w:t>Permit</w:t>
            </w:r>
            <w:r>
              <w:rPr>
                <w:spacing w:val="-4"/>
                <w:sz w:val="14"/>
              </w:rPr>
              <w:t> </w:t>
            </w:r>
            <w:r>
              <w:rPr>
                <w:sz w:val="14"/>
              </w:rPr>
              <w:t>-</w:t>
            </w:r>
            <w:r>
              <w:rPr>
                <w:spacing w:val="-3"/>
                <w:sz w:val="14"/>
              </w:rPr>
              <w:t> </w:t>
            </w:r>
            <w:r>
              <w:rPr>
                <w:sz w:val="14"/>
              </w:rPr>
              <w:t>first</w:t>
            </w:r>
            <w:r>
              <w:rPr>
                <w:spacing w:val="-2"/>
                <w:sz w:val="14"/>
              </w:rPr>
              <w:t> </w:t>
            </w:r>
            <w:r>
              <w:rPr>
                <w:sz w:val="14"/>
              </w:rPr>
              <w:t>permit</w:t>
            </w:r>
            <w:r>
              <w:rPr>
                <w:spacing w:val="-5"/>
                <w:sz w:val="14"/>
              </w:rPr>
              <w:t> </w:t>
            </w:r>
            <w:r>
              <w:rPr>
                <w:sz w:val="14"/>
              </w:rPr>
              <w:t>-</w:t>
            </w:r>
            <w:r>
              <w:rPr>
                <w:spacing w:val="-3"/>
                <w:sz w:val="14"/>
              </w:rPr>
              <w:t> </w:t>
            </w:r>
            <w:r>
              <w:rPr>
                <w:sz w:val="14"/>
              </w:rPr>
              <w:t>6</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26.50</w:t>
            </w:r>
          </w:p>
        </w:tc>
        <w:tc>
          <w:tcPr>
            <w:tcW w:w="995" w:type="dxa"/>
          </w:tcPr>
          <w:p>
            <w:pPr>
              <w:pStyle w:val="TableParagraph"/>
              <w:spacing w:line="140" w:lineRule="exact" w:before="17"/>
              <w:ind w:right="101"/>
              <w:jc w:val="right"/>
              <w:rPr>
                <w:sz w:val="14"/>
              </w:rPr>
            </w:pPr>
            <w:r>
              <w:rPr>
                <w:spacing w:val="-2"/>
                <w:sz w:val="14"/>
              </w:rPr>
              <w:t>29.00</w:t>
            </w:r>
          </w:p>
        </w:tc>
        <w:tc>
          <w:tcPr>
            <w:tcW w:w="861" w:type="dxa"/>
          </w:tcPr>
          <w:p>
            <w:pPr>
              <w:pStyle w:val="TableParagraph"/>
              <w:spacing w:line="140" w:lineRule="exact" w:before="17"/>
              <w:ind w:left="327"/>
              <w:rPr>
                <w:sz w:val="14"/>
              </w:rPr>
            </w:pPr>
            <w:r>
              <w:rPr>
                <w:spacing w:val="-5"/>
                <w:sz w:val="14"/>
              </w:rPr>
              <w:t>8.6</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2"/>
                <w:sz w:val="14"/>
              </w:rPr>
              <w:t> </w:t>
            </w:r>
            <w:r>
              <w:rPr>
                <w:sz w:val="14"/>
              </w:rPr>
              <w:t>Residential</w:t>
            </w:r>
            <w:r>
              <w:rPr>
                <w:spacing w:val="-4"/>
                <w:sz w:val="14"/>
              </w:rPr>
              <w:t> </w:t>
            </w:r>
            <w:r>
              <w:rPr>
                <w:sz w:val="14"/>
              </w:rPr>
              <w:t>Parking</w:t>
            </w:r>
            <w:r>
              <w:rPr>
                <w:spacing w:val="-7"/>
                <w:sz w:val="14"/>
              </w:rPr>
              <w:t> </w:t>
            </w:r>
            <w:r>
              <w:rPr>
                <w:sz w:val="14"/>
              </w:rPr>
              <w:t>Permit</w:t>
            </w:r>
            <w:r>
              <w:rPr>
                <w:spacing w:val="-4"/>
                <w:sz w:val="14"/>
              </w:rPr>
              <w:t> </w:t>
            </w:r>
            <w:r>
              <w:rPr>
                <w:sz w:val="14"/>
              </w:rPr>
              <w:t>-</w:t>
            </w:r>
            <w:r>
              <w:rPr>
                <w:spacing w:val="-3"/>
                <w:sz w:val="14"/>
              </w:rPr>
              <w:t> </w:t>
            </w:r>
            <w:r>
              <w:rPr>
                <w:sz w:val="14"/>
              </w:rPr>
              <w:t>first</w:t>
            </w:r>
            <w:r>
              <w:rPr>
                <w:spacing w:val="-2"/>
                <w:sz w:val="14"/>
              </w:rPr>
              <w:t> </w:t>
            </w:r>
            <w:r>
              <w:rPr>
                <w:sz w:val="14"/>
              </w:rPr>
              <w:t>permit</w:t>
            </w:r>
            <w:r>
              <w:rPr>
                <w:spacing w:val="-5"/>
                <w:sz w:val="14"/>
              </w:rPr>
              <w:t> </w:t>
            </w:r>
            <w:r>
              <w:rPr>
                <w:sz w:val="14"/>
              </w:rPr>
              <w:t>-</w:t>
            </w:r>
            <w:r>
              <w:rPr>
                <w:spacing w:val="-3"/>
                <w:sz w:val="14"/>
              </w:rPr>
              <w:t> </w:t>
            </w:r>
            <w:r>
              <w:rPr>
                <w:sz w:val="14"/>
              </w:rPr>
              <w:t>12</w:t>
            </w:r>
            <w:r>
              <w:rPr>
                <w:spacing w:val="-3"/>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53.00</w:t>
            </w:r>
          </w:p>
        </w:tc>
        <w:tc>
          <w:tcPr>
            <w:tcW w:w="995" w:type="dxa"/>
          </w:tcPr>
          <w:p>
            <w:pPr>
              <w:pStyle w:val="TableParagraph"/>
              <w:spacing w:line="140" w:lineRule="exact" w:before="17"/>
              <w:ind w:right="101"/>
              <w:jc w:val="right"/>
              <w:rPr>
                <w:sz w:val="14"/>
              </w:rPr>
            </w:pPr>
            <w:r>
              <w:rPr>
                <w:spacing w:val="-2"/>
                <w:sz w:val="14"/>
              </w:rPr>
              <w:t>57.00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3"/>
                <w:sz w:val="14"/>
              </w:rPr>
              <w:t> </w:t>
            </w:r>
            <w:r>
              <w:rPr>
                <w:sz w:val="14"/>
              </w:rPr>
              <w:t>Residential</w:t>
            </w:r>
            <w:r>
              <w:rPr>
                <w:spacing w:val="-4"/>
                <w:sz w:val="14"/>
              </w:rPr>
              <w:t> </w:t>
            </w:r>
            <w:r>
              <w:rPr>
                <w:sz w:val="14"/>
              </w:rPr>
              <w:t>Parking</w:t>
            </w:r>
            <w:r>
              <w:rPr>
                <w:spacing w:val="-6"/>
                <w:sz w:val="14"/>
              </w:rPr>
              <w:t> </w:t>
            </w:r>
            <w:r>
              <w:rPr>
                <w:sz w:val="14"/>
              </w:rPr>
              <w:t>Permit</w:t>
            </w:r>
            <w:r>
              <w:rPr>
                <w:spacing w:val="-5"/>
                <w:sz w:val="14"/>
              </w:rPr>
              <w:t> </w:t>
            </w:r>
            <w:r>
              <w:rPr>
                <w:sz w:val="14"/>
              </w:rPr>
              <w:t>-</w:t>
            </w:r>
            <w:r>
              <w:rPr>
                <w:spacing w:val="-3"/>
                <w:sz w:val="14"/>
              </w:rPr>
              <w:t> </w:t>
            </w:r>
            <w:r>
              <w:rPr>
                <w:sz w:val="14"/>
              </w:rPr>
              <w:t>second</w:t>
            </w:r>
            <w:r>
              <w:rPr>
                <w:spacing w:val="-5"/>
                <w:sz w:val="14"/>
              </w:rPr>
              <w:t> </w:t>
            </w:r>
            <w:r>
              <w:rPr>
                <w:sz w:val="14"/>
              </w:rPr>
              <w:t>permit</w:t>
            </w:r>
            <w:r>
              <w:rPr>
                <w:spacing w:val="-2"/>
                <w:sz w:val="14"/>
              </w:rPr>
              <w:t> </w:t>
            </w:r>
            <w:r>
              <w:rPr>
                <w:sz w:val="14"/>
              </w:rPr>
              <w:t>-</w:t>
            </w:r>
            <w:r>
              <w:rPr>
                <w:spacing w:val="-6"/>
                <w:sz w:val="14"/>
              </w:rPr>
              <w:t> </w:t>
            </w:r>
            <w:r>
              <w:rPr>
                <w:sz w:val="14"/>
              </w:rPr>
              <w:t>6</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46.00</w:t>
            </w:r>
          </w:p>
        </w:tc>
        <w:tc>
          <w:tcPr>
            <w:tcW w:w="995" w:type="dxa"/>
          </w:tcPr>
          <w:p>
            <w:pPr>
              <w:pStyle w:val="TableParagraph"/>
              <w:spacing w:line="140" w:lineRule="exact" w:before="17"/>
              <w:ind w:right="101"/>
              <w:jc w:val="right"/>
              <w:rPr>
                <w:sz w:val="14"/>
              </w:rPr>
            </w:pPr>
            <w:r>
              <w:rPr>
                <w:spacing w:val="-2"/>
                <w:sz w:val="14"/>
              </w:rPr>
              <w:t>50.00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2"/>
                <w:sz w:val="14"/>
              </w:rPr>
              <w:t> </w:t>
            </w:r>
            <w:r>
              <w:rPr>
                <w:sz w:val="14"/>
              </w:rPr>
              <w:t>Residential</w:t>
            </w:r>
            <w:r>
              <w:rPr>
                <w:spacing w:val="-4"/>
                <w:sz w:val="14"/>
              </w:rPr>
              <w:t> </w:t>
            </w:r>
            <w:r>
              <w:rPr>
                <w:sz w:val="14"/>
              </w:rPr>
              <w:t>Parking</w:t>
            </w:r>
            <w:r>
              <w:rPr>
                <w:spacing w:val="-6"/>
                <w:sz w:val="14"/>
              </w:rPr>
              <w:t> </w:t>
            </w:r>
            <w:r>
              <w:rPr>
                <w:sz w:val="14"/>
              </w:rPr>
              <w:t>Permit</w:t>
            </w:r>
            <w:r>
              <w:rPr>
                <w:spacing w:val="-4"/>
                <w:sz w:val="14"/>
              </w:rPr>
              <w:t> </w:t>
            </w:r>
            <w:r>
              <w:rPr>
                <w:sz w:val="14"/>
              </w:rPr>
              <w:t>-</w:t>
            </w:r>
            <w:r>
              <w:rPr>
                <w:spacing w:val="-3"/>
                <w:sz w:val="14"/>
              </w:rPr>
              <w:t> </w:t>
            </w:r>
            <w:r>
              <w:rPr>
                <w:sz w:val="14"/>
              </w:rPr>
              <w:t>second</w:t>
            </w:r>
            <w:r>
              <w:rPr>
                <w:spacing w:val="-5"/>
                <w:sz w:val="14"/>
              </w:rPr>
              <w:t> </w:t>
            </w:r>
            <w:r>
              <w:rPr>
                <w:sz w:val="14"/>
              </w:rPr>
              <w:t>permit</w:t>
            </w:r>
            <w:r>
              <w:rPr>
                <w:spacing w:val="-2"/>
                <w:sz w:val="14"/>
              </w:rPr>
              <w:t> </w:t>
            </w:r>
            <w:r>
              <w:rPr>
                <w:sz w:val="14"/>
              </w:rPr>
              <w:t>-</w:t>
            </w:r>
            <w:r>
              <w:rPr>
                <w:spacing w:val="-6"/>
                <w:sz w:val="14"/>
              </w:rPr>
              <w:t> </w:t>
            </w:r>
            <w:r>
              <w:rPr>
                <w:sz w:val="14"/>
              </w:rPr>
              <w:t>12</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92.00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1"/>
                <w:sz w:val="14"/>
              </w:rPr>
              <w:t> </w:t>
            </w:r>
            <w:r>
              <w:rPr>
                <w:sz w:val="14"/>
              </w:rPr>
              <w:t>Residential</w:t>
            </w:r>
            <w:r>
              <w:rPr>
                <w:spacing w:val="-5"/>
                <w:sz w:val="14"/>
              </w:rPr>
              <w:t> </w:t>
            </w:r>
            <w:r>
              <w:rPr>
                <w:sz w:val="14"/>
              </w:rPr>
              <w:t>Parking</w:t>
            </w:r>
            <w:r>
              <w:rPr>
                <w:spacing w:val="-6"/>
                <w:sz w:val="14"/>
              </w:rPr>
              <w:t> </w:t>
            </w:r>
            <w:r>
              <w:rPr>
                <w:sz w:val="14"/>
              </w:rPr>
              <w:t>Permit</w:t>
            </w:r>
            <w:r>
              <w:rPr>
                <w:spacing w:val="-4"/>
                <w:sz w:val="14"/>
              </w:rPr>
              <w:t> </w:t>
            </w:r>
            <w:r>
              <w:rPr>
                <w:sz w:val="14"/>
              </w:rPr>
              <w:t>-</w:t>
            </w:r>
            <w:r>
              <w:rPr>
                <w:spacing w:val="-2"/>
                <w:sz w:val="14"/>
              </w:rPr>
              <w:t> </w:t>
            </w:r>
            <w:r>
              <w:rPr>
                <w:sz w:val="14"/>
              </w:rPr>
              <w:t>third</w:t>
            </w:r>
            <w:r>
              <w:rPr>
                <w:spacing w:val="-3"/>
                <w:sz w:val="14"/>
              </w:rPr>
              <w:t> </w:t>
            </w:r>
            <w:r>
              <w:rPr>
                <w:sz w:val="14"/>
              </w:rPr>
              <w:t>permit</w:t>
            </w:r>
            <w:r>
              <w:rPr>
                <w:spacing w:val="-3"/>
                <w:sz w:val="14"/>
              </w:rPr>
              <w:t> </w:t>
            </w:r>
            <w:r>
              <w:rPr>
                <w:sz w:val="14"/>
              </w:rPr>
              <w:t>-</w:t>
            </w:r>
            <w:r>
              <w:rPr>
                <w:spacing w:val="-2"/>
                <w:sz w:val="14"/>
              </w:rPr>
              <w:t> </w:t>
            </w:r>
            <w:r>
              <w:rPr>
                <w:sz w:val="14"/>
              </w:rPr>
              <w:t>6</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71.50</w:t>
            </w:r>
          </w:p>
        </w:tc>
        <w:tc>
          <w:tcPr>
            <w:tcW w:w="995" w:type="dxa"/>
          </w:tcPr>
          <w:p>
            <w:pPr>
              <w:pStyle w:val="TableParagraph"/>
              <w:spacing w:line="140" w:lineRule="exact" w:before="17"/>
              <w:ind w:right="101"/>
              <w:jc w:val="right"/>
              <w:rPr>
                <w:sz w:val="14"/>
              </w:rPr>
            </w:pPr>
            <w:r>
              <w:rPr>
                <w:spacing w:val="-2"/>
                <w:sz w:val="14"/>
              </w:rPr>
              <w:t>77.00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5"/>
                <w:sz w:val="14"/>
              </w:rPr>
              <w:t> </w:t>
            </w:r>
            <w:r>
              <w:rPr>
                <w:sz w:val="14"/>
              </w:rPr>
              <w:t>Area</w:t>
            </w:r>
            <w:r>
              <w:rPr>
                <w:spacing w:val="-2"/>
                <w:sz w:val="14"/>
              </w:rPr>
              <w:t> </w:t>
            </w:r>
            <w:r>
              <w:rPr>
                <w:sz w:val="14"/>
              </w:rPr>
              <w:t>Residential</w:t>
            </w:r>
            <w:r>
              <w:rPr>
                <w:spacing w:val="-4"/>
                <w:sz w:val="14"/>
              </w:rPr>
              <w:t> </w:t>
            </w:r>
            <w:r>
              <w:rPr>
                <w:sz w:val="14"/>
              </w:rPr>
              <w:t>Parking</w:t>
            </w:r>
            <w:r>
              <w:rPr>
                <w:spacing w:val="-6"/>
                <w:sz w:val="14"/>
              </w:rPr>
              <w:t> </w:t>
            </w:r>
            <w:r>
              <w:rPr>
                <w:sz w:val="14"/>
              </w:rPr>
              <w:t>Permit</w:t>
            </w:r>
            <w:r>
              <w:rPr>
                <w:spacing w:val="-5"/>
                <w:sz w:val="14"/>
              </w:rPr>
              <w:t> </w:t>
            </w:r>
            <w:r>
              <w:rPr>
                <w:sz w:val="14"/>
              </w:rPr>
              <w:t>-</w:t>
            </w:r>
            <w:r>
              <w:rPr>
                <w:spacing w:val="-2"/>
                <w:sz w:val="14"/>
              </w:rPr>
              <w:t> </w:t>
            </w:r>
            <w:r>
              <w:rPr>
                <w:sz w:val="14"/>
              </w:rPr>
              <w:t>third</w:t>
            </w:r>
            <w:r>
              <w:rPr>
                <w:spacing w:val="-4"/>
                <w:sz w:val="14"/>
              </w:rPr>
              <w:t> </w:t>
            </w:r>
            <w:r>
              <w:rPr>
                <w:sz w:val="14"/>
              </w:rPr>
              <w:t>permit</w:t>
            </w:r>
            <w:r>
              <w:rPr>
                <w:spacing w:val="-2"/>
                <w:sz w:val="14"/>
              </w:rPr>
              <w:t> </w:t>
            </w:r>
            <w:r>
              <w:rPr>
                <w:sz w:val="14"/>
              </w:rPr>
              <w:t>-</w:t>
            </w:r>
            <w:r>
              <w:rPr>
                <w:spacing w:val="-3"/>
                <w:sz w:val="14"/>
              </w:rPr>
              <w:t> </w:t>
            </w:r>
            <w:r>
              <w:rPr>
                <w:sz w:val="14"/>
              </w:rPr>
              <w:t>12</w:t>
            </w:r>
            <w:r>
              <w:rPr>
                <w:spacing w:val="-5"/>
                <w:sz w:val="14"/>
              </w:rPr>
              <w:t> </w:t>
            </w:r>
            <w:r>
              <w:rPr>
                <w:spacing w:val="-2"/>
                <w:sz w:val="14"/>
              </w:rPr>
              <w:t>months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143.00</w:t>
            </w:r>
          </w:p>
        </w:tc>
        <w:tc>
          <w:tcPr>
            <w:tcW w:w="995" w:type="dxa"/>
          </w:tcPr>
          <w:p>
            <w:pPr>
              <w:pStyle w:val="TableParagraph"/>
              <w:spacing w:line="140" w:lineRule="exact" w:before="17"/>
              <w:ind w:right="102"/>
              <w:jc w:val="right"/>
              <w:rPr>
                <w:sz w:val="14"/>
              </w:rPr>
            </w:pPr>
            <w:r>
              <w:rPr>
                <w:spacing w:val="-2"/>
                <w:sz w:val="14"/>
              </w:rPr>
              <w:t>154.00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Ringwood</w:t>
            </w:r>
            <w:r>
              <w:rPr>
                <w:spacing w:val="-3"/>
                <w:sz w:val="14"/>
              </w:rPr>
              <w:t> </w:t>
            </w:r>
            <w:r>
              <w:rPr>
                <w:sz w:val="14"/>
              </w:rPr>
              <w:t>Activities</w:t>
            </w:r>
            <w:r>
              <w:rPr>
                <w:spacing w:val="-6"/>
                <w:sz w:val="14"/>
              </w:rPr>
              <w:t> </w:t>
            </w:r>
            <w:r>
              <w:rPr>
                <w:sz w:val="14"/>
              </w:rPr>
              <w:t>Area</w:t>
            </w:r>
            <w:r>
              <w:rPr>
                <w:spacing w:val="-6"/>
                <w:sz w:val="14"/>
              </w:rPr>
              <w:t> </w:t>
            </w:r>
            <w:r>
              <w:rPr>
                <w:sz w:val="14"/>
              </w:rPr>
              <w:t>Visitor</w:t>
            </w:r>
            <w:r>
              <w:rPr>
                <w:spacing w:val="-5"/>
                <w:sz w:val="14"/>
              </w:rPr>
              <w:t> </w:t>
            </w:r>
            <w:r>
              <w:rPr>
                <w:sz w:val="14"/>
              </w:rPr>
              <w:t>Parking</w:t>
            </w:r>
            <w:r>
              <w:rPr>
                <w:spacing w:val="-6"/>
                <w:sz w:val="14"/>
              </w:rPr>
              <w:t> </w:t>
            </w:r>
            <w:r>
              <w:rPr>
                <w:spacing w:val="-2"/>
                <w:sz w:val="14"/>
              </w:rPr>
              <w:t>Permit</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46.00</w:t>
            </w:r>
          </w:p>
        </w:tc>
        <w:tc>
          <w:tcPr>
            <w:tcW w:w="995" w:type="dxa"/>
          </w:tcPr>
          <w:p>
            <w:pPr>
              <w:pStyle w:val="TableParagraph"/>
              <w:spacing w:line="140" w:lineRule="exact" w:before="17"/>
              <w:ind w:right="101"/>
              <w:jc w:val="right"/>
              <w:rPr>
                <w:sz w:val="14"/>
              </w:rPr>
            </w:pPr>
            <w:r>
              <w:rPr>
                <w:spacing w:val="-2"/>
                <w:sz w:val="14"/>
              </w:rPr>
              <w:t>50.00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Temporary</w:t>
            </w:r>
            <w:r>
              <w:rPr>
                <w:spacing w:val="-5"/>
                <w:sz w:val="14"/>
              </w:rPr>
              <w:t> </w:t>
            </w:r>
            <w:r>
              <w:rPr>
                <w:sz w:val="14"/>
              </w:rPr>
              <w:t>Parking</w:t>
            </w:r>
            <w:r>
              <w:rPr>
                <w:spacing w:val="-5"/>
                <w:sz w:val="14"/>
              </w:rPr>
              <w:t> </w:t>
            </w:r>
            <w:r>
              <w:rPr>
                <w:sz w:val="14"/>
              </w:rPr>
              <w:t>Permit</w:t>
            </w:r>
            <w:r>
              <w:rPr>
                <w:spacing w:val="-4"/>
                <w:sz w:val="14"/>
              </w:rPr>
              <w:t> </w:t>
            </w:r>
            <w:r>
              <w:rPr>
                <w:sz w:val="14"/>
              </w:rPr>
              <w:t>-</w:t>
            </w:r>
            <w:r>
              <w:rPr>
                <w:spacing w:val="-2"/>
                <w:sz w:val="14"/>
              </w:rPr>
              <w:t> </w:t>
            </w:r>
            <w:r>
              <w:rPr>
                <w:sz w:val="14"/>
              </w:rPr>
              <w:t>Category</w:t>
            </w:r>
            <w:r>
              <w:rPr>
                <w:spacing w:val="-1"/>
                <w:sz w:val="14"/>
              </w:rPr>
              <w:t> </w:t>
            </w:r>
            <w:r>
              <w:rPr>
                <w:sz w:val="14"/>
              </w:rPr>
              <w:t>A</w:t>
            </w:r>
            <w:r>
              <w:rPr>
                <w:spacing w:val="-3"/>
                <w:sz w:val="14"/>
              </w:rPr>
              <w:t> </w:t>
            </w:r>
            <w:r>
              <w:rPr>
                <w:sz w:val="14"/>
              </w:rPr>
              <w:t>-</w:t>
            </w:r>
            <w:r>
              <w:rPr>
                <w:spacing w:val="-5"/>
                <w:sz w:val="14"/>
              </w:rPr>
              <w:t> </w:t>
            </w:r>
            <w:r>
              <w:rPr>
                <w:sz w:val="14"/>
              </w:rPr>
              <w:t>Change</w:t>
            </w:r>
            <w:r>
              <w:rPr>
                <w:spacing w:val="-1"/>
                <w:sz w:val="14"/>
              </w:rPr>
              <w:t> </w:t>
            </w:r>
            <w:r>
              <w:rPr>
                <w:sz w:val="14"/>
              </w:rPr>
              <w:t>of</w:t>
            </w:r>
            <w:r>
              <w:rPr>
                <w:spacing w:val="-4"/>
                <w:sz w:val="14"/>
              </w:rPr>
              <w:t> </w:t>
            </w:r>
            <w:r>
              <w:rPr>
                <w:sz w:val="14"/>
              </w:rPr>
              <w:t>circumstances</w:t>
            </w:r>
            <w:r>
              <w:rPr>
                <w:spacing w:val="-2"/>
                <w:sz w:val="14"/>
              </w:rPr>
              <w:t> </w:t>
            </w:r>
            <w:r>
              <w:rPr>
                <w:sz w:val="14"/>
              </w:rPr>
              <w:t>(per</w:t>
            </w:r>
            <w:r>
              <w:rPr>
                <w:spacing w:val="-5"/>
                <w:sz w:val="14"/>
              </w:rPr>
              <w:t> </w:t>
            </w:r>
            <w:r>
              <w:rPr>
                <w:spacing w:val="-2"/>
                <w:sz w:val="14"/>
              </w:rPr>
              <w:t>month)</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15.00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Temporary</w:t>
            </w:r>
            <w:r>
              <w:rPr>
                <w:spacing w:val="-5"/>
                <w:sz w:val="14"/>
              </w:rPr>
              <w:t> </w:t>
            </w:r>
            <w:r>
              <w:rPr>
                <w:sz w:val="14"/>
              </w:rPr>
              <w:t>Parking</w:t>
            </w:r>
            <w:r>
              <w:rPr>
                <w:spacing w:val="-5"/>
                <w:sz w:val="14"/>
              </w:rPr>
              <w:t> </w:t>
            </w:r>
            <w:r>
              <w:rPr>
                <w:sz w:val="14"/>
              </w:rPr>
              <w:t>Permit</w:t>
            </w:r>
            <w:r>
              <w:rPr>
                <w:spacing w:val="-4"/>
                <w:sz w:val="14"/>
              </w:rPr>
              <w:t> </w:t>
            </w:r>
            <w:r>
              <w:rPr>
                <w:sz w:val="14"/>
              </w:rPr>
              <w:t>-</w:t>
            </w:r>
            <w:r>
              <w:rPr>
                <w:spacing w:val="-2"/>
                <w:sz w:val="14"/>
              </w:rPr>
              <w:t> </w:t>
            </w:r>
            <w:r>
              <w:rPr>
                <w:sz w:val="14"/>
              </w:rPr>
              <w:t>Category</w:t>
            </w:r>
            <w:r>
              <w:rPr>
                <w:spacing w:val="-1"/>
                <w:sz w:val="14"/>
              </w:rPr>
              <w:t> </w:t>
            </w:r>
            <w:r>
              <w:rPr>
                <w:sz w:val="14"/>
              </w:rPr>
              <w:t>B</w:t>
            </w:r>
            <w:r>
              <w:rPr>
                <w:spacing w:val="-2"/>
                <w:sz w:val="14"/>
              </w:rPr>
              <w:t> </w:t>
            </w:r>
            <w:r>
              <w:rPr>
                <w:sz w:val="14"/>
              </w:rPr>
              <w:t>-</w:t>
            </w:r>
            <w:r>
              <w:rPr>
                <w:spacing w:val="-5"/>
                <w:sz w:val="14"/>
              </w:rPr>
              <w:t> </w:t>
            </w:r>
            <w:r>
              <w:rPr>
                <w:sz w:val="14"/>
              </w:rPr>
              <w:t>Emergency</w:t>
            </w:r>
            <w:r>
              <w:rPr>
                <w:spacing w:val="-5"/>
                <w:sz w:val="14"/>
              </w:rPr>
              <w:t> </w:t>
            </w:r>
            <w:r>
              <w:rPr>
                <w:sz w:val="14"/>
              </w:rPr>
              <w:t>and</w:t>
            </w:r>
            <w:r>
              <w:rPr>
                <w:spacing w:val="-3"/>
                <w:sz w:val="14"/>
              </w:rPr>
              <w:t> </w:t>
            </w:r>
            <w:r>
              <w:rPr>
                <w:sz w:val="14"/>
              </w:rPr>
              <w:t>essential</w:t>
            </w:r>
            <w:r>
              <w:rPr>
                <w:spacing w:val="-4"/>
                <w:sz w:val="14"/>
              </w:rPr>
              <w:t> </w:t>
            </w:r>
            <w:r>
              <w:rPr>
                <w:spacing w:val="-2"/>
                <w:sz w:val="14"/>
              </w:rPr>
              <w:t>works</w:t>
            </w:r>
          </w:p>
        </w:tc>
        <w:tc>
          <w:tcPr>
            <w:tcW w:w="1131" w:type="dxa"/>
          </w:tcPr>
          <w:p>
            <w:pPr>
              <w:pStyle w:val="TableParagraph"/>
              <w:spacing w:line="140" w:lineRule="exact" w:before="17"/>
              <w:ind w:left="512"/>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2" w:lineRule="exact" w:before="15"/>
              <w:ind w:left="107"/>
              <w:rPr>
                <w:sz w:val="14"/>
              </w:rPr>
            </w:pPr>
            <w:r>
              <w:rPr>
                <w:sz w:val="14"/>
              </w:rPr>
              <w:t>Temporary</w:t>
            </w:r>
            <w:r>
              <w:rPr>
                <w:spacing w:val="-5"/>
                <w:sz w:val="14"/>
              </w:rPr>
              <w:t> </w:t>
            </w:r>
            <w:r>
              <w:rPr>
                <w:sz w:val="14"/>
              </w:rPr>
              <w:t>Parking</w:t>
            </w:r>
            <w:r>
              <w:rPr>
                <w:spacing w:val="-6"/>
                <w:sz w:val="14"/>
              </w:rPr>
              <w:t> </w:t>
            </w:r>
            <w:r>
              <w:rPr>
                <w:sz w:val="14"/>
              </w:rPr>
              <w:t>Permit</w:t>
            </w:r>
            <w:r>
              <w:rPr>
                <w:spacing w:val="-4"/>
                <w:sz w:val="14"/>
              </w:rPr>
              <w:t> </w:t>
            </w:r>
            <w:r>
              <w:rPr>
                <w:sz w:val="14"/>
              </w:rPr>
              <w:t>-</w:t>
            </w:r>
            <w:r>
              <w:rPr>
                <w:spacing w:val="-3"/>
                <w:sz w:val="14"/>
              </w:rPr>
              <w:t> </w:t>
            </w:r>
            <w:r>
              <w:rPr>
                <w:sz w:val="14"/>
              </w:rPr>
              <w:t>Category</w:t>
            </w:r>
            <w:r>
              <w:rPr>
                <w:spacing w:val="1"/>
                <w:sz w:val="14"/>
              </w:rPr>
              <w:t> </w:t>
            </w:r>
            <w:r>
              <w:rPr>
                <w:sz w:val="14"/>
              </w:rPr>
              <w:t>C</w:t>
            </w:r>
            <w:r>
              <w:rPr>
                <w:spacing w:val="-4"/>
                <w:sz w:val="14"/>
              </w:rPr>
              <w:t> </w:t>
            </w:r>
            <w:r>
              <w:rPr>
                <w:sz w:val="14"/>
              </w:rPr>
              <w:t>-</w:t>
            </w:r>
            <w:r>
              <w:rPr>
                <w:spacing w:val="-5"/>
                <w:sz w:val="14"/>
              </w:rPr>
              <w:t> </w:t>
            </w:r>
            <w:r>
              <w:rPr>
                <w:sz w:val="14"/>
              </w:rPr>
              <w:t>Special</w:t>
            </w:r>
            <w:r>
              <w:rPr>
                <w:spacing w:val="-2"/>
                <w:sz w:val="14"/>
              </w:rPr>
              <w:t> </w:t>
            </w:r>
            <w:r>
              <w:rPr>
                <w:sz w:val="14"/>
              </w:rPr>
              <w:t>consideration</w:t>
            </w:r>
            <w:r>
              <w:rPr>
                <w:spacing w:val="-6"/>
                <w:sz w:val="14"/>
              </w:rPr>
              <w:t> </w:t>
            </w:r>
            <w:r>
              <w:rPr>
                <w:sz w:val="14"/>
              </w:rPr>
              <w:t>(12</w:t>
            </w:r>
            <w:r>
              <w:rPr>
                <w:spacing w:val="-5"/>
                <w:sz w:val="14"/>
              </w:rPr>
              <w:t> </w:t>
            </w:r>
            <w:r>
              <w:rPr>
                <w:spacing w:val="-2"/>
                <w:sz w:val="14"/>
              </w:rPr>
              <w:t>months)</w:t>
            </w:r>
          </w:p>
        </w:tc>
        <w:tc>
          <w:tcPr>
            <w:tcW w:w="1131" w:type="dxa"/>
          </w:tcPr>
          <w:p>
            <w:pPr>
              <w:pStyle w:val="TableParagraph"/>
              <w:spacing w:line="142" w:lineRule="exact" w:before="15"/>
              <w:ind w:left="512"/>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0"/>
              <w:jc w:val="right"/>
              <w:rPr>
                <w:sz w:val="14"/>
              </w:rPr>
            </w:pPr>
            <w:r>
              <w:rPr>
                <w:spacing w:val="-4"/>
                <w:sz w:val="14"/>
              </w:rPr>
              <w:t>0.00</w:t>
            </w:r>
          </w:p>
        </w:tc>
        <w:tc>
          <w:tcPr>
            <w:tcW w:w="995" w:type="dxa"/>
          </w:tcPr>
          <w:p>
            <w:pPr>
              <w:pStyle w:val="TableParagraph"/>
              <w:spacing w:line="142" w:lineRule="exact" w:before="15"/>
              <w:ind w:right="102"/>
              <w:jc w:val="right"/>
              <w:rPr>
                <w:sz w:val="14"/>
              </w:rPr>
            </w:pPr>
            <w:r>
              <w:rPr>
                <w:spacing w:val="-2"/>
                <w:sz w:val="14"/>
              </w:rPr>
              <w:t>275.00</w:t>
            </w:r>
          </w:p>
        </w:tc>
        <w:tc>
          <w:tcPr>
            <w:tcW w:w="861" w:type="dxa"/>
          </w:tcPr>
          <w:p>
            <w:pPr>
              <w:pStyle w:val="TableParagraph"/>
              <w:spacing w:line="142" w:lineRule="exact" w:before="15"/>
              <w:ind w:left="327"/>
              <w:rPr>
                <w:sz w:val="14"/>
              </w:rPr>
            </w:pPr>
            <w:r>
              <w:rPr>
                <w:spacing w:val="-5"/>
                <w:sz w:val="14"/>
              </w:rPr>
              <w:t>0.0</w:t>
            </w:r>
          </w:p>
        </w:tc>
      </w:tr>
      <w:tr>
        <w:trPr>
          <w:trHeight w:val="482" w:hRule="atLeast"/>
        </w:trPr>
        <w:tc>
          <w:tcPr>
            <w:tcW w:w="5794" w:type="dxa"/>
          </w:tcPr>
          <w:p>
            <w:pPr>
              <w:pStyle w:val="TableParagraph"/>
              <w:rPr>
                <w:sz w:val="16"/>
              </w:rPr>
            </w:pPr>
          </w:p>
          <w:p>
            <w:pPr>
              <w:pStyle w:val="TableParagraph"/>
              <w:spacing w:line="140" w:lineRule="exact" w:before="138"/>
              <w:ind w:left="107"/>
              <w:rPr>
                <w:sz w:val="14"/>
              </w:rPr>
            </w:pPr>
            <w:r>
              <w:rPr>
                <w:sz w:val="14"/>
              </w:rPr>
              <w:t>Heavy</w:t>
            </w:r>
            <w:r>
              <w:rPr>
                <w:spacing w:val="-3"/>
                <w:sz w:val="14"/>
              </w:rPr>
              <w:t> </w:t>
            </w:r>
            <w:r>
              <w:rPr>
                <w:sz w:val="14"/>
              </w:rPr>
              <w:t>Haulage</w:t>
            </w:r>
            <w:r>
              <w:rPr>
                <w:spacing w:val="-6"/>
                <w:sz w:val="14"/>
              </w:rPr>
              <w:t> </w:t>
            </w:r>
            <w:r>
              <w:rPr>
                <w:sz w:val="14"/>
              </w:rPr>
              <w:t>Tow</w:t>
            </w:r>
            <w:r>
              <w:rPr>
                <w:spacing w:val="-2"/>
                <w:sz w:val="14"/>
              </w:rPr>
              <w:t> </w:t>
            </w:r>
            <w:r>
              <w:rPr>
                <w:spacing w:val="-5"/>
                <w:sz w:val="14"/>
              </w:rPr>
              <w:t>Fee</w:t>
            </w:r>
          </w:p>
        </w:tc>
        <w:tc>
          <w:tcPr>
            <w:tcW w:w="1131" w:type="dxa"/>
          </w:tcPr>
          <w:p>
            <w:pPr>
              <w:pStyle w:val="TableParagraph"/>
              <w:rPr>
                <w:sz w:val="16"/>
              </w:rPr>
            </w:pPr>
          </w:p>
          <w:p>
            <w:pPr>
              <w:pStyle w:val="TableParagraph"/>
              <w:spacing w:line="140" w:lineRule="exact" w:before="138"/>
              <w:ind w:left="512"/>
              <w:rPr>
                <w:sz w:val="14"/>
              </w:rPr>
            </w:pPr>
            <w:r>
              <w:rPr>
                <w:w w:val="99"/>
                <w:sz w:val="14"/>
              </w:rPr>
              <w:t>N</w:t>
            </w:r>
          </w:p>
        </w:tc>
        <w:tc>
          <w:tcPr>
            <w:tcW w:w="567" w:type="dxa"/>
          </w:tcPr>
          <w:p>
            <w:pPr>
              <w:pStyle w:val="TableParagraph"/>
              <w:rPr>
                <w:sz w:val="16"/>
              </w:rPr>
            </w:pPr>
          </w:p>
          <w:p>
            <w:pPr>
              <w:pStyle w:val="TableParagraph"/>
              <w:spacing w:line="140" w:lineRule="exact" w:before="138"/>
              <w:ind w:left="190"/>
              <w:rPr>
                <w:sz w:val="14"/>
              </w:rPr>
            </w:pPr>
            <w:r>
              <w:rPr>
                <w:spacing w:val="-5"/>
                <w:sz w:val="14"/>
              </w:rPr>
              <w:t>No</w:t>
            </w:r>
          </w:p>
        </w:tc>
        <w:tc>
          <w:tcPr>
            <w:tcW w:w="997" w:type="dxa"/>
          </w:tcPr>
          <w:p>
            <w:pPr>
              <w:pStyle w:val="TableParagraph"/>
              <w:spacing w:line="160" w:lineRule="atLeast"/>
              <w:ind w:left="185" w:right="180" w:hanging="3"/>
              <w:jc w:val="center"/>
              <w:rPr>
                <w:sz w:val="14"/>
              </w:rPr>
            </w:pPr>
            <w:r>
              <w:rPr>
                <w:spacing w:val="-4"/>
                <w:sz w:val="14"/>
              </w:rPr>
              <w:t>per</w:t>
            </w:r>
            <w:r>
              <w:rPr>
                <w:spacing w:val="40"/>
                <w:sz w:val="14"/>
              </w:rPr>
              <w:t> </w:t>
            </w:r>
            <w:r>
              <w:rPr>
                <w:spacing w:val="-2"/>
                <w:sz w:val="14"/>
              </w:rPr>
              <w:t>contractor</w:t>
            </w:r>
            <w:r>
              <w:rPr>
                <w:spacing w:val="40"/>
                <w:sz w:val="14"/>
              </w:rPr>
              <w:t> </w:t>
            </w:r>
            <w:r>
              <w:rPr>
                <w:spacing w:val="-4"/>
                <w:sz w:val="14"/>
              </w:rPr>
              <w:t>fee</w:t>
            </w:r>
          </w:p>
        </w:tc>
        <w:tc>
          <w:tcPr>
            <w:tcW w:w="995" w:type="dxa"/>
          </w:tcPr>
          <w:p>
            <w:pPr>
              <w:pStyle w:val="TableParagraph"/>
              <w:spacing w:line="160" w:lineRule="atLeast"/>
              <w:ind w:left="182" w:right="181" w:firstLine="2"/>
              <w:jc w:val="center"/>
              <w:rPr>
                <w:sz w:val="14"/>
              </w:rPr>
            </w:pPr>
            <w:r>
              <w:rPr>
                <w:spacing w:val="-4"/>
                <w:sz w:val="14"/>
              </w:rPr>
              <w:t>per</w:t>
            </w:r>
            <w:r>
              <w:rPr>
                <w:spacing w:val="40"/>
                <w:sz w:val="14"/>
              </w:rPr>
              <w:t> </w:t>
            </w:r>
            <w:r>
              <w:rPr>
                <w:spacing w:val="-2"/>
                <w:sz w:val="14"/>
              </w:rPr>
              <w:t>contractor</w:t>
            </w:r>
            <w:r>
              <w:rPr>
                <w:spacing w:val="40"/>
                <w:sz w:val="14"/>
              </w:rPr>
              <w:t> </w:t>
            </w:r>
            <w:r>
              <w:rPr>
                <w:spacing w:val="-4"/>
                <w:sz w:val="14"/>
              </w:rPr>
              <w:t>fee</w:t>
            </w:r>
          </w:p>
        </w:tc>
        <w:tc>
          <w:tcPr>
            <w:tcW w:w="861" w:type="dxa"/>
          </w:tcPr>
          <w:p>
            <w:pPr>
              <w:pStyle w:val="TableParagraph"/>
              <w:rPr>
                <w:rFonts w:ascii="Times New Roman"/>
                <w:sz w:val="12"/>
              </w:rPr>
            </w:pPr>
          </w:p>
        </w:tc>
      </w:tr>
      <w:tr>
        <w:trPr>
          <w:trHeight w:val="193" w:hRule="atLeast"/>
        </w:trPr>
        <w:tc>
          <w:tcPr>
            <w:tcW w:w="5794" w:type="dxa"/>
          </w:tcPr>
          <w:p>
            <w:pPr>
              <w:pStyle w:val="TableParagraph"/>
              <w:spacing w:line="140" w:lineRule="exact" w:before="33"/>
              <w:ind w:left="107"/>
              <w:rPr>
                <w:sz w:val="14"/>
              </w:rPr>
            </w:pPr>
            <w:r>
              <w:rPr>
                <w:sz w:val="14"/>
              </w:rPr>
              <w:t>Tradepersons</w:t>
            </w:r>
            <w:r>
              <w:rPr>
                <w:spacing w:val="-5"/>
                <w:sz w:val="14"/>
              </w:rPr>
              <w:t> </w:t>
            </w:r>
            <w:r>
              <w:rPr>
                <w:sz w:val="14"/>
              </w:rPr>
              <w:t>Parking</w:t>
            </w:r>
            <w:r>
              <w:rPr>
                <w:spacing w:val="-5"/>
                <w:sz w:val="14"/>
              </w:rPr>
              <w:t> </w:t>
            </w:r>
            <w:r>
              <w:rPr>
                <w:sz w:val="14"/>
              </w:rPr>
              <w:t>Permit</w:t>
            </w:r>
            <w:r>
              <w:rPr>
                <w:spacing w:val="-5"/>
                <w:sz w:val="14"/>
              </w:rPr>
              <w:t> </w:t>
            </w:r>
            <w:r>
              <w:rPr>
                <w:sz w:val="14"/>
              </w:rPr>
              <w:t>-</w:t>
            </w:r>
            <w:r>
              <w:rPr>
                <w:spacing w:val="-3"/>
                <w:sz w:val="14"/>
              </w:rPr>
              <w:t> </w:t>
            </w:r>
            <w:r>
              <w:rPr>
                <w:sz w:val="14"/>
              </w:rPr>
              <w:t>per</w:t>
            </w:r>
            <w:r>
              <w:rPr>
                <w:spacing w:val="-5"/>
                <w:sz w:val="14"/>
              </w:rPr>
              <w:t> </w:t>
            </w:r>
            <w:r>
              <w:rPr>
                <w:sz w:val="14"/>
              </w:rPr>
              <w:t>week/per</w:t>
            </w:r>
            <w:r>
              <w:rPr>
                <w:spacing w:val="-5"/>
                <w:sz w:val="14"/>
              </w:rPr>
              <w:t> </w:t>
            </w:r>
            <w:r>
              <w:rPr>
                <w:spacing w:val="-2"/>
                <w:sz w:val="14"/>
              </w:rPr>
              <w:t>vehicle</w:t>
            </w:r>
          </w:p>
        </w:tc>
        <w:tc>
          <w:tcPr>
            <w:tcW w:w="1131" w:type="dxa"/>
          </w:tcPr>
          <w:p>
            <w:pPr>
              <w:pStyle w:val="TableParagraph"/>
              <w:spacing w:line="140" w:lineRule="exact" w:before="33"/>
              <w:ind w:left="512"/>
              <w:rPr>
                <w:sz w:val="14"/>
              </w:rPr>
            </w:pPr>
            <w:r>
              <w:rPr>
                <w:w w:val="99"/>
                <w:sz w:val="14"/>
              </w:rPr>
              <w:t>N</w:t>
            </w:r>
          </w:p>
        </w:tc>
        <w:tc>
          <w:tcPr>
            <w:tcW w:w="567" w:type="dxa"/>
          </w:tcPr>
          <w:p>
            <w:pPr>
              <w:pStyle w:val="TableParagraph"/>
              <w:spacing w:line="140" w:lineRule="exact" w:before="33"/>
              <w:ind w:left="190"/>
              <w:rPr>
                <w:sz w:val="14"/>
              </w:rPr>
            </w:pPr>
            <w:r>
              <w:rPr>
                <w:spacing w:val="-5"/>
                <w:sz w:val="14"/>
              </w:rPr>
              <w:t>No</w:t>
            </w:r>
          </w:p>
        </w:tc>
        <w:tc>
          <w:tcPr>
            <w:tcW w:w="997" w:type="dxa"/>
          </w:tcPr>
          <w:p>
            <w:pPr>
              <w:pStyle w:val="TableParagraph"/>
              <w:spacing w:line="140" w:lineRule="exact" w:before="33"/>
              <w:ind w:right="100"/>
              <w:jc w:val="right"/>
              <w:rPr>
                <w:sz w:val="14"/>
              </w:rPr>
            </w:pPr>
            <w:r>
              <w:rPr>
                <w:spacing w:val="-2"/>
                <w:sz w:val="14"/>
              </w:rPr>
              <w:t>19.50</w:t>
            </w:r>
          </w:p>
        </w:tc>
        <w:tc>
          <w:tcPr>
            <w:tcW w:w="995" w:type="dxa"/>
          </w:tcPr>
          <w:p>
            <w:pPr>
              <w:pStyle w:val="TableParagraph"/>
              <w:spacing w:line="140" w:lineRule="exact" w:before="33"/>
              <w:ind w:right="101"/>
              <w:jc w:val="right"/>
              <w:rPr>
                <w:sz w:val="14"/>
              </w:rPr>
            </w:pPr>
            <w:r>
              <w:rPr>
                <w:spacing w:val="-2"/>
                <w:sz w:val="14"/>
              </w:rPr>
              <w:t>22.00</w:t>
            </w:r>
          </w:p>
        </w:tc>
        <w:tc>
          <w:tcPr>
            <w:tcW w:w="861" w:type="dxa"/>
          </w:tcPr>
          <w:p>
            <w:pPr>
              <w:pStyle w:val="TableParagraph"/>
              <w:spacing w:line="140" w:lineRule="exact" w:before="33"/>
              <w:ind w:left="288"/>
              <w:rPr>
                <w:sz w:val="14"/>
              </w:rPr>
            </w:pPr>
            <w:r>
              <w:rPr>
                <w:spacing w:val="-4"/>
                <w:sz w:val="14"/>
              </w:rPr>
              <w:t>11.4</w:t>
            </w:r>
          </w:p>
        </w:tc>
      </w:tr>
      <w:tr>
        <w:trPr>
          <w:trHeight w:val="193" w:hRule="atLeast"/>
        </w:trPr>
        <w:tc>
          <w:tcPr>
            <w:tcW w:w="5794" w:type="dxa"/>
          </w:tcPr>
          <w:p>
            <w:pPr>
              <w:pStyle w:val="TableParagraph"/>
              <w:spacing w:line="140" w:lineRule="exact" w:before="34"/>
              <w:ind w:left="107"/>
              <w:rPr>
                <w:sz w:val="14"/>
              </w:rPr>
            </w:pPr>
            <w:r>
              <w:rPr>
                <w:sz w:val="14"/>
              </w:rPr>
              <w:t>Tradepersons</w:t>
            </w:r>
            <w:r>
              <w:rPr>
                <w:spacing w:val="-5"/>
                <w:sz w:val="14"/>
              </w:rPr>
              <w:t> </w:t>
            </w:r>
            <w:r>
              <w:rPr>
                <w:sz w:val="14"/>
              </w:rPr>
              <w:t>Parking</w:t>
            </w:r>
            <w:r>
              <w:rPr>
                <w:spacing w:val="-6"/>
                <w:sz w:val="14"/>
              </w:rPr>
              <w:t> </w:t>
            </w:r>
            <w:r>
              <w:rPr>
                <w:sz w:val="14"/>
              </w:rPr>
              <w:t>Permit</w:t>
            </w:r>
            <w:r>
              <w:rPr>
                <w:spacing w:val="-5"/>
                <w:sz w:val="14"/>
              </w:rPr>
              <w:t> </w:t>
            </w:r>
            <w:r>
              <w:rPr>
                <w:sz w:val="14"/>
              </w:rPr>
              <w:t>-</w:t>
            </w:r>
            <w:r>
              <w:rPr>
                <w:spacing w:val="-3"/>
                <w:sz w:val="14"/>
              </w:rPr>
              <w:t> </w:t>
            </w:r>
            <w:r>
              <w:rPr>
                <w:sz w:val="14"/>
              </w:rPr>
              <w:t>additional</w:t>
            </w:r>
            <w:r>
              <w:rPr>
                <w:spacing w:val="-5"/>
                <w:sz w:val="14"/>
              </w:rPr>
              <w:t> </w:t>
            </w:r>
            <w:r>
              <w:rPr>
                <w:sz w:val="14"/>
              </w:rPr>
              <w:t>permits</w:t>
            </w:r>
            <w:r>
              <w:rPr>
                <w:spacing w:val="-3"/>
                <w:sz w:val="14"/>
              </w:rPr>
              <w:t> </w:t>
            </w:r>
            <w:r>
              <w:rPr>
                <w:sz w:val="14"/>
              </w:rPr>
              <w:t>-</w:t>
            </w:r>
            <w:r>
              <w:rPr>
                <w:spacing w:val="-3"/>
                <w:sz w:val="14"/>
              </w:rPr>
              <w:t> </w:t>
            </w:r>
            <w:r>
              <w:rPr>
                <w:sz w:val="14"/>
              </w:rPr>
              <w:t>per</w:t>
            </w:r>
            <w:r>
              <w:rPr>
                <w:spacing w:val="-6"/>
                <w:sz w:val="14"/>
              </w:rPr>
              <w:t> </w:t>
            </w:r>
            <w:r>
              <w:rPr>
                <w:sz w:val="14"/>
              </w:rPr>
              <w:t>week/per</w:t>
            </w:r>
            <w:r>
              <w:rPr>
                <w:spacing w:val="-5"/>
                <w:sz w:val="14"/>
              </w:rPr>
              <w:t> </w:t>
            </w:r>
            <w:r>
              <w:rPr>
                <w:spacing w:val="-2"/>
                <w:sz w:val="14"/>
              </w:rPr>
              <w:t>vehicle</w:t>
            </w:r>
          </w:p>
        </w:tc>
        <w:tc>
          <w:tcPr>
            <w:tcW w:w="1131" w:type="dxa"/>
          </w:tcPr>
          <w:p>
            <w:pPr>
              <w:pStyle w:val="TableParagraph"/>
              <w:spacing w:line="140" w:lineRule="exact" w:before="34"/>
              <w:ind w:left="512"/>
              <w:rPr>
                <w:sz w:val="14"/>
              </w:rPr>
            </w:pPr>
            <w:r>
              <w:rPr>
                <w:w w:val="99"/>
                <w:sz w:val="14"/>
              </w:rPr>
              <w:t>N</w:t>
            </w:r>
          </w:p>
        </w:tc>
        <w:tc>
          <w:tcPr>
            <w:tcW w:w="567" w:type="dxa"/>
          </w:tcPr>
          <w:p>
            <w:pPr>
              <w:pStyle w:val="TableParagraph"/>
              <w:spacing w:line="140" w:lineRule="exact" w:before="34"/>
              <w:ind w:left="190"/>
              <w:rPr>
                <w:sz w:val="14"/>
              </w:rPr>
            </w:pPr>
            <w:r>
              <w:rPr>
                <w:spacing w:val="-5"/>
                <w:sz w:val="14"/>
              </w:rPr>
              <w:t>No</w:t>
            </w:r>
          </w:p>
        </w:tc>
        <w:tc>
          <w:tcPr>
            <w:tcW w:w="997" w:type="dxa"/>
          </w:tcPr>
          <w:p>
            <w:pPr>
              <w:pStyle w:val="TableParagraph"/>
              <w:spacing w:line="140" w:lineRule="exact" w:before="34"/>
              <w:ind w:right="100"/>
              <w:jc w:val="right"/>
              <w:rPr>
                <w:sz w:val="14"/>
              </w:rPr>
            </w:pPr>
            <w:r>
              <w:rPr>
                <w:spacing w:val="-4"/>
                <w:sz w:val="14"/>
              </w:rPr>
              <w:t>0.00</w:t>
            </w:r>
          </w:p>
        </w:tc>
        <w:tc>
          <w:tcPr>
            <w:tcW w:w="995" w:type="dxa"/>
          </w:tcPr>
          <w:p>
            <w:pPr>
              <w:pStyle w:val="TableParagraph"/>
              <w:spacing w:line="140" w:lineRule="exact" w:before="34"/>
              <w:ind w:right="101"/>
              <w:jc w:val="right"/>
              <w:rPr>
                <w:sz w:val="14"/>
              </w:rPr>
            </w:pPr>
            <w:r>
              <w:rPr>
                <w:spacing w:val="-2"/>
                <w:sz w:val="14"/>
              </w:rPr>
              <w:t>32.00</w:t>
            </w:r>
          </w:p>
        </w:tc>
        <w:tc>
          <w:tcPr>
            <w:tcW w:w="861" w:type="dxa"/>
          </w:tcPr>
          <w:p>
            <w:pPr>
              <w:pStyle w:val="TableParagraph"/>
              <w:spacing w:line="140" w:lineRule="exact" w:before="34"/>
              <w:ind w:left="327"/>
              <w:rPr>
                <w:sz w:val="14"/>
              </w:rPr>
            </w:pPr>
            <w:r>
              <w:rPr>
                <w:spacing w:val="-5"/>
                <w:sz w:val="14"/>
              </w:rPr>
              <w:t>0.0</w:t>
            </w:r>
          </w:p>
        </w:tc>
      </w:tr>
      <w:tr>
        <w:trPr>
          <w:trHeight w:val="321" w:hRule="atLeast"/>
        </w:trPr>
        <w:tc>
          <w:tcPr>
            <w:tcW w:w="5794" w:type="dxa"/>
          </w:tcPr>
          <w:p>
            <w:pPr>
              <w:pStyle w:val="TableParagraph"/>
              <w:rPr>
                <w:sz w:val="14"/>
              </w:rPr>
            </w:pPr>
          </w:p>
          <w:p>
            <w:pPr>
              <w:pStyle w:val="TableParagraph"/>
              <w:spacing w:line="140" w:lineRule="exact"/>
              <w:ind w:left="107"/>
              <w:rPr>
                <w:sz w:val="14"/>
              </w:rPr>
            </w:pPr>
            <w:r>
              <w:rPr>
                <w:sz w:val="14"/>
              </w:rPr>
              <w:t>Ringwood</w:t>
            </w:r>
            <w:r>
              <w:rPr>
                <w:spacing w:val="-3"/>
                <w:sz w:val="14"/>
              </w:rPr>
              <w:t> </w:t>
            </w:r>
            <w:r>
              <w:rPr>
                <w:sz w:val="14"/>
              </w:rPr>
              <w:t>Activity</w:t>
            </w:r>
            <w:r>
              <w:rPr>
                <w:spacing w:val="-2"/>
                <w:sz w:val="14"/>
              </w:rPr>
              <w:t> </w:t>
            </w:r>
            <w:r>
              <w:rPr>
                <w:sz w:val="14"/>
              </w:rPr>
              <w:t>Centre</w:t>
            </w:r>
            <w:r>
              <w:rPr>
                <w:spacing w:val="-7"/>
                <w:sz w:val="14"/>
              </w:rPr>
              <w:t> </w:t>
            </w:r>
            <w:r>
              <w:rPr>
                <w:sz w:val="14"/>
              </w:rPr>
              <w:t>short</w:t>
            </w:r>
            <w:r>
              <w:rPr>
                <w:spacing w:val="-5"/>
                <w:sz w:val="14"/>
              </w:rPr>
              <w:t> </w:t>
            </w:r>
            <w:r>
              <w:rPr>
                <w:sz w:val="14"/>
              </w:rPr>
              <w:t>term</w:t>
            </w:r>
            <w:r>
              <w:rPr>
                <w:spacing w:val="-4"/>
                <w:sz w:val="14"/>
              </w:rPr>
              <w:t> </w:t>
            </w:r>
            <w:r>
              <w:rPr>
                <w:spacing w:val="-2"/>
                <w:sz w:val="14"/>
              </w:rPr>
              <w:t>Parking</w:t>
            </w:r>
          </w:p>
        </w:tc>
        <w:tc>
          <w:tcPr>
            <w:tcW w:w="1131" w:type="dxa"/>
          </w:tcPr>
          <w:p>
            <w:pPr>
              <w:pStyle w:val="TableParagraph"/>
              <w:rPr>
                <w:sz w:val="14"/>
              </w:rPr>
            </w:pPr>
          </w:p>
          <w:p>
            <w:pPr>
              <w:pStyle w:val="TableParagraph"/>
              <w:spacing w:line="140" w:lineRule="exact"/>
              <w:ind w:left="512"/>
              <w:rPr>
                <w:sz w:val="14"/>
              </w:rPr>
            </w:pPr>
            <w:r>
              <w:rPr>
                <w:w w:val="99"/>
                <w:sz w:val="14"/>
              </w:rPr>
              <w:t>N</w:t>
            </w:r>
          </w:p>
        </w:tc>
        <w:tc>
          <w:tcPr>
            <w:tcW w:w="567" w:type="dxa"/>
          </w:tcPr>
          <w:p>
            <w:pPr>
              <w:pStyle w:val="TableParagraph"/>
              <w:rPr>
                <w:sz w:val="14"/>
              </w:rPr>
            </w:pPr>
          </w:p>
          <w:p>
            <w:pPr>
              <w:pStyle w:val="TableParagraph"/>
              <w:spacing w:line="140" w:lineRule="exact"/>
              <w:ind w:left="190"/>
              <w:rPr>
                <w:sz w:val="14"/>
              </w:rPr>
            </w:pPr>
            <w:r>
              <w:rPr>
                <w:spacing w:val="-5"/>
                <w:sz w:val="14"/>
              </w:rPr>
              <w:t>No</w:t>
            </w:r>
          </w:p>
        </w:tc>
        <w:tc>
          <w:tcPr>
            <w:tcW w:w="997" w:type="dxa"/>
          </w:tcPr>
          <w:p>
            <w:pPr>
              <w:pStyle w:val="TableParagraph"/>
              <w:rPr>
                <w:sz w:val="14"/>
              </w:rPr>
            </w:pPr>
          </w:p>
          <w:p>
            <w:pPr>
              <w:pStyle w:val="TableParagraph"/>
              <w:spacing w:line="140" w:lineRule="exact"/>
              <w:ind w:right="100"/>
              <w:jc w:val="right"/>
              <w:rPr>
                <w:sz w:val="14"/>
              </w:rPr>
            </w:pPr>
            <w:r>
              <w:rPr>
                <w:spacing w:val="-4"/>
                <w:sz w:val="14"/>
              </w:rPr>
              <w:t>0.00</w:t>
            </w:r>
          </w:p>
        </w:tc>
        <w:tc>
          <w:tcPr>
            <w:tcW w:w="995" w:type="dxa"/>
          </w:tcPr>
          <w:p>
            <w:pPr>
              <w:pStyle w:val="TableParagraph"/>
              <w:ind w:left="448"/>
              <w:rPr>
                <w:sz w:val="14"/>
              </w:rPr>
            </w:pPr>
            <w:r>
              <w:rPr>
                <w:sz w:val="14"/>
              </w:rPr>
              <w:t>$1.00</w:t>
            </w:r>
            <w:r>
              <w:rPr>
                <w:spacing w:val="-4"/>
                <w:sz w:val="14"/>
              </w:rPr>
              <w:t> </w:t>
            </w:r>
            <w:r>
              <w:rPr>
                <w:spacing w:val="-10"/>
                <w:sz w:val="14"/>
              </w:rPr>
              <w:t>-</w:t>
            </w:r>
          </w:p>
          <w:p>
            <w:pPr>
              <w:pStyle w:val="TableParagraph"/>
              <w:spacing w:line="140" w:lineRule="exact"/>
              <w:ind w:left="455"/>
              <w:rPr>
                <w:sz w:val="14"/>
              </w:rPr>
            </w:pPr>
            <w:r>
              <w:rPr>
                <w:spacing w:val="-2"/>
                <w:sz w:val="14"/>
              </w:rPr>
              <w:t>$12.00</w:t>
            </w:r>
          </w:p>
        </w:tc>
        <w:tc>
          <w:tcPr>
            <w:tcW w:w="861" w:type="dxa"/>
          </w:tcPr>
          <w:p>
            <w:pPr>
              <w:pStyle w:val="TableParagraph"/>
              <w:rPr>
                <w:sz w:val="14"/>
              </w:rPr>
            </w:pPr>
          </w:p>
          <w:p>
            <w:pPr>
              <w:pStyle w:val="TableParagraph"/>
              <w:spacing w:line="140" w:lineRule="exact"/>
              <w:ind w:left="327"/>
              <w:rPr>
                <w:sz w:val="14"/>
              </w:rPr>
            </w:pPr>
            <w:r>
              <w:rPr>
                <w:spacing w:val="-5"/>
                <w:sz w:val="14"/>
              </w:rPr>
              <w:t>0.0</w:t>
            </w:r>
          </w:p>
        </w:tc>
      </w:tr>
    </w:tbl>
    <w:p>
      <w:pPr>
        <w:spacing w:after="0" w:line="140" w:lineRule="exact"/>
        <w:rPr>
          <w:sz w:val="14"/>
        </w:rPr>
        <w:sectPr>
          <w:type w:val="continuous"/>
          <w:pgSz w:w="11910" w:h="16840"/>
          <w:pgMar w:header="0" w:footer="687" w:top="920" w:bottom="1050"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b/>
                <w:sz w:val="14"/>
              </w:rPr>
            </w:pPr>
            <w:r>
              <w:rPr>
                <w:b/>
                <w:sz w:val="14"/>
              </w:rPr>
              <w:t>Activity</w:t>
            </w:r>
            <w:r>
              <w:rPr>
                <w:b/>
                <w:spacing w:val="-6"/>
                <w:sz w:val="14"/>
              </w:rPr>
              <w:t> </w:t>
            </w:r>
            <w:r>
              <w:rPr>
                <w:b/>
                <w:sz w:val="14"/>
              </w:rPr>
              <w:t>Centre</w:t>
            </w:r>
            <w:r>
              <w:rPr>
                <w:b/>
                <w:spacing w:val="-5"/>
                <w:sz w:val="14"/>
              </w:rPr>
              <w:t> </w:t>
            </w:r>
            <w:r>
              <w:rPr>
                <w:b/>
                <w:sz w:val="14"/>
              </w:rPr>
              <w:t>Reserved</w:t>
            </w:r>
            <w:r>
              <w:rPr>
                <w:b/>
                <w:spacing w:val="-4"/>
                <w:sz w:val="14"/>
              </w:rPr>
              <w:t> </w:t>
            </w:r>
            <w:r>
              <w:rPr>
                <w:b/>
                <w:spacing w:val="-2"/>
                <w:sz w:val="14"/>
              </w:rPr>
              <w:t>Parking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5"/>
                <w:sz w:val="14"/>
              </w:rPr>
              <w:t> </w:t>
            </w:r>
            <w:r>
              <w:rPr>
                <w:sz w:val="14"/>
              </w:rPr>
              <w:t>Park</w:t>
            </w:r>
            <w:r>
              <w:rPr>
                <w:spacing w:val="-4"/>
                <w:sz w:val="14"/>
              </w:rPr>
              <w:t> </w:t>
            </w:r>
            <w:r>
              <w:rPr>
                <w:sz w:val="14"/>
              </w:rPr>
              <w:t>Reserved</w:t>
            </w:r>
            <w:r>
              <w:rPr>
                <w:spacing w:val="-3"/>
                <w:sz w:val="14"/>
              </w:rPr>
              <w:t> </w:t>
            </w:r>
            <w:r>
              <w:rPr>
                <w:sz w:val="14"/>
              </w:rPr>
              <w:t>Parking</w:t>
            </w:r>
            <w:r>
              <w:rPr>
                <w:spacing w:val="-3"/>
                <w:sz w:val="14"/>
              </w:rPr>
              <w:t> </w:t>
            </w:r>
            <w:r>
              <w:rPr>
                <w:sz w:val="14"/>
              </w:rPr>
              <w:t>Bay</w:t>
            </w:r>
            <w:r>
              <w:rPr>
                <w:spacing w:val="-5"/>
                <w:sz w:val="14"/>
              </w:rPr>
              <w:t> </w:t>
            </w:r>
            <w:r>
              <w:rPr>
                <w:sz w:val="14"/>
              </w:rPr>
              <w:t>Scheme</w:t>
            </w:r>
            <w:r>
              <w:rPr>
                <w:spacing w:val="-3"/>
                <w:sz w:val="14"/>
              </w:rPr>
              <w:t> </w:t>
            </w:r>
            <w:r>
              <w:rPr>
                <w:sz w:val="14"/>
              </w:rPr>
              <w:t>-</w:t>
            </w:r>
            <w:r>
              <w:rPr>
                <w:spacing w:val="-2"/>
                <w:sz w:val="14"/>
              </w:rPr>
              <w:t> </w:t>
            </w:r>
            <w:r>
              <w:rPr>
                <w:sz w:val="14"/>
              </w:rPr>
              <w:t>12</w:t>
            </w:r>
            <w:r>
              <w:rPr>
                <w:spacing w:val="-1"/>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1,248.00</w:t>
            </w:r>
          </w:p>
        </w:tc>
        <w:tc>
          <w:tcPr>
            <w:tcW w:w="995" w:type="dxa"/>
          </w:tcPr>
          <w:p>
            <w:pPr>
              <w:pStyle w:val="TableParagraph"/>
              <w:spacing w:line="140" w:lineRule="exact" w:before="17"/>
              <w:ind w:right="101"/>
              <w:jc w:val="right"/>
              <w:rPr>
                <w:sz w:val="14"/>
              </w:rPr>
            </w:pPr>
            <w:r>
              <w:rPr>
                <w:spacing w:val="-2"/>
                <w:sz w:val="14"/>
              </w:rPr>
              <w:t>1,342.00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4"/>
                <w:sz w:val="14"/>
              </w:rPr>
              <w:t> </w:t>
            </w:r>
            <w:r>
              <w:rPr>
                <w:sz w:val="14"/>
              </w:rPr>
              <w:t>Park</w:t>
            </w:r>
            <w:r>
              <w:rPr>
                <w:spacing w:val="-5"/>
                <w:sz w:val="14"/>
              </w:rPr>
              <w:t> </w:t>
            </w:r>
            <w:r>
              <w:rPr>
                <w:sz w:val="14"/>
              </w:rPr>
              <w:t>Reserved</w:t>
            </w:r>
            <w:r>
              <w:rPr>
                <w:spacing w:val="-2"/>
                <w:sz w:val="14"/>
              </w:rPr>
              <w:t> </w:t>
            </w:r>
            <w:r>
              <w:rPr>
                <w:sz w:val="14"/>
              </w:rPr>
              <w:t>Parking</w:t>
            </w:r>
            <w:r>
              <w:rPr>
                <w:spacing w:val="-3"/>
                <w:sz w:val="14"/>
              </w:rPr>
              <w:t> </w:t>
            </w:r>
            <w:r>
              <w:rPr>
                <w:sz w:val="14"/>
              </w:rPr>
              <w:t>Bay</w:t>
            </w:r>
            <w:r>
              <w:rPr>
                <w:spacing w:val="-5"/>
                <w:sz w:val="14"/>
              </w:rPr>
              <w:t> </w:t>
            </w:r>
            <w:r>
              <w:rPr>
                <w:sz w:val="14"/>
              </w:rPr>
              <w:t>Scheme</w:t>
            </w:r>
            <w:r>
              <w:rPr>
                <w:spacing w:val="-2"/>
                <w:sz w:val="14"/>
              </w:rPr>
              <w:t> </w:t>
            </w:r>
            <w:r>
              <w:rPr>
                <w:sz w:val="14"/>
              </w:rPr>
              <w:t>-</w:t>
            </w:r>
            <w:r>
              <w:rPr>
                <w:spacing w:val="-2"/>
                <w:sz w:val="14"/>
              </w:rPr>
              <w:t> </w:t>
            </w:r>
            <w:r>
              <w:rPr>
                <w:sz w:val="14"/>
              </w:rPr>
              <w:t>6</w:t>
            </w:r>
            <w:r>
              <w:rPr>
                <w:spacing w:val="-2"/>
                <w:sz w:val="14"/>
              </w:rPr>
              <w:t> 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624.00</w:t>
            </w:r>
          </w:p>
        </w:tc>
        <w:tc>
          <w:tcPr>
            <w:tcW w:w="995" w:type="dxa"/>
          </w:tcPr>
          <w:p>
            <w:pPr>
              <w:pStyle w:val="TableParagraph"/>
              <w:spacing w:line="140" w:lineRule="exact" w:before="17"/>
              <w:ind w:right="102"/>
              <w:jc w:val="right"/>
              <w:rPr>
                <w:sz w:val="14"/>
              </w:rPr>
            </w:pPr>
            <w:r>
              <w:rPr>
                <w:spacing w:val="-2"/>
                <w:sz w:val="14"/>
              </w:rPr>
              <w:t>671.00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4"/>
                <w:sz w:val="14"/>
              </w:rPr>
              <w:t> </w:t>
            </w:r>
            <w:r>
              <w:rPr>
                <w:sz w:val="14"/>
              </w:rPr>
              <w:t>Park</w:t>
            </w:r>
            <w:r>
              <w:rPr>
                <w:spacing w:val="-5"/>
                <w:sz w:val="14"/>
              </w:rPr>
              <w:t> </w:t>
            </w:r>
            <w:r>
              <w:rPr>
                <w:sz w:val="14"/>
              </w:rPr>
              <w:t>Reserved</w:t>
            </w:r>
            <w:r>
              <w:rPr>
                <w:spacing w:val="-2"/>
                <w:sz w:val="14"/>
              </w:rPr>
              <w:t> </w:t>
            </w:r>
            <w:r>
              <w:rPr>
                <w:sz w:val="14"/>
              </w:rPr>
              <w:t>Parking</w:t>
            </w:r>
            <w:r>
              <w:rPr>
                <w:spacing w:val="-3"/>
                <w:sz w:val="14"/>
              </w:rPr>
              <w:t> </w:t>
            </w:r>
            <w:r>
              <w:rPr>
                <w:sz w:val="14"/>
              </w:rPr>
              <w:t>Bay</w:t>
            </w:r>
            <w:r>
              <w:rPr>
                <w:spacing w:val="-5"/>
                <w:sz w:val="14"/>
              </w:rPr>
              <w:t> </w:t>
            </w:r>
            <w:r>
              <w:rPr>
                <w:sz w:val="14"/>
              </w:rPr>
              <w:t>Scheme</w:t>
            </w:r>
            <w:r>
              <w:rPr>
                <w:spacing w:val="-3"/>
                <w:sz w:val="14"/>
              </w:rPr>
              <w:t> </w:t>
            </w:r>
            <w:r>
              <w:rPr>
                <w:sz w:val="14"/>
              </w:rPr>
              <w:t>-</w:t>
            </w:r>
            <w:r>
              <w:rPr>
                <w:spacing w:val="-2"/>
                <w:sz w:val="14"/>
              </w:rPr>
              <w:t> </w:t>
            </w:r>
            <w:r>
              <w:rPr>
                <w:sz w:val="14"/>
              </w:rPr>
              <w:t>1</w:t>
            </w:r>
            <w:r>
              <w:rPr>
                <w:spacing w:val="-2"/>
                <w:sz w:val="14"/>
              </w:rPr>
              <w:t> </w:t>
            </w:r>
            <w:r>
              <w:rPr>
                <w:spacing w:val="-4"/>
                <w:sz w:val="14"/>
              </w:rPr>
              <w:t>Month</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130.00</w:t>
            </w:r>
          </w:p>
        </w:tc>
        <w:tc>
          <w:tcPr>
            <w:tcW w:w="995" w:type="dxa"/>
          </w:tcPr>
          <w:p>
            <w:pPr>
              <w:pStyle w:val="TableParagraph"/>
              <w:spacing w:line="142" w:lineRule="exact" w:before="15"/>
              <w:ind w:right="101"/>
              <w:jc w:val="right"/>
              <w:rPr>
                <w:sz w:val="14"/>
              </w:rPr>
            </w:pPr>
            <w:r>
              <w:rPr>
                <w:spacing w:val="-2"/>
                <w:sz w:val="14"/>
              </w:rPr>
              <w:t>140.00</w:t>
            </w:r>
          </w:p>
        </w:tc>
        <w:tc>
          <w:tcPr>
            <w:tcW w:w="861" w:type="dxa"/>
          </w:tcPr>
          <w:p>
            <w:pPr>
              <w:pStyle w:val="TableParagraph"/>
              <w:spacing w:line="142" w:lineRule="exact" w:before="15"/>
              <w:ind w:left="151" w:right="154"/>
              <w:jc w:val="center"/>
              <w:rPr>
                <w:sz w:val="14"/>
              </w:rPr>
            </w:pPr>
            <w:r>
              <w:rPr>
                <w:spacing w:val="-5"/>
                <w:sz w:val="14"/>
              </w:rPr>
              <w:t>7.1</w:t>
            </w:r>
          </w:p>
        </w:tc>
      </w:tr>
      <w:tr>
        <w:trPr>
          <w:trHeight w:val="352" w:hRule="atLeast"/>
        </w:trPr>
        <w:tc>
          <w:tcPr>
            <w:tcW w:w="5794" w:type="dxa"/>
          </w:tcPr>
          <w:p>
            <w:pPr>
              <w:pStyle w:val="TableParagraph"/>
              <w:spacing w:line="160" w:lineRule="atLeast" w:before="11"/>
              <w:ind w:left="107" w:right="174"/>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5"/>
                <w:sz w:val="14"/>
              </w:rPr>
              <w:t> </w:t>
            </w:r>
            <w:r>
              <w:rPr>
                <w:sz w:val="14"/>
              </w:rPr>
              <w:t>Park</w:t>
            </w:r>
            <w:r>
              <w:rPr>
                <w:spacing w:val="-5"/>
                <w:sz w:val="14"/>
              </w:rPr>
              <w:t> </w:t>
            </w:r>
            <w:r>
              <w:rPr>
                <w:sz w:val="14"/>
              </w:rPr>
              <w:t>Reserved</w:t>
            </w:r>
            <w:r>
              <w:rPr>
                <w:spacing w:val="-3"/>
                <w:sz w:val="14"/>
              </w:rPr>
              <w:t> </w:t>
            </w:r>
            <w:r>
              <w:rPr>
                <w:sz w:val="14"/>
              </w:rPr>
              <w:t>Parking</w:t>
            </w:r>
            <w:r>
              <w:rPr>
                <w:spacing w:val="-3"/>
                <w:sz w:val="14"/>
              </w:rPr>
              <w:t> </w:t>
            </w:r>
            <w:r>
              <w:rPr>
                <w:sz w:val="14"/>
              </w:rPr>
              <w:t>Bay</w:t>
            </w:r>
            <w:r>
              <w:rPr>
                <w:spacing w:val="-5"/>
                <w:sz w:val="14"/>
              </w:rPr>
              <w:t> </w:t>
            </w:r>
            <w:r>
              <w:rPr>
                <w:sz w:val="14"/>
              </w:rPr>
              <w:t>Scheme</w:t>
            </w:r>
            <w:r>
              <w:rPr>
                <w:spacing w:val="-4"/>
                <w:sz w:val="14"/>
              </w:rPr>
              <w:t> </w:t>
            </w:r>
            <w:r>
              <w:rPr>
                <w:sz w:val="14"/>
              </w:rPr>
              <w:t>-</w:t>
            </w:r>
            <w:r>
              <w:rPr>
                <w:spacing w:val="-4"/>
                <w:sz w:val="14"/>
              </w:rPr>
              <w:t> </w:t>
            </w:r>
            <w:r>
              <w:rPr>
                <w:sz w:val="14"/>
              </w:rPr>
              <w:t>Access</w:t>
            </w:r>
            <w:r>
              <w:rPr>
                <w:spacing w:val="-1"/>
                <w:sz w:val="14"/>
              </w:rPr>
              <w:t> </w:t>
            </w:r>
            <w:r>
              <w:rPr>
                <w:sz w:val="14"/>
              </w:rPr>
              <w:t>Card</w:t>
            </w:r>
            <w:r>
              <w:rPr>
                <w:spacing w:val="-6"/>
                <w:sz w:val="14"/>
              </w:rPr>
              <w:t> </w:t>
            </w:r>
            <w:r>
              <w:rPr>
                <w:sz w:val="14"/>
              </w:rPr>
              <w:t>&amp;</w:t>
            </w:r>
            <w:r>
              <w:rPr>
                <w:spacing w:val="40"/>
                <w:sz w:val="14"/>
              </w:rPr>
              <w:t> </w:t>
            </w:r>
            <w:r>
              <w:rPr>
                <w:sz w:val="14"/>
              </w:rPr>
              <w:t>Remote</w:t>
            </w:r>
            <w:r>
              <w:rPr>
                <w:spacing w:val="-2"/>
                <w:sz w:val="14"/>
              </w:rPr>
              <w:t> </w:t>
            </w:r>
            <w:r>
              <w:rPr>
                <w:sz w:val="14"/>
              </w:rPr>
              <w:t>(New)</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43.00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46.00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6.5</w:t>
            </w:r>
          </w:p>
        </w:tc>
      </w:tr>
      <w:tr>
        <w:trPr>
          <w:trHeight w:val="354" w:hRule="atLeast"/>
        </w:trPr>
        <w:tc>
          <w:tcPr>
            <w:tcW w:w="5794" w:type="dxa"/>
          </w:tcPr>
          <w:p>
            <w:pPr>
              <w:pStyle w:val="TableParagraph"/>
              <w:spacing w:line="160" w:lineRule="atLeast" w:before="14"/>
              <w:ind w:left="107"/>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5"/>
                <w:sz w:val="14"/>
              </w:rPr>
              <w:t> </w:t>
            </w:r>
            <w:r>
              <w:rPr>
                <w:sz w:val="14"/>
              </w:rPr>
              <w:t>Park</w:t>
            </w:r>
            <w:r>
              <w:rPr>
                <w:spacing w:val="-5"/>
                <w:sz w:val="14"/>
              </w:rPr>
              <w:t> </w:t>
            </w:r>
            <w:r>
              <w:rPr>
                <w:sz w:val="14"/>
              </w:rPr>
              <w:t>Reserved</w:t>
            </w:r>
            <w:r>
              <w:rPr>
                <w:spacing w:val="-3"/>
                <w:sz w:val="14"/>
              </w:rPr>
              <w:t> </w:t>
            </w:r>
            <w:r>
              <w:rPr>
                <w:sz w:val="14"/>
              </w:rPr>
              <w:t>Parking</w:t>
            </w:r>
            <w:r>
              <w:rPr>
                <w:spacing w:val="-3"/>
                <w:sz w:val="14"/>
              </w:rPr>
              <w:t> </w:t>
            </w:r>
            <w:r>
              <w:rPr>
                <w:sz w:val="14"/>
              </w:rPr>
              <w:t>Bay</w:t>
            </w:r>
            <w:r>
              <w:rPr>
                <w:spacing w:val="-5"/>
                <w:sz w:val="14"/>
              </w:rPr>
              <w:t> </w:t>
            </w:r>
            <w:r>
              <w:rPr>
                <w:sz w:val="14"/>
              </w:rPr>
              <w:t>Scheme</w:t>
            </w:r>
            <w:r>
              <w:rPr>
                <w:spacing w:val="-4"/>
                <w:sz w:val="14"/>
              </w:rPr>
              <w:t> </w:t>
            </w:r>
            <w:r>
              <w:rPr>
                <w:sz w:val="14"/>
              </w:rPr>
              <w:t>-</w:t>
            </w:r>
            <w:r>
              <w:rPr>
                <w:spacing w:val="-4"/>
                <w:sz w:val="14"/>
              </w:rPr>
              <w:t> </w:t>
            </w:r>
            <w:r>
              <w:rPr>
                <w:sz w:val="14"/>
              </w:rPr>
              <w:t>Access</w:t>
            </w:r>
            <w:r>
              <w:rPr>
                <w:spacing w:val="-1"/>
                <w:sz w:val="14"/>
              </w:rPr>
              <w:t> </w:t>
            </w:r>
            <w:r>
              <w:rPr>
                <w:sz w:val="14"/>
              </w:rPr>
              <w:t>Card</w:t>
            </w:r>
            <w:r>
              <w:rPr>
                <w:spacing w:val="40"/>
                <w:sz w:val="14"/>
              </w:rPr>
              <w:t> </w:t>
            </w:r>
            <w:r>
              <w:rPr>
                <w:spacing w:val="-2"/>
                <w:sz w:val="14"/>
              </w:rPr>
              <w:t>Replacement</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22.00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24.00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8.3</w:t>
            </w:r>
          </w:p>
        </w:tc>
      </w:tr>
      <w:tr>
        <w:trPr>
          <w:trHeight w:val="354" w:hRule="atLeast"/>
        </w:trPr>
        <w:tc>
          <w:tcPr>
            <w:tcW w:w="5794" w:type="dxa"/>
          </w:tcPr>
          <w:p>
            <w:pPr>
              <w:pStyle w:val="TableParagraph"/>
              <w:spacing w:line="160" w:lineRule="atLeast" w:before="13"/>
              <w:ind w:left="107"/>
              <w:rPr>
                <w:sz w:val="14"/>
              </w:rPr>
            </w:pPr>
            <w:r>
              <w:rPr>
                <w:sz w:val="14"/>
              </w:rPr>
              <w:t>Croydon</w:t>
            </w:r>
            <w:r>
              <w:rPr>
                <w:spacing w:val="-6"/>
                <w:sz w:val="14"/>
              </w:rPr>
              <w:t> </w:t>
            </w:r>
            <w:r>
              <w:rPr>
                <w:sz w:val="14"/>
              </w:rPr>
              <w:t>Activity</w:t>
            </w:r>
            <w:r>
              <w:rPr>
                <w:spacing w:val="-1"/>
                <w:sz w:val="14"/>
              </w:rPr>
              <w:t> </w:t>
            </w:r>
            <w:r>
              <w:rPr>
                <w:sz w:val="14"/>
              </w:rPr>
              <w:t>Centre</w:t>
            </w:r>
            <w:r>
              <w:rPr>
                <w:spacing w:val="-4"/>
                <w:sz w:val="14"/>
              </w:rPr>
              <w:t> </w:t>
            </w:r>
            <w:r>
              <w:rPr>
                <w:sz w:val="14"/>
              </w:rPr>
              <w:t>Car</w:t>
            </w:r>
            <w:r>
              <w:rPr>
                <w:spacing w:val="-5"/>
                <w:sz w:val="14"/>
              </w:rPr>
              <w:t> </w:t>
            </w:r>
            <w:r>
              <w:rPr>
                <w:sz w:val="14"/>
              </w:rPr>
              <w:t>Park</w:t>
            </w:r>
            <w:r>
              <w:rPr>
                <w:spacing w:val="-5"/>
                <w:sz w:val="14"/>
              </w:rPr>
              <w:t> </w:t>
            </w:r>
            <w:r>
              <w:rPr>
                <w:sz w:val="14"/>
              </w:rPr>
              <w:t>Reserved</w:t>
            </w:r>
            <w:r>
              <w:rPr>
                <w:spacing w:val="-3"/>
                <w:sz w:val="14"/>
              </w:rPr>
              <w:t> </w:t>
            </w:r>
            <w:r>
              <w:rPr>
                <w:sz w:val="14"/>
              </w:rPr>
              <w:t>Parking</w:t>
            </w:r>
            <w:r>
              <w:rPr>
                <w:spacing w:val="-3"/>
                <w:sz w:val="14"/>
              </w:rPr>
              <w:t> </w:t>
            </w:r>
            <w:r>
              <w:rPr>
                <w:sz w:val="14"/>
              </w:rPr>
              <w:t>Bay</w:t>
            </w:r>
            <w:r>
              <w:rPr>
                <w:spacing w:val="-5"/>
                <w:sz w:val="14"/>
              </w:rPr>
              <w:t> </w:t>
            </w:r>
            <w:r>
              <w:rPr>
                <w:sz w:val="14"/>
              </w:rPr>
              <w:t>Scheme</w:t>
            </w:r>
            <w:r>
              <w:rPr>
                <w:spacing w:val="-4"/>
                <w:sz w:val="14"/>
              </w:rPr>
              <w:t> </w:t>
            </w:r>
            <w:r>
              <w:rPr>
                <w:sz w:val="14"/>
              </w:rPr>
              <w:t>-</w:t>
            </w:r>
            <w:r>
              <w:rPr>
                <w:spacing w:val="-4"/>
                <w:sz w:val="14"/>
              </w:rPr>
              <w:t> </w:t>
            </w:r>
            <w:r>
              <w:rPr>
                <w:sz w:val="14"/>
              </w:rPr>
              <w:t>Access</w:t>
            </w:r>
            <w:r>
              <w:rPr>
                <w:spacing w:val="-1"/>
                <w:sz w:val="14"/>
              </w:rPr>
              <w:t> </w:t>
            </w:r>
            <w:r>
              <w:rPr>
                <w:sz w:val="14"/>
              </w:rPr>
              <w:t>Remote</w:t>
            </w:r>
            <w:r>
              <w:rPr>
                <w:spacing w:val="40"/>
                <w:sz w:val="14"/>
              </w:rPr>
              <w:t> </w:t>
            </w:r>
            <w:r>
              <w:rPr>
                <w:spacing w:val="-2"/>
                <w:sz w:val="14"/>
              </w:rPr>
              <w:t>Replacement</w:t>
            </w:r>
          </w:p>
        </w:tc>
        <w:tc>
          <w:tcPr>
            <w:tcW w:w="1131" w:type="dxa"/>
          </w:tcPr>
          <w:p>
            <w:pPr>
              <w:pStyle w:val="TableParagraph"/>
              <w:spacing w:before="8"/>
              <w:rPr>
                <w:sz w:val="16"/>
              </w:rPr>
            </w:pPr>
          </w:p>
          <w:p>
            <w:pPr>
              <w:pStyle w:val="TableParagraph"/>
              <w:spacing w:line="142" w:lineRule="exact"/>
              <w:ind w:left="4"/>
              <w:jc w:val="center"/>
              <w:rPr>
                <w:sz w:val="14"/>
              </w:rPr>
            </w:pPr>
            <w:r>
              <w:rPr>
                <w:w w:val="99"/>
                <w:sz w:val="14"/>
              </w:rPr>
              <w:t>N</w:t>
            </w:r>
          </w:p>
        </w:tc>
        <w:tc>
          <w:tcPr>
            <w:tcW w:w="567" w:type="dxa"/>
          </w:tcPr>
          <w:p>
            <w:pPr>
              <w:pStyle w:val="TableParagraph"/>
              <w:spacing w:before="8"/>
              <w:rPr>
                <w:sz w:val="16"/>
              </w:rPr>
            </w:pPr>
          </w:p>
          <w:p>
            <w:pPr>
              <w:pStyle w:val="TableParagraph"/>
              <w:spacing w:line="142"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2" w:lineRule="exact"/>
              <w:ind w:right="100"/>
              <w:jc w:val="right"/>
              <w:rPr>
                <w:sz w:val="14"/>
              </w:rPr>
            </w:pPr>
            <w:r>
              <w:rPr>
                <w:spacing w:val="-2"/>
                <w:sz w:val="14"/>
              </w:rPr>
              <w:t>22.00</w:t>
            </w:r>
          </w:p>
        </w:tc>
        <w:tc>
          <w:tcPr>
            <w:tcW w:w="995" w:type="dxa"/>
          </w:tcPr>
          <w:p>
            <w:pPr>
              <w:pStyle w:val="TableParagraph"/>
              <w:spacing w:before="8"/>
              <w:rPr>
                <w:sz w:val="16"/>
              </w:rPr>
            </w:pPr>
          </w:p>
          <w:p>
            <w:pPr>
              <w:pStyle w:val="TableParagraph"/>
              <w:spacing w:line="142" w:lineRule="exact"/>
              <w:ind w:right="101"/>
              <w:jc w:val="right"/>
              <w:rPr>
                <w:sz w:val="14"/>
              </w:rPr>
            </w:pPr>
            <w:r>
              <w:rPr>
                <w:spacing w:val="-2"/>
                <w:sz w:val="14"/>
              </w:rPr>
              <w:t>24.00</w:t>
            </w:r>
          </w:p>
        </w:tc>
        <w:tc>
          <w:tcPr>
            <w:tcW w:w="861" w:type="dxa"/>
          </w:tcPr>
          <w:p>
            <w:pPr>
              <w:pStyle w:val="TableParagraph"/>
              <w:spacing w:before="8"/>
              <w:rPr>
                <w:sz w:val="16"/>
              </w:rPr>
            </w:pPr>
          </w:p>
          <w:p>
            <w:pPr>
              <w:pStyle w:val="TableParagraph"/>
              <w:spacing w:line="142" w:lineRule="exact"/>
              <w:ind w:left="152" w:right="154"/>
              <w:jc w:val="center"/>
              <w:rPr>
                <w:sz w:val="14"/>
              </w:rPr>
            </w:pPr>
            <w:r>
              <w:rPr>
                <w:spacing w:val="-5"/>
                <w:sz w:val="14"/>
              </w:rPr>
              <w:t>8.3</w:t>
            </w:r>
          </w:p>
        </w:tc>
      </w:tr>
      <w:tr>
        <w:trPr>
          <w:trHeight w:val="174" w:hRule="atLeast"/>
        </w:trPr>
        <w:tc>
          <w:tcPr>
            <w:tcW w:w="5794" w:type="dxa"/>
          </w:tcPr>
          <w:p>
            <w:pPr>
              <w:pStyle w:val="TableParagraph"/>
              <w:spacing w:line="140" w:lineRule="exact" w:before="15"/>
              <w:ind w:left="107"/>
              <w:rPr>
                <w:b/>
                <w:sz w:val="14"/>
              </w:rPr>
            </w:pPr>
            <w:r>
              <w:rPr>
                <w:b/>
                <w:w w:val="95"/>
                <w:sz w:val="14"/>
              </w:rPr>
              <w:t>Community</w:t>
            </w:r>
            <w:r>
              <w:rPr>
                <w:b/>
                <w:spacing w:val="29"/>
                <w:sz w:val="14"/>
              </w:rPr>
              <w:t> </w:t>
            </w:r>
            <w:r>
              <w:rPr>
                <w:b/>
                <w:spacing w:val="-2"/>
                <w:sz w:val="14"/>
              </w:rPr>
              <w:t>Health</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Community</w:t>
            </w:r>
            <w:r>
              <w:rPr>
                <w:spacing w:val="-4"/>
                <w:sz w:val="14"/>
              </w:rPr>
              <w:t> </w:t>
            </w:r>
            <w:r>
              <w:rPr>
                <w:sz w:val="14"/>
              </w:rPr>
              <w:t>Health</w:t>
            </w:r>
            <w:r>
              <w:rPr>
                <w:spacing w:val="-4"/>
                <w:sz w:val="14"/>
              </w:rPr>
              <w:t> </w:t>
            </w:r>
            <w:r>
              <w:rPr>
                <w:sz w:val="14"/>
              </w:rPr>
              <w:t>Education</w:t>
            </w:r>
            <w:r>
              <w:rPr>
                <w:spacing w:val="-5"/>
                <w:sz w:val="14"/>
              </w:rPr>
              <w:t> </w:t>
            </w:r>
            <w:r>
              <w:rPr>
                <w:sz w:val="14"/>
              </w:rPr>
              <w:t>Seminar</w:t>
            </w:r>
            <w:r>
              <w:rPr>
                <w:spacing w:val="-2"/>
                <w:sz w:val="14"/>
              </w:rPr>
              <w:t> </w:t>
            </w:r>
            <w:r>
              <w:rPr>
                <w:sz w:val="14"/>
              </w:rPr>
              <w:t>(2</w:t>
            </w:r>
            <w:r>
              <w:rPr>
                <w:spacing w:val="-5"/>
                <w:sz w:val="14"/>
              </w:rPr>
              <w:t> </w:t>
            </w:r>
            <w:r>
              <w:rPr>
                <w:sz w:val="14"/>
              </w:rPr>
              <w:t>Hours)</w:t>
            </w:r>
            <w:r>
              <w:rPr>
                <w:spacing w:val="-2"/>
                <w:sz w:val="14"/>
              </w:rPr>
              <w:t> </w:t>
            </w:r>
            <w:r>
              <w:rPr>
                <w:sz w:val="14"/>
              </w:rPr>
              <w:t>/</w:t>
            </w:r>
            <w:r>
              <w:rPr>
                <w:spacing w:val="-4"/>
                <w:sz w:val="14"/>
              </w:rPr>
              <w:t> </w:t>
            </w:r>
            <w:r>
              <w:rPr>
                <w:sz w:val="14"/>
              </w:rPr>
              <w:t>Min</w:t>
            </w:r>
            <w:r>
              <w:rPr>
                <w:spacing w:val="-5"/>
                <w:sz w:val="14"/>
              </w:rPr>
              <w:t> </w:t>
            </w:r>
            <w:r>
              <w:rPr>
                <w:sz w:val="14"/>
              </w:rPr>
              <w:t>grp</w:t>
            </w:r>
            <w:r>
              <w:rPr>
                <w:spacing w:val="-2"/>
                <w:sz w:val="14"/>
              </w:rPr>
              <w:t> </w:t>
            </w:r>
            <w:r>
              <w:rPr>
                <w:sz w:val="14"/>
              </w:rPr>
              <w:t>10</w:t>
            </w:r>
            <w:r>
              <w:rPr>
                <w:spacing w:val="-3"/>
                <w:sz w:val="14"/>
              </w:rPr>
              <w:t> </w:t>
            </w:r>
            <w:r>
              <w:rPr>
                <w:spacing w:val="-2"/>
                <w:sz w:val="14"/>
              </w:rPr>
              <w:t>people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304.00</w:t>
            </w:r>
          </w:p>
        </w:tc>
        <w:tc>
          <w:tcPr>
            <w:tcW w:w="995" w:type="dxa"/>
          </w:tcPr>
          <w:p>
            <w:pPr>
              <w:pStyle w:val="TableParagraph"/>
              <w:spacing w:line="140" w:lineRule="exact" w:before="17"/>
              <w:ind w:right="102"/>
              <w:jc w:val="right"/>
              <w:rPr>
                <w:sz w:val="14"/>
              </w:rPr>
            </w:pPr>
            <w:r>
              <w:rPr>
                <w:spacing w:val="-2"/>
                <w:sz w:val="14"/>
              </w:rPr>
              <w:t>327.00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Community</w:t>
            </w:r>
            <w:r>
              <w:rPr>
                <w:spacing w:val="-5"/>
                <w:sz w:val="14"/>
              </w:rPr>
              <w:t> </w:t>
            </w:r>
            <w:r>
              <w:rPr>
                <w:sz w:val="14"/>
              </w:rPr>
              <w:t>Health</w:t>
            </w:r>
            <w:r>
              <w:rPr>
                <w:spacing w:val="-5"/>
                <w:sz w:val="14"/>
              </w:rPr>
              <w:t> </w:t>
            </w:r>
            <w:r>
              <w:rPr>
                <w:sz w:val="14"/>
              </w:rPr>
              <w:t>Education</w:t>
            </w:r>
            <w:r>
              <w:rPr>
                <w:spacing w:val="-6"/>
                <w:sz w:val="14"/>
              </w:rPr>
              <w:t> </w:t>
            </w:r>
            <w:r>
              <w:rPr>
                <w:sz w:val="14"/>
              </w:rPr>
              <w:t>Seminar</w:t>
            </w:r>
            <w:r>
              <w:rPr>
                <w:spacing w:val="-2"/>
                <w:sz w:val="14"/>
              </w:rPr>
              <w:t> </w:t>
            </w:r>
            <w:r>
              <w:rPr>
                <w:sz w:val="14"/>
              </w:rPr>
              <w:t>(per</w:t>
            </w:r>
            <w:r>
              <w:rPr>
                <w:spacing w:val="-7"/>
                <w:sz w:val="14"/>
              </w:rPr>
              <w:t> </w:t>
            </w:r>
            <w:r>
              <w:rPr>
                <w:sz w:val="14"/>
              </w:rPr>
              <w:t>person</w:t>
            </w:r>
            <w:r>
              <w:rPr>
                <w:spacing w:val="-3"/>
                <w:sz w:val="14"/>
              </w:rPr>
              <w:t> </w:t>
            </w:r>
            <w:r>
              <w:rPr>
                <w:sz w:val="14"/>
              </w:rPr>
              <w:t>over</w:t>
            </w:r>
            <w:r>
              <w:rPr>
                <w:spacing w:val="-6"/>
                <w:sz w:val="14"/>
              </w:rPr>
              <w:t> </w:t>
            </w:r>
            <w:r>
              <w:rPr>
                <w:spacing w:val="-2"/>
                <w:sz w:val="14"/>
              </w:rPr>
              <w:t>minimum)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30.00</w:t>
            </w:r>
          </w:p>
        </w:tc>
        <w:tc>
          <w:tcPr>
            <w:tcW w:w="995" w:type="dxa"/>
          </w:tcPr>
          <w:p>
            <w:pPr>
              <w:pStyle w:val="TableParagraph"/>
              <w:spacing w:line="140" w:lineRule="exact" w:before="17"/>
              <w:ind w:right="101"/>
              <w:jc w:val="right"/>
              <w:rPr>
                <w:sz w:val="14"/>
              </w:rPr>
            </w:pPr>
            <w:r>
              <w:rPr>
                <w:spacing w:val="-2"/>
                <w:sz w:val="14"/>
              </w:rPr>
              <w:t>32.00</w:t>
            </w:r>
          </w:p>
        </w:tc>
        <w:tc>
          <w:tcPr>
            <w:tcW w:w="861" w:type="dxa"/>
          </w:tcPr>
          <w:p>
            <w:pPr>
              <w:pStyle w:val="TableParagraph"/>
              <w:spacing w:line="140" w:lineRule="exact" w:before="17"/>
              <w:ind w:left="152" w:right="154"/>
              <w:jc w:val="center"/>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Prescribed</w:t>
            </w:r>
            <w:r>
              <w:rPr>
                <w:spacing w:val="-8"/>
                <w:sz w:val="14"/>
              </w:rPr>
              <w:t> </w:t>
            </w:r>
            <w:r>
              <w:rPr>
                <w:sz w:val="14"/>
              </w:rPr>
              <w:t>Accommodation</w:t>
            </w:r>
            <w:r>
              <w:rPr>
                <w:spacing w:val="-4"/>
                <w:sz w:val="14"/>
              </w:rPr>
              <w:t> </w:t>
            </w:r>
            <w:r>
              <w:rPr>
                <w:sz w:val="14"/>
              </w:rPr>
              <w:t>Registration/Renewal</w:t>
            </w:r>
            <w:r>
              <w:rPr>
                <w:spacing w:val="-6"/>
                <w:sz w:val="14"/>
              </w:rPr>
              <w:t> </w:t>
            </w:r>
            <w:r>
              <w:rPr>
                <w:sz w:val="14"/>
              </w:rPr>
              <w:t>4</w:t>
            </w:r>
            <w:r>
              <w:rPr>
                <w:spacing w:val="-4"/>
                <w:sz w:val="14"/>
              </w:rPr>
              <w:t> </w:t>
            </w:r>
            <w:r>
              <w:rPr>
                <w:sz w:val="14"/>
              </w:rPr>
              <w:t>-</w:t>
            </w:r>
            <w:r>
              <w:rPr>
                <w:spacing w:val="-4"/>
                <w:sz w:val="14"/>
              </w:rPr>
              <w:t> </w:t>
            </w:r>
            <w:r>
              <w:rPr>
                <w:sz w:val="14"/>
              </w:rPr>
              <w:t>20</w:t>
            </w:r>
            <w:r>
              <w:rPr>
                <w:spacing w:val="-6"/>
                <w:sz w:val="14"/>
              </w:rPr>
              <w:t> </w:t>
            </w:r>
            <w:r>
              <w:rPr>
                <w:spacing w:val="-4"/>
                <w:sz w:val="14"/>
              </w:rPr>
              <w:t>Beds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343.00</w:t>
            </w:r>
          </w:p>
        </w:tc>
        <w:tc>
          <w:tcPr>
            <w:tcW w:w="995" w:type="dxa"/>
          </w:tcPr>
          <w:p>
            <w:pPr>
              <w:pStyle w:val="TableParagraph"/>
              <w:spacing w:line="140" w:lineRule="exact" w:before="17"/>
              <w:ind w:right="102"/>
              <w:jc w:val="right"/>
              <w:rPr>
                <w:sz w:val="14"/>
              </w:rPr>
            </w:pPr>
            <w:r>
              <w:rPr>
                <w:spacing w:val="-2"/>
                <w:sz w:val="14"/>
              </w:rPr>
              <w:t>369.00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Prescribed</w:t>
            </w:r>
            <w:r>
              <w:rPr>
                <w:spacing w:val="-8"/>
                <w:sz w:val="14"/>
              </w:rPr>
              <w:t> </w:t>
            </w:r>
            <w:r>
              <w:rPr>
                <w:sz w:val="14"/>
              </w:rPr>
              <w:t>Accommodation</w:t>
            </w:r>
            <w:r>
              <w:rPr>
                <w:spacing w:val="-4"/>
                <w:sz w:val="14"/>
              </w:rPr>
              <w:t> </w:t>
            </w:r>
            <w:r>
              <w:rPr>
                <w:sz w:val="14"/>
              </w:rPr>
              <w:t>Registration/Renewal</w:t>
            </w:r>
            <w:r>
              <w:rPr>
                <w:spacing w:val="-6"/>
                <w:sz w:val="14"/>
              </w:rPr>
              <w:t> </w:t>
            </w:r>
            <w:r>
              <w:rPr>
                <w:sz w:val="14"/>
              </w:rPr>
              <w:t>21</w:t>
            </w:r>
            <w:r>
              <w:rPr>
                <w:spacing w:val="-6"/>
                <w:sz w:val="14"/>
              </w:rPr>
              <w:t> </w:t>
            </w:r>
            <w:r>
              <w:rPr>
                <w:sz w:val="14"/>
              </w:rPr>
              <w:t>-</w:t>
            </w:r>
            <w:r>
              <w:rPr>
                <w:spacing w:val="-4"/>
                <w:sz w:val="14"/>
              </w:rPr>
              <w:t> </w:t>
            </w:r>
            <w:r>
              <w:rPr>
                <w:sz w:val="14"/>
              </w:rPr>
              <w:t>40</w:t>
            </w:r>
            <w:r>
              <w:rPr>
                <w:spacing w:val="-4"/>
                <w:sz w:val="14"/>
              </w:rPr>
              <w:t> Beds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505.00</w:t>
            </w:r>
          </w:p>
        </w:tc>
        <w:tc>
          <w:tcPr>
            <w:tcW w:w="995" w:type="dxa"/>
          </w:tcPr>
          <w:p>
            <w:pPr>
              <w:pStyle w:val="TableParagraph"/>
              <w:spacing w:line="140" w:lineRule="exact" w:before="17"/>
              <w:ind w:right="102"/>
              <w:jc w:val="right"/>
              <w:rPr>
                <w:sz w:val="14"/>
              </w:rPr>
            </w:pPr>
            <w:r>
              <w:rPr>
                <w:spacing w:val="-2"/>
                <w:sz w:val="14"/>
              </w:rPr>
              <w:t>543.00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Prescribed</w:t>
            </w:r>
            <w:r>
              <w:rPr>
                <w:spacing w:val="-9"/>
                <w:sz w:val="14"/>
              </w:rPr>
              <w:t> </w:t>
            </w:r>
            <w:r>
              <w:rPr>
                <w:sz w:val="14"/>
              </w:rPr>
              <w:t>Accommodation</w:t>
            </w:r>
            <w:r>
              <w:rPr>
                <w:spacing w:val="-5"/>
                <w:sz w:val="14"/>
              </w:rPr>
              <w:t> </w:t>
            </w:r>
            <w:r>
              <w:rPr>
                <w:sz w:val="14"/>
              </w:rPr>
              <w:t>Registration/Renewal</w:t>
            </w:r>
            <w:r>
              <w:rPr>
                <w:spacing w:val="-6"/>
                <w:sz w:val="14"/>
              </w:rPr>
              <w:t> </w:t>
            </w:r>
            <w:r>
              <w:rPr>
                <w:sz w:val="14"/>
              </w:rPr>
              <w:t>(more</w:t>
            </w:r>
            <w:r>
              <w:rPr>
                <w:spacing w:val="-6"/>
                <w:sz w:val="14"/>
              </w:rPr>
              <w:t> </w:t>
            </w:r>
            <w:r>
              <w:rPr>
                <w:sz w:val="14"/>
              </w:rPr>
              <w:t>than</w:t>
            </w:r>
            <w:r>
              <w:rPr>
                <w:spacing w:val="-5"/>
                <w:sz w:val="14"/>
              </w:rPr>
              <w:t> </w:t>
            </w:r>
            <w:r>
              <w:rPr>
                <w:sz w:val="14"/>
              </w:rPr>
              <w:t>41</w:t>
            </w:r>
            <w:r>
              <w:rPr>
                <w:spacing w:val="-5"/>
                <w:sz w:val="14"/>
              </w:rPr>
              <w:t> </w:t>
            </w:r>
            <w:r>
              <w:rPr>
                <w:spacing w:val="-2"/>
                <w:sz w:val="14"/>
              </w:rPr>
              <w:t>bedrooms)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690.00</w:t>
            </w:r>
          </w:p>
        </w:tc>
        <w:tc>
          <w:tcPr>
            <w:tcW w:w="995" w:type="dxa"/>
          </w:tcPr>
          <w:p>
            <w:pPr>
              <w:pStyle w:val="TableParagraph"/>
              <w:spacing w:line="140" w:lineRule="exact" w:before="17"/>
              <w:ind w:right="102"/>
              <w:jc w:val="right"/>
              <w:rPr>
                <w:sz w:val="14"/>
              </w:rPr>
            </w:pPr>
            <w:r>
              <w:rPr>
                <w:spacing w:val="-2"/>
                <w:sz w:val="14"/>
              </w:rPr>
              <w:t>742.00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Prescribed</w:t>
            </w:r>
            <w:r>
              <w:rPr>
                <w:spacing w:val="-7"/>
                <w:sz w:val="14"/>
              </w:rPr>
              <w:t> </w:t>
            </w:r>
            <w:r>
              <w:rPr>
                <w:sz w:val="14"/>
              </w:rPr>
              <w:t>Accommodation</w:t>
            </w:r>
            <w:r>
              <w:rPr>
                <w:spacing w:val="-4"/>
                <w:sz w:val="14"/>
              </w:rPr>
              <w:t> </w:t>
            </w:r>
            <w:r>
              <w:rPr>
                <w:sz w:val="14"/>
              </w:rPr>
              <w:t>-</w:t>
            </w:r>
            <w:r>
              <w:rPr>
                <w:spacing w:val="-6"/>
                <w:sz w:val="14"/>
              </w:rPr>
              <w:t> </w:t>
            </w:r>
            <w:r>
              <w:rPr>
                <w:sz w:val="14"/>
              </w:rPr>
              <w:t>Rooming</w:t>
            </w:r>
            <w:r>
              <w:rPr>
                <w:spacing w:val="-2"/>
                <w:sz w:val="14"/>
              </w:rPr>
              <w:t> House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375.00</w:t>
            </w:r>
          </w:p>
        </w:tc>
        <w:tc>
          <w:tcPr>
            <w:tcW w:w="995" w:type="dxa"/>
          </w:tcPr>
          <w:p>
            <w:pPr>
              <w:pStyle w:val="TableParagraph"/>
              <w:spacing w:line="140" w:lineRule="exact" w:before="17"/>
              <w:ind w:right="102"/>
              <w:jc w:val="right"/>
              <w:rPr>
                <w:sz w:val="14"/>
              </w:rPr>
            </w:pPr>
            <w:r>
              <w:rPr>
                <w:spacing w:val="-2"/>
                <w:sz w:val="14"/>
              </w:rPr>
              <w:t>403.00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7"/>
                <w:sz w:val="14"/>
              </w:rPr>
              <w:t> </w:t>
            </w:r>
            <w:r>
              <w:rPr>
                <w:sz w:val="14"/>
              </w:rPr>
              <w:t>Events/Fetes</w:t>
            </w:r>
            <w:r>
              <w:rPr>
                <w:spacing w:val="-7"/>
                <w:sz w:val="14"/>
              </w:rPr>
              <w:t> </w:t>
            </w:r>
            <w:r>
              <w:rPr>
                <w:sz w:val="14"/>
              </w:rPr>
              <w:t>once-off/Short</w:t>
            </w:r>
            <w:r>
              <w:rPr>
                <w:spacing w:val="-4"/>
                <w:sz w:val="14"/>
              </w:rPr>
              <w:t> </w:t>
            </w:r>
            <w:r>
              <w:rPr>
                <w:sz w:val="14"/>
              </w:rPr>
              <w:t>term</w:t>
            </w:r>
            <w:r>
              <w:rPr>
                <w:spacing w:val="-6"/>
                <w:sz w:val="14"/>
              </w:rPr>
              <w:t> </w:t>
            </w:r>
            <w:r>
              <w:rPr>
                <w:sz w:val="14"/>
              </w:rPr>
              <w:t>registration</w:t>
            </w:r>
            <w:r>
              <w:rPr>
                <w:spacing w:val="-8"/>
                <w:sz w:val="14"/>
              </w:rPr>
              <w:t> </w:t>
            </w:r>
            <w:r>
              <w:rPr>
                <w:sz w:val="14"/>
              </w:rPr>
              <w:t>(CLASS</w:t>
            </w:r>
            <w:r>
              <w:rPr>
                <w:spacing w:val="-6"/>
                <w:sz w:val="14"/>
              </w:rPr>
              <w:t> </w:t>
            </w:r>
            <w:r>
              <w:rPr>
                <w:spacing w:val="-5"/>
                <w:sz w:val="14"/>
              </w:rPr>
              <w:t>2)</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210.00</w:t>
            </w:r>
          </w:p>
        </w:tc>
        <w:tc>
          <w:tcPr>
            <w:tcW w:w="995" w:type="dxa"/>
          </w:tcPr>
          <w:p>
            <w:pPr>
              <w:pStyle w:val="TableParagraph"/>
              <w:spacing w:line="140" w:lineRule="exact" w:before="17"/>
              <w:ind w:right="102"/>
              <w:jc w:val="right"/>
              <w:rPr>
                <w:sz w:val="14"/>
              </w:rPr>
            </w:pPr>
            <w:r>
              <w:rPr>
                <w:spacing w:val="-2"/>
                <w:sz w:val="14"/>
              </w:rPr>
              <w:t>226.00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Registration</w:t>
            </w:r>
            <w:r>
              <w:rPr>
                <w:spacing w:val="-3"/>
                <w:sz w:val="14"/>
              </w:rPr>
              <w:t> </w:t>
            </w:r>
            <w:r>
              <w:rPr>
                <w:sz w:val="14"/>
              </w:rPr>
              <w:t>Fees</w:t>
            </w:r>
            <w:r>
              <w:rPr>
                <w:spacing w:val="-5"/>
                <w:sz w:val="14"/>
              </w:rPr>
              <w:t> </w:t>
            </w:r>
            <w:r>
              <w:rPr>
                <w:sz w:val="14"/>
              </w:rPr>
              <w:t>Class</w:t>
            </w:r>
            <w:r>
              <w:rPr>
                <w:spacing w:val="-5"/>
                <w:sz w:val="14"/>
              </w:rPr>
              <w:t> </w:t>
            </w:r>
            <w:r>
              <w:rPr>
                <w:sz w:val="14"/>
              </w:rPr>
              <w:t>1</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685.00</w:t>
            </w:r>
          </w:p>
        </w:tc>
        <w:tc>
          <w:tcPr>
            <w:tcW w:w="995" w:type="dxa"/>
          </w:tcPr>
          <w:p>
            <w:pPr>
              <w:pStyle w:val="TableParagraph"/>
              <w:spacing w:line="140" w:lineRule="exact" w:before="17"/>
              <w:ind w:right="102"/>
              <w:jc w:val="right"/>
              <w:rPr>
                <w:sz w:val="14"/>
              </w:rPr>
            </w:pPr>
            <w:r>
              <w:rPr>
                <w:spacing w:val="-2"/>
                <w:sz w:val="14"/>
              </w:rPr>
              <w:t>736.00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Registration</w:t>
            </w:r>
            <w:r>
              <w:rPr>
                <w:spacing w:val="-3"/>
                <w:sz w:val="14"/>
              </w:rPr>
              <w:t> </w:t>
            </w:r>
            <w:r>
              <w:rPr>
                <w:sz w:val="14"/>
              </w:rPr>
              <w:t>Fees</w:t>
            </w:r>
            <w:r>
              <w:rPr>
                <w:spacing w:val="-5"/>
                <w:sz w:val="14"/>
              </w:rPr>
              <w:t> </w:t>
            </w:r>
            <w:r>
              <w:rPr>
                <w:sz w:val="14"/>
              </w:rPr>
              <w:t>Class</w:t>
            </w:r>
            <w:r>
              <w:rPr>
                <w:spacing w:val="-5"/>
                <w:sz w:val="14"/>
              </w:rPr>
              <w:t> </w:t>
            </w:r>
            <w:r>
              <w:rPr>
                <w:sz w:val="14"/>
              </w:rPr>
              <w:t>2</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565.00</w:t>
            </w:r>
          </w:p>
        </w:tc>
        <w:tc>
          <w:tcPr>
            <w:tcW w:w="995" w:type="dxa"/>
          </w:tcPr>
          <w:p>
            <w:pPr>
              <w:pStyle w:val="TableParagraph"/>
              <w:spacing w:line="140" w:lineRule="exact" w:before="17"/>
              <w:ind w:right="102"/>
              <w:jc w:val="right"/>
              <w:rPr>
                <w:sz w:val="14"/>
              </w:rPr>
            </w:pPr>
            <w:r>
              <w:rPr>
                <w:spacing w:val="-2"/>
                <w:sz w:val="14"/>
              </w:rPr>
              <w:t>607.00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Registration</w:t>
            </w:r>
            <w:r>
              <w:rPr>
                <w:spacing w:val="-4"/>
                <w:sz w:val="14"/>
              </w:rPr>
              <w:t> </w:t>
            </w:r>
            <w:r>
              <w:rPr>
                <w:sz w:val="14"/>
              </w:rPr>
              <w:t>Fees</w:t>
            </w:r>
            <w:r>
              <w:rPr>
                <w:spacing w:val="-4"/>
                <w:sz w:val="14"/>
              </w:rPr>
              <w:t> </w:t>
            </w:r>
            <w:r>
              <w:rPr>
                <w:sz w:val="14"/>
              </w:rPr>
              <w:t>Class</w:t>
            </w:r>
            <w:r>
              <w:rPr>
                <w:spacing w:val="-5"/>
                <w:sz w:val="14"/>
              </w:rPr>
              <w:t> </w:t>
            </w:r>
            <w:r>
              <w:rPr>
                <w:sz w:val="14"/>
              </w:rPr>
              <w:t>3</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425.00</w:t>
            </w:r>
          </w:p>
        </w:tc>
        <w:tc>
          <w:tcPr>
            <w:tcW w:w="995" w:type="dxa"/>
          </w:tcPr>
          <w:p>
            <w:pPr>
              <w:pStyle w:val="TableParagraph"/>
              <w:spacing w:line="140" w:lineRule="exact" w:before="17"/>
              <w:ind w:right="102"/>
              <w:jc w:val="right"/>
              <w:rPr>
                <w:sz w:val="14"/>
              </w:rPr>
            </w:pPr>
            <w:r>
              <w:rPr>
                <w:spacing w:val="-2"/>
                <w:sz w:val="14"/>
              </w:rPr>
              <w:t>457.00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Fees</w:t>
            </w:r>
            <w:r>
              <w:rPr>
                <w:spacing w:val="-2"/>
                <w:sz w:val="14"/>
              </w:rPr>
              <w:t> </w:t>
            </w:r>
            <w:r>
              <w:rPr>
                <w:sz w:val="14"/>
              </w:rPr>
              <w:t>Class</w:t>
            </w:r>
            <w:r>
              <w:rPr>
                <w:spacing w:val="-3"/>
                <w:sz w:val="14"/>
              </w:rPr>
              <w:t> </w:t>
            </w:r>
            <w:r>
              <w:rPr>
                <w:sz w:val="14"/>
              </w:rPr>
              <w:t>1</w:t>
            </w:r>
            <w:r>
              <w:rPr>
                <w:spacing w:val="-2"/>
                <w:sz w:val="14"/>
              </w:rPr>
              <w:t> Premises</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92"/>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685.00</w:t>
            </w:r>
          </w:p>
        </w:tc>
        <w:tc>
          <w:tcPr>
            <w:tcW w:w="995" w:type="dxa"/>
          </w:tcPr>
          <w:p>
            <w:pPr>
              <w:pStyle w:val="TableParagraph"/>
              <w:spacing w:line="142" w:lineRule="exact" w:before="15"/>
              <w:ind w:right="102"/>
              <w:jc w:val="right"/>
              <w:rPr>
                <w:sz w:val="14"/>
              </w:rPr>
            </w:pPr>
            <w:r>
              <w:rPr>
                <w:spacing w:val="-2"/>
                <w:sz w:val="14"/>
              </w:rPr>
              <w:t>736.00</w:t>
            </w:r>
          </w:p>
        </w:tc>
        <w:tc>
          <w:tcPr>
            <w:tcW w:w="861" w:type="dxa"/>
          </w:tcPr>
          <w:p>
            <w:pPr>
              <w:pStyle w:val="TableParagraph"/>
              <w:spacing w:line="142" w:lineRule="exact" w:before="15"/>
              <w:ind w:left="152" w:right="154"/>
              <w:jc w:val="center"/>
              <w:rPr>
                <w:sz w:val="14"/>
              </w:rPr>
            </w:pPr>
            <w:r>
              <w:rPr>
                <w:spacing w:val="-5"/>
                <w:sz w:val="14"/>
              </w:rPr>
              <w:t>6.9</w:t>
            </w:r>
          </w:p>
        </w:tc>
      </w:tr>
      <w:tr>
        <w:trPr>
          <w:trHeight w:val="174" w:hRule="atLeast"/>
        </w:trPr>
        <w:tc>
          <w:tcPr>
            <w:tcW w:w="5794" w:type="dxa"/>
          </w:tcPr>
          <w:p>
            <w:pPr>
              <w:pStyle w:val="TableParagraph"/>
              <w:spacing w:line="140" w:lineRule="exact" w:before="15"/>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Fees</w:t>
            </w:r>
            <w:r>
              <w:rPr>
                <w:spacing w:val="-2"/>
                <w:sz w:val="14"/>
              </w:rPr>
              <w:t> </w:t>
            </w:r>
            <w:r>
              <w:rPr>
                <w:sz w:val="14"/>
              </w:rPr>
              <w:t>Class</w:t>
            </w:r>
            <w:r>
              <w:rPr>
                <w:spacing w:val="-3"/>
                <w:sz w:val="14"/>
              </w:rPr>
              <w:t> </w:t>
            </w:r>
            <w:r>
              <w:rPr>
                <w:sz w:val="14"/>
              </w:rPr>
              <w:t>2</w:t>
            </w:r>
            <w:r>
              <w:rPr>
                <w:spacing w:val="-2"/>
                <w:sz w:val="14"/>
              </w:rPr>
              <w:t> Premises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3"/>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565.00</w:t>
            </w:r>
          </w:p>
        </w:tc>
        <w:tc>
          <w:tcPr>
            <w:tcW w:w="995" w:type="dxa"/>
          </w:tcPr>
          <w:p>
            <w:pPr>
              <w:pStyle w:val="TableParagraph"/>
              <w:spacing w:line="140" w:lineRule="exact" w:before="15"/>
              <w:ind w:right="102"/>
              <w:jc w:val="right"/>
              <w:rPr>
                <w:sz w:val="14"/>
              </w:rPr>
            </w:pPr>
            <w:r>
              <w:rPr>
                <w:spacing w:val="-2"/>
                <w:sz w:val="14"/>
              </w:rPr>
              <w:t>607.00</w:t>
            </w:r>
          </w:p>
        </w:tc>
        <w:tc>
          <w:tcPr>
            <w:tcW w:w="861" w:type="dxa"/>
          </w:tcPr>
          <w:p>
            <w:pPr>
              <w:pStyle w:val="TableParagraph"/>
              <w:spacing w:line="140" w:lineRule="exact" w:before="15"/>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Fees</w:t>
            </w:r>
            <w:r>
              <w:rPr>
                <w:spacing w:val="-2"/>
                <w:sz w:val="14"/>
              </w:rPr>
              <w:t> </w:t>
            </w:r>
            <w:r>
              <w:rPr>
                <w:sz w:val="14"/>
              </w:rPr>
              <w:t>Class</w:t>
            </w:r>
            <w:r>
              <w:rPr>
                <w:spacing w:val="-3"/>
                <w:sz w:val="14"/>
              </w:rPr>
              <w:t> </w:t>
            </w:r>
            <w:r>
              <w:rPr>
                <w:sz w:val="14"/>
              </w:rPr>
              <w:t>3</w:t>
            </w:r>
            <w:r>
              <w:rPr>
                <w:spacing w:val="-2"/>
                <w:sz w:val="14"/>
              </w:rPr>
              <w:t> 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425.00</w:t>
            </w:r>
          </w:p>
        </w:tc>
        <w:tc>
          <w:tcPr>
            <w:tcW w:w="995" w:type="dxa"/>
          </w:tcPr>
          <w:p>
            <w:pPr>
              <w:pStyle w:val="TableParagraph"/>
              <w:spacing w:line="140" w:lineRule="exact" w:before="17"/>
              <w:ind w:right="102"/>
              <w:jc w:val="right"/>
              <w:rPr>
                <w:sz w:val="14"/>
              </w:rPr>
            </w:pPr>
            <w:r>
              <w:rPr>
                <w:spacing w:val="-2"/>
                <w:sz w:val="14"/>
              </w:rPr>
              <w:t>457.00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3"/>
                <w:sz w:val="14"/>
              </w:rPr>
              <w:t> </w:t>
            </w:r>
            <w:r>
              <w:rPr>
                <w:sz w:val="14"/>
              </w:rPr>
              <w:t>Registration</w:t>
            </w:r>
            <w:r>
              <w:rPr>
                <w:spacing w:val="-3"/>
                <w:sz w:val="14"/>
              </w:rPr>
              <w:t> </w:t>
            </w:r>
            <w:r>
              <w:rPr>
                <w:sz w:val="14"/>
              </w:rPr>
              <w:t>Fees</w:t>
            </w:r>
            <w:r>
              <w:rPr>
                <w:spacing w:val="-5"/>
                <w:sz w:val="14"/>
              </w:rPr>
              <w:t> </w:t>
            </w:r>
            <w:r>
              <w:rPr>
                <w:sz w:val="14"/>
              </w:rPr>
              <w:t>Class</w:t>
            </w:r>
            <w:r>
              <w:rPr>
                <w:spacing w:val="-6"/>
                <w:sz w:val="14"/>
              </w:rPr>
              <w:t> </w:t>
            </w:r>
            <w:r>
              <w:rPr>
                <w:sz w:val="14"/>
              </w:rPr>
              <w:t>2</w:t>
            </w:r>
            <w:r>
              <w:rPr>
                <w:spacing w:val="-5"/>
                <w:sz w:val="14"/>
              </w:rPr>
              <w:t> </w:t>
            </w:r>
            <w:r>
              <w:rPr>
                <w:sz w:val="14"/>
              </w:rPr>
              <w:t>Additional</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288.00</w:t>
            </w:r>
          </w:p>
        </w:tc>
        <w:tc>
          <w:tcPr>
            <w:tcW w:w="995" w:type="dxa"/>
          </w:tcPr>
          <w:p>
            <w:pPr>
              <w:pStyle w:val="TableParagraph"/>
              <w:spacing w:line="140" w:lineRule="exact" w:before="17"/>
              <w:ind w:right="102"/>
              <w:jc w:val="right"/>
              <w:rPr>
                <w:sz w:val="14"/>
              </w:rPr>
            </w:pPr>
            <w:r>
              <w:rPr>
                <w:spacing w:val="-2"/>
                <w:sz w:val="14"/>
              </w:rPr>
              <w:t>310.00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3"/>
                <w:sz w:val="14"/>
              </w:rPr>
              <w:t> </w:t>
            </w:r>
            <w:r>
              <w:rPr>
                <w:sz w:val="14"/>
              </w:rPr>
              <w:t>Registration</w:t>
            </w:r>
            <w:r>
              <w:rPr>
                <w:spacing w:val="-3"/>
                <w:sz w:val="14"/>
              </w:rPr>
              <w:t> </w:t>
            </w:r>
            <w:r>
              <w:rPr>
                <w:sz w:val="14"/>
              </w:rPr>
              <w:t>Fees</w:t>
            </w:r>
            <w:r>
              <w:rPr>
                <w:spacing w:val="-5"/>
                <w:sz w:val="14"/>
              </w:rPr>
              <w:t> </w:t>
            </w:r>
            <w:r>
              <w:rPr>
                <w:sz w:val="14"/>
              </w:rPr>
              <w:t>Class</w:t>
            </w:r>
            <w:r>
              <w:rPr>
                <w:spacing w:val="-6"/>
                <w:sz w:val="14"/>
              </w:rPr>
              <w:t> </w:t>
            </w:r>
            <w:r>
              <w:rPr>
                <w:sz w:val="14"/>
              </w:rPr>
              <w:t>3</w:t>
            </w:r>
            <w:r>
              <w:rPr>
                <w:spacing w:val="-5"/>
                <w:sz w:val="14"/>
              </w:rPr>
              <w:t> </w:t>
            </w:r>
            <w:r>
              <w:rPr>
                <w:sz w:val="14"/>
              </w:rPr>
              <w:t>Additional</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215.00</w:t>
            </w:r>
          </w:p>
        </w:tc>
        <w:tc>
          <w:tcPr>
            <w:tcW w:w="995" w:type="dxa"/>
          </w:tcPr>
          <w:p>
            <w:pPr>
              <w:pStyle w:val="TableParagraph"/>
              <w:spacing w:line="140" w:lineRule="exact" w:before="17"/>
              <w:ind w:right="102"/>
              <w:jc w:val="right"/>
              <w:rPr>
                <w:sz w:val="14"/>
              </w:rPr>
            </w:pPr>
            <w:r>
              <w:rPr>
                <w:spacing w:val="-2"/>
                <w:sz w:val="14"/>
              </w:rPr>
              <w:t>231.00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6"/>
                <w:sz w:val="14"/>
              </w:rPr>
              <w:t> </w:t>
            </w:r>
            <w:r>
              <w:rPr>
                <w:sz w:val="14"/>
              </w:rPr>
              <w:t>Premises</w:t>
            </w:r>
            <w:r>
              <w:rPr>
                <w:spacing w:val="-3"/>
                <w:sz w:val="14"/>
              </w:rPr>
              <w:t> </w:t>
            </w:r>
            <w:r>
              <w:rPr>
                <w:sz w:val="14"/>
              </w:rPr>
              <w:t>Renewal</w:t>
            </w:r>
            <w:r>
              <w:rPr>
                <w:spacing w:val="-5"/>
                <w:sz w:val="14"/>
              </w:rPr>
              <w:t> </w:t>
            </w:r>
            <w:r>
              <w:rPr>
                <w:sz w:val="14"/>
              </w:rPr>
              <w:t>Fees</w:t>
            </w:r>
            <w:r>
              <w:rPr>
                <w:spacing w:val="-3"/>
                <w:sz w:val="14"/>
              </w:rPr>
              <w:t> </w:t>
            </w:r>
            <w:r>
              <w:rPr>
                <w:sz w:val="14"/>
              </w:rPr>
              <w:t>Class</w:t>
            </w:r>
            <w:r>
              <w:rPr>
                <w:spacing w:val="-3"/>
                <w:sz w:val="14"/>
              </w:rPr>
              <w:t> </w:t>
            </w:r>
            <w:r>
              <w:rPr>
                <w:sz w:val="14"/>
              </w:rPr>
              <w:t>2</w:t>
            </w:r>
            <w:r>
              <w:rPr>
                <w:spacing w:val="-3"/>
                <w:sz w:val="14"/>
              </w:rPr>
              <w:t> </w:t>
            </w:r>
            <w:r>
              <w:rPr>
                <w:sz w:val="14"/>
              </w:rPr>
              <w:t>Additional</w:t>
            </w:r>
            <w:r>
              <w:rPr>
                <w:spacing w:val="-6"/>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288.00</w:t>
            </w:r>
          </w:p>
        </w:tc>
        <w:tc>
          <w:tcPr>
            <w:tcW w:w="995" w:type="dxa"/>
          </w:tcPr>
          <w:p>
            <w:pPr>
              <w:pStyle w:val="TableParagraph"/>
              <w:spacing w:line="140" w:lineRule="exact" w:before="17"/>
              <w:ind w:right="102"/>
              <w:jc w:val="right"/>
              <w:rPr>
                <w:sz w:val="14"/>
              </w:rPr>
            </w:pPr>
            <w:r>
              <w:rPr>
                <w:spacing w:val="-2"/>
                <w:sz w:val="14"/>
              </w:rPr>
              <w:t>310.00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Food</w:t>
            </w:r>
            <w:r>
              <w:rPr>
                <w:spacing w:val="-6"/>
                <w:sz w:val="14"/>
              </w:rPr>
              <w:t> </w:t>
            </w:r>
            <w:r>
              <w:rPr>
                <w:sz w:val="14"/>
              </w:rPr>
              <w:t>Premises</w:t>
            </w:r>
            <w:r>
              <w:rPr>
                <w:spacing w:val="-3"/>
                <w:sz w:val="14"/>
              </w:rPr>
              <w:t> </w:t>
            </w:r>
            <w:r>
              <w:rPr>
                <w:sz w:val="14"/>
              </w:rPr>
              <w:t>Renewal</w:t>
            </w:r>
            <w:r>
              <w:rPr>
                <w:spacing w:val="-5"/>
                <w:sz w:val="14"/>
              </w:rPr>
              <w:t> </w:t>
            </w:r>
            <w:r>
              <w:rPr>
                <w:sz w:val="14"/>
              </w:rPr>
              <w:t>Fees</w:t>
            </w:r>
            <w:r>
              <w:rPr>
                <w:spacing w:val="-3"/>
                <w:sz w:val="14"/>
              </w:rPr>
              <w:t> </w:t>
            </w:r>
            <w:r>
              <w:rPr>
                <w:sz w:val="14"/>
              </w:rPr>
              <w:t>Class</w:t>
            </w:r>
            <w:r>
              <w:rPr>
                <w:spacing w:val="-3"/>
                <w:sz w:val="14"/>
              </w:rPr>
              <w:t> </w:t>
            </w:r>
            <w:r>
              <w:rPr>
                <w:sz w:val="14"/>
              </w:rPr>
              <w:t>3</w:t>
            </w:r>
            <w:r>
              <w:rPr>
                <w:spacing w:val="-3"/>
                <w:sz w:val="14"/>
              </w:rPr>
              <w:t> </w:t>
            </w:r>
            <w:r>
              <w:rPr>
                <w:sz w:val="14"/>
              </w:rPr>
              <w:t>Additional</w:t>
            </w:r>
            <w:r>
              <w:rPr>
                <w:spacing w:val="-6"/>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215.00</w:t>
            </w:r>
          </w:p>
        </w:tc>
        <w:tc>
          <w:tcPr>
            <w:tcW w:w="995" w:type="dxa"/>
          </w:tcPr>
          <w:p>
            <w:pPr>
              <w:pStyle w:val="TableParagraph"/>
              <w:spacing w:line="140" w:lineRule="exact" w:before="17"/>
              <w:ind w:right="102"/>
              <w:jc w:val="right"/>
              <w:rPr>
                <w:sz w:val="14"/>
              </w:rPr>
            </w:pPr>
            <w:r>
              <w:rPr>
                <w:spacing w:val="-2"/>
                <w:sz w:val="14"/>
              </w:rPr>
              <w:t>231.00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3"/>
                <w:sz w:val="14"/>
              </w:rPr>
              <w:t> </w:t>
            </w:r>
            <w:r>
              <w:rPr>
                <w:sz w:val="14"/>
              </w:rPr>
              <w:t>Registration</w:t>
            </w:r>
            <w:r>
              <w:rPr>
                <w:spacing w:val="-4"/>
                <w:sz w:val="14"/>
              </w:rPr>
              <w:t> </w:t>
            </w:r>
            <w:r>
              <w:rPr>
                <w:sz w:val="14"/>
              </w:rPr>
              <w:t>Fees</w:t>
            </w:r>
            <w:r>
              <w:rPr>
                <w:spacing w:val="-5"/>
                <w:sz w:val="14"/>
              </w:rPr>
              <w:t> </w:t>
            </w:r>
            <w:r>
              <w:rPr>
                <w:sz w:val="14"/>
              </w:rPr>
              <w:t>Class</w:t>
            </w:r>
            <w:r>
              <w:rPr>
                <w:spacing w:val="-6"/>
                <w:sz w:val="14"/>
              </w:rPr>
              <w:t> </w:t>
            </w:r>
            <w:r>
              <w:rPr>
                <w:sz w:val="14"/>
              </w:rPr>
              <w:t>2</w:t>
            </w:r>
            <w:r>
              <w:rPr>
                <w:spacing w:val="-5"/>
                <w:sz w:val="14"/>
              </w:rPr>
              <w:t> </w:t>
            </w:r>
            <w:r>
              <w:rPr>
                <w:sz w:val="14"/>
              </w:rPr>
              <w:t>Streatrader</w:t>
            </w:r>
            <w:r>
              <w:rPr>
                <w:spacing w:val="-6"/>
                <w:sz w:val="14"/>
              </w:rPr>
              <w:t> </w:t>
            </w:r>
            <w:r>
              <w:rPr>
                <w:sz w:val="14"/>
              </w:rPr>
              <w:t>Temporary</w:t>
            </w:r>
            <w:r>
              <w:rPr>
                <w:spacing w:val="-3"/>
                <w:sz w:val="14"/>
              </w:rPr>
              <w:t> </w:t>
            </w:r>
            <w:r>
              <w:rPr>
                <w:sz w:val="14"/>
              </w:rPr>
              <w:t>Mobile</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565.00</w:t>
            </w:r>
          </w:p>
        </w:tc>
        <w:tc>
          <w:tcPr>
            <w:tcW w:w="995" w:type="dxa"/>
          </w:tcPr>
          <w:p>
            <w:pPr>
              <w:pStyle w:val="TableParagraph"/>
              <w:spacing w:line="140" w:lineRule="exact" w:before="17"/>
              <w:ind w:right="102"/>
              <w:jc w:val="right"/>
              <w:rPr>
                <w:sz w:val="14"/>
              </w:rPr>
            </w:pPr>
            <w:r>
              <w:rPr>
                <w:spacing w:val="-2"/>
                <w:sz w:val="14"/>
              </w:rPr>
              <w:t>607.00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3"/>
                <w:sz w:val="14"/>
              </w:rPr>
              <w:t> </w:t>
            </w:r>
            <w:r>
              <w:rPr>
                <w:sz w:val="14"/>
              </w:rPr>
              <w:t>Registration</w:t>
            </w:r>
            <w:r>
              <w:rPr>
                <w:spacing w:val="-4"/>
                <w:sz w:val="14"/>
              </w:rPr>
              <w:t> </w:t>
            </w:r>
            <w:r>
              <w:rPr>
                <w:sz w:val="14"/>
              </w:rPr>
              <w:t>Fees</w:t>
            </w:r>
            <w:r>
              <w:rPr>
                <w:spacing w:val="-5"/>
                <w:sz w:val="14"/>
              </w:rPr>
              <w:t> </w:t>
            </w:r>
            <w:r>
              <w:rPr>
                <w:sz w:val="14"/>
              </w:rPr>
              <w:t>Class</w:t>
            </w:r>
            <w:r>
              <w:rPr>
                <w:spacing w:val="-6"/>
                <w:sz w:val="14"/>
              </w:rPr>
              <w:t> </w:t>
            </w:r>
            <w:r>
              <w:rPr>
                <w:sz w:val="14"/>
              </w:rPr>
              <w:t>3</w:t>
            </w:r>
            <w:r>
              <w:rPr>
                <w:spacing w:val="-5"/>
                <w:sz w:val="14"/>
              </w:rPr>
              <w:t> </w:t>
            </w:r>
            <w:r>
              <w:rPr>
                <w:sz w:val="14"/>
              </w:rPr>
              <w:t>Streatrader</w:t>
            </w:r>
            <w:r>
              <w:rPr>
                <w:spacing w:val="-6"/>
                <w:sz w:val="14"/>
              </w:rPr>
              <w:t> </w:t>
            </w:r>
            <w:r>
              <w:rPr>
                <w:sz w:val="14"/>
              </w:rPr>
              <w:t>Temporary</w:t>
            </w:r>
            <w:r>
              <w:rPr>
                <w:spacing w:val="-3"/>
                <w:sz w:val="14"/>
              </w:rPr>
              <w:t> </w:t>
            </w:r>
            <w:r>
              <w:rPr>
                <w:sz w:val="14"/>
              </w:rPr>
              <w:t>Mobile</w:t>
            </w:r>
            <w:r>
              <w:rPr>
                <w:spacing w:val="-5"/>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425.00</w:t>
            </w:r>
          </w:p>
        </w:tc>
        <w:tc>
          <w:tcPr>
            <w:tcW w:w="995" w:type="dxa"/>
          </w:tcPr>
          <w:p>
            <w:pPr>
              <w:pStyle w:val="TableParagraph"/>
              <w:spacing w:line="140" w:lineRule="exact" w:before="17"/>
              <w:ind w:right="102"/>
              <w:jc w:val="right"/>
              <w:rPr>
                <w:sz w:val="14"/>
              </w:rPr>
            </w:pPr>
            <w:r>
              <w:rPr>
                <w:spacing w:val="-2"/>
                <w:sz w:val="14"/>
              </w:rPr>
              <w:t>457.00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4"/>
                <w:sz w:val="14"/>
              </w:rPr>
              <w:t> </w:t>
            </w:r>
            <w:r>
              <w:rPr>
                <w:sz w:val="14"/>
              </w:rPr>
              <w:t>Renewal</w:t>
            </w:r>
            <w:r>
              <w:rPr>
                <w:spacing w:val="-5"/>
                <w:sz w:val="14"/>
              </w:rPr>
              <w:t> </w:t>
            </w:r>
            <w:r>
              <w:rPr>
                <w:sz w:val="14"/>
              </w:rPr>
              <w:t>Fees</w:t>
            </w:r>
            <w:r>
              <w:rPr>
                <w:spacing w:val="-3"/>
                <w:sz w:val="14"/>
              </w:rPr>
              <w:t> </w:t>
            </w:r>
            <w:r>
              <w:rPr>
                <w:sz w:val="14"/>
              </w:rPr>
              <w:t>Class</w:t>
            </w:r>
            <w:r>
              <w:rPr>
                <w:spacing w:val="-3"/>
                <w:sz w:val="14"/>
              </w:rPr>
              <w:t> </w:t>
            </w:r>
            <w:r>
              <w:rPr>
                <w:sz w:val="14"/>
              </w:rPr>
              <w:t>2</w:t>
            </w:r>
            <w:r>
              <w:rPr>
                <w:spacing w:val="-3"/>
                <w:sz w:val="14"/>
              </w:rPr>
              <w:t> </w:t>
            </w:r>
            <w:r>
              <w:rPr>
                <w:sz w:val="14"/>
              </w:rPr>
              <w:t>Streatrader</w:t>
            </w:r>
            <w:r>
              <w:rPr>
                <w:spacing w:val="-6"/>
                <w:sz w:val="14"/>
              </w:rPr>
              <w:t> </w:t>
            </w:r>
            <w:r>
              <w:rPr>
                <w:sz w:val="14"/>
              </w:rPr>
              <w:t>Temporary</w:t>
            </w:r>
            <w:r>
              <w:rPr>
                <w:spacing w:val="-3"/>
                <w:sz w:val="14"/>
              </w:rPr>
              <w:t> </w:t>
            </w:r>
            <w:r>
              <w:rPr>
                <w:sz w:val="14"/>
              </w:rPr>
              <w:t>Mobile</w:t>
            </w:r>
            <w:r>
              <w:rPr>
                <w:spacing w:val="-6"/>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565.00</w:t>
            </w:r>
          </w:p>
        </w:tc>
        <w:tc>
          <w:tcPr>
            <w:tcW w:w="995" w:type="dxa"/>
          </w:tcPr>
          <w:p>
            <w:pPr>
              <w:pStyle w:val="TableParagraph"/>
              <w:spacing w:line="140" w:lineRule="exact" w:before="17"/>
              <w:ind w:right="102"/>
              <w:jc w:val="right"/>
              <w:rPr>
                <w:sz w:val="14"/>
              </w:rPr>
            </w:pPr>
            <w:r>
              <w:rPr>
                <w:spacing w:val="-2"/>
                <w:sz w:val="14"/>
              </w:rPr>
              <w:t>607.00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4"/>
                <w:sz w:val="14"/>
              </w:rPr>
              <w:t> </w:t>
            </w:r>
            <w:r>
              <w:rPr>
                <w:sz w:val="14"/>
              </w:rPr>
              <w:t>Renewal</w:t>
            </w:r>
            <w:r>
              <w:rPr>
                <w:spacing w:val="-5"/>
                <w:sz w:val="14"/>
              </w:rPr>
              <w:t> </w:t>
            </w:r>
            <w:r>
              <w:rPr>
                <w:sz w:val="14"/>
              </w:rPr>
              <w:t>Fees</w:t>
            </w:r>
            <w:r>
              <w:rPr>
                <w:spacing w:val="-3"/>
                <w:sz w:val="14"/>
              </w:rPr>
              <w:t> </w:t>
            </w:r>
            <w:r>
              <w:rPr>
                <w:sz w:val="14"/>
              </w:rPr>
              <w:t>Class</w:t>
            </w:r>
            <w:r>
              <w:rPr>
                <w:spacing w:val="-3"/>
                <w:sz w:val="14"/>
              </w:rPr>
              <w:t> </w:t>
            </w:r>
            <w:r>
              <w:rPr>
                <w:sz w:val="14"/>
              </w:rPr>
              <w:t>3</w:t>
            </w:r>
            <w:r>
              <w:rPr>
                <w:spacing w:val="-3"/>
                <w:sz w:val="14"/>
              </w:rPr>
              <w:t> </w:t>
            </w:r>
            <w:r>
              <w:rPr>
                <w:sz w:val="14"/>
              </w:rPr>
              <w:t>Streatrader</w:t>
            </w:r>
            <w:r>
              <w:rPr>
                <w:spacing w:val="-6"/>
                <w:sz w:val="14"/>
              </w:rPr>
              <w:t> </w:t>
            </w:r>
            <w:r>
              <w:rPr>
                <w:sz w:val="14"/>
              </w:rPr>
              <w:t>Temporary</w:t>
            </w:r>
            <w:r>
              <w:rPr>
                <w:spacing w:val="-3"/>
                <w:sz w:val="14"/>
              </w:rPr>
              <w:t> </w:t>
            </w:r>
            <w:r>
              <w:rPr>
                <w:sz w:val="14"/>
              </w:rPr>
              <w:t>Mobile</w:t>
            </w:r>
            <w:r>
              <w:rPr>
                <w:spacing w:val="-6"/>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425.00</w:t>
            </w:r>
          </w:p>
        </w:tc>
        <w:tc>
          <w:tcPr>
            <w:tcW w:w="995" w:type="dxa"/>
          </w:tcPr>
          <w:p>
            <w:pPr>
              <w:pStyle w:val="TableParagraph"/>
              <w:spacing w:line="140" w:lineRule="exact" w:before="17"/>
              <w:ind w:right="102"/>
              <w:jc w:val="right"/>
              <w:rPr>
                <w:sz w:val="14"/>
              </w:rPr>
            </w:pPr>
            <w:r>
              <w:rPr>
                <w:spacing w:val="-2"/>
                <w:sz w:val="14"/>
              </w:rPr>
              <w:t>457.00</w:t>
            </w:r>
          </w:p>
        </w:tc>
        <w:tc>
          <w:tcPr>
            <w:tcW w:w="861" w:type="dxa"/>
          </w:tcPr>
          <w:p>
            <w:pPr>
              <w:pStyle w:val="TableParagraph"/>
              <w:spacing w:line="140" w:lineRule="exact" w:before="17"/>
              <w:ind w:left="152" w:right="154"/>
              <w:jc w:val="center"/>
              <w:rPr>
                <w:sz w:val="14"/>
              </w:rPr>
            </w:pPr>
            <w:r>
              <w:rPr>
                <w:spacing w:val="-5"/>
                <w:sz w:val="14"/>
              </w:rPr>
              <w:t>7.0</w:t>
            </w:r>
          </w:p>
        </w:tc>
      </w:tr>
      <w:tr>
        <w:trPr>
          <w:trHeight w:val="193" w:hRule="atLeast"/>
        </w:trPr>
        <w:tc>
          <w:tcPr>
            <w:tcW w:w="5794" w:type="dxa"/>
          </w:tcPr>
          <w:p>
            <w:pPr>
              <w:pStyle w:val="TableParagraph"/>
              <w:spacing w:line="140" w:lineRule="exact" w:before="34"/>
              <w:ind w:left="107"/>
              <w:rPr>
                <w:sz w:val="14"/>
              </w:rPr>
            </w:pPr>
            <w:r>
              <w:rPr>
                <w:sz w:val="14"/>
              </w:rPr>
              <w:t>Food</w:t>
            </w:r>
            <w:r>
              <w:rPr>
                <w:spacing w:val="-5"/>
                <w:sz w:val="14"/>
              </w:rPr>
              <w:t> </w:t>
            </w:r>
            <w:r>
              <w:rPr>
                <w:sz w:val="14"/>
              </w:rPr>
              <w:t>Premises</w:t>
            </w:r>
            <w:r>
              <w:rPr>
                <w:spacing w:val="-4"/>
                <w:sz w:val="14"/>
              </w:rPr>
              <w:t> </w:t>
            </w:r>
            <w:r>
              <w:rPr>
                <w:sz w:val="14"/>
              </w:rPr>
              <w:t>Registration</w:t>
            </w:r>
            <w:r>
              <w:rPr>
                <w:spacing w:val="-4"/>
                <w:sz w:val="14"/>
              </w:rPr>
              <w:t> </w:t>
            </w:r>
            <w:r>
              <w:rPr>
                <w:sz w:val="14"/>
              </w:rPr>
              <w:t>Fees</w:t>
            </w:r>
            <w:r>
              <w:rPr>
                <w:spacing w:val="-3"/>
                <w:sz w:val="14"/>
              </w:rPr>
              <w:t> </w:t>
            </w:r>
            <w:r>
              <w:rPr>
                <w:sz w:val="14"/>
              </w:rPr>
              <w:t>Food</w:t>
            </w:r>
            <w:r>
              <w:rPr>
                <w:spacing w:val="-4"/>
                <w:sz w:val="14"/>
              </w:rPr>
              <w:t> </w:t>
            </w:r>
            <w:r>
              <w:rPr>
                <w:sz w:val="14"/>
              </w:rPr>
              <w:t>Class</w:t>
            </w:r>
            <w:r>
              <w:rPr>
                <w:spacing w:val="-3"/>
                <w:sz w:val="14"/>
              </w:rPr>
              <w:t> </w:t>
            </w:r>
            <w:r>
              <w:rPr>
                <w:sz w:val="14"/>
              </w:rPr>
              <w:t>2</w:t>
            </w:r>
            <w:r>
              <w:rPr>
                <w:spacing w:val="-5"/>
                <w:sz w:val="14"/>
              </w:rPr>
              <w:t> </w:t>
            </w:r>
            <w:r>
              <w:rPr>
                <w:sz w:val="14"/>
              </w:rPr>
              <w:t>Premises</w:t>
            </w:r>
            <w:r>
              <w:rPr>
                <w:spacing w:val="-3"/>
                <w:sz w:val="14"/>
              </w:rPr>
              <w:t> </w:t>
            </w:r>
            <w:r>
              <w:rPr>
                <w:sz w:val="14"/>
              </w:rPr>
              <w:t>-</w:t>
            </w:r>
            <w:r>
              <w:rPr>
                <w:spacing w:val="-6"/>
                <w:sz w:val="14"/>
              </w:rPr>
              <w:t> </w:t>
            </w:r>
            <w:r>
              <w:rPr>
                <w:sz w:val="14"/>
              </w:rPr>
              <w:t>Community/Sports</w:t>
            </w:r>
            <w:r>
              <w:rPr>
                <w:spacing w:val="-3"/>
                <w:sz w:val="14"/>
              </w:rPr>
              <w:t> </w:t>
            </w:r>
            <w:r>
              <w:rPr>
                <w:spacing w:val="-2"/>
                <w:sz w:val="14"/>
              </w:rPr>
              <w:t>Groups</w:t>
            </w:r>
          </w:p>
        </w:tc>
        <w:tc>
          <w:tcPr>
            <w:tcW w:w="1131" w:type="dxa"/>
          </w:tcPr>
          <w:p>
            <w:pPr>
              <w:pStyle w:val="TableParagraph"/>
              <w:spacing w:line="140" w:lineRule="exact" w:before="34"/>
              <w:ind w:left="5"/>
              <w:jc w:val="center"/>
              <w:rPr>
                <w:sz w:val="14"/>
              </w:rPr>
            </w:pPr>
            <w:r>
              <w:rPr>
                <w:w w:val="99"/>
                <w:sz w:val="14"/>
              </w:rPr>
              <w:t>N</w:t>
            </w:r>
          </w:p>
        </w:tc>
        <w:tc>
          <w:tcPr>
            <w:tcW w:w="567" w:type="dxa"/>
          </w:tcPr>
          <w:p>
            <w:pPr>
              <w:pStyle w:val="TableParagraph"/>
              <w:spacing w:line="140" w:lineRule="exact" w:before="34"/>
              <w:ind w:left="193"/>
              <w:rPr>
                <w:sz w:val="14"/>
              </w:rPr>
            </w:pPr>
            <w:r>
              <w:rPr>
                <w:spacing w:val="-5"/>
                <w:sz w:val="14"/>
              </w:rPr>
              <w:t>No</w:t>
            </w:r>
          </w:p>
        </w:tc>
        <w:tc>
          <w:tcPr>
            <w:tcW w:w="997" w:type="dxa"/>
          </w:tcPr>
          <w:p>
            <w:pPr>
              <w:pStyle w:val="TableParagraph"/>
              <w:spacing w:line="140" w:lineRule="exact" w:before="34"/>
              <w:ind w:right="100"/>
              <w:jc w:val="right"/>
              <w:rPr>
                <w:sz w:val="14"/>
              </w:rPr>
            </w:pPr>
            <w:r>
              <w:rPr>
                <w:spacing w:val="-2"/>
                <w:sz w:val="14"/>
              </w:rPr>
              <w:t>282.00</w:t>
            </w:r>
          </w:p>
        </w:tc>
        <w:tc>
          <w:tcPr>
            <w:tcW w:w="995" w:type="dxa"/>
          </w:tcPr>
          <w:p>
            <w:pPr>
              <w:pStyle w:val="TableParagraph"/>
              <w:spacing w:line="140" w:lineRule="exact" w:before="34"/>
              <w:ind w:right="102"/>
              <w:jc w:val="right"/>
              <w:rPr>
                <w:sz w:val="14"/>
              </w:rPr>
            </w:pPr>
            <w:r>
              <w:rPr>
                <w:spacing w:val="-2"/>
                <w:sz w:val="14"/>
              </w:rPr>
              <w:t>303.00</w:t>
            </w:r>
          </w:p>
        </w:tc>
        <w:tc>
          <w:tcPr>
            <w:tcW w:w="861" w:type="dxa"/>
          </w:tcPr>
          <w:p>
            <w:pPr>
              <w:pStyle w:val="TableParagraph"/>
              <w:spacing w:line="140" w:lineRule="exact" w:before="34"/>
              <w:ind w:left="152" w:right="154"/>
              <w:jc w:val="center"/>
              <w:rPr>
                <w:sz w:val="14"/>
              </w:rPr>
            </w:pPr>
            <w:r>
              <w:rPr>
                <w:spacing w:val="-5"/>
                <w:sz w:val="14"/>
              </w:rPr>
              <w:t>6.9</w:t>
            </w:r>
          </w:p>
        </w:tc>
      </w:tr>
      <w:tr>
        <w:trPr>
          <w:trHeight w:val="210" w:hRule="atLeast"/>
        </w:trPr>
        <w:tc>
          <w:tcPr>
            <w:tcW w:w="5794" w:type="dxa"/>
          </w:tcPr>
          <w:p>
            <w:pPr>
              <w:pStyle w:val="TableParagraph"/>
              <w:spacing w:line="140" w:lineRule="exact" w:before="51"/>
              <w:ind w:left="107"/>
              <w:rPr>
                <w:sz w:val="14"/>
              </w:rPr>
            </w:pPr>
            <w:r>
              <w:rPr>
                <w:sz w:val="14"/>
              </w:rPr>
              <w:t>Food</w:t>
            </w:r>
            <w:r>
              <w:rPr>
                <w:spacing w:val="-5"/>
                <w:sz w:val="14"/>
              </w:rPr>
              <w:t> </w:t>
            </w:r>
            <w:r>
              <w:rPr>
                <w:sz w:val="14"/>
              </w:rPr>
              <w:t>Premises</w:t>
            </w:r>
            <w:r>
              <w:rPr>
                <w:spacing w:val="-4"/>
                <w:sz w:val="14"/>
              </w:rPr>
              <w:t> </w:t>
            </w:r>
            <w:r>
              <w:rPr>
                <w:sz w:val="14"/>
              </w:rPr>
              <w:t>Registration</w:t>
            </w:r>
            <w:r>
              <w:rPr>
                <w:spacing w:val="-4"/>
                <w:sz w:val="14"/>
              </w:rPr>
              <w:t> </w:t>
            </w:r>
            <w:r>
              <w:rPr>
                <w:sz w:val="14"/>
              </w:rPr>
              <w:t>Fees</w:t>
            </w:r>
            <w:r>
              <w:rPr>
                <w:spacing w:val="-3"/>
                <w:sz w:val="14"/>
              </w:rPr>
              <w:t> </w:t>
            </w:r>
            <w:r>
              <w:rPr>
                <w:sz w:val="14"/>
              </w:rPr>
              <w:t>Food</w:t>
            </w:r>
            <w:r>
              <w:rPr>
                <w:spacing w:val="-4"/>
                <w:sz w:val="14"/>
              </w:rPr>
              <w:t> </w:t>
            </w:r>
            <w:r>
              <w:rPr>
                <w:sz w:val="14"/>
              </w:rPr>
              <w:t>Class</w:t>
            </w:r>
            <w:r>
              <w:rPr>
                <w:spacing w:val="-3"/>
                <w:sz w:val="14"/>
              </w:rPr>
              <w:t> </w:t>
            </w:r>
            <w:r>
              <w:rPr>
                <w:sz w:val="14"/>
              </w:rPr>
              <w:t>3</w:t>
            </w:r>
            <w:r>
              <w:rPr>
                <w:spacing w:val="-5"/>
                <w:sz w:val="14"/>
              </w:rPr>
              <w:t> </w:t>
            </w:r>
            <w:r>
              <w:rPr>
                <w:sz w:val="14"/>
              </w:rPr>
              <w:t>Premises</w:t>
            </w:r>
            <w:r>
              <w:rPr>
                <w:spacing w:val="-3"/>
                <w:sz w:val="14"/>
              </w:rPr>
              <w:t> </w:t>
            </w:r>
            <w:r>
              <w:rPr>
                <w:sz w:val="14"/>
              </w:rPr>
              <w:t>-</w:t>
            </w:r>
            <w:r>
              <w:rPr>
                <w:spacing w:val="-6"/>
                <w:sz w:val="14"/>
              </w:rPr>
              <w:t> </w:t>
            </w:r>
            <w:r>
              <w:rPr>
                <w:sz w:val="14"/>
              </w:rPr>
              <w:t>Community/Sports</w:t>
            </w:r>
            <w:r>
              <w:rPr>
                <w:spacing w:val="-3"/>
                <w:sz w:val="14"/>
              </w:rPr>
              <w:t> </w:t>
            </w:r>
            <w:r>
              <w:rPr>
                <w:spacing w:val="-2"/>
                <w:sz w:val="14"/>
              </w:rPr>
              <w:t>Groups</w:t>
            </w:r>
          </w:p>
        </w:tc>
        <w:tc>
          <w:tcPr>
            <w:tcW w:w="1131" w:type="dxa"/>
          </w:tcPr>
          <w:p>
            <w:pPr>
              <w:pStyle w:val="TableParagraph"/>
              <w:spacing w:line="140" w:lineRule="exact" w:before="51"/>
              <w:ind w:left="5"/>
              <w:jc w:val="center"/>
              <w:rPr>
                <w:sz w:val="14"/>
              </w:rPr>
            </w:pPr>
            <w:r>
              <w:rPr>
                <w:w w:val="99"/>
                <w:sz w:val="14"/>
              </w:rPr>
              <w:t>N</w:t>
            </w:r>
          </w:p>
        </w:tc>
        <w:tc>
          <w:tcPr>
            <w:tcW w:w="567" w:type="dxa"/>
          </w:tcPr>
          <w:p>
            <w:pPr>
              <w:pStyle w:val="TableParagraph"/>
              <w:spacing w:line="140" w:lineRule="exact" w:before="51"/>
              <w:ind w:left="193"/>
              <w:rPr>
                <w:sz w:val="14"/>
              </w:rPr>
            </w:pPr>
            <w:r>
              <w:rPr>
                <w:spacing w:val="-5"/>
                <w:sz w:val="14"/>
              </w:rPr>
              <w:t>No</w:t>
            </w:r>
          </w:p>
        </w:tc>
        <w:tc>
          <w:tcPr>
            <w:tcW w:w="997" w:type="dxa"/>
          </w:tcPr>
          <w:p>
            <w:pPr>
              <w:pStyle w:val="TableParagraph"/>
              <w:spacing w:line="140" w:lineRule="exact" w:before="51"/>
              <w:ind w:right="100"/>
              <w:jc w:val="right"/>
              <w:rPr>
                <w:sz w:val="14"/>
              </w:rPr>
            </w:pPr>
            <w:r>
              <w:rPr>
                <w:spacing w:val="-2"/>
                <w:sz w:val="14"/>
              </w:rPr>
              <w:t>215.00</w:t>
            </w:r>
          </w:p>
        </w:tc>
        <w:tc>
          <w:tcPr>
            <w:tcW w:w="995" w:type="dxa"/>
          </w:tcPr>
          <w:p>
            <w:pPr>
              <w:pStyle w:val="TableParagraph"/>
              <w:spacing w:line="140" w:lineRule="exact" w:before="51"/>
              <w:ind w:right="102"/>
              <w:jc w:val="right"/>
              <w:rPr>
                <w:sz w:val="14"/>
              </w:rPr>
            </w:pPr>
            <w:r>
              <w:rPr>
                <w:spacing w:val="-2"/>
                <w:sz w:val="14"/>
              </w:rPr>
              <w:t>231.00</w:t>
            </w:r>
          </w:p>
        </w:tc>
        <w:tc>
          <w:tcPr>
            <w:tcW w:w="861" w:type="dxa"/>
          </w:tcPr>
          <w:p>
            <w:pPr>
              <w:pStyle w:val="TableParagraph"/>
              <w:spacing w:line="140" w:lineRule="exact" w:before="51"/>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Fees</w:t>
            </w:r>
            <w:r>
              <w:rPr>
                <w:spacing w:val="-2"/>
                <w:sz w:val="14"/>
              </w:rPr>
              <w:t> </w:t>
            </w:r>
            <w:r>
              <w:rPr>
                <w:sz w:val="14"/>
              </w:rPr>
              <w:t>Food</w:t>
            </w:r>
            <w:r>
              <w:rPr>
                <w:spacing w:val="-5"/>
                <w:sz w:val="14"/>
              </w:rPr>
              <w:t> </w:t>
            </w:r>
            <w:r>
              <w:rPr>
                <w:sz w:val="14"/>
              </w:rPr>
              <w:t>Class</w:t>
            </w:r>
            <w:r>
              <w:rPr>
                <w:spacing w:val="-4"/>
                <w:sz w:val="14"/>
              </w:rPr>
              <w:t> </w:t>
            </w:r>
            <w:r>
              <w:rPr>
                <w:sz w:val="14"/>
              </w:rPr>
              <w:t>2</w:t>
            </w:r>
            <w:r>
              <w:rPr>
                <w:spacing w:val="32"/>
                <w:sz w:val="14"/>
              </w:rPr>
              <w:t> </w:t>
            </w:r>
            <w:r>
              <w:rPr>
                <w:sz w:val="14"/>
              </w:rPr>
              <w:t>-</w:t>
            </w:r>
            <w:r>
              <w:rPr>
                <w:spacing w:val="-3"/>
                <w:sz w:val="14"/>
              </w:rPr>
              <w:t> </w:t>
            </w:r>
            <w:r>
              <w:rPr>
                <w:sz w:val="14"/>
              </w:rPr>
              <w:t>Community/Sports</w:t>
            </w:r>
            <w:r>
              <w:rPr>
                <w:spacing w:val="-2"/>
                <w:sz w:val="14"/>
              </w:rPr>
              <w:t> Groups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290.00</w:t>
            </w:r>
          </w:p>
        </w:tc>
        <w:tc>
          <w:tcPr>
            <w:tcW w:w="995" w:type="dxa"/>
          </w:tcPr>
          <w:p>
            <w:pPr>
              <w:pStyle w:val="TableParagraph"/>
              <w:spacing w:line="140" w:lineRule="exact" w:before="17"/>
              <w:ind w:right="102"/>
              <w:jc w:val="right"/>
              <w:rPr>
                <w:sz w:val="14"/>
              </w:rPr>
            </w:pPr>
            <w:r>
              <w:rPr>
                <w:spacing w:val="-2"/>
                <w:sz w:val="14"/>
              </w:rPr>
              <w:t>312.00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Fees</w:t>
            </w:r>
            <w:r>
              <w:rPr>
                <w:spacing w:val="-2"/>
                <w:sz w:val="14"/>
              </w:rPr>
              <w:t> </w:t>
            </w:r>
            <w:r>
              <w:rPr>
                <w:sz w:val="14"/>
              </w:rPr>
              <w:t>Food</w:t>
            </w:r>
            <w:r>
              <w:rPr>
                <w:spacing w:val="-5"/>
                <w:sz w:val="14"/>
              </w:rPr>
              <w:t> </w:t>
            </w:r>
            <w:r>
              <w:rPr>
                <w:sz w:val="14"/>
              </w:rPr>
              <w:t>Class</w:t>
            </w:r>
            <w:r>
              <w:rPr>
                <w:spacing w:val="-4"/>
                <w:sz w:val="14"/>
              </w:rPr>
              <w:t> </w:t>
            </w:r>
            <w:r>
              <w:rPr>
                <w:sz w:val="14"/>
              </w:rPr>
              <w:t>3</w:t>
            </w:r>
            <w:r>
              <w:rPr>
                <w:spacing w:val="-3"/>
                <w:sz w:val="14"/>
              </w:rPr>
              <w:t> </w:t>
            </w:r>
            <w:r>
              <w:rPr>
                <w:sz w:val="14"/>
              </w:rPr>
              <w:t>-</w:t>
            </w:r>
            <w:r>
              <w:rPr>
                <w:spacing w:val="-5"/>
                <w:sz w:val="14"/>
              </w:rPr>
              <w:t> </w:t>
            </w:r>
            <w:r>
              <w:rPr>
                <w:sz w:val="14"/>
              </w:rPr>
              <w:t>Community/Sports</w:t>
            </w:r>
            <w:r>
              <w:rPr>
                <w:spacing w:val="-3"/>
                <w:sz w:val="14"/>
              </w:rPr>
              <w:t> </w:t>
            </w:r>
            <w:r>
              <w:rPr>
                <w:spacing w:val="-2"/>
                <w:sz w:val="14"/>
              </w:rPr>
              <w:t>Groups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215.00</w:t>
            </w:r>
          </w:p>
        </w:tc>
        <w:tc>
          <w:tcPr>
            <w:tcW w:w="995" w:type="dxa"/>
          </w:tcPr>
          <w:p>
            <w:pPr>
              <w:pStyle w:val="TableParagraph"/>
              <w:spacing w:line="140" w:lineRule="exact" w:before="17"/>
              <w:ind w:right="102"/>
              <w:jc w:val="right"/>
              <w:rPr>
                <w:sz w:val="14"/>
              </w:rPr>
            </w:pPr>
            <w:r>
              <w:rPr>
                <w:spacing w:val="-2"/>
                <w:sz w:val="14"/>
              </w:rPr>
              <w:t>231.00</w:t>
            </w:r>
          </w:p>
        </w:tc>
        <w:tc>
          <w:tcPr>
            <w:tcW w:w="861" w:type="dxa"/>
          </w:tcPr>
          <w:p>
            <w:pPr>
              <w:pStyle w:val="TableParagraph"/>
              <w:spacing w:line="140" w:lineRule="exact" w:before="17"/>
              <w:ind w:left="152" w:right="154"/>
              <w:jc w:val="center"/>
              <w:rPr>
                <w:sz w:val="14"/>
              </w:rPr>
            </w:pPr>
            <w:r>
              <w:rPr>
                <w:spacing w:val="-5"/>
                <w:sz w:val="14"/>
              </w:rPr>
              <w:t>6.9</w:t>
            </w:r>
          </w:p>
        </w:tc>
      </w:tr>
      <w:tr>
        <w:trPr>
          <w:trHeight w:val="352" w:hRule="atLeast"/>
        </w:trPr>
        <w:tc>
          <w:tcPr>
            <w:tcW w:w="5794" w:type="dxa"/>
          </w:tcPr>
          <w:p>
            <w:pPr>
              <w:pStyle w:val="TableParagraph"/>
              <w:spacing w:line="160" w:lineRule="atLeast" w:before="11"/>
              <w:ind w:left="107"/>
              <w:rPr>
                <w:sz w:val="14"/>
              </w:rPr>
            </w:pPr>
            <w:r>
              <w:rPr>
                <w:sz w:val="14"/>
              </w:rPr>
              <w:t>Food</w:t>
            </w:r>
            <w:r>
              <w:rPr>
                <w:spacing w:val="-5"/>
                <w:sz w:val="14"/>
              </w:rPr>
              <w:t> </w:t>
            </w:r>
            <w:r>
              <w:rPr>
                <w:sz w:val="14"/>
              </w:rPr>
              <w:t>Premises</w:t>
            </w:r>
            <w:r>
              <w:rPr>
                <w:spacing w:val="-3"/>
                <w:sz w:val="14"/>
              </w:rPr>
              <w:t> </w:t>
            </w:r>
            <w:r>
              <w:rPr>
                <w:sz w:val="14"/>
              </w:rPr>
              <w:t>Registration</w:t>
            </w:r>
            <w:r>
              <w:rPr>
                <w:spacing w:val="-4"/>
                <w:sz w:val="14"/>
              </w:rPr>
              <w:t> </w:t>
            </w:r>
            <w:r>
              <w:rPr>
                <w:sz w:val="14"/>
              </w:rPr>
              <w:t>Fee</w:t>
            </w:r>
            <w:r>
              <w:rPr>
                <w:spacing w:val="-7"/>
                <w:sz w:val="14"/>
              </w:rPr>
              <w:t> </w:t>
            </w:r>
            <w:r>
              <w:rPr>
                <w:sz w:val="14"/>
              </w:rPr>
              <w:t>Class</w:t>
            </w:r>
            <w:r>
              <w:rPr>
                <w:spacing w:val="-3"/>
                <w:sz w:val="14"/>
              </w:rPr>
              <w:t> </w:t>
            </w:r>
            <w:r>
              <w:rPr>
                <w:sz w:val="14"/>
              </w:rPr>
              <w:t>2</w:t>
            </w:r>
            <w:r>
              <w:rPr>
                <w:spacing w:val="-6"/>
                <w:sz w:val="14"/>
              </w:rPr>
              <w:t> </w:t>
            </w:r>
            <w:r>
              <w:rPr>
                <w:sz w:val="14"/>
              </w:rPr>
              <w:t>Community/Sports</w:t>
            </w:r>
            <w:r>
              <w:rPr>
                <w:spacing w:val="-3"/>
                <w:sz w:val="14"/>
              </w:rPr>
              <w:t> </w:t>
            </w:r>
            <w:r>
              <w:rPr>
                <w:sz w:val="14"/>
              </w:rPr>
              <w:t>Group</w:t>
            </w:r>
            <w:r>
              <w:rPr>
                <w:spacing w:val="-6"/>
                <w:sz w:val="14"/>
              </w:rPr>
              <w:t> </w:t>
            </w:r>
            <w:r>
              <w:rPr>
                <w:sz w:val="14"/>
              </w:rPr>
              <w:t>-</w:t>
            </w:r>
            <w:r>
              <w:rPr>
                <w:spacing w:val="-4"/>
                <w:sz w:val="14"/>
              </w:rPr>
              <w:t> </w:t>
            </w:r>
            <w:r>
              <w:rPr>
                <w:sz w:val="14"/>
              </w:rPr>
              <w:t>Additional</w:t>
            </w:r>
            <w:r>
              <w:rPr>
                <w:spacing w:val="-3"/>
                <w:sz w:val="14"/>
              </w:rPr>
              <w:t> </w:t>
            </w:r>
            <w:r>
              <w:rPr>
                <w:sz w:val="14"/>
              </w:rPr>
              <w:t>Premises</w:t>
            </w:r>
            <w:r>
              <w:rPr>
                <w:spacing w:val="40"/>
                <w:sz w:val="14"/>
              </w:rPr>
              <w:t> </w:t>
            </w:r>
            <w:r>
              <w:rPr>
                <w:spacing w:val="-2"/>
                <w:sz w:val="14"/>
              </w:rPr>
              <w:t>TFP/MFV</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3"/>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140.00</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151.00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7.3</w:t>
            </w:r>
          </w:p>
        </w:tc>
      </w:tr>
      <w:tr>
        <w:trPr>
          <w:trHeight w:val="354" w:hRule="atLeast"/>
        </w:trPr>
        <w:tc>
          <w:tcPr>
            <w:tcW w:w="5794" w:type="dxa"/>
          </w:tcPr>
          <w:p>
            <w:pPr>
              <w:pStyle w:val="TableParagraph"/>
              <w:spacing w:line="160" w:lineRule="atLeast" w:before="14"/>
              <w:ind w:left="107"/>
              <w:rPr>
                <w:sz w:val="14"/>
              </w:rPr>
            </w:pPr>
            <w:r>
              <w:rPr>
                <w:sz w:val="14"/>
              </w:rPr>
              <w:t>Food</w:t>
            </w:r>
            <w:r>
              <w:rPr>
                <w:spacing w:val="-5"/>
                <w:sz w:val="14"/>
              </w:rPr>
              <w:t> </w:t>
            </w:r>
            <w:r>
              <w:rPr>
                <w:sz w:val="14"/>
              </w:rPr>
              <w:t>Premises</w:t>
            </w:r>
            <w:r>
              <w:rPr>
                <w:spacing w:val="-3"/>
                <w:sz w:val="14"/>
              </w:rPr>
              <w:t> </w:t>
            </w:r>
            <w:r>
              <w:rPr>
                <w:sz w:val="14"/>
              </w:rPr>
              <w:t>Registration</w:t>
            </w:r>
            <w:r>
              <w:rPr>
                <w:spacing w:val="-4"/>
                <w:sz w:val="14"/>
              </w:rPr>
              <w:t> </w:t>
            </w:r>
            <w:r>
              <w:rPr>
                <w:sz w:val="14"/>
              </w:rPr>
              <w:t>Fee</w:t>
            </w:r>
            <w:r>
              <w:rPr>
                <w:spacing w:val="-7"/>
                <w:sz w:val="14"/>
              </w:rPr>
              <w:t> </w:t>
            </w:r>
            <w:r>
              <w:rPr>
                <w:sz w:val="14"/>
              </w:rPr>
              <w:t>Class</w:t>
            </w:r>
            <w:r>
              <w:rPr>
                <w:spacing w:val="-3"/>
                <w:sz w:val="14"/>
              </w:rPr>
              <w:t> </w:t>
            </w:r>
            <w:r>
              <w:rPr>
                <w:sz w:val="14"/>
              </w:rPr>
              <w:t>3</w:t>
            </w:r>
            <w:r>
              <w:rPr>
                <w:spacing w:val="-6"/>
                <w:sz w:val="14"/>
              </w:rPr>
              <w:t> </w:t>
            </w:r>
            <w:r>
              <w:rPr>
                <w:sz w:val="14"/>
              </w:rPr>
              <w:t>Community/Sports</w:t>
            </w:r>
            <w:r>
              <w:rPr>
                <w:spacing w:val="-3"/>
                <w:sz w:val="14"/>
              </w:rPr>
              <w:t> </w:t>
            </w:r>
            <w:r>
              <w:rPr>
                <w:sz w:val="14"/>
              </w:rPr>
              <w:t>Group</w:t>
            </w:r>
            <w:r>
              <w:rPr>
                <w:spacing w:val="-6"/>
                <w:sz w:val="14"/>
              </w:rPr>
              <w:t> </w:t>
            </w:r>
            <w:r>
              <w:rPr>
                <w:sz w:val="14"/>
              </w:rPr>
              <w:t>-</w:t>
            </w:r>
            <w:r>
              <w:rPr>
                <w:spacing w:val="-4"/>
                <w:sz w:val="14"/>
              </w:rPr>
              <w:t> </w:t>
            </w:r>
            <w:r>
              <w:rPr>
                <w:sz w:val="14"/>
              </w:rPr>
              <w:t>Additional</w:t>
            </w:r>
            <w:r>
              <w:rPr>
                <w:spacing w:val="-3"/>
                <w:sz w:val="14"/>
              </w:rPr>
              <w:t> </w:t>
            </w:r>
            <w:r>
              <w:rPr>
                <w:sz w:val="14"/>
              </w:rPr>
              <w:t>Premises</w:t>
            </w:r>
            <w:r>
              <w:rPr>
                <w:spacing w:val="40"/>
                <w:sz w:val="14"/>
              </w:rPr>
              <w:t> </w:t>
            </w:r>
            <w:r>
              <w:rPr>
                <w:spacing w:val="-2"/>
                <w:sz w:val="14"/>
              </w:rPr>
              <w:t>TFP/MFV</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3"/>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108.00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116.00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6.9</w:t>
            </w:r>
          </w:p>
        </w:tc>
      </w:tr>
      <w:tr>
        <w:trPr>
          <w:trHeight w:val="354" w:hRule="atLeast"/>
        </w:trPr>
        <w:tc>
          <w:tcPr>
            <w:tcW w:w="5794" w:type="dxa"/>
          </w:tcPr>
          <w:p>
            <w:pPr>
              <w:pStyle w:val="TableParagraph"/>
              <w:spacing w:line="160" w:lineRule="atLeast" w:before="14"/>
              <w:ind w:left="107"/>
              <w:rPr>
                <w:sz w:val="14"/>
              </w:rPr>
            </w:pPr>
            <w:r>
              <w:rPr>
                <w:sz w:val="14"/>
              </w:rPr>
              <w:t>Food</w:t>
            </w:r>
            <w:r>
              <w:rPr>
                <w:spacing w:val="-5"/>
                <w:sz w:val="14"/>
              </w:rPr>
              <w:t> </w:t>
            </w:r>
            <w:r>
              <w:rPr>
                <w:sz w:val="14"/>
              </w:rPr>
              <w:t>Premises</w:t>
            </w:r>
            <w:r>
              <w:rPr>
                <w:spacing w:val="-3"/>
                <w:sz w:val="14"/>
              </w:rPr>
              <w:t> </w:t>
            </w:r>
            <w:r>
              <w:rPr>
                <w:sz w:val="14"/>
              </w:rPr>
              <w:t>Renewal</w:t>
            </w:r>
            <w:r>
              <w:rPr>
                <w:spacing w:val="-5"/>
                <w:sz w:val="14"/>
              </w:rPr>
              <w:t> </w:t>
            </w:r>
            <w:r>
              <w:rPr>
                <w:sz w:val="14"/>
              </w:rPr>
              <w:t>Fee</w:t>
            </w:r>
            <w:r>
              <w:rPr>
                <w:spacing w:val="-3"/>
                <w:sz w:val="14"/>
              </w:rPr>
              <w:t> </w:t>
            </w:r>
            <w:r>
              <w:rPr>
                <w:sz w:val="14"/>
              </w:rPr>
              <w:t>Class</w:t>
            </w:r>
            <w:r>
              <w:rPr>
                <w:spacing w:val="-3"/>
                <w:sz w:val="14"/>
              </w:rPr>
              <w:t> </w:t>
            </w:r>
            <w:r>
              <w:rPr>
                <w:sz w:val="14"/>
              </w:rPr>
              <w:t>2</w:t>
            </w:r>
            <w:r>
              <w:rPr>
                <w:spacing w:val="-6"/>
                <w:sz w:val="14"/>
              </w:rPr>
              <w:t> </w:t>
            </w:r>
            <w:r>
              <w:rPr>
                <w:sz w:val="14"/>
              </w:rPr>
              <w:t>Community/Sports</w:t>
            </w:r>
            <w:r>
              <w:rPr>
                <w:spacing w:val="-6"/>
                <w:sz w:val="14"/>
              </w:rPr>
              <w:t> </w:t>
            </w:r>
            <w:r>
              <w:rPr>
                <w:sz w:val="14"/>
              </w:rPr>
              <w:t>Group</w:t>
            </w:r>
            <w:r>
              <w:rPr>
                <w:spacing w:val="-3"/>
                <w:sz w:val="14"/>
              </w:rPr>
              <w:t> </w:t>
            </w:r>
            <w:r>
              <w:rPr>
                <w:sz w:val="14"/>
              </w:rPr>
              <w:t>-</w:t>
            </w:r>
            <w:r>
              <w:rPr>
                <w:spacing w:val="-6"/>
                <w:sz w:val="14"/>
              </w:rPr>
              <w:t> </w:t>
            </w:r>
            <w:r>
              <w:rPr>
                <w:sz w:val="14"/>
              </w:rPr>
              <w:t>Additional</w:t>
            </w:r>
            <w:r>
              <w:rPr>
                <w:spacing w:val="-5"/>
                <w:sz w:val="14"/>
              </w:rPr>
              <w:t> </w:t>
            </w:r>
            <w:r>
              <w:rPr>
                <w:sz w:val="14"/>
              </w:rPr>
              <w:t>Premises</w:t>
            </w:r>
            <w:r>
              <w:rPr>
                <w:spacing w:val="40"/>
                <w:sz w:val="14"/>
              </w:rPr>
              <w:t> </w:t>
            </w:r>
            <w:r>
              <w:rPr>
                <w:spacing w:val="-2"/>
                <w:sz w:val="14"/>
              </w:rPr>
              <w:t>TFP/MFV</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3"/>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140.00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151.00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7.3</w:t>
            </w:r>
          </w:p>
        </w:tc>
      </w:tr>
      <w:tr>
        <w:trPr>
          <w:trHeight w:val="352" w:hRule="atLeast"/>
        </w:trPr>
        <w:tc>
          <w:tcPr>
            <w:tcW w:w="5794" w:type="dxa"/>
          </w:tcPr>
          <w:p>
            <w:pPr>
              <w:pStyle w:val="TableParagraph"/>
              <w:spacing w:line="160" w:lineRule="atLeast" w:before="11"/>
              <w:ind w:left="107"/>
              <w:rPr>
                <w:sz w:val="14"/>
              </w:rPr>
            </w:pPr>
            <w:r>
              <w:rPr>
                <w:sz w:val="14"/>
              </w:rPr>
              <w:t>Food</w:t>
            </w:r>
            <w:r>
              <w:rPr>
                <w:spacing w:val="-5"/>
                <w:sz w:val="14"/>
              </w:rPr>
              <w:t> </w:t>
            </w:r>
            <w:r>
              <w:rPr>
                <w:sz w:val="14"/>
              </w:rPr>
              <w:t>Premises</w:t>
            </w:r>
            <w:r>
              <w:rPr>
                <w:spacing w:val="-3"/>
                <w:sz w:val="14"/>
              </w:rPr>
              <w:t> </w:t>
            </w:r>
            <w:r>
              <w:rPr>
                <w:sz w:val="14"/>
              </w:rPr>
              <w:t>Renewal</w:t>
            </w:r>
            <w:r>
              <w:rPr>
                <w:spacing w:val="-5"/>
                <w:sz w:val="14"/>
              </w:rPr>
              <w:t> </w:t>
            </w:r>
            <w:r>
              <w:rPr>
                <w:sz w:val="14"/>
              </w:rPr>
              <w:t>Fee</w:t>
            </w:r>
            <w:r>
              <w:rPr>
                <w:spacing w:val="-3"/>
                <w:sz w:val="14"/>
              </w:rPr>
              <w:t> </w:t>
            </w:r>
            <w:r>
              <w:rPr>
                <w:sz w:val="14"/>
              </w:rPr>
              <w:t>Class</w:t>
            </w:r>
            <w:r>
              <w:rPr>
                <w:spacing w:val="-3"/>
                <w:sz w:val="14"/>
              </w:rPr>
              <w:t> </w:t>
            </w:r>
            <w:r>
              <w:rPr>
                <w:sz w:val="14"/>
              </w:rPr>
              <w:t>3</w:t>
            </w:r>
            <w:r>
              <w:rPr>
                <w:spacing w:val="-6"/>
                <w:sz w:val="14"/>
              </w:rPr>
              <w:t> </w:t>
            </w:r>
            <w:r>
              <w:rPr>
                <w:sz w:val="14"/>
              </w:rPr>
              <w:t>Community/Sports</w:t>
            </w:r>
            <w:r>
              <w:rPr>
                <w:spacing w:val="-6"/>
                <w:sz w:val="14"/>
              </w:rPr>
              <w:t> </w:t>
            </w:r>
            <w:r>
              <w:rPr>
                <w:sz w:val="14"/>
              </w:rPr>
              <w:t>Group</w:t>
            </w:r>
            <w:r>
              <w:rPr>
                <w:spacing w:val="-3"/>
                <w:sz w:val="14"/>
              </w:rPr>
              <w:t> </w:t>
            </w:r>
            <w:r>
              <w:rPr>
                <w:sz w:val="14"/>
              </w:rPr>
              <w:t>-</w:t>
            </w:r>
            <w:r>
              <w:rPr>
                <w:spacing w:val="-6"/>
                <w:sz w:val="14"/>
              </w:rPr>
              <w:t> </w:t>
            </w:r>
            <w:r>
              <w:rPr>
                <w:sz w:val="14"/>
              </w:rPr>
              <w:t>Additional</w:t>
            </w:r>
            <w:r>
              <w:rPr>
                <w:spacing w:val="-5"/>
                <w:sz w:val="14"/>
              </w:rPr>
              <w:t> </w:t>
            </w:r>
            <w:r>
              <w:rPr>
                <w:sz w:val="14"/>
              </w:rPr>
              <w:t>Premises</w:t>
            </w:r>
            <w:r>
              <w:rPr>
                <w:spacing w:val="40"/>
                <w:sz w:val="14"/>
              </w:rPr>
              <w:t> </w:t>
            </w:r>
            <w:r>
              <w:rPr>
                <w:spacing w:val="-2"/>
                <w:sz w:val="14"/>
              </w:rPr>
              <w:t>TFP/MFV</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3"/>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108.00</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116.00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6.9</w:t>
            </w:r>
          </w:p>
        </w:tc>
      </w:tr>
      <w:tr>
        <w:trPr>
          <w:trHeight w:val="354" w:hRule="atLeast"/>
        </w:trPr>
        <w:tc>
          <w:tcPr>
            <w:tcW w:w="5794" w:type="dxa"/>
          </w:tcPr>
          <w:p>
            <w:pPr>
              <w:pStyle w:val="TableParagraph"/>
              <w:spacing w:line="160" w:lineRule="atLeast" w:before="14"/>
              <w:ind w:left="107"/>
              <w:rPr>
                <w:sz w:val="14"/>
              </w:rPr>
            </w:pPr>
            <w:r>
              <w:rPr>
                <w:sz w:val="14"/>
              </w:rPr>
              <w:t>Once</w:t>
            </w:r>
            <w:r>
              <w:rPr>
                <w:spacing w:val="-3"/>
                <w:sz w:val="14"/>
              </w:rPr>
              <w:t> </w:t>
            </w:r>
            <w:r>
              <w:rPr>
                <w:sz w:val="14"/>
              </w:rPr>
              <w:t>off</w:t>
            </w:r>
            <w:r>
              <w:rPr>
                <w:spacing w:val="-4"/>
                <w:sz w:val="14"/>
              </w:rPr>
              <w:t> </w:t>
            </w:r>
            <w:r>
              <w:rPr>
                <w:sz w:val="14"/>
              </w:rPr>
              <w:t>registration</w:t>
            </w:r>
            <w:r>
              <w:rPr>
                <w:spacing w:val="-3"/>
                <w:sz w:val="14"/>
              </w:rPr>
              <w:t> </w:t>
            </w:r>
            <w:r>
              <w:rPr>
                <w:sz w:val="14"/>
              </w:rPr>
              <w:t>(no</w:t>
            </w:r>
            <w:r>
              <w:rPr>
                <w:spacing w:val="-5"/>
                <w:sz w:val="14"/>
              </w:rPr>
              <w:t> </w:t>
            </w:r>
            <w:r>
              <w:rPr>
                <w:sz w:val="14"/>
              </w:rPr>
              <w:t>fixed</w:t>
            </w:r>
            <w:r>
              <w:rPr>
                <w:spacing w:val="-3"/>
                <w:sz w:val="14"/>
              </w:rPr>
              <w:t> </w:t>
            </w:r>
            <w:r>
              <w:rPr>
                <w:sz w:val="14"/>
              </w:rPr>
              <w:t>prem)</w:t>
            </w:r>
            <w:r>
              <w:rPr>
                <w:spacing w:val="-4"/>
                <w:sz w:val="14"/>
              </w:rPr>
              <w:t> </w:t>
            </w:r>
            <w:r>
              <w:rPr>
                <w:sz w:val="14"/>
              </w:rPr>
              <w:t>Class</w:t>
            </w:r>
            <w:r>
              <w:rPr>
                <w:spacing w:val="-4"/>
                <w:sz w:val="14"/>
              </w:rPr>
              <w:t> </w:t>
            </w:r>
            <w:r>
              <w:rPr>
                <w:sz w:val="14"/>
              </w:rPr>
              <w:t>2</w:t>
            </w:r>
            <w:r>
              <w:rPr>
                <w:spacing w:val="-3"/>
                <w:sz w:val="14"/>
              </w:rPr>
              <w:t> </w:t>
            </w:r>
            <w:r>
              <w:rPr>
                <w:sz w:val="14"/>
              </w:rPr>
              <w:t>Comm/Sports</w:t>
            </w:r>
            <w:r>
              <w:rPr>
                <w:spacing w:val="-3"/>
                <w:sz w:val="14"/>
              </w:rPr>
              <w:t> </w:t>
            </w:r>
            <w:r>
              <w:rPr>
                <w:sz w:val="14"/>
              </w:rPr>
              <w:t>Group</w:t>
            </w:r>
            <w:r>
              <w:rPr>
                <w:spacing w:val="-5"/>
                <w:sz w:val="14"/>
              </w:rPr>
              <w:t> </w:t>
            </w:r>
            <w:r>
              <w:rPr>
                <w:sz w:val="14"/>
              </w:rPr>
              <w:t>(including</w:t>
            </w:r>
            <w:r>
              <w:rPr>
                <w:spacing w:val="-3"/>
                <w:sz w:val="14"/>
              </w:rPr>
              <w:t> </w:t>
            </w:r>
            <w:r>
              <w:rPr>
                <w:sz w:val="14"/>
              </w:rPr>
              <w:t>fete)</w:t>
            </w:r>
            <w:r>
              <w:rPr>
                <w:spacing w:val="-3"/>
                <w:sz w:val="14"/>
              </w:rPr>
              <w:t> </w:t>
            </w:r>
            <w:r>
              <w:rPr>
                <w:sz w:val="14"/>
              </w:rPr>
              <w:t>(not</w:t>
            </w:r>
            <w:r>
              <w:rPr>
                <w:spacing w:val="40"/>
                <w:sz w:val="14"/>
              </w:rPr>
              <w:t> </w:t>
            </w:r>
            <w:r>
              <w:rPr>
                <w:spacing w:val="-2"/>
                <w:sz w:val="14"/>
              </w:rPr>
              <w:t>prorata)</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3"/>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140.00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151.00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7.3</w:t>
            </w:r>
          </w:p>
        </w:tc>
      </w:tr>
      <w:tr>
        <w:trPr>
          <w:trHeight w:val="354" w:hRule="atLeast"/>
        </w:trPr>
        <w:tc>
          <w:tcPr>
            <w:tcW w:w="5794" w:type="dxa"/>
          </w:tcPr>
          <w:p>
            <w:pPr>
              <w:pStyle w:val="TableParagraph"/>
              <w:spacing w:line="160" w:lineRule="atLeast" w:before="13"/>
              <w:ind w:left="107"/>
              <w:rPr>
                <w:sz w:val="14"/>
              </w:rPr>
            </w:pPr>
            <w:r>
              <w:rPr>
                <w:sz w:val="14"/>
              </w:rPr>
              <w:t>Once</w:t>
            </w:r>
            <w:r>
              <w:rPr>
                <w:spacing w:val="-3"/>
                <w:sz w:val="14"/>
              </w:rPr>
              <w:t> </w:t>
            </w:r>
            <w:r>
              <w:rPr>
                <w:sz w:val="14"/>
              </w:rPr>
              <w:t>off</w:t>
            </w:r>
            <w:r>
              <w:rPr>
                <w:spacing w:val="-4"/>
                <w:sz w:val="14"/>
              </w:rPr>
              <w:t> </w:t>
            </w:r>
            <w:r>
              <w:rPr>
                <w:sz w:val="14"/>
              </w:rPr>
              <w:t>registration</w:t>
            </w:r>
            <w:r>
              <w:rPr>
                <w:spacing w:val="-3"/>
                <w:sz w:val="14"/>
              </w:rPr>
              <w:t> </w:t>
            </w:r>
            <w:r>
              <w:rPr>
                <w:sz w:val="14"/>
              </w:rPr>
              <w:t>(no</w:t>
            </w:r>
            <w:r>
              <w:rPr>
                <w:spacing w:val="-5"/>
                <w:sz w:val="14"/>
              </w:rPr>
              <w:t> </w:t>
            </w:r>
            <w:r>
              <w:rPr>
                <w:sz w:val="14"/>
              </w:rPr>
              <w:t>fixed</w:t>
            </w:r>
            <w:r>
              <w:rPr>
                <w:spacing w:val="-3"/>
                <w:sz w:val="14"/>
              </w:rPr>
              <w:t> </w:t>
            </w:r>
            <w:r>
              <w:rPr>
                <w:sz w:val="14"/>
              </w:rPr>
              <w:t>prem)</w:t>
            </w:r>
            <w:r>
              <w:rPr>
                <w:spacing w:val="-4"/>
                <w:sz w:val="14"/>
              </w:rPr>
              <w:t> </w:t>
            </w:r>
            <w:r>
              <w:rPr>
                <w:sz w:val="14"/>
              </w:rPr>
              <w:t>Class</w:t>
            </w:r>
            <w:r>
              <w:rPr>
                <w:spacing w:val="-4"/>
                <w:sz w:val="14"/>
              </w:rPr>
              <w:t> </w:t>
            </w:r>
            <w:r>
              <w:rPr>
                <w:sz w:val="14"/>
              </w:rPr>
              <w:t>3</w:t>
            </w:r>
            <w:r>
              <w:rPr>
                <w:spacing w:val="-3"/>
                <w:sz w:val="14"/>
              </w:rPr>
              <w:t> </w:t>
            </w:r>
            <w:r>
              <w:rPr>
                <w:sz w:val="14"/>
              </w:rPr>
              <w:t>Comm/Sports</w:t>
            </w:r>
            <w:r>
              <w:rPr>
                <w:spacing w:val="-3"/>
                <w:sz w:val="14"/>
              </w:rPr>
              <w:t> </w:t>
            </w:r>
            <w:r>
              <w:rPr>
                <w:sz w:val="14"/>
              </w:rPr>
              <w:t>Group</w:t>
            </w:r>
            <w:r>
              <w:rPr>
                <w:spacing w:val="-5"/>
                <w:sz w:val="14"/>
              </w:rPr>
              <w:t> </w:t>
            </w:r>
            <w:r>
              <w:rPr>
                <w:sz w:val="14"/>
              </w:rPr>
              <w:t>(including</w:t>
            </w:r>
            <w:r>
              <w:rPr>
                <w:spacing w:val="-3"/>
                <w:sz w:val="14"/>
              </w:rPr>
              <w:t> </w:t>
            </w:r>
            <w:r>
              <w:rPr>
                <w:sz w:val="14"/>
              </w:rPr>
              <w:t>fete)</w:t>
            </w:r>
            <w:r>
              <w:rPr>
                <w:spacing w:val="-3"/>
                <w:sz w:val="14"/>
              </w:rPr>
              <w:t> </w:t>
            </w:r>
            <w:r>
              <w:rPr>
                <w:sz w:val="14"/>
              </w:rPr>
              <w:t>(not</w:t>
            </w:r>
            <w:r>
              <w:rPr>
                <w:spacing w:val="40"/>
                <w:sz w:val="14"/>
              </w:rPr>
              <w:t> </w:t>
            </w:r>
            <w:r>
              <w:rPr>
                <w:spacing w:val="-2"/>
                <w:sz w:val="14"/>
              </w:rPr>
              <w:t>prorata)</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3"/>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108.00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116.00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6.9</w:t>
            </w:r>
          </w:p>
        </w:tc>
      </w:tr>
      <w:tr>
        <w:trPr>
          <w:trHeight w:val="177" w:hRule="atLeast"/>
        </w:trPr>
        <w:tc>
          <w:tcPr>
            <w:tcW w:w="5794" w:type="dxa"/>
          </w:tcPr>
          <w:p>
            <w:pPr>
              <w:pStyle w:val="TableParagraph"/>
              <w:spacing w:line="142" w:lineRule="exact" w:before="15"/>
              <w:ind w:left="107"/>
              <w:rPr>
                <w:sz w:val="14"/>
              </w:rPr>
            </w:pPr>
            <w:r>
              <w:rPr>
                <w:sz w:val="14"/>
              </w:rPr>
              <w:t>Food</w:t>
            </w:r>
            <w:r>
              <w:rPr>
                <w:spacing w:val="-5"/>
                <w:sz w:val="14"/>
              </w:rPr>
              <w:t> </w:t>
            </w:r>
            <w:r>
              <w:rPr>
                <w:sz w:val="14"/>
              </w:rPr>
              <w:t>Premises</w:t>
            </w:r>
            <w:r>
              <w:rPr>
                <w:spacing w:val="-2"/>
                <w:sz w:val="14"/>
              </w:rPr>
              <w:t> </w:t>
            </w:r>
            <w:r>
              <w:rPr>
                <w:sz w:val="14"/>
              </w:rPr>
              <w:t>Additional</w:t>
            </w:r>
            <w:r>
              <w:rPr>
                <w:spacing w:val="-4"/>
                <w:sz w:val="14"/>
              </w:rPr>
              <w:t> </w:t>
            </w:r>
            <w:r>
              <w:rPr>
                <w:sz w:val="14"/>
              </w:rPr>
              <w:t>/</w:t>
            </w:r>
            <w:r>
              <w:rPr>
                <w:spacing w:val="-2"/>
                <w:sz w:val="14"/>
              </w:rPr>
              <w:t> </w:t>
            </w:r>
            <w:r>
              <w:rPr>
                <w:sz w:val="14"/>
              </w:rPr>
              <w:t>Follow</w:t>
            </w:r>
            <w:r>
              <w:rPr>
                <w:spacing w:val="-2"/>
                <w:sz w:val="14"/>
              </w:rPr>
              <w:t> </w:t>
            </w:r>
            <w:r>
              <w:rPr>
                <w:sz w:val="14"/>
              </w:rPr>
              <w:t>up</w:t>
            </w:r>
            <w:r>
              <w:rPr>
                <w:spacing w:val="-5"/>
                <w:sz w:val="14"/>
              </w:rPr>
              <w:t> </w:t>
            </w:r>
            <w:r>
              <w:rPr>
                <w:sz w:val="14"/>
              </w:rPr>
              <w:t>Inspection</w:t>
            </w:r>
            <w:r>
              <w:rPr>
                <w:spacing w:val="-5"/>
                <w:sz w:val="14"/>
              </w:rPr>
              <w:t> </w:t>
            </w:r>
            <w:r>
              <w:rPr>
                <w:sz w:val="14"/>
              </w:rPr>
              <w:t>/</w:t>
            </w:r>
            <w:r>
              <w:rPr>
                <w:spacing w:val="-5"/>
                <w:sz w:val="14"/>
              </w:rPr>
              <w:t> </w:t>
            </w:r>
            <w:r>
              <w:rPr>
                <w:sz w:val="14"/>
              </w:rPr>
              <w:t>Pre</w:t>
            </w:r>
            <w:r>
              <w:rPr>
                <w:spacing w:val="-6"/>
                <w:sz w:val="14"/>
              </w:rPr>
              <w:t> </w:t>
            </w:r>
            <w:r>
              <w:rPr>
                <w:sz w:val="14"/>
              </w:rPr>
              <w:t>Renewal</w:t>
            </w:r>
            <w:r>
              <w:rPr>
                <w:spacing w:val="-1"/>
                <w:sz w:val="14"/>
              </w:rPr>
              <w:t> </w:t>
            </w:r>
            <w:r>
              <w:rPr>
                <w:spacing w:val="-2"/>
                <w:sz w:val="14"/>
              </w:rPr>
              <w:t>Inspection</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92"/>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210.00</w:t>
            </w:r>
          </w:p>
        </w:tc>
        <w:tc>
          <w:tcPr>
            <w:tcW w:w="995" w:type="dxa"/>
          </w:tcPr>
          <w:p>
            <w:pPr>
              <w:pStyle w:val="TableParagraph"/>
              <w:spacing w:line="142" w:lineRule="exact" w:before="15"/>
              <w:ind w:right="101"/>
              <w:jc w:val="right"/>
              <w:rPr>
                <w:sz w:val="14"/>
              </w:rPr>
            </w:pPr>
            <w:r>
              <w:rPr>
                <w:spacing w:val="-2"/>
                <w:sz w:val="14"/>
              </w:rPr>
              <w:t>226.00</w:t>
            </w:r>
          </w:p>
        </w:tc>
        <w:tc>
          <w:tcPr>
            <w:tcW w:w="861" w:type="dxa"/>
          </w:tcPr>
          <w:p>
            <w:pPr>
              <w:pStyle w:val="TableParagraph"/>
              <w:spacing w:line="142" w:lineRule="exact" w:before="15"/>
              <w:ind w:left="152" w:right="154"/>
              <w:jc w:val="center"/>
              <w:rPr>
                <w:sz w:val="14"/>
              </w:rPr>
            </w:pPr>
            <w:r>
              <w:rPr>
                <w:spacing w:val="-5"/>
                <w:sz w:val="14"/>
              </w:rPr>
              <w:t>7.1</w:t>
            </w:r>
          </w:p>
        </w:tc>
      </w:tr>
      <w:tr>
        <w:trPr>
          <w:trHeight w:val="174" w:hRule="atLeast"/>
        </w:trPr>
        <w:tc>
          <w:tcPr>
            <w:tcW w:w="5794" w:type="dxa"/>
          </w:tcPr>
          <w:p>
            <w:pPr>
              <w:pStyle w:val="TableParagraph"/>
              <w:spacing w:line="140" w:lineRule="exact" w:before="15"/>
              <w:ind w:left="107"/>
              <w:rPr>
                <w:sz w:val="14"/>
              </w:rPr>
            </w:pPr>
            <w:r>
              <w:rPr>
                <w:sz w:val="14"/>
              </w:rPr>
              <w:t>Food</w:t>
            </w:r>
            <w:r>
              <w:rPr>
                <w:spacing w:val="-4"/>
                <w:sz w:val="14"/>
              </w:rPr>
              <w:t> </w:t>
            </w:r>
            <w:r>
              <w:rPr>
                <w:sz w:val="14"/>
              </w:rPr>
              <w:t>Premises</w:t>
            </w:r>
            <w:r>
              <w:rPr>
                <w:spacing w:val="-3"/>
                <w:sz w:val="14"/>
              </w:rPr>
              <w:t> </w:t>
            </w:r>
            <w:r>
              <w:rPr>
                <w:sz w:val="14"/>
              </w:rPr>
              <w:t>New</w:t>
            </w:r>
            <w:r>
              <w:rPr>
                <w:spacing w:val="-4"/>
                <w:sz w:val="14"/>
              </w:rPr>
              <w:t> </w:t>
            </w:r>
            <w:r>
              <w:rPr>
                <w:sz w:val="14"/>
              </w:rPr>
              <w:t>Proprietor</w:t>
            </w:r>
            <w:r>
              <w:rPr>
                <w:spacing w:val="-4"/>
                <w:sz w:val="14"/>
              </w:rPr>
              <w:t> </w:t>
            </w:r>
            <w:r>
              <w:rPr>
                <w:sz w:val="14"/>
              </w:rPr>
              <w:t>Fee</w:t>
            </w:r>
            <w:r>
              <w:rPr>
                <w:spacing w:val="-3"/>
                <w:sz w:val="14"/>
              </w:rPr>
              <w:t> </w:t>
            </w:r>
            <w:r>
              <w:rPr>
                <w:sz w:val="14"/>
              </w:rPr>
              <w:t>(Class</w:t>
            </w:r>
            <w:r>
              <w:rPr>
                <w:spacing w:val="-4"/>
                <w:sz w:val="14"/>
              </w:rPr>
              <w:t> </w:t>
            </w:r>
            <w:r>
              <w:rPr>
                <w:sz w:val="14"/>
              </w:rPr>
              <w:t>1,2</w:t>
            </w:r>
            <w:r>
              <w:rPr>
                <w:spacing w:val="-5"/>
                <w:sz w:val="14"/>
              </w:rPr>
              <w:t> </w:t>
            </w:r>
            <w:r>
              <w:rPr>
                <w:sz w:val="14"/>
              </w:rPr>
              <w:t>&amp;</w:t>
            </w:r>
            <w:r>
              <w:rPr>
                <w:spacing w:val="-1"/>
                <w:sz w:val="14"/>
              </w:rPr>
              <w:t> </w:t>
            </w:r>
            <w:r>
              <w:rPr>
                <w:spacing w:val="-5"/>
                <w:sz w:val="14"/>
              </w:rPr>
              <w:t>3)</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3"/>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260.00</w:t>
            </w:r>
          </w:p>
        </w:tc>
        <w:tc>
          <w:tcPr>
            <w:tcW w:w="995" w:type="dxa"/>
          </w:tcPr>
          <w:p>
            <w:pPr>
              <w:pStyle w:val="TableParagraph"/>
              <w:spacing w:line="140" w:lineRule="exact" w:before="15"/>
              <w:ind w:right="102"/>
              <w:jc w:val="right"/>
              <w:rPr>
                <w:sz w:val="14"/>
              </w:rPr>
            </w:pPr>
            <w:r>
              <w:rPr>
                <w:spacing w:val="-2"/>
                <w:sz w:val="14"/>
              </w:rPr>
              <w:t>280.00</w:t>
            </w:r>
          </w:p>
        </w:tc>
        <w:tc>
          <w:tcPr>
            <w:tcW w:w="861" w:type="dxa"/>
          </w:tcPr>
          <w:p>
            <w:pPr>
              <w:pStyle w:val="TableParagraph"/>
              <w:spacing w:line="140" w:lineRule="exact" w:before="15"/>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Plans</w:t>
            </w:r>
            <w:r>
              <w:rPr>
                <w:spacing w:val="-6"/>
                <w:sz w:val="14"/>
              </w:rPr>
              <w:t> </w:t>
            </w:r>
            <w:r>
              <w:rPr>
                <w:sz w:val="14"/>
              </w:rPr>
              <w:t>Assessment</w:t>
            </w:r>
            <w:r>
              <w:rPr>
                <w:spacing w:val="-5"/>
                <w:sz w:val="14"/>
              </w:rPr>
              <w:t> </w:t>
            </w:r>
            <w:r>
              <w:rPr>
                <w:sz w:val="14"/>
              </w:rPr>
              <w:t>(Optional</w:t>
            </w:r>
            <w:r>
              <w:rPr>
                <w:spacing w:val="-5"/>
                <w:sz w:val="14"/>
              </w:rPr>
              <w:t> </w:t>
            </w:r>
            <w:r>
              <w:rPr>
                <w:sz w:val="14"/>
              </w:rPr>
              <w:t>all</w:t>
            </w:r>
            <w:r>
              <w:rPr>
                <w:spacing w:val="-3"/>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189.00</w:t>
            </w:r>
          </w:p>
        </w:tc>
        <w:tc>
          <w:tcPr>
            <w:tcW w:w="995" w:type="dxa"/>
          </w:tcPr>
          <w:p>
            <w:pPr>
              <w:pStyle w:val="TableParagraph"/>
              <w:spacing w:line="140" w:lineRule="exact" w:before="17"/>
              <w:ind w:right="102"/>
              <w:jc w:val="right"/>
              <w:rPr>
                <w:sz w:val="14"/>
              </w:rPr>
            </w:pPr>
            <w:r>
              <w:rPr>
                <w:spacing w:val="-2"/>
                <w:sz w:val="14"/>
              </w:rPr>
              <w:t>203.00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Food</w:t>
            </w:r>
            <w:r>
              <w:rPr>
                <w:spacing w:val="-6"/>
                <w:sz w:val="14"/>
              </w:rPr>
              <w:t> </w:t>
            </w:r>
            <w:r>
              <w:rPr>
                <w:sz w:val="14"/>
              </w:rPr>
              <w:t>Premises</w:t>
            </w:r>
            <w:r>
              <w:rPr>
                <w:spacing w:val="-3"/>
                <w:sz w:val="14"/>
              </w:rPr>
              <w:t> </w:t>
            </w:r>
            <w:r>
              <w:rPr>
                <w:sz w:val="14"/>
              </w:rPr>
              <w:t>Registration</w:t>
            </w:r>
            <w:r>
              <w:rPr>
                <w:spacing w:val="-5"/>
                <w:sz w:val="14"/>
              </w:rPr>
              <w:t> </w:t>
            </w:r>
            <w:r>
              <w:rPr>
                <w:sz w:val="14"/>
              </w:rPr>
              <w:t>Fee</w:t>
            </w:r>
            <w:r>
              <w:rPr>
                <w:spacing w:val="-7"/>
                <w:sz w:val="14"/>
              </w:rPr>
              <w:t> </w:t>
            </w:r>
            <w:r>
              <w:rPr>
                <w:sz w:val="14"/>
              </w:rPr>
              <w:t>Very</w:t>
            </w:r>
            <w:r>
              <w:rPr>
                <w:spacing w:val="-5"/>
                <w:sz w:val="14"/>
              </w:rPr>
              <w:t> </w:t>
            </w:r>
            <w:r>
              <w:rPr>
                <w:sz w:val="14"/>
              </w:rPr>
              <w:t>Large</w:t>
            </w:r>
            <w:r>
              <w:rPr>
                <w:spacing w:val="-4"/>
                <w:sz w:val="14"/>
              </w:rPr>
              <w:t> </w:t>
            </w:r>
            <w:r>
              <w:rPr>
                <w:sz w:val="14"/>
              </w:rPr>
              <w:t>Manufactures</w:t>
            </w:r>
            <w:r>
              <w:rPr>
                <w:spacing w:val="-3"/>
                <w:sz w:val="14"/>
              </w:rPr>
              <w:t> </w:t>
            </w:r>
            <w:r>
              <w:rPr>
                <w:sz w:val="14"/>
              </w:rPr>
              <w:t>&amp;</w:t>
            </w:r>
            <w:r>
              <w:rPr>
                <w:spacing w:val="-5"/>
                <w:sz w:val="14"/>
              </w:rPr>
              <w:t> </w:t>
            </w:r>
            <w:r>
              <w:rPr>
                <w:spacing w:val="-2"/>
                <w:sz w:val="14"/>
              </w:rPr>
              <w:t>Supermarkets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2,725.00</w:t>
            </w:r>
          </w:p>
        </w:tc>
        <w:tc>
          <w:tcPr>
            <w:tcW w:w="995" w:type="dxa"/>
          </w:tcPr>
          <w:p>
            <w:pPr>
              <w:pStyle w:val="TableParagraph"/>
              <w:spacing w:line="140" w:lineRule="exact" w:before="17"/>
              <w:ind w:right="101"/>
              <w:jc w:val="right"/>
              <w:rPr>
                <w:sz w:val="14"/>
              </w:rPr>
            </w:pPr>
            <w:r>
              <w:rPr>
                <w:spacing w:val="-2"/>
                <w:sz w:val="14"/>
              </w:rPr>
              <w:t>2,930.00</w:t>
            </w:r>
          </w:p>
        </w:tc>
        <w:tc>
          <w:tcPr>
            <w:tcW w:w="861" w:type="dxa"/>
          </w:tcPr>
          <w:p>
            <w:pPr>
              <w:pStyle w:val="TableParagraph"/>
              <w:spacing w:line="140" w:lineRule="exact" w:before="17"/>
              <w:ind w:left="152" w:right="154"/>
              <w:jc w:val="center"/>
              <w:rPr>
                <w:sz w:val="14"/>
              </w:rPr>
            </w:pPr>
            <w:r>
              <w:rPr>
                <w:spacing w:val="-5"/>
                <w:sz w:val="14"/>
              </w:rPr>
              <w:t>7.0</w:t>
            </w:r>
          </w:p>
        </w:tc>
      </w:tr>
      <w:tr>
        <w:trPr>
          <w:trHeight w:val="323" w:hRule="atLeast"/>
        </w:trPr>
        <w:tc>
          <w:tcPr>
            <w:tcW w:w="5794" w:type="dxa"/>
          </w:tcPr>
          <w:p>
            <w:pPr>
              <w:pStyle w:val="TableParagraph"/>
              <w:spacing w:line="164" w:lineRule="exact"/>
              <w:ind w:left="107" w:right="206"/>
              <w:rPr>
                <w:sz w:val="14"/>
              </w:rPr>
            </w:pPr>
            <w:r>
              <w:rPr>
                <w:sz w:val="14"/>
              </w:rPr>
              <w:t>Food</w:t>
            </w:r>
            <w:r>
              <w:rPr>
                <w:spacing w:val="-6"/>
                <w:sz w:val="14"/>
              </w:rPr>
              <w:t> </w:t>
            </w:r>
            <w:r>
              <w:rPr>
                <w:sz w:val="14"/>
              </w:rPr>
              <w:t>Premises</w:t>
            </w:r>
            <w:r>
              <w:rPr>
                <w:spacing w:val="-5"/>
                <w:sz w:val="14"/>
              </w:rPr>
              <w:t> </w:t>
            </w:r>
            <w:r>
              <w:rPr>
                <w:sz w:val="14"/>
              </w:rPr>
              <w:t>Registration</w:t>
            </w:r>
            <w:r>
              <w:rPr>
                <w:spacing w:val="-5"/>
                <w:sz w:val="14"/>
              </w:rPr>
              <w:t> </w:t>
            </w:r>
            <w:r>
              <w:rPr>
                <w:sz w:val="14"/>
              </w:rPr>
              <w:t>Fee</w:t>
            </w:r>
            <w:r>
              <w:rPr>
                <w:spacing w:val="-8"/>
                <w:sz w:val="14"/>
              </w:rPr>
              <w:t> </w:t>
            </w:r>
            <w:r>
              <w:rPr>
                <w:sz w:val="14"/>
              </w:rPr>
              <w:t>Very</w:t>
            </w:r>
            <w:r>
              <w:rPr>
                <w:spacing w:val="-6"/>
                <w:sz w:val="14"/>
              </w:rPr>
              <w:t> </w:t>
            </w:r>
            <w:r>
              <w:rPr>
                <w:sz w:val="14"/>
              </w:rPr>
              <w:t>Large</w:t>
            </w:r>
            <w:r>
              <w:rPr>
                <w:spacing w:val="-8"/>
                <w:sz w:val="14"/>
              </w:rPr>
              <w:t> </w:t>
            </w:r>
            <w:r>
              <w:rPr>
                <w:sz w:val="14"/>
              </w:rPr>
              <w:t>Restaurants/Cafes/Hotels/Clubs</w:t>
            </w:r>
            <w:r>
              <w:rPr>
                <w:spacing w:val="-4"/>
                <w:sz w:val="14"/>
              </w:rPr>
              <w:t> </w:t>
            </w:r>
            <w:r>
              <w:rPr>
                <w:sz w:val="14"/>
              </w:rPr>
              <w:t>(&gt;100</w:t>
            </w:r>
            <w:r>
              <w:rPr>
                <w:spacing w:val="40"/>
                <w:sz w:val="14"/>
              </w:rPr>
              <w:t> </w:t>
            </w:r>
            <w:r>
              <w:rPr>
                <w:spacing w:val="-2"/>
                <w:sz w:val="14"/>
              </w:rPr>
              <w:t>seats)</w:t>
            </w:r>
          </w:p>
        </w:tc>
        <w:tc>
          <w:tcPr>
            <w:tcW w:w="1131" w:type="dxa"/>
          </w:tcPr>
          <w:p>
            <w:pPr>
              <w:pStyle w:val="TableParagraph"/>
              <w:spacing w:before="2"/>
              <w:rPr>
                <w:sz w:val="14"/>
              </w:rPr>
            </w:pPr>
          </w:p>
          <w:p>
            <w:pPr>
              <w:pStyle w:val="TableParagraph"/>
              <w:spacing w:line="140" w:lineRule="exact"/>
              <w:ind w:left="5"/>
              <w:jc w:val="center"/>
              <w:rPr>
                <w:sz w:val="14"/>
              </w:rPr>
            </w:pPr>
            <w:r>
              <w:rPr>
                <w:w w:val="99"/>
                <w:sz w:val="14"/>
              </w:rPr>
              <w:t>N</w:t>
            </w:r>
          </w:p>
        </w:tc>
        <w:tc>
          <w:tcPr>
            <w:tcW w:w="567" w:type="dxa"/>
          </w:tcPr>
          <w:p>
            <w:pPr>
              <w:pStyle w:val="TableParagraph"/>
              <w:spacing w:before="2"/>
              <w:rPr>
                <w:sz w:val="14"/>
              </w:rPr>
            </w:pPr>
          </w:p>
          <w:p>
            <w:pPr>
              <w:pStyle w:val="TableParagraph"/>
              <w:spacing w:line="140" w:lineRule="exact"/>
              <w:ind w:left="193"/>
              <w:rPr>
                <w:sz w:val="14"/>
              </w:rPr>
            </w:pPr>
            <w:r>
              <w:rPr>
                <w:spacing w:val="-5"/>
                <w:sz w:val="14"/>
              </w:rPr>
              <w:t>No</w:t>
            </w:r>
          </w:p>
        </w:tc>
        <w:tc>
          <w:tcPr>
            <w:tcW w:w="997" w:type="dxa"/>
          </w:tcPr>
          <w:p>
            <w:pPr>
              <w:pStyle w:val="TableParagraph"/>
              <w:spacing w:before="2"/>
              <w:rPr>
                <w:sz w:val="14"/>
              </w:rPr>
            </w:pPr>
          </w:p>
          <w:p>
            <w:pPr>
              <w:pStyle w:val="TableParagraph"/>
              <w:spacing w:line="140" w:lineRule="exact"/>
              <w:ind w:right="100"/>
              <w:jc w:val="right"/>
              <w:rPr>
                <w:sz w:val="14"/>
              </w:rPr>
            </w:pPr>
            <w:r>
              <w:rPr>
                <w:spacing w:val="-2"/>
                <w:sz w:val="14"/>
              </w:rPr>
              <w:t>805.00</w:t>
            </w:r>
          </w:p>
        </w:tc>
        <w:tc>
          <w:tcPr>
            <w:tcW w:w="995" w:type="dxa"/>
          </w:tcPr>
          <w:p>
            <w:pPr>
              <w:pStyle w:val="TableParagraph"/>
              <w:spacing w:before="2"/>
              <w:rPr>
                <w:sz w:val="14"/>
              </w:rPr>
            </w:pPr>
          </w:p>
          <w:p>
            <w:pPr>
              <w:pStyle w:val="TableParagraph"/>
              <w:spacing w:line="140" w:lineRule="exact"/>
              <w:ind w:right="102"/>
              <w:jc w:val="right"/>
              <w:rPr>
                <w:sz w:val="14"/>
              </w:rPr>
            </w:pPr>
            <w:r>
              <w:rPr>
                <w:spacing w:val="-2"/>
                <w:sz w:val="14"/>
              </w:rPr>
              <w:t>865.00</w:t>
            </w:r>
          </w:p>
        </w:tc>
        <w:tc>
          <w:tcPr>
            <w:tcW w:w="861" w:type="dxa"/>
          </w:tcPr>
          <w:p>
            <w:pPr>
              <w:pStyle w:val="TableParagraph"/>
              <w:spacing w:before="2"/>
              <w:rPr>
                <w:sz w:val="14"/>
              </w:rPr>
            </w:pPr>
          </w:p>
          <w:p>
            <w:pPr>
              <w:pStyle w:val="TableParagraph"/>
              <w:spacing w:line="140" w:lineRule="exact"/>
              <w:ind w:left="152" w:right="154"/>
              <w:jc w:val="center"/>
              <w:rPr>
                <w:sz w:val="14"/>
              </w:rPr>
            </w:pPr>
            <w:r>
              <w:rPr>
                <w:spacing w:val="-5"/>
                <w:sz w:val="14"/>
              </w:rPr>
              <w:t>6.9</w:t>
            </w:r>
          </w:p>
        </w:tc>
      </w:tr>
      <w:tr>
        <w:trPr>
          <w:trHeight w:val="206" w:hRule="atLeast"/>
        </w:trPr>
        <w:tc>
          <w:tcPr>
            <w:tcW w:w="5794" w:type="dxa"/>
          </w:tcPr>
          <w:p>
            <w:pPr>
              <w:pStyle w:val="TableParagraph"/>
              <w:spacing w:line="140" w:lineRule="exact" w:before="46"/>
              <w:ind w:left="107"/>
              <w:rPr>
                <w:sz w:val="14"/>
              </w:rPr>
            </w:pPr>
            <w:r>
              <w:rPr>
                <w:sz w:val="14"/>
              </w:rPr>
              <w:t>Food</w:t>
            </w:r>
            <w:r>
              <w:rPr>
                <w:spacing w:val="-4"/>
                <w:sz w:val="14"/>
              </w:rPr>
              <w:t> </w:t>
            </w:r>
            <w:r>
              <w:rPr>
                <w:sz w:val="14"/>
              </w:rPr>
              <w:t>Premises</w:t>
            </w:r>
            <w:r>
              <w:rPr>
                <w:spacing w:val="-2"/>
                <w:sz w:val="14"/>
              </w:rPr>
              <w:t> </w:t>
            </w:r>
            <w:r>
              <w:rPr>
                <w:sz w:val="14"/>
              </w:rPr>
              <w:t>Renewal</w:t>
            </w:r>
            <w:r>
              <w:rPr>
                <w:spacing w:val="-4"/>
                <w:sz w:val="14"/>
              </w:rPr>
              <w:t> </w:t>
            </w:r>
            <w:r>
              <w:rPr>
                <w:sz w:val="14"/>
              </w:rPr>
              <w:t>High</w:t>
            </w:r>
            <w:r>
              <w:rPr>
                <w:spacing w:val="-6"/>
                <w:sz w:val="14"/>
              </w:rPr>
              <w:t> </w:t>
            </w:r>
            <w:r>
              <w:rPr>
                <w:sz w:val="14"/>
              </w:rPr>
              <w:t>Risk</w:t>
            </w:r>
            <w:r>
              <w:rPr>
                <w:spacing w:val="-2"/>
                <w:sz w:val="14"/>
              </w:rPr>
              <w:t> </w:t>
            </w:r>
            <w:r>
              <w:rPr>
                <w:sz w:val="14"/>
              </w:rPr>
              <w:t>Category</w:t>
            </w:r>
            <w:r>
              <w:rPr>
                <w:spacing w:val="-3"/>
                <w:sz w:val="14"/>
              </w:rPr>
              <w:t> </w:t>
            </w:r>
            <w:r>
              <w:rPr>
                <w:sz w:val="14"/>
              </w:rPr>
              <w:t>-</w:t>
            </w:r>
            <w:r>
              <w:rPr>
                <w:spacing w:val="-4"/>
                <w:sz w:val="14"/>
              </w:rPr>
              <w:t> </w:t>
            </w:r>
            <w:r>
              <w:rPr>
                <w:sz w:val="14"/>
              </w:rPr>
              <w:t>Very</w:t>
            </w:r>
            <w:r>
              <w:rPr>
                <w:spacing w:val="-5"/>
                <w:sz w:val="14"/>
              </w:rPr>
              <w:t> </w:t>
            </w:r>
            <w:r>
              <w:rPr>
                <w:sz w:val="14"/>
              </w:rPr>
              <w:t>Large</w:t>
            </w:r>
            <w:r>
              <w:rPr>
                <w:spacing w:val="-3"/>
                <w:sz w:val="14"/>
              </w:rPr>
              <w:t> </w:t>
            </w:r>
            <w:r>
              <w:rPr>
                <w:spacing w:val="-2"/>
                <w:sz w:val="14"/>
              </w:rPr>
              <w:t>Manufacturers/Supermarkets</w:t>
            </w:r>
          </w:p>
        </w:tc>
        <w:tc>
          <w:tcPr>
            <w:tcW w:w="1131" w:type="dxa"/>
          </w:tcPr>
          <w:p>
            <w:pPr>
              <w:pStyle w:val="TableParagraph"/>
              <w:spacing w:line="140" w:lineRule="exact" w:before="46"/>
              <w:ind w:left="5"/>
              <w:jc w:val="center"/>
              <w:rPr>
                <w:sz w:val="14"/>
              </w:rPr>
            </w:pPr>
            <w:r>
              <w:rPr>
                <w:w w:val="99"/>
                <w:sz w:val="14"/>
              </w:rPr>
              <w:t>N</w:t>
            </w:r>
          </w:p>
        </w:tc>
        <w:tc>
          <w:tcPr>
            <w:tcW w:w="567" w:type="dxa"/>
          </w:tcPr>
          <w:p>
            <w:pPr>
              <w:pStyle w:val="TableParagraph"/>
              <w:spacing w:line="140" w:lineRule="exact" w:before="46"/>
              <w:ind w:left="193"/>
              <w:rPr>
                <w:sz w:val="14"/>
              </w:rPr>
            </w:pPr>
            <w:r>
              <w:rPr>
                <w:spacing w:val="-5"/>
                <w:sz w:val="14"/>
              </w:rPr>
              <w:t>No</w:t>
            </w:r>
          </w:p>
        </w:tc>
        <w:tc>
          <w:tcPr>
            <w:tcW w:w="997" w:type="dxa"/>
          </w:tcPr>
          <w:p>
            <w:pPr>
              <w:pStyle w:val="TableParagraph"/>
              <w:spacing w:line="140" w:lineRule="exact" w:before="46"/>
              <w:ind w:right="100"/>
              <w:jc w:val="right"/>
              <w:rPr>
                <w:sz w:val="14"/>
              </w:rPr>
            </w:pPr>
            <w:r>
              <w:rPr>
                <w:spacing w:val="-2"/>
                <w:sz w:val="14"/>
              </w:rPr>
              <w:t>3,300.00</w:t>
            </w:r>
          </w:p>
        </w:tc>
        <w:tc>
          <w:tcPr>
            <w:tcW w:w="995" w:type="dxa"/>
          </w:tcPr>
          <w:p>
            <w:pPr>
              <w:pStyle w:val="TableParagraph"/>
              <w:spacing w:line="140" w:lineRule="exact" w:before="46"/>
              <w:ind w:right="101"/>
              <w:jc w:val="right"/>
              <w:rPr>
                <w:sz w:val="14"/>
              </w:rPr>
            </w:pPr>
            <w:r>
              <w:rPr>
                <w:spacing w:val="-2"/>
                <w:sz w:val="14"/>
              </w:rPr>
              <w:t>3,548.00</w:t>
            </w:r>
          </w:p>
        </w:tc>
        <w:tc>
          <w:tcPr>
            <w:tcW w:w="861" w:type="dxa"/>
          </w:tcPr>
          <w:p>
            <w:pPr>
              <w:pStyle w:val="TableParagraph"/>
              <w:spacing w:line="140" w:lineRule="exact" w:before="46"/>
              <w:ind w:left="152" w:right="154"/>
              <w:jc w:val="center"/>
              <w:rPr>
                <w:sz w:val="14"/>
              </w:rPr>
            </w:pPr>
            <w:r>
              <w:rPr>
                <w:spacing w:val="-5"/>
                <w:sz w:val="14"/>
              </w:rPr>
              <w:t>7.0</w:t>
            </w:r>
          </w:p>
        </w:tc>
      </w:tr>
      <w:tr>
        <w:trPr>
          <w:trHeight w:val="352" w:hRule="atLeast"/>
        </w:trPr>
        <w:tc>
          <w:tcPr>
            <w:tcW w:w="5794" w:type="dxa"/>
          </w:tcPr>
          <w:p>
            <w:pPr>
              <w:pStyle w:val="TableParagraph"/>
              <w:spacing w:line="160" w:lineRule="atLeast" w:before="11"/>
              <w:ind w:left="107" w:right="174"/>
              <w:rPr>
                <w:sz w:val="14"/>
              </w:rPr>
            </w:pPr>
            <w:r>
              <w:rPr>
                <w:sz w:val="14"/>
              </w:rPr>
              <w:t>Food</w:t>
            </w:r>
            <w:r>
              <w:rPr>
                <w:spacing w:val="-6"/>
                <w:sz w:val="14"/>
              </w:rPr>
              <w:t> </w:t>
            </w:r>
            <w:r>
              <w:rPr>
                <w:sz w:val="14"/>
              </w:rPr>
              <w:t>Premises</w:t>
            </w:r>
            <w:r>
              <w:rPr>
                <w:spacing w:val="-4"/>
                <w:sz w:val="14"/>
              </w:rPr>
              <w:t> </w:t>
            </w:r>
            <w:r>
              <w:rPr>
                <w:sz w:val="14"/>
              </w:rPr>
              <w:t>Renewal</w:t>
            </w:r>
            <w:r>
              <w:rPr>
                <w:spacing w:val="-6"/>
                <w:sz w:val="14"/>
              </w:rPr>
              <w:t> </w:t>
            </w:r>
            <w:r>
              <w:rPr>
                <w:sz w:val="14"/>
              </w:rPr>
              <w:t>High</w:t>
            </w:r>
            <w:r>
              <w:rPr>
                <w:spacing w:val="-7"/>
                <w:sz w:val="14"/>
              </w:rPr>
              <w:t> </w:t>
            </w:r>
            <w:r>
              <w:rPr>
                <w:sz w:val="14"/>
              </w:rPr>
              <w:t>Risk</w:t>
            </w:r>
            <w:r>
              <w:rPr>
                <w:spacing w:val="-4"/>
                <w:sz w:val="14"/>
              </w:rPr>
              <w:t> </w:t>
            </w:r>
            <w:r>
              <w:rPr>
                <w:sz w:val="14"/>
              </w:rPr>
              <w:t>Category</w:t>
            </w:r>
            <w:r>
              <w:rPr>
                <w:spacing w:val="-4"/>
                <w:sz w:val="14"/>
              </w:rPr>
              <w:t> </w:t>
            </w:r>
            <w:r>
              <w:rPr>
                <w:sz w:val="14"/>
              </w:rPr>
              <w:t>-</w:t>
            </w:r>
            <w:r>
              <w:rPr>
                <w:spacing w:val="-7"/>
                <w:sz w:val="14"/>
              </w:rPr>
              <w:t> </w:t>
            </w:r>
            <w:r>
              <w:rPr>
                <w:sz w:val="14"/>
              </w:rPr>
              <w:t>Very</w:t>
            </w:r>
            <w:r>
              <w:rPr>
                <w:spacing w:val="-6"/>
                <w:sz w:val="14"/>
              </w:rPr>
              <w:t> </w:t>
            </w:r>
            <w:r>
              <w:rPr>
                <w:sz w:val="14"/>
              </w:rPr>
              <w:t>Large</w:t>
            </w:r>
            <w:r>
              <w:rPr>
                <w:spacing w:val="40"/>
                <w:sz w:val="14"/>
              </w:rPr>
              <w:t> </w:t>
            </w:r>
            <w:r>
              <w:rPr>
                <w:sz w:val="14"/>
              </w:rPr>
              <w:t>Restaurants/Cafes/Hotels/Clubs (&gt;100 seats)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3"/>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975.00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1,048.00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Premises</w:t>
            </w:r>
            <w:r>
              <w:rPr>
                <w:spacing w:val="-3"/>
                <w:sz w:val="14"/>
              </w:rPr>
              <w:t> </w:t>
            </w:r>
            <w:r>
              <w:rPr>
                <w:sz w:val="14"/>
              </w:rPr>
              <w:t>one-off</w:t>
            </w:r>
            <w:r>
              <w:rPr>
                <w:spacing w:val="-4"/>
                <w:sz w:val="14"/>
              </w:rPr>
              <w:t> </w:t>
            </w:r>
            <w:r>
              <w:rPr>
                <w:sz w:val="14"/>
              </w:rPr>
              <w:t>Registration</w:t>
            </w:r>
            <w:r>
              <w:rPr>
                <w:spacing w:val="-3"/>
                <w:sz w:val="14"/>
              </w:rPr>
              <w:t> </w:t>
            </w:r>
            <w:r>
              <w:rPr>
                <w:sz w:val="14"/>
              </w:rPr>
              <w:t>-</w:t>
            </w:r>
            <w:r>
              <w:rPr>
                <w:spacing w:val="-3"/>
                <w:sz w:val="14"/>
              </w:rPr>
              <w:t> </w:t>
            </w:r>
            <w:r>
              <w:rPr>
                <w:sz w:val="14"/>
              </w:rPr>
              <w:t>Low</w:t>
            </w:r>
            <w:r>
              <w:rPr>
                <w:spacing w:val="-4"/>
                <w:sz w:val="14"/>
              </w:rPr>
              <w:t> </w:t>
            </w:r>
            <w:r>
              <w:rPr>
                <w:sz w:val="14"/>
              </w:rPr>
              <w:t>Risk</w:t>
            </w:r>
            <w:r>
              <w:rPr>
                <w:spacing w:val="-6"/>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290.00</w:t>
            </w:r>
          </w:p>
        </w:tc>
        <w:tc>
          <w:tcPr>
            <w:tcW w:w="995" w:type="dxa"/>
          </w:tcPr>
          <w:p>
            <w:pPr>
              <w:pStyle w:val="TableParagraph"/>
              <w:spacing w:line="140" w:lineRule="exact" w:before="17"/>
              <w:ind w:right="102"/>
              <w:jc w:val="right"/>
              <w:rPr>
                <w:sz w:val="14"/>
              </w:rPr>
            </w:pPr>
            <w:r>
              <w:rPr>
                <w:spacing w:val="-2"/>
                <w:sz w:val="14"/>
              </w:rPr>
              <w:t>312.00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4"/>
                <w:sz w:val="14"/>
              </w:rPr>
              <w:t> </w:t>
            </w:r>
            <w:r>
              <w:rPr>
                <w:sz w:val="14"/>
              </w:rPr>
              <w:t>Registration</w:t>
            </w:r>
            <w:r>
              <w:rPr>
                <w:spacing w:val="-3"/>
                <w:sz w:val="14"/>
              </w:rPr>
              <w:t> </w:t>
            </w:r>
            <w:r>
              <w:rPr>
                <w:sz w:val="14"/>
              </w:rPr>
              <w:t>Fee</w:t>
            </w:r>
            <w:r>
              <w:rPr>
                <w:spacing w:val="-2"/>
                <w:sz w:val="14"/>
              </w:rPr>
              <w:t> </w:t>
            </w:r>
            <w:r>
              <w:rPr>
                <w:sz w:val="14"/>
              </w:rPr>
              <w:t>-</w:t>
            </w:r>
            <w:r>
              <w:rPr>
                <w:spacing w:val="-5"/>
                <w:sz w:val="14"/>
              </w:rPr>
              <w:t> </w:t>
            </w:r>
            <w:r>
              <w:rPr>
                <w:sz w:val="14"/>
              </w:rPr>
              <w:t>Low</w:t>
            </w:r>
            <w:r>
              <w:rPr>
                <w:spacing w:val="-4"/>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215.00</w:t>
            </w:r>
          </w:p>
        </w:tc>
        <w:tc>
          <w:tcPr>
            <w:tcW w:w="995" w:type="dxa"/>
          </w:tcPr>
          <w:p>
            <w:pPr>
              <w:pStyle w:val="TableParagraph"/>
              <w:spacing w:line="140" w:lineRule="exact" w:before="17"/>
              <w:ind w:right="102"/>
              <w:jc w:val="right"/>
              <w:rPr>
                <w:sz w:val="14"/>
              </w:rPr>
            </w:pPr>
            <w:r>
              <w:rPr>
                <w:spacing w:val="-2"/>
                <w:sz w:val="14"/>
              </w:rPr>
              <w:t>231.00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Premises</w:t>
            </w:r>
            <w:r>
              <w:rPr>
                <w:spacing w:val="-4"/>
                <w:sz w:val="14"/>
              </w:rPr>
              <w:t> </w:t>
            </w:r>
            <w:r>
              <w:rPr>
                <w:sz w:val="14"/>
              </w:rPr>
              <w:t>Registration</w:t>
            </w:r>
            <w:r>
              <w:rPr>
                <w:spacing w:val="-4"/>
                <w:sz w:val="14"/>
              </w:rPr>
              <w:t> </w:t>
            </w:r>
            <w:r>
              <w:rPr>
                <w:sz w:val="14"/>
              </w:rPr>
              <w:t>Fee</w:t>
            </w:r>
            <w:r>
              <w:rPr>
                <w:spacing w:val="-2"/>
                <w:sz w:val="14"/>
              </w:rPr>
              <w:t> </w:t>
            </w:r>
            <w:r>
              <w:rPr>
                <w:sz w:val="14"/>
              </w:rPr>
              <w:t>-</w:t>
            </w:r>
            <w:r>
              <w:rPr>
                <w:spacing w:val="-3"/>
                <w:sz w:val="14"/>
              </w:rPr>
              <w:t> </w:t>
            </w:r>
            <w:r>
              <w:rPr>
                <w:sz w:val="14"/>
              </w:rPr>
              <w:t>Medium</w:t>
            </w:r>
            <w:r>
              <w:rPr>
                <w:spacing w:val="-3"/>
                <w:sz w:val="14"/>
              </w:rPr>
              <w:t> </w:t>
            </w:r>
            <w:r>
              <w:rPr>
                <w:sz w:val="14"/>
              </w:rPr>
              <w:t>Risk</w:t>
            </w:r>
            <w:r>
              <w:rPr>
                <w:spacing w:val="-5"/>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278.00</w:t>
            </w:r>
          </w:p>
        </w:tc>
        <w:tc>
          <w:tcPr>
            <w:tcW w:w="995" w:type="dxa"/>
          </w:tcPr>
          <w:p>
            <w:pPr>
              <w:pStyle w:val="TableParagraph"/>
              <w:spacing w:line="140" w:lineRule="exact" w:before="17"/>
              <w:ind w:right="102"/>
              <w:jc w:val="right"/>
              <w:rPr>
                <w:sz w:val="14"/>
              </w:rPr>
            </w:pPr>
            <w:r>
              <w:rPr>
                <w:spacing w:val="-2"/>
                <w:sz w:val="14"/>
              </w:rPr>
              <w:t>300.00</w:t>
            </w:r>
          </w:p>
        </w:tc>
        <w:tc>
          <w:tcPr>
            <w:tcW w:w="861" w:type="dxa"/>
          </w:tcPr>
          <w:p>
            <w:pPr>
              <w:pStyle w:val="TableParagraph"/>
              <w:spacing w:line="140" w:lineRule="exact" w:before="17"/>
              <w:ind w:left="152" w:right="154"/>
              <w:jc w:val="center"/>
              <w:rPr>
                <w:sz w:val="14"/>
              </w:rPr>
            </w:pPr>
            <w:r>
              <w:rPr>
                <w:spacing w:val="-5"/>
                <w:sz w:val="14"/>
              </w:rPr>
              <w:t>7.3</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4"/>
                <w:sz w:val="14"/>
              </w:rPr>
              <w:t> </w:t>
            </w:r>
            <w:r>
              <w:rPr>
                <w:sz w:val="14"/>
              </w:rPr>
              <w:t>Registration</w:t>
            </w:r>
            <w:r>
              <w:rPr>
                <w:spacing w:val="-3"/>
                <w:sz w:val="14"/>
              </w:rPr>
              <w:t> </w:t>
            </w:r>
            <w:r>
              <w:rPr>
                <w:sz w:val="14"/>
              </w:rPr>
              <w:t>-</w:t>
            </w:r>
            <w:r>
              <w:rPr>
                <w:spacing w:val="-4"/>
                <w:sz w:val="14"/>
              </w:rPr>
              <w:t> </w:t>
            </w:r>
            <w:r>
              <w:rPr>
                <w:sz w:val="14"/>
              </w:rPr>
              <w:t>High</w:t>
            </w:r>
            <w:r>
              <w:rPr>
                <w:spacing w:val="-3"/>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345.00</w:t>
            </w:r>
          </w:p>
        </w:tc>
        <w:tc>
          <w:tcPr>
            <w:tcW w:w="995" w:type="dxa"/>
          </w:tcPr>
          <w:p>
            <w:pPr>
              <w:pStyle w:val="TableParagraph"/>
              <w:spacing w:line="140" w:lineRule="exact" w:before="17"/>
              <w:ind w:right="102"/>
              <w:jc w:val="right"/>
              <w:rPr>
                <w:sz w:val="14"/>
              </w:rPr>
            </w:pPr>
            <w:r>
              <w:rPr>
                <w:spacing w:val="-2"/>
                <w:sz w:val="14"/>
              </w:rPr>
              <w:t>371.00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Health</w:t>
            </w:r>
            <w:r>
              <w:rPr>
                <w:spacing w:val="-6"/>
                <w:sz w:val="14"/>
              </w:rPr>
              <w:t> </w:t>
            </w:r>
            <w:r>
              <w:rPr>
                <w:sz w:val="14"/>
              </w:rPr>
              <w:t>Premises</w:t>
            </w:r>
            <w:r>
              <w:rPr>
                <w:spacing w:val="-6"/>
                <w:sz w:val="14"/>
              </w:rPr>
              <w:t> </w:t>
            </w:r>
            <w:r>
              <w:rPr>
                <w:sz w:val="14"/>
              </w:rPr>
              <w:t>Transfer</w:t>
            </w:r>
            <w:r>
              <w:rPr>
                <w:spacing w:val="-4"/>
                <w:sz w:val="14"/>
              </w:rPr>
              <w:t> </w:t>
            </w:r>
            <w:r>
              <w:rPr>
                <w:sz w:val="14"/>
              </w:rPr>
              <w:t>Registration</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158.00</w:t>
            </w:r>
          </w:p>
        </w:tc>
        <w:tc>
          <w:tcPr>
            <w:tcW w:w="995" w:type="dxa"/>
          </w:tcPr>
          <w:p>
            <w:pPr>
              <w:pStyle w:val="TableParagraph"/>
              <w:spacing w:line="140" w:lineRule="exact" w:before="17"/>
              <w:ind w:right="102"/>
              <w:jc w:val="right"/>
              <w:rPr>
                <w:sz w:val="14"/>
              </w:rPr>
            </w:pPr>
            <w:r>
              <w:rPr>
                <w:spacing w:val="-2"/>
                <w:sz w:val="14"/>
              </w:rPr>
              <w:t>170.00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4"/>
                <w:sz w:val="14"/>
              </w:rPr>
              <w:t> </w:t>
            </w:r>
            <w:r>
              <w:rPr>
                <w:sz w:val="14"/>
              </w:rPr>
              <w:t>Renewal</w:t>
            </w:r>
            <w:r>
              <w:rPr>
                <w:spacing w:val="-2"/>
                <w:sz w:val="14"/>
              </w:rPr>
              <w:t> </w:t>
            </w:r>
            <w:r>
              <w:rPr>
                <w:sz w:val="14"/>
              </w:rPr>
              <w:t>Fee</w:t>
            </w:r>
            <w:r>
              <w:rPr>
                <w:spacing w:val="-1"/>
                <w:sz w:val="14"/>
              </w:rPr>
              <w:t> </w:t>
            </w:r>
            <w:r>
              <w:rPr>
                <w:sz w:val="14"/>
              </w:rPr>
              <w:t>-</w:t>
            </w:r>
            <w:r>
              <w:rPr>
                <w:spacing w:val="-4"/>
                <w:sz w:val="14"/>
              </w:rPr>
              <w:t> </w:t>
            </w:r>
            <w:r>
              <w:rPr>
                <w:sz w:val="14"/>
              </w:rPr>
              <w:t>Low</w:t>
            </w:r>
            <w:r>
              <w:rPr>
                <w:spacing w:val="-4"/>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215.00</w:t>
            </w:r>
          </w:p>
        </w:tc>
        <w:tc>
          <w:tcPr>
            <w:tcW w:w="995" w:type="dxa"/>
          </w:tcPr>
          <w:p>
            <w:pPr>
              <w:pStyle w:val="TableParagraph"/>
              <w:spacing w:line="140" w:lineRule="exact" w:before="17"/>
              <w:ind w:right="102"/>
              <w:jc w:val="right"/>
              <w:rPr>
                <w:sz w:val="14"/>
              </w:rPr>
            </w:pPr>
            <w:r>
              <w:rPr>
                <w:spacing w:val="-2"/>
                <w:sz w:val="14"/>
              </w:rPr>
              <w:t>231.00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4"/>
                <w:sz w:val="14"/>
              </w:rPr>
              <w:t> </w:t>
            </w:r>
            <w:r>
              <w:rPr>
                <w:sz w:val="14"/>
              </w:rPr>
              <w:t>Renewal</w:t>
            </w:r>
            <w:r>
              <w:rPr>
                <w:spacing w:val="-2"/>
                <w:sz w:val="14"/>
              </w:rPr>
              <w:t> </w:t>
            </w:r>
            <w:r>
              <w:rPr>
                <w:sz w:val="14"/>
              </w:rPr>
              <w:t>Fee</w:t>
            </w:r>
            <w:r>
              <w:rPr>
                <w:spacing w:val="-2"/>
                <w:sz w:val="14"/>
              </w:rPr>
              <w:t> </w:t>
            </w:r>
            <w:r>
              <w:rPr>
                <w:sz w:val="14"/>
              </w:rPr>
              <w:t>-</w:t>
            </w:r>
            <w:r>
              <w:rPr>
                <w:spacing w:val="-4"/>
                <w:sz w:val="14"/>
              </w:rPr>
              <w:t> </w:t>
            </w:r>
            <w:r>
              <w:rPr>
                <w:sz w:val="14"/>
              </w:rPr>
              <w:t>Medium</w:t>
            </w:r>
            <w:r>
              <w:rPr>
                <w:spacing w:val="-3"/>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278.00</w:t>
            </w:r>
          </w:p>
        </w:tc>
        <w:tc>
          <w:tcPr>
            <w:tcW w:w="995" w:type="dxa"/>
          </w:tcPr>
          <w:p>
            <w:pPr>
              <w:pStyle w:val="TableParagraph"/>
              <w:spacing w:line="140" w:lineRule="exact" w:before="17"/>
              <w:ind w:right="102"/>
              <w:jc w:val="right"/>
              <w:rPr>
                <w:sz w:val="14"/>
              </w:rPr>
            </w:pPr>
            <w:r>
              <w:rPr>
                <w:spacing w:val="-2"/>
                <w:sz w:val="14"/>
              </w:rPr>
              <w:t>300.00</w:t>
            </w:r>
          </w:p>
        </w:tc>
        <w:tc>
          <w:tcPr>
            <w:tcW w:w="861" w:type="dxa"/>
          </w:tcPr>
          <w:p>
            <w:pPr>
              <w:pStyle w:val="TableParagraph"/>
              <w:spacing w:line="140" w:lineRule="exact" w:before="17"/>
              <w:ind w:left="152" w:right="154"/>
              <w:jc w:val="center"/>
              <w:rPr>
                <w:sz w:val="14"/>
              </w:rPr>
            </w:pPr>
            <w:r>
              <w:rPr>
                <w:spacing w:val="-5"/>
                <w:sz w:val="14"/>
              </w:rPr>
              <w:t>7.3</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3"/>
                <w:sz w:val="14"/>
              </w:rPr>
              <w:t> </w:t>
            </w:r>
            <w:r>
              <w:rPr>
                <w:sz w:val="14"/>
              </w:rPr>
              <w:t>Renewal</w:t>
            </w:r>
            <w:r>
              <w:rPr>
                <w:spacing w:val="-2"/>
                <w:sz w:val="14"/>
              </w:rPr>
              <w:t> </w:t>
            </w:r>
            <w:r>
              <w:rPr>
                <w:sz w:val="14"/>
              </w:rPr>
              <w:t>Fee</w:t>
            </w:r>
            <w:r>
              <w:rPr>
                <w:spacing w:val="35"/>
                <w:sz w:val="14"/>
              </w:rPr>
              <w:t> </w:t>
            </w:r>
            <w:r>
              <w:rPr>
                <w:sz w:val="14"/>
              </w:rPr>
              <w:t>-</w:t>
            </w:r>
            <w:r>
              <w:rPr>
                <w:spacing w:val="-5"/>
                <w:sz w:val="14"/>
              </w:rPr>
              <w:t> </w:t>
            </w:r>
            <w:r>
              <w:rPr>
                <w:sz w:val="14"/>
              </w:rPr>
              <w:t>High</w:t>
            </w:r>
            <w:r>
              <w:rPr>
                <w:spacing w:val="-2"/>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345.00</w:t>
            </w:r>
          </w:p>
        </w:tc>
        <w:tc>
          <w:tcPr>
            <w:tcW w:w="995" w:type="dxa"/>
          </w:tcPr>
          <w:p>
            <w:pPr>
              <w:pStyle w:val="TableParagraph"/>
              <w:spacing w:line="140" w:lineRule="exact" w:before="17"/>
              <w:ind w:right="102"/>
              <w:jc w:val="right"/>
              <w:rPr>
                <w:sz w:val="14"/>
              </w:rPr>
            </w:pPr>
            <w:r>
              <w:rPr>
                <w:spacing w:val="-2"/>
                <w:sz w:val="14"/>
              </w:rPr>
              <w:t>371.00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Premises</w:t>
            </w:r>
            <w:r>
              <w:rPr>
                <w:spacing w:val="-4"/>
                <w:sz w:val="14"/>
              </w:rPr>
              <w:t> </w:t>
            </w:r>
            <w:r>
              <w:rPr>
                <w:sz w:val="14"/>
              </w:rPr>
              <w:t>Renewal</w:t>
            </w:r>
            <w:r>
              <w:rPr>
                <w:spacing w:val="-2"/>
                <w:sz w:val="14"/>
              </w:rPr>
              <w:t> </w:t>
            </w:r>
            <w:r>
              <w:rPr>
                <w:sz w:val="14"/>
              </w:rPr>
              <w:t>-</w:t>
            </w:r>
            <w:r>
              <w:rPr>
                <w:spacing w:val="-5"/>
                <w:sz w:val="14"/>
              </w:rPr>
              <w:t> </w:t>
            </w:r>
            <w:r>
              <w:rPr>
                <w:sz w:val="14"/>
              </w:rPr>
              <w:t>High</w:t>
            </w:r>
            <w:r>
              <w:rPr>
                <w:spacing w:val="-5"/>
                <w:sz w:val="14"/>
              </w:rPr>
              <w:t> </w:t>
            </w:r>
            <w:r>
              <w:rPr>
                <w:sz w:val="14"/>
              </w:rPr>
              <w:t>Risk</w:t>
            </w:r>
            <w:r>
              <w:rPr>
                <w:spacing w:val="-2"/>
                <w:sz w:val="14"/>
              </w:rPr>
              <w:t> </w:t>
            </w:r>
            <w:r>
              <w:rPr>
                <w:sz w:val="14"/>
              </w:rPr>
              <w:t>Category</w:t>
            </w:r>
            <w:r>
              <w:rPr>
                <w:spacing w:val="-5"/>
                <w:sz w:val="14"/>
              </w:rPr>
              <w:t> </w:t>
            </w:r>
            <w:r>
              <w:rPr>
                <w:sz w:val="14"/>
              </w:rPr>
              <w:t>(Medium</w:t>
            </w:r>
            <w:r>
              <w:rPr>
                <w:spacing w:val="-2"/>
                <w:sz w:val="14"/>
              </w:rPr>
              <w:t> </w:t>
            </w:r>
            <w:r>
              <w:rPr>
                <w:sz w:val="14"/>
              </w:rPr>
              <w:t>Risk</w:t>
            </w:r>
            <w:r>
              <w:rPr>
                <w:spacing w:val="-3"/>
                <w:sz w:val="14"/>
              </w:rPr>
              <w:t> </w:t>
            </w:r>
            <w:r>
              <w:rPr>
                <w:spacing w:val="-2"/>
                <w:sz w:val="14"/>
              </w:rPr>
              <w:t>Activities/Aquatics)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345.00</w:t>
            </w:r>
          </w:p>
        </w:tc>
        <w:tc>
          <w:tcPr>
            <w:tcW w:w="995" w:type="dxa"/>
          </w:tcPr>
          <w:p>
            <w:pPr>
              <w:pStyle w:val="TableParagraph"/>
              <w:spacing w:line="140" w:lineRule="exact" w:before="17"/>
              <w:ind w:right="102"/>
              <w:jc w:val="right"/>
              <w:rPr>
                <w:sz w:val="14"/>
              </w:rPr>
            </w:pPr>
            <w:r>
              <w:rPr>
                <w:spacing w:val="-2"/>
                <w:sz w:val="14"/>
              </w:rPr>
              <w:t>371.00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Health</w:t>
            </w:r>
            <w:r>
              <w:rPr>
                <w:spacing w:val="-4"/>
                <w:sz w:val="14"/>
              </w:rPr>
              <w:t> </w:t>
            </w:r>
            <w:r>
              <w:rPr>
                <w:sz w:val="14"/>
              </w:rPr>
              <w:t>Premises</w:t>
            </w:r>
            <w:r>
              <w:rPr>
                <w:spacing w:val="-4"/>
                <w:sz w:val="14"/>
              </w:rPr>
              <w:t> </w:t>
            </w:r>
            <w:r>
              <w:rPr>
                <w:sz w:val="14"/>
              </w:rPr>
              <w:t>Renewal</w:t>
            </w:r>
            <w:r>
              <w:rPr>
                <w:spacing w:val="-3"/>
                <w:sz w:val="14"/>
              </w:rPr>
              <w:t> </w:t>
            </w:r>
            <w:r>
              <w:rPr>
                <w:sz w:val="14"/>
              </w:rPr>
              <w:t>-</w:t>
            </w:r>
            <w:r>
              <w:rPr>
                <w:spacing w:val="-4"/>
                <w:sz w:val="14"/>
              </w:rPr>
              <w:t> </w:t>
            </w:r>
            <w:r>
              <w:rPr>
                <w:sz w:val="14"/>
              </w:rPr>
              <w:t>Low</w:t>
            </w:r>
            <w:r>
              <w:rPr>
                <w:spacing w:val="-4"/>
                <w:sz w:val="14"/>
              </w:rPr>
              <w:t> </w:t>
            </w:r>
            <w:r>
              <w:rPr>
                <w:sz w:val="14"/>
              </w:rPr>
              <w:t>Risk</w:t>
            </w:r>
            <w:r>
              <w:rPr>
                <w:spacing w:val="-4"/>
                <w:sz w:val="14"/>
              </w:rPr>
              <w:t> </w:t>
            </w:r>
            <w:r>
              <w:rPr>
                <w:sz w:val="14"/>
              </w:rPr>
              <w:t>Category</w:t>
            </w:r>
            <w:r>
              <w:rPr>
                <w:spacing w:val="-5"/>
                <w:sz w:val="14"/>
              </w:rPr>
              <w:t> </w:t>
            </w:r>
            <w:r>
              <w:rPr>
                <w:sz w:val="14"/>
              </w:rPr>
              <w:t>(Medium</w:t>
            </w:r>
            <w:r>
              <w:rPr>
                <w:spacing w:val="-2"/>
                <w:sz w:val="14"/>
              </w:rPr>
              <w:t> </w:t>
            </w:r>
            <w:r>
              <w:rPr>
                <w:sz w:val="14"/>
              </w:rPr>
              <w:t>Risk</w:t>
            </w:r>
            <w:r>
              <w:rPr>
                <w:spacing w:val="-2"/>
                <w:sz w:val="14"/>
              </w:rPr>
              <w:t> Activities/Aquatics)</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92"/>
              <w:rPr>
                <w:sz w:val="14"/>
              </w:rPr>
            </w:pPr>
            <w:r>
              <w:rPr>
                <w:spacing w:val="-5"/>
                <w:sz w:val="14"/>
              </w:rPr>
              <w:t>No</w:t>
            </w:r>
          </w:p>
        </w:tc>
        <w:tc>
          <w:tcPr>
            <w:tcW w:w="997" w:type="dxa"/>
          </w:tcPr>
          <w:p>
            <w:pPr>
              <w:pStyle w:val="TableParagraph"/>
              <w:spacing w:line="142" w:lineRule="exact" w:before="15"/>
              <w:ind w:right="101"/>
              <w:jc w:val="right"/>
              <w:rPr>
                <w:sz w:val="14"/>
              </w:rPr>
            </w:pPr>
            <w:r>
              <w:rPr>
                <w:spacing w:val="-2"/>
                <w:sz w:val="14"/>
              </w:rPr>
              <w:t>206.00</w:t>
            </w:r>
          </w:p>
        </w:tc>
        <w:tc>
          <w:tcPr>
            <w:tcW w:w="995" w:type="dxa"/>
          </w:tcPr>
          <w:p>
            <w:pPr>
              <w:pStyle w:val="TableParagraph"/>
              <w:spacing w:line="142" w:lineRule="exact" w:before="15"/>
              <w:ind w:right="101"/>
              <w:jc w:val="right"/>
              <w:rPr>
                <w:sz w:val="14"/>
              </w:rPr>
            </w:pPr>
            <w:r>
              <w:rPr>
                <w:spacing w:val="-2"/>
                <w:sz w:val="14"/>
              </w:rPr>
              <w:t>221.00</w:t>
            </w:r>
          </w:p>
        </w:tc>
        <w:tc>
          <w:tcPr>
            <w:tcW w:w="861" w:type="dxa"/>
          </w:tcPr>
          <w:p>
            <w:pPr>
              <w:pStyle w:val="TableParagraph"/>
              <w:spacing w:line="142" w:lineRule="exact" w:before="15"/>
              <w:ind w:left="152" w:right="154"/>
              <w:jc w:val="center"/>
              <w:rPr>
                <w:sz w:val="14"/>
              </w:rPr>
            </w:pPr>
            <w:r>
              <w:rPr>
                <w:spacing w:val="-5"/>
                <w:sz w:val="14"/>
              </w:rPr>
              <w:t>6.8</w:t>
            </w:r>
          </w:p>
        </w:tc>
      </w:tr>
      <w:tr>
        <w:trPr>
          <w:trHeight w:val="193" w:hRule="atLeast"/>
        </w:trPr>
        <w:tc>
          <w:tcPr>
            <w:tcW w:w="5794" w:type="dxa"/>
          </w:tcPr>
          <w:p>
            <w:pPr>
              <w:pStyle w:val="TableParagraph"/>
              <w:spacing w:line="142" w:lineRule="exact" w:before="31"/>
              <w:ind w:left="107"/>
              <w:rPr>
                <w:sz w:val="14"/>
              </w:rPr>
            </w:pPr>
            <w:r>
              <w:rPr>
                <w:sz w:val="14"/>
              </w:rPr>
              <w:t>Food</w:t>
            </w:r>
            <w:r>
              <w:rPr>
                <w:spacing w:val="-7"/>
                <w:sz w:val="14"/>
              </w:rPr>
              <w:t> </w:t>
            </w:r>
            <w:r>
              <w:rPr>
                <w:sz w:val="14"/>
              </w:rPr>
              <w:t>Premises</w:t>
            </w:r>
            <w:r>
              <w:rPr>
                <w:spacing w:val="-4"/>
                <w:sz w:val="14"/>
              </w:rPr>
              <w:t> </w:t>
            </w:r>
            <w:r>
              <w:rPr>
                <w:sz w:val="14"/>
              </w:rPr>
              <w:t>Renewal</w:t>
            </w:r>
            <w:r>
              <w:rPr>
                <w:spacing w:val="-7"/>
                <w:sz w:val="14"/>
              </w:rPr>
              <w:t> </w:t>
            </w:r>
            <w:r>
              <w:rPr>
                <w:sz w:val="14"/>
              </w:rPr>
              <w:t>Fees</w:t>
            </w:r>
            <w:r>
              <w:rPr>
                <w:spacing w:val="-4"/>
                <w:sz w:val="14"/>
              </w:rPr>
              <w:t> </w:t>
            </w:r>
            <w:r>
              <w:rPr>
                <w:sz w:val="14"/>
              </w:rPr>
              <w:t>Very</w:t>
            </w:r>
            <w:r>
              <w:rPr>
                <w:spacing w:val="-7"/>
                <w:sz w:val="14"/>
              </w:rPr>
              <w:t> </w:t>
            </w:r>
            <w:r>
              <w:rPr>
                <w:sz w:val="14"/>
              </w:rPr>
              <w:t>Large</w:t>
            </w:r>
            <w:r>
              <w:rPr>
                <w:spacing w:val="-7"/>
                <w:sz w:val="14"/>
              </w:rPr>
              <w:t> </w:t>
            </w:r>
            <w:r>
              <w:rPr>
                <w:sz w:val="14"/>
              </w:rPr>
              <w:t>Restaurants/Cafes/Hotels/Clubs</w:t>
            </w:r>
            <w:r>
              <w:rPr>
                <w:spacing w:val="-4"/>
                <w:sz w:val="14"/>
              </w:rPr>
              <w:t> </w:t>
            </w:r>
            <w:r>
              <w:rPr>
                <w:sz w:val="14"/>
              </w:rPr>
              <w:t>(&gt;100</w:t>
            </w:r>
            <w:r>
              <w:rPr>
                <w:spacing w:val="-7"/>
                <w:sz w:val="14"/>
              </w:rPr>
              <w:t> </w:t>
            </w:r>
            <w:r>
              <w:rPr>
                <w:spacing w:val="-2"/>
                <w:sz w:val="14"/>
              </w:rPr>
              <w:t>seats)</w:t>
            </w:r>
          </w:p>
        </w:tc>
        <w:tc>
          <w:tcPr>
            <w:tcW w:w="1131" w:type="dxa"/>
          </w:tcPr>
          <w:p>
            <w:pPr>
              <w:pStyle w:val="TableParagraph"/>
              <w:spacing w:line="142" w:lineRule="exact" w:before="31"/>
              <w:ind w:left="6"/>
              <w:jc w:val="center"/>
              <w:rPr>
                <w:sz w:val="14"/>
              </w:rPr>
            </w:pPr>
            <w:r>
              <w:rPr>
                <w:w w:val="99"/>
                <w:sz w:val="14"/>
              </w:rPr>
              <w:t>N</w:t>
            </w:r>
          </w:p>
        </w:tc>
        <w:tc>
          <w:tcPr>
            <w:tcW w:w="567" w:type="dxa"/>
          </w:tcPr>
          <w:p>
            <w:pPr>
              <w:pStyle w:val="TableParagraph"/>
              <w:spacing w:line="142" w:lineRule="exact" w:before="31"/>
              <w:ind w:left="192"/>
              <w:rPr>
                <w:sz w:val="14"/>
              </w:rPr>
            </w:pPr>
            <w:r>
              <w:rPr>
                <w:spacing w:val="-5"/>
                <w:sz w:val="14"/>
              </w:rPr>
              <w:t>No</w:t>
            </w:r>
          </w:p>
        </w:tc>
        <w:tc>
          <w:tcPr>
            <w:tcW w:w="997" w:type="dxa"/>
          </w:tcPr>
          <w:p>
            <w:pPr>
              <w:pStyle w:val="TableParagraph"/>
              <w:spacing w:line="142" w:lineRule="exact" w:before="31"/>
              <w:ind w:right="100"/>
              <w:jc w:val="right"/>
              <w:rPr>
                <w:sz w:val="14"/>
              </w:rPr>
            </w:pPr>
            <w:r>
              <w:rPr>
                <w:spacing w:val="-2"/>
                <w:sz w:val="14"/>
              </w:rPr>
              <w:t>805.00</w:t>
            </w:r>
          </w:p>
        </w:tc>
        <w:tc>
          <w:tcPr>
            <w:tcW w:w="995" w:type="dxa"/>
          </w:tcPr>
          <w:p>
            <w:pPr>
              <w:pStyle w:val="TableParagraph"/>
              <w:spacing w:line="142" w:lineRule="exact" w:before="31"/>
              <w:ind w:right="101"/>
              <w:jc w:val="right"/>
              <w:rPr>
                <w:sz w:val="14"/>
              </w:rPr>
            </w:pPr>
            <w:r>
              <w:rPr>
                <w:spacing w:val="-2"/>
                <w:sz w:val="14"/>
              </w:rPr>
              <w:t>866.00</w:t>
            </w:r>
          </w:p>
        </w:tc>
        <w:tc>
          <w:tcPr>
            <w:tcW w:w="861" w:type="dxa"/>
          </w:tcPr>
          <w:p>
            <w:pPr>
              <w:pStyle w:val="TableParagraph"/>
              <w:spacing w:line="142" w:lineRule="exact" w:before="31"/>
              <w:ind w:left="151" w:right="154"/>
              <w:jc w:val="center"/>
              <w:rPr>
                <w:sz w:val="14"/>
              </w:rPr>
            </w:pPr>
            <w:r>
              <w:rPr>
                <w:spacing w:val="-5"/>
                <w:sz w:val="14"/>
              </w:rPr>
              <w:t>7.0</w:t>
            </w:r>
          </w:p>
        </w:tc>
      </w:tr>
      <w:tr>
        <w:trPr>
          <w:trHeight w:val="174" w:hRule="atLeast"/>
        </w:trPr>
        <w:tc>
          <w:tcPr>
            <w:tcW w:w="5794" w:type="dxa"/>
          </w:tcPr>
          <w:p>
            <w:pPr>
              <w:pStyle w:val="TableParagraph"/>
              <w:spacing w:line="140" w:lineRule="exact" w:before="15"/>
              <w:ind w:left="107"/>
              <w:rPr>
                <w:sz w:val="14"/>
              </w:rPr>
            </w:pPr>
            <w:r>
              <w:rPr>
                <w:sz w:val="14"/>
              </w:rPr>
              <w:t>Food</w:t>
            </w:r>
            <w:r>
              <w:rPr>
                <w:spacing w:val="-5"/>
                <w:sz w:val="14"/>
              </w:rPr>
              <w:t> </w:t>
            </w:r>
            <w:r>
              <w:rPr>
                <w:sz w:val="14"/>
              </w:rPr>
              <w:t>Premises</w:t>
            </w:r>
            <w:r>
              <w:rPr>
                <w:spacing w:val="-2"/>
                <w:sz w:val="14"/>
              </w:rPr>
              <w:t> </w:t>
            </w:r>
            <w:r>
              <w:rPr>
                <w:sz w:val="14"/>
              </w:rPr>
              <w:t>Renewal</w:t>
            </w:r>
            <w:r>
              <w:rPr>
                <w:spacing w:val="-5"/>
                <w:sz w:val="14"/>
              </w:rPr>
              <w:t> </w:t>
            </w:r>
            <w:r>
              <w:rPr>
                <w:sz w:val="14"/>
              </w:rPr>
              <w:t>Fee</w:t>
            </w:r>
            <w:r>
              <w:rPr>
                <w:spacing w:val="-4"/>
                <w:sz w:val="14"/>
              </w:rPr>
              <w:t> </w:t>
            </w:r>
            <w:r>
              <w:rPr>
                <w:sz w:val="14"/>
              </w:rPr>
              <w:t>Very</w:t>
            </w:r>
            <w:r>
              <w:rPr>
                <w:spacing w:val="-3"/>
                <w:sz w:val="14"/>
              </w:rPr>
              <w:t> </w:t>
            </w:r>
            <w:r>
              <w:rPr>
                <w:sz w:val="14"/>
              </w:rPr>
              <w:t>Large</w:t>
            </w:r>
            <w:r>
              <w:rPr>
                <w:spacing w:val="-4"/>
                <w:sz w:val="14"/>
              </w:rPr>
              <w:t> </w:t>
            </w:r>
            <w:r>
              <w:rPr>
                <w:spacing w:val="-2"/>
                <w:sz w:val="14"/>
              </w:rPr>
              <w:t>Manufacturers/Supermarkets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3"/>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2,725.00</w:t>
            </w:r>
          </w:p>
        </w:tc>
        <w:tc>
          <w:tcPr>
            <w:tcW w:w="995" w:type="dxa"/>
          </w:tcPr>
          <w:p>
            <w:pPr>
              <w:pStyle w:val="TableParagraph"/>
              <w:spacing w:line="140" w:lineRule="exact" w:before="15"/>
              <w:ind w:right="101"/>
              <w:jc w:val="right"/>
              <w:rPr>
                <w:sz w:val="14"/>
              </w:rPr>
            </w:pPr>
            <w:r>
              <w:rPr>
                <w:spacing w:val="-2"/>
                <w:sz w:val="14"/>
              </w:rPr>
              <w:t>2,930.00</w:t>
            </w:r>
          </w:p>
        </w:tc>
        <w:tc>
          <w:tcPr>
            <w:tcW w:w="861" w:type="dxa"/>
          </w:tcPr>
          <w:p>
            <w:pPr>
              <w:pStyle w:val="TableParagraph"/>
              <w:spacing w:line="140" w:lineRule="exact" w:before="15"/>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Food</w:t>
            </w:r>
            <w:r>
              <w:rPr>
                <w:spacing w:val="-4"/>
                <w:sz w:val="14"/>
              </w:rPr>
              <w:t> </w:t>
            </w:r>
            <w:r>
              <w:rPr>
                <w:sz w:val="14"/>
              </w:rPr>
              <w:t>Premises</w:t>
            </w:r>
            <w:r>
              <w:rPr>
                <w:spacing w:val="-2"/>
                <w:sz w:val="14"/>
              </w:rPr>
              <w:t> </w:t>
            </w:r>
            <w:r>
              <w:rPr>
                <w:sz w:val="14"/>
              </w:rPr>
              <w:t>renewal</w:t>
            </w:r>
            <w:r>
              <w:rPr>
                <w:spacing w:val="-3"/>
                <w:sz w:val="14"/>
              </w:rPr>
              <w:t> </w:t>
            </w:r>
            <w:r>
              <w:rPr>
                <w:sz w:val="14"/>
              </w:rPr>
              <w:t>-</w:t>
            </w:r>
            <w:r>
              <w:rPr>
                <w:spacing w:val="-2"/>
                <w:sz w:val="14"/>
              </w:rPr>
              <w:t> </w:t>
            </w:r>
            <w:r>
              <w:rPr>
                <w:sz w:val="14"/>
              </w:rPr>
              <w:t>Low</w:t>
            </w:r>
            <w:r>
              <w:rPr>
                <w:spacing w:val="-3"/>
                <w:sz w:val="14"/>
              </w:rPr>
              <w:t> </w:t>
            </w:r>
            <w:r>
              <w:rPr>
                <w:sz w:val="14"/>
              </w:rPr>
              <w:t>Risk</w:t>
            </w:r>
            <w:r>
              <w:rPr>
                <w:spacing w:val="-2"/>
                <w:sz w:val="14"/>
              </w:rPr>
              <w:t> </w:t>
            </w:r>
            <w:r>
              <w:rPr>
                <w:sz w:val="14"/>
              </w:rPr>
              <w:t>Category</w:t>
            </w:r>
            <w:r>
              <w:rPr>
                <w:spacing w:val="-2"/>
                <w:sz w:val="14"/>
              </w:rPr>
              <w:t> </w:t>
            </w:r>
            <w:r>
              <w:rPr>
                <w:sz w:val="14"/>
              </w:rPr>
              <w:t>-</w:t>
            </w:r>
            <w:r>
              <w:rPr>
                <w:spacing w:val="-5"/>
                <w:sz w:val="14"/>
              </w:rPr>
              <w:t> </w:t>
            </w:r>
            <w:r>
              <w:rPr>
                <w:sz w:val="14"/>
              </w:rPr>
              <w:t>Class</w:t>
            </w:r>
            <w:r>
              <w:rPr>
                <w:spacing w:val="-5"/>
                <w:sz w:val="14"/>
              </w:rPr>
              <w:t> </w:t>
            </w:r>
            <w:r>
              <w:rPr>
                <w:sz w:val="14"/>
              </w:rPr>
              <w:t>3</w:t>
            </w:r>
            <w:r>
              <w:rPr>
                <w:spacing w:val="-1"/>
                <w:sz w:val="14"/>
              </w:rPr>
              <w:t> </w:t>
            </w:r>
            <w:r>
              <w:rPr>
                <w:sz w:val="14"/>
              </w:rPr>
              <w:t>(compliant</w:t>
            </w:r>
            <w:r>
              <w:rPr>
                <w:spacing w:val="-4"/>
                <w:sz w:val="14"/>
              </w:rPr>
              <w:t> </w:t>
            </w:r>
            <w:r>
              <w:rPr>
                <w:sz w:val="14"/>
              </w:rPr>
              <w:t>over</w:t>
            </w:r>
            <w:r>
              <w:rPr>
                <w:spacing w:val="-3"/>
                <w:sz w:val="14"/>
              </w:rPr>
              <w:t> </w:t>
            </w:r>
            <w:r>
              <w:rPr>
                <w:sz w:val="14"/>
              </w:rPr>
              <w:t>2</w:t>
            </w:r>
            <w:r>
              <w:rPr>
                <w:spacing w:val="-5"/>
                <w:sz w:val="14"/>
              </w:rPr>
              <w:t> </w:t>
            </w:r>
            <w:r>
              <w:rPr>
                <w:spacing w:val="-2"/>
                <w:sz w:val="14"/>
              </w:rPr>
              <w:t>years)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300.00</w:t>
            </w:r>
          </w:p>
        </w:tc>
        <w:tc>
          <w:tcPr>
            <w:tcW w:w="995" w:type="dxa"/>
          </w:tcPr>
          <w:p>
            <w:pPr>
              <w:pStyle w:val="TableParagraph"/>
              <w:spacing w:line="140" w:lineRule="exact" w:before="17"/>
              <w:ind w:right="102"/>
              <w:jc w:val="right"/>
              <w:rPr>
                <w:sz w:val="14"/>
              </w:rPr>
            </w:pPr>
            <w:r>
              <w:rPr>
                <w:spacing w:val="-2"/>
                <w:sz w:val="14"/>
              </w:rPr>
              <w:t>323.00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Food</w:t>
            </w:r>
            <w:r>
              <w:rPr>
                <w:spacing w:val="-5"/>
                <w:sz w:val="14"/>
              </w:rPr>
              <w:t> </w:t>
            </w:r>
            <w:r>
              <w:rPr>
                <w:sz w:val="14"/>
              </w:rPr>
              <w:t>Premises</w:t>
            </w:r>
            <w:r>
              <w:rPr>
                <w:spacing w:val="-2"/>
                <w:sz w:val="14"/>
              </w:rPr>
              <w:t> </w:t>
            </w:r>
            <w:r>
              <w:rPr>
                <w:sz w:val="14"/>
              </w:rPr>
              <w:t>renewal</w:t>
            </w:r>
            <w:r>
              <w:rPr>
                <w:spacing w:val="31"/>
                <w:sz w:val="14"/>
              </w:rPr>
              <w:t> </w:t>
            </w:r>
            <w:r>
              <w:rPr>
                <w:sz w:val="14"/>
              </w:rPr>
              <w:t>High</w:t>
            </w:r>
            <w:r>
              <w:rPr>
                <w:spacing w:val="-2"/>
                <w:sz w:val="14"/>
              </w:rPr>
              <w:t> </w:t>
            </w:r>
            <w:r>
              <w:rPr>
                <w:sz w:val="14"/>
              </w:rPr>
              <w:t>Risk</w:t>
            </w:r>
            <w:r>
              <w:rPr>
                <w:spacing w:val="-5"/>
                <w:sz w:val="14"/>
              </w:rPr>
              <w:t> </w:t>
            </w:r>
            <w:r>
              <w:rPr>
                <w:sz w:val="14"/>
              </w:rPr>
              <w:t>Category-</w:t>
            </w:r>
            <w:r>
              <w:rPr>
                <w:spacing w:val="-2"/>
                <w:sz w:val="14"/>
              </w:rPr>
              <w:t> </w:t>
            </w:r>
            <w:r>
              <w:rPr>
                <w:sz w:val="14"/>
              </w:rPr>
              <w:t>Class</w:t>
            </w:r>
            <w:r>
              <w:rPr>
                <w:spacing w:val="-3"/>
                <w:sz w:val="14"/>
              </w:rPr>
              <w:t> </w:t>
            </w:r>
            <w:r>
              <w:rPr>
                <w:spacing w:val="-10"/>
                <w:sz w:val="14"/>
              </w:rPr>
              <w:t>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800.00</w:t>
            </w:r>
          </w:p>
        </w:tc>
        <w:tc>
          <w:tcPr>
            <w:tcW w:w="995" w:type="dxa"/>
          </w:tcPr>
          <w:p>
            <w:pPr>
              <w:pStyle w:val="TableParagraph"/>
              <w:spacing w:line="140" w:lineRule="exact" w:before="17"/>
              <w:ind w:right="102"/>
              <w:jc w:val="right"/>
              <w:rPr>
                <w:sz w:val="14"/>
              </w:rPr>
            </w:pPr>
            <w:r>
              <w:rPr>
                <w:spacing w:val="-2"/>
                <w:sz w:val="14"/>
              </w:rPr>
              <w:t>860.00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Food</w:t>
            </w:r>
            <w:r>
              <w:rPr>
                <w:spacing w:val="-4"/>
                <w:sz w:val="14"/>
              </w:rPr>
              <w:t> </w:t>
            </w:r>
            <w:r>
              <w:rPr>
                <w:sz w:val="14"/>
              </w:rPr>
              <w:t>Premises</w:t>
            </w:r>
            <w:r>
              <w:rPr>
                <w:spacing w:val="-3"/>
                <w:sz w:val="14"/>
              </w:rPr>
              <w:t> </w:t>
            </w:r>
            <w:r>
              <w:rPr>
                <w:sz w:val="14"/>
              </w:rPr>
              <w:t>renewal</w:t>
            </w:r>
            <w:r>
              <w:rPr>
                <w:spacing w:val="-4"/>
                <w:sz w:val="14"/>
              </w:rPr>
              <w:t> </w:t>
            </w:r>
            <w:r>
              <w:rPr>
                <w:sz w:val="14"/>
              </w:rPr>
              <w:t>High</w:t>
            </w:r>
            <w:r>
              <w:rPr>
                <w:spacing w:val="-4"/>
                <w:sz w:val="14"/>
              </w:rPr>
              <w:t> </w:t>
            </w:r>
            <w:r>
              <w:rPr>
                <w:sz w:val="14"/>
              </w:rPr>
              <w:t>Risk</w:t>
            </w:r>
            <w:r>
              <w:rPr>
                <w:spacing w:val="-4"/>
                <w:sz w:val="14"/>
              </w:rPr>
              <w:t> </w:t>
            </w:r>
            <w:r>
              <w:rPr>
                <w:sz w:val="14"/>
              </w:rPr>
              <w:t>Category</w:t>
            </w:r>
            <w:r>
              <w:rPr>
                <w:spacing w:val="-3"/>
                <w:sz w:val="14"/>
              </w:rPr>
              <w:t> </w:t>
            </w:r>
            <w:r>
              <w:rPr>
                <w:sz w:val="14"/>
              </w:rPr>
              <w:t>-</w:t>
            </w:r>
            <w:r>
              <w:rPr>
                <w:spacing w:val="-5"/>
                <w:sz w:val="14"/>
              </w:rPr>
              <w:t> </w:t>
            </w:r>
            <w:r>
              <w:rPr>
                <w:sz w:val="14"/>
              </w:rPr>
              <w:t>Class</w:t>
            </w:r>
            <w:r>
              <w:rPr>
                <w:spacing w:val="-2"/>
                <w:sz w:val="14"/>
              </w:rPr>
              <w:t> </w:t>
            </w:r>
            <w:r>
              <w:rPr>
                <w:spacing w:val="-10"/>
                <w:sz w:val="14"/>
              </w:rPr>
              <w:t>2</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670.00</w:t>
            </w:r>
          </w:p>
        </w:tc>
        <w:tc>
          <w:tcPr>
            <w:tcW w:w="995" w:type="dxa"/>
          </w:tcPr>
          <w:p>
            <w:pPr>
              <w:pStyle w:val="TableParagraph"/>
              <w:spacing w:line="140" w:lineRule="exact" w:before="17"/>
              <w:ind w:right="102"/>
              <w:jc w:val="right"/>
              <w:rPr>
                <w:sz w:val="14"/>
              </w:rPr>
            </w:pPr>
            <w:r>
              <w:rPr>
                <w:spacing w:val="-2"/>
                <w:sz w:val="14"/>
              </w:rPr>
              <w:t>720.00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Renewal</w:t>
            </w:r>
            <w:r>
              <w:rPr>
                <w:spacing w:val="-3"/>
                <w:sz w:val="14"/>
              </w:rPr>
              <w:t> </w:t>
            </w:r>
            <w:r>
              <w:rPr>
                <w:sz w:val="14"/>
              </w:rPr>
              <w:t>Late</w:t>
            </w:r>
            <w:r>
              <w:rPr>
                <w:spacing w:val="-8"/>
                <w:sz w:val="14"/>
              </w:rPr>
              <w:t> </w:t>
            </w:r>
            <w:r>
              <w:rPr>
                <w:sz w:val="14"/>
              </w:rPr>
              <w:t>Payment</w:t>
            </w:r>
            <w:r>
              <w:rPr>
                <w:spacing w:val="-5"/>
                <w:sz w:val="14"/>
              </w:rPr>
              <w:t> </w:t>
            </w:r>
            <w:r>
              <w:rPr>
                <w:sz w:val="14"/>
              </w:rPr>
              <w:t>Administration</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75.00</w:t>
            </w:r>
          </w:p>
        </w:tc>
        <w:tc>
          <w:tcPr>
            <w:tcW w:w="995" w:type="dxa"/>
          </w:tcPr>
          <w:p>
            <w:pPr>
              <w:pStyle w:val="TableParagraph"/>
              <w:spacing w:line="140" w:lineRule="exact" w:before="17"/>
              <w:ind w:right="101"/>
              <w:jc w:val="right"/>
              <w:rPr>
                <w:sz w:val="14"/>
              </w:rPr>
            </w:pPr>
            <w:r>
              <w:rPr>
                <w:spacing w:val="-2"/>
                <w:sz w:val="14"/>
              </w:rPr>
              <w:t>81.00</w:t>
            </w:r>
          </w:p>
        </w:tc>
        <w:tc>
          <w:tcPr>
            <w:tcW w:w="861" w:type="dxa"/>
          </w:tcPr>
          <w:p>
            <w:pPr>
              <w:pStyle w:val="TableParagraph"/>
              <w:spacing w:line="140" w:lineRule="exact" w:before="17"/>
              <w:ind w:left="152" w:right="154"/>
              <w:jc w:val="center"/>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Health</w:t>
            </w:r>
            <w:r>
              <w:rPr>
                <w:spacing w:val="-4"/>
                <w:sz w:val="14"/>
              </w:rPr>
              <w:t> </w:t>
            </w:r>
            <w:r>
              <w:rPr>
                <w:sz w:val="14"/>
              </w:rPr>
              <w:t>Premises</w:t>
            </w:r>
            <w:r>
              <w:rPr>
                <w:spacing w:val="-4"/>
                <w:sz w:val="14"/>
              </w:rPr>
              <w:t> </w:t>
            </w:r>
            <w:r>
              <w:rPr>
                <w:sz w:val="14"/>
              </w:rPr>
              <w:t>Renewal</w:t>
            </w:r>
            <w:r>
              <w:rPr>
                <w:spacing w:val="-2"/>
                <w:sz w:val="14"/>
              </w:rPr>
              <w:t> </w:t>
            </w:r>
            <w:r>
              <w:rPr>
                <w:sz w:val="14"/>
              </w:rPr>
              <w:t>-</w:t>
            </w:r>
            <w:r>
              <w:rPr>
                <w:spacing w:val="-5"/>
                <w:sz w:val="14"/>
              </w:rPr>
              <w:t> </w:t>
            </w:r>
            <w:r>
              <w:rPr>
                <w:sz w:val="14"/>
              </w:rPr>
              <w:t>High</w:t>
            </w:r>
            <w:r>
              <w:rPr>
                <w:spacing w:val="-5"/>
                <w:sz w:val="14"/>
              </w:rPr>
              <w:t> </w:t>
            </w:r>
            <w:r>
              <w:rPr>
                <w:sz w:val="14"/>
              </w:rPr>
              <w:t>Risk</w:t>
            </w:r>
            <w:r>
              <w:rPr>
                <w:spacing w:val="-2"/>
                <w:sz w:val="14"/>
              </w:rPr>
              <w:t> </w:t>
            </w:r>
            <w:r>
              <w:rPr>
                <w:sz w:val="14"/>
              </w:rPr>
              <w:t>Category</w:t>
            </w:r>
            <w:r>
              <w:rPr>
                <w:spacing w:val="-5"/>
                <w:sz w:val="14"/>
              </w:rPr>
              <w:t> </w:t>
            </w:r>
            <w:r>
              <w:rPr>
                <w:sz w:val="14"/>
              </w:rPr>
              <w:t>(High</w:t>
            </w:r>
            <w:r>
              <w:rPr>
                <w:spacing w:val="-2"/>
                <w:sz w:val="14"/>
              </w:rPr>
              <w:t> </w:t>
            </w:r>
            <w:r>
              <w:rPr>
                <w:sz w:val="14"/>
              </w:rPr>
              <w:t>Risk</w:t>
            </w:r>
            <w:r>
              <w:rPr>
                <w:spacing w:val="-4"/>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398.00</w:t>
            </w:r>
          </w:p>
        </w:tc>
        <w:tc>
          <w:tcPr>
            <w:tcW w:w="995" w:type="dxa"/>
          </w:tcPr>
          <w:p>
            <w:pPr>
              <w:pStyle w:val="TableParagraph"/>
              <w:spacing w:line="140" w:lineRule="exact" w:before="17"/>
              <w:ind w:right="102"/>
              <w:jc w:val="right"/>
              <w:rPr>
                <w:sz w:val="14"/>
              </w:rPr>
            </w:pPr>
            <w:r>
              <w:rPr>
                <w:spacing w:val="-2"/>
                <w:sz w:val="14"/>
              </w:rPr>
              <w:t>428.00</w:t>
            </w:r>
          </w:p>
        </w:tc>
        <w:tc>
          <w:tcPr>
            <w:tcW w:w="861" w:type="dxa"/>
          </w:tcPr>
          <w:p>
            <w:pPr>
              <w:pStyle w:val="TableParagraph"/>
              <w:spacing w:line="140" w:lineRule="exact" w:before="17"/>
              <w:ind w:left="152" w:right="154"/>
              <w:jc w:val="center"/>
              <w:rPr>
                <w:sz w:val="14"/>
              </w:rPr>
            </w:pPr>
            <w:r>
              <w:rPr>
                <w:spacing w:val="-5"/>
                <w:sz w:val="14"/>
              </w:rPr>
              <w:t>7.0</w:t>
            </w:r>
          </w:p>
        </w:tc>
      </w:tr>
    </w:tbl>
    <w:p>
      <w:pPr>
        <w:spacing w:after="0" w:line="140" w:lineRule="exact"/>
        <w:jc w:val="center"/>
        <w:rPr>
          <w:sz w:val="14"/>
        </w:rPr>
        <w:sectPr>
          <w:type w:val="continuous"/>
          <w:pgSz w:w="11910" w:h="16840"/>
          <w:pgMar w:header="0" w:footer="687" w:top="920" w:bottom="1106"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Health</w:t>
            </w:r>
            <w:r>
              <w:rPr>
                <w:spacing w:val="-5"/>
                <w:sz w:val="14"/>
              </w:rPr>
              <w:t> </w:t>
            </w:r>
            <w:r>
              <w:rPr>
                <w:sz w:val="14"/>
              </w:rPr>
              <w:t>Premises</w:t>
            </w:r>
            <w:r>
              <w:rPr>
                <w:spacing w:val="-4"/>
                <w:sz w:val="14"/>
              </w:rPr>
              <w:t> </w:t>
            </w:r>
            <w:r>
              <w:rPr>
                <w:sz w:val="14"/>
              </w:rPr>
              <w:t>Additional</w:t>
            </w:r>
            <w:r>
              <w:rPr>
                <w:spacing w:val="-2"/>
                <w:sz w:val="14"/>
              </w:rPr>
              <w:t> </w:t>
            </w:r>
            <w:r>
              <w:rPr>
                <w:sz w:val="14"/>
              </w:rPr>
              <w:t>/</w:t>
            </w:r>
            <w:r>
              <w:rPr>
                <w:spacing w:val="-2"/>
                <w:sz w:val="14"/>
              </w:rPr>
              <w:t> </w:t>
            </w:r>
            <w:r>
              <w:rPr>
                <w:sz w:val="14"/>
              </w:rPr>
              <w:t>Follow</w:t>
            </w:r>
            <w:r>
              <w:rPr>
                <w:spacing w:val="-4"/>
                <w:sz w:val="14"/>
              </w:rPr>
              <w:t> </w:t>
            </w:r>
            <w:r>
              <w:rPr>
                <w:sz w:val="14"/>
              </w:rPr>
              <w:t>up</w:t>
            </w:r>
            <w:r>
              <w:rPr>
                <w:spacing w:val="-4"/>
                <w:sz w:val="14"/>
              </w:rPr>
              <w:t> </w:t>
            </w:r>
            <w:r>
              <w:rPr>
                <w:spacing w:val="-2"/>
                <w:sz w:val="14"/>
              </w:rPr>
              <w:t>Inspection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3"/>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131.00</w:t>
            </w:r>
          </w:p>
        </w:tc>
        <w:tc>
          <w:tcPr>
            <w:tcW w:w="995" w:type="dxa"/>
          </w:tcPr>
          <w:p>
            <w:pPr>
              <w:pStyle w:val="TableParagraph"/>
              <w:spacing w:line="140" w:lineRule="exact" w:before="15"/>
              <w:ind w:right="102"/>
              <w:jc w:val="right"/>
              <w:rPr>
                <w:sz w:val="14"/>
              </w:rPr>
            </w:pPr>
            <w:r>
              <w:rPr>
                <w:spacing w:val="-2"/>
                <w:sz w:val="14"/>
              </w:rPr>
              <w:t>141.00</w:t>
            </w:r>
          </w:p>
        </w:tc>
        <w:tc>
          <w:tcPr>
            <w:tcW w:w="861" w:type="dxa"/>
          </w:tcPr>
          <w:p>
            <w:pPr>
              <w:pStyle w:val="TableParagraph"/>
              <w:spacing w:line="140" w:lineRule="exact" w:before="15"/>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3"/>
                <w:sz w:val="14"/>
              </w:rPr>
              <w:t> </w:t>
            </w:r>
            <w:r>
              <w:rPr>
                <w:sz w:val="14"/>
              </w:rPr>
              <w:t>Fee</w:t>
            </w:r>
            <w:r>
              <w:rPr>
                <w:spacing w:val="-3"/>
                <w:sz w:val="14"/>
              </w:rPr>
              <w:t> </w:t>
            </w:r>
            <w:r>
              <w:rPr>
                <w:sz w:val="14"/>
              </w:rPr>
              <w:t>Food</w:t>
            </w:r>
            <w:r>
              <w:rPr>
                <w:spacing w:val="-5"/>
                <w:sz w:val="14"/>
              </w:rPr>
              <w:t> </w:t>
            </w:r>
            <w:r>
              <w:rPr>
                <w:sz w:val="14"/>
              </w:rPr>
              <w:t>Class</w:t>
            </w:r>
            <w:r>
              <w:rPr>
                <w:spacing w:val="-2"/>
                <w:sz w:val="14"/>
              </w:rPr>
              <w:t> </w:t>
            </w:r>
            <w:r>
              <w:rPr>
                <w:sz w:val="14"/>
              </w:rPr>
              <w:t>1</w:t>
            </w:r>
            <w:r>
              <w:rPr>
                <w:spacing w:val="-7"/>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385.00</w:t>
            </w:r>
          </w:p>
        </w:tc>
        <w:tc>
          <w:tcPr>
            <w:tcW w:w="995" w:type="dxa"/>
          </w:tcPr>
          <w:p>
            <w:pPr>
              <w:pStyle w:val="TableParagraph"/>
              <w:spacing w:line="140" w:lineRule="exact" w:before="17"/>
              <w:ind w:right="102"/>
              <w:jc w:val="right"/>
              <w:rPr>
                <w:sz w:val="14"/>
              </w:rPr>
            </w:pPr>
            <w:r>
              <w:rPr>
                <w:spacing w:val="-2"/>
                <w:sz w:val="14"/>
              </w:rPr>
              <w:t>415.00</w:t>
            </w:r>
          </w:p>
        </w:tc>
        <w:tc>
          <w:tcPr>
            <w:tcW w:w="861" w:type="dxa"/>
          </w:tcPr>
          <w:p>
            <w:pPr>
              <w:pStyle w:val="TableParagraph"/>
              <w:spacing w:line="140" w:lineRule="exact" w:before="17"/>
              <w:ind w:left="152" w:right="154"/>
              <w:jc w:val="center"/>
              <w:rPr>
                <w:sz w:val="14"/>
              </w:rPr>
            </w:pPr>
            <w:r>
              <w:rPr>
                <w:spacing w:val="-5"/>
                <w:sz w:val="14"/>
              </w:rPr>
              <w:t>7.2</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3"/>
                <w:sz w:val="14"/>
              </w:rPr>
              <w:t> </w:t>
            </w:r>
            <w:r>
              <w:rPr>
                <w:sz w:val="14"/>
              </w:rPr>
              <w:t>Fee</w:t>
            </w:r>
            <w:r>
              <w:rPr>
                <w:spacing w:val="-3"/>
                <w:sz w:val="14"/>
              </w:rPr>
              <w:t> </w:t>
            </w:r>
            <w:r>
              <w:rPr>
                <w:sz w:val="14"/>
              </w:rPr>
              <w:t>Food</w:t>
            </w:r>
            <w:r>
              <w:rPr>
                <w:spacing w:val="-5"/>
                <w:sz w:val="14"/>
              </w:rPr>
              <w:t> </w:t>
            </w:r>
            <w:r>
              <w:rPr>
                <w:sz w:val="14"/>
              </w:rPr>
              <w:t>Class</w:t>
            </w:r>
            <w:r>
              <w:rPr>
                <w:spacing w:val="-2"/>
                <w:sz w:val="14"/>
              </w:rPr>
              <w:t> </w:t>
            </w:r>
            <w:r>
              <w:rPr>
                <w:sz w:val="14"/>
              </w:rPr>
              <w:t>2</w:t>
            </w:r>
            <w:r>
              <w:rPr>
                <w:spacing w:val="-7"/>
                <w:sz w:val="14"/>
              </w:rPr>
              <w:t> </w:t>
            </w:r>
            <w:r>
              <w:rPr>
                <w:spacing w:val="-2"/>
                <w:sz w:val="14"/>
              </w:rPr>
              <w:t>Premises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385.00</w:t>
            </w:r>
          </w:p>
        </w:tc>
        <w:tc>
          <w:tcPr>
            <w:tcW w:w="995" w:type="dxa"/>
          </w:tcPr>
          <w:p>
            <w:pPr>
              <w:pStyle w:val="TableParagraph"/>
              <w:spacing w:line="140" w:lineRule="exact" w:before="17"/>
              <w:ind w:right="102"/>
              <w:jc w:val="right"/>
              <w:rPr>
                <w:sz w:val="14"/>
              </w:rPr>
            </w:pPr>
            <w:r>
              <w:rPr>
                <w:spacing w:val="-2"/>
                <w:sz w:val="14"/>
              </w:rPr>
              <w:t>415.00</w:t>
            </w:r>
          </w:p>
        </w:tc>
        <w:tc>
          <w:tcPr>
            <w:tcW w:w="861" w:type="dxa"/>
          </w:tcPr>
          <w:p>
            <w:pPr>
              <w:pStyle w:val="TableParagraph"/>
              <w:spacing w:line="140" w:lineRule="exact" w:before="17"/>
              <w:ind w:left="152" w:right="154"/>
              <w:jc w:val="center"/>
              <w:rPr>
                <w:sz w:val="14"/>
              </w:rPr>
            </w:pPr>
            <w:r>
              <w:rPr>
                <w:spacing w:val="-5"/>
                <w:sz w:val="14"/>
              </w:rPr>
              <w:t>7.2</w:t>
            </w:r>
          </w:p>
        </w:tc>
      </w:tr>
      <w:tr>
        <w:trPr>
          <w:trHeight w:val="177" w:hRule="atLeast"/>
        </w:trPr>
        <w:tc>
          <w:tcPr>
            <w:tcW w:w="5794" w:type="dxa"/>
          </w:tcPr>
          <w:p>
            <w:pPr>
              <w:pStyle w:val="TableParagraph"/>
              <w:spacing w:line="142" w:lineRule="exact" w:before="15"/>
              <w:ind w:left="107"/>
              <w:rPr>
                <w:sz w:val="14"/>
              </w:rPr>
            </w:pPr>
            <w:r>
              <w:rPr>
                <w:sz w:val="14"/>
              </w:rPr>
              <w:t>Pre-application</w:t>
            </w:r>
            <w:r>
              <w:rPr>
                <w:spacing w:val="-5"/>
                <w:sz w:val="14"/>
              </w:rPr>
              <w:t> </w:t>
            </w:r>
            <w:r>
              <w:rPr>
                <w:sz w:val="14"/>
              </w:rPr>
              <w:t>Fee</w:t>
            </w:r>
            <w:r>
              <w:rPr>
                <w:spacing w:val="-5"/>
                <w:sz w:val="14"/>
              </w:rPr>
              <w:t> </w:t>
            </w:r>
            <w:r>
              <w:rPr>
                <w:sz w:val="14"/>
              </w:rPr>
              <w:t>Food</w:t>
            </w:r>
            <w:r>
              <w:rPr>
                <w:spacing w:val="-5"/>
                <w:sz w:val="14"/>
              </w:rPr>
              <w:t> </w:t>
            </w:r>
            <w:r>
              <w:rPr>
                <w:sz w:val="14"/>
              </w:rPr>
              <w:t>Class</w:t>
            </w:r>
            <w:r>
              <w:rPr>
                <w:spacing w:val="-3"/>
                <w:sz w:val="14"/>
              </w:rPr>
              <w:t> </w:t>
            </w:r>
            <w:r>
              <w:rPr>
                <w:sz w:val="14"/>
              </w:rPr>
              <w:t>2</w:t>
            </w:r>
            <w:r>
              <w:rPr>
                <w:spacing w:val="-7"/>
                <w:sz w:val="14"/>
              </w:rPr>
              <w:t> </w:t>
            </w:r>
            <w:r>
              <w:rPr>
                <w:sz w:val="14"/>
              </w:rPr>
              <w:t>Premises</w:t>
            </w:r>
            <w:r>
              <w:rPr>
                <w:spacing w:val="-5"/>
                <w:sz w:val="14"/>
              </w:rPr>
              <w:t> </w:t>
            </w:r>
            <w:r>
              <w:rPr>
                <w:sz w:val="14"/>
              </w:rPr>
              <w:t>-</w:t>
            </w:r>
            <w:r>
              <w:rPr>
                <w:spacing w:val="-5"/>
                <w:sz w:val="14"/>
              </w:rPr>
              <w:t> </w:t>
            </w:r>
            <w:r>
              <w:rPr>
                <w:sz w:val="14"/>
              </w:rPr>
              <w:t>Community/Sports</w:t>
            </w:r>
            <w:r>
              <w:rPr>
                <w:spacing w:val="-3"/>
                <w:sz w:val="14"/>
              </w:rPr>
              <w:t> </w:t>
            </w:r>
            <w:r>
              <w:rPr>
                <w:spacing w:val="-2"/>
                <w:sz w:val="14"/>
              </w:rPr>
              <w:t>Groups</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93"/>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260.00</w:t>
            </w:r>
          </w:p>
        </w:tc>
        <w:tc>
          <w:tcPr>
            <w:tcW w:w="995" w:type="dxa"/>
          </w:tcPr>
          <w:p>
            <w:pPr>
              <w:pStyle w:val="TableParagraph"/>
              <w:spacing w:line="142" w:lineRule="exact" w:before="15"/>
              <w:ind w:right="101"/>
              <w:jc w:val="right"/>
              <w:rPr>
                <w:sz w:val="14"/>
              </w:rPr>
            </w:pPr>
            <w:r>
              <w:rPr>
                <w:spacing w:val="-2"/>
                <w:sz w:val="14"/>
              </w:rPr>
              <w:t>280.00</w:t>
            </w:r>
          </w:p>
        </w:tc>
        <w:tc>
          <w:tcPr>
            <w:tcW w:w="861" w:type="dxa"/>
          </w:tcPr>
          <w:p>
            <w:pPr>
              <w:pStyle w:val="TableParagraph"/>
              <w:spacing w:line="142" w:lineRule="exact" w:before="15"/>
              <w:ind w:left="152" w:right="154"/>
              <w:jc w:val="center"/>
              <w:rPr>
                <w:sz w:val="14"/>
              </w:rPr>
            </w:pPr>
            <w:r>
              <w:rPr>
                <w:spacing w:val="-5"/>
                <w:sz w:val="14"/>
              </w:rPr>
              <w:t>7.1</w:t>
            </w:r>
          </w:p>
        </w:tc>
      </w:tr>
      <w:tr>
        <w:trPr>
          <w:trHeight w:val="174" w:hRule="atLeast"/>
        </w:trPr>
        <w:tc>
          <w:tcPr>
            <w:tcW w:w="5794" w:type="dxa"/>
          </w:tcPr>
          <w:p>
            <w:pPr>
              <w:pStyle w:val="TableParagraph"/>
              <w:spacing w:line="140" w:lineRule="exact" w:before="15"/>
              <w:ind w:left="107"/>
              <w:rPr>
                <w:sz w:val="14"/>
              </w:rPr>
            </w:pPr>
            <w:r>
              <w:rPr>
                <w:sz w:val="14"/>
              </w:rPr>
              <w:t>Pre-application</w:t>
            </w:r>
            <w:r>
              <w:rPr>
                <w:spacing w:val="-3"/>
                <w:sz w:val="14"/>
              </w:rPr>
              <w:t> </w:t>
            </w:r>
            <w:r>
              <w:rPr>
                <w:sz w:val="14"/>
              </w:rPr>
              <w:t>Fee</w:t>
            </w:r>
            <w:r>
              <w:rPr>
                <w:spacing w:val="-3"/>
                <w:sz w:val="14"/>
              </w:rPr>
              <w:t> </w:t>
            </w:r>
            <w:r>
              <w:rPr>
                <w:sz w:val="14"/>
              </w:rPr>
              <w:t>Food</w:t>
            </w:r>
            <w:r>
              <w:rPr>
                <w:spacing w:val="-5"/>
                <w:sz w:val="14"/>
              </w:rPr>
              <w:t> </w:t>
            </w:r>
            <w:r>
              <w:rPr>
                <w:sz w:val="14"/>
              </w:rPr>
              <w:t>Class</w:t>
            </w:r>
            <w:r>
              <w:rPr>
                <w:spacing w:val="-2"/>
                <w:sz w:val="14"/>
              </w:rPr>
              <w:t> </w:t>
            </w:r>
            <w:r>
              <w:rPr>
                <w:sz w:val="14"/>
              </w:rPr>
              <w:t>3</w:t>
            </w:r>
            <w:r>
              <w:rPr>
                <w:spacing w:val="-7"/>
                <w:sz w:val="14"/>
              </w:rPr>
              <w:t> </w:t>
            </w:r>
            <w:r>
              <w:rPr>
                <w:spacing w:val="-2"/>
                <w:sz w:val="14"/>
              </w:rPr>
              <w:t>Premises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3"/>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260.00</w:t>
            </w:r>
          </w:p>
        </w:tc>
        <w:tc>
          <w:tcPr>
            <w:tcW w:w="995" w:type="dxa"/>
          </w:tcPr>
          <w:p>
            <w:pPr>
              <w:pStyle w:val="TableParagraph"/>
              <w:spacing w:line="140" w:lineRule="exact" w:before="15"/>
              <w:ind w:right="102"/>
              <w:jc w:val="right"/>
              <w:rPr>
                <w:sz w:val="14"/>
              </w:rPr>
            </w:pPr>
            <w:r>
              <w:rPr>
                <w:spacing w:val="-2"/>
                <w:sz w:val="14"/>
              </w:rPr>
              <w:t>280.00</w:t>
            </w:r>
          </w:p>
        </w:tc>
        <w:tc>
          <w:tcPr>
            <w:tcW w:w="861" w:type="dxa"/>
          </w:tcPr>
          <w:p>
            <w:pPr>
              <w:pStyle w:val="TableParagraph"/>
              <w:spacing w:line="140" w:lineRule="exact" w:before="15"/>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3"/>
                <w:sz w:val="14"/>
              </w:rPr>
              <w:t> </w:t>
            </w:r>
            <w:r>
              <w:rPr>
                <w:sz w:val="14"/>
              </w:rPr>
              <w:t>Fee</w:t>
            </w:r>
            <w:r>
              <w:rPr>
                <w:spacing w:val="-4"/>
                <w:sz w:val="14"/>
              </w:rPr>
              <w:t> </w:t>
            </w:r>
            <w:r>
              <w:rPr>
                <w:sz w:val="14"/>
              </w:rPr>
              <w:t>Food</w:t>
            </w:r>
            <w:r>
              <w:rPr>
                <w:spacing w:val="-6"/>
                <w:sz w:val="14"/>
              </w:rPr>
              <w:t> </w:t>
            </w:r>
            <w:r>
              <w:rPr>
                <w:sz w:val="14"/>
              </w:rPr>
              <w:t>Class</w:t>
            </w:r>
            <w:r>
              <w:rPr>
                <w:spacing w:val="-2"/>
                <w:sz w:val="14"/>
              </w:rPr>
              <w:t> </w:t>
            </w:r>
            <w:r>
              <w:rPr>
                <w:sz w:val="14"/>
              </w:rPr>
              <w:t>3</w:t>
            </w:r>
            <w:r>
              <w:rPr>
                <w:spacing w:val="-7"/>
                <w:sz w:val="14"/>
              </w:rPr>
              <w:t> </w:t>
            </w:r>
            <w:r>
              <w:rPr>
                <w:sz w:val="14"/>
              </w:rPr>
              <w:t>Premises</w:t>
            </w:r>
            <w:r>
              <w:rPr>
                <w:spacing w:val="-6"/>
                <w:sz w:val="14"/>
              </w:rPr>
              <w:t> </w:t>
            </w:r>
            <w:r>
              <w:rPr>
                <w:sz w:val="14"/>
              </w:rPr>
              <w:t>-</w:t>
            </w:r>
            <w:r>
              <w:rPr>
                <w:spacing w:val="-3"/>
                <w:sz w:val="14"/>
              </w:rPr>
              <w:t> </w:t>
            </w:r>
            <w:r>
              <w:rPr>
                <w:sz w:val="14"/>
              </w:rPr>
              <w:t>Community/Sports</w:t>
            </w:r>
            <w:r>
              <w:rPr>
                <w:spacing w:val="-4"/>
                <w:sz w:val="14"/>
              </w:rPr>
              <w:t> </w:t>
            </w:r>
            <w:r>
              <w:rPr>
                <w:spacing w:val="-2"/>
                <w:sz w:val="14"/>
              </w:rPr>
              <w:t>Groups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230.00</w:t>
            </w:r>
          </w:p>
        </w:tc>
        <w:tc>
          <w:tcPr>
            <w:tcW w:w="995" w:type="dxa"/>
          </w:tcPr>
          <w:p>
            <w:pPr>
              <w:pStyle w:val="TableParagraph"/>
              <w:spacing w:line="140" w:lineRule="exact" w:before="17"/>
              <w:ind w:right="102"/>
              <w:jc w:val="right"/>
              <w:rPr>
                <w:sz w:val="14"/>
              </w:rPr>
            </w:pPr>
            <w:r>
              <w:rPr>
                <w:spacing w:val="-2"/>
                <w:sz w:val="14"/>
              </w:rPr>
              <w:t>247.00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3"/>
                <w:sz w:val="14"/>
              </w:rPr>
              <w:t> </w:t>
            </w:r>
            <w:r>
              <w:rPr>
                <w:sz w:val="14"/>
              </w:rPr>
              <w:t>Fees</w:t>
            </w:r>
            <w:r>
              <w:rPr>
                <w:spacing w:val="-4"/>
                <w:sz w:val="14"/>
              </w:rPr>
              <w:t> </w:t>
            </w:r>
            <w:r>
              <w:rPr>
                <w:sz w:val="14"/>
              </w:rPr>
              <w:t>Health</w:t>
            </w:r>
            <w:r>
              <w:rPr>
                <w:spacing w:val="-6"/>
                <w:sz w:val="14"/>
              </w:rPr>
              <w:t> </w:t>
            </w:r>
            <w:r>
              <w:rPr>
                <w:sz w:val="14"/>
              </w:rPr>
              <w:t>Premises</w:t>
            </w:r>
            <w:r>
              <w:rPr>
                <w:spacing w:val="-3"/>
                <w:sz w:val="14"/>
              </w:rPr>
              <w:t> </w:t>
            </w:r>
            <w:r>
              <w:rPr>
                <w:sz w:val="14"/>
              </w:rPr>
              <w:t>-</w:t>
            </w:r>
            <w:r>
              <w:rPr>
                <w:spacing w:val="-3"/>
                <w:sz w:val="14"/>
              </w:rPr>
              <w:t> </w:t>
            </w:r>
            <w:r>
              <w:rPr>
                <w:sz w:val="14"/>
              </w:rPr>
              <w:t>Low</w:t>
            </w:r>
            <w:r>
              <w:rPr>
                <w:spacing w:val="-2"/>
                <w:sz w:val="14"/>
              </w:rPr>
              <w:t> </w:t>
            </w:r>
            <w:r>
              <w:rPr>
                <w:sz w:val="14"/>
              </w:rPr>
              <w:t>Risk</w:t>
            </w:r>
            <w:r>
              <w:rPr>
                <w:spacing w:val="-6"/>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198.00</w:t>
            </w:r>
          </w:p>
        </w:tc>
        <w:tc>
          <w:tcPr>
            <w:tcW w:w="995" w:type="dxa"/>
          </w:tcPr>
          <w:p>
            <w:pPr>
              <w:pStyle w:val="TableParagraph"/>
              <w:spacing w:line="140" w:lineRule="exact" w:before="17"/>
              <w:ind w:right="102"/>
              <w:jc w:val="right"/>
              <w:rPr>
                <w:sz w:val="14"/>
              </w:rPr>
            </w:pPr>
            <w:r>
              <w:rPr>
                <w:spacing w:val="-2"/>
                <w:sz w:val="14"/>
              </w:rPr>
              <w:t>213.00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3"/>
                <w:sz w:val="14"/>
              </w:rPr>
              <w:t> </w:t>
            </w:r>
            <w:r>
              <w:rPr>
                <w:sz w:val="14"/>
              </w:rPr>
              <w:t>Fees</w:t>
            </w:r>
            <w:r>
              <w:rPr>
                <w:spacing w:val="-4"/>
                <w:sz w:val="14"/>
              </w:rPr>
              <w:t> </w:t>
            </w:r>
            <w:r>
              <w:rPr>
                <w:sz w:val="14"/>
              </w:rPr>
              <w:t>Health</w:t>
            </w:r>
            <w:r>
              <w:rPr>
                <w:spacing w:val="-6"/>
                <w:sz w:val="14"/>
              </w:rPr>
              <w:t> </w:t>
            </w:r>
            <w:r>
              <w:rPr>
                <w:sz w:val="14"/>
              </w:rPr>
              <w:t>Premises</w:t>
            </w:r>
            <w:r>
              <w:rPr>
                <w:spacing w:val="-3"/>
                <w:sz w:val="14"/>
              </w:rPr>
              <w:t> </w:t>
            </w:r>
            <w:r>
              <w:rPr>
                <w:sz w:val="14"/>
              </w:rPr>
              <w:t>-</w:t>
            </w:r>
            <w:r>
              <w:rPr>
                <w:spacing w:val="-3"/>
                <w:sz w:val="14"/>
              </w:rPr>
              <w:t> </w:t>
            </w:r>
            <w:r>
              <w:rPr>
                <w:sz w:val="14"/>
              </w:rPr>
              <w:t>Medium</w:t>
            </w:r>
            <w:r>
              <w:rPr>
                <w:spacing w:val="-4"/>
                <w:sz w:val="14"/>
              </w:rPr>
              <w:t> </w:t>
            </w:r>
            <w:r>
              <w:rPr>
                <w:sz w:val="14"/>
              </w:rPr>
              <w:t>Risk</w:t>
            </w:r>
            <w:r>
              <w:rPr>
                <w:spacing w:val="-3"/>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198.00</w:t>
            </w:r>
          </w:p>
        </w:tc>
        <w:tc>
          <w:tcPr>
            <w:tcW w:w="995" w:type="dxa"/>
          </w:tcPr>
          <w:p>
            <w:pPr>
              <w:pStyle w:val="TableParagraph"/>
              <w:spacing w:line="140" w:lineRule="exact" w:before="17"/>
              <w:ind w:right="102"/>
              <w:jc w:val="right"/>
              <w:rPr>
                <w:sz w:val="14"/>
              </w:rPr>
            </w:pPr>
            <w:r>
              <w:rPr>
                <w:spacing w:val="-2"/>
                <w:sz w:val="14"/>
              </w:rPr>
              <w:t>213.00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2"/>
                <w:sz w:val="14"/>
              </w:rPr>
              <w:t> </w:t>
            </w:r>
            <w:r>
              <w:rPr>
                <w:sz w:val="14"/>
              </w:rPr>
              <w:t>Fees</w:t>
            </w:r>
            <w:r>
              <w:rPr>
                <w:spacing w:val="-5"/>
                <w:sz w:val="14"/>
              </w:rPr>
              <w:t> </w:t>
            </w:r>
            <w:r>
              <w:rPr>
                <w:sz w:val="14"/>
              </w:rPr>
              <w:t>Health</w:t>
            </w:r>
            <w:r>
              <w:rPr>
                <w:spacing w:val="-5"/>
                <w:sz w:val="14"/>
              </w:rPr>
              <w:t> </w:t>
            </w:r>
            <w:r>
              <w:rPr>
                <w:sz w:val="14"/>
              </w:rPr>
              <w:t>Premises</w:t>
            </w:r>
            <w:r>
              <w:rPr>
                <w:spacing w:val="-3"/>
                <w:sz w:val="14"/>
              </w:rPr>
              <w:t> </w:t>
            </w:r>
            <w:r>
              <w:rPr>
                <w:sz w:val="14"/>
              </w:rPr>
              <w:t>-</w:t>
            </w:r>
            <w:r>
              <w:rPr>
                <w:spacing w:val="-3"/>
                <w:sz w:val="14"/>
              </w:rPr>
              <w:t> </w:t>
            </w:r>
            <w:r>
              <w:rPr>
                <w:sz w:val="14"/>
              </w:rPr>
              <w:t>High</w:t>
            </w:r>
            <w:r>
              <w:rPr>
                <w:spacing w:val="-3"/>
                <w:sz w:val="14"/>
              </w:rPr>
              <w:t> </w:t>
            </w:r>
            <w:r>
              <w:rPr>
                <w:sz w:val="14"/>
              </w:rPr>
              <w:t>Risk</w:t>
            </w:r>
            <w:r>
              <w:rPr>
                <w:spacing w:val="-6"/>
                <w:sz w:val="14"/>
              </w:rPr>
              <w:t> </w:t>
            </w:r>
            <w:r>
              <w:rPr>
                <w:spacing w:val="-2"/>
                <w:sz w:val="14"/>
              </w:rPr>
              <w:t>Activities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198.00</w:t>
            </w:r>
          </w:p>
        </w:tc>
        <w:tc>
          <w:tcPr>
            <w:tcW w:w="995" w:type="dxa"/>
          </w:tcPr>
          <w:p>
            <w:pPr>
              <w:pStyle w:val="TableParagraph"/>
              <w:spacing w:line="140" w:lineRule="exact" w:before="17"/>
              <w:ind w:right="102"/>
              <w:jc w:val="right"/>
              <w:rPr>
                <w:sz w:val="14"/>
              </w:rPr>
            </w:pPr>
            <w:r>
              <w:rPr>
                <w:spacing w:val="-2"/>
                <w:sz w:val="14"/>
              </w:rPr>
              <w:t>213.00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4"/>
                <w:sz w:val="14"/>
              </w:rPr>
              <w:t> </w:t>
            </w:r>
            <w:r>
              <w:rPr>
                <w:sz w:val="14"/>
              </w:rPr>
              <w:t>Fees</w:t>
            </w:r>
            <w:r>
              <w:rPr>
                <w:spacing w:val="-5"/>
                <w:sz w:val="14"/>
              </w:rPr>
              <w:t> </w:t>
            </w:r>
            <w:r>
              <w:rPr>
                <w:sz w:val="14"/>
              </w:rPr>
              <w:t>Food</w:t>
            </w:r>
            <w:r>
              <w:rPr>
                <w:spacing w:val="-4"/>
                <w:sz w:val="14"/>
              </w:rPr>
              <w:t> </w:t>
            </w:r>
            <w:r>
              <w:rPr>
                <w:sz w:val="14"/>
              </w:rPr>
              <w:t>Manufacturers</w:t>
            </w:r>
            <w:r>
              <w:rPr>
                <w:spacing w:val="-8"/>
                <w:sz w:val="14"/>
              </w:rPr>
              <w:t> </w:t>
            </w:r>
            <w:r>
              <w:rPr>
                <w:sz w:val="14"/>
              </w:rPr>
              <w:t>&amp;</w:t>
            </w:r>
            <w:r>
              <w:rPr>
                <w:spacing w:val="-6"/>
                <w:sz w:val="14"/>
              </w:rPr>
              <w:t> </w:t>
            </w:r>
            <w:r>
              <w:rPr>
                <w:spacing w:val="-2"/>
                <w:sz w:val="14"/>
              </w:rPr>
              <w:t>Supermarkets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495.00</w:t>
            </w:r>
          </w:p>
        </w:tc>
        <w:tc>
          <w:tcPr>
            <w:tcW w:w="995" w:type="dxa"/>
          </w:tcPr>
          <w:p>
            <w:pPr>
              <w:pStyle w:val="TableParagraph"/>
              <w:spacing w:line="140" w:lineRule="exact" w:before="17"/>
              <w:ind w:right="102"/>
              <w:jc w:val="right"/>
              <w:rPr>
                <w:sz w:val="14"/>
              </w:rPr>
            </w:pPr>
            <w:r>
              <w:rPr>
                <w:spacing w:val="-2"/>
                <w:sz w:val="14"/>
              </w:rPr>
              <w:t>532.00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Pre-application</w:t>
            </w:r>
            <w:r>
              <w:rPr>
                <w:spacing w:val="-8"/>
                <w:sz w:val="14"/>
              </w:rPr>
              <w:t> </w:t>
            </w:r>
            <w:r>
              <w:rPr>
                <w:sz w:val="14"/>
              </w:rPr>
              <w:t>Fees</w:t>
            </w:r>
            <w:r>
              <w:rPr>
                <w:spacing w:val="-9"/>
                <w:sz w:val="14"/>
              </w:rPr>
              <w:t> </w:t>
            </w:r>
            <w:r>
              <w:rPr>
                <w:sz w:val="14"/>
              </w:rPr>
              <w:t>Restaurants/Cafes/Hotels/Clubs</w:t>
            </w:r>
            <w:r>
              <w:rPr>
                <w:spacing w:val="-7"/>
                <w:sz w:val="14"/>
              </w:rPr>
              <w:t> </w:t>
            </w:r>
            <w:r>
              <w:rPr>
                <w:sz w:val="14"/>
              </w:rPr>
              <w:t>(&gt;100</w:t>
            </w:r>
            <w:r>
              <w:rPr>
                <w:spacing w:val="-7"/>
                <w:sz w:val="14"/>
              </w:rPr>
              <w:t> </w:t>
            </w:r>
            <w:r>
              <w:rPr>
                <w:spacing w:val="-2"/>
                <w:sz w:val="14"/>
              </w:rPr>
              <w:t>seats)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390.00</w:t>
            </w:r>
          </w:p>
        </w:tc>
        <w:tc>
          <w:tcPr>
            <w:tcW w:w="995" w:type="dxa"/>
          </w:tcPr>
          <w:p>
            <w:pPr>
              <w:pStyle w:val="TableParagraph"/>
              <w:spacing w:line="140" w:lineRule="exact" w:before="17"/>
              <w:ind w:right="102"/>
              <w:jc w:val="right"/>
              <w:rPr>
                <w:sz w:val="14"/>
              </w:rPr>
            </w:pPr>
            <w:r>
              <w:rPr>
                <w:spacing w:val="-2"/>
                <w:sz w:val="14"/>
              </w:rPr>
              <w:t>420.00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Pre</w:t>
            </w:r>
            <w:r>
              <w:rPr>
                <w:spacing w:val="-5"/>
                <w:sz w:val="14"/>
              </w:rPr>
              <w:t> </w:t>
            </w:r>
            <w:r>
              <w:rPr>
                <w:sz w:val="14"/>
              </w:rPr>
              <w:t>Purchase</w:t>
            </w:r>
            <w:r>
              <w:rPr>
                <w:spacing w:val="-2"/>
                <w:sz w:val="14"/>
              </w:rPr>
              <w:t> </w:t>
            </w:r>
            <w:r>
              <w:rPr>
                <w:sz w:val="14"/>
              </w:rPr>
              <w:t>Inspection</w:t>
            </w:r>
            <w:r>
              <w:rPr>
                <w:spacing w:val="-6"/>
                <w:sz w:val="14"/>
              </w:rPr>
              <w:t> </w:t>
            </w:r>
            <w:r>
              <w:rPr>
                <w:sz w:val="14"/>
              </w:rPr>
              <w:t>Report</w:t>
            </w:r>
            <w:r>
              <w:rPr>
                <w:spacing w:val="-3"/>
                <w:sz w:val="14"/>
              </w:rPr>
              <w:t> </w:t>
            </w:r>
            <w:r>
              <w:rPr>
                <w:sz w:val="14"/>
              </w:rPr>
              <w:t>-</w:t>
            </w:r>
            <w:r>
              <w:rPr>
                <w:spacing w:val="-5"/>
                <w:sz w:val="14"/>
              </w:rPr>
              <w:t> </w:t>
            </w:r>
            <w:r>
              <w:rPr>
                <w:sz w:val="14"/>
              </w:rPr>
              <w:t>All</w:t>
            </w:r>
            <w:r>
              <w:rPr>
                <w:spacing w:val="-4"/>
                <w:sz w:val="14"/>
              </w:rPr>
              <w:t> </w:t>
            </w:r>
            <w:r>
              <w:rPr>
                <w:sz w:val="14"/>
              </w:rPr>
              <w:t>premises</w:t>
            </w:r>
            <w:r>
              <w:rPr>
                <w:spacing w:val="-4"/>
                <w:sz w:val="14"/>
              </w:rPr>
              <w:t> types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258.00</w:t>
            </w:r>
          </w:p>
        </w:tc>
        <w:tc>
          <w:tcPr>
            <w:tcW w:w="995" w:type="dxa"/>
          </w:tcPr>
          <w:p>
            <w:pPr>
              <w:pStyle w:val="TableParagraph"/>
              <w:spacing w:line="140" w:lineRule="exact" w:before="17"/>
              <w:ind w:right="102"/>
              <w:jc w:val="right"/>
              <w:rPr>
                <w:sz w:val="14"/>
              </w:rPr>
            </w:pPr>
            <w:r>
              <w:rPr>
                <w:spacing w:val="-2"/>
                <w:sz w:val="14"/>
              </w:rPr>
              <w:t>277.00</w:t>
            </w:r>
          </w:p>
        </w:tc>
        <w:tc>
          <w:tcPr>
            <w:tcW w:w="861" w:type="dxa"/>
          </w:tcPr>
          <w:p>
            <w:pPr>
              <w:pStyle w:val="TableParagraph"/>
              <w:spacing w:line="140" w:lineRule="exact" w:before="17"/>
              <w:ind w:left="152" w:right="154"/>
              <w:jc w:val="center"/>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Pre</w:t>
            </w:r>
            <w:r>
              <w:rPr>
                <w:spacing w:val="-5"/>
                <w:sz w:val="14"/>
              </w:rPr>
              <w:t> </w:t>
            </w:r>
            <w:r>
              <w:rPr>
                <w:sz w:val="14"/>
              </w:rPr>
              <w:t>Purchase</w:t>
            </w:r>
            <w:r>
              <w:rPr>
                <w:spacing w:val="-3"/>
                <w:sz w:val="14"/>
              </w:rPr>
              <w:t> </w:t>
            </w:r>
            <w:r>
              <w:rPr>
                <w:sz w:val="14"/>
              </w:rPr>
              <w:t>Inspection</w:t>
            </w:r>
            <w:r>
              <w:rPr>
                <w:spacing w:val="-5"/>
                <w:sz w:val="14"/>
              </w:rPr>
              <w:t> </w:t>
            </w:r>
            <w:r>
              <w:rPr>
                <w:sz w:val="14"/>
              </w:rPr>
              <w:t>Report</w:t>
            </w:r>
            <w:r>
              <w:rPr>
                <w:spacing w:val="34"/>
                <w:sz w:val="14"/>
              </w:rPr>
              <w:t> </w:t>
            </w:r>
            <w:r>
              <w:rPr>
                <w:sz w:val="14"/>
              </w:rPr>
              <w:t>-</w:t>
            </w:r>
            <w:r>
              <w:rPr>
                <w:spacing w:val="-5"/>
                <w:sz w:val="14"/>
              </w:rPr>
              <w:t> </w:t>
            </w:r>
            <w:r>
              <w:rPr>
                <w:sz w:val="14"/>
              </w:rPr>
              <w:t>All</w:t>
            </w:r>
            <w:r>
              <w:rPr>
                <w:spacing w:val="-3"/>
                <w:sz w:val="14"/>
              </w:rPr>
              <w:t> </w:t>
            </w:r>
            <w:r>
              <w:rPr>
                <w:sz w:val="14"/>
              </w:rPr>
              <w:t>premises</w:t>
            </w:r>
            <w:r>
              <w:rPr>
                <w:spacing w:val="-1"/>
                <w:sz w:val="14"/>
              </w:rPr>
              <w:t> </w:t>
            </w:r>
            <w:r>
              <w:rPr>
                <w:sz w:val="14"/>
              </w:rPr>
              <w:t>types</w:t>
            </w:r>
            <w:r>
              <w:rPr>
                <w:spacing w:val="-4"/>
                <w:sz w:val="14"/>
              </w:rPr>
              <w:t> </w:t>
            </w:r>
            <w:r>
              <w:rPr>
                <w:sz w:val="14"/>
              </w:rPr>
              <w:t>-</w:t>
            </w:r>
            <w:r>
              <w:rPr>
                <w:spacing w:val="-2"/>
                <w:sz w:val="14"/>
              </w:rPr>
              <w:t> </w:t>
            </w:r>
            <w:r>
              <w:rPr>
                <w:sz w:val="14"/>
              </w:rPr>
              <w:t>less</w:t>
            </w:r>
            <w:r>
              <w:rPr>
                <w:spacing w:val="-1"/>
                <w:sz w:val="14"/>
              </w:rPr>
              <w:t> </w:t>
            </w:r>
            <w:r>
              <w:rPr>
                <w:sz w:val="14"/>
              </w:rPr>
              <w:t>than</w:t>
            </w:r>
            <w:r>
              <w:rPr>
                <w:spacing w:val="-3"/>
                <w:sz w:val="14"/>
              </w:rPr>
              <w:t> </w:t>
            </w:r>
            <w:r>
              <w:rPr>
                <w:sz w:val="14"/>
              </w:rPr>
              <w:t>5</w:t>
            </w:r>
            <w:r>
              <w:rPr>
                <w:spacing w:val="-3"/>
                <w:sz w:val="14"/>
              </w:rPr>
              <w:t> </w:t>
            </w:r>
            <w:r>
              <w:rPr>
                <w:sz w:val="14"/>
              </w:rPr>
              <w:t>Days</w:t>
            </w:r>
            <w:r>
              <w:rPr>
                <w:spacing w:val="-4"/>
                <w:sz w:val="14"/>
              </w:rPr>
              <w:t> </w:t>
            </w:r>
            <w:r>
              <w:rPr>
                <w:spacing w:val="-2"/>
                <w:sz w:val="14"/>
              </w:rPr>
              <w:t>Notification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325.00</w:t>
            </w:r>
          </w:p>
        </w:tc>
        <w:tc>
          <w:tcPr>
            <w:tcW w:w="995" w:type="dxa"/>
          </w:tcPr>
          <w:p>
            <w:pPr>
              <w:pStyle w:val="TableParagraph"/>
              <w:spacing w:line="140" w:lineRule="exact" w:before="17"/>
              <w:ind w:right="102"/>
              <w:jc w:val="right"/>
              <w:rPr>
                <w:sz w:val="14"/>
              </w:rPr>
            </w:pPr>
            <w:r>
              <w:rPr>
                <w:spacing w:val="-2"/>
                <w:sz w:val="14"/>
              </w:rPr>
              <w:t>350.00</w:t>
            </w:r>
          </w:p>
        </w:tc>
        <w:tc>
          <w:tcPr>
            <w:tcW w:w="861" w:type="dxa"/>
          </w:tcPr>
          <w:p>
            <w:pPr>
              <w:pStyle w:val="TableParagraph"/>
              <w:spacing w:line="140" w:lineRule="exact" w:before="17"/>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Wastewater</w:t>
            </w:r>
            <w:r>
              <w:rPr>
                <w:spacing w:val="-6"/>
                <w:sz w:val="14"/>
              </w:rPr>
              <w:t> </w:t>
            </w:r>
            <w:r>
              <w:rPr>
                <w:sz w:val="14"/>
              </w:rPr>
              <w:t>Application</w:t>
            </w:r>
            <w:r>
              <w:rPr>
                <w:spacing w:val="-5"/>
                <w:sz w:val="14"/>
              </w:rPr>
              <w:t> </w:t>
            </w:r>
            <w:r>
              <w:rPr>
                <w:sz w:val="14"/>
              </w:rPr>
              <w:t>-</w:t>
            </w:r>
            <w:r>
              <w:rPr>
                <w:spacing w:val="-2"/>
                <w:sz w:val="14"/>
              </w:rPr>
              <w:t> </w:t>
            </w:r>
            <w:r>
              <w:rPr>
                <w:sz w:val="14"/>
              </w:rPr>
              <w:t>LCA</w:t>
            </w:r>
            <w:r>
              <w:rPr>
                <w:spacing w:val="-4"/>
                <w:sz w:val="14"/>
              </w:rPr>
              <w:t> </w:t>
            </w:r>
            <w:r>
              <w:rPr>
                <w:spacing w:val="-2"/>
                <w:sz w:val="14"/>
              </w:rPr>
              <w:t>Assessment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3"/>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205.00</w:t>
            </w:r>
          </w:p>
        </w:tc>
        <w:tc>
          <w:tcPr>
            <w:tcW w:w="995" w:type="dxa"/>
          </w:tcPr>
          <w:p>
            <w:pPr>
              <w:pStyle w:val="TableParagraph"/>
              <w:spacing w:line="140" w:lineRule="exact" w:before="17"/>
              <w:ind w:right="102"/>
              <w:jc w:val="right"/>
              <w:rPr>
                <w:sz w:val="14"/>
              </w:rPr>
            </w:pPr>
            <w:r>
              <w:rPr>
                <w:spacing w:val="-2"/>
                <w:sz w:val="14"/>
              </w:rPr>
              <w:t>220.00</w:t>
            </w:r>
          </w:p>
        </w:tc>
        <w:tc>
          <w:tcPr>
            <w:tcW w:w="861" w:type="dxa"/>
          </w:tcPr>
          <w:p>
            <w:pPr>
              <w:pStyle w:val="TableParagraph"/>
              <w:spacing w:line="140" w:lineRule="exact" w:before="17"/>
              <w:ind w:left="152" w:right="154"/>
              <w:jc w:val="center"/>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Minor</w:t>
            </w:r>
            <w:r>
              <w:rPr>
                <w:spacing w:val="-5"/>
                <w:sz w:val="14"/>
              </w:rPr>
              <w:t> </w:t>
            </w:r>
            <w:r>
              <w:rPr>
                <w:sz w:val="14"/>
              </w:rPr>
              <w:t>alteration</w:t>
            </w:r>
            <w:r>
              <w:rPr>
                <w:spacing w:val="-5"/>
                <w:sz w:val="14"/>
              </w:rPr>
              <w:t> </w:t>
            </w:r>
            <w:r>
              <w:rPr>
                <w:sz w:val="14"/>
              </w:rPr>
              <w:t>to</w:t>
            </w:r>
            <w:r>
              <w:rPr>
                <w:spacing w:val="-3"/>
                <w:sz w:val="14"/>
              </w:rPr>
              <w:t> </w:t>
            </w:r>
            <w:r>
              <w:rPr>
                <w:sz w:val="14"/>
              </w:rPr>
              <w:t>an</w:t>
            </w:r>
            <w:r>
              <w:rPr>
                <w:spacing w:val="-4"/>
                <w:sz w:val="14"/>
              </w:rPr>
              <w:t> </w:t>
            </w:r>
            <w:r>
              <w:rPr>
                <w:sz w:val="14"/>
              </w:rPr>
              <w:t>on-site</w:t>
            </w:r>
            <w:r>
              <w:rPr>
                <w:spacing w:val="-4"/>
                <w:sz w:val="14"/>
              </w:rPr>
              <w:t> </w:t>
            </w:r>
            <w:r>
              <w:rPr>
                <w:sz w:val="14"/>
              </w:rPr>
              <w:t>wastewater</w:t>
            </w:r>
            <w:r>
              <w:rPr>
                <w:spacing w:val="-6"/>
                <w:sz w:val="14"/>
              </w:rPr>
              <w:t> </w:t>
            </w:r>
            <w:r>
              <w:rPr>
                <w:sz w:val="14"/>
              </w:rPr>
              <w:t>management</w:t>
            </w:r>
            <w:r>
              <w:rPr>
                <w:spacing w:val="-6"/>
                <w:sz w:val="14"/>
              </w:rPr>
              <w:t> </w:t>
            </w:r>
            <w:r>
              <w:rPr>
                <w:sz w:val="14"/>
              </w:rPr>
              <w:t>system</w:t>
            </w:r>
            <w:r>
              <w:rPr>
                <w:spacing w:val="-2"/>
                <w:sz w:val="14"/>
              </w:rPr>
              <w:t> (37.25FU)</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569.55</w:t>
            </w:r>
          </w:p>
        </w:tc>
        <w:tc>
          <w:tcPr>
            <w:tcW w:w="995" w:type="dxa"/>
          </w:tcPr>
          <w:p>
            <w:pPr>
              <w:pStyle w:val="TableParagraph"/>
              <w:spacing w:line="140" w:lineRule="exact" w:before="17"/>
              <w:ind w:right="102"/>
              <w:jc w:val="right"/>
              <w:rPr>
                <w:sz w:val="14"/>
              </w:rPr>
            </w:pPr>
            <w:r>
              <w:rPr>
                <w:spacing w:val="-2"/>
                <w:sz w:val="14"/>
              </w:rPr>
              <w:t>608.00</w:t>
            </w:r>
          </w:p>
        </w:tc>
        <w:tc>
          <w:tcPr>
            <w:tcW w:w="861" w:type="dxa"/>
          </w:tcPr>
          <w:p>
            <w:pPr>
              <w:pStyle w:val="TableParagraph"/>
              <w:spacing w:line="140" w:lineRule="exact" w:before="17"/>
              <w:ind w:left="152" w:right="154"/>
              <w:jc w:val="center"/>
              <w:rPr>
                <w:sz w:val="14"/>
              </w:rPr>
            </w:pPr>
            <w:r>
              <w:rPr>
                <w:spacing w:val="-5"/>
                <w:sz w:val="14"/>
              </w:rPr>
              <w:t>6.3</w:t>
            </w:r>
          </w:p>
        </w:tc>
      </w:tr>
      <w:tr>
        <w:trPr>
          <w:trHeight w:val="352" w:hRule="atLeast"/>
        </w:trPr>
        <w:tc>
          <w:tcPr>
            <w:tcW w:w="5794" w:type="dxa"/>
          </w:tcPr>
          <w:p>
            <w:pPr>
              <w:pStyle w:val="TableParagraph"/>
              <w:spacing w:line="160" w:lineRule="atLeast" w:before="11"/>
              <w:ind w:left="107"/>
              <w:rPr>
                <w:sz w:val="14"/>
              </w:rPr>
            </w:pPr>
            <w:r>
              <w:rPr>
                <w:sz w:val="14"/>
              </w:rPr>
              <w:t>Permit</w:t>
            </w:r>
            <w:r>
              <w:rPr>
                <w:spacing w:val="-4"/>
                <w:sz w:val="14"/>
              </w:rPr>
              <w:t> </w:t>
            </w:r>
            <w:r>
              <w:rPr>
                <w:sz w:val="14"/>
              </w:rPr>
              <w:t>to</w:t>
            </w:r>
            <w:r>
              <w:rPr>
                <w:spacing w:val="-2"/>
                <w:sz w:val="14"/>
              </w:rPr>
              <w:t> </w:t>
            </w:r>
            <w:r>
              <w:rPr>
                <w:sz w:val="14"/>
              </w:rPr>
              <w:t>construct,</w:t>
            </w:r>
            <w:r>
              <w:rPr>
                <w:spacing w:val="-4"/>
                <w:sz w:val="14"/>
              </w:rPr>
              <w:t> </w:t>
            </w:r>
            <w:r>
              <w:rPr>
                <w:sz w:val="14"/>
              </w:rPr>
              <w:t>install</w:t>
            </w:r>
            <w:r>
              <w:rPr>
                <w:spacing w:val="-2"/>
                <w:sz w:val="14"/>
              </w:rPr>
              <w:t> </w:t>
            </w:r>
            <w:r>
              <w:rPr>
                <w:sz w:val="14"/>
              </w:rPr>
              <w:t>or</w:t>
            </w:r>
            <w:r>
              <w:rPr>
                <w:spacing w:val="-2"/>
                <w:sz w:val="14"/>
              </w:rPr>
              <w:t> </w:t>
            </w:r>
            <w:r>
              <w:rPr>
                <w:sz w:val="14"/>
              </w:rPr>
              <w:t>alter</w:t>
            </w:r>
            <w:r>
              <w:rPr>
                <w:spacing w:val="-5"/>
                <w:sz w:val="14"/>
              </w:rPr>
              <w:t> </w:t>
            </w:r>
            <w:r>
              <w:rPr>
                <w:sz w:val="14"/>
              </w:rPr>
              <w:t>an</w:t>
            </w:r>
            <w:r>
              <w:rPr>
                <w:spacing w:val="-5"/>
                <w:sz w:val="14"/>
              </w:rPr>
              <w:t> </w:t>
            </w:r>
            <w:r>
              <w:rPr>
                <w:sz w:val="14"/>
              </w:rPr>
              <w:t>on-site</w:t>
            </w:r>
            <w:r>
              <w:rPr>
                <w:spacing w:val="-5"/>
                <w:sz w:val="14"/>
              </w:rPr>
              <w:t> </w:t>
            </w:r>
            <w:r>
              <w:rPr>
                <w:sz w:val="14"/>
              </w:rPr>
              <w:t>wastewater</w:t>
            </w:r>
            <w:r>
              <w:rPr>
                <w:spacing w:val="-5"/>
                <w:sz w:val="14"/>
              </w:rPr>
              <w:t> </w:t>
            </w:r>
            <w:r>
              <w:rPr>
                <w:sz w:val="14"/>
              </w:rPr>
              <w:t>management</w:t>
            </w:r>
            <w:r>
              <w:rPr>
                <w:spacing w:val="-5"/>
                <w:sz w:val="14"/>
              </w:rPr>
              <w:t> </w:t>
            </w:r>
            <w:r>
              <w:rPr>
                <w:sz w:val="14"/>
              </w:rPr>
              <w:t>system (up</w:t>
            </w:r>
            <w:r>
              <w:rPr>
                <w:spacing w:val="-6"/>
                <w:sz w:val="14"/>
              </w:rPr>
              <w:t> </w:t>
            </w:r>
            <w:r>
              <w:rPr>
                <w:sz w:val="14"/>
              </w:rPr>
              <w:t>to</w:t>
            </w:r>
            <w:r>
              <w:rPr>
                <w:spacing w:val="-2"/>
                <w:sz w:val="14"/>
              </w:rPr>
              <w:t> </w:t>
            </w:r>
            <w:r>
              <w:rPr>
                <w:sz w:val="14"/>
              </w:rPr>
              <w:t>8.2</w:t>
            </w:r>
            <w:r>
              <w:rPr>
                <w:spacing w:val="40"/>
                <w:sz w:val="14"/>
              </w:rPr>
              <w:t> </w:t>
            </w:r>
            <w:r>
              <w:rPr>
                <w:sz w:val="14"/>
              </w:rPr>
              <w:t>hours work) (48.88 FU)</w:t>
            </w:r>
          </w:p>
        </w:tc>
        <w:tc>
          <w:tcPr>
            <w:tcW w:w="1131" w:type="dxa"/>
          </w:tcPr>
          <w:p>
            <w:pPr>
              <w:pStyle w:val="TableParagraph"/>
              <w:spacing w:before="8"/>
              <w:rPr>
                <w:sz w:val="16"/>
              </w:rPr>
            </w:pPr>
          </w:p>
          <w:p>
            <w:pPr>
              <w:pStyle w:val="TableParagraph"/>
              <w:spacing w:line="140" w:lineRule="exact"/>
              <w:ind w:left="7"/>
              <w:jc w:val="center"/>
              <w:rPr>
                <w:sz w:val="14"/>
              </w:rPr>
            </w:pPr>
            <w:r>
              <w:rPr>
                <w:w w:val="99"/>
                <w:sz w:val="14"/>
              </w:rPr>
              <w:t>S</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747.38</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798.00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6.3</w:t>
            </w:r>
          </w:p>
        </w:tc>
      </w:tr>
      <w:tr>
        <w:trPr>
          <w:trHeight w:val="354" w:hRule="atLeast"/>
        </w:trPr>
        <w:tc>
          <w:tcPr>
            <w:tcW w:w="5794" w:type="dxa"/>
          </w:tcPr>
          <w:p>
            <w:pPr>
              <w:pStyle w:val="TableParagraph"/>
              <w:spacing w:line="160" w:lineRule="atLeast" w:before="14"/>
              <w:ind w:left="107" w:right="174"/>
              <w:rPr>
                <w:sz w:val="14"/>
              </w:rPr>
            </w:pPr>
            <w:r>
              <w:rPr>
                <w:sz w:val="14"/>
              </w:rPr>
              <w:t>Permit</w:t>
            </w:r>
            <w:r>
              <w:rPr>
                <w:spacing w:val="-4"/>
                <w:sz w:val="14"/>
              </w:rPr>
              <w:t> </w:t>
            </w:r>
            <w:r>
              <w:rPr>
                <w:sz w:val="14"/>
              </w:rPr>
              <w:t>to</w:t>
            </w:r>
            <w:r>
              <w:rPr>
                <w:spacing w:val="-3"/>
                <w:sz w:val="14"/>
              </w:rPr>
              <w:t> </w:t>
            </w:r>
            <w:r>
              <w:rPr>
                <w:sz w:val="14"/>
              </w:rPr>
              <w:t>construct,</w:t>
            </w:r>
            <w:r>
              <w:rPr>
                <w:spacing w:val="-4"/>
                <w:sz w:val="14"/>
              </w:rPr>
              <w:t> </w:t>
            </w:r>
            <w:r>
              <w:rPr>
                <w:sz w:val="14"/>
              </w:rPr>
              <w:t>install</w:t>
            </w:r>
            <w:r>
              <w:rPr>
                <w:spacing w:val="-3"/>
                <w:sz w:val="14"/>
              </w:rPr>
              <w:t> </w:t>
            </w:r>
            <w:r>
              <w:rPr>
                <w:sz w:val="14"/>
              </w:rPr>
              <w:t>or</w:t>
            </w:r>
            <w:r>
              <w:rPr>
                <w:spacing w:val="-3"/>
                <w:sz w:val="14"/>
              </w:rPr>
              <w:t> </w:t>
            </w:r>
            <w:r>
              <w:rPr>
                <w:sz w:val="14"/>
              </w:rPr>
              <w:t>alter</w:t>
            </w:r>
            <w:r>
              <w:rPr>
                <w:spacing w:val="-5"/>
                <w:sz w:val="14"/>
              </w:rPr>
              <w:t> </w:t>
            </w:r>
            <w:r>
              <w:rPr>
                <w:sz w:val="14"/>
              </w:rPr>
              <w:t>an</w:t>
            </w:r>
            <w:r>
              <w:rPr>
                <w:spacing w:val="-5"/>
                <w:sz w:val="14"/>
              </w:rPr>
              <w:t> </w:t>
            </w:r>
            <w:r>
              <w:rPr>
                <w:sz w:val="14"/>
              </w:rPr>
              <w:t>on-site</w:t>
            </w:r>
            <w:r>
              <w:rPr>
                <w:spacing w:val="-5"/>
                <w:sz w:val="14"/>
              </w:rPr>
              <w:t> </w:t>
            </w:r>
            <w:r>
              <w:rPr>
                <w:sz w:val="14"/>
              </w:rPr>
              <w:t>wastewater</w:t>
            </w:r>
            <w:r>
              <w:rPr>
                <w:spacing w:val="-5"/>
                <w:sz w:val="14"/>
              </w:rPr>
              <w:t> </w:t>
            </w:r>
            <w:r>
              <w:rPr>
                <w:sz w:val="14"/>
              </w:rPr>
              <w:t>management</w:t>
            </w:r>
            <w:r>
              <w:rPr>
                <w:spacing w:val="-5"/>
                <w:sz w:val="14"/>
              </w:rPr>
              <w:t> </w:t>
            </w:r>
            <w:r>
              <w:rPr>
                <w:sz w:val="14"/>
              </w:rPr>
              <w:t>system</w:t>
            </w:r>
            <w:r>
              <w:rPr>
                <w:spacing w:val="-1"/>
                <w:sz w:val="14"/>
              </w:rPr>
              <w:t> </w:t>
            </w:r>
            <w:r>
              <w:rPr>
                <w:sz w:val="14"/>
              </w:rPr>
              <w:t>(additional</w:t>
            </w:r>
            <w:r>
              <w:rPr>
                <w:spacing w:val="40"/>
                <w:sz w:val="14"/>
              </w:rPr>
              <w:t> </w:t>
            </w:r>
            <w:r>
              <w:rPr>
                <w:sz w:val="14"/>
              </w:rPr>
              <w:t>fee per hour of assessment over 8.2 hour) (6.12 FU)</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93.57</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100.00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6.4</w:t>
            </w:r>
          </w:p>
        </w:tc>
      </w:tr>
      <w:tr>
        <w:trPr>
          <w:trHeight w:val="354" w:hRule="atLeast"/>
        </w:trPr>
        <w:tc>
          <w:tcPr>
            <w:tcW w:w="5794" w:type="dxa"/>
          </w:tcPr>
          <w:p>
            <w:pPr>
              <w:pStyle w:val="TableParagraph"/>
              <w:spacing w:line="160" w:lineRule="atLeast" w:before="13"/>
              <w:ind w:left="107"/>
              <w:rPr>
                <w:sz w:val="14"/>
              </w:rPr>
            </w:pPr>
            <w:r>
              <w:rPr>
                <w:sz w:val="14"/>
              </w:rPr>
              <w:t>Permit</w:t>
            </w:r>
            <w:r>
              <w:rPr>
                <w:spacing w:val="-5"/>
                <w:sz w:val="14"/>
              </w:rPr>
              <w:t> </w:t>
            </w:r>
            <w:r>
              <w:rPr>
                <w:sz w:val="14"/>
              </w:rPr>
              <w:t>to</w:t>
            </w:r>
            <w:r>
              <w:rPr>
                <w:spacing w:val="-3"/>
                <w:sz w:val="14"/>
              </w:rPr>
              <w:t> </w:t>
            </w:r>
            <w:r>
              <w:rPr>
                <w:sz w:val="14"/>
              </w:rPr>
              <w:t>construct,</w:t>
            </w:r>
            <w:r>
              <w:rPr>
                <w:spacing w:val="-5"/>
                <w:sz w:val="14"/>
              </w:rPr>
              <w:t> </w:t>
            </w:r>
            <w:r>
              <w:rPr>
                <w:sz w:val="14"/>
              </w:rPr>
              <w:t>install</w:t>
            </w:r>
            <w:r>
              <w:rPr>
                <w:spacing w:val="-3"/>
                <w:sz w:val="14"/>
              </w:rPr>
              <w:t> </w:t>
            </w:r>
            <w:r>
              <w:rPr>
                <w:sz w:val="14"/>
              </w:rPr>
              <w:t>or</w:t>
            </w:r>
            <w:r>
              <w:rPr>
                <w:spacing w:val="-3"/>
                <w:sz w:val="14"/>
              </w:rPr>
              <w:t> </w:t>
            </w:r>
            <w:r>
              <w:rPr>
                <w:sz w:val="14"/>
              </w:rPr>
              <w:t>alter</w:t>
            </w:r>
            <w:r>
              <w:rPr>
                <w:spacing w:val="-5"/>
                <w:sz w:val="14"/>
              </w:rPr>
              <w:t> </w:t>
            </w:r>
            <w:r>
              <w:rPr>
                <w:sz w:val="14"/>
              </w:rPr>
              <w:t>an</w:t>
            </w:r>
            <w:r>
              <w:rPr>
                <w:spacing w:val="-5"/>
                <w:sz w:val="14"/>
              </w:rPr>
              <w:t> </w:t>
            </w:r>
            <w:r>
              <w:rPr>
                <w:sz w:val="14"/>
              </w:rPr>
              <w:t>on-site</w:t>
            </w:r>
            <w:r>
              <w:rPr>
                <w:spacing w:val="-5"/>
                <w:sz w:val="14"/>
              </w:rPr>
              <w:t> </w:t>
            </w:r>
            <w:r>
              <w:rPr>
                <w:sz w:val="14"/>
              </w:rPr>
              <w:t>wastewater</w:t>
            </w:r>
            <w:r>
              <w:rPr>
                <w:spacing w:val="-5"/>
                <w:sz w:val="14"/>
              </w:rPr>
              <w:t> </w:t>
            </w:r>
            <w:r>
              <w:rPr>
                <w:sz w:val="14"/>
              </w:rPr>
              <w:t>management</w:t>
            </w:r>
            <w:r>
              <w:rPr>
                <w:spacing w:val="-5"/>
                <w:sz w:val="14"/>
              </w:rPr>
              <w:t> </w:t>
            </w:r>
            <w:r>
              <w:rPr>
                <w:sz w:val="14"/>
              </w:rPr>
              <w:t>system</w:t>
            </w:r>
            <w:r>
              <w:rPr>
                <w:spacing w:val="-1"/>
                <w:sz w:val="14"/>
              </w:rPr>
              <w:t> </w:t>
            </w:r>
            <w:r>
              <w:rPr>
                <w:sz w:val="14"/>
              </w:rPr>
              <w:t>(Maximum</w:t>
            </w:r>
            <w:r>
              <w:rPr>
                <w:spacing w:val="40"/>
                <w:sz w:val="14"/>
              </w:rPr>
              <w:t> </w:t>
            </w:r>
            <w:r>
              <w:rPr>
                <w:sz w:val="14"/>
              </w:rPr>
              <w:t>Fee limit) (135.43 FU)</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2,070.72</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2,212.00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6.4</w:t>
            </w:r>
          </w:p>
        </w:tc>
      </w:tr>
      <w:tr>
        <w:trPr>
          <w:trHeight w:val="177" w:hRule="atLeast"/>
        </w:trPr>
        <w:tc>
          <w:tcPr>
            <w:tcW w:w="5794" w:type="dxa"/>
          </w:tcPr>
          <w:p>
            <w:pPr>
              <w:pStyle w:val="TableParagraph"/>
              <w:spacing w:line="142" w:lineRule="exact" w:before="15"/>
              <w:ind w:left="107"/>
              <w:rPr>
                <w:sz w:val="14"/>
              </w:rPr>
            </w:pPr>
            <w:r>
              <w:rPr>
                <w:sz w:val="14"/>
              </w:rPr>
              <w:t>Fee</w:t>
            </w:r>
            <w:r>
              <w:rPr>
                <w:spacing w:val="-6"/>
                <w:sz w:val="14"/>
              </w:rPr>
              <w:t> </w:t>
            </w:r>
            <w:r>
              <w:rPr>
                <w:sz w:val="14"/>
              </w:rPr>
              <w:t>to</w:t>
            </w:r>
            <w:r>
              <w:rPr>
                <w:spacing w:val="-4"/>
                <w:sz w:val="14"/>
              </w:rPr>
              <w:t> </w:t>
            </w:r>
            <w:r>
              <w:rPr>
                <w:sz w:val="14"/>
              </w:rPr>
              <w:t>transfer</w:t>
            </w:r>
            <w:r>
              <w:rPr>
                <w:spacing w:val="-4"/>
                <w:sz w:val="14"/>
              </w:rPr>
              <w:t> </w:t>
            </w:r>
            <w:r>
              <w:rPr>
                <w:sz w:val="14"/>
              </w:rPr>
              <w:t>onsite</w:t>
            </w:r>
            <w:r>
              <w:rPr>
                <w:spacing w:val="-3"/>
                <w:sz w:val="14"/>
              </w:rPr>
              <w:t> </w:t>
            </w:r>
            <w:r>
              <w:rPr>
                <w:sz w:val="14"/>
              </w:rPr>
              <w:t>wastewater</w:t>
            </w:r>
            <w:r>
              <w:rPr>
                <w:spacing w:val="-6"/>
                <w:sz w:val="14"/>
              </w:rPr>
              <w:t> </w:t>
            </w:r>
            <w:r>
              <w:rPr>
                <w:sz w:val="14"/>
              </w:rPr>
              <w:t>management</w:t>
            </w:r>
            <w:r>
              <w:rPr>
                <w:spacing w:val="-5"/>
                <w:sz w:val="14"/>
              </w:rPr>
              <w:t> </w:t>
            </w:r>
            <w:r>
              <w:rPr>
                <w:sz w:val="14"/>
              </w:rPr>
              <w:t>system</w:t>
            </w:r>
            <w:r>
              <w:rPr>
                <w:spacing w:val="32"/>
                <w:sz w:val="14"/>
              </w:rPr>
              <w:t> </w:t>
            </w:r>
            <w:r>
              <w:rPr>
                <w:sz w:val="14"/>
              </w:rPr>
              <w:t>(9.93</w:t>
            </w:r>
            <w:r>
              <w:rPr>
                <w:spacing w:val="-3"/>
                <w:sz w:val="14"/>
              </w:rPr>
              <w:t> </w:t>
            </w:r>
            <w:r>
              <w:rPr>
                <w:spacing w:val="-5"/>
                <w:sz w:val="14"/>
              </w:rPr>
              <w:t>FU)</w:t>
            </w:r>
          </w:p>
        </w:tc>
        <w:tc>
          <w:tcPr>
            <w:tcW w:w="1131" w:type="dxa"/>
          </w:tcPr>
          <w:p>
            <w:pPr>
              <w:pStyle w:val="TableParagraph"/>
              <w:spacing w:line="142" w:lineRule="exact" w:before="15"/>
              <w:ind w:left="8"/>
              <w:jc w:val="center"/>
              <w:rPr>
                <w:sz w:val="14"/>
              </w:rPr>
            </w:pPr>
            <w:r>
              <w:rPr>
                <w:w w:val="99"/>
                <w:sz w:val="14"/>
              </w:rPr>
              <w:t>S</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151.82</w:t>
            </w:r>
          </w:p>
        </w:tc>
        <w:tc>
          <w:tcPr>
            <w:tcW w:w="995" w:type="dxa"/>
          </w:tcPr>
          <w:p>
            <w:pPr>
              <w:pStyle w:val="TableParagraph"/>
              <w:spacing w:line="142" w:lineRule="exact" w:before="15"/>
              <w:ind w:right="101"/>
              <w:jc w:val="right"/>
              <w:rPr>
                <w:sz w:val="14"/>
              </w:rPr>
            </w:pPr>
            <w:r>
              <w:rPr>
                <w:spacing w:val="-2"/>
                <w:sz w:val="14"/>
              </w:rPr>
              <w:t>162.00</w:t>
            </w:r>
          </w:p>
        </w:tc>
        <w:tc>
          <w:tcPr>
            <w:tcW w:w="861" w:type="dxa"/>
          </w:tcPr>
          <w:p>
            <w:pPr>
              <w:pStyle w:val="TableParagraph"/>
              <w:spacing w:line="142" w:lineRule="exact" w:before="15"/>
              <w:ind w:left="152" w:right="154"/>
              <w:jc w:val="center"/>
              <w:rPr>
                <w:sz w:val="14"/>
              </w:rPr>
            </w:pPr>
            <w:r>
              <w:rPr>
                <w:spacing w:val="-5"/>
                <w:sz w:val="14"/>
              </w:rPr>
              <w:t>6.3</w:t>
            </w:r>
          </w:p>
        </w:tc>
      </w:tr>
      <w:tr>
        <w:trPr>
          <w:trHeight w:val="174" w:hRule="atLeast"/>
        </w:trPr>
        <w:tc>
          <w:tcPr>
            <w:tcW w:w="5794" w:type="dxa"/>
          </w:tcPr>
          <w:p>
            <w:pPr>
              <w:pStyle w:val="TableParagraph"/>
              <w:spacing w:line="140" w:lineRule="exact" w:before="15"/>
              <w:ind w:left="107"/>
              <w:rPr>
                <w:sz w:val="14"/>
              </w:rPr>
            </w:pPr>
            <w:r>
              <w:rPr>
                <w:sz w:val="14"/>
              </w:rPr>
              <w:t>Fee</w:t>
            </w:r>
            <w:r>
              <w:rPr>
                <w:spacing w:val="-6"/>
                <w:sz w:val="14"/>
              </w:rPr>
              <w:t> </w:t>
            </w:r>
            <w:r>
              <w:rPr>
                <w:sz w:val="14"/>
              </w:rPr>
              <w:t>to</w:t>
            </w:r>
            <w:r>
              <w:rPr>
                <w:spacing w:val="-4"/>
                <w:sz w:val="14"/>
              </w:rPr>
              <w:t> </w:t>
            </w:r>
            <w:r>
              <w:rPr>
                <w:sz w:val="14"/>
              </w:rPr>
              <w:t>amend</w:t>
            </w:r>
            <w:r>
              <w:rPr>
                <w:spacing w:val="-3"/>
                <w:sz w:val="14"/>
              </w:rPr>
              <w:t> </w:t>
            </w:r>
            <w:r>
              <w:rPr>
                <w:sz w:val="14"/>
              </w:rPr>
              <w:t>onsite</w:t>
            </w:r>
            <w:r>
              <w:rPr>
                <w:spacing w:val="-4"/>
                <w:sz w:val="14"/>
              </w:rPr>
              <w:t> </w:t>
            </w:r>
            <w:r>
              <w:rPr>
                <w:sz w:val="14"/>
              </w:rPr>
              <w:t>wastewater</w:t>
            </w:r>
            <w:r>
              <w:rPr>
                <w:spacing w:val="-7"/>
                <w:sz w:val="14"/>
              </w:rPr>
              <w:t> </w:t>
            </w:r>
            <w:r>
              <w:rPr>
                <w:sz w:val="14"/>
              </w:rPr>
              <w:t>management</w:t>
            </w:r>
            <w:r>
              <w:rPr>
                <w:spacing w:val="-5"/>
                <w:sz w:val="14"/>
              </w:rPr>
              <w:t> </w:t>
            </w:r>
            <w:r>
              <w:rPr>
                <w:sz w:val="14"/>
              </w:rPr>
              <w:t>system</w:t>
            </w:r>
            <w:r>
              <w:rPr>
                <w:spacing w:val="-3"/>
                <w:sz w:val="14"/>
              </w:rPr>
              <w:t> </w:t>
            </w:r>
            <w:r>
              <w:rPr>
                <w:sz w:val="14"/>
              </w:rPr>
              <w:t>permit</w:t>
            </w:r>
            <w:r>
              <w:rPr>
                <w:spacing w:val="-5"/>
                <w:sz w:val="14"/>
              </w:rPr>
              <w:t> </w:t>
            </w:r>
            <w:r>
              <w:rPr>
                <w:sz w:val="14"/>
              </w:rPr>
              <w:t>(10.38</w:t>
            </w:r>
            <w:r>
              <w:rPr>
                <w:spacing w:val="-3"/>
                <w:sz w:val="14"/>
              </w:rPr>
              <w:t> </w:t>
            </w:r>
            <w:r>
              <w:rPr>
                <w:spacing w:val="-5"/>
                <w:sz w:val="14"/>
              </w:rPr>
              <w:t>FU)</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158.71</w:t>
            </w:r>
          </w:p>
        </w:tc>
        <w:tc>
          <w:tcPr>
            <w:tcW w:w="995" w:type="dxa"/>
          </w:tcPr>
          <w:p>
            <w:pPr>
              <w:pStyle w:val="TableParagraph"/>
              <w:spacing w:line="140" w:lineRule="exact" w:before="15"/>
              <w:ind w:right="102"/>
              <w:jc w:val="right"/>
              <w:rPr>
                <w:sz w:val="14"/>
              </w:rPr>
            </w:pPr>
            <w:r>
              <w:rPr>
                <w:spacing w:val="-2"/>
                <w:sz w:val="14"/>
              </w:rPr>
              <w:t>170.00</w:t>
            </w:r>
          </w:p>
        </w:tc>
        <w:tc>
          <w:tcPr>
            <w:tcW w:w="861" w:type="dxa"/>
          </w:tcPr>
          <w:p>
            <w:pPr>
              <w:pStyle w:val="TableParagraph"/>
              <w:spacing w:line="140" w:lineRule="exact" w:before="15"/>
              <w:ind w:left="152" w:right="154"/>
              <w:jc w:val="center"/>
              <w:rPr>
                <w:sz w:val="14"/>
              </w:rPr>
            </w:pPr>
            <w:r>
              <w:rPr>
                <w:spacing w:val="-5"/>
                <w:sz w:val="14"/>
              </w:rPr>
              <w:t>6.6</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to</w:t>
            </w:r>
            <w:r>
              <w:rPr>
                <w:spacing w:val="-2"/>
                <w:sz w:val="14"/>
              </w:rPr>
              <w:t> </w:t>
            </w:r>
            <w:r>
              <w:rPr>
                <w:sz w:val="14"/>
              </w:rPr>
              <w:t>apply</w:t>
            </w:r>
            <w:r>
              <w:rPr>
                <w:spacing w:val="-4"/>
                <w:sz w:val="14"/>
              </w:rPr>
              <w:t> </w:t>
            </w:r>
            <w:r>
              <w:rPr>
                <w:sz w:val="14"/>
              </w:rPr>
              <w:t>for</w:t>
            </w:r>
            <w:r>
              <w:rPr>
                <w:spacing w:val="-3"/>
                <w:sz w:val="14"/>
              </w:rPr>
              <w:t> </w:t>
            </w:r>
            <w:r>
              <w:rPr>
                <w:sz w:val="14"/>
              </w:rPr>
              <w:t>an</w:t>
            </w:r>
            <w:r>
              <w:rPr>
                <w:spacing w:val="-1"/>
                <w:sz w:val="14"/>
              </w:rPr>
              <w:t> </w:t>
            </w:r>
            <w:r>
              <w:rPr>
                <w:sz w:val="14"/>
              </w:rPr>
              <w:t>exemption</w:t>
            </w:r>
            <w:r>
              <w:rPr>
                <w:spacing w:val="-6"/>
                <w:sz w:val="14"/>
              </w:rPr>
              <w:t> </w:t>
            </w:r>
            <w:r>
              <w:rPr>
                <w:sz w:val="14"/>
              </w:rPr>
              <w:t>to</w:t>
            </w:r>
            <w:r>
              <w:rPr>
                <w:spacing w:val="-4"/>
                <w:sz w:val="14"/>
              </w:rPr>
              <w:t> </w:t>
            </w:r>
            <w:r>
              <w:rPr>
                <w:sz w:val="14"/>
              </w:rPr>
              <w:t>a</w:t>
            </w:r>
            <w:r>
              <w:rPr>
                <w:spacing w:val="-2"/>
                <w:sz w:val="14"/>
              </w:rPr>
              <w:t> </w:t>
            </w:r>
            <w:r>
              <w:rPr>
                <w:sz w:val="14"/>
              </w:rPr>
              <w:t>required</w:t>
            </w:r>
            <w:r>
              <w:rPr>
                <w:spacing w:val="-2"/>
                <w:sz w:val="14"/>
              </w:rPr>
              <w:t> </w:t>
            </w:r>
            <w:r>
              <w:rPr>
                <w:sz w:val="14"/>
              </w:rPr>
              <w:t>permit</w:t>
            </w:r>
            <w:r>
              <w:rPr>
                <w:spacing w:val="-4"/>
                <w:sz w:val="14"/>
              </w:rPr>
              <w:t> </w:t>
            </w:r>
            <w:r>
              <w:rPr>
                <w:sz w:val="14"/>
              </w:rPr>
              <w:t>(up</w:t>
            </w:r>
            <w:r>
              <w:rPr>
                <w:spacing w:val="-2"/>
                <w:sz w:val="14"/>
              </w:rPr>
              <w:t> </w:t>
            </w:r>
            <w:r>
              <w:rPr>
                <w:sz w:val="14"/>
              </w:rPr>
              <w:t>to</w:t>
            </w:r>
            <w:r>
              <w:rPr>
                <w:spacing w:val="-1"/>
                <w:sz w:val="14"/>
              </w:rPr>
              <w:t> </w:t>
            </w:r>
            <w:r>
              <w:rPr>
                <w:sz w:val="14"/>
              </w:rPr>
              <w:t>2.6</w:t>
            </w:r>
            <w:r>
              <w:rPr>
                <w:spacing w:val="-2"/>
                <w:sz w:val="14"/>
              </w:rPr>
              <w:t> </w:t>
            </w:r>
            <w:r>
              <w:rPr>
                <w:sz w:val="14"/>
              </w:rPr>
              <w:t>hours</w:t>
            </w:r>
            <w:r>
              <w:rPr>
                <w:spacing w:val="-2"/>
                <w:sz w:val="14"/>
              </w:rPr>
              <w:t> </w:t>
            </w:r>
            <w:r>
              <w:rPr>
                <w:sz w:val="14"/>
              </w:rPr>
              <w:t>work)</w:t>
            </w:r>
            <w:r>
              <w:rPr>
                <w:spacing w:val="34"/>
                <w:sz w:val="14"/>
              </w:rPr>
              <w:t> </w:t>
            </w:r>
            <w:r>
              <w:rPr>
                <w:sz w:val="14"/>
              </w:rPr>
              <w:t>(14.67</w:t>
            </w:r>
            <w:r>
              <w:rPr>
                <w:spacing w:val="-2"/>
                <w:sz w:val="14"/>
              </w:rPr>
              <w:t> </w:t>
            </w:r>
            <w:r>
              <w:rPr>
                <w:spacing w:val="-5"/>
                <w:sz w:val="14"/>
              </w:rPr>
              <w:t>FU)</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224.30</w:t>
            </w:r>
          </w:p>
        </w:tc>
        <w:tc>
          <w:tcPr>
            <w:tcW w:w="995" w:type="dxa"/>
          </w:tcPr>
          <w:p>
            <w:pPr>
              <w:pStyle w:val="TableParagraph"/>
              <w:spacing w:line="140" w:lineRule="exact" w:before="17"/>
              <w:ind w:right="102"/>
              <w:jc w:val="right"/>
              <w:rPr>
                <w:sz w:val="14"/>
              </w:rPr>
            </w:pPr>
            <w:r>
              <w:rPr>
                <w:spacing w:val="-2"/>
                <w:sz w:val="14"/>
              </w:rPr>
              <w:t>240.00</w:t>
            </w:r>
          </w:p>
        </w:tc>
        <w:tc>
          <w:tcPr>
            <w:tcW w:w="861" w:type="dxa"/>
          </w:tcPr>
          <w:p>
            <w:pPr>
              <w:pStyle w:val="TableParagraph"/>
              <w:spacing w:line="140" w:lineRule="exact" w:before="17"/>
              <w:ind w:left="152" w:right="154"/>
              <w:jc w:val="center"/>
              <w:rPr>
                <w:sz w:val="14"/>
              </w:rPr>
            </w:pPr>
            <w:r>
              <w:rPr>
                <w:spacing w:val="-5"/>
                <w:sz w:val="14"/>
              </w:rPr>
              <w:t>6.5</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to</w:t>
            </w:r>
            <w:r>
              <w:rPr>
                <w:spacing w:val="-2"/>
                <w:sz w:val="14"/>
              </w:rPr>
              <w:t> </w:t>
            </w:r>
            <w:r>
              <w:rPr>
                <w:sz w:val="14"/>
              </w:rPr>
              <w:t>apply</w:t>
            </w:r>
            <w:r>
              <w:rPr>
                <w:spacing w:val="-5"/>
                <w:sz w:val="14"/>
              </w:rPr>
              <w:t> </w:t>
            </w:r>
            <w:r>
              <w:rPr>
                <w:sz w:val="14"/>
              </w:rPr>
              <w:t>for</w:t>
            </w:r>
            <w:r>
              <w:rPr>
                <w:spacing w:val="-2"/>
                <w:sz w:val="14"/>
              </w:rPr>
              <w:t> </w:t>
            </w:r>
            <w:r>
              <w:rPr>
                <w:sz w:val="14"/>
              </w:rPr>
              <w:t>an</w:t>
            </w:r>
            <w:r>
              <w:rPr>
                <w:spacing w:val="-2"/>
                <w:sz w:val="14"/>
              </w:rPr>
              <w:t> </w:t>
            </w:r>
            <w:r>
              <w:rPr>
                <w:sz w:val="14"/>
              </w:rPr>
              <w:t>exemption</w:t>
            </w:r>
            <w:r>
              <w:rPr>
                <w:spacing w:val="-5"/>
                <w:sz w:val="14"/>
              </w:rPr>
              <w:t> </w:t>
            </w:r>
            <w:r>
              <w:rPr>
                <w:sz w:val="14"/>
              </w:rPr>
              <w:t>to</w:t>
            </w:r>
            <w:r>
              <w:rPr>
                <w:spacing w:val="-5"/>
                <w:sz w:val="14"/>
              </w:rPr>
              <w:t> </w:t>
            </w:r>
            <w:r>
              <w:rPr>
                <w:sz w:val="14"/>
              </w:rPr>
              <w:t>a</w:t>
            </w:r>
            <w:r>
              <w:rPr>
                <w:spacing w:val="-2"/>
                <w:sz w:val="14"/>
              </w:rPr>
              <w:t> </w:t>
            </w:r>
            <w:r>
              <w:rPr>
                <w:sz w:val="14"/>
              </w:rPr>
              <w:t>required</w:t>
            </w:r>
            <w:r>
              <w:rPr>
                <w:spacing w:val="-2"/>
                <w:sz w:val="14"/>
              </w:rPr>
              <w:t> </w:t>
            </w:r>
            <w:r>
              <w:rPr>
                <w:sz w:val="14"/>
              </w:rPr>
              <w:t>permit</w:t>
            </w:r>
            <w:r>
              <w:rPr>
                <w:spacing w:val="-4"/>
                <w:sz w:val="14"/>
              </w:rPr>
              <w:t> </w:t>
            </w:r>
            <w:r>
              <w:rPr>
                <w:sz w:val="14"/>
              </w:rPr>
              <w:t>(additional</w:t>
            </w:r>
            <w:r>
              <w:rPr>
                <w:spacing w:val="-4"/>
                <w:sz w:val="14"/>
              </w:rPr>
              <w:t> </w:t>
            </w:r>
            <w:r>
              <w:rPr>
                <w:sz w:val="14"/>
              </w:rPr>
              <w:t>fee</w:t>
            </w:r>
            <w:r>
              <w:rPr>
                <w:spacing w:val="-2"/>
                <w:sz w:val="14"/>
              </w:rPr>
              <w:t> </w:t>
            </w:r>
            <w:r>
              <w:rPr>
                <w:sz w:val="14"/>
              </w:rPr>
              <w:t>per</w:t>
            </w:r>
            <w:r>
              <w:rPr>
                <w:spacing w:val="-5"/>
                <w:sz w:val="14"/>
              </w:rPr>
              <w:t> </w:t>
            </w:r>
            <w:r>
              <w:rPr>
                <w:sz w:val="14"/>
              </w:rPr>
              <w:t>hour)</w:t>
            </w:r>
            <w:r>
              <w:rPr>
                <w:spacing w:val="-3"/>
                <w:sz w:val="14"/>
              </w:rPr>
              <w:t> </w:t>
            </w:r>
            <w:r>
              <w:rPr>
                <w:sz w:val="14"/>
              </w:rPr>
              <w:t>(5.94</w:t>
            </w:r>
            <w:r>
              <w:rPr>
                <w:spacing w:val="-3"/>
                <w:sz w:val="14"/>
              </w:rPr>
              <w:t> </w:t>
            </w:r>
            <w:r>
              <w:rPr>
                <w:spacing w:val="-5"/>
                <w:sz w:val="14"/>
              </w:rPr>
              <w:t>FU)</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90.82</w:t>
            </w:r>
          </w:p>
        </w:tc>
        <w:tc>
          <w:tcPr>
            <w:tcW w:w="995" w:type="dxa"/>
          </w:tcPr>
          <w:p>
            <w:pPr>
              <w:pStyle w:val="TableParagraph"/>
              <w:spacing w:line="140" w:lineRule="exact" w:before="17"/>
              <w:ind w:right="101"/>
              <w:jc w:val="right"/>
              <w:rPr>
                <w:sz w:val="14"/>
              </w:rPr>
            </w:pPr>
            <w:r>
              <w:rPr>
                <w:spacing w:val="-2"/>
                <w:sz w:val="14"/>
              </w:rPr>
              <w:t>97.00</w:t>
            </w:r>
          </w:p>
        </w:tc>
        <w:tc>
          <w:tcPr>
            <w:tcW w:w="861" w:type="dxa"/>
          </w:tcPr>
          <w:p>
            <w:pPr>
              <w:pStyle w:val="TableParagraph"/>
              <w:spacing w:line="140" w:lineRule="exact" w:before="17"/>
              <w:ind w:left="152" w:right="154"/>
              <w:jc w:val="center"/>
              <w:rPr>
                <w:sz w:val="14"/>
              </w:rPr>
            </w:pPr>
            <w:r>
              <w:rPr>
                <w:spacing w:val="-5"/>
                <w:sz w:val="14"/>
              </w:rPr>
              <w:t>6.4</w:t>
            </w:r>
          </w:p>
        </w:tc>
      </w:tr>
      <w:tr>
        <w:trPr>
          <w:trHeight w:val="354" w:hRule="atLeast"/>
        </w:trPr>
        <w:tc>
          <w:tcPr>
            <w:tcW w:w="5794" w:type="dxa"/>
          </w:tcPr>
          <w:p>
            <w:pPr>
              <w:pStyle w:val="TableParagraph"/>
              <w:spacing w:line="160" w:lineRule="atLeast" w:before="14"/>
              <w:ind w:left="107"/>
              <w:rPr>
                <w:sz w:val="14"/>
              </w:rPr>
            </w:pPr>
            <w:r>
              <w:rPr>
                <w:sz w:val="14"/>
              </w:rPr>
              <w:t>Wastewater</w:t>
            </w:r>
            <w:r>
              <w:rPr>
                <w:spacing w:val="-5"/>
                <w:sz w:val="14"/>
              </w:rPr>
              <w:t> </w:t>
            </w:r>
            <w:r>
              <w:rPr>
                <w:sz w:val="14"/>
              </w:rPr>
              <w:t>Application</w:t>
            </w:r>
            <w:r>
              <w:rPr>
                <w:spacing w:val="-5"/>
                <w:sz w:val="14"/>
              </w:rPr>
              <w:t> </w:t>
            </w:r>
            <w:r>
              <w:rPr>
                <w:sz w:val="14"/>
              </w:rPr>
              <w:t>-</w:t>
            </w:r>
            <w:r>
              <w:rPr>
                <w:spacing w:val="-2"/>
                <w:sz w:val="14"/>
              </w:rPr>
              <w:t> </w:t>
            </w:r>
            <w:r>
              <w:rPr>
                <w:sz w:val="14"/>
              </w:rPr>
              <w:t>fee</w:t>
            </w:r>
            <w:r>
              <w:rPr>
                <w:spacing w:val="-5"/>
                <w:sz w:val="14"/>
              </w:rPr>
              <w:t> </w:t>
            </w:r>
            <w:r>
              <w:rPr>
                <w:sz w:val="14"/>
              </w:rPr>
              <w:t>to</w:t>
            </w:r>
            <w:r>
              <w:rPr>
                <w:spacing w:val="-3"/>
                <w:sz w:val="14"/>
              </w:rPr>
              <w:t> </w:t>
            </w:r>
            <w:r>
              <w:rPr>
                <w:sz w:val="14"/>
              </w:rPr>
              <w:t>apply</w:t>
            </w:r>
            <w:r>
              <w:rPr>
                <w:spacing w:val="-4"/>
                <w:sz w:val="14"/>
              </w:rPr>
              <w:t> </w:t>
            </w:r>
            <w:r>
              <w:rPr>
                <w:sz w:val="14"/>
              </w:rPr>
              <w:t>for</w:t>
            </w:r>
            <w:r>
              <w:rPr>
                <w:spacing w:val="-2"/>
                <w:sz w:val="14"/>
              </w:rPr>
              <w:t> </w:t>
            </w:r>
            <w:r>
              <w:rPr>
                <w:sz w:val="14"/>
              </w:rPr>
              <w:t>an</w:t>
            </w:r>
            <w:r>
              <w:rPr>
                <w:spacing w:val="-2"/>
                <w:sz w:val="14"/>
              </w:rPr>
              <w:t> </w:t>
            </w:r>
            <w:r>
              <w:rPr>
                <w:sz w:val="14"/>
              </w:rPr>
              <w:t>exemption</w:t>
            </w:r>
            <w:r>
              <w:rPr>
                <w:spacing w:val="-2"/>
                <w:sz w:val="14"/>
              </w:rPr>
              <w:t> </w:t>
            </w:r>
            <w:r>
              <w:rPr>
                <w:sz w:val="14"/>
              </w:rPr>
              <w:t>to</w:t>
            </w:r>
            <w:r>
              <w:rPr>
                <w:spacing w:val="-2"/>
                <w:sz w:val="14"/>
              </w:rPr>
              <w:t> </w:t>
            </w:r>
            <w:r>
              <w:rPr>
                <w:sz w:val="14"/>
              </w:rPr>
              <w:t>a</w:t>
            </w:r>
            <w:r>
              <w:rPr>
                <w:spacing w:val="-5"/>
                <w:sz w:val="14"/>
              </w:rPr>
              <w:t> </w:t>
            </w:r>
            <w:r>
              <w:rPr>
                <w:sz w:val="14"/>
              </w:rPr>
              <w:t>required</w:t>
            </w:r>
            <w:r>
              <w:rPr>
                <w:spacing w:val="-3"/>
                <w:sz w:val="14"/>
              </w:rPr>
              <w:t> </w:t>
            </w:r>
            <w:r>
              <w:rPr>
                <w:sz w:val="14"/>
              </w:rPr>
              <w:t>permit</w:t>
            </w:r>
            <w:r>
              <w:rPr>
                <w:spacing w:val="-5"/>
                <w:sz w:val="14"/>
              </w:rPr>
              <w:t> </w:t>
            </w:r>
            <w:r>
              <w:rPr>
                <w:sz w:val="14"/>
              </w:rPr>
              <w:t>(Maximum</w:t>
            </w:r>
            <w:r>
              <w:rPr>
                <w:spacing w:val="-3"/>
                <w:sz w:val="14"/>
              </w:rPr>
              <w:t> </w:t>
            </w:r>
            <w:r>
              <w:rPr>
                <w:sz w:val="14"/>
              </w:rPr>
              <w:t>fee</w:t>
            </w:r>
            <w:r>
              <w:rPr>
                <w:spacing w:val="40"/>
                <w:sz w:val="14"/>
              </w:rPr>
              <w:t> </w:t>
            </w:r>
            <w:r>
              <w:rPr>
                <w:sz w:val="14"/>
              </w:rPr>
              <w:t>limit)</w:t>
            </w:r>
            <w:r>
              <w:rPr>
                <w:spacing w:val="40"/>
                <w:sz w:val="14"/>
              </w:rPr>
              <w:t> </w:t>
            </w:r>
            <w:r>
              <w:rPr>
                <w:sz w:val="14"/>
              </w:rPr>
              <w:t>(61.41 FU)</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938.96</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1,003.00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6.4</w:t>
            </w:r>
          </w:p>
        </w:tc>
      </w:tr>
      <w:tr>
        <w:trPr>
          <w:trHeight w:val="177" w:hRule="atLeast"/>
        </w:trPr>
        <w:tc>
          <w:tcPr>
            <w:tcW w:w="5794" w:type="dxa"/>
          </w:tcPr>
          <w:p>
            <w:pPr>
              <w:pStyle w:val="TableParagraph"/>
              <w:spacing w:line="140" w:lineRule="exact" w:before="17"/>
              <w:ind w:left="107"/>
              <w:rPr>
                <w:sz w:val="14"/>
              </w:rPr>
            </w:pPr>
            <w:r>
              <w:rPr>
                <w:sz w:val="14"/>
              </w:rPr>
              <w:t>Wastewater</w:t>
            </w:r>
            <w:r>
              <w:rPr>
                <w:spacing w:val="-6"/>
                <w:sz w:val="14"/>
              </w:rPr>
              <w:t> </w:t>
            </w:r>
            <w:r>
              <w:rPr>
                <w:sz w:val="14"/>
              </w:rPr>
              <w:t>Application</w:t>
            </w:r>
            <w:r>
              <w:rPr>
                <w:spacing w:val="-6"/>
                <w:sz w:val="14"/>
              </w:rPr>
              <w:t> </w:t>
            </w:r>
            <w:r>
              <w:rPr>
                <w:sz w:val="14"/>
              </w:rPr>
              <w:t>-</w:t>
            </w:r>
            <w:r>
              <w:rPr>
                <w:spacing w:val="-3"/>
                <w:sz w:val="14"/>
              </w:rPr>
              <w:t> </w:t>
            </w:r>
            <w:r>
              <w:rPr>
                <w:sz w:val="14"/>
              </w:rPr>
              <w:t>Renewal</w:t>
            </w:r>
            <w:r>
              <w:rPr>
                <w:spacing w:val="-2"/>
                <w:sz w:val="14"/>
              </w:rPr>
              <w:t> </w:t>
            </w:r>
            <w:r>
              <w:rPr>
                <w:sz w:val="14"/>
              </w:rPr>
              <w:t>Fee</w:t>
            </w:r>
            <w:r>
              <w:rPr>
                <w:spacing w:val="-2"/>
                <w:sz w:val="14"/>
              </w:rPr>
              <w:t> </w:t>
            </w:r>
            <w:r>
              <w:rPr>
                <w:sz w:val="14"/>
              </w:rPr>
              <w:t>(8.31</w:t>
            </w:r>
            <w:r>
              <w:rPr>
                <w:spacing w:val="-3"/>
                <w:sz w:val="14"/>
              </w:rPr>
              <w:t> </w:t>
            </w:r>
            <w:r>
              <w:rPr>
                <w:spacing w:val="-5"/>
                <w:sz w:val="14"/>
              </w:rPr>
              <w:t>FU)</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127.06</w:t>
            </w:r>
          </w:p>
        </w:tc>
        <w:tc>
          <w:tcPr>
            <w:tcW w:w="995" w:type="dxa"/>
          </w:tcPr>
          <w:p>
            <w:pPr>
              <w:pStyle w:val="TableParagraph"/>
              <w:spacing w:line="140" w:lineRule="exact" w:before="17"/>
              <w:ind w:right="102"/>
              <w:jc w:val="right"/>
              <w:rPr>
                <w:sz w:val="14"/>
              </w:rPr>
            </w:pPr>
            <w:r>
              <w:rPr>
                <w:spacing w:val="-2"/>
                <w:sz w:val="14"/>
              </w:rPr>
              <w:t>136.00</w:t>
            </w:r>
          </w:p>
        </w:tc>
        <w:tc>
          <w:tcPr>
            <w:tcW w:w="861" w:type="dxa"/>
          </w:tcPr>
          <w:p>
            <w:pPr>
              <w:pStyle w:val="TableParagraph"/>
              <w:spacing w:line="140" w:lineRule="exact" w:before="17"/>
              <w:ind w:left="152" w:right="154"/>
              <w:jc w:val="center"/>
              <w:rPr>
                <w:sz w:val="14"/>
              </w:rPr>
            </w:pPr>
            <w:r>
              <w:rPr>
                <w:spacing w:val="-5"/>
                <w:sz w:val="14"/>
              </w:rPr>
              <w:t>6.6</w:t>
            </w:r>
          </w:p>
        </w:tc>
      </w:tr>
      <w:tr>
        <w:trPr>
          <w:trHeight w:val="177" w:hRule="atLeast"/>
        </w:trPr>
        <w:tc>
          <w:tcPr>
            <w:tcW w:w="5794" w:type="dxa"/>
          </w:tcPr>
          <w:p>
            <w:pPr>
              <w:pStyle w:val="TableParagraph"/>
              <w:spacing w:line="140" w:lineRule="exact" w:before="17"/>
              <w:ind w:left="107"/>
              <w:rPr>
                <w:b/>
                <w:sz w:val="14"/>
              </w:rPr>
            </w:pPr>
            <w:r>
              <w:rPr>
                <w:b/>
                <w:spacing w:val="-2"/>
                <w:sz w:val="14"/>
              </w:rPr>
              <w:t>Immunisation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Chicken</w:t>
            </w:r>
            <w:r>
              <w:rPr>
                <w:spacing w:val="-8"/>
                <w:sz w:val="14"/>
              </w:rPr>
              <w:t> </w:t>
            </w:r>
            <w:r>
              <w:rPr>
                <w:spacing w:val="-5"/>
                <w:sz w:val="14"/>
              </w:rPr>
              <w:t>pox</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80.00</w:t>
            </w:r>
          </w:p>
        </w:tc>
        <w:tc>
          <w:tcPr>
            <w:tcW w:w="995" w:type="dxa"/>
          </w:tcPr>
          <w:p>
            <w:pPr>
              <w:pStyle w:val="TableParagraph"/>
              <w:spacing w:line="140" w:lineRule="exact" w:before="17"/>
              <w:ind w:right="101"/>
              <w:jc w:val="right"/>
              <w:rPr>
                <w:sz w:val="14"/>
              </w:rPr>
            </w:pPr>
            <w:r>
              <w:rPr>
                <w:spacing w:val="-2"/>
                <w:sz w:val="14"/>
              </w:rPr>
              <w:t>86.00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Hepatitis</w:t>
            </w:r>
            <w:r>
              <w:rPr>
                <w:spacing w:val="-10"/>
                <w:sz w:val="14"/>
              </w:rPr>
              <w:t> </w:t>
            </w:r>
            <w:r>
              <w:rPr>
                <w:spacing w:val="-12"/>
                <w:sz w:val="14"/>
              </w:rPr>
              <w:t>B</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43.00</w:t>
            </w:r>
          </w:p>
        </w:tc>
        <w:tc>
          <w:tcPr>
            <w:tcW w:w="995" w:type="dxa"/>
          </w:tcPr>
          <w:p>
            <w:pPr>
              <w:pStyle w:val="TableParagraph"/>
              <w:spacing w:line="140" w:lineRule="exact" w:before="17"/>
              <w:ind w:right="101"/>
              <w:jc w:val="right"/>
              <w:rPr>
                <w:sz w:val="14"/>
              </w:rPr>
            </w:pPr>
            <w:r>
              <w:rPr>
                <w:spacing w:val="-2"/>
                <w:sz w:val="14"/>
              </w:rPr>
              <w:t>46.00</w:t>
            </w:r>
          </w:p>
        </w:tc>
        <w:tc>
          <w:tcPr>
            <w:tcW w:w="861" w:type="dxa"/>
          </w:tcPr>
          <w:p>
            <w:pPr>
              <w:pStyle w:val="TableParagraph"/>
              <w:spacing w:line="140" w:lineRule="exact" w:before="17"/>
              <w:ind w:left="152" w:right="154"/>
              <w:jc w:val="center"/>
              <w:rPr>
                <w:sz w:val="14"/>
              </w:rPr>
            </w:pPr>
            <w:r>
              <w:rPr>
                <w:spacing w:val="-5"/>
                <w:sz w:val="14"/>
              </w:rPr>
              <w:t>6.5</w:t>
            </w:r>
          </w:p>
        </w:tc>
      </w:tr>
      <w:tr>
        <w:trPr>
          <w:trHeight w:val="177" w:hRule="atLeast"/>
        </w:trPr>
        <w:tc>
          <w:tcPr>
            <w:tcW w:w="5794" w:type="dxa"/>
          </w:tcPr>
          <w:p>
            <w:pPr>
              <w:pStyle w:val="TableParagraph"/>
              <w:spacing w:line="142" w:lineRule="exact" w:before="15"/>
              <w:ind w:left="107"/>
              <w:rPr>
                <w:sz w:val="14"/>
              </w:rPr>
            </w:pPr>
            <w:r>
              <w:rPr>
                <w:sz w:val="14"/>
              </w:rPr>
              <w:t>Influenza</w:t>
            </w:r>
            <w:r>
              <w:rPr>
                <w:spacing w:val="-6"/>
                <w:sz w:val="14"/>
              </w:rPr>
              <w:t> </w:t>
            </w:r>
            <w:r>
              <w:rPr>
                <w:sz w:val="14"/>
              </w:rPr>
              <w:t>per</w:t>
            </w:r>
            <w:r>
              <w:rPr>
                <w:spacing w:val="-4"/>
                <w:sz w:val="14"/>
              </w:rPr>
              <w:t> dose</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29.00</w:t>
            </w:r>
          </w:p>
        </w:tc>
        <w:tc>
          <w:tcPr>
            <w:tcW w:w="995" w:type="dxa"/>
          </w:tcPr>
          <w:p>
            <w:pPr>
              <w:pStyle w:val="TableParagraph"/>
              <w:spacing w:line="142" w:lineRule="exact" w:before="15"/>
              <w:ind w:right="102"/>
              <w:jc w:val="right"/>
              <w:rPr>
                <w:sz w:val="14"/>
              </w:rPr>
            </w:pPr>
            <w:r>
              <w:rPr>
                <w:spacing w:val="-2"/>
                <w:sz w:val="14"/>
              </w:rPr>
              <w:t>31.00</w:t>
            </w:r>
          </w:p>
        </w:tc>
        <w:tc>
          <w:tcPr>
            <w:tcW w:w="861" w:type="dxa"/>
          </w:tcPr>
          <w:p>
            <w:pPr>
              <w:pStyle w:val="TableParagraph"/>
              <w:spacing w:line="142" w:lineRule="exact" w:before="15"/>
              <w:ind w:left="153" w:right="154"/>
              <w:jc w:val="center"/>
              <w:rPr>
                <w:sz w:val="14"/>
              </w:rPr>
            </w:pPr>
            <w:r>
              <w:rPr>
                <w:spacing w:val="-5"/>
                <w:sz w:val="14"/>
              </w:rPr>
              <w:t>6.5</w:t>
            </w:r>
          </w:p>
        </w:tc>
      </w:tr>
      <w:tr>
        <w:trPr>
          <w:trHeight w:val="174" w:hRule="atLeast"/>
        </w:trPr>
        <w:tc>
          <w:tcPr>
            <w:tcW w:w="5794" w:type="dxa"/>
          </w:tcPr>
          <w:p>
            <w:pPr>
              <w:pStyle w:val="TableParagraph"/>
              <w:spacing w:line="140" w:lineRule="exact" w:before="15"/>
              <w:ind w:left="107"/>
              <w:rPr>
                <w:sz w:val="14"/>
              </w:rPr>
            </w:pPr>
            <w:r>
              <w:rPr>
                <w:sz w:val="14"/>
              </w:rPr>
              <w:t>Diphtheria</w:t>
            </w:r>
            <w:r>
              <w:rPr>
                <w:spacing w:val="-8"/>
                <w:sz w:val="14"/>
              </w:rPr>
              <w:t> </w:t>
            </w:r>
            <w:r>
              <w:rPr>
                <w:sz w:val="14"/>
              </w:rPr>
              <w:t>Tetanus</w:t>
            </w:r>
            <w:r>
              <w:rPr>
                <w:spacing w:val="-6"/>
                <w:sz w:val="14"/>
              </w:rPr>
              <w:t> </w:t>
            </w:r>
            <w:r>
              <w:rPr>
                <w:spacing w:val="-2"/>
                <w:sz w:val="14"/>
              </w:rPr>
              <w:t>Pertussis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57.00</w:t>
            </w:r>
          </w:p>
        </w:tc>
        <w:tc>
          <w:tcPr>
            <w:tcW w:w="995" w:type="dxa"/>
          </w:tcPr>
          <w:p>
            <w:pPr>
              <w:pStyle w:val="TableParagraph"/>
              <w:spacing w:line="140" w:lineRule="exact" w:before="15"/>
              <w:ind w:right="101"/>
              <w:jc w:val="right"/>
              <w:rPr>
                <w:sz w:val="14"/>
              </w:rPr>
            </w:pPr>
            <w:r>
              <w:rPr>
                <w:spacing w:val="-2"/>
                <w:sz w:val="14"/>
              </w:rPr>
              <w:t>61.00</w:t>
            </w:r>
          </w:p>
        </w:tc>
        <w:tc>
          <w:tcPr>
            <w:tcW w:w="861" w:type="dxa"/>
          </w:tcPr>
          <w:p>
            <w:pPr>
              <w:pStyle w:val="TableParagraph"/>
              <w:spacing w:line="140" w:lineRule="exact" w:before="15"/>
              <w:ind w:left="152" w:right="154"/>
              <w:jc w:val="center"/>
              <w:rPr>
                <w:sz w:val="14"/>
              </w:rPr>
            </w:pPr>
            <w:r>
              <w:rPr>
                <w:spacing w:val="-5"/>
                <w:sz w:val="14"/>
              </w:rPr>
              <w:t>6.6</w:t>
            </w:r>
          </w:p>
        </w:tc>
      </w:tr>
      <w:tr>
        <w:trPr>
          <w:trHeight w:val="177" w:hRule="atLeast"/>
        </w:trPr>
        <w:tc>
          <w:tcPr>
            <w:tcW w:w="5794" w:type="dxa"/>
          </w:tcPr>
          <w:p>
            <w:pPr>
              <w:pStyle w:val="TableParagraph"/>
              <w:spacing w:line="140" w:lineRule="exact" w:before="17"/>
              <w:ind w:left="107"/>
              <w:rPr>
                <w:sz w:val="14"/>
              </w:rPr>
            </w:pPr>
            <w:r>
              <w:rPr>
                <w:w w:val="95"/>
                <w:sz w:val="14"/>
              </w:rPr>
              <w:t>Meningococcal</w:t>
            </w:r>
            <w:r>
              <w:rPr>
                <w:spacing w:val="35"/>
                <w:sz w:val="14"/>
              </w:rPr>
              <w:t> </w:t>
            </w:r>
            <w:r>
              <w:rPr>
                <w:spacing w:val="-10"/>
                <w:sz w:val="14"/>
              </w:rPr>
              <w:t>B</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143.00</w:t>
            </w:r>
          </w:p>
        </w:tc>
        <w:tc>
          <w:tcPr>
            <w:tcW w:w="995" w:type="dxa"/>
          </w:tcPr>
          <w:p>
            <w:pPr>
              <w:pStyle w:val="TableParagraph"/>
              <w:spacing w:line="140" w:lineRule="exact" w:before="17"/>
              <w:ind w:right="102"/>
              <w:jc w:val="right"/>
              <w:rPr>
                <w:sz w:val="14"/>
              </w:rPr>
            </w:pPr>
            <w:r>
              <w:rPr>
                <w:spacing w:val="-2"/>
                <w:sz w:val="14"/>
              </w:rPr>
              <w:t>154.00</w:t>
            </w:r>
          </w:p>
        </w:tc>
        <w:tc>
          <w:tcPr>
            <w:tcW w:w="861" w:type="dxa"/>
          </w:tcPr>
          <w:p>
            <w:pPr>
              <w:pStyle w:val="TableParagraph"/>
              <w:spacing w:line="140" w:lineRule="exact" w:before="17"/>
              <w:ind w:left="152" w:right="154"/>
              <w:jc w:val="center"/>
              <w:rPr>
                <w:sz w:val="14"/>
              </w:rPr>
            </w:pPr>
            <w:r>
              <w:rPr>
                <w:spacing w:val="-5"/>
                <w:sz w:val="14"/>
              </w:rPr>
              <w:t>7.1</w:t>
            </w:r>
          </w:p>
        </w:tc>
      </w:tr>
      <w:tr>
        <w:trPr>
          <w:trHeight w:val="270" w:hRule="atLeast"/>
        </w:trPr>
        <w:tc>
          <w:tcPr>
            <w:tcW w:w="5794" w:type="dxa"/>
            <w:tcBorders>
              <w:bottom w:val="single" w:sz="18" w:space="0" w:color="000000"/>
            </w:tcBorders>
            <w:shd w:val="clear" w:color="auto" w:fill="D8D8D8"/>
          </w:tcPr>
          <w:p>
            <w:pPr>
              <w:pStyle w:val="TableParagraph"/>
              <w:spacing w:line="217" w:lineRule="exact" w:before="33"/>
              <w:ind w:left="170"/>
              <w:rPr>
                <w:b/>
                <w:sz w:val="22"/>
              </w:rPr>
            </w:pPr>
            <w:r>
              <w:rPr>
                <w:b/>
                <w:sz w:val="22"/>
              </w:rPr>
              <w:t>Statutory</w:t>
            </w:r>
            <w:r>
              <w:rPr>
                <w:b/>
                <w:spacing w:val="-9"/>
                <w:sz w:val="22"/>
              </w:rPr>
              <w:t> </w:t>
            </w:r>
            <w:r>
              <w:rPr>
                <w:b/>
                <w:spacing w:val="-2"/>
                <w:sz w:val="22"/>
              </w:rPr>
              <w:t>Planning</w:t>
            </w:r>
          </w:p>
        </w:tc>
        <w:tc>
          <w:tcPr>
            <w:tcW w:w="1131" w:type="dxa"/>
            <w:shd w:val="clear" w:color="auto" w:fill="D8D8D8"/>
          </w:tcPr>
          <w:p>
            <w:pPr>
              <w:pStyle w:val="TableParagraph"/>
              <w:rPr>
                <w:rFonts w:ascii="Times New Roman"/>
                <w:sz w:val="12"/>
              </w:rPr>
            </w:pPr>
          </w:p>
        </w:tc>
        <w:tc>
          <w:tcPr>
            <w:tcW w:w="567" w:type="dxa"/>
            <w:shd w:val="clear" w:color="auto" w:fill="D8D8D8"/>
          </w:tcPr>
          <w:p>
            <w:pPr>
              <w:pStyle w:val="TableParagraph"/>
              <w:rPr>
                <w:rFonts w:ascii="Times New Roman"/>
                <w:sz w:val="12"/>
              </w:rPr>
            </w:pPr>
          </w:p>
        </w:tc>
        <w:tc>
          <w:tcPr>
            <w:tcW w:w="997" w:type="dxa"/>
            <w:shd w:val="clear" w:color="auto" w:fill="D8D8D8"/>
          </w:tcPr>
          <w:p>
            <w:pPr>
              <w:pStyle w:val="TableParagraph"/>
              <w:rPr>
                <w:rFonts w:ascii="Times New Roman"/>
                <w:sz w:val="12"/>
              </w:rPr>
            </w:pPr>
          </w:p>
        </w:tc>
        <w:tc>
          <w:tcPr>
            <w:tcW w:w="995" w:type="dxa"/>
            <w:shd w:val="clear" w:color="auto" w:fill="D8D8D8"/>
          </w:tcPr>
          <w:p>
            <w:pPr>
              <w:pStyle w:val="TableParagraph"/>
              <w:rPr>
                <w:rFonts w:ascii="Times New Roman"/>
                <w:sz w:val="12"/>
              </w:rPr>
            </w:pPr>
          </w:p>
        </w:tc>
        <w:tc>
          <w:tcPr>
            <w:tcW w:w="861" w:type="dxa"/>
            <w:shd w:val="clear" w:color="auto" w:fill="D8D8D8"/>
          </w:tcPr>
          <w:p>
            <w:pPr>
              <w:pStyle w:val="TableParagraph"/>
              <w:rPr>
                <w:rFonts w:ascii="Times New Roman"/>
                <w:sz w:val="12"/>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Statutory</w:t>
            </w:r>
            <w:r>
              <w:rPr>
                <w:b/>
                <w:spacing w:val="-9"/>
                <w:sz w:val="14"/>
              </w:rPr>
              <w:t> </w:t>
            </w:r>
            <w:r>
              <w:rPr>
                <w:b/>
                <w:spacing w:val="-2"/>
                <w:sz w:val="14"/>
              </w:rPr>
              <w:t>Planning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Public</w:t>
            </w:r>
            <w:r>
              <w:rPr>
                <w:spacing w:val="-3"/>
                <w:sz w:val="14"/>
              </w:rPr>
              <w:t> </w:t>
            </w:r>
            <w:r>
              <w:rPr>
                <w:sz w:val="14"/>
              </w:rPr>
              <w:t>notification</w:t>
            </w:r>
            <w:r>
              <w:rPr>
                <w:spacing w:val="-3"/>
                <w:sz w:val="14"/>
              </w:rPr>
              <w:t> </w:t>
            </w:r>
            <w:r>
              <w:rPr>
                <w:sz w:val="14"/>
              </w:rPr>
              <w:t>(advertising)</w:t>
            </w:r>
            <w:r>
              <w:rPr>
                <w:spacing w:val="-3"/>
                <w:sz w:val="14"/>
              </w:rPr>
              <w:t> </w:t>
            </w:r>
            <w:r>
              <w:rPr>
                <w:sz w:val="14"/>
              </w:rPr>
              <w:t>-</w:t>
            </w:r>
            <w:r>
              <w:rPr>
                <w:spacing w:val="-6"/>
                <w:sz w:val="14"/>
              </w:rPr>
              <w:t> </w:t>
            </w:r>
            <w:r>
              <w:rPr>
                <w:sz w:val="14"/>
              </w:rPr>
              <w:t>base</w:t>
            </w:r>
            <w:r>
              <w:rPr>
                <w:spacing w:val="-5"/>
                <w:sz w:val="14"/>
              </w:rPr>
              <w:t> </w:t>
            </w:r>
            <w:r>
              <w:rPr>
                <w:sz w:val="14"/>
              </w:rPr>
              <w:t>fee</w:t>
            </w:r>
            <w:r>
              <w:rPr>
                <w:spacing w:val="-2"/>
                <w:sz w:val="14"/>
              </w:rPr>
              <w:t> </w:t>
            </w:r>
            <w:r>
              <w:rPr>
                <w:sz w:val="14"/>
              </w:rPr>
              <w:t>and</w:t>
            </w:r>
            <w:r>
              <w:rPr>
                <w:spacing w:val="-3"/>
                <w:sz w:val="14"/>
              </w:rPr>
              <w:t> </w:t>
            </w:r>
            <w:r>
              <w:rPr>
                <w:sz w:val="14"/>
              </w:rPr>
              <w:t>$10.50</w:t>
            </w:r>
            <w:r>
              <w:rPr>
                <w:spacing w:val="-4"/>
                <w:sz w:val="14"/>
              </w:rPr>
              <w:t> </w:t>
            </w:r>
            <w:r>
              <w:rPr>
                <w:sz w:val="14"/>
              </w:rPr>
              <w:t>per</w:t>
            </w:r>
            <w:r>
              <w:rPr>
                <w:spacing w:val="-5"/>
                <w:sz w:val="14"/>
              </w:rPr>
              <w:t> </w:t>
            </w:r>
            <w:r>
              <w:rPr>
                <w:spacing w:val="-2"/>
                <w:sz w:val="14"/>
              </w:rPr>
              <w:t>property</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60"/>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225.00</w:t>
            </w:r>
          </w:p>
        </w:tc>
        <w:tc>
          <w:tcPr>
            <w:tcW w:w="995" w:type="dxa"/>
          </w:tcPr>
          <w:p>
            <w:pPr>
              <w:pStyle w:val="TableParagraph"/>
              <w:spacing w:line="142" w:lineRule="exact" w:before="15"/>
              <w:ind w:right="101"/>
              <w:jc w:val="right"/>
              <w:rPr>
                <w:sz w:val="14"/>
              </w:rPr>
            </w:pPr>
            <w:r>
              <w:rPr>
                <w:spacing w:val="-2"/>
                <w:sz w:val="14"/>
              </w:rPr>
              <w:t>243.00</w:t>
            </w:r>
          </w:p>
        </w:tc>
        <w:tc>
          <w:tcPr>
            <w:tcW w:w="861" w:type="dxa"/>
          </w:tcPr>
          <w:p>
            <w:pPr>
              <w:pStyle w:val="TableParagraph"/>
              <w:spacing w:line="142" w:lineRule="exact" w:before="15"/>
              <w:ind w:left="152" w:right="154"/>
              <w:jc w:val="center"/>
              <w:rPr>
                <w:sz w:val="14"/>
              </w:rPr>
            </w:pPr>
            <w:r>
              <w:rPr>
                <w:spacing w:val="-5"/>
                <w:sz w:val="14"/>
              </w:rPr>
              <w:t>7.4</w:t>
            </w:r>
          </w:p>
        </w:tc>
      </w:tr>
      <w:tr>
        <w:trPr>
          <w:trHeight w:val="174" w:hRule="atLeast"/>
        </w:trPr>
        <w:tc>
          <w:tcPr>
            <w:tcW w:w="5794" w:type="dxa"/>
          </w:tcPr>
          <w:p>
            <w:pPr>
              <w:pStyle w:val="TableParagraph"/>
              <w:spacing w:line="140" w:lineRule="exact" w:before="15"/>
              <w:ind w:left="107"/>
              <w:rPr>
                <w:sz w:val="14"/>
              </w:rPr>
            </w:pPr>
            <w:r>
              <w:rPr>
                <w:sz w:val="14"/>
              </w:rPr>
              <w:t>Tree</w:t>
            </w:r>
            <w:r>
              <w:rPr>
                <w:spacing w:val="-4"/>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5"/>
                <w:sz w:val="14"/>
              </w:rPr>
              <w:t> </w:t>
            </w:r>
            <w:r>
              <w:rPr>
                <w:sz w:val="14"/>
              </w:rPr>
              <w:t>Significant</w:t>
            </w:r>
            <w:r>
              <w:rPr>
                <w:spacing w:val="-4"/>
                <w:sz w:val="14"/>
              </w:rPr>
              <w:t> </w:t>
            </w:r>
            <w:r>
              <w:rPr>
                <w:sz w:val="14"/>
              </w:rPr>
              <w:t>Landscape</w:t>
            </w:r>
            <w:r>
              <w:rPr>
                <w:spacing w:val="-6"/>
                <w:sz w:val="14"/>
              </w:rPr>
              <w:t> </w:t>
            </w:r>
            <w:r>
              <w:rPr>
                <w:sz w:val="14"/>
              </w:rPr>
              <w:t>Overlays</w:t>
            </w:r>
            <w:r>
              <w:rPr>
                <w:spacing w:val="-2"/>
                <w:sz w:val="14"/>
              </w:rPr>
              <w:t> </w:t>
            </w:r>
            <w:r>
              <w:rPr>
                <w:sz w:val="14"/>
              </w:rPr>
              <w:t>(SLO)</w:t>
            </w:r>
            <w:r>
              <w:rPr>
                <w:spacing w:val="-5"/>
                <w:sz w:val="14"/>
              </w:rPr>
              <w:t> </w:t>
            </w:r>
            <w:r>
              <w:rPr>
                <w:sz w:val="14"/>
              </w:rPr>
              <w:t>-</w:t>
            </w:r>
            <w:r>
              <w:rPr>
                <w:spacing w:val="-2"/>
                <w:sz w:val="14"/>
              </w:rPr>
              <w:t> </w:t>
            </w:r>
            <w:r>
              <w:rPr>
                <w:sz w:val="14"/>
              </w:rPr>
              <w:t>1</w:t>
            </w:r>
            <w:r>
              <w:rPr>
                <w:spacing w:val="-4"/>
                <w:sz w:val="14"/>
              </w:rPr>
              <w:t> Tree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141.00</w:t>
            </w:r>
          </w:p>
        </w:tc>
        <w:tc>
          <w:tcPr>
            <w:tcW w:w="995" w:type="dxa"/>
          </w:tcPr>
          <w:p>
            <w:pPr>
              <w:pStyle w:val="TableParagraph"/>
              <w:spacing w:line="140" w:lineRule="exact" w:before="15"/>
              <w:ind w:right="102"/>
              <w:jc w:val="right"/>
              <w:rPr>
                <w:sz w:val="14"/>
              </w:rPr>
            </w:pPr>
            <w:r>
              <w:rPr>
                <w:spacing w:val="-2"/>
                <w:sz w:val="14"/>
              </w:rPr>
              <w:t>153.00</w:t>
            </w:r>
          </w:p>
        </w:tc>
        <w:tc>
          <w:tcPr>
            <w:tcW w:w="861" w:type="dxa"/>
          </w:tcPr>
          <w:p>
            <w:pPr>
              <w:pStyle w:val="TableParagraph"/>
              <w:spacing w:line="140" w:lineRule="exact" w:before="15"/>
              <w:ind w:left="152" w:right="154"/>
              <w:jc w:val="center"/>
              <w:rPr>
                <w:sz w:val="14"/>
              </w:rPr>
            </w:pPr>
            <w:r>
              <w:rPr>
                <w:spacing w:val="-5"/>
                <w:sz w:val="14"/>
              </w:rPr>
              <w:t>7.8</w:t>
            </w:r>
          </w:p>
        </w:tc>
      </w:tr>
      <w:tr>
        <w:trPr>
          <w:trHeight w:val="177" w:hRule="atLeast"/>
        </w:trPr>
        <w:tc>
          <w:tcPr>
            <w:tcW w:w="5794" w:type="dxa"/>
          </w:tcPr>
          <w:p>
            <w:pPr>
              <w:pStyle w:val="TableParagraph"/>
              <w:spacing w:line="140" w:lineRule="exact" w:before="17"/>
              <w:ind w:left="107"/>
              <w:rPr>
                <w:sz w:val="14"/>
              </w:rPr>
            </w:pPr>
            <w:r>
              <w:rPr>
                <w:sz w:val="14"/>
              </w:rPr>
              <w:t>Tree</w:t>
            </w:r>
            <w:r>
              <w:rPr>
                <w:spacing w:val="-4"/>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5"/>
                <w:sz w:val="14"/>
              </w:rPr>
              <w:t> </w:t>
            </w:r>
            <w:r>
              <w:rPr>
                <w:sz w:val="14"/>
              </w:rPr>
              <w:t>Significant</w:t>
            </w:r>
            <w:r>
              <w:rPr>
                <w:spacing w:val="-4"/>
                <w:sz w:val="14"/>
              </w:rPr>
              <w:t> </w:t>
            </w:r>
            <w:r>
              <w:rPr>
                <w:sz w:val="14"/>
              </w:rPr>
              <w:t>Landscape</w:t>
            </w:r>
            <w:r>
              <w:rPr>
                <w:spacing w:val="-6"/>
                <w:sz w:val="14"/>
              </w:rPr>
              <w:t> </w:t>
            </w:r>
            <w:r>
              <w:rPr>
                <w:sz w:val="14"/>
              </w:rPr>
              <w:t>Overlays</w:t>
            </w:r>
            <w:r>
              <w:rPr>
                <w:spacing w:val="-2"/>
                <w:sz w:val="14"/>
              </w:rPr>
              <w:t> </w:t>
            </w:r>
            <w:r>
              <w:rPr>
                <w:sz w:val="14"/>
              </w:rPr>
              <w:t>(SLO)</w:t>
            </w:r>
            <w:r>
              <w:rPr>
                <w:spacing w:val="-5"/>
                <w:sz w:val="14"/>
              </w:rPr>
              <w:t> </w:t>
            </w:r>
            <w:r>
              <w:rPr>
                <w:sz w:val="14"/>
              </w:rPr>
              <w:t>-</w:t>
            </w:r>
            <w:r>
              <w:rPr>
                <w:spacing w:val="-2"/>
                <w:sz w:val="14"/>
              </w:rPr>
              <w:t> </w:t>
            </w:r>
            <w:r>
              <w:rPr>
                <w:sz w:val="14"/>
              </w:rPr>
              <w:t>2</w:t>
            </w:r>
            <w:r>
              <w:rPr>
                <w:spacing w:val="-4"/>
                <w:sz w:val="14"/>
              </w:rPr>
              <w:t> Tree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171.00</w:t>
            </w:r>
          </w:p>
        </w:tc>
        <w:tc>
          <w:tcPr>
            <w:tcW w:w="995" w:type="dxa"/>
          </w:tcPr>
          <w:p>
            <w:pPr>
              <w:pStyle w:val="TableParagraph"/>
              <w:spacing w:line="140" w:lineRule="exact" w:before="17"/>
              <w:ind w:right="102"/>
              <w:jc w:val="right"/>
              <w:rPr>
                <w:sz w:val="14"/>
              </w:rPr>
            </w:pPr>
            <w:r>
              <w:rPr>
                <w:spacing w:val="-2"/>
                <w:sz w:val="14"/>
              </w:rPr>
              <w:t>185.00</w:t>
            </w:r>
          </w:p>
        </w:tc>
        <w:tc>
          <w:tcPr>
            <w:tcW w:w="861" w:type="dxa"/>
          </w:tcPr>
          <w:p>
            <w:pPr>
              <w:pStyle w:val="TableParagraph"/>
              <w:spacing w:line="140" w:lineRule="exact" w:before="17"/>
              <w:ind w:left="152" w:right="154"/>
              <w:jc w:val="center"/>
              <w:rPr>
                <w:sz w:val="14"/>
              </w:rPr>
            </w:pPr>
            <w:r>
              <w:rPr>
                <w:spacing w:val="-5"/>
                <w:sz w:val="14"/>
              </w:rPr>
              <w:t>7.6</w:t>
            </w:r>
          </w:p>
        </w:tc>
      </w:tr>
      <w:tr>
        <w:trPr>
          <w:trHeight w:val="177" w:hRule="atLeast"/>
        </w:trPr>
        <w:tc>
          <w:tcPr>
            <w:tcW w:w="5794" w:type="dxa"/>
          </w:tcPr>
          <w:p>
            <w:pPr>
              <w:pStyle w:val="TableParagraph"/>
              <w:spacing w:line="140" w:lineRule="exact" w:before="17"/>
              <w:ind w:left="107"/>
              <w:rPr>
                <w:sz w:val="14"/>
              </w:rPr>
            </w:pPr>
            <w:r>
              <w:rPr>
                <w:sz w:val="14"/>
              </w:rPr>
              <w:t>Tree</w:t>
            </w:r>
            <w:r>
              <w:rPr>
                <w:spacing w:val="-4"/>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5"/>
                <w:sz w:val="14"/>
              </w:rPr>
              <w:t> </w:t>
            </w:r>
            <w:r>
              <w:rPr>
                <w:sz w:val="14"/>
              </w:rPr>
              <w:t>Significant</w:t>
            </w:r>
            <w:r>
              <w:rPr>
                <w:spacing w:val="-4"/>
                <w:sz w:val="14"/>
              </w:rPr>
              <w:t> </w:t>
            </w:r>
            <w:r>
              <w:rPr>
                <w:sz w:val="14"/>
              </w:rPr>
              <w:t>Landscape</w:t>
            </w:r>
            <w:r>
              <w:rPr>
                <w:spacing w:val="-6"/>
                <w:sz w:val="14"/>
              </w:rPr>
              <w:t> </w:t>
            </w:r>
            <w:r>
              <w:rPr>
                <w:sz w:val="14"/>
              </w:rPr>
              <w:t>Overlays</w:t>
            </w:r>
            <w:r>
              <w:rPr>
                <w:spacing w:val="-2"/>
                <w:sz w:val="14"/>
              </w:rPr>
              <w:t> </w:t>
            </w:r>
            <w:r>
              <w:rPr>
                <w:sz w:val="14"/>
              </w:rPr>
              <w:t>(SLO)</w:t>
            </w:r>
            <w:r>
              <w:rPr>
                <w:spacing w:val="-5"/>
                <w:sz w:val="14"/>
              </w:rPr>
              <w:t> </w:t>
            </w:r>
            <w:r>
              <w:rPr>
                <w:sz w:val="14"/>
              </w:rPr>
              <w:t>-</w:t>
            </w:r>
            <w:r>
              <w:rPr>
                <w:spacing w:val="-2"/>
                <w:sz w:val="14"/>
              </w:rPr>
              <w:t> </w:t>
            </w:r>
            <w:r>
              <w:rPr>
                <w:sz w:val="14"/>
              </w:rPr>
              <w:t>3</w:t>
            </w:r>
            <w:r>
              <w:rPr>
                <w:spacing w:val="-4"/>
                <w:sz w:val="14"/>
              </w:rPr>
              <w:t> Tree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202.00</w:t>
            </w:r>
          </w:p>
        </w:tc>
        <w:tc>
          <w:tcPr>
            <w:tcW w:w="995" w:type="dxa"/>
          </w:tcPr>
          <w:p>
            <w:pPr>
              <w:pStyle w:val="TableParagraph"/>
              <w:spacing w:line="140" w:lineRule="exact" w:before="17"/>
              <w:ind w:right="102"/>
              <w:jc w:val="right"/>
              <w:rPr>
                <w:sz w:val="14"/>
              </w:rPr>
            </w:pPr>
            <w:r>
              <w:rPr>
                <w:spacing w:val="-2"/>
                <w:sz w:val="14"/>
              </w:rPr>
              <w:t>218.00</w:t>
            </w:r>
          </w:p>
        </w:tc>
        <w:tc>
          <w:tcPr>
            <w:tcW w:w="861" w:type="dxa"/>
          </w:tcPr>
          <w:p>
            <w:pPr>
              <w:pStyle w:val="TableParagraph"/>
              <w:spacing w:line="140" w:lineRule="exact" w:before="17"/>
              <w:ind w:left="152" w:right="154"/>
              <w:jc w:val="center"/>
              <w:rPr>
                <w:sz w:val="14"/>
              </w:rPr>
            </w:pPr>
            <w:r>
              <w:rPr>
                <w:spacing w:val="-5"/>
                <w:sz w:val="14"/>
              </w:rPr>
              <w:t>7.3</w:t>
            </w:r>
          </w:p>
        </w:tc>
      </w:tr>
      <w:tr>
        <w:trPr>
          <w:trHeight w:val="177" w:hRule="atLeast"/>
        </w:trPr>
        <w:tc>
          <w:tcPr>
            <w:tcW w:w="5794" w:type="dxa"/>
          </w:tcPr>
          <w:p>
            <w:pPr>
              <w:pStyle w:val="TableParagraph"/>
              <w:spacing w:line="140" w:lineRule="exact" w:before="17"/>
              <w:ind w:left="107"/>
              <w:rPr>
                <w:sz w:val="14"/>
              </w:rPr>
            </w:pPr>
            <w:r>
              <w:rPr>
                <w:sz w:val="14"/>
              </w:rPr>
              <w:t>Tree</w:t>
            </w:r>
            <w:r>
              <w:rPr>
                <w:spacing w:val="-4"/>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5"/>
                <w:sz w:val="14"/>
              </w:rPr>
              <w:t> </w:t>
            </w:r>
            <w:r>
              <w:rPr>
                <w:sz w:val="14"/>
              </w:rPr>
              <w:t>Significant</w:t>
            </w:r>
            <w:r>
              <w:rPr>
                <w:spacing w:val="-4"/>
                <w:sz w:val="14"/>
              </w:rPr>
              <w:t> </w:t>
            </w:r>
            <w:r>
              <w:rPr>
                <w:sz w:val="14"/>
              </w:rPr>
              <w:t>Landscape</w:t>
            </w:r>
            <w:r>
              <w:rPr>
                <w:spacing w:val="-6"/>
                <w:sz w:val="14"/>
              </w:rPr>
              <w:t> </w:t>
            </w:r>
            <w:r>
              <w:rPr>
                <w:sz w:val="14"/>
              </w:rPr>
              <w:t>Overlays</w:t>
            </w:r>
            <w:r>
              <w:rPr>
                <w:spacing w:val="-2"/>
                <w:sz w:val="14"/>
              </w:rPr>
              <w:t> </w:t>
            </w:r>
            <w:r>
              <w:rPr>
                <w:sz w:val="14"/>
              </w:rPr>
              <w:t>(SLO)</w:t>
            </w:r>
            <w:r>
              <w:rPr>
                <w:spacing w:val="-5"/>
                <w:sz w:val="14"/>
              </w:rPr>
              <w:t> </w:t>
            </w:r>
            <w:r>
              <w:rPr>
                <w:sz w:val="14"/>
              </w:rPr>
              <w:t>-</w:t>
            </w:r>
            <w:r>
              <w:rPr>
                <w:spacing w:val="-2"/>
                <w:sz w:val="14"/>
              </w:rPr>
              <w:t> </w:t>
            </w:r>
            <w:r>
              <w:rPr>
                <w:sz w:val="14"/>
              </w:rPr>
              <w:t>4</w:t>
            </w:r>
            <w:r>
              <w:rPr>
                <w:spacing w:val="-4"/>
                <w:sz w:val="14"/>
              </w:rPr>
              <w:t> Tree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232.00</w:t>
            </w:r>
          </w:p>
        </w:tc>
        <w:tc>
          <w:tcPr>
            <w:tcW w:w="995" w:type="dxa"/>
          </w:tcPr>
          <w:p>
            <w:pPr>
              <w:pStyle w:val="TableParagraph"/>
              <w:spacing w:line="140" w:lineRule="exact" w:before="17"/>
              <w:ind w:right="102"/>
              <w:jc w:val="right"/>
              <w:rPr>
                <w:sz w:val="14"/>
              </w:rPr>
            </w:pPr>
            <w:r>
              <w:rPr>
                <w:spacing w:val="-2"/>
                <w:sz w:val="14"/>
              </w:rPr>
              <w:t>250.50</w:t>
            </w:r>
          </w:p>
        </w:tc>
        <w:tc>
          <w:tcPr>
            <w:tcW w:w="861" w:type="dxa"/>
          </w:tcPr>
          <w:p>
            <w:pPr>
              <w:pStyle w:val="TableParagraph"/>
              <w:spacing w:line="140" w:lineRule="exact" w:before="17"/>
              <w:ind w:left="152" w:right="154"/>
              <w:jc w:val="center"/>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Tree</w:t>
            </w:r>
            <w:r>
              <w:rPr>
                <w:spacing w:val="-4"/>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5"/>
                <w:sz w:val="14"/>
              </w:rPr>
              <w:t> </w:t>
            </w:r>
            <w:r>
              <w:rPr>
                <w:sz w:val="14"/>
              </w:rPr>
              <w:t>Significant</w:t>
            </w:r>
            <w:r>
              <w:rPr>
                <w:spacing w:val="-4"/>
                <w:sz w:val="14"/>
              </w:rPr>
              <w:t> </w:t>
            </w:r>
            <w:r>
              <w:rPr>
                <w:sz w:val="14"/>
              </w:rPr>
              <w:t>Landscape</w:t>
            </w:r>
            <w:r>
              <w:rPr>
                <w:spacing w:val="-6"/>
                <w:sz w:val="14"/>
              </w:rPr>
              <w:t> </w:t>
            </w:r>
            <w:r>
              <w:rPr>
                <w:sz w:val="14"/>
              </w:rPr>
              <w:t>Overlays</w:t>
            </w:r>
            <w:r>
              <w:rPr>
                <w:spacing w:val="-2"/>
                <w:sz w:val="14"/>
              </w:rPr>
              <w:t> </w:t>
            </w:r>
            <w:r>
              <w:rPr>
                <w:sz w:val="14"/>
              </w:rPr>
              <w:t>(SLO)</w:t>
            </w:r>
            <w:r>
              <w:rPr>
                <w:spacing w:val="-5"/>
                <w:sz w:val="14"/>
              </w:rPr>
              <w:t> </w:t>
            </w:r>
            <w:r>
              <w:rPr>
                <w:sz w:val="14"/>
              </w:rPr>
              <w:t>-</w:t>
            </w:r>
            <w:r>
              <w:rPr>
                <w:spacing w:val="-2"/>
                <w:sz w:val="14"/>
              </w:rPr>
              <w:t> </w:t>
            </w:r>
            <w:r>
              <w:rPr>
                <w:sz w:val="14"/>
              </w:rPr>
              <w:t>5</w:t>
            </w:r>
            <w:r>
              <w:rPr>
                <w:spacing w:val="-4"/>
                <w:sz w:val="14"/>
              </w:rPr>
              <w:t> Tree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263.00</w:t>
            </w:r>
          </w:p>
        </w:tc>
        <w:tc>
          <w:tcPr>
            <w:tcW w:w="995" w:type="dxa"/>
          </w:tcPr>
          <w:p>
            <w:pPr>
              <w:pStyle w:val="TableParagraph"/>
              <w:spacing w:line="140" w:lineRule="exact" w:before="17"/>
              <w:ind w:right="102"/>
              <w:jc w:val="right"/>
              <w:rPr>
                <w:sz w:val="14"/>
              </w:rPr>
            </w:pPr>
            <w:r>
              <w:rPr>
                <w:spacing w:val="-2"/>
                <w:sz w:val="14"/>
              </w:rPr>
              <w:t>284.00</w:t>
            </w:r>
          </w:p>
        </w:tc>
        <w:tc>
          <w:tcPr>
            <w:tcW w:w="861" w:type="dxa"/>
          </w:tcPr>
          <w:p>
            <w:pPr>
              <w:pStyle w:val="TableParagraph"/>
              <w:spacing w:line="140" w:lineRule="exact" w:before="17"/>
              <w:ind w:left="152" w:right="154"/>
              <w:jc w:val="center"/>
              <w:rPr>
                <w:sz w:val="14"/>
              </w:rPr>
            </w:pPr>
            <w:r>
              <w:rPr>
                <w:spacing w:val="-5"/>
                <w:sz w:val="14"/>
              </w:rPr>
              <w:t>7.4</w:t>
            </w:r>
          </w:p>
        </w:tc>
      </w:tr>
      <w:tr>
        <w:trPr>
          <w:trHeight w:val="321" w:hRule="atLeast"/>
        </w:trPr>
        <w:tc>
          <w:tcPr>
            <w:tcW w:w="5794" w:type="dxa"/>
          </w:tcPr>
          <w:p>
            <w:pPr>
              <w:pStyle w:val="TableParagraph"/>
              <w:spacing w:line="160" w:lineRule="atLeast"/>
              <w:ind w:left="107" w:right="174"/>
              <w:rPr>
                <w:sz w:val="14"/>
              </w:rPr>
            </w:pPr>
            <w:r>
              <w:rPr>
                <w:sz w:val="14"/>
              </w:rPr>
              <w:t>Tree</w:t>
            </w:r>
            <w:r>
              <w:rPr>
                <w:spacing w:val="-3"/>
                <w:sz w:val="14"/>
              </w:rPr>
              <w:t> </w:t>
            </w:r>
            <w:r>
              <w:rPr>
                <w:sz w:val="14"/>
              </w:rPr>
              <w:t>and</w:t>
            </w:r>
            <w:r>
              <w:rPr>
                <w:spacing w:val="-3"/>
                <w:sz w:val="14"/>
              </w:rPr>
              <w:t> </w:t>
            </w:r>
            <w:r>
              <w:rPr>
                <w:sz w:val="14"/>
              </w:rPr>
              <w:t>native</w:t>
            </w:r>
            <w:r>
              <w:rPr>
                <w:spacing w:val="-3"/>
                <w:sz w:val="14"/>
              </w:rPr>
              <w:t> </w:t>
            </w:r>
            <w:r>
              <w:rPr>
                <w:sz w:val="14"/>
              </w:rPr>
              <w:t>vegetation</w:t>
            </w:r>
            <w:r>
              <w:rPr>
                <w:spacing w:val="-5"/>
                <w:sz w:val="14"/>
              </w:rPr>
              <w:t> </w:t>
            </w:r>
            <w:r>
              <w:rPr>
                <w:sz w:val="14"/>
              </w:rPr>
              <w:t>removal</w:t>
            </w:r>
            <w:r>
              <w:rPr>
                <w:spacing w:val="-4"/>
                <w:sz w:val="14"/>
              </w:rPr>
              <w:t> </w:t>
            </w:r>
            <w:r>
              <w:rPr>
                <w:sz w:val="14"/>
              </w:rPr>
              <w:t>Significant</w:t>
            </w:r>
            <w:r>
              <w:rPr>
                <w:spacing w:val="-4"/>
                <w:sz w:val="14"/>
              </w:rPr>
              <w:t> </w:t>
            </w:r>
            <w:r>
              <w:rPr>
                <w:sz w:val="14"/>
              </w:rPr>
              <w:t>Landscape</w:t>
            </w:r>
            <w:r>
              <w:rPr>
                <w:spacing w:val="-6"/>
                <w:sz w:val="14"/>
              </w:rPr>
              <w:t> </w:t>
            </w:r>
            <w:r>
              <w:rPr>
                <w:sz w:val="14"/>
              </w:rPr>
              <w:t>Overlays</w:t>
            </w:r>
            <w:r>
              <w:rPr>
                <w:spacing w:val="-3"/>
                <w:sz w:val="14"/>
              </w:rPr>
              <w:t> </w:t>
            </w:r>
            <w:r>
              <w:rPr>
                <w:sz w:val="14"/>
              </w:rPr>
              <w:t>(SLO)</w:t>
            </w:r>
            <w:r>
              <w:rPr>
                <w:spacing w:val="-6"/>
                <w:sz w:val="14"/>
              </w:rPr>
              <w:t> </w:t>
            </w:r>
            <w:r>
              <w:rPr>
                <w:sz w:val="14"/>
              </w:rPr>
              <w:t>-</w:t>
            </w:r>
            <w:r>
              <w:rPr>
                <w:spacing w:val="-3"/>
                <w:sz w:val="14"/>
              </w:rPr>
              <w:t> </w:t>
            </w:r>
            <w:r>
              <w:rPr>
                <w:sz w:val="14"/>
              </w:rPr>
              <w:t>6+</w:t>
            </w:r>
            <w:r>
              <w:rPr>
                <w:spacing w:val="-2"/>
                <w:sz w:val="14"/>
              </w:rPr>
              <w:t> </w:t>
            </w:r>
            <w:r>
              <w:rPr>
                <w:sz w:val="14"/>
              </w:rPr>
              <w:t>Tree</w:t>
            </w:r>
            <w:r>
              <w:rPr>
                <w:spacing w:val="40"/>
                <w:sz w:val="14"/>
              </w:rPr>
              <w:t> </w:t>
            </w:r>
            <w:r>
              <w:rPr>
                <w:spacing w:val="-2"/>
                <w:sz w:val="14"/>
              </w:rPr>
              <w:t>removal</w:t>
            </w:r>
          </w:p>
        </w:tc>
        <w:tc>
          <w:tcPr>
            <w:tcW w:w="1131" w:type="dxa"/>
          </w:tcPr>
          <w:p>
            <w:pPr>
              <w:pStyle w:val="TableParagraph"/>
              <w:rPr>
                <w:sz w:val="14"/>
              </w:rPr>
            </w:pPr>
          </w:p>
          <w:p>
            <w:pPr>
              <w:pStyle w:val="TableParagraph"/>
              <w:spacing w:line="140" w:lineRule="exact"/>
              <w:ind w:left="5"/>
              <w:jc w:val="center"/>
              <w:rPr>
                <w:sz w:val="14"/>
              </w:rPr>
            </w:pPr>
            <w:r>
              <w:rPr>
                <w:w w:val="99"/>
                <w:sz w:val="14"/>
              </w:rPr>
              <w:t>N</w:t>
            </w:r>
          </w:p>
        </w:tc>
        <w:tc>
          <w:tcPr>
            <w:tcW w:w="567" w:type="dxa"/>
          </w:tcPr>
          <w:p>
            <w:pPr>
              <w:pStyle w:val="TableParagraph"/>
              <w:rPr>
                <w:sz w:val="14"/>
              </w:rPr>
            </w:pPr>
          </w:p>
          <w:p>
            <w:pPr>
              <w:pStyle w:val="TableParagraph"/>
              <w:spacing w:line="140" w:lineRule="exact"/>
              <w:ind w:left="159"/>
              <w:rPr>
                <w:sz w:val="14"/>
              </w:rPr>
            </w:pPr>
            <w:r>
              <w:rPr>
                <w:spacing w:val="-5"/>
                <w:sz w:val="14"/>
              </w:rPr>
              <w:t>Yes</w:t>
            </w:r>
          </w:p>
        </w:tc>
        <w:tc>
          <w:tcPr>
            <w:tcW w:w="997" w:type="dxa"/>
          </w:tcPr>
          <w:p>
            <w:pPr>
              <w:pStyle w:val="TableParagraph"/>
              <w:rPr>
                <w:sz w:val="14"/>
              </w:rPr>
            </w:pPr>
          </w:p>
          <w:p>
            <w:pPr>
              <w:pStyle w:val="TableParagraph"/>
              <w:spacing w:line="140" w:lineRule="exact"/>
              <w:ind w:right="100"/>
              <w:jc w:val="right"/>
              <w:rPr>
                <w:sz w:val="14"/>
              </w:rPr>
            </w:pPr>
            <w:r>
              <w:rPr>
                <w:spacing w:val="-2"/>
                <w:sz w:val="14"/>
              </w:rPr>
              <w:t>293.00</w:t>
            </w:r>
          </w:p>
        </w:tc>
        <w:tc>
          <w:tcPr>
            <w:tcW w:w="995" w:type="dxa"/>
          </w:tcPr>
          <w:p>
            <w:pPr>
              <w:pStyle w:val="TableParagraph"/>
              <w:rPr>
                <w:sz w:val="14"/>
              </w:rPr>
            </w:pPr>
          </w:p>
          <w:p>
            <w:pPr>
              <w:pStyle w:val="TableParagraph"/>
              <w:spacing w:line="140" w:lineRule="exact"/>
              <w:ind w:right="102"/>
              <w:jc w:val="right"/>
              <w:rPr>
                <w:sz w:val="14"/>
              </w:rPr>
            </w:pPr>
            <w:r>
              <w:rPr>
                <w:spacing w:val="-2"/>
                <w:sz w:val="14"/>
              </w:rPr>
              <w:t>316.50</w:t>
            </w:r>
          </w:p>
        </w:tc>
        <w:tc>
          <w:tcPr>
            <w:tcW w:w="861" w:type="dxa"/>
          </w:tcPr>
          <w:p>
            <w:pPr>
              <w:pStyle w:val="TableParagraph"/>
              <w:rPr>
                <w:sz w:val="14"/>
              </w:rPr>
            </w:pPr>
          </w:p>
          <w:p>
            <w:pPr>
              <w:pStyle w:val="TableParagraph"/>
              <w:spacing w:line="140" w:lineRule="exact"/>
              <w:ind w:left="152" w:right="154"/>
              <w:jc w:val="center"/>
              <w:rPr>
                <w:sz w:val="14"/>
              </w:rPr>
            </w:pPr>
            <w:r>
              <w:rPr>
                <w:spacing w:val="-5"/>
                <w:sz w:val="14"/>
              </w:rPr>
              <w:t>7.4</w:t>
            </w:r>
          </w:p>
        </w:tc>
      </w:tr>
      <w:tr>
        <w:trPr>
          <w:trHeight w:val="176" w:hRule="atLeast"/>
        </w:trPr>
        <w:tc>
          <w:tcPr>
            <w:tcW w:w="5794" w:type="dxa"/>
          </w:tcPr>
          <w:p>
            <w:pPr>
              <w:pStyle w:val="TableParagraph"/>
              <w:spacing w:line="140" w:lineRule="exact" w:before="16"/>
              <w:ind w:left="107"/>
              <w:rPr>
                <w:sz w:val="14"/>
              </w:rPr>
            </w:pPr>
            <w:r>
              <w:rPr>
                <w:sz w:val="14"/>
              </w:rPr>
              <w:t>All</w:t>
            </w:r>
            <w:r>
              <w:rPr>
                <w:spacing w:val="-5"/>
                <w:sz w:val="14"/>
              </w:rPr>
              <w:t> </w:t>
            </w:r>
            <w:r>
              <w:rPr>
                <w:sz w:val="14"/>
              </w:rPr>
              <w:t>other</w:t>
            </w:r>
            <w:r>
              <w:rPr>
                <w:spacing w:val="-3"/>
                <w:sz w:val="14"/>
              </w:rPr>
              <w:t> </w:t>
            </w:r>
            <w:r>
              <w:rPr>
                <w:sz w:val="14"/>
              </w:rPr>
              <w:t>development</w:t>
            </w:r>
            <w:r>
              <w:rPr>
                <w:spacing w:val="-3"/>
                <w:sz w:val="14"/>
              </w:rPr>
              <w:t> </w:t>
            </w:r>
            <w:r>
              <w:rPr>
                <w:sz w:val="14"/>
              </w:rPr>
              <w:t>Class</w:t>
            </w:r>
            <w:r>
              <w:rPr>
                <w:spacing w:val="-3"/>
                <w:sz w:val="14"/>
              </w:rPr>
              <w:t> </w:t>
            </w:r>
            <w:r>
              <w:rPr>
                <w:sz w:val="14"/>
              </w:rPr>
              <w:t>11</w:t>
            </w:r>
            <w:r>
              <w:rPr>
                <w:spacing w:val="-3"/>
                <w:sz w:val="14"/>
              </w:rPr>
              <w:t> </w:t>
            </w:r>
            <w:r>
              <w:rPr>
                <w:sz w:val="14"/>
              </w:rPr>
              <w:t>-</w:t>
            </w:r>
            <w:r>
              <w:rPr>
                <w:spacing w:val="-3"/>
                <w:sz w:val="14"/>
              </w:rPr>
              <w:t> </w:t>
            </w:r>
            <w:r>
              <w:rPr>
                <w:sz w:val="14"/>
              </w:rPr>
              <w:t>up</w:t>
            </w:r>
            <w:r>
              <w:rPr>
                <w:spacing w:val="-2"/>
                <w:sz w:val="14"/>
              </w:rPr>
              <w:t> </w:t>
            </w:r>
            <w:r>
              <w:rPr>
                <w:sz w:val="14"/>
              </w:rPr>
              <w:t>to</w:t>
            </w:r>
            <w:r>
              <w:rPr>
                <w:spacing w:val="-2"/>
                <w:sz w:val="14"/>
              </w:rPr>
              <w:t> </w:t>
            </w:r>
            <w:r>
              <w:rPr>
                <w:sz w:val="14"/>
              </w:rPr>
              <w:t>$100,000</w:t>
            </w:r>
            <w:r>
              <w:rPr>
                <w:spacing w:val="-4"/>
                <w:sz w:val="14"/>
              </w:rPr>
              <w:t> </w:t>
            </w:r>
            <w:r>
              <w:rPr>
                <w:sz w:val="14"/>
              </w:rPr>
              <w:t>Application</w:t>
            </w:r>
            <w:r>
              <w:rPr>
                <w:spacing w:val="-5"/>
                <w:sz w:val="14"/>
              </w:rPr>
              <w:t> fee</w:t>
            </w:r>
          </w:p>
        </w:tc>
        <w:tc>
          <w:tcPr>
            <w:tcW w:w="1131" w:type="dxa"/>
          </w:tcPr>
          <w:p>
            <w:pPr>
              <w:pStyle w:val="TableParagraph"/>
              <w:spacing w:line="140" w:lineRule="exact" w:before="16"/>
              <w:ind w:left="7"/>
              <w:jc w:val="center"/>
              <w:rPr>
                <w:sz w:val="14"/>
              </w:rPr>
            </w:pPr>
            <w:r>
              <w:rPr>
                <w:w w:val="99"/>
                <w:sz w:val="14"/>
              </w:rPr>
              <w:t>S</w:t>
            </w:r>
          </w:p>
        </w:tc>
        <w:tc>
          <w:tcPr>
            <w:tcW w:w="567" w:type="dxa"/>
          </w:tcPr>
          <w:p>
            <w:pPr>
              <w:pStyle w:val="TableParagraph"/>
              <w:spacing w:line="140" w:lineRule="exact" w:before="16"/>
              <w:ind w:left="190"/>
              <w:rPr>
                <w:sz w:val="14"/>
              </w:rPr>
            </w:pPr>
            <w:r>
              <w:rPr>
                <w:spacing w:val="-5"/>
                <w:sz w:val="14"/>
              </w:rPr>
              <w:t>No</w:t>
            </w:r>
          </w:p>
        </w:tc>
        <w:tc>
          <w:tcPr>
            <w:tcW w:w="997" w:type="dxa"/>
          </w:tcPr>
          <w:p>
            <w:pPr>
              <w:pStyle w:val="TableParagraph"/>
              <w:spacing w:line="140" w:lineRule="exact" w:before="16"/>
              <w:ind w:right="100"/>
              <w:jc w:val="right"/>
              <w:rPr>
                <w:sz w:val="14"/>
              </w:rPr>
            </w:pPr>
            <w:r>
              <w:rPr>
                <w:spacing w:val="-2"/>
                <w:sz w:val="14"/>
              </w:rPr>
              <w:t>1,232.30</w:t>
            </w:r>
          </w:p>
        </w:tc>
        <w:tc>
          <w:tcPr>
            <w:tcW w:w="995" w:type="dxa"/>
          </w:tcPr>
          <w:p>
            <w:pPr>
              <w:pStyle w:val="TableParagraph"/>
              <w:spacing w:line="140" w:lineRule="exact" w:before="16"/>
              <w:ind w:right="101"/>
              <w:jc w:val="right"/>
              <w:rPr>
                <w:sz w:val="14"/>
              </w:rPr>
            </w:pPr>
            <w:r>
              <w:rPr>
                <w:spacing w:val="-2"/>
                <w:sz w:val="14"/>
              </w:rPr>
              <w:t>1,265.60</w:t>
            </w:r>
          </w:p>
        </w:tc>
        <w:tc>
          <w:tcPr>
            <w:tcW w:w="861" w:type="dxa"/>
          </w:tcPr>
          <w:p>
            <w:pPr>
              <w:pStyle w:val="TableParagraph"/>
              <w:spacing w:line="140" w:lineRule="exact" w:before="16"/>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other</w:t>
            </w:r>
            <w:r>
              <w:rPr>
                <w:spacing w:val="-3"/>
                <w:sz w:val="14"/>
              </w:rPr>
              <w:t> </w:t>
            </w:r>
            <w:r>
              <w:rPr>
                <w:sz w:val="14"/>
              </w:rPr>
              <w:t>development</w:t>
            </w:r>
            <w:r>
              <w:rPr>
                <w:spacing w:val="-3"/>
                <w:sz w:val="14"/>
              </w:rPr>
              <w:t> </w:t>
            </w:r>
            <w:r>
              <w:rPr>
                <w:sz w:val="14"/>
              </w:rPr>
              <w:t>Class</w:t>
            </w:r>
            <w:r>
              <w:rPr>
                <w:spacing w:val="-2"/>
                <w:sz w:val="14"/>
              </w:rPr>
              <w:t> </w:t>
            </w:r>
            <w:r>
              <w:rPr>
                <w:sz w:val="14"/>
              </w:rPr>
              <w:t>11</w:t>
            </w:r>
            <w:r>
              <w:rPr>
                <w:spacing w:val="-3"/>
                <w:sz w:val="14"/>
              </w:rPr>
              <w:t> </w:t>
            </w:r>
            <w:r>
              <w:rPr>
                <w:sz w:val="14"/>
              </w:rPr>
              <w:t>-</w:t>
            </w:r>
            <w:r>
              <w:rPr>
                <w:spacing w:val="-3"/>
                <w:sz w:val="14"/>
              </w:rPr>
              <w:t> </w:t>
            </w:r>
            <w:r>
              <w:rPr>
                <w:sz w:val="14"/>
              </w:rPr>
              <w:t>up</w:t>
            </w:r>
            <w:r>
              <w:rPr>
                <w:spacing w:val="-2"/>
                <w:sz w:val="14"/>
              </w:rPr>
              <w:t> </w:t>
            </w:r>
            <w:r>
              <w:rPr>
                <w:sz w:val="14"/>
              </w:rPr>
              <w:t>to</w:t>
            </w:r>
            <w:r>
              <w:rPr>
                <w:spacing w:val="-2"/>
                <w:sz w:val="14"/>
              </w:rPr>
              <w:t> </w:t>
            </w:r>
            <w:r>
              <w:rPr>
                <w:sz w:val="14"/>
              </w:rPr>
              <w:t>$100,000</w:t>
            </w:r>
            <w:r>
              <w:rPr>
                <w:spacing w:val="-3"/>
                <w:sz w:val="14"/>
              </w:rPr>
              <w:t> </w:t>
            </w:r>
            <w:r>
              <w:rPr>
                <w:sz w:val="14"/>
              </w:rPr>
              <w:t>Section</w:t>
            </w:r>
            <w:r>
              <w:rPr>
                <w:spacing w:val="-2"/>
                <w:sz w:val="14"/>
              </w:rPr>
              <w:t> </w:t>
            </w:r>
            <w:r>
              <w:rPr>
                <w:sz w:val="14"/>
              </w:rPr>
              <w:t>72</w:t>
            </w:r>
            <w:r>
              <w:rPr>
                <w:spacing w:val="-6"/>
                <w:sz w:val="14"/>
              </w:rPr>
              <w:t> </w:t>
            </w:r>
            <w:r>
              <w:rPr>
                <w:sz w:val="14"/>
              </w:rPr>
              <w:t>Amendment</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1,232.30</w:t>
            </w:r>
          </w:p>
        </w:tc>
        <w:tc>
          <w:tcPr>
            <w:tcW w:w="995" w:type="dxa"/>
          </w:tcPr>
          <w:p>
            <w:pPr>
              <w:pStyle w:val="TableParagraph"/>
              <w:spacing w:line="140" w:lineRule="exact" w:before="17"/>
              <w:ind w:right="101"/>
              <w:jc w:val="right"/>
              <w:rPr>
                <w:sz w:val="14"/>
              </w:rPr>
            </w:pPr>
            <w:r>
              <w:rPr>
                <w:spacing w:val="-2"/>
                <w:sz w:val="14"/>
              </w:rPr>
              <w:t>1,265.60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other</w:t>
            </w:r>
            <w:r>
              <w:rPr>
                <w:spacing w:val="-2"/>
                <w:sz w:val="14"/>
              </w:rPr>
              <w:t> </w:t>
            </w:r>
            <w:r>
              <w:rPr>
                <w:sz w:val="14"/>
              </w:rPr>
              <w:t>development</w:t>
            </w:r>
            <w:r>
              <w:rPr>
                <w:spacing w:val="-3"/>
                <w:sz w:val="14"/>
              </w:rPr>
              <w:t> </w:t>
            </w:r>
            <w:r>
              <w:rPr>
                <w:sz w:val="14"/>
              </w:rPr>
              <w:t>Class</w:t>
            </w:r>
            <w:r>
              <w:rPr>
                <w:spacing w:val="-2"/>
                <w:sz w:val="14"/>
              </w:rPr>
              <w:t> </w:t>
            </w:r>
            <w:r>
              <w:rPr>
                <w:sz w:val="14"/>
              </w:rPr>
              <w:t>12</w:t>
            </w:r>
            <w:r>
              <w:rPr>
                <w:spacing w:val="-2"/>
                <w:sz w:val="14"/>
              </w:rPr>
              <w:t> </w:t>
            </w:r>
            <w:r>
              <w:rPr>
                <w:sz w:val="14"/>
              </w:rPr>
              <w:t>-</w:t>
            </w:r>
            <w:r>
              <w:rPr>
                <w:spacing w:val="-6"/>
                <w:sz w:val="14"/>
              </w:rPr>
              <w:t> </w:t>
            </w:r>
            <w:r>
              <w:rPr>
                <w:sz w:val="14"/>
              </w:rPr>
              <w:t>more</w:t>
            </w:r>
            <w:r>
              <w:rPr>
                <w:spacing w:val="-3"/>
                <w:sz w:val="14"/>
              </w:rPr>
              <w:t> </w:t>
            </w:r>
            <w:r>
              <w:rPr>
                <w:sz w:val="14"/>
              </w:rPr>
              <w:t>than</w:t>
            </w:r>
            <w:r>
              <w:rPr>
                <w:spacing w:val="-5"/>
                <w:sz w:val="14"/>
              </w:rPr>
              <w:t> </w:t>
            </w:r>
            <w:r>
              <w:rPr>
                <w:sz w:val="14"/>
              </w:rPr>
              <w:t>$100,000</w:t>
            </w:r>
            <w:r>
              <w:rPr>
                <w:spacing w:val="-5"/>
                <w:sz w:val="14"/>
              </w:rPr>
              <w:t> </w:t>
            </w:r>
            <w:r>
              <w:rPr>
                <w:sz w:val="14"/>
              </w:rPr>
              <w:t>to</w:t>
            </w:r>
            <w:r>
              <w:rPr>
                <w:spacing w:val="-3"/>
                <w:sz w:val="14"/>
              </w:rPr>
              <w:t> </w:t>
            </w:r>
            <w:r>
              <w:rPr>
                <w:sz w:val="14"/>
              </w:rPr>
              <w:t>$1M</w:t>
            </w:r>
            <w:r>
              <w:rPr>
                <w:spacing w:val="-5"/>
                <w:sz w:val="14"/>
              </w:rPr>
              <w:t> </w:t>
            </w:r>
            <w:r>
              <w:rPr>
                <w:sz w:val="14"/>
              </w:rPr>
              <w:t>Application</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1,661.60</w:t>
            </w:r>
          </w:p>
        </w:tc>
        <w:tc>
          <w:tcPr>
            <w:tcW w:w="995" w:type="dxa"/>
          </w:tcPr>
          <w:p>
            <w:pPr>
              <w:pStyle w:val="TableParagraph"/>
              <w:spacing w:line="140" w:lineRule="exact" w:before="17"/>
              <w:ind w:right="101"/>
              <w:jc w:val="right"/>
              <w:rPr>
                <w:sz w:val="14"/>
              </w:rPr>
            </w:pPr>
            <w:r>
              <w:rPr>
                <w:spacing w:val="-2"/>
                <w:sz w:val="14"/>
              </w:rPr>
              <w:t>1,706.50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other</w:t>
            </w:r>
            <w:r>
              <w:rPr>
                <w:spacing w:val="-2"/>
                <w:sz w:val="14"/>
              </w:rPr>
              <w:t> </w:t>
            </w:r>
            <w:r>
              <w:rPr>
                <w:sz w:val="14"/>
              </w:rPr>
              <w:t>development</w:t>
            </w:r>
            <w:r>
              <w:rPr>
                <w:spacing w:val="-2"/>
                <w:sz w:val="14"/>
              </w:rPr>
              <w:t> </w:t>
            </w:r>
            <w:r>
              <w:rPr>
                <w:sz w:val="14"/>
              </w:rPr>
              <w:t>Class</w:t>
            </w:r>
            <w:r>
              <w:rPr>
                <w:spacing w:val="-2"/>
                <w:sz w:val="14"/>
              </w:rPr>
              <w:t> </w:t>
            </w:r>
            <w:r>
              <w:rPr>
                <w:sz w:val="14"/>
              </w:rPr>
              <w:t>12</w:t>
            </w:r>
            <w:r>
              <w:rPr>
                <w:spacing w:val="-3"/>
                <w:sz w:val="14"/>
              </w:rPr>
              <w:t> </w:t>
            </w:r>
            <w:r>
              <w:rPr>
                <w:sz w:val="14"/>
              </w:rPr>
              <w:t>-</w:t>
            </w:r>
            <w:r>
              <w:rPr>
                <w:spacing w:val="-5"/>
                <w:sz w:val="14"/>
              </w:rPr>
              <w:t> </w:t>
            </w:r>
            <w:r>
              <w:rPr>
                <w:sz w:val="14"/>
              </w:rPr>
              <w:t>more</w:t>
            </w:r>
            <w:r>
              <w:rPr>
                <w:spacing w:val="-3"/>
                <w:sz w:val="14"/>
              </w:rPr>
              <w:t> </w:t>
            </w:r>
            <w:r>
              <w:rPr>
                <w:sz w:val="14"/>
              </w:rPr>
              <w:t>than</w:t>
            </w:r>
            <w:r>
              <w:rPr>
                <w:spacing w:val="-5"/>
                <w:sz w:val="14"/>
              </w:rPr>
              <w:t> </w:t>
            </w:r>
            <w:r>
              <w:rPr>
                <w:sz w:val="14"/>
              </w:rPr>
              <w:t>$100,000</w:t>
            </w:r>
            <w:r>
              <w:rPr>
                <w:spacing w:val="-5"/>
                <w:sz w:val="14"/>
              </w:rPr>
              <w:t> </w:t>
            </w:r>
            <w:r>
              <w:rPr>
                <w:sz w:val="14"/>
              </w:rPr>
              <w:t>to</w:t>
            </w:r>
            <w:r>
              <w:rPr>
                <w:spacing w:val="-2"/>
                <w:sz w:val="14"/>
              </w:rPr>
              <w:t> </w:t>
            </w:r>
            <w:r>
              <w:rPr>
                <w:sz w:val="14"/>
              </w:rPr>
              <w:t>$1M</w:t>
            </w:r>
            <w:r>
              <w:rPr>
                <w:spacing w:val="-5"/>
                <w:sz w:val="14"/>
              </w:rPr>
              <w:t> </w:t>
            </w:r>
            <w:r>
              <w:rPr>
                <w:sz w:val="14"/>
              </w:rPr>
              <w:t>Section</w:t>
            </w:r>
            <w:r>
              <w:rPr>
                <w:spacing w:val="-3"/>
                <w:sz w:val="14"/>
              </w:rPr>
              <w:t> </w:t>
            </w:r>
            <w:r>
              <w:rPr>
                <w:sz w:val="14"/>
              </w:rPr>
              <w:t>72</w:t>
            </w:r>
            <w:r>
              <w:rPr>
                <w:spacing w:val="-5"/>
                <w:sz w:val="14"/>
              </w:rPr>
              <w:t> </w:t>
            </w:r>
            <w:r>
              <w:rPr>
                <w:sz w:val="14"/>
              </w:rPr>
              <w:t>Amendment</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1,661.60</w:t>
            </w:r>
          </w:p>
        </w:tc>
        <w:tc>
          <w:tcPr>
            <w:tcW w:w="995" w:type="dxa"/>
          </w:tcPr>
          <w:p>
            <w:pPr>
              <w:pStyle w:val="TableParagraph"/>
              <w:spacing w:line="140" w:lineRule="exact" w:before="17"/>
              <w:ind w:right="101"/>
              <w:jc w:val="right"/>
              <w:rPr>
                <w:sz w:val="14"/>
              </w:rPr>
            </w:pPr>
            <w:r>
              <w:rPr>
                <w:spacing w:val="-2"/>
                <w:sz w:val="14"/>
              </w:rPr>
              <w:t>1,706.50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other</w:t>
            </w:r>
            <w:r>
              <w:rPr>
                <w:spacing w:val="-2"/>
                <w:sz w:val="14"/>
              </w:rPr>
              <w:t> </w:t>
            </w:r>
            <w:r>
              <w:rPr>
                <w:sz w:val="14"/>
              </w:rPr>
              <w:t>development</w:t>
            </w:r>
            <w:r>
              <w:rPr>
                <w:spacing w:val="-2"/>
                <w:sz w:val="14"/>
              </w:rPr>
              <w:t> </w:t>
            </w:r>
            <w:r>
              <w:rPr>
                <w:sz w:val="14"/>
              </w:rPr>
              <w:t>Class</w:t>
            </w:r>
            <w:r>
              <w:rPr>
                <w:spacing w:val="-3"/>
                <w:sz w:val="14"/>
              </w:rPr>
              <w:t> </w:t>
            </w:r>
            <w:r>
              <w:rPr>
                <w:sz w:val="14"/>
              </w:rPr>
              <w:t>13</w:t>
            </w:r>
            <w:r>
              <w:rPr>
                <w:spacing w:val="-2"/>
                <w:sz w:val="14"/>
              </w:rPr>
              <w:t> </w:t>
            </w:r>
            <w:r>
              <w:rPr>
                <w:sz w:val="14"/>
              </w:rPr>
              <w:t>-more</w:t>
            </w:r>
            <w:r>
              <w:rPr>
                <w:spacing w:val="-5"/>
                <w:sz w:val="14"/>
              </w:rPr>
              <w:t> </w:t>
            </w:r>
            <w:r>
              <w:rPr>
                <w:sz w:val="14"/>
              </w:rPr>
              <w:t>than</w:t>
            </w:r>
            <w:r>
              <w:rPr>
                <w:spacing w:val="-2"/>
                <w:sz w:val="14"/>
              </w:rPr>
              <w:t> </w:t>
            </w:r>
            <w:r>
              <w:rPr>
                <w:sz w:val="14"/>
              </w:rPr>
              <w:t>$1M</w:t>
            </w:r>
            <w:r>
              <w:rPr>
                <w:spacing w:val="-5"/>
                <w:sz w:val="14"/>
              </w:rPr>
              <w:t> </w:t>
            </w:r>
            <w:r>
              <w:rPr>
                <w:sz w:val="14"/>
              </w:rPr>
              <w:t>to</w:t>
            </w:r>
            <w:r>
              <w:rPr>
                <w:spacing w:val="-4"/>
                <w:sz w:val="14"/>
              </w:rPr>
              <w:t> </w:t>
            </w:r>
            <w:r>
              <w:rPr>
                <w:sz w:val="14"/>
              </w:rPr>
              <w:t>$5M</w:t>
            </w:r>
            <w:r>
              <w:rPr>
                <w:spacing w:val="-5"/>
                <w:sz w:val="14"/>
              </w:rPr>
              <w:t> </w:t>
            </w:r>
            <w:r>
              <w:rPr>
                <w:sz w:val="14"/>
              </w:rPr>
              <w:t>Application</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3,665.00</w:t>
            </w:r>
          </w:p>
        </w:tc>
        <w:tc>
          <w:tcPr>
            <w:tcW w:w="995" w:type="dxa"/>
          </w:tcPr>
          <w:p>
            <w:pPr>
              <w:pStyle w:val="TableParagraph"/>
              <w:spacing w:line="140" w:lineRule="exact" w:before="17"/>
              <w:ind w:right="101"/>
              <w:jc w:val="right"/>
              <w:rPr>
                <w:sz w:val="14"/>
              </w:rPr>
            </w:pPr>
            <w:r>
              <w:rPr>
                <w:spacing w:val="-2"/>
                <w:sz w:val="14"/>
              </w:rPr>
              <w:t>3,764.10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other</w:t>
            </w:r>
            <w:r>
              <w:rPr>
                <w:spacing w:val="-2"/>
                <w:sz w:val="14"/>
              </w:rPr>
              <w:t> </w:t>
            </w:r>
            <w:r>
              <w:rPr>
                <w:sz w:val="14"/>
              </w:rPr>
              <w:t>development</w:t>
            </w:r>
            <w:r>
              <w:rPr>
                <w:spacing w:val="-2"/>
                <w:sz w:val="14"/>
              </w:rPr>
              <w:t> </w:t>
            </w:r>
            <w:r>
              <w:rPr>
                <w:sz w:val="14"/>
              </w:rPr>
              <w:t>Class</w:t>
            </w:r>
            <w:r>
              <w:rPr>
                <w:spacing w:val="-3"/>
                <w:sz w:val="14"/>
              </w:rPr>
              <w:t> </w:t>
            </w:r>
            <w:r>
              <w:rPr>
                <w:sz w:val="14"/>
              </w:rPr>
              <w:t>13</w:t>
            </w:r>
            <w:r>
              <w:rPr>
                <w:spacing w:val="-2"/>
                <w:sz w:val="14"/>
              </w:rPr>
              <w:t> </w:t>
            </w:r>
            <w:r>
              <w:rPr>
                <w:sz w:val="14"/>
              </w:rPr>
              <w:t>-more</w:t>
            </w:r>
            <w:r>
              <w:rPr>
                <w:spacing w:val="-5"/>
                <w:sz w:val="14"/>
              </w:rPr>
              <w:t> </w:t>
            </w:r>
            <w:r>
              <w:rPr>
                <w:sz w:val="14"/>
              </w:rPr>
              <w:t>than</w:t>
            </w:r>
            <w:r>
              <w:rPr>
                <w:spacing w:val="-3"/>
                <w:sz w:val="14"/>
              </w:rPr>
              <w:t> </w:t>
            </w:r>
            <w:r>
              <w:rPr>
                <w:sz w:val="14"/>
              </w:rPr>
              <w:t>$1M</w:t>
            </w:r>
            <w:r>
              <w:rPr>
                <w:spacing w:val="-5"/>
                <w:sz w:val="14"/>
              </w:rPr>
              <w:t> </w:t>
            </w:r>
            <w:r>
              <w:rPr>
                <w:sz w:val="14"/>
              </w:rPr>
              <w:t>to</w:t>
            </w:r>
            <w:r>
              <w:rPr>
                <w:spacing w:val="-3"/>
                <w:sz w:val="14"/>
              </w:rPr>
              <w:t> </w:t>
            </w:r>
            <w:r>
              <w:rPr>
                <w:sz w:val="14"/>
              </w:rPr>
              <w:t>$5M</w:t>
            </w:r>
            <w:r>
              <w:rPr>
                <w:spacing w:val="-5"/>
                <w:sz w:val="14"/>
              </w:rPr>
              <w:t> </w:t>
            </w:r>
            <w:r>
              <w:rPr>
                <w:sz w:val="14"/>
              </w:rPr>
              <w:t>Section</w:t>
            </w:r>
            <w:r>
              <w:rPr>
                <w:spacing w:val="-3"/>
                <w:sz w:val="14"/>
              </w:rPr>
              <w:t> </w:t>
            </w:r>
            <w:r>
              <w:rPr>
                <w:sz w:val="14"/>
              </w:rPr>
              <w:t>72</w:t>
            </w:r>
            <w:r>
              <w:rPr>
                <w:spacing w:val="-3"/>
                <w:sz w:val="14"/>
              </w:rPr>
              <w:t> </w:t>
            </w:r>
            <w:r>
              <w:rPr>
                <w:sz w:val="14"/>
              </w:rPr>
              <w:t>Amendment</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3,665.00</w:t>
            </w:r>
          </w:p>
        </w:tc>
        <w:tc>
          <w:tcPr>
            <w:tcW w:w="995" w:type="dxa"/>
          </w:tcPr>
          <w:p>
            <w:pPr>
              <w:pStyle w:val="TableParagraph"/>
              <w:spacing w:line="140" w:lineRule="exact" w:before="17"/>
              <w:ind w:right="101"/>
              <w:jc w:val="right"/>
              <w:rPr>
                <w:sz w:val="14"/>
              </w:rPr>
            </w:pPr>
            <w:r>
              <w:rPr>
                <w:spacing w:val="-2"/>
                <w:sz w:val="14"/>
              </w:rPr>
              <w:t>3,764.10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4"/>
                <w:sz w:val="14"/>
              </w:rPr>
              <w:t> </w:t>
            </w:r>
            <w:r>
              <w:rPr>
                <w:sz w:val="14"/>
              </w:rPr>
              <w:t>other</w:t>
            </w:r>
            <w:r>
              <w:rPr>
                <w:spacing w:val="-3"/>
                <w:sz w:val="14"/>
              </w:rPr>
              <w:t> </w:t>
            </w:r>
            <w:r>
              <w:rPr>
                <w:sz w:val="14"/>
              </w:rPr>
              <w:t>development</w:t>
            </w:r>
            <w:r>
              <w:rPr>
                <w:spacing w:val="-2"/>
                <w:sz w:val="14"/>
              </w:rPr>
              <w:t> </w:t>
            </w:r>
            <w:r>
              <w:rPr>
                <w:sz w:val="14"/>
              </w:rPr>
              <w:t>Class</w:t>
            </w:r>
            <w:r>
              <w:rPr>
                <w:spacing w:val="-2"/>
                <w:sz w:val="14"/>
              </w:rPr>
              <w:t> </w:t>
            </w:r>
            <w:r>
              <w:rPr>
                <w:sz w:val="14"/>
              </w:rPr>
              <w:t>14</w:t>
            </w:r>
            <w:r>
              <w:rPr>
                <w:spacing w:val="-2"/>
                <w:sz w:val="14"/>
              </w:rPr>
              <w:t> </w:t>
            </w:r>
            <w:r>
              <w:rPr>
                <w:sz w:val="14"/>
              </w:rPr>
              <w:t>-</w:t>
            </w:r>
            <w:r>
              <w:rPr>
                <w:spacing w:val="-5"/>
                <w:sz w:val="14"/>
              </w:rPr>
              <w:t> </w:t>
            </w:r>
            <w:r>
              <w:rPr>
                <w:sz w:val="14"/>
              </w:rPr>
              <w:t>more</w:t>
            </w:r>
            <w:r>
              <w:rPr>
                <w:spacing w:val="-3"/>
                <w:sz w:val="14"/>
              </w:rPr>
              <w:t> </w:t>
            </w:r>
            <w:r>
              <w:rPr>
                <w:sz w:val="14"/>
              </w:rPr>
              <w:t>than</w:t>
            </w:r>
            <w:r>
              <w:rPr>
                <w:spacing w:val="-5"/>
                <w:sz w:val="14"/>
              </w:rPr>
              <w:t> </w:t>
            </w:r>
            <w:r>
              <w:rPr>
                <w:sz w:val="14"/>
              </w:rPr>
              <w:t>$5M</w:t>
            </w:r>
            <w:r>
              <w:rPr>
                <w:spacing w:val="-2"/>
                <w:sz w:val="14"/>
              </w:rPr>
              <w:t> </w:t>
            </w:r>
            <w:r>
              <w:rPr>
                <w:sz w:val="14"/>
              </w:rPr>
              <w:t>to</w:t>
            </w:r>
            <w:r>
              <w:rPr>
                <w:spacing w:val="-3"/>
                <w:sz w:val="14"/>
              </w:rPr>
              <w:t> </w:t>
            </w:r>
            <w:r>
              <w:rPr>
                <w:sz w:val="14"/>
              </w:rPr>
              <w:t>$15M</w:t>
            </w:r>
            <w:r>
              <w:rPr>
                <w:spacing w:val="-5"/>
                <w:sz w:val="14"/>
              </w:rPr>
              <w:t> </w:t>
            </w:r>
            <w:r>
              <w:rPr>
                <w:sz w:val="14"/>
              </w:rPr>
              <w:t>Application</w:t>
            </w:r>
            <w:r>
              <w:rPr>
                <w:spacing w:val="-6"/>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9,431.30</w:t>
            </w:r>
          </w:p>
        </w:tc>
        <w:tc>
          <w:tcPr>
            <w:tcW w:w="995" w:type="dxa"/>
          </w:tcPr>
          <w:p>
            <w:pPr>
              <w:pStyle w:val="TableParagraph"/>
              <w:spacing w:line="140" w:lineRule="exact" w:before="17"/>
              <w:ind w:right="101"/>
              <w:jc w:val="right"/>
              <w:rPr>
                <w:sz w:val="14"/>
              </w:rPr>
            </w:pPr>
            <w:r>
              <w:rPr>
                <w:spacing w:val="-2"/>
                <w:sz w:val="14"/>
              </w:rPr>
              <w:t>9,593.90</w:t>
            </w:r>
          </w:p>
        </w:tc>
        <w:tc>
          <w:tcPr>
            <w:tcW w:w="861" w:type="dxa"/>
          </w:tcPr>
          <w:p>
            <w:pPr>
              <w:pStyle w:val="TableParagraph"/>
              <w:spacing w:line="140" w:lineRule="exact" w:before="17"/>
              <w:ind w:left="152" w:right="154"/>
              <w:jc w:val="center"/>
              <w:rPr>
                <w:sz w:val="14"/>
              </w:rPr>
            </w:pPr>
            <w:r>
              <w:rPr>
                <w:spacing w:val="-5"/>
                <w:sz w:val="14"/>
              </w:rPr>
              <w:t>1.7</w:t>
            </w:r>
          </w:p>
        </w:tc>
      </w:tr>
      <w:tr>
        <w:trPr>
          <w:trHeight w:val="177" w:hRule="atLeast"/>
        </w:trPr>
        <w:tc>
          <w:tcPr>
            <w:tcW w:w="5794" w:type="dxa"/>
          </w:tcPr>
          <w:p>
            <w:pPr>
              <w:pStyle w:val="TableParagraph"/>
              <w:spacing w:line="140" w:lineRule="exact" w:before="17"/>
              <w:ind w:left="107"/>
              <w:rPr>
                <w:sz w:val="14"/>
              </w:rPr>
            </w:pPr>
            <w:r>
              <w:rPr>
                <w:sz w:val="14"/>
              </w:rPr>
              <w:t>All</w:t>
            </w:r>
            <w:r>
              <w:rPr>
                <w:spacing w:val="-4"/>
                <w:sz w:val="14"/>
              </w:rPr>
              <w:t> </w:t>
            </w:r>
            <w:r>
              <w:rPr>
                <w:sz w:val="14"/>
              </w:rPr>
              <w:t>other</w:t>
            </w:r>
            <w:r>
              <w:rPr>
                <w:spacing w:val="-2"/>
                <w:sz w:val="14"/>
              </w:rPr>
              <w:t> </w:t>
            </w:r>
            <w:r>
              <w:rPr>
                <w:sz w:val="14"/>
              </w:rPr>
              <w:t>development</w:t>
            </w:r>
            <w:r>
              <w:rPr>
                <w:spacing w:val="-2"/>
                <w:sz w:val="14"/>
              </w:rPr>
              <w:t> </w:t>
            </w:r>
            <w:r>
              <w:rPr>
                <w:sz w:val="14"/>
              </w:rPr>
              <w:t>Class</w:t>
            </w:r>
            <w:r>
              <w:rPr>
                <w:spacing w:val="-2"/>
                <w:sz w:val="14"/>
              </w:rPr>
              <w:t> </w:t>
            </w:r>
            <w:r>
              <w:rPr>
                <w:sz w:val="14"/>
              </w:rPr>
              <w:t>14</w:t>
            </w:r>
            <w:r>
              <w:rPr>
                <w:spacing w:val="-3"/>
                <w:sz w:val="14"/>
              </w:rPr>
              <w:t> </w:t>
            </w:r>
            <w:r>
              <w:rPr>
                <w:sz w:val="14"/>
              </w:rPr>
              <w:t>-</w:t>
            </w:r>
            <w:r>
              <w:rPr>
                <w:spacing w:val="-4"/>
                <w:sz w:val="14"/>
              </w:rPr>
              <w:t> </w:t>
            </w:r>
            <w:r>
              <w:rPr>
                <w:sz w:val="14"/>
              </w:rPr>
              <w:t>more</w:t>
            </w:r>
            <w:r>
              <w:rPr>
                <w:spacing w:val="-3"/>
                <w:sz w:val="14"/>
              </w:rPr>
              <w:t> </w:t>
            </w:r>
            <w:r>
              <w:rPr>
                <w:sz w:val="14"/>
              </w:rPr>
              <w:t>than</w:t>
            </w:r>
            <w:r>
              <w:rPr>
                <w:spacing w:val="-5"/>
                <w:sz w:val="14"/>
              </w:rPr>
              <w:t> </w:t>
            </w:r>
            <w:r>
              <w:rPr>
                <w:sz w:val="14"/>
              </w:rPr>
              <w:t>$5M</w:t>
            </w:r>
            <w:r>
              <w:rPr>
                <w:spacing w:val="-2"/>
                <w:sz w:val="14"/>
              </w:rPr>
              <w:t> </w:t>
            </w:r>
            <w:r>
              <w:rPr>
                <w:sz w:val="14"/>
              </w:rPr>
              <w:t>to</w:t>
            </w:r>
            <w:r>
              <w:rPr>
                <w:spacing w:val="-3"/>
                <w:sz w:val="14"/>
              </w:rPr>
              <w:t> </w:t>
            </w:r>
            <w:r>
              <w:rPr>
                <w:sz w:val="14"/>
              </w:rPr>
              <w:t>$15M</w:t>
            </w:r>
            <w:r>
              <w:rPr>
                <w:spacing w:val="-5"/>
                <w:sz w:val="14"/>
              </w:rPr>
              <w:t> </w:t>
            </w:r>
            <w:r>
              <w:rPr>
                <w:sz w:val="14"/>
              </w:rPr>
              <w:t>Section</w:t>
            </w:r>
            <w:r>
              <w:rPr>
                <w:spacing w:val="-1"/>
                <w:sz w:val="14"/>
              </w:rPr>
              <w:t> </w:t>
            </w:r>
            <w:r>
              <w:rPr>
                <w:sz w:val="14"/>
              </w:rPr>
              <w:t>72</w:t>
            </w:r>
            <w:r>
              <w:rPr>
                <w:spacing w:val="-5"/>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3,665.00</w:t>
            </w:r>
          </w:p>
        </w:tc>
        <w:tc>
          <w:tcPr>
            <w:tcW w:w="995" w:type="dxa"/>
          </w:tcPr>
          <w:p>
            <w:pPr>
              <w:pStyle w:val="TableParagraph"/>
              <w:spacing w:line="140" w:lineRule="exact" w:before="17"/>
              <w:ind w:right="101"/>
              <w:jc w:val="right"/>
              <w:rPr>
                <w:sz w:val="14"/>
              </w:rPr>
            </w:pPr>
            <w:r>
              <w:rPr>
                <w:spacing w:val="-2"/>
                <w:sz w:val="14"/>
              </w:rPr>
              <w:t>3,764.10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4"/>
                <w:sz w:val="14"/>
              </w:rPr>
              <w:t> </w:t>
            </w:r>
            <w:r>
              <w:rPr>
                <w:sz w:val="14"/>
              </w:rPr>
              <w:t>other</w:t>
            </w:r>
            <w:r>
              <w:rPr>
                <w:spacing w:val="-3"/>
                <w:sz w:val="14"/>
              </w:rPr>
              <w:t> </w:t>
            </w:r>
            <w:r>
              <w:rPr>
                <w:sz w:val="14"/>
              </w:rPr>
              <w:t>development</w:t>
            </w:r>
            <w:r>
              <w:rPr>
                <w:spacing w:val="-2"/>
                <w:sz w:val="14"/>
              </w:rPr>
              <w:t> </w:t>
            </w:r>
            <w:r>
              <w:rPr>
                <w:sz w:val="14"/>
              </w:rPr>
              <w:t>Class</w:t>
            </w:r>
            <w:r>
              <w:rPr>
                <w:spacing w:val="-2"/>
                <w:sz w:val="14"/>
              </w:rPr>
              <w:t> </w:t>
            </w:r>
            <w:r>
              <w:rPr>
                <w:sz w:val="14"/>
              </w:rPr>
              <w:t>15</w:t>
            </w:r>
            <w:r>
              <w:rPr>
                <w:spacing w:val="-2"/>
                <w:sz w:val="14"/>
              </w:rPr>
              <w:t> </w:t>
            </w:r>
            <w:r>
              <w:rPr>
                <w:sz w:val="14"/>
              </w:rPr>
              <w:t>-</w:t>
            </w:r>
            <w:r>
              <w:rPr>
                <w:spacing w:val="-5"/>
                <w:sz w:val="14"/>
              </w:rPr>
              <w:t> </w:t>
            </w:r>
            <w:r>
              <w:rPr>
                <w:sz w:val="14"/>
              </w:rPr>
              <w:t>more</w:t>
            </w:r>
            <w:r>
              <w:rPr>
                <w:spacing w:val="-3"/>
                <w:sz w:val="14"/>
              </w:rPr>
              <w:t> </w:t>
            </w:r>
            <w:r>
              <w:rPr>
                <w:sz w:val="14"/>
              </w:rPr>
              <w:t>than</w:t>
            </w:r>
            <w:r>
              <w:rPr>
                <w:spacing w:val="-5"/>
                <w:sz w:val="14"/>
              </w:rPr>
              <w:t> </w:t>
            </w:r>
            <w:r>
              <w:rPr>
                <w:sz w:val="14"/>
              </w:rPr>
              <w:t>$15M</w:t>
            </w:r>
            <w:r>
              <w:rPr>
                <w:spacing w:val="-5"/>
                <w:sz w:val="14"/>
              </w:rPr>
              <w:t> </w:t>
            </w:r>
            <w:r>
              <w:rPr>
                <w:sz w:val="14"/>
              </w:rPr>
              <w:t>to</w:t>
            </w:r>
            <w:r>
              <w:rPr>
                <w:spacing w:val="-4"/>
                <w:sz w:val="14"/>
              </w:rPr>
              <w:t> </w:t>
            </w:r>
            <w:r>
              <w:rPr>
                <w:sz w:val="14"/>
              </w:rPr>
              <w:t>$50M</w:t>
            </w:r>
            <w:r>
              <w:rPr>
                <w:spacing w:val="-5"/>
                <w:sz w:val="14"/>
              </w:rPr>
              <w:t> </w:t>
            </w:r>
            <w:r>
              <w:rPr>
                <w:sz w:val="14"/>
              </w:rPr>
              <w:t>Application</w:t>
            </w:r>
            <w:r>
              <w:rPr>
                <w:spacing w:val="-1"/>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1"/>
              <w:jc w:val="right"/>
              <w:rPr>
                <w:sz w:val="14"/>
              </w:rPr>
            </w:pPr>
            <w:r>
              <w:rPr>
                <w:spacing w:val="-2"/>
                <w:sz w:val="14"/>
              </w:rPr>
              <w:t>27,546.80</w:t>
            </w:r>
          </w:p>
        </w:tc>
        <w:tc>
          <w:tcPr>
            <w:tcW w:w="995" w:type="dxa"/>
          </w:tcPr>
          <w:p>
            <w:pPr>
              <w:pStyle w:val="TableParagraph"/>
              <w:spacing w:line="140" w:lineRule="exact" w:before="17"/>
              <w:ind w:right="102"/>
              <w:jc w:val="right"/>
              <w:rPr>
                <w:sz w:val="14"/>
              </w:rPr>
            </w:pPr>
            <w:r>
              <w:rPr>
                <w:spacing w:val="-2"/>
                <w:sz w:val="14"/>
              </w:rPr>
              <w:t>28,291.70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All</w:t>
            </w:r>
            <w:r>
              <w:rPr>
                <w:spacing w:val="-4"/>
                <w:sz w:val="14"/>
              </w:rPr>
              <w:t> </w:t>
            </w:r>
            <w:r>
              <w:rPr>
                <w:sz w:val="14"/>
              </w:rPr>
              <w:t>other</w:t>
            </w:r>
            <w:r>
              <w:rPr>
                <w:spacing w:val="-2"/>
                <w:sz w:val="14"/>
              </w:rPr>
              <w:t> </w:t>
            </w:r>
            <w:r>
              <w:rPr>
                <w:sz w:val="14"/>
              </w:rPr>
              <w:t>development</w:t>
            </w:r>
            <w:r>
              <w:rPr>
                <w:spacing w:val="-2"/>
                <w:sz w:val="14"/>
              </w:rPr>
              <w:t> </w:t>
            </w:r>
            <w:r>
              <w:rPr>
                <w:sz w:val="14"/>
              </w:rPr>
              <w:t>Class</w:t>
            </w:r>
            <w:r>
              <w:rPr>
                <w:spacing w:val="-2"/>
                <w:sz w:val="14"/>
              </w:rPr>
              <w:t> </w:t>
            </w:r>
            <w:r>
              <w:rPr>
                <w:sz w:val="14"/>
              </w:rPr>
              <w:t>15</w:t>
            </w:r>
            <w:r>
              <w:rPr>
                <w:spacing w:val="-2"/>
                <w:sz w:val="14"/>
              </w:rPr>
              <w:t> </w:t>
            </w:r>
            <w:r>
              <w:rPr>
                <w:sz w:val="14"/>
              </w:rPr>
              <w:t>-</w:t>
            </w:r>
            <w:r>
              <w:rPr>
                <w:spacing w:val="-5"/>
                <w:sz w:val="14"/>
              </w:rPr>
              <w:t> </w:t>
            </w:r>
            <w:r>
              <w:rPr>
                <w:sz w:val="14"/>
              </w:rPr>
              <w:t>more</w:t>
            </w:r>
            <w:r>
              <w:rPr>
                <w:spacing w:val="-3"/>
                <w:sz w:val="14"/>
              </w:rPr>
              <w:t> </w:t>
            </w:r>
            <w:r>
              <w:rPr>
                <w:sz w:val="14"/>
              </w:rPr>
              <w:t>than</w:t>
            </w:r>
            <w:r>
              <w:rPr>
                <w:spacing w:val="-5"/>
                <w:sz w:val="14"/>
              </w:rPr>
              <w:t> </w:t>
            </w:r>
            <w:r>
              <w:rPr>
                <w:sz w:val="14"/>
              </w:rPr>
              <w:t>$15M</w:t>
            </w:r>
            <w:r>
              <w:rPr>
                <w:spacing w:val="-5"/>
                <w:sz w:val="14"/>
              </w:rPr>
              <w:t> </w:t>
            </w:r>
            <w:r>
              <w:rPr>
                <w:sz w:val="14"/>
              </w:rPr>
              <w:t>to</w:t>
            </w:r>
            <w:r>
              <w:rPr>
                <w:spacing w:val="-3"/>
                <w:sz w:val="14"/>
              </w:rPr>
              <w:t> </w:t>
            </w:r>
            <w:r>
              <w:rPr>
                <w:sz w:val="14"/>
              </w:rPr>
              <w:t>$50M</w:t>
            </w:r>
            <w:r>
              <w:rPr>
                <w:spacing w:val="-5"/>
                <w:sz w:val="14"/>
              </w:rPr>
              <w:t> </w:t>
            </w:r>
            <w:r>
              <w:rPr>
                <w:sz w:val="14"/>
              </w:rPr>
              <w:t>Section</w:t>
            </w:r>
            <w:r>
              <w:rPr>
                <w:spacing w:val="-3"/>
                <w:sz w:val="14"/>
              </w:rPr>
              <w:t> </w:t>
            </w:r>
            <w:r>
              <w:rPr>
                <w:sz w:val="14"/>
              </w:rPr>
              <w:t>72</w:t>
            </w:r>
            <w:r>
              <w:rPr>
                <w:spacing w:val="-5"/>
                <w:sz w:val="14"/>
              </w:rPr>
              <w:t> </w:t>
            </w:r>
            <w:r>
              <w:rPr>
                <w:sz w:val="14"/>
              </w:rPr>
              <w:t>Amendment</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3,665.00</w:t>
            </w:r>
          </w:p>
        </w:tc>
        <w:tc>
          <w:tcPr>
            <w:tcW w:w="995" w:type="dxa"/>
          </w:tcPr>
          <w:p>
            <w:pPr>
              <w:pStyle w:val="TableParagraph"/>
              <w:spacing w:line="140" w:lineRule="exact" w:before="17"/>
              <w:ind w:right="101"/>
              <w:jc w:val="right"/>
              <w:rPr>
                <w:sz w:val="14"/>
              </w:rPr>
            </w:pPr>
            <w:r>
              <w:rPr>
                <w:spacing w:val="-2"/>
                <w:sz w:val="14"/>
              </w:rPr>
              <w:t>3,764.10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2" w:lineRule="exact" w:before="15"/>
              <w:ind w:left="107"/>
              <w:rPr>
                <w:sz w:val="14"/>
              </w:rPr>
            </w:pPr>
            <w:r>
              <w:rPr>
                <w:sz w:val="14"/>
              </w:rPr>
              <w:t>All</w:t>
            </w:r>
            <w:r>
              <w:rPr>
                <w:spacing w:val="-5"/>
                <w:sz w:val="14"/>
              </w:rPr>
              <w:t> </w:t>
            </w:r>
            <w:r>
              <w:rPr>
                <w:sz w:val="14"/>
              </w:rPr>
              <w:t>other</w:t>
            </w:r>
            <w:r>
              <w:rPr>
                <w:spacing w:val="-2"/>
                <w:sz w:val="14"/>
              </w:rPr>
              <w:t> </w:t>
            </w:r>
            <w:r>
              <w:rPr>
                <w:sz w:val="14"/>
              </w:rPr>
              <w:t>development</w:t>
            </w:r>
            <w:r>
              <w:rPr>
                <w:spacing w:val="-3"/>
                <w:sz w:val="14"/>
              </w:rPr>
              <w:t> </w:t>
            </w:r>
            <w:r>
              <w:rPr>
                <w:sz w:val="14"/>
              </w:rPr>
              <w:t>Class</w:t>
            </w:r>
            <w:r>
              <w:rPr>
                <w:spacing w:val="-2"/>
                <w:sz w:val="14"/>
              </w:rPr>
              <w:t> </w:t>
            </w:r>
            <w:r>
              <w:rPr>
                <w:sz w:val="14"/>
              </w:rPr>
              <w:t>16</w:t>
            </w:r>
            <w:r>
              <w:rPr>
                <w:spacing w:val="-3"/>
                <w:sz w:val="14"/>
              </w:rPr>
              <w:t> </w:t>
            </w:r>
            <w:r>
              <w:rPr>
                <w:sz w:val="14"/>
              </w:rPr>
              <w:t>-</w:t>
            </w:r>
            <w:r>
              <w:rPr>
                <w:spacing w:val="-5"/>
                <w:sz w:val="14"/>
              </w:rPr>
              <w:t> </w:t>
            </w:r>
            <w:r>
              <w:rPr>
                <w:sz w:val="14"/>
              </w:rPr>
              <w:t>more</w:t>
            </w:r>
            <w:r>
              <w:rPr>
                <w:spacing w:val="-2"/>
                <w:sz w:val="14"/>
              </w:rPr>
              <w:t> </w:t>
            </w:r>
            <w:r>
              <w:rPr>
                <w:sz w:val="14"/>
              </w:rPr>
              <w:t>than</w:t>
            </w:r>
            <w:r>
              <w:rPr>
                <w:spacing w:val="-5"/>
                <w:sz w:val="14"/>
              </w:rPr>
              <w:t> </w:t>
            </w:r>
            <w:r>
              <w:rPr>
                <w:sz w:val="14"/>
              </w:rPr>
              <w:t>$50M</w:t>
            </w:r>
            <w:r>
              <w:rPr>
                <w:spacing w:val="-5"/>
                <w:sz w:val="14"/>
              </w:rPr>
              <w:t> </w:t>
            </w:r>
            <w:r>
              <w:rPr>
                <w:sz w:val="14"/>
              </w:rPr>
              <w:t>Application</w:t>
            </w:r>
            <w:r>
              <w:rPr>
                <w:spacing w:val="-2"/>
                <w:sz w:val="14"/>
              </w:rPr>
              <w:t> </w:t>
            </w:r>
            <w:r>
              <w:rPr>
                <w:spacing w:val="-5"/>
                <w:sz w:val="14"/>
              </w:rPr>
              <w:t>fee</w:t>
            </w:r>
          </w:p>
        </w:tc>
        <w:tc>
          <w:tcPr>
            <w:tcW w:w="1131" w:type="dxa"/>
          </w:tcPr>
          <w:p>
            <w:pPr>
              <w:pStyle w:val="TableParagraph"/>
              <w:spacing w:line="142" w:lineRule="exact" w:before="15"/>
              <w:ind w:left="6"/>
              <w:jc w:val="center"/>
              <w:rPr>
                <w:sz w:val="14"/>
              </w:rPr>
            </w:pPr>
            <w:r>
              <w:rPr>
                <w:w w:val="99"/>
                <w:sz w:val="14"/>
              </w:rPr>
              <w:t>S</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1"/>
              <w:jc w:val="right"/>
              <w:rPr>
                <w:sz w:val="14"/>
              </w:rPr>
            </w:pPr>
            <w:r>
              <w:rPr>
                <w:spacing w:val="-2"/>
                <w:sz w:val="14"/>
              </w:rPr>
              <w:t>61,914.60</w:t>
            </w:r>
          </w:p>
        </w:tc>
        <w:tc>
          <w:tcPr>
            <w:tcW w:w="995" w:type="dxa"/>
          </w:tcPr>
          <w:p>
            <w:pPr>
              <w:pStyle w:val="TableParagraph"/>
              <w:spacing w:line="142" w:lineRule="exact" w:before="15"/>
              <w:ind w:right="101"/>
              <w:jc w:val="right"/>
              <w:rPr>
                <w:sz w:val="14"/>
              </w:rPr>
            </w:pPr>
            <w:r>
              <w:rPr>
                <w:spacing w:val="-2"/>
                <w:sz w:val="14"/>
              </w:rPr>
              <w:t>63,589.00</w:t>
            </w:r>
          </w:p>
        </w:tc>
        <w:tc>
          <w:tcPr>
            <w:tcW w:w="861" w:type="dxa"/>
          </w:tcPr>
          <w:p>
            <w:pPr>
              <w:pStyle w:val="TableParagraph"/>
              <w:spacing w:line="142" w:lineRule="exact" w:before="15"/>
              <w:ind w:left="152" w:right="154"/>
              <w:jc w:val="center"/>
              <w:rPr>
                <w:sz w:val="14"/>
              </w:rPr>
            </w:pPr>
            <w:r>
              <w:rPr>
                <w:spacing w:val="-5"/>
                <w:sz w:val="14"/>
              </w:rPr>
              <w:t>2.6</w:t>
            </w:r>
          </w:p>
        </w:tc>
      </w:tr>
      <w:tr>
        <w:trPr>
          <w:trHeight w:val="174" w:hRule="atLeast"/>
        </w:trPr>
        <w:tc>
          <w:tcPr>
            <w:tcW w:w="5794" w:type="dxa"/>
          </w:tcPr>
          <w:p>
            <w:pPr>
              <w:pStyle w:val="TableParagraph"/>
              <w:spacing w:line="140" w:lineRule="exact" w:before="15"/>
              <w:ind w:left="107"/>
              <w:rPr>
                <w:sz w:val="14"/>
              </w:rPr>
            </w:pPr>
            <w:r>
              <w:rPr>
                <w:sz w:val="14"/>
              </w:rPr>
              <w:t>All</w:t>
            </w:r>
            <w:r>
              <w:rPr>
                <w:spacing w:val="-5"/>
                <w:sz w:val="14"/>
              </w:rPr>
              <w:t> </w:t>
            </w:r>
            <w:r>
              <w:rPr>
                <w:sz w:val="14"/>
              </w:rPr>
              <w:t>other</w:t>
            </w:r>
            <w:r>
              <w:rPr>
                <w:spacing w:val="-2"/>
                <w:sz w:val="14"/>
              </w:rPr>
              <w:t> </w:t>
            </w:r>
            <w:r>
              <w:rPr>
                <w:sz w:val="14"/>
              </w:rPr>
              <w:t>development</w:t>
            </w:r>
            <w:r>
              <w:rPr>
                <w:spacing w:val="-3"/>
                <w:sz w:val="14"/>
              </w:rPr>
              <w:t> </w:t>
            </w:r>
            <w:r>
              <w:rPr>
                <w:sz w:val="14"/>
              </w:rPr>
              <w:t>Class</w:t>
            </w:r>
            <w:r>
              <w:rPr>
                <w:spacing w:val="-2"/>
                <w:sz w:val="14"/>
              </w:rPr>
              <w:t> </w:t>
            </w:r>
            <w:r>
              <w:rPr>
                <w:sz w:val="14"/>
              </w:rPr>
              <w:t>16</w:t>
            </w:r>
            <w:r>
              <w:rPr>
                <w:spacing w:val="-2"/>
                <w:sz w:val="14"/>
              </w:rPr>
              <w:t> </w:t>
            </w:r>
            <w:r>
              <w:rPr>
                <w:sz w:val="14"/>
              </w:rPr>
              <w:t>-</w:t>
            </w:r>
            <w:r>
              <w:rPr>
                <w:spacing w:val="-5"/>
                <w:sz w:val="14"/>
              </w:rPr>
              <w:t> </w:t>
            </w:r>
            <w:r>
              <w:rPr>
                <w:sz w:val="14"/>
              </w:rPr>
              <w:t>more</w:t>
            </w:r>
            <w:r>
              <w:rPr>
                <w:spacing w:val="-4"/>
                <w:sz w:val="14"/>
              </w:rPr>
              <w:t> </w:t>
            </w:r>
            <w:r>
              <w:rPr>
                <w:sz w:val="14"/>
              </w:rPr>
              <w:t>than</w:t>
            </w:r>
            <w:r>
              <w:rPr>
                <w:spacing w:val="-5"/>
                <w:sz w:val="14"/>
              </w:rPr>
              <w:t> </w:t>
            </w:r>
            <w:r>
              <w:rPr>
                <w:sz w:val="14"/>
              </w:rPr>
              <w:t>$50M</w:t>
            </w:r>
            <w:r>
              <w:rPr>
                <w:spacing w:val="-5"/>
                <w:sz w:val="14"/>
              </w:rPr>
              <w:t> </w:t>
            </w:r>
            <w:r>
              <w:rPr>
                <w:sz w:val="14"/>
              </w:rPr>
              <w:t>Section</w:t>
            </w:r>
            <w:r>
              <w:rPr>
                <w:spacing w:val="-3"/>
                <w:sz w:val="14"/>
              </w:rPr>
              <w:t> </w:t>
            </w:r>
            <w:r>
              <w:rPr>
                <w:sz w:val="14"/>
              </w:rPr>
              <w:t>72</w:t>
            </w:r>
            <w:r>
              <w:rPr>
                <w:spacing w:val="-6"/>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3,665.00</w:t>
            </w:r>
          </w:p>
        </w:tc>
        <w:tc>
          <w:tcPr>
            <w:tcW w:w="995" w:type="dxa"/>
          </w:tcPr>
          <w:p>
            <w:pPr>
              <w:pStyle w:val="TableParagraph"/>
              <w:spacing w:line="140" w:lineRule="exact" w:before="15"/>
              <w:ind w:right="101"/>
              <w:jc w:val="right"/>
              <w:rPr>
                <w:sz w:val="14"/>
              </w:rPr>
            </w:pPr>
            <w:r>
              <w:rPr>
                <w:spacing w:val="-2"/>
                <w:sz w:val="14"/>
              </w:rPr>
              <w:t>3,764.10</w:t>
            </w:r>
          </w:p>
        </w:tc>
        <w:tc>
          <w:tcPr>
            <w:tcW w:w="861" w:type="dxa"/>
          </w:tcPr>
          <w:p>
            <w:pPr>
              <w:pStyle w:val="TableParagraph"/>
              <w:spacing w:line="140" w:lineRule="exact" w:before="15"/>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Other</w:t>
            </w:r>
            <w:r>
              <w:rPr>
                <w:spacing w:val="-3"/>
                <w:sz w:val="14"/>
              </w:rPr>
              <w:t> </w:t>
            </w:r>
            <w:r>
              <w:rPr>
                <w:sz w:val="14"/>
              </w:rPr>
              <w:t>-</w:t>
            </w:r>
            <w:r>
              <w:rPr>
                <w:spacing w:val="-4"/>
                <w:sz w:val="14"/>
              </w:rPr>
              <w:t> </w:t>
            </w:r>
            <w:r>
              <w:rPr>
                <w:sz w:val="14"/>
              </w:rPr>
              <w:t>Class</w:t>
            </w:r>
            <w:r>
              <w:rPr>
                <w:spacing w:val="-4"/>
                <w:sz w:val="14"/>
              </w:rPr>
              <w:t> </w:t>
            </w:r>
            <w:r>
              <w:rPr>
                <w:sz w:val="14"/>
              </w:rPr>
              <w:t>22</w:t>
            </w:r>
            <w:r>
              <w:rPr>
                <w:spacing w:val="-4"/>
                <w:sz w:val="14"/>
              </w:rPr>
              <w:t> </w:t>
            </w:r>
            <w:r>
              <w:rPr>
                <w:sz w:val="14"/>
              </w:rPr>
              <w:t>-</w:t>
            </w:r>
            <w:r>
              <w:rPr>
                <w:spacing w:val="-1"/>
                <w:sz w:val="14"/>
              </w:rPr>
              <w:t> </w:t>
            </w:r>
            <w:r>
              <w:rPr>
                <w:sz w:val="14"/>
              </w:rPr>
              <w:t>A</w:t>
            </w:r>
            <w:r>
              <w:rPr>
                <w:spacing w:val="-3"/>
                <w:sz w:val="14"/>
              </w:rPr>
              <w:t> </w:t>
            </w:r>
            <w:r>
              <w:rPr>
                <w:sz w:val="14"/>
              </w:rPr>
              <w:t>permit</w:t>
            </w:r>
            <w:r>
              <w:rPr>
                <w:spacing w:val="-4"/>
                <w:sz w:val="14"/>
              </w:rPr>
              <w:t> </w:t>
            </w:r>
            <w:r>
              <w:rPr>
                <w:sz w:val="14"/>
              </w:rPr>
              <w:t>not</w:t>
            </w:r>
            <w:r>
              <w:rPr>
                <w:spacing w:val="-1"/>
                <w:sz w:val="14"/>
              </w:rPr>
              <w:t> </w:t>
            </w:r>
            <w:r>
              <w:rPr>
                <w:sz w:val="14"/>
              </w:rPr>
              <w:t>otherwise</w:t>
            </w:r>
            <w:r>
              <w:rPr>
                <w:spacing w:val="-4"/>
                <w:sz w:val="14"/>
              </w:rPr>
              <w:t> </w:t>
            </w:r>
            <w:r>
              <w:rPr>
                <w:sz w:val="14"/>
              </w:rPr>
              <w:t>provided</w:t>
            </w:r>
            <w:r>
              <w:rPr>
                <w:spacing w:val="-4"/>
                <w:sz w:val="14"/>
              </w:rPr>
              <w:t> </w:t>
            </w:r>
            <w:r>
              <w:rPr>
                <w:sz w:val="14"/>
              </w:rPr>
              <w:t>for</w:t>
            </w:r>
            <w:r>
              <w:rPr>
                <w:spacing w:val="-4"/>
                <w:sz w:val="14"/>
              </w:rPr>
              <w:t> </w:t>
            </w:r>
            <w:r>
              <w:rPr>
                <w:sz w:val="14"/>
              </w:rPr>
              <w:t>in</w:t>
            </w:r>
            <w:r>
              <w:rPr>
                <w:spacing w:val="-3"/>
                <w:sz w:val="14"/>
              </w:rPr>
              <w:t> </w:t>
            </w:r>
            <w:r>
              <w:rPr>
                <w:sz w:val="14"/>
              </w:rPr>
              <w:t>the</w:t>
            </w:r>
            <w:r>
              <w:rPr>
                <w:spacing w:val="-4"/>
                <w:sz w:val="14"/>
              </w:rPr>
              <w:t> </w:t>
            </w:r>
            <w:r>
              <w:rPr>
                <w:spacing w:val="-2"/>
                <w:sz w:val="14"/>
              </w:rPr>
              <w:t>regulation</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1,415.10</w:t>
            </w:r>
          </w:p>
        </w:tc>
        <w:tc>
          <w:tcPr>
            <w:tcW w:w="995" w:type="dxa"/>
          </w:tcPr>
          <w:p>
            <w:pPr>
              <w:pStyle w:val="TableParagraph"/>
              <w:spacing w:line="140" w:lineRule="exact" w:before="17"/>
              <w:ind w:right="101"/>
              <w:jc w:val="right"/>
              <w:rPr>
                <w:sz w:val="14"/>
              </w:rPr>
            </w:pPr>
            <w:r>
              <w:rPr>
                <w:spacing w:val="-2"/>
                <w:sz w:val="14"/>
              </w:rPr>
              <w:t>1,453.40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Other</w:t>
            </w:r>
            <w:r>
              <w:rPr>
                <w:spacing w:val="-3"/>
                <w:sz w:val="14"/>
              </w:rPr>
              <w:t> </w:t>
            </w:r>
            <w:r>
              <w:rPr>
                <w:sz w:val="14"/>
              </w:rPr>
              <w:t>-</w:t>
            </w:r>
            <w:r>
              <w:rPr>
                <w:spacing w:val="-5"/>
                <w:sz w:val="14"/>
              </w:rPr>
              <w:t> </w:t>
            </w:r>
            <w:r>
              <w:rPr>
                <w:sz w:val="14"/>
              </w:rPr>
              <w:t>Determination</w:t>
            </w:r>
            <w:r>
              <w:rPr>
                <w:spacing w:val="-5"/>
                <w:sz w:val="14"/>
              </w:rPr>
              <w:t> </w:t>
            </w:r>
            <w:r>
              <w:rPr>
                <w:sz w:val="14"/>
              </w:rPr>
              <w:t>to</w:t>
            </w:r>
            <w:r>
              <w:rPr>
                <w:spacing w:val="-3"/>
                <w:sz w:val="14"/>
              </w:rPr>
              <w:t> </w:t>
            </w:r>
            <w:r>
              <w:rPr>
                <w:sz w:val="14"/>
              </w:rPr>
              <w:t>the</w:t>
            </w:r>
            <w:r>
              <w:rPr>
                <w:spacing w:val="-5"/>
                <w:sz w:val="14"/>
              </w:rPr>
              <w:t> </w:t>
            </w:r>
            <w:r>
              <w:rPr>
                <w:sz w:val="14"/>
              </w:rPr>
              <w:t>satisfaction</w:t>
            </w:r>
            <w:r>
              <w:rPr>
                <w:spacing w:val="-5"/>
                <w:sz w:val="14"/>
              </w:rPr>
              <w:t> </w:t>
            </w:r>
            <w:r>
              <w:rPr>
                <w:sz w:val="14"/>
              </w:rPr>
              <w:t>of</w:t>
            </w:r>
            <w:r>
              <w:rPr>
                <w:spacing w:val="-1"/>
                <w:sz w:val="14"/>
              </w:rPr>
              <w:t> </w:t>
            </w:r>
            <w:r>
              <w:rPr>
                <w:spacing w:val="-2"/>
                <w:sz w:val="14"/>
              </w:rPr>
              <w:t>Council</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349.80</w:t>
            </w:r>
          </w:p>
        </w:tc>
        <w:tc>
          <w:tcPr>
            <w:tcW w:w="995" w:type="dxa"/>
          </w:tcPr>
          <w:p>
            <w:pPr>
              <w:pStyle w:val="TableParagraph"/>
              <w:spacing w:line="140" w:lineRule="exact" w:before="17"/>
              <w:ind w:right="102"/>
              <w:jc w:val="right"/>
              <w:rPr>
                <w:sz w:val="14"/>
              </w:rPr>
            </w:pPr>
            <w:r>
              <w:rPr>
                <w:spacing w:val="-2"/>
                <w:sz w:val="14"/>
              </w:rPr>
              <w:t>359.30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Other</w:t>
            </w:r>
            <w:r>
              <w:rPr>
                <w:spacing w:val="-4"/>
                <w:sz w:val="14"/>
              </w:rPr>
              <w:t> </w:t>
            </w:r>
            <w:r>
              <w:rPr>
                <w:sz w:val="14"/>
              </w:rPr>
              <w:t>-</w:t>
            </w:r>
            <w:r>
              <w:rPr>
                <w:spacing w:val="-6"/>
                <w:sz w:val="14"/>
              </w:rPr>
              <w:t> </w:t>
            </w:r>
            <w:r>
              <w:rPr>
                <w:sz w:val="14"/>
              </w:rPr>
              <w:t>Certificate</w:t>
            </w:r>
            <w:r>
              <w:rPr>
                <w:spacing w:val="-2"/>
                <w:sz w:val="14"/>
              </w:rPr>
              <w:t> </w:t>
            </w:r>
            <w:r>
              <w:rPr>
                <w:sz w:val="14"/>
              </w:rPr>
              <w:t>of</w:t>
            </w:r>
            <w:r>
              <w:rPr>
                <w:spacing w:val="-3"/>
                <w:sz w:val="14"/>
              </w:rPr>
              <w:t> </w:t>
            </w:r>
            <w:r>
              <w:rPr>
                <w:spacing w:val="-2"/>
                <w:sz w:val="14"/>
              </w:rPr>
              <w:t>compliance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349.80</w:t>
            </w:r>
          </w:p>
        </w:tc>
        <w:tc>
          <w:tcPr>
            <w:tcW w:w="995" w:type="dxa"/>
          </w:tcPr>
          <w:p>
            <w:pPr>
              <w:pStyle w:val="TableParagraph"/>
              <w:spacing w:line="140" w:lineRule="exact" w:before="17"/>
              <w:ind w:right="102"/>
              <w:jc w:val="right"/>
              <w:rPr>
                <w:sz w:val="14"/>
              </w:rPr>
            </w:pPr>
            <w:r>
              <w:rPr>
                <w:spacing w:val="-2"/>
                <w:sz w:val="14"/>
              </w:rPr>
              <w:t>359.30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Other</w:t>
            </w:r>
            <w:r>
              <w:rPr>
                <w:spacing w:val="-3"/>
                <w:sz w:val="14"/>
              </w:rPr>
              <w:t> </w:t>
            </w:r>
            <w:r>
              <w:rPr>
                <w:sz w:val="14"/>
              </w:rPr>
              <w:t>-</w:t>
            </w:r>
            <w:r>
              <w:rPr>
                <w:spacing w:val="-4"/>
                <w:sz w:val="14"/>
              </w:rPr>
              <w:t> </w:t>
            </w:r>
            <w:r>
              <w:rPr>
                <w:sz w:val="14"/>
              </w:rPr>
              <w:t>Amend</w:t>
            </w:r>
            <w:r>
              <w:rPr>
                <w:spacing w:val="-4"/>
                <w:sz w:val="14"/>
              </w:rPr>
              <w:t> </w:t>
            </w:r>
            <w:r>
              <w:rPr>
                <w:sz w:val="14"/>
              </w:rPr>
              <w:t>or</w:t>
            </w:r>
            <w:r>
              <w:rPr>
                <w:spacing w:val="-4"/>
                <w:sz w:val="14"/>
              </w:rPr>
              <w:t> </w:t>
            </w:r>
            <w:r>
              <w:rPr>
                <w:sz w:val="14"/>
              </w:rPr>
              <w:t>end a</w:t>
            </w:r>
            <w:r>
              <w:rPr>
                <w:spacing w:val="-5"/>
                <w:sz w:val="14"/>
              </w:rPr>
              <w:t> </w:t>
            </w:r>
            <w:r>
              <w:rPr>
                <w:sz w:val="14"/>
              </w:rPr>
              <w:t>section</w:t>
            </w:r>
            <w:r>
              <w:rPr>
                <w:spacing w:val="-1"/>
                <w:sz w:val="14"/>
              </w:rPr>
              <w:t> </w:t>
            </w:r>
            <w:r>
              <w:rPr>
                <w:sz w:val="14"/>
              </w:rPr>
              <w:t>173</w:t>
            </w:r>
            <w:r>
              <w:rPr>
                <w:spacing w:val="-2"/>
                <w:sz w:val="14"/>
              </w:rPr>
              <w:t> agreement</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707.60</w:t>
            </w:r>
          </w:p>
        </w:tc>
        <w:tc>
          <w:tcPr>
            <w:tcW w:w="995" w:type="dxa"/>
          </w:tcPr>
          <w:p>
            <w:pPr>
              <w:pStyle w:val="TableParagraph"/>
              <w:spacing w:line="140" w:lineRule="exact" w:before="17"/>
              <w:ind w:right="102"/>
              <w:jc w:val="right"/>
              <w:rPr>
                <w:sz w:val="14"/>
              </w:rPr>
            </w:pPr>
            <w:r>
              <w:rPr>
                <w:spacing w:val="-2"/>
                <w:sz w:val="14"/>
              </w:rPr>
              <w:t>726.70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Other</w:t>
            </w:r>
            <w:r>
              <w:rPr>
                <w:spacing w:val="-3"/>
                <w:sz w:val="14"/>
              </w:rPr>
              <w:t> </w:t>
            </w:r>
            <w:r>
              <w:rPr>
                <w:sz w:val="14"/>
              </w:rPr>
              <w:t>-</w:t>
            </w:r>
            <w:r>
              <w:rPr>
                <w:spacing w:val="-4"/>
                <w:sz w:val="14"/>
              </w:rPr>
              <w:t> </w:t>
            </w:r>
            <w:r>
              <w:rPr>
                <w:sz w:val="14"/>
              </w:rPr>
              <w:t>Extension</w:t>
            </w:r>
            <w:r>
              <w:rPr>
                <w:spacing w:val="-1"/>
                <w:sz w:val="14"/>
              </w:rPr>
              <w:t> </w:t>
            </w:r>
            <w:r>
              <w:rPr>
                <w:sz w:val="14"/>
              </w:rPr>
              <w:t>of</w:t>
            </w:r>
            <w:r>
              <w:rPr>
                <w:spacing w:val="-4"/>
                <w:sz w:val="14"/>
              </w:rPr>
              <w:t> </w:t>
            </w:r>
            <w:r>
              <w:rPr>
                <w:sz w:val="14"/>
              </w:rPr>
              <w:t>time</w:t>
            </w:r>
            <w:r>
              <w:rPr>
                <w:spacing w:val="-3"/>
                <w:sz w:val="14"/>
              </w:rPr>
              <w:t> </w:t>
            </w:r>
            <w:r>
              <w:rPr>
                <w:sz w:val="14"/>
              </w:rPr>
              <w:t>to a</w:t>
            </w:r>
            <w:r>
              <w:rPr>
                <w:spacing w:val="-4"/>
                <w:sz w:val="14"/>
              </w:rPr>
              <w:t> </w:t>
            </w:r>
            <w:r>
              <w:rPr>
                <w:spacing w:val="-2"/>
                <w:sz w:val="14"/>
              </w:rPr>
              <w:t>permit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341.00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3"/>
                <w:sz w:val="14"/>
              </w:rPr>
              <w:t> </w:t>
            </w:r>
            <w:r>
              <w:rPr>
                <w:sz w:val="14"/>
              </w:rPr>
              <w:t>Class</w:t>
            </w:r>
            <w:r>
              <w:rPr>
                <w:spacing w:val="-2"/>
                <w:sz w:val="14"/>
              </w:rPr>
              <w:t> </w:t>
            </w:r>
            <w:r>
              <w:rPr>
                <w:sz w:val="14"/>
              </w:rPr>
              <w:t>2</w:t>
            </w:r>
            <w:r>
              <w:rPr>
                <w:spacing w:val="-2"/>
                <w:sz w:val="14"/>
              </w:rPr>
              <w:t> </w:t>
            </w:r>
            <w:r>
              <w:rPr>
                <w:sz w:val="14"/>
              </w:rPr>
              <w:t>-</w:t>
            </w:r>
            <w:r>
              <w:rPr>
                <w:spacing w:val="-5"/>
                <w:sz w:val="14"/>
              </w:rPr>
              <w:t> </w:t>
            </w:r>
            <w:r>
              <w:rPr>
                <w:sz w:val="14"/>
              </w:rPr>
              <w:t>up</w:t>
            </w:r>
            <w:r>
              <w:rPr>
                <w:spacing w:val="-4"/>
                <w:sz w:val="14"/>
              </w:rPr>
              <w:t> </w:t>
            </w:r>
            <w:r>
              <w:rPr>
                <w:sz w:val="14"/>
              </w:rPr>
              <w:t>to</w:t>
            </w:r>
            <w:r>
              <w:rPr>
                <w:spacing w:val="-2"/>
                <w:sz w:val="14"/>
              </w:rPr>
              <w:t> </w:t>
            </w:r>
            <w:r>
              <w:rPr>
                <w:sz w:val="14"/>
              </w:rPr>
              <w:t>$10,000</w:t>
            </w:r>
            <w:r>
              <w:rPr>
                <w:spacing w:val="-3"/>
                <w:sz w:val="14"/>
              </w:rPr>
              <w:t> </w:t>
            </w:r>
            <w:r>
              <w:rPr>
                <w:sz w:val="14"/>
              </w:rPr>
              <w:t>Application</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3"/>
                <w:sz w:val="14"/>
              </w:rPr>
              <w:t> </w:t>
            </w:r>
            <w:r>
              <w:rPr>
                <w:sz w:val="14"/>
              </w:rPr>
              <w:t>Class</w:t>
            </w:r>
            <w:r>
              <w:rPr>
                <w:spacing w:val="-1"/>
                <w:sz w:val="14"/>
              </w:rPr>
              <w:t> </w:t>
            </w:r>
            <w:r>
              <w:rPr>
                <w:sz w:val="14"/>
              </w:rPr>
              <w:t>2</w:t>
            </w:r>
            <w:r>
              <w:rPr>
                <w:spacing w:val="-2"/>
                <w:sz w:val="14"/>
              </w:rPr>
              <w:t> </w:t>
            </w:r>
            <w:r>
              <w:rPr>
                <w:sz w:val="14"/>
              </w:rPr>
              <w:t>-</w:t>
            </w:r>
            <w:r>
              <w:rPr>
                <w:spacing w:val="-4"/>
                <w:sz w:val="14"/>
              </w:rPr>
              <w:t> </w:t>
            </w:r>
            <w:r>
              <w:rPr>
                <w:sz w:val="14"/>
              </w:rPr>
              <w:t>up</w:t>
            </w:r>
            <w:r>
              <w:rPr>
                <w:spacing w:val="-5"/>
                <w:sz w:val="14"/>
              </w:rPr>
              <w:t> </w:t>
            </w:r>
            <w:r>
              <w:rPr>
                <w:sz w:val="14"/>
              </w:rPr>
              <w:t>to</w:t>
            </w:r>
            <w:r>
              <w:rPr>
                <w:spacing w:val="-1"/>
                <w:sz w:val="14"/>
              </w:rPr>
              <w:t> </w:t>
            </w:r>
            <w:r>
              <w:rPr>
                <w:sz w:val="14"/>
              </w:rPr>
              <w:t>$10,000</w:t>
            </w:r>
            <w:r>
              <w:rPr>
                <w:spacing w:val="34"/>
                <w:sz w:val="14"/>
              </w:rPr>
              <w:t> </w:t>
            </w:r>
            <w:r>
              <w:rPr>
                <w:sz w:val="14"/>
              </w:rPr>
              <w:t>Section</w:t>
            </w:r>
            <w:r>
              <w:rPr>
                <w:spacing w:val="-1"/>
                <w:sz w:val="14"/>
              </w:rPr>
              <w:t> </w:t>
            </w:r>
            <w:r>
              <w:rPr>
                <w:sz w:val="14"/>
              </w:rPr>
              <w:t>72</w:t>
            </w:r>
            <w:r>
              <w:rPr>
                <w:spacing w:val="-4"/>
                <w:sz w:val="14"/>
              </w:rPr>
              <w:t> </w:t>
            </w:r>
            <w:r>
              <w:rPr>
                <w:sz w:val="14"/>
              </w:rPr>
              <w:t>Amendment</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694.00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3"/>
                <w:sz w:val="14"/>
              </w:rPr>
              <w:t> </w:t>
            </w:r>
            <w:r>
              <w:rPr>
                <w:sz w:val="14"/>
              </w:rPr>
              <w:t>Class</w:t>
            </w:r>
            <w:r>
              <w:rPr>
                <w:spacing w:val="-2"/>
                <w:sz w:val="14"/>
              </w:rPr>
              <w:t> </w:t>
            </w:r>
            <w:r>
              <w:rPr>
                <w:sz w:val="14"/>
              </w:rPr>
              <w:t>3</w:t>
            </w:r>
            <w:r>
              <w:rPr>
                <w:spacing w:val="-2"/>
                <w:sz w:val="14"/>
              </w:rPr>
              <w:t> </w:t>
            </w:r>
            <w:r>
              <w:rPr>
                <w:sz w:val="14"/>
              </w:rPr>
              <w:t>-</w:t>
            </w:r>
            <w:r>
              <w:rPr>
                <w:spacing w:val="-5"/>
                <w:sz w:val="14"/>
              </w:rPr>
              <w:t> </w:t>
            </w:r>
            <w:r>
              <w:rPr>
                <w:sz w:val="14"/>
              </w:rPr>
              <w:t>more</w:t>
            </w:r>
            <w:r>
              <w:rPr>
                <w:spacing w:val="-6"/>
                <w:sz w:val="14"/>
              </w:rPr>
              <w:t> </w:t>
            </w:r>
            <w:r>
              <w:rPr>
                <w:sz w:val="14"/>
              </w:rPr>
              <w:t>than</w:t>
            </w:r>
            <w:r>
              <w:rPr>
                <w:spacing w:val="-3"/>
                <w:sz w:val="14"/>
              </w:rPr>
              <w:t> </w:t>
            </w:r>
            <w:r>
              <w:rPr>
                <w:sz w:val="14"/>
              </w:rPr>
              <w:t>$10,000</w:t>
            </w:r>
            <w:r>
              <w:rPr>
                <w:spacing w:val="-4"/>
                <w:sz w:val="14"/>
              </w:rPr>
              <w:t> </w:t>
            </w:r>
            <w:r>
              <w:rPr>
                <w:sz w:val="14"/>
              </w:rPr>
              <w:t>to</w:t>
            </w:r>
            <w:r>
              <w:rPr>
                <w:spacing w:val="-3"/>
                <w:sz w:val="14"/>
              </w:rPr>
              <w:t> </w:t>
            </w:r>
            <w:r>
              <w:rPr>
                <w:sz w:val="14"/>
              </w:rPr>
              <w:t>$100,000</w:t>
            </w:r>
            <w:r>
              <w:rPr>
                <w:spacing w:val="-2"/>
                <w:sz w:val="14"/>
              </w:rPr>
              <w:t> </w:t>
            </w:r>
            <w:r>
              <w:rPr>
                <w:sz w:val="14"/>
              </w:rPr>
              <w:t>Application</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675.80</w:t>
            </w:r>
          </w:p>
        </w:tc>
        <w:tc>
          <w:tcPr>
            <w:tcW w:w="995" w:type="dxa"/>
          </w:tcPr>
          <w:p>
            <w:pPr>
              <w:pStyle w:val="TableParagraph"/>
              <w:spacing w:line="140" w:lineRule="exact" w:before="17"/>
              <w:ind w:right="101"/>
              <w:jc w:val="right"/>
              <w:rPr>
                <w:sz w:val="14"/>
              </w:rPr>
            </w:pPr>
            <w:r>
              <w:rPr>
                <w:spacing w:val="-2"/>
                <w:sz w:val="14"/>
              </w:rPr>
              <w:t>1,453.40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2"/>
                <w:sz w:val="14"/>
              </w:rPr>
              <w:t> </w:t>
            </w:r>
            <w:r>
              <w:rPr>
                <w:sz w:val="14"/>
              </w:rPr>
              <w:t>Class</w:t>
            </w:r>
            <w:r>
              <w:rPr>
                <w:spacing w:val="-2"/>
                <w:sz w:val="14"/>
              </w:rPr>
              <w:t> </w:t>
            </w:r>
            <w:r>
              <w:rPr>
                <w:sz w:val="14"/>
              </w:rPr>
              <w:t>3</w:t>
            </w:r>
            <w:r>
              <w:rPr>
                <w:spacing w:val="-2"/>
                <w:sz w:val="14"/>
              </w:rPr>
              <w:t> </w:t>
            </w:r>
            <w:r>
              <w:rPr>
                <w:sz w:val="14"/>
              </w:rPr>
              <w:t>-</w:t>
            </w:r>
            <w:r>
              <w:rPr>
                <w:spacing w:val="-5"/>
                <w:sz w:val="14"/>
              </w:rPr>
              <w:t> </w:t>
            </w:r>
            <w:r>
              <w:rPr>
                <w:sz w:val="14"/>
              </w:rPr>
              <w:t>more</w:t>
            </w:r>
            <w:r>
              <w:rPr>
                <w:spacing w:val="-6"/>
                <w:sz w:val="14"/>
              </w:rPr>
              <w:t> </w:t>
            </w:r>
            <w:r>
              <w:rPr>
                <w:sz w:val="14"/>
              </w:rPr>
              <w:t>than</w:t>
            </w:r>
            <w:r>
              <w:rPr>
                <w:spacing w:val="-3"/>
                <w:sz w:val="14"/>
              </w:rPr>
              <w:t> </w:t>
            </w:r>
            <w:r>
              <w:rPr>
                <w:sz w:val="14"/>
              </w:rPr>
              <w:t>$10,000</w:t>
            </w:r>
            <w:r>
              <w:rPr>
                <w:spacing w:val="-4"/>
                <w:sz w:val="14"/>
              </w:rPr>
              <w:t> </w:t>
            </w:r>
            <w:r>
              <w:rPr>
                <w:sz w:val="14"/>
              </w:rPr>
              <w:t>to</w:t>
            </w:r>
            <w:r>
              <w:rPr>
                <w:spacing w:val="-3"/>
                <w:sz w:val="14"/>
              </w:rPr>
              <w:t> </w:t>
            </w:r>
            <w:r>
              <w:rPr>
                <w:sz w:val="14"/>
              </w:rPr>
              <w:t>$100,000</w:t>
            </w:r>
            <w:r>
              <w:rPr>
                <w:spacing w:val="-2"/>
                <w:sz w:val="14"/>
              </w:rPr>
              <w:t> </w:t>
            </w:r>
            <w:r>
              <w:rPr>
                <w:sz w:val="14"/>
              </w:rPr>
              <w:t>Section</w:t>
            </w:r>
            <w:r>
              <w:rPr>
                <w:spacing w:val="-1"/>
                <w:sz w:val="14"/>
              </w:rPr>
              <w:t> </w:t>
            </w:r>
            <w:r>
              <w:rPr>
                <w:sz w:val="14"/>
              </w:rPr>
              <w:t>72</w:t>
            </w:r>
            <w:r>
              <w:rPr>
                <w:spacing w:val="-5"/>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675.80</w:t>
            </w:r>
          </w:p>
        </w:tc>
        <w:tc>
          <w:tcPr>
            <w:tcW w:w="995" w:type="dxa"/>
          </w:tcPr>
          <w:p>
            <w:pPr>
              <w:pStyle w:val="TableParagraph"/>
              <w:spacing w:line="140" w:lineRule="exact" w:before="17"/>
              <w:ind w:right="102"/>
              <w:jc w:val="right"/>
              <w:rPr>
                <w:sz w:val="14"/>
              </w:rPr>
            </w:pPr>
            <w:r>
              <w:rPr>
                <w:spacing w:val="-2"/>
                <w:sz w:val="14"/>
              </w:rPr>
              <w:t>694.00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3"/>
                <w:sz w:val="14"/>
              </w:rPr>
              <w:t> </w:t>
            </w:r>
            <w:r>
              <w:rPr>
                <w:sz w:val="14"/>
              </w:rPr>
              <w:t>Class</w:t>
            </w:r>
            <w:r>
              <w:rPr>
                <w:spacing w:val="-2"/>
                <w:sz w:val="14"/>
              </w:rPr>
              <w:t> </w:t>
            </w:r>
            <w:r>
              <w:rPr>
                <w:sz w:val="14"/>
              </w:rPr>
              <w:t>4</w:t>
            </w:r>
            <w:r>
              <w:rPr>
                <w:spacing w:val="-3"/>
                <w:sz w:val="14"/>
              </w:rPr>
              <w:t> </w:t>
            </w:r>
            <w:r>
              <w:rPr>
                <w:sz w:val="14"/>
              </w:rPr>
              <w:t>-</w:t>
            </w:r>
            <w:r>
              <w:rPr>
                <w:spacing w:val="-4"/>
                <w:sz w:val="14"/>
              </w:rPr>
              <w:t> </w:t>
            </w:r>
            <w:r>
              <w:rPr>
                <w:sz w:val="14"/>
              </w:rPr>
              <w:t>more</w:t>
            </w:r>
            <w:r>
              <w:rPr>
                <w:spacing w:val="-6"/>
                <w:sz w:val="14"/>
              </w:rPr>
              <w:t> </w:t>
            </w:r>
            <w:r>
              <w:rPr>
                <w:sz w:val="14"/>
              </w:rPr>
              <w:t>than</w:t>
            </w:r>
            <w:r>
              <w:rPr>
                <w:spacing w:val="-3"/>
                <w:sz w:val="14"/>
              </w:rPr>
              <w:t> </w:t>
            </w:r>
            <w:r>
              <w:rPr>
                <w:sz w:val="14"/>
              </w:rPr>
              <w:t>$100,000</w:t>
            </w:r>
            <w:r>
              <w:rPr>
                <w:spacing w:val="-3"/>
                <w:sz w:val="14"/>
              </w:rPr>
              <w:t> </w:t>
            </w:r>
            <w:r>
              <w:rPr>
                <w:sz w:val="14"/>
              </w:rPr>
              <w:t>to</w:t>
            </w:r>
            <w:r>
              <w:rPr>
                <w:spacing w:val="-2"/>
                <w:sz w:val="14"/>
              </w:rPr>
              <w:t> </w:t>
            </w:r>
            <w:r>
              <w:rPr>
                <w:sz w:val="14"/>
              </w:rPr>
              <w:t>$500,000</w:t>
            </w:r>
            <w:r>
              <w:rPr>
                <w:spacing w:val="-6"/>
                <w:sz w:val="14"/>
              </w:rPr>
              <w:t> </w:t>
            </w:r>
            <w:r>
              <w:rPr>
                <w:sz w:val="14"/>
              </w:rPr>
              <w:t>Application</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1,383.30</w:t>
            </w:r>
          </w:p>
        </w:tc>
        <w:tc>
          <w:tcPr>
            <w:tcW w:w="995" w:type="dxa"/>
          </w:tcPr>
          <w:p>
            <w:pPr>
              <w:pStyle w:val="TableParagraph"/>
              <w:spacing w:line="140" w:lineRule="exact" w:before="17"/>
              <w:ind w:right="101"/>
              <w:jc w:val="right"/>
              <w:rPr>
                <w:sz w:val="14"/>
              </w:rPr>
            </w:pPr>
            <w:r>
              <w:rPr>
                <w:spacing w:val="-2"/>
                <w:sz w:val="14"/>
              </w:rPr>
              <w:t>1,420.70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3"/>
                <w:sz w:val="14"/>
              </w:rPr>
              <w:t> </w:t>
            </w:r>
            <w:r>
              <w:rPr>
                <w:sz w:val="14"/>
              </w:rPr>
              <w:t>Class</w:t>
            </w:r>
            <w:r>
              <w:rPr>
                <w:spacing w:val="-2"/>
                <w:sz w:val="14"/>
              </w:rPr>
              <w:t> </w:t>
            </w:r>
            <w:r>
              <w:rPr>
                <w:sz w:val="14"/>
              </w:rPr>
              <w:t>4</w:t>
            </w:r>
            <w:r>
              <w:rPr>
                <w:spacing w:val="-2"/>
                <w:sz w:val="14"/>
              </w:rPr>
              <w:t> </w:t>
            </w:r>
            <w:r>
              <w:rPr>
                <w:sz w:val="14"/>
              </w:rPr>
              <w:t>-</w:t>
            </w:r>
            <w:r>
              <w:rPr>
                <w:spacing w:val="-4"/>
                <w:sz w:val="14"/>
              </w:rPr>
              <w:t> </w:t>
            </w:r>
            <w:r>
              <w:rPr>
                <w:sz w:val="14"/>
              </w:rPr>
              <w:t>more</w:t>
            </w:r>
            <w:r>
              <w:rPr>
                <w:spacing w:val="-6"/>
                <w:sz w:val="14"/>
              </w:rPr>
              <w:t> </w:t>
            </w:r>
            <w:r>
              <w:rPr>
                <w:sz w:val="14"/>
              </w:rPr>
              <w:t>than</w:t>
            </w:r>
            <w:r>
              <w:rPr>
                <w:spacing w:val="-3"/>
                <w:sz w:val="14"/>
              </w:rPr>
              <w:t> </w:t>
            </w:r>
            <w:r>
              <w:rPr>
                <w:sz w:val="14"/>
              </w:rPr>
              <w:t>$100,000</w:t>
            </w:r>
            <w:r>
              <w:rPr>
                <w:spacing w:val="-2"/>
                <w:sz w:val="14"/>
              </w:rPr>
              <w:t> </w:t>
            </w:r>
            <w:r>
              <w:rPr>
                <w:sz w:val="14"/>
              </w:rPr>
              <w:t>to</w:t>
            </w:r>
            <w:r>
              <w:rPr>
                <w:spacing w:val="-2"/>
                <w:sz w:val="14"/>
              </w:rPr>
              <w:t> </w:t>
            </w:r>
            <w:r>
              <w:rPr>
                <w:sz w:val="14"/>
              </w:rPr>
              <w:t>$500,000</w:t>
            </w:r>
            <w:r>
              <w:rPr>
                <w:spacing w:val="-5"/>
                <w:sz w:val="14"/>
              </w:rPr>
              <w:t> </w:t>
            </w:r>
            <w:r>
              <w:rPr>
                <w:sz w:val="14"/>
              </w:rPr>
              <w:t>Section</w:t>
            </w:r>
            <w:r>
              <w:rPr>
                <w:spacing w:val="-4"/>
                <w:sz w:val="14"/>
              </w:rPr>
              <w:t> </w:t>
            </w:r>
            <w:r>
              <w:rPr>
                <w:sz w:val="14"/>
              </w:rPr>
              <w:t>72</w:t>
            </w:r>
            <w:r>
              <w:rPr>
                <w:spacing w:val="-5"/>
                <w:sz w:val="14"/>
              </w:rPr>
              <w:t> </w:t>
            </w:r>
            <w:r>
              <w:rPr>
                <w:sz w:val="14"/>
              </w:rPr>
              <w:t>Amendment</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1,383.30</w:t>
            </w:r>
          </w:p>
        </w:tc>
        <w:tc>
          <w:tcPr>
            <w:tcW w:w="995" w:type="dxa"/>
          </w:tcPr>
          <w:p>
            <w:pPr>
              <w:pStyle w:val="TableParagraph"/>
              <w:spacing w:line="140" w:lineRule="exact" w:before="17"/>
              <w:ind w:right="101"/>
              <w:jc w:val="right"/>
              <w:rPr>
                <w:sz w:val="14"/>
              </w:rPr>
            </w:pPr>
            <w:r>
              <w:rPr>
                <w:spacing w:val="-2"/>
                <w:sz w:val="14"/>
              </w:rPr>
              <w:t>1,420.70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2" w:lineRule="exact" w:before="15"/>
              <w:ind w:left="107"/>
              <w:rPr>
                <w:sz w:val="14"/>
              </w:rPr>
            </w:pPr>
            <w:r>
              <w:rPr>
                <w:sz w:val="14"/>
              </w:rPr>
              <w:t>Single</w:t>
            </w:r>
            <w:r>
              <w:rPr>
                <w:spacing w:val="-3"/>
                <w:sz w:val="14"/>
              </w:rPr>
              <w:t> </w:t>
            </w:r>
            <w:r>
              <w:rPr>
                <w:sz w:val="14"/>
              </w:rPr>
              <w:t>dwelling</w:t>
            </w:r>
            <w:r>
              <w:rPr>
                <w:spacing w:val="-3"/>
                <w:sz w:val="14"/>
              </w:rPr>
              <w:t> </w:t>
            </w:r>
            <w:r>
              <w:rPr>
                <w:sz w:val="14"/>
              </w:rPr>
              <w:t>Class</w:t>
            </w:r>
            <w:r>
              <w:rPr>
                <w:spacing w:val="-2"/>
                <w:sz w:val="14"/>
              </w:rPr>
              <w:t> </w:t>
            </w:r>
            <w:r>
              <w:rPr>
                <w:sz w:val="14"/>
              </w:rPr>
              <w:t>5</w:t>
            </w:r>
            <w:r>
              <w:rPr>
                <w:spacing w:val="-2"/>
                <w:sz w:val="14"/>
              </w:rPr>
              <w:t> </w:t>
            </w:r>
            <w:r>
              <w:rPr>
                <w:sz w:val="14"/>
              </w:rPr>
              <w:t>-</w:t>
            </w:r>
            <w:r>
              <w:rPr>
                <w:spacing w:val="-5"/>
                <w:sz w:val="14"/>
              </w:rPr>
              <w:t> </w:t>
            </w:r>
            <w:r>
              <w:rPr>
                <w:sz w:val="14"/>
              </w:rPr>
              <w:t>more</w:t>
            </w:r>
            <w:r>
              <w:rPr>
                <w:spacing w:val="-4"/>
                <w:sz w:val="14"/>
              </w:rPr>
              <w:t> </w:t>
            </w:r>
            <w:r>
              <w:rPr>
                <w:sz w:val="14"/>
              </w:rPr>
              <w:t>than</w:t>
            </w:r>
            <w:r>
              <w:rPr>
                <w:spacing w:val="-2"/>
                <w:sz w:val="14"/>
              </w:rPr>
              <w:t> </w:t>
            </w:r>
            <w:r>
              <w:rPr>
                <w:sz w:val="14"/>
              </w:rPr>
              <w:t>$500,000</w:t>
            </w:r>
            <w:r>
              <w:rPr>
                <w:spacing w:val="-2"/>
                <w:sz w:val="14"/>
              </w:rPr>
              <w:t> </w:t>
            </w:r>
            <w:r>
              <w:rPr>
                <w:sz w:val="14"/>
              </w:rPr>
              <w:t>to</w:t>
            </w:r>
            <w:r>
              <w:rPr>
                <w:spacing w:val="-2"/>
                <w:sz w:val="14"/>
              </w:rPr>
              <w:t> </w:t>
            </w:r>
            <w:r>
              <w:rPr>
                <w:sz w:val="14"/>
              </w:rPr>
              <w:t>$1M</w:t>
            </w:r>
            <w:r>
              <w:rPr>
                <w:spacing w:val="-5"/>
                <w:sz w:val="14"/>
              </w:rPr>
              <w:t> </w:t>
            </w:r>
            <w:r>
              <w:rPr>
                <w:sz w:val="14"/>
              </w:rPr>
              <w:t>Application</w:t>
            </w:r>
            <w:r>
              <w:rPr>
                <w:spacing w:val="-6"/>
                <w:sz w:val="14"/>
              </w:rPr>
              <w:t> </w:t>
            </w:r>
            <w:r>
              <w:rPr>
                <w:spacing w:val="-5"/>
                <w:sz w:val="14"/>
              </w:rPr>
              <w:t>fee</w:t>
            </w:r>
          </w:p>
        </w:tc>
        <w:tc>
          <w:tcPr>
            <w:tcW w:w="1131" w:type="dxa"/>
          </w:tcPr>
          <w:p>
            <w:pPr>
              <w:pStyle w:val="TableParagraph"/>
              <w:spacing w:line="142" w:lineRule="exact" w:before="15"/>
              <w:ind w:left="8"/>
              <w:jc w:val="center"/>
              <w:rPr>
                <w:sz w:val="14"/>
              </w:rPr>
            </w:pPr>
            <w:r>
              <w:rPr>
                <w:w w:val="99"/>
                <w:sz w:val="14"/>
              </w:rPr>
              <w:t>S</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1"/>
              <w:jc w:val="right"/>
              <w:rPr>
                <w:sz w:val="14"/>
              </w:rPr>
            </w:pPr>
            <w:r>
              <w:rPr>
                <w:spacing w:val="-2"/>
                <w:sz w:val="14"/>
              </w:rPr>
              <w:t>1,494.60</w:t>
            </w:r>
          </w:p>
        </w:tc>
        <w:tc>
          <w:tcPr>
            <w:tcW w:w="995" w:type="dxa"/>
          </w:tcPr>
          <w:p>
            <w:pPr>
              <w:pStyle w:val="TableParagraph"/>
              <w:spacing w:line="142" w:lineRule="exact" w:before="15"/>
              <w:ind w:right="102"/>
              <w:jc w:val="right"/>
              <w:rPr>
                <w:sz w:val="14"/>
              </w:rPr>
            </w:pPr>
            <w:r>
              <w:rPr>
                <w:spacing w:val="-2"/>
                <w:sz w:val="14"/>
              </w:rPr>
              <w:t>1,535.00</w:t>
            </w:r>
          </w:p>
        </w:tc>
        <w:tc>
          <w:tcPr>
            <w:tcW w:w="861" w:type="dxa"/>
          </w:tcPr>
          <w:p>
            <w:pPr>
              <w:pStyle w:val="TableParagraph"/>
              <w:spacing w:line="142" w:lineRule="exact" w:before="15"/>
              <w:ind w:left="153" w:right="154"/>
              <w:jc w:val="center"/>
              <w:rPr>
                <w:sz w:val="14"/>
              </w:rPr>
            </w:pPr>
            <w:r>
              <w:rPr>
                <w:spacing w:val="-5"/>
                <w:sz w:val="14"/>
              </w:rPr>
              <w:t>2.6</w:t>
            </w:r>
          </w:p>
        </w:tc>
      </w:tr>
      <w:tr>
        <w:trPr>
          <w:trHeight w:val="174" w:hRule="atLeast"/>
        </w:trPr>
        <w:tc>
          <w:tcPr>
            <w:tcW w:w="5794" w:type="dxa"/>
          </w:tcPr>
          <w:p>
            <w:pPr>
              <w:pStyle w:val="TableParagraph"/>
              <w:spacing w:line="140" w:lineRule="exact" w:before="15"/>
              <w:ind w:left="107"/>
              <w:rPr>
                <w:sz w:val="14"/>
              </w:rPr>
            </w:pPr>
            <w:r>
              <w:rPr>
                <w:sz w:val="14"/>
              </w:rPr>
              <w:t>Single</w:t>
            </w:r>
            <w:r>
              <w:rPr>
                <w:spacing w:val="-3"/>
                <w:sz w:val="14"/>
              </w:rPr>
              <w:t> </w:t>
            </w:r>
            <w:r>
              <w:rPr>
                <w:sz w:val="14"/>
              </w:rPr>
              <w:t>dwelling</w:t>
            </w:r>
            <w:r>
              <w:rPr>
                <w:spacing w:val="-2"/>
                <w:sz w:val="14"/>
              </w:rPr>
              <w:t> </w:t>
            </w:r>
            <w:r>
              <w:rPr>
                <w:sz w:val="14"/>
              </w:rPr>
              <w:t>Class</w:t>
            </w:r>
            <w:r>
              <w:rPr>
                <w:spacing w:val="-2"/>
                <w:sz w:val="14"/>
              </w:rPr>
              <w:t> </w:t>
            </w:r>
            <w:r>
              <w:rPr>
                <w:sz w:val="14"/>
              </w:rPr>
              <w:t>5</w:t>
            </w:r>
            <w:r>
              <w:rPr>
                <w:spacing w:val="-1"/>
                <w:sz w:val="14"/>
              </w:rPr>
              <w:t> </w:t>
            </w:r>
            <w:r>
              <w:rPr>
                <w:sz w:val="14"/>
              </w:rPr>
              <w:t>-</w:t>
            </w:r>
            <w:r>
              <w:rPr>
                <w:spacing w:val="-5"/>
                <w:sz w:val="14"/>
              </w:rPr>
              <w:t> </w:t>
            </w:r>
            <w:r>
              <w:rPr>
                <w:sz w:val="14"/>
              </w:rPr>
              <w:t>more</w:t>
            </w:r>
            <w:r>
              <w:rPr>
                <w:spacing w:val="-5"/>
                <w:sz w:val="14"/>
              </w:rPr>
              <w:t> </w:t>
            </w:r>
            <w:r>
              <w:rPr>
                <w:sz w:val="14"/>
              </w:rPr>
              <w:t>than</w:t>
            </w:r>
            <w:r>
              <w:rPr>
                <w:spacing w:val="-2"/>
                <w:sz w:val="14"/>
              </w:rPr>
              <w:t> </w:t>
            </w:r>
            <w:r>
              <w:rPr>
                <w:sz w:val="14"/>
              </w:rPr>
              <w:t>$500,000</w:t>
            </w:r>
            <w:r>
              <w:rPr>
                <w:spacing w:val="-3"/>
                <w:sz w:val="14"/>
              </w:rPr>
              <w:t> </w:t>
            </w:r>
            <w:r>
              <w:rPr>
                <w:sz w:val="14"/>
              </w:rPr>
              <w:t>to</w:t>
            </w:r>
            <w:r>
              <w:rPr>
                <w:spacing w:val="-1"/>
                <w:sz w:val="14"/>
              </w:rPr>
              <w:t> </w:t>
            </w:r>
            <w:r>
              <w:rPr>
                <w:sz w:val="14"/>
              </w:rPr>
              <w:t>$1M</w:t>
            </w:r>
            <w:r>
              <w:rPr>
                <w:spacing w:val="-5"/>
                <w:sz w:val="14"/>
              </w:rPr>
              <w:t> </w:t>
            </w:r>
            <w:r>
              <w:rPr>
                <w:sz w:val="14"/>
              </w:rPr>
              <w:t>Section</w:t>
            </w:r>
            <w:r>
              <w:rPr>
                <w:spacing w:val="-4"/>
                <w:sz w:val="14"/>
              </w:rPr>
              <w:t> </w:t>
            </w:r>
            <w:r>
              <w:rPr>
                <w:sz w:val="14"/>
              </w:rPr>
              <w:t>72</w:t>
            </w:r>
            <w:r>
              <w:rPr>
                <w:spacing w:val="-4"/>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1,494.60</w:t>
            </w:r>
          </w:p>
        </w:tc>
        <w:tc>
          <w:tcPr>
            <w:tcW w:w="995" w:type="dxa"/>
          </w:tcPr>
          <w:p>
            <w:pPr>
              <w:pStyle w:val="TableParagraph"/>
              <w:spacing w:line="140" w:lineRule="exact" w:before="15"/>
              <w:ind w:right="101"/>
              <w:jc w:val="right"/>
              <w:rPr>
                <w:sz w:val="14"/>
              </w:rPr>
            </w:pPr>
            <w:r>
              <w:rPr>
                <w:spacing w:val="-2"/>
                <w:sz w:val="14"/>
              </w:rPr>
              <w:t>1,535.00</w:t>
            </w:r>
          </w:p>
        </w:tc>
        <w:tc>
          <w:tcPr>
            <w:tcW w:w="861" w:type="dxa"/>
          </w:tcPr>
          <w:p>
            <w:pPr>
              <w:pStyle w:val="TableParagraph"/>
              <w:spacing w:line="140" w:lineRule="exact" w:before="15"/>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2"/>
                <w:sz w:val="14"/>
              </w:rPr>
              <w:t> </w:t>
            </w:r>
            <w:r>
              <w:rPr>
                <w:sz w:val="14"/>
              </w:rPr>
              <w:t>Class</w:t>
            </w:r>
            <w:r>
              <w:rPr>
                <w:spacing w:val="-1"/>
                <w:sz w:val="14"/>
              </w:rPr>
              <w:t> </w:t>
            </w:r>
            <w:r>
              <w:rPr>
                <w:sz w:val="14"/>
              </w:rPr>
              <w:t>6</w:t>
            </w:r>
            <w:r>
              <w:rPr>
                <w:spacing w:val="-1"/>
                <w:sz w:val="14"/>
              </w:rPr>
              <w:t> </w:t>
            </w:r>
            <w:r>
              <w:rPr>
                <w:sz w:val="14"/>
              </w:rPr>
              <w:t>-</w:t>
            </w:r>
            <w:r>
              <w:rPr>
                <w:spacing w:val="-4"/>
                <w:sz w:val="14"/>
              </w:rPr>
              <w:t> </w:t>
            </w:r>
            <w:r>
              <w:rPr>
                <w:sz w:val="14"/>
              </w:rPr>
              <w:t>more</w:t>
            </w:r>
            <w:r>
              <w:rPr>
                <w:spacing w:val="-5"/>
                <w:sz w:val="14"/>
              </w:rPr>
              <w:t> </w:t>
            </w:r>
            <w:r>
              <w:rPr>
                <w:sz w:val="14"/>
              </w:rPr>
              <w:t>than</w:t>
            </w:r>
            <w:r>
              <w:rPr>
                <w:spacing w:val="-2"/>
                <w:sz w:val="14"/>
              </w:rPr>
              <w:t> </w:t>
            </w:r>
            <w:r>
              <w:rPr>
                <w:sz w:val="14"/>
              </w:rPr>
              <w:t>$1M</w:t>
            </w:r>
            <w:r>
              <w:rPr>
                <w:spacing w:val="-4"/>
                <w:sz w:val="14"/>
              </w:rPr>
              <w:t> </w:t>
            </w:r>
            <w:r>
              <w:rPr>
                <w:sz w:val="14"/>
              </w:rPr>
              <w:t>to</w:t>
            </w:r>
            <w:r>
              <w:rPr>
                <w:spacing w:val="-2"/>
                <w:sz w:val="14"/>
              </w:rPr>
              <w:t> </w:t>
            </w:r>
            <w:r>
              <w:rPr>
                <w:sz w:val="14"/>
              </w:rPr>
              <w:t>$2M</w:t>
            </w:r>
            <w:r>
              <w:rPr>
                <w:spacing w:val="-4"/>
                <w:sz w:val="14"/>
              </w:rPr>
              <w:t> </w:t>
            </w:r>
            <w:r>
              <w:rPr>
                <w:sz w:val="14"/>
              </w:rPr>
              <w:t>Application</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1,605.90</w:t>
            </w:r>
          </w:p>
        </w:tc>
        <w:tc>
          <w:tcPr>
            <w:tcW w:w="995" w:type="dxa"/>
          </w:tcPr>
          <w:p>
            <w:pPr>
              <w:pStyle w:val="TableParagraph"/>
              <w:spacing w:line="140" w:lineRule="exact" w:before="17"/>
              <w:ind w:right="101"/>
              <w:jc w:val="right"/>
              <w:rPr>
                <w:sz w:val="14"/>
              </w:rPr>
            </w:pPr>
            <w:r>
              <w:rPr>
                <w:spacing w:val="-2"/>
                <w:sz w:val="14"/>
              </w:rPr>
              <w:t>1,649.30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Single</w:t>
            </w:r>
            <w:r>
              <w:rPr>
                <w:spacing w:val="-3"/>
                <w:sz w:val="14"/>
              </w:rPr>
              <w:t> </w:t>
            </w:r>
            <w:r>
              <w:rPr>
                <w:sz w:val="14"/>
              </w:rPr>
              <w:t>dwelling</w:t>
            </w:r>
            <w:r>
              <w:rPr>
                <w:spacing w:val="-2"/>
                <w:sz w:val="14"/>
              </w:rPr>
              <w:t> </w:t>
            </w:r>
            <w:r>
              <w:rPr>
                <w:sz w:val="14"/>
              </w:rPr>
              <w:t>Class</w:t>
            </w:r>
            <w:r>
              <w:rPr>
                <w:spacing w:val="-1"/>
                <w:sz w:val="14"/>
              </w:rPr>
              <w:t> </w:t>
            </w:r>
            <w:r>
              <w:rPr>
                <w:sz w:val="14"/>
              </w:rPr>
              <w:t>6</w:t>
            </w:r>
            <w:r>
              <w:rPr>
                <w:spacing w:val="-1"/>
                <w:sz w:val="14"/>
              </w:rPr>
              <w:t> </w:t>
            </w:r>
            <w:r>
              <w:rPr>
                <w:sz w:val="14"/>
              </w:rPr>
              <w:t>-</w:t>
            </w:r>
            <w:r>
              <w:rPr>
                <w:spacing w:val="-4"/>
                <w:sz w:val="14"/>
              </w:rPr>
              <w:t> </w:t>
            </w:r>
            <w:r>
              <w:rPr>
                <w:sz w:val="14"/>
              </w:rPr>
              <w:t>more</w:t>
            </w:r>
            <w:r>
              <w:rPr>
                <w:spacing w:val="-6"/>
                <w:sz w:val="14"/>
              </w:rPr>
              <w:t> </w:t>
            </w:r>
            <w:r>
              <w:rPr>
                <w:sz w:val="14"/>
              </w:rPr>
              <w:t>than</w:t>
            </w:r>
            <w:r>
              <w:rPr>
                <w:spacing w:val="-2"/>
                <w:sz w:val="14"/>
              </w:rPr>
              <w:t> </w:t>
            </w:r>
            <w:r>
              <w:rPr>
                <w:sz w:val="14"/>
              </w:rPr>
              <w:t>$1M</w:t>
            </w:r>
            <w:r>
              <w:rPr>
                <w:spacing w:val="-4"/>
                <w:sz w:val="14"/>
              </w:rPr>
              <w:t> </w:t>
            </w:r>
            <w:r>
              <w:rPr>
                <w:sz w:val="14"/>
              </w:rPr>
              <w:t>to</w:t>
            </w:r>
            <w:r>
              <w:rPr>
                <w:spacing w:val="-1"/>
                <w:sz w:val="14"/>
              </w:rPr>
              <w:t> </w:t>
            </w:r>
            <w:r>
              <w:rPr>
                <w:sz w:val="14"/>
              </w:rPr>
              <w:t>$2M</w:t>
            </w:r>
            <w:r>
              <w:rPr>
                <w:spacing w:val="-4"/>
                <w:sz w:val="14"/>
              </w:rPr>
              <w:t> </w:t>
            </w:r>
            <w:r>
              <w:rPr>
                <w:sz w:val="14"/>
              </w:rPr>
              <w:t>Section</w:t>
            </w:r>
            <w:r>
              <w:rPr>
                <w:spacing w:val="-2"/>
                <w:sz w:val="14"/>
              </w:rPr>
              <w:t> </w:t>
            </w:r>
            <w:r>
              <w:rPr>
                <w:sz w:val="14"/>
              </w:rPr>
              <w:t>72</w:t>
            </w:r>
            <w:r>
              <w:rPr>
                <w:spacing w:val="-4"/>
                <w:sz w:val="14"/>
              </w:rPr>
              <w:t> </w:t>
            </w:r>
            <w:r>
              <w:rPr>
                <w:sz w:val="14"/>
              </w:rPr>
              <w:t>Amendment</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1,605.90</w:t>
            </w:r>
          </w:p>
        </w:tc>
        <w:tc>
          <w:tcPr>
            <w:tcW w:w="995" w:type="dxa"/>
          </w:tcPr>
          <w:p>
            <w:pPr>
              <w:pStyle w:val="TableParagraph"/>
              <w:spacing w:line="140" w:lineRule="exact" w:before="17"/>
              <w:ind w:right="101"/>
              <w:jc w:val="right"/>
              <w:rPr>
                <w:sz w:val="14"/>
              </w:rPr>
            </w:pPr>
            <w:r>
              <w:rPr>
                <w:spacing w:val="-2"/>
                <w:sz w:val="14"/>
              </w:rPr>
              <w:t>1,649.30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Change</w:t>
            </w:r>
            <w:r>
              <w:rPr>
                <w:spacing w:val="-3"/>
                <w:sz w:val="14"/>
              </w:rPr>
              <w:t> </w:t>
            </w:r>
            <w:r>
              <w:rPr>
                <w:sz w:val="14"/>
              </w:rPr>
              <w:t>Of</w:t>
            </w:r>
            <w:r>
              <w:rPr>
                <w:spacing w:val="-4"/>
                <w:sz w:val="14"/>
              </w:rPr>
              <w:t> </w:t>
            </w:r>
            <w:r>
              <w:rPr>
                <w:sz w:val="14"/>
              </w:rPr>
              <w:t>Use</w:t>
            </w:r>
            <w:r>
              <w:rPr>
                <w:spacing w:val="-3"/>
                <w:sz w:val="14"/>
              </w:rPr>
              <w:t> </w:t>
            </w:r>
            <w:r>
              <w:rPr>
                <w:sz w:val="14"/>
              </w:rPr>
              <w:t>Only,</w:t>
            </w:r>
            <w:r>
              <w:rPr>
                <w:spacing w:val="-2"/>
                <w:sz w:val="14"/>
              </w:rPr>
              <w:t> </w:t>
            </w:r>
            <w:r>
              <w:rPr>
                <w:sz w:val="14"/>
              </w:rPr>
              <w:t>Planning</w:t>
            </w:r>
            <w:r>
              <w:rPr>
                <w:spacing w:val="-4"/>
                <w:sz w:val="14"/>
              </w:rPr>
              <w:t> </w:t>
            </w:r>
            <w:r>
              <w:rPr>
                <w:sz w:val="14"/>
              </w:rPr>
              <w:t>&amp;</w:t>
            </w:r>
            <w:r>
              <w:rPr>
                <w:spacing w:val="-2"/>
                <w:sz w:val="14"/>
              </w:rPr>
              <w:t> </w:t>
            </w:r>
            <w:r>
              <w:rPr>
                <w:sz w:val="14"/>
              </w:rPr>
              <w:t>Environment</w:t>
            </w:r>
            <w:r>
              <w:rPr>
                <w:spacing w:val="-5"/>
                <w:sz w:val="14"/>
              </w:rPr>
              <w:t> </w:t>
            </w:r>
            <w:r>
              <w:rPr>
                <w:sz w:val="14"/>
              </w:rPr>
              <w:t>Act</w:t>
            </w:r>
            <w:r>
              <w:rPr>
                <w:spacing w:val="-3"/>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1,405.40</w:t>
            </w:r>
          </w:p>
        </w:tc>
        <w:tc>
          <w:tcPr>
            <w:tcW w:w="995" w:type="dxa"/>
          </w:tcPr>
          <w:p>
            <w:pPr>
              <w:pStyle w:val="TableParagraph"/>
              <w:spacing w:line="140" w:lineRule="exact" w:before="17"/>
              <w:ind w:right="101"/>
              <w:jc w:val="right"/>
              <w:rPr>
                <w:sz w:val="14"/>
              </w:rPr>
            </w:pPr>
            <w:r>
              <w:rPr>
                <w:spacing w:val="-2"/>
                <w:sz w:val="14"/>
              </w:rPr>
              <w:t>1,453.40</w:t>
            </w:r>
          </w:p>
        </w:tc>
        <w:tc>
          <w:tcPr>
            <w:tcW w:w="861" w:type="dxa"/>
          </w:tcPr>
          <w:p>
            <w:pPr>
              <w:pStyle w:val="TableParagraph"/>
              <w:spacing w:line="140" w:lineRule="exact" w:before="17"/>
              <w:ind w:left="152" w:right="154"/>
              <w:jc w:val="center"/>
              <w:rPr>
                <w:sz w:val="14"/>
              </w:rPr>
            </w:pPr>
            <w:r>
              <w:rPr>
                <w:spacing w:val="-5"/>
                <w:sz w:val="14"/>
              </w:rPr>
              <w:t>3.3</w:t>
            </w:r>
          </w:p>
        </w:tc>
      </w:tr>
      <w:tr>
        <w:trPr>
          <w:trHeight w:val="354" w:hRule="atLeast"/>
        </w:trPr>
        <w:tc>
          <w:tcPr>
            <w:tcW w:w="5794" w:type="dxa"/>
          </w:tcPr>
          <w:p>
            <w:pPr>
              <w:pStyle w:val="TableParagraph"/>
              <w:spacing w:before="10"/>
              <w:rPr>
                <w:sz w:val="16"/>
              </w:rPr>
            </w:pPr>
          </w:p>
          <w:p>
            <w:pPr>
              <w:pStyle w:val="TableParagraph"/>
              <w:spacing w:line="140" w:lineRule="exact" w:before="1"/>
              <w:ind w:left="107"/>
              <w:rPr>
                <w:sz w:val="14"/>
              </w:rPr>
            </w:pPr>
            <w:r>
              <w:rPr>
                <w:sz w:val="14"/>
              </w:rPr>
              <w:t>Subdivision:</w:t>
            </w:r>
            <w:r>
              <w:rPr>
                <w:spacing w:val="-5"/>
                <w:sz w:val="14"/>
              </w:rPr>
              <w:t> </w:t>
            </w:r>
            <w:r>
              <w:rPr>
                <w:sz w:val="14"/>
              </w:rPr>
              <w:t>Planning</w:t>
            </w:r>
            <w:r>
              <w:rPr>
                <w:spacing w:val="-5"/>
                <w:sz w:val="14"/>
              </w:rPr>
              <w:t> </w:t>
            </w:r>
            <w:r>
              <w:rPr>
                <w:sz w:val="14"/>
              </w:rPr>
              <w:t>&amp;</w:t>
            </w:r>
            <w:r>
              <w:rPr>
                <w:spacing w:val="-5"/>
                <w:sz w:val="14"/>
              </w:rPr>
              <w:t> </w:t>
            </w:r>
            <w:r>
              <w:rPr>
                <w:sz w:val="14"/>
              </w:rPr>
              <w:t>Environment</w:t>
            </w:r>
            <w:r>
              <w:rPr>
                <w:spacing w:val="-5"/>
                <w:sz w:val="14"/>
              </w:rPr>
              <w:t> </w:t>
            </w:r>
            <w:r>
              <w:rPr>
                <w:sz w:val="14"/>
              </w:rPr>
              <w:t>Act</w:t>
            </w:r>
            <w:r>
              <w:rPr>
                <w:spacing w:val="-5"/>
                <w:sz w:val="14"/>
              </w:rPr>
              <w:t> </w:t>
            </w:r>
            <w:r>
              <w:rPr>
                <w:sz w:val="14"/>
              </w:rPr>
              <w:t>Fee</w:t>
            </w:r>
            <w:r>
              <w:rPr>
                <w:spacing w:val="-2"/>
                <w:sz w:val="14"/>
              </w:rPr>
              <w:t> </w:t>
            </w:r>
            <w:r>
              <w:rPr>
                <w:sz w:val="14"/>
              </w:rPr>
              <w:t>-</w:t>
            </w:r>
            <w:r>
              <w:rPr>
                <w:spacing w:val="-6"/>
                <w:sz w:val="14"/>
              </w:rPr>
              <w:t> </w:t>
            </w:r>
            <w:r>
              <w:rPr>
                <w:sz w:val="14"/>
              </w:rPr>
              <w:t>Remove</w:t>
            </w:r>
            <w:r>
              <w:rPr>
                <w:spacing w:val="-3"/>
                <w:sz w:val="14"/>
              </w:rPr>
              <w:t> </w:t>
            </w:r>
            <w:r>
              <w:rPr>
                <w:sz w:val="14"/>
              </w:rPr>
              <w:t>Restriction(Covenant)-no</w:t>
            </w:r>
            <w:r>
              <w:rPr>
                <w:spacing w:val="-3"/>
                <w:sz w:val="14"/>
              </w:rPr>
              <w:t> </w:t>
            </w:r>
            <w:r>
              <w:rPr>
                <w:sz w:val="14"/>
              </w:rPr>
              <w:t>adv</w:t>
            </w:r>
            <w:r>
              <w:rPr>
                <w:spacing w:val="-4"/>
                <w:sz w:val="14"/>
              </w:rPr>
              <w:t> </w:t>
            </w:r>
            <w:r>
              <w:rPr>
                <w:spacing w:val="-5"/>
                <w:sz w:val="14"/>
              </w:rPr>
              <w:t>req</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1,405.40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3.3</w:t>
            </w:r>
          </w:p>
        </w:tc>
      </w:tr>
    </w:tbl>
    <w:p>
      <w:pPr>
        <w:spacing w:after="0" w:line="140" w:lineRule="exact"/>
        <w:jc w:val="center"/>
        <w:rPr>
          <w:sz w:val="14"/>
        </w:rPr>
        <w:sectPr>
          <w:type w:val="continuous"/>
          <w:pgSz w:w="11910" w:h="16840"/>
          <w:pgMar w:header="0" w:footer="687" w:top="920" w:bottom="1046"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352" w:hRule="atLeast"/>
        </w:trPr>
        <w:tc>
          <w:tcPr>
            <w:tcW w:w="5794" w:type="dxa"/>
          </w:tcPr>
          <w:p>
            <w:pPr>
              <w:pStyle w:val="TableParagraph"/>
              <w:spacing w:line="160" w:lineRule="atLeast" w:before="11"/>
              <w:ind w:left="107" w:right="206"/>
              <w:rPr>
                <w:sz w:val="14"/>
              </w:rPr>
            </w:pPr>
            <w:r>
              <w:rPr>
                <w:sz w:val="14"/>
              </w:rPr>
              <w:t>Subdivision:</w:t>
            </w:r>
            <w:r>
              <w:rPr>
                <w:spacing w:val="-6"/>
                <w:sz w:val="14"/>
              </w:rPr>
              <w:t> </w:t>
            </w:r>
            <w:r>
              <w:rPr>
                <w:sz w:val="14"/>
              </w:rPr>
              <w:t>Planning</w:t>
            </w:r>
            <w:r>
              <w:rPr>
                <w:spacing w:val="-7"/>
                <w:sz w:val="14"/>
              </w:rPr>
              <w:t> </w:t>
            </w:r>
            <w:r>
              <w:rPr>
                <w:sz w:val="14"/>
              </w:rPr>
              <w:t>&amp;</w:t>
            </w:r>
            <w:r>
              <w:rPr>
                <w:spacing w:val="-6"/>
                <w:sz w:val="14"/>
              </w:rPr>
              <w:t> </w:t>
            </w:r>
            <w:r>
              <w:rPr>
                <w:sz w:val="14"/>
              </w:rPr>
              <w:t>Environment</w:t>
            </w:r>
            <w:r>
              <w:rPr>
                <w:spacing w:val="-7"/>
                <w:sz w:val="14"/>
              </w:rPr>
              <w:t> </w:t>
            </w:r>
            <w:r>
              <w:rPr>
                <w:sz w:val="14"/>
              </w:rPr>
              <w:t>Act</w:t>
            </w:r>
            <w:r>
              <w:rPr>
                <w:spacing w:val="-6"/>
                <w:sz w:val="14"/>
              </w:rPr>
              <w:t> </w:t>
            </w:r>
            <w:r>
              <w:rPr>
                <w:sz w:val="14"/>
              </w:rPr>
              <w:t>Fee</w:t>
            </w:r>
            <w:r>
              <w:rPr>
                <w:spacing w:val="-3"/>
                <w:sz w:val="14"/>
              </w:rPr>
              <w:t> </w:t>
            </w:r>
            <w:r>
              <w:rPr>
                <w:sz w:val="14"/>
              </w:rPr>
              <w:t>-</w:t>
            </w:r>
            <w:r>
              <w:rPr>
                <w:spacing w:val="-8"/>
                <w:sz w:val="14"/>
              </w:rPr>
              <w:t> </w:t>
            </w:r>
            <w:r>
              <w:rPr>
                <w:sz w:val="14"/>
              </w:rPr>
              <w:t>Create/Vary/Remove</w:t>
            </w:r>
            <w:r>
              <w:rPr>
                <w:spacing w:val="40"/>
                <w:sz w:val="14"/>
              </w:rPr>
              <w:t> </w:t>
            </w:r>
            <w:r>
              <w:rPr>
                <w:spacing w:val="-2"/>
                <w:sz w:val="14"/>
              </w:rPr>
              <w:t>Restriction(Covenant)</w:t>
            </w:r>
          </w:p>
        </w:tc>
        <w:tc>
          <w:tcPr>
            <w:tcW w:w="1131" w:type="dxa"/>
          </w:tcPr>
          <w:p>
            <w:pPr>
              <w:pStyle w:val="TableParagraph"/>
              <w:spacing w:before="6"/>
              <w:rPr>
                <w:sz w:val="16"/>
              </w:rPr>
            </w:pPr>
          </w:p>
          <w:p>
            <w:pPr>
              <w:pStyle w:val="TableParagraph"/>
              <w:spacing w:line="142" w:lineRule="exact"/>
              <w:ind w:left="8"/>
              <w:jc w:val="center"/>
              <w:rPr>
                <w:sz w:val="14"/>
              </w:rPr>
            </w:pPr>
            <w:r>
              <w:rPr>
                <w:w w:val="99"/>
                <w:sz w:val="14"/>
              </w:rPr>
              <w:t>S</w:t>
            </w:r>
          </w:p>
        </w:tc>
        <w:tc>
          <w:tcPr>
            <w:tcW w:w="567" w:type="dxa"/>
          </w:tcPr>
          <w:p>
            <w:pPr>
              <w:pStyle w:val="TableParagraph"/>
              <w:spacing w:before="6"/>
              <w:rPr>
                <w:sz w:val="16"/>
              </w:rPr>
            </w:pPr>
          </w:p>
          <w:p>
            <w:pPr>
              <w:pStyle w:val="TableParagraph"/>
              <w:spacing w:line="142" w:lineRule="exact"/>
              <w:ind w:left="191"/>
              <w:rPr>
                <w:sz w:val="14"/>
              </w:rPr>
            </w:pPr>
            <w:r>
              <w:rPr>
                <w:spacing w:val="-5"/>
                <w:sz w:val="14"/>
              </w:rPr>
              <w:t>No</w:t>
            </w:r>
          </w:p>
        </w:tc>
        <w:tc>
          <w:tcPr>
            <w:tcW w:w="997" w:type="dxa"/>
          </w:tcPr>
          <w:p>
            <w:pPr>
              <w:pStyle w:val="TableParagraph"/>
              <w:spacing w:before="6"/>
              <w:rPr>
                <w:sz w:val="16"/>
              </w:rPr>
            </w:pPr>
          </w:p>
          <w:p>
            <w:pPr>
              <w:pStyle w:val="TableParagraph"/>
              <w:spacing w:line="142" w:lineRule="exact"/>
              <w:ind w:right="100"/>
              <w:jc w:val="right"/>
              <w:rPr>
                <w:sz w:val="14"/>
              </w:rPr>
            </w:pPr>
            <w:r>
              <w:rPr>
                <w:spacing w:val="-2"/>
                <w:sz w:val="14"/>
              </w:rPr>
              <w:t>1,405.40</w:t>
            </w:r>
          </w:p>
        </w:tc>
        <w:tc>
          <w:tcPr>
            <w:tcW w:w="995" w:type="dxa"/>
          </w:tcPr>
          <w:p>
            <w:pPr>
              <w:pStyle w:val="TableParagraph"/>
              <w:spacing w:before="6"/>
              <w:rPr>
                <w:sz w:val="16"/>
              </w:rPr>
            </w:pPr>
          </w:p>
          <w:p>
            <w:pPr>
              <w:pStyle w:val="TableParagraph"/>
              <w:spacing w:line="142" w:lineRule="exact"/>
              <w:ind w:right="101"/>
              <w:jc w:val="right"/>
              <w:rPr>
                <w:sz w:val="14"/>
              </w:rPr>
            </w:pPr>
            <w:r>
              <w:rPr>
                <w:spacing w:val="-2"/>
                <w:sz w:val="14"/>
              </w:rPr>
              <w:t>1,453.40</w:t>
            </w:r>
          </w:p>
        </w:tc>
        <w:tc>
          <w:tcPr>
            <w:tcW w:w="861" w:type="dxa"/>
          </w:tcPr>
          <w:p>
            <w:pPr>
              <w:pStyle w:val="TableParagraph"/>
              <w:spacing w:before="6"/>
              <w:rPr>
                <w:sz w:val="16"/>
              </w:rPr>
            </w:pPr>
          </w:p>
          <w:p>
            <w:pPr>
              <w:pStyle w:val="TableParagraph"/>
              <w:spacing w:line="142" w:lineRule="exact"/>
              <w:ind w:left="151" w:right="154"/>
              <w:jc w:val="center"/>
              <w:rPr>
                <w:sz w:val="14"/>
              </w:rPr>
            </w:pPr>
            <w:r>
              <w:rPr>
                <w:spacing w:val="-5"/>
                <w:sz w:val="14"/>
              </w:rPr>
              <w:t>3.3</w:t>
            </w:r>
          </w:p>
        </w:tc>
      </w:tr>
      <w:tr>
        <w:trPr>
          <w:trHeight w:val="422" w:hRule="atLeast"/>
        </w:trPr>
        <w:tc>
          <w:tcPr>
            <w:tcW w:w="5794" w:type="dxa"/>
          </w:tcPr>
          <w:p>
            <w:pPr>
              <w:pStyle w:val="TableParagraph"/>
              <w:spacing w:line="160" w:lineRule="atLeast" w:before="80"/>
              <w:ind w:left="107"/>
              <w:rPr>
                <w:sz w:val="14"/>
              </w:rPr>
            </w:pPr>
            <w:r>
              <w:rPr>
                <w:sz w:val="14"/>
              </w:rPr>
              <w:t>Subdivision</w:t>
            </w:r>
            <w:r>
              <w:rPr>
                <w:spacing w:val="-3"/>
                <w:sz w:val="14"/>
              </w:rPr>
              <w:t> </w:t>
            </w:r>
            <w:r>
              <w:rPr>
                <w:sz w:val="14"/>
              </w:rPr>
              <w:t>(excludes</w:t>
            </w:r>
            <w:r>
              <w:rPr>
                <w:spacing w:val="-5"/>
                <w:sz w:val="14"/>
              </w:rPr>
              <w:t> </w:t>
            </w:r>
            <w:r>
              <w:rPr>
                <w:sz w:val="14"/>
              </w:rPr>
              <w:t>VicSmart</w:t>
            </w:r>
            <w:r>
              <w:rPr>
                <w:spacing w:val="-4"/>
                <w:sz w:val="14"/>
              </w:rPr>
              <w:t> </w:t>
            </w:r>
            <w:r>
              <w:rPr>
                <w:sz w:val="14"/>
              </w:rPr>
              <w:t>applications)</w:t>
            </w:r>
            <w:r>
              <w:rPr>
                <w:spacing w:val="-6"/>
                <w:sz w:val="14"/>
              </w:rPr>
              <w:t> </w:t>
            </w:r>
            <w:r>
              <w:rPr>
                <w:sz w:val="14"/>
              </w:rPr>
              <w:t>Class</w:t>
            </w:r>
            <w:r>
              <w:rPr>
                <w:spacing w:val="-6"/>
                <w:sz w:val="14"/>
              </w:rPr>
              <w:t> </w:t>
            </w:r>
            <w:r>
              <w:rPr>
                <w:sz w:val="14"/>
              </w:rPr>
              <w:t>17</w:t>
            </w:r>
            <w:r>
              <w:rPr>
                <w:spacing w:val="-6"/>
                <w:sz w:val="14"/>
              </w:rPr>
              <w:t> </w:t>
            </w:r>
            <w:r>
              <w:rPr>
                <w:sz w:val="14"/>
              </w:rPr>
              <w:t>-</w:t>
            </w:r>
            <w:r>
              <w:rPr>
                <w:spacing w:val="-3"/>
                <w:sz w:val="14"/>
              </w:rPr>
              <w:t> </w:t>
            </w:r>
            <w:r>
              <w:rPr>
                <w:sz w:val="14"/>
              </w:rPr>
              <w:t>Subdivide</w:t>
            </w:r>
            <w:r>
              <w:rPr>
                <w:spacing w:val="-4"/>
                <w:sz w:val="14"/>
              </w:rPr>
              <w:t> </w:t>
            </w:r>
            <w:r>
              <w:rPr>
                <w:sz w:val="14"/>
              </w:rPr>
              <w:t>an</w:t>
            </w:r>
            <w:r>
              <w:rPr>
                <w:spacing w:val="-3"/>
                <w:sz w:val="14"/>
              </w:rPr>
              <w:t> </w:t>
            </w:r>
            <w:r>
              <w:rPr>
                <w:sz w:val="14"/>
              </w:rPr>
              <w:t>existing</w:t>
            </w:r>
            <w:r>
              <w:rPr>
                <w:spacing w:val="-4"/>
                <w:sz w:val="14"/>
              </w:rPr>
              <w:t> </w:t>
            </w:r>
            <w:r>
              <w:rPr>
                <w:sz w:val="14"/>
              </w:rPr>
              <w:t>building</w:t>
            </w:r>
            <w:r>
              <w:rPr>
                <w:spacing w:val="40"/>
                <w:sz w:val="14"/>
              </w:rPr>
              <w:t> </w:t>
            </w:r>
            <w:r>
              <w:rPr>
                <w:sz w:val="14"/>
              </w:rPr>
              <w:t>Application</w:t>
            </w:r>
            <w:r>
              <w:rPr>
                <w:spacing w:val="-2"/>
                <w:sz w:val="14"/>
              </w:rPr>
              <w:t> </w:t>
            </w:r>
            <w:r>
              <w:rPr>
                <w:sz w:val="14"/>
              </w:rPr>
              <w:t>fee</w:t>
            </w:r>
          </w:p>
        </w:tc>
        <w:tc>
          <w:tcPr>
            <w:tcW w:w="1131" w:type="dxa"/>
          </w:tcPr>
          <w:p>
            <w:pPr>
              <w:pStyle w:val="TableParagraph"/>
              <w:spacing w:before="6"/>
              <w:rPr>
                <w:sz w:val="22"/>
              </w:rPr>
            </w:pPr>
          </w:p>
          <w:p>
            <w:pPr>
              <w:pStyle w:val="TableParagraph"/>
              <w:spacing w:line="142" w:lineRule="exact"/>
              <w:ind w:left="6"/>
              <w:jc w:val="center"/>
              <w:rPr>
                <w:sz w:val="14"/>
              </w:rPr>
            </w:pPr>
            <w:r>
              <w:rPr>
                <w:w w:val="99"/>
                <w:sz w:val="14"/>
              </w:rPr>
              <w:t>S</w:t>
            </w:r>
          </w:p>
        </w:tc>
        <w:tc>
          <w:tcPr>
            <w:tcW w:w="567" w:type="dxa"/>
          </w:tcPr>
          <w:p>
            <w:pPr>
              <w:pStyle w:val="TableParagraph"/>
              <w:spacing w:before="6"/>
              <w:rPr>
                <w:sz w:val="22"/>
              </w:rPr>
            </w:pPr>
          </w:p>
          <w:p>
            <w:pPr>
              <w:pStyle w:val="TableParagraph"/>
              <w:spacing w:line="142" w:lineRule="exact"/>
              <w:ind w:left="190"/>
              <w:rPr>
                <w:sz w:val="14"/>
              </w:rPr>
            </w:pPr>
            <w:r>
              <w:rPr>
                <w:spacing w:val="-5"/>
                <w:sz w:val="14"/>
              </w:rPr>
              <w:t>No</w:t>
            </w:r>
          </w:p>
        </w:tc>
        <w:tc>
          <w:tcPr>
            <w:tcW w:w="997" w:type="dxa"/>
          </w:tcPr>
          <w:p>
            <w:pPr>
              <w:pStyle w:val="TableParagraph"/>
              <w:spacing w:before="6"/>
              <w:rPr>
                <w:sz w:val="22"/>
              </w:rPr>
            </w:pPr>
          </w:p>
          <w:p>
            <w:pPr>
              <w:pStyle w:val="TableParagraph"/>
              <w:spacing w:line="142" w:lineRule="exact"/>
              <w:ind w:right="100"/>
              <w:jc w:val="right"/>
              <w:rPr>
                <w:sz w:val="14"/>
              </w:rPr>
            </w:pPr>
            <w:r>
              <w:rPr>
                <w:spacing w:val="-2"/>
                <w:sz w:val="14"/>
              </w:rPr>
              <w:t>1,415.10</w:t>
            </w:r>
          </w:p>
        </w:tc>
        <w:tc>
          <w:tcPr>
            <w:tcW w:w="995" w:type="dxa"/>
          </w:tcPr>
          <w:p>
            <w:pPr>
              <w:pStyle w:val="TableParagraph"/>
              <w:spacing w:before="6"/>
              <w:rPr>
                <w:sz w:val="22"/>
              </w:rPr>
            </w:pPr>
          </w:p>
          <w:p>
            <w:pPr>
              <w:pStyle w:val="TableParagraph"/>
              <w:spacing w:line="142" w:lineRule="exact"/>
              <w:ind w:right="101"/>
              <w:jc w:val="right"/>
              <w:rPr>
                <w:sz w:val="14"/>
              </w:rPr>
            </w:pPr>
            <w:r>
              <w:rPr>
                <w:spacing w:val="-2"/>
                <w:sz w:val="14"/>
              </w:rPr>
              <w:t>1,453.40</w:t>
            </w:r>
          </w:p>
        </w:tc>
        <w:tc>
          <w:tcPr>
            <w:tcW w:w="861" w:type="dxa"/>
          </w:tcPr>
          <w:p>
            <w:pPr>
              <w:pStyle w:val="TableParagraph"/>
              <w:spacing w:before="6"/>
              <w:rPr>
                <w:sz w:val="22"/>
              </w:rPr>
            </w:pPr>
          </w:p>
          <w:p>
            <w:pPr>
              <w:pStyle w:val="TableParagraph"/>
              <w:spacing w:line="142" w:lineRule="exact"/>
              <w:ind w:left="151" w:right="154"/>
              <w:jc w:val="center"/>
              <w:rPr>
                <w:sz w:val="14"/>
              </w:rPr>
            </w:pPr>
            <w:r>
              <w:rPr>
                <w:spacing w:val="-5"/>
                <w:sz w:val="14"/>
              </w:rPr>
              <w:t>2.6</w:t>
            </w:r>
          </w:p>
        </w:tc>
      </w:tr>
      <w:tr>
        <w:trPr>
          <w:trHeight w:val="390" w:hRule="atLeast"/>
        </w:trPr>
        <w:tc>
          <w:tcPr>
            <w:tcW w:w="5794" w:type="dxa"/>
          </w:tcPr>
          <w:p>
            <w:pPr>
              <w:pStyle w:val="TableParagraph"/>
              <w:spacing w:line="160" w:lineRule="atLeast" w:before="49"/>
              <w:ind w:left="107"/>
              <w:rPr>
                <w:sz w:val="14"/>
              </w:rPr>
            </w:pPr>
            <w:r>
              <w:rPr>
                <w:sz w:val="14"/>
              </w:rPr>
              <w:t>Subdivision</w:t>
            </w:r>
            <w:r>
              <w:rPr>
                <w:spacing w:val="-3"/>
                <w:sz w:val="14"/>
              </w:rPr>
              <w:t> </w:t>
            </w:r>
            <w:r>
              <w:rPr>
                <w:sz w:val="14"/>
              </w:rPr>
              <w:t>(excludes</w:t>
            </w:r>
            <w:r>
              <w:rPr>
                <w:spacing w:val="-5"/>
                <w:sz w:val="14"/>
              </w:rPr>
              <w:t> </w:t>
            </w:r>
            <w:r>
              <w:rPr>
                <w:sz w:val="14"/>
              </w:rPr>
              <w:t>VicSmart</w:t>
            </w:r>
            <w:r>
              <w:rPr>
                <w:spacing w:val="-4"/>
                <w:sz w:val="14"/>
              </w:rPr>
              <w:t> </w:t>
            </w:r>
            <w:r>
              <w:rPr>
                <w:sz w:val="14"/>
              </w:rPr>
              <w:t>applications)</w:t>
            </w:r>
            <w:r>
              <w:rPr>
                <w:spacing w:val="-6"/>
                <w:sz w:val="14"/>
              </w:rPr>
              <w:t> </w:t>
            </w:r>
            <w:r>
              <w:rPr>
                <w:sz w:val="14"/>
              </w:rPr>
              <w:t>Class</w:t>
            </w:r>
            <w:r>
              <w:rPr>
                <w:spacing w:val="-6"/>
                <w:sz w:val="14"/>
              </w:rPr>
              <w:t> </w:t>
            </w:r>
            <w:r>
              <w:rPr>
                <w:sz w:val="14"/>
              </w:rPr>
              <w:t>17</w:t>
            </w:r>
            <w:r>
              <w:rPr>
                <w:spacing w:val="-6"/>
                <w:sz w:val="14"/>
              </w:rPr>
              <w:t> </w:t>
            </w:r>
            <w:r>
              <w:rPr>
                <w:sz w:val="14"/>
              </w:rPr>
              <w:t>-</w:t>
            </w:r>
            <w:r>
              <w:rPr>
                <w:spacing w:val="-3"/>
                <w:sz w:val="14"/>
              </w:rPr>
              <w:t> </w:t>
            </w:r>
            <w:r>
              <w:rPr>
                <w:sz w:val="14"/>
              </w:rPr>
              <w:t>Subdivide</w:t>
            </w:r>
            <w:r>
              <w:rPr>
                <w:spacing w:val="-4"/>
                <w:sz w:val="14"/>
              </w:rPr>
              <w:t> </w:t>
            </w:r>
            <w:r>
              <w:rPr>
                <w:sz w:val="14"/>
              </w:rPr>
              <w:t>an</w:t>
            </w:r>
            <w:r>
              <w:rPr>
                <w:spacing w:val="-3"/>
                <w:sz w:val="14"/>
              </w:rPr>
              <w:t> </w:t>
            </w:r>
            <w:r>
              <w:rPr>
                <w:sz w:val="14"/>
              </w:rPr>
              <w:t>existing</w:t>
            </w:r>
            <w:r>
              <w:rPr>
                <w:spacing w:val="-4"/>
                <w:sz w:val="14"/>
              </w:rPr>
              <w:t> </w:t>
            </w:r>
            <w:r>
              <w:rPr>
                <w:sz w:val="14"/>
              </w:rPr>
              <w:t>building</w:t>
            </w:r>
            <w:r>
              <w:rPr>
                <w:spacing w:val="40"/>
                <w:sz w:val="14"/>
              </w:rPr>
              <w:t> </w:t>
            </w:r>
            <w:r>
              <w:rPr>
                <w:sz w:val="14"/>
              </w:rPr>
              <w:t>Section 72 Amendment fee</w:t>
            </w:r>
          </w:p>
        </w:tc>
        <w:tc>
          <w:tcPr>
            <w:tcW w:w="1131" w:type="dxa"/>
          </w:tcPr>
          <w:p>
            <w:pPr>
              <w:pStyle w:val="TableParagraph"/>
              <w:rPr>
                <w:sz w:val="20"/>
              </w:rPr>
            </w:pPr>
          </w:p>
          <w:p>
            <w:pPr>
              <w:pStyle w:val="TableParagraph"/>
              <w:spacing w:line="140" w:lineRule="exact" w:before="1"/>
              <w:ind w:left="7"/>
              <w:jc w:val="center"/>
              <w:rPr>
                <w:sz w:val="14"/>
              </w:rPr>
            </w:pPr>
            <w:r>
              <w:rPr>
                <w:w w:val="99"/>
                <w:sz w:val="14"/>
              </w:rPr>
              <w:t>S</w:t>
            </w:r>
          </w:p>
        </w:tc>
        <w:tc>
          <w:tcPr>
            <w:tcW w:w="567" w:type="dxa"/>
          </w:tcPr>
          <w:p>
            <w:pPr>
              <w:pStyle w:val="TableParagraph"/>
              <w:rPr>
                <w:sz w:val="20"/>
              </w:rPr>
            </w:pPr>
          </w:p>
          <w:p>
            <w:pPr>
              <w:pStyle w:val="TableParagraph"/>
              <w:spacing w:line="140" w:lineRule="exact" w:before="1"/>
              <w:ind w:left="190"/>
              <w:rPr>
                <w:sz w:val="14"/>
              </w:rPr>
            </w:pPr>
            <w:r>
              <w:rPr>
                <w:spacing w:val="-5"/>
                <w:sz w:val="14"/>
              </w:rPr>
              <w:t>No</w:t>
            </w:r>
          </w:p>
        </w:tc>
        <w:tc>
          <w:tcPr>
            <w:tcW w:w="997" w:type="dxa"/>
          </w:tcPr>
          <w:p>
            <w:pPr>
              <w:pStyle w:val="TableParagraph"/>
              <w:rPr>
                <w:sz w:val="20"/>
              </w:rPr>
            </w:pPr>
          </w:p>
          <w:p>
            <w:pPr>
              <w:pStyle w:val="TableParagraph"/>
              <w:spacing w:line="140" w:lineRule="exact" w:before="1"/>
              <w:ind w:right="100"/>
              <w:jc w:val="right"/>
              <w:rPr>
                <w:sz w:val="14"/>
              </w:rPr>
            </w:pPr>
            <w:r>
              <w:rPr>
                <w:spacing w:val="-2"/>
                <w:sz w:val="14"/>
              </w:rPr>
              <w:t>1,415.10</w:t>
            </w:r>
          </w:p>
        </w:tc>
        <w:tc>
          <w:tcPr>
            <w:tcW w:w="995" w:type="dxa"/>
          </w:tcPr>
          <w:p>
            <w:pPr>
              <w:pStyle w:val="TableParagraph"/>
              <w:rPr>
                <w:sz w:val="20"/>
              </w:rPr>
            </w:pPr>
          </w:p>
          <w:p>
            <w:pPr>
              <w:pStyle w:val="TableParagraph"/>
              <w:spacing w:line="140" w:lineRule="exact" w:before="1"/>
              <w:ind w:right="101"/>
              <w:jc w:val="right"/>
              <w:rPr>
                <w:sz w:val="14"/>
              </w:rPr>
            </w:pPr>
            <w:r>
              <w:rPr>
                <w:spacing w:val="-2"/>
                <w:sz w:val="14"/>
              </w:rPr>
              <w:t>1,453.40</w:t>
            </w:r>
          </w:p>
        </w:tc>
        <w:tc>
          <w:tcPr>
            <w:tcW w:w="861" w:type="dxa"/>
          </w:tcPr>
          <w:p>
            <w:pPr>
              <w:pStyle w:val="TableParagraph"/>
              <w:rPr>
                <w:sz w:val="20"/>
              </w:rPr>
            </w:pPr>
          </w:p>
          <w:p>
            <w:pPr>
              <w:pStyle w:val="TableParagraph"/>
              <w:spacing w:line="140" w:lineRule="exact" w:before="1"/>
              <w:ind w:left="152" w:right="154"/>
              <w:jc w:val="center"/>
              <w:rPr>
                <w:sz w:val="14"/>
              </w:rPr>
            </w:pPr>
            <w:r>
              <w:rPr>
                <w:spacing w:val="-5"/>
                <w:sz w:val="14"/>
              </w:rPr>
              <w:t>2.6</w:t>
            </w:r>
          </w:p>
        </w:tc>
      </w:tr>
      <w:tr>
        <w:trPr>
          <w:trHeight w:val="381" w:hRule="atLeast"/>
        </w:trPr>
        <w:tc>
          <w:tcPr>
            <w:tcW w:w="5794" w:type="dxa"/>
          </w:tcPr>
          <w:p>
            <w:pPr>
              <w:pStyle w:val="TableParagraph"/>
              <w:spacing w:line="160" w:lineRule="atLeast" w:before="39"/>
              <w:ind w:left="107" w:right="174"/>
              <w:rPr>
                <w:sz w:val="14"/>
              </w:rPr>
            </w:pPr>
            <w:r>
              <w:rPr>
                <w:sz w:val="14"/>
              </w:rPr>
              <w:t>Subdivision</w:t>
            </w:r>
            <w:r>
              <w:rPr>
                <w:spacing w:val="-3"/>
                <w:sz w:val="14"/>
              </w:rPr>
              <w:t> </w:t>
            </w:r>
            <w:r>
              <w:rPr>
                <w:sz w:val="14"/>
              </w:rPr>
              <w:t>(excludes</w:t>
            </w:r>
            <w:r>
              <w:rPr>
                <w:spacing w:val="-4"/>
                <w:sz w:val="14"/>
              </w:rPr>
              <w:t> </w:t>
            </w:r>
            <w:r>
              <w:rPr>
                <w:sz w:val="14"/>
              </w:rPr>
              <w:t>VicSmart</w:t>
            </w:r>
            <w:r>
              <w:rPr>
                <w:spacing w:val="-4"/>
                <w:sz w:val="14"/>
              </w:rPr>
              <w:t> </w:t>
            </w:r>
            <w:r>
              <w:rPr>
                <w:sz w:val="14"/>
              </w:rPr>
              <w:t>applications)</w:t>
            </w:r>
            <w:r>
              <w:rPr>
                <w:spacing w:val="-5"/>
                <w:sz w:val="14"/>
              </w:rPr>
              <w:t> </w:t>
            </w:r>
            <w:r>
              <w:rPr>
                <w:sz w:val="14"/>
              </w:rPr>
              <w:t>Class</w:t>
            </w:r>
            <w:r>
              <w:rPr>
                <w:spacing w:val="-5"/>
                <w:sz w:val="14"/>
              </w:rPr>
              <w:t> </w:t>
            </w:r>
            <w:r>
              <w:rPr>
                <w:sz w:val="14"/>
              </w:rPr>
              <w:t>18</w:t>
            </w:r>
            <w:r>
              <w:rPr>
                <w:spacing w:val="-5"/>
                <w:sz w:val="14"/>
              </w:rPr>
              <w:t> </w:t>
            </w:r>
            <w:r>
              <w:rPr>
                <w:sz w:val="14"/>
              </w:rPr>
              <w:t>-</w:t>
            </w:r>
            <w:r>
              <w:rPr>
                <w:spacing w:val="-3"/>
                <w:sz w:val="14"/>
              </w:rPr>
              <w:t> </w:t>
            </w:r>
            <w:r>
              <w:rPr>
                <w:sz w:val="14"/>
              </w:rPr>
              <w:t>Subdivide</w:t>
            </w:r>
            <w:r>
              <w:rPr>
                <w:spacing w:val="-5"/>
                <w:sz w:val="14"/>
              </w:rPr>
              <w:t> </w:t>
            </w:r>
            <w:r>
              <w:rPr>
                <w:sz w:val="14"/>
              </w:rPr>
              <w:t>land</w:t>
            </w:r>
            <w:r>
              <w:rPr>
                <w:spacing w:val="-3"/>
                <w:sz w:val="14"/>
              </w:rPr>
              <w:t> </w:t>
            </w:r>
            <w:r>
              <w:rPr>
                <w:sz w:val="14"/>
              </w:rPr>
              <w:t>into</w:t>
            </w:r>
            <w:r>
              <w:rPr>
                <w:spacing w:val="-6"/>
                <w:sz w:val="14"/>
              </w:rPr>
              <w:t> </w:t>
            </w:r>
            <w:r>
              <w:rPr>
                <w:sz w:val="14"/>
              </w:rPr>
              <w:t>2</w:t>
            </w:r>
            <w:r>
              <w:rPr>
                <w:spacing w:val="-3"/>
                <w:sz w:val="14"/>
              </w:rPr>
              <w:t> </w:t>
            </w:r>
            <w:r>
              <w:rPr>
                <w:sz w:val="14"/>
              </w:rPr>
              <w:t>lots</w:t>
            </w:r>
            <w:r>
              <w:rPr>
                <w:spacing w:val="40"/>
                <w:sz w:val="14"/>
              </w:rPr>
              <w:t> </w:t>
            </w:r>
            <w:r>
              <w:rPr>
                <w:spacing w:val="-2"/>
                <w:sz w:val="14"/>
              </w:rPr>
              <w:t>Application</w:t>
            </w:r>
          </w:p>
        </w:tc>
        <w:tc>
          <w:tcPr>
            <w:tcW w:w="1131" w:type="dxa"/>
          </w:tcPr>
          <w:p>
            <w:pPr>
              <w:pStyle w:val="TableParagraph"/>
              <w:rPr>
                <w:sz w:val="19"/>
              </w:rPr>
            </w:pPr>
          </w:p>
          <w:p>
            <w:pPr>
              <w:pStyle w:val="TableParagraph"/>
              <w:spacing w:line="142" w:lineRule="exact"/>
              <w:ind w:left="6"/>
              <w:jc w:val="center"/>
              <w:rPr>
                <w:sz w:val="14"/>
              </w:rPr>
            </w:pPr>
            <w:r>
              <w:rPr>
                <w:w w:val="99"/>
                <w:sz w:val="14"/>
              </w:rPr>
              <w:t>S</w:t>
            </w:r>
          </w:p>
        </w:tc>
        <w:tc>
          <w:tcPr>
            <w:tcW w:w="567" w:type="dxa"/>
          </w:tcPr>
          <w:p>
            <w:pPr>
              <w:pStyle w:val="TableParagraph"/>
              <w:rPr>
                <w:sz w:val="19"/>
              </w:rPr>
            </w:pPr>
          </w:p>
          <w:p>
            <w:pPr>
              <w:pStyle w:val="TableParagraph"/>
              <w:spacing w:line="142" w:lineRule="exact"/>
              <w:ind w:left="190"/>
              <w:rPr>
                <w:sz w:val="14"/>
              </w:rPr>
            </w:pPr>
            <w:r>
              <w:rPr>
                <w:spacing w:val="-5"/>
                <w:sz w:val="14"/>
              </w:rPr>
              <w:t>No</w:t>
            </w:r>
          </w:p>
        </w:tc>
        <w:tc>
          <w:tcPr>
            <w:tcW w:w="997" w:type="dxa"/>
          </w:tcPr>
          <w:p>
            <w:pPr>
              <w:pStyle w:val="TableParagraph"/>
              <w:rPr>
                <w:sz w:val="19"/>
              </w:rPr>
            </w:pPr>
          </w:p>
          <w:p>
            <w:pPr>
              <w:pStyle w:val="TableParagraph"/>
              <w:spacing w:line="142" w:lineRule="exact"/>
              <w:ind w:right="100"/>
              <w:jc w:val="right"/>
              <w:rPr>
                <w:sz w:val="14"/>
              </w:rPr>
            </w:pPr>
            <w:r>
              <w:rPr>
                <w:spacing w:val="-2"/>
                <w:sz w:val="14"/>
              </w:rPr>
              <w:t>1,415.10</w:t>
            </w:r>
          </w:p>
        </w:tc>
        <w:tc>
          <w:tcPr>
            <w:tcW w:w="995" w:type="dxa"/>
          </w:tcPr>
          <w:p>
            <w:pPr>
              <w:pStyle w:val="TableParagraph"/>
              <w:rPr>
                <w:sz w:val="19"/>
              </w:rPr>
            </w:pPr>
          </w:p>
          <w:p>
            <w:pPr>
              <w:pStyle w:val="TableParagraph"/>
              <w:spacing w:line="142" w:lineRule="exact"/>
              <w:ind w:right="101"/>
              <w:jc w:val="right"/>
              <w:rPr>
                <w:sz w:val="14"/>
              </w:rPr>
            </w:pPr>
            <w:r>
              <w:rPr>
                <w:spacing w:val="-2"/>
                <w:sz w:val="14"/>
              </w:rPr>
              <w:t>1,453.40</w:t>
            </w:r>
          </w:p>
        </w:tc>
        <w:tc>
          <w:tcPr>
            <w:tcW w:w="861" w:type="dxa"/>
          </w:tcPr>
          <w:p>
            <w:pPr>
              <w:pStyle w:val="TableParagraph"/>
              <w:rPr>
                <w:sz w:val="19"/>
              </w:rPr>
            </w:pPr>
          </w:p>
          <w:p>
            <w:pPr>
              <w:pStyle w:val="TableParagraph"/>
              <w:spacing w:line="142" w:lineRule="exact"/>
              <w:ind w:left="152" w:right="154"/>
              <w:jc w:val="center"/>
              <w:rPr>
                <w:sz w:val="14"/>
              </w:rPr>
            </w:pPr>
            <w:r>
              <w:rPr>
                <w:spacing w:val="-5"/>
                <w:sz w:val="14"/>
              </w:rPr>
              <w:t>2.6</w:t>
            </w:r>
          </w:p>
        </w:tc>
      </w:tr>
      <w:tr>
        <w:trPr>
          <w:trHeight w:val="378" w:hRule="atLeast"/>
        </w:trPr>
        <w:tc>
          <w:tcPr>
            <w:tcW w:w="5794" w:type="dxa"/>
          </w:tcPr>
          <w:p>
            <w:pPr>
              <w:pStyle w:val="TableParagraph"/>
              <w:spacing w:line="160" w:lineRule="atLeast" w:before="38"/>
              <w:ind w:left="107" w:right="110"/>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18</w:t>
            </w:r>
            <w:r>
              <w:rPr>
                <w:spacing w:val="-5"/>
                <w:sz w:val="14"/>
              </w:rPr>
              <w:t> </w:t>
            </w:r>
            <w:r>
              <w:rPr>
                <w:sz w:val="14"/>
              </w:rPr>
              <w:t>-</w:t>
            </w:r>
            <w:r>
              <w:rPr>
                <w:spacing w:val="-2"/>
                <w:sz w:val="14"/>
              </w:rPr>
              <w:t> </w:t>
            </w:r>
            <w:r>
              <w:rPr>
                <w:sz w:val="14"/>
              </w:rPr>
              <w:t>Subdivide</w:t>
            </w:r>
            <w:r>
              <w:rPr>
                <w:spacing w:val="-5"/>
                <w:sz w:val="14"/>
              </w:rPr>
              <w:t> </w:t>
            </w:r>
            <w:r>
              <w:rPr>
                <w:sz w:val="14"/>
              </w:rPr>
              <w:t>land</w:t>
            </w:r>
            <w:r>
              <w:rPr>
                <w:spacing w:val="-2"/>
                <w:sz w:val="14"/>
              </w:rPr>
              <w:t> </w:t>
            </w:r>
            <w:r>
              <w:rPr>
                <w:sz w:val="14"/>
              </w:rPr>
              <w:t>into</w:t>
            </w:r>
            <w:r>
              <w:rPr>
                <w:spacing w:val="-6"/>
                <w:sz w:val="14"/>
              </w:rPr>
              <w:t> </w:t>
            </w:r>
            <w:r>
              <w:rPr>
                <w:sz w:val="14"/>
              </w:rPr>
              <w:t>2</w:t>
            </w:r>
            <w:r>
              <w:rPr>
                <w:spacing w:val="-2"/>
                <w:sz w:val="14"/>
              </w:rPr>
              <w:t> </w:t>
            </w:r>
            <w:r>
              <w:rPr>
                <w:sz w:val="14"/>
              </w:rPr>
              <w:t>lots</w:t>
            </w:r>
            <w:r>
              <w:rPr>
                <w:spacing w:val="-4"/>
                <w:sz w:val="14"/>
              </w:rPr>
              <w:t> </w:t>
            </w:r>
            <w:r>
              <w:rPr>
                <w:sz w:val="14"/>
              </w:rPr>
              <w:t>Section</w:t>
            </w:r>
            <w:r>
              <w:rPr>
                <w:spacing w:val="40"/>
                <w:sz w:val="14"/>
              </w:rPr>
              <w:t> </w:t>
            </w:r>
            <w:r>
              <w:rPr>
                <w:sz w:val="14"/>
              </w:rPr>
              <w:t>72 Amendment fee</w:t>
            </w:r>
          </w:p>
        </w:tc>
        <w:tc>
          <w:tcPr>
            <w:tcW w:w="1131" w:type="dxa"/>
          </w:tcPr>
          <w:p>
            <w:pPr>
              <w:pStyle w:val="TableParagraph"/>
              <w:rPr>
                <w:sz w:val="19"/>
              </w:rPr>
            </w:pPr>
          </w:p>
          <w:p>
            <w:pPr>
              <w:pStyle w:val="TableParagraph"/>
              <w:spacing w:line="140" w:lineRule="exact"/>
              <w:ind w:left="7"/>
              <w:jc w:val="center"/>
              <w:rPr>
                <w:sz w:val="14"/>
              </w:rPr>
            </w:pPr>
            <w:r>
              <w:rPr>
                <w:w w:val="99"/>
                <w:sz w:val="14"/>
              </w:rPr>
              <w:t>S</w:t>
            </w:r>
          </w:p>
        </w:tc>
        <w:tc>
          <w:tcPr>
            <w:tcW w:w="567" w:type="dxa"/>
          </w:tcPr>
          <w:p>
            <w:pPr>
              <w:pStyle w:val="TableParagraph"/>
              <w:rPr>
                <w:sz w:val="19"/>
              </w:rPr>
            </w:pPr>
          </w:p>
          <w:p>
            <w:pPr>
              <w:pStyle w:val="TableParagraph"/>
              <w:spacing w:line="140" w:lineRule="exact"/>
              <w:ind w:left="190"/>
              <w:rPr>
                <w:sz w:val="14"/>
              </w:rPr>
            </w:pPr>
            <w:r>
              <w:rPr>
                <w:spacing w:val="-5"/>
                <w:sz w:val="14"/>
              </w:rPr>
              <w:t>No</w:t>
            </w:r>
          </w:p>
        </w:tc>
        <w:tc>
          <w:tcPr>
            <w:tcW w:w="997" w:type="dxa"/>
          </w:tcPr>
          <w:p>
            <w:pPr>
              <w:pStyle w:val="TableParagraph"/>
              <w:rPr>
                <w:sz w:val="19"/>
              </w:rPr>
            </w:pPr>
          </w:p>
          <w:p>
            <w:pPr>
              <w:pStyle w:val="TableParagraph"/>
              <w:spacing w:line="140" w:lineRule="exact"/>
              <w:ind w:right="100"/>
              <w:jc w:val="right"/>
              <w:rPr>
                <w:sz w:val="14"/>
              </w:rPr>
            </w:pPr>
            <w:r>
              <w:rPr>
                <w:spacing w:val="-2"/>
                <w:sz w:val="14"/>
              </w:rPr>
              <w:t>1,415.10</w:t>
            </w:r>
          </w:p>
        </w:tc>
        <w:tc>
          <w:tcPr>
            <w:tcW w:w="995" w:type="dxa"/>
          </w:tcPr>
          <w:p>
            <w:pPr>
              <w:pStyle w:val="TableParagraph"/>
              <w:rPr>
                <w:sz w:val="19"/>
              </w:rPr>
            </w:pPr>
          </w:p>
          <w:p>
            <w:pPr>
              <w:pStyle w:val="TableParagraph"/>
              <w:spacing w:line="140" w:lineRule="exact"/>
              <w:ind w:right="101"/>
              <w:jc w:val="right"/>
              <w:rPr>
                <w:sz w:val="14"/>
              </w:rPr>
            </w:pPr>
            <w:r>
              <w:rPr>
                <w:spacing w:val="-2"/>
                <w:sz w:val="14"/>
              </w:rPr>
              <w:t>1,453.40</w:t>
            </w:r>
          </w:p>
        </w:tc>
        <w:tc>
          <w:tcPr>
            <w:tcW w:w="861" w:type="dxa"/>
          </w:tcPr>
          <w:p>
            <w:pPr>
              <w:pStyle w:val="TableParagraph"/>
              <w:rPr>
                <w:sz w:val="19"/>
              </w:rPr>
            </w:pPr>
          </w:p>
          <w:p>
            <w:pPr>
              <w:pStyle w:val="TableParagraph"/>
              <w:spacing w:line="140" w:lineRule="exact"/>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Subdivision</w:t>
            </w:r>
            <w:r>
              <w:rPr>
                <w:spacing w:val="-3"/>
                <w:sz w:val="14"/>
              </w:rPr>
              <w:t> </w:t>
            </w:r>
            <w:r>
              <w:rPr>
                <w:sz w:val="14"/>
              </w:rPr>
              <w:t>(excludes</w:t>
            </w:r>
            <w:r>
              <w:rPr>
                <w:spacing w:val="-5"/>
                <w:sz w:val="14"/>
              </w:rPr>
              <w:t> </w:t>
            </w:r>
            <w:r>
              <w:rPr>
                <w:sz w:val="14"/>
              </w:rPr>
              <w:t>VicSmart</w:t>
            </w:r>
            <w:r>
              <w:rPr>
                <w:spacing w:val="-4"/>
                <w:sz w:val="14"/>
              </w:rPr>
              <w:t> </w:t>
            </w:r>
            <w:r>
              <w:rPr>
                <w:sz w:val="14"/>
              </w:rPr>
              <w:t>applications)</w:t>
            </w:r>
            <w:r>
              <w:rPr>
                <w:spacing w:val="-6"/>
                <w:sz w:val="14"/>
              </w:rPr>
              <w:t> </w:t>
            </w:r>
            <w:r>
              <w:rPr>
                <w:sz w:val="14"/>
              </w:rPr>
              <w:t>Class</w:t>
            </w:r>
            <w:r>
              <w:rPr>
                <w:spacing w:val="-6"/>
                <w:sz w:val="14"/>
              </w:rPr>
              <w:t> </w:t>
            </w:r>
            <w:r>
              <w:rPr>
                <w:sz w:val="14"/>
              </w:rPr>
              <w:t>19</w:t>
            </w:r>
            <w:r>
              <w:rPr>
                <w:spacing w:val="-6"/>
                <w:sz w:val="14"/>
              </w:rPr>
              <w:t> </w:t>
            </w:r>
            <w:r>
              <w:rPr>
                <w:sz w:val="14"/>
              </w:rPr>
              <w:t>-</w:t>
            </w:r>
            <w:r>
              <w:rPr>
                <w:spacing w:val="-3"/>
                <w:sz w:val="14"/>
              </w:rPr>
              <w:t> </w:t>
            </w:r>
            <w:r>
              <w:rPr>
                <w:sz w:val="14"/>
              </w:rPr>
              <w:t>Realignment</w:t>
            </w:r>
            <w:r>
              <w:rPr>
                <w:spacing w:val="-3"/>
                <w:sz w:val="14"/>
              </w:rPr>
              <w:t> </w:t>
            </w:r>
            <w:r>
              <w:rPr>
                <w:sz w:val="14"/>
              </w:rPr>
              <w:t>of</w:t>
            </w:r>
            <w:r>
              <w:rPr>
                <w:spacing w:val="-6"/>
                <w:sz w:val="14"/>
              </w:rPr>
              <w:t> </w:t>
            </w:r>
            <w:r>
              <w:rPr>
                <w:sz w:val="14"/>
              </w:rPr>
              <w:t>common</w:t>
            </w:r>
            <w:r>
              <w:rPr>
                <w:spacing w:val="40"/>
                <w:sz w:val="14"/>
              </w:rPr>
              <w:t> </w:t>
            </w:r>
            <w:r>
              <w:rPr>
                <w:sz w:val="14"/>
              </w:rPr>
              <w:t>boundary between lots or consolidated 2 or more lots Application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19</w:t>
            </w:r>
            <w:r>
              <w:rPr>
                <w:spacing w:val="-5"/>
                <w:sz w:val="14"/>
              </w:rPr>
              <w:t> </w:t>
            </w:r>
            <w:r>
              <w:rPr>
                <w:sz w:val="14"/>
              </w:rPr>
              <w:t>-</w:t>
            </w:r>
            <w:r>
              <w:rPr>
                <w:spacing w:val="-2"/>
                <w:sz w:val="14"/>
              </w:rPr>
              <w:t> </w:t>
            </w:r>
            <w:r>
              <w:rPr>
                <w:sz w:val="14"/>
              </w:rPr>
              <w:t>Realignment</w:t>
            </w:r>
            <w:r>
              <w:rPr>
                <w:spacing w:val="-2"/>
                <w:sz w:val="14"/>
              </w:rPr>
              <w:t> </w:t>
            </w:r>
            <w:r>
              <w:rPr>
                <w:sz w:val="14"/>
              </w:rPr>
              <w:t>of</w:t>
            </w:r>
            <w:r>
              <w:rPr>
                <w:spacing w:val="-5"/>
                <w:sz w:val="14"/>
              </w:rPr>
              <w:t> </w:t>
            </w:r>
            <w:r>
              <w:rPr>
                <w:sz w:val="14"/>
              </w:rPr>
              <w:t>common</w:t>
            </w:r>
            <w:r>
              <w:rPr>
                <w:spacing w:val="40"/>
                <w:sz w:val="14"/>
              </w:rPr>
              <w:t> </w:t>
            </w:r>
            <w:r>
              <w:rPr>
                <w:sz w:val="14"/>
              </w:rPr>
              <w:t>boundary</w:t>
            </w:r>
            <w:r>
              <w:rPr>
                <w:spacing w:val="-3"/>
                <w:sz w:val="14"/>
              </w:rPr>
              <w:t> </w:t>
            </w:r>
            <w:r>
              <w:rPr>
                <w:sz w:val="14"/>
              </w:rPr>
              <w:t>between</w:t>
            </w:r>
            <w:r>
              <w:rPr>
                <w:spacing w:val="-5"/>
                <w:sz w:val="14"/>
              </w:rPr>
              <w:t> </w:t>
            </w:r>
            <w:r>
              <w:rPr>
                <w:sz w:val="14"/>
              </w:rPr>
              <w:t>lots</w:t>
            </w:r>
            <w:r>
              <w:rPr>
                <w:spacing w:val="-2"/>
                <w:sz w:val="14"/>
              </w:rPr>
              <w:t> </w:t>
            </w:r>
            <w:r>
              <w:rPr>
                <w:sz w:val="14"/>
              </w:rPr>
              <w:t>or</w:t>
            </w:r>
            <w:r>
              <w:rPr>
                <w:spacing w:val="-5"/>
                <w:sz w:val="14"/>
              </w:rPr>
              <w:t> </w:t>
            </w:r>
            <w:r>
              <w:rPr>
                <w:sz w:val="14"/>
              </w:rPr>
              <w:t>consolidated</w:t>
            </w:r>
            <w:r>
              <w:rPr>
                <w:spacing w:val="-1"/>
                <w:sz w:val="14"/>
              </w:rPr>
              <w:t> </w:t>
            </w:r>
            <w:r>
              <w:rPr>
                <w:sz w:val="14"/>
              </w:rPr>
              <w:t>2</w:t>
            </w:r>
            <w:r>
              <w:rPr>
                <w:spacing w:val="-6"/>
                <w:sz w:val="14"/>
              </w:rPr>
              <w:t> </w:t>
            </w:r>
            <w:r>
              <w:rPr>
                <w:sz w:val="14"/>
              </w:rPr>
              <w:t>or</w:t>
            </w:r>
            <w:r>
              <w:rPr>
                <w:spacing w:val="-6"/>
                <w:sz w:val="14"/>
              </w:rPr>
              <w:t> </w:t>
            </w:r>
            <w:r>
              <w:rPr>
                <w:sz w:val="14"/>
              </w:rPr>
              <w:t>more</w:t>
            </w:r>
            <w:r>
              <w:rPr>
                <w:spacing w:val="-5"/>
                <w:sz w:val="14"/>
              </w:rPr>
              <w:t> </w:t>
            </w:r>
            <w:r>
              <w:rPr>
                <w:sz w:val="14"/>
              </w:rPr>
              <w:t>lots</w:t>
            </w:r>
            <w:r>
              <w:rPr>
                <w:spacing w:val="-4"/>
                <w:sz w:val="14"/>
              </w:rPr>
              <w:t> </w:t>
            </w:r>
            <w:r>
              <w:rPr>
                <w:sz w:val="14"/>
              </w:rPr>
              <w:t>Section</w:t>
            </w:r>
            <w:r>
              <w:rPr>
                <w:spacing w:val="-3"/>
                <w:sz w:val="14"/>
              </w:rPr>
              <w:t> </w:t>
            </w:r>
            <w:r>
              <w:rPr>
                <w:sz w:val="14"/>
              </w:rPr>
              <w:t>72</w:t>
            </w:r>
            <w:r>
              <w:rPr>
                <w:spacing w:val="-5"/>
                <w:sz w:val="14"/>
              </w:rPr>
              <w:t> </w:t>
            </w:r>
            <w:r>
              <w:rPr>
                <w:sz w:val="14"/>
              </w:rPr>
              <w:t>Amendment</w:t>
            </w:r>
            <w:r>
              <w:rPr>
                <w:spacing w:val="-2"/>
                <w:sz w:val="14"/>
              </w:rPr>
              <w:t> </w:t>
            </w:r>
            <w:r>
              <w:rPr>
                <w:spacing w:val="-5"/>
                <w:sz w:val="14"/>
              </w:rPr>
              <w:t>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2" w:hRule="atLeast"/>
        </w:trPr>
        <w:tc>
          <w:tcPr>
            <w:tcW w:w="5794" w:type="dxa"/>
          </w:tcPr>
          <w:p>
            <w:pPr>
              <w:pStyle w:val="TableParagraph"/>
              <w:spacing w:line="160" w:lineRule="atLeast" w:before="11"/>
              <w:ind w:left="107" w:right="174"/>
              <w:rPr>
                <w:sz w:val="14"/>
              </w:rPr>
            </w:pPr>
            <w:r>
              <w:rPr>
                <w:sz w:val="14"/>
              </w:rPr>
              <w:t>Subdivision</w:t>
            </w:r>
            <w:r>
              <w:rPr>
                <w:spacing w:val="-3"/>
                <w:sz w:val="14"/>
              </w:rPr>
              <w:t> </w:t>
            </w:r>
            <w:r>
              <w:rPr>
                <w:sz w:val="14"/>
              </w:rPr>
              <w:t>(excludes</w:t>
            </w:r>
            <w:r>
              <w:rPr>
                <w:spacing w:val="-5"/>
                <w:sz w:val="14"/>
              </w:rPr>
              <w:t> </w:t>
            </w:r>
            <w:r>
              <w:rPr>
                <w:sz w:val="14"/>
              </w:rPr>
              <w:t>VicSmart</w:t>
            </w:r>
            <w:r>
              <w:rPr>
                <w:spacing w:val="-4"/>
                <w:sz w:val="14"/>
              </w:rPr>
              <w:t> </w:t>
            </w:r>
            <w:r>
              <w:rPr>
                <w:sz w:val="14"/>
              </w:rPr>
              <w:t>applications)</w:t>
            </w:r>
            <w:r>
              <w:rPr>
                <w:spacing w:val="-5"/>
                <w:sz w:val="14"/>
              </w:rPr>
              <w:t> </w:t>
            </w:r>
            <w:r>
              <w:rPr>
                <w:sz w:val="14"/>
              </w:rPr>
              <w:t>Class</w:t>
            </w:r>
            <w:r>
              <w:rPr>
                <w:spacing w:val="-5"/>
                <w:sz w:val="14"/>
              </w:rPr>
              <w:t> </w:t>
            </w:r>
            <w:r>
              <w:rPr>
                <w:sz w:val="14"/>
              </w:rPr>
              <w:t>20</w:t>
            </w:r>
            <w:r>
              <w:rPr>
                <w:spacing w:val="-5"/>
                <w:sz w:val="14"/>
              </w:rPr>
              <w:t> </w:t>
            </w:r>
            <w:r>
              <w:rPr>
                <w:sz w:val="14"/>
              </w:rPr>
              <w:t>-</w:t>
            </w:r>
            <w:r>
              <w:rPr>
                <w:spacing w:val="-3"/>
                <w:sz w:val="14"/>
              </w:rPr>
              <w:t> </w:t>
            </w:r>
            <w:r>
              <w:rPr>
                <w:sz w:val="14"/>
              </w:rPr>
              <w:t>Subdivide</w:t>
            </w:r>
            <w:r>
              <w:rPr>
                <w:spacing w:val="-5"/>
                <w:sz w:val="14"/>
              </w:rPr>
              <w:t> </w:t>
            </w:r>
            <w:r>
              <w:rPr>
                <w:sz w:val="14"/>
              </w:rPr>
              <w:t>land</w:t>
            </w:r>
            <w:r>
              <w:rPr>
                <w:spacing w:val="-3"/>
                <w:sz w:val="14"/>
              </w:rPr>
              <w:t> </w:t>
            </w:r>
            <w:r>
              <w:rPr>
                <w:sz w:val="14"/>
              </w:rPr>
              <w:t>($1,415.10</w:t>
            </w:r>
            <w:r>
              <w:rPr>
                <w:spacing w:val="-5"/>
                <w:sz w:val="14"/>
              </w:rPr>
              <w:t> </w:t>
            </w:r>
            <w:r>
              <w:rPr>
                <w:sz w:val="14"/>
              </w:rPr>
              <w:t>per</w:t>
            </w:r>
            <w:r>
              <w:rPr>
                <w:spacing w:val="40"/>
                <w:sz w:val="14"/>
              </w:rPr>
              <w:t> </w:t>
            </w:r>
            <w:r>
              <w:rPr>
                <w:sz w:val="14"/>
              </w:rPr>
              <w:t>100 lots) Application fee</w:t>
            </w:r>
          </w:p>
        </w:tc>
        <w:tc>
          <w:tcPr>
            <w:tcW w:w="1131" w:type="dxa"/>
          </w:tcPr>
          <w:p>
            <w:pPr>
              <w:pStyle w:val="TableParagraph"/>
              <w:spacing w:before="8"/>
              <w:rPr>
                <w:sz w:val="16"/>
              </w:rPr>
            </w:pPr>
          </w:p>
          <w:p>
            <w:pPr>
              <w:pStyle w:val="TableParagraph"/>
              <w:spacing w:line="140" w:lineRule="exact"/>
              <w:ind w:left="7"/>
              <w:jc w:val="center"/>
              <w:rPr>
                <w:sz w:val="14"/>
              </w:rPr>
            </w:pPr>
            <w:r>
              <w:rPr>
                <w:w w:val="99"/>
                <w:sz w:val="14"/>
              </w:rPr>
              <w:t>S</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1,415.10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1,453.40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Subdivision</w:t>
            </w:r>
            <w:r>
              <w:rPr>
                <w:spacing w:val="-3"/>
                <w:sz w:val="14"/>
              </w:rPr>
              <w:t> </w:t>
            </w:r>
            <w:r>
              <w:rPr>
                <w:sz w:val="14"/>
              </w:rPr>
              <w:t>(excludes</w:t>
            </w:r>
            <w:r>
              <w:rPr>
                <w:spacing w:val="-5"/>
                <w:sz w:val="14"/>
              </w:rPr>
              <w:t> </w:t>
            </w:r>
            <w:r>
              <w:rPr>
                <w:sz w:val="14"/>
              </w:rPr>
              <w:t>VicSmart</w:t>
            </w:r>
            <w:r>
              <w:rPr>
                <w:spacing w:val="-4"/>
                <w:sz w:val="14"/>
              </w:rPr>
              <w:t> </w:t>
            </w:r>
            <w:r>
              <w:rPr>
                <w:sz w:val="14"/>
              </w:rPr>
              <w:t>applications)</w:t>
            </w:r>
            <w:r>
              <w:rPr>
                <w:spacing w:val="-5"/>
                <w:sz w:val="14"/>
              </w:rPr>
              <w:t> </w:t>
            </w:r>
            <w:r>
              <w:rPr>
                <w:sz w:val="14"/>
              </w:rPr>
              <w:t>Class</w:t>
            </w:r>
            <w:r>
              <w:rPr>
                <w:spacing w:val="-5"/>
                <w:sz w:val="14"/>
              </w:rPr>
              <w:t> </w:t>
            </w:r>
            <w:r>
              <w:rPr>
                <w:sz w:val="14"/>
              </w:rPr>
              <w:t>20</w:t>
            </w:r>
            <w:r>
              <w:rPr>
                <w:spacing w:val="-5"/>
                <w:sz w:val="14"/>
              </w:rPr>
              <w:t> </w:t>
            </w:r>
            <w:r>
              <w:rPr>
                <w:sz w:val="14"/>
              </w:rPr>
              <w:t>-</w:t>
            </w:r>
            <w:r>
              <w:rPr>
                <w:spacing w:val="-3"/>
                <w:sz w:val="14"/>
              </w:rPr>
              <w:t> </w:t>
            </w:r>
            <w:r>
              <w:rPr>
                <w:sz w:val="14"/>
              </w:rPr>
              <w:t>Subdivide</w:t>
            </w:r>
            <w:r>
              <w:rPr>
                <w:spacing w:val="-5"/>
                <w:sz w:val="14"/>
              </w:rPr>
              <w:t> </w:t>
            </w:r>
            <w:r>
              <w:rPr>
                <w:sz w:val="14"/>
              </w:rPr>
              <w:t>land</w:t>
            </w:r>
            <w:r>
              <w:rPr>
                <w:spacing w:val="-3"/>
                <w:sz w:val="14"/>
              </w:rPr>
              <w:t> </w:t>
            </w:r>
            <w:r>
              <w:rPr>
                <w:sz w:val="14"/>
              </w:rPr>
              <w:t>($1,415.10</w:t>
            </w:r>
            <w:r>
              <w:rPr>
                <w:spacing w:val="-5"/>
                <w:sz w:val="14"/>
              </w:rPr>
              <w:t> </w:t>
            </w:r>
            <w:r>
              <w:rPr>
                <w:sz w:val="14"/>
              </w:rPr>
              <w:t>per</w:t>
            </w:r>
            <w:r>
              <w:rPr>
                <w:spacing w:val="40"/>
                <w:sz w:val="14"/>
              </w:rPr>
              <w:t> </w:t>
            </w:r>
            <w:r>
              <w:rPr>
                <w:sz w:val="14"/>
              </w:rPr>
              <w:t>100 lots) Section 72 Amendment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21(a)</w:t>
            </w:r>
            <w:r>
              <w:rPr>
                <w:spacing w:val="-2"/>
                <w:sz w:val="14"/>
              </w:rPr>
              <w:t> </w:t>
            </w:r>
            <w:r>
              <w:rPr>
                <w:sz w:val="14"/>
              </w:rPr>
              <w:t>-</w:t>
            </w:r>
            <w:r>
              <w:rPr>
                <w:spacing w:val="-6"/>
                <w:sz w:val="14"/>
              </w:rPr>
              <w:t> </w:t>
            </w:r>
            <w:r>
              <w:rPr>
                <w:sz w:val="14"/>
              </w:rPr>
              <w:t>Create,</w:t>
            </w:r>
            <w:r>
              <w:rPr>
                <w:spacing w:val="-2"/>
                <w:sz w:val="14"/>
              </w:rPr>
              <w:t> </w:t>
            </w:r>
            <w:r>
              <w:rPr>
                <w:sz w:val="14"/>
              </w:rPr>
              <w:t>vary</w:t>
            </w:r>
            <w:r>
              <w:rPr>
                <w:spacing w:val="-5"/>
                <w:sz w:val="14"/>
              </w:rPr>
              <w:t> </w:t>
            </w:r>
            <w:r>
              <w:rPr>
                <w:sz w:val="14"/>
              </w:rPr>
              <w:t>or</w:t>
            </w:r>
            <w:r>
              <w:rPr>
                <w:spacing w:val="-5"/>
                <w:sz w:val="14"/>
              </w:rPr>
              <w:t> </w:t>
            </w:r>
            <w:r>
              <w:rPr>
                <w:sz w:val="14"/>
              </w:rPr>
              <w:t>remove</w:t>
            </w:r>
            <w:r>
              <w:rPr>
                <w:spacing w:val="-3"/>
                <w:sz w:val="14"/>
              </w:rPr>
              <w:t> </w:t>
            </w:r>
            <w:r>
              <w:rPr>
                <w:sz w:val="14"/>
              </w:rPr>
              <w:t>a</w:t>
            </w:r>
            <w:r>
              <w:rPr>
                <w:spacing w:val="40"/>
                <w:sz w:val="14"/>
              </w:rPr>
              <w:t> </w:t>
            </w:r>
            <w:r>
              <w:rPr>
                <w:sz w:val="14"/>
              </w:rPr>
              <w:t>restriction Application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2" w:hRule="atLeast"/>
        </w:trPr>
        <w:tc>
          <w:tcPr>
            <w:tcW w:w="5794" w:type="dxa"/>
          </w:tcPr>
          <w:p>
            <w:pPr>
              <w:pStyle w:val="TableParagraph"/>
              <w:spacing w:line="160" w:lineRule="atLeast" w:before="11"/>
              <w:ind w:left="107"/>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21(a)</w:t>
            </w:r>
            <w:r>
              <w:rPr>
                <w:spacing w:val="-2"/>
                <w:sz w:val="14"/>
              </w:rPr>
              <w:t> </w:t>
            </w:r>
            <w:r>
              <w:rPr>
                <w:sz w:val="14"/>
              </w:rPr>
              <w:t>-</w:t>
            </w:r>
            <w:r>
              <w:rPr>
                <w:spacing w:val="-6"/>
                <w:sz w:val="14"/>
              </w:rPr>
              <w:t> </w:t>
            </w:r>
            <w:r>
              <w:rPr>
                <w:sz w:val="14"/>
              </w:rPr>
              <w:t>Create,</w:t>
            </w:r>
            <w:r>
              <w:rPr>
                <w:spacing w:val="-2"/>
                <w:sz w:val="14"/>
              </w:rPr>
              <w:t> </w:t>
            </w:r>
            <w:r>
              <w:rPr>
                <w:sz w:val="14"/>
              </w:rPr>
              <w:t>vary</w:t>
            </w:r>
            <w:r>
              <w:rPr>
                <w:spacing w:val="-5"/>
                <w:sz w:val="14"/>
              </w:rPr>
              <w:t> </w:t>
            </w:r>
            <w:r>
              <w:rPr>
                <w:sz w:val="14"/>
              </w:rPr>
              <w:t>or</w:t>
            </w:r>
            <w:r>
              <w:rPr>
                <w:spacing w:val="-5"/>
                <w:sz w:val="14"/>
              </w:rPr>
              <w:t> </w:t>
            </w:r>
            <w:r>
              <w:rPr>
                <w:sz w:val="14"/>
              </w:rPr>
              <w:t>remove</w:t>
            </w:r>
            <w:r>
              <w:rPr>
                <w:spacing w:val="-3"/>
                <w:sz w:val="14"/>
              </w:rPr>
              <w:t> </w:t>
            </w:r>
            <w:r>
              <w:rPr>
                <w:sz w:val="14"/>
              </w:rPr>
              <w:t>a</w:t>
            </w:r>
            <w:r>
              <w:rPr>
                <w:spacing w:val="40"/>
                <w:sz w:val="14"/>
              </w:rPr>
              <w:t> </w:t>
            </w:r>
            <w:r>
              <w:rPr>
                <w:sz w:val="14"/>
              </w:rPr>
              <w:t>restriction Section 72 Amendment fee</w:t>
            </w:r>
          </w:p>
        </w:tc>
        <w:tc>
          <w:tcPr>
            <w:tcW w:w="1131" w:type="dxa"/>
          </w:tcPr>
          <w:p>
            <w:pPr>
              <w:pStyle w:val="TableParagraph"/>
              <w:spacing w:before="8"/>
              <w:rPr>
                <w:sz w:val="16"/>
              </w:rPr>
            </w:pPr>
          </w:p>
          <w:p>
            <w:pPr>
              <w:pStyle w:val="TableParagraph"/>
              <w:spacing w:line="140" w:lineRule="exact"/>
              <w:ind w:left="7"/>
              <w:jc w:val="center"/>
              <w:rPr>
                <w:sz w:val="14"/>
              </w:rPr>
            </w:pPr>
            <w:r>
              <w:rPr>
                <w:w w:val="99"/>
                <w:sz w:val="14"/>
              </w:rPr>
              <w:t>S</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1,415.10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1,453.40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21(b)</w:t>
            </w:r>
            <w:r>
              <w:rPr>
                <w:spacing w:val="-2"/>
                <w:sz w:val="14"/>
              </w:rPr>
              <w:t> </w:t>
            </w:r>
            <w:r>
              <w:rPr>
                <w:sz w:val="14"/>
              </w:rPr>
              <w:t>-</w:t>
            </w:r>
            <w:r>
              <w:rPr>
                <w:spacing w:val="-6"/>
                <w:sz w:val="14"/>
              </w:rPr>
              <w:t> </w:t>
            </w:r>
            <w:r>
              <w:rPr>
                <w:sz w:val="14"/>
              </w:rPr>
              <w:t>Create</w:t>
            </w:r>
            <w:r>
              <w:rPr>
                <w:spacing w:val="-2"/>
                <w:sz w:val="14"/>
              </w:rPr>
              <w:t> </w:t>
            </w:r>
            <w:r>
              <w:rPr>
                <w:sz w:val="14"/>
              </w:rPr>
              <w:t>or</w:t>
            </w:r>
            <w:r>
              <w:rPr>
                <w:spacing w:val="-2"/>
                <w:sz w:val="14"/>
              </w:rPr>
              <w:t> </w:t>
            </w:r>
            <w:r>
              <w:rPr>
                <w:sz w:val="14"/>
              </w:rPr>
              <w:t>remove</w:t>
            </w:r>
            <w:r>
              <w:rPr>
                <w:spacing w:val="-3"/>
                <w:sz w:val="14"/>
              </w:rPr>
              <w:t> </w:t>
            </w:r>
            <w:r>
              <w:rPr>
                <w:sz w:val="14"/>
              </w:rPr>
              <w:t>a</w:t>
            </w:r>
            <w:r>
              <w:rPr>
                <w:spacing w:val="-2"/>
                <w:sz w:val="14"/>
              </w:rPr>
              <w:t> </w:t>
            </w:r>
            <w:r>
              <w:rPr>
                <w:sz w:val="14"/>
              </w:rPr>
              <w:t>right</w:t>
            </w:r>
            <w:r>
              <w:rPr>
                <w:spacing w:val="-5"/>
                <w:sz w:val="14"/>
              </w:rPr>
              <w:t> </w:t>
            </w:r>
            <w:r>
              <w:rPr>
                <w:sz w:val="14"/>
              </w:rPr>
              <w:t>of</w:t>
            </w:r>
            <w:r>
              <w:rPr>
                <w:spacing w:val="40"/>
                <w:sz w:val="14"/>
              </w:rPr>
              <w:t> </w:t>
            </w:r>
            <w:r>
              <w:rPr>
                <w:sz w:val="14"/>
              </w:rPr>
              <w:t>way Application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21(b)</w:t>
            </w:r>
            <w:r>
              <w:rPr>
                <w:spacing w:val="-2"/>
                <w:sz w:val="14"/>
              </w:rPr>
              <w:t> </w:t>
            </w:r>
            <w:r>
              <w:rPr>
                <w:sz w:val="14"/>
              </w:rPr>
              <w:t>-</w:t>
            </w:r>
            <w:r>
              <w:rPr>
                <w:spacing w:val="-6"/>
                <w:sz w:val="14"/>
              </w:rPr>
              <w:t> </w:t>
            </w:r>
            <w:r>
              <w:rPr>
                <w:sz w:val="14"/>
              </w:rPr>
              <w:t>Create</w:t>
            </w:r>
            <w:r>
              <w:rPr>
                <w:spacing w:val="-2"/>
                <w:sz w:val="14"/>
              </w:rPr>
              <w:t> </w:t>
            </w:r>
            <w:r>
              <w:rPr>
                <w:sz w:val="14"/>
              </w:rPr>
              <w:t>or</w:t>
            </w:r>
            <w:r>
              <w:rPr>
                <w:spacing w:val="-2"/>
                <w:sz w:val="14"/>
              </w:rPr>
              <w:t> </w:t>
            </w:r>
            <w:r>
              <w:rPr>
                <w:sz w:val="14"/>
              </w:rPr>
              <w:t>remove</w:t>
            </w:r>
            <w:r>
              <w:rPr>
                <w:spacing w:val="-3"/>
                <w:sz w:val="14"/>
              </w:rPr>
              <w:t> </w:t>
            </w:r>
            <w:r>
              <w:rPr>
                <w:sz w:val="14"/>
              </w:rPr>
              <w:t>a</w:t>
            </w:r>
            <w:r>
              <w:rPr>
                <w:spacing w:val="-2"/>
                <w:sz w:val="14"/>
              </w:rPr>
              <w:t> </w:t>
            </w:r>
            <w:r>
              <w:rPr>
                <w:sz w:val="14"/>
              </w:rPr>
              <w:t>right</w:t>
            </w:r>
            <w:r>
              <w:rPr>
                <w:spacing w:val="-5"/>
                <w:sz w:val="14"/>
              </w:rPr>
              <w:t> </w:t>
            </w:r>
            <w:r>
              <w:rPr>
                <w:sz w:val="14"/>
              </w:rPr>
              <w:t>of</w:t>
            </w:r>
            <w:r>
              <w:rPr>
                <w:spacing w:val="40"/>
                <w:sz w:val="14"/>
              </w:rPr>
              <w:t> </w:t>
            </w:r>
            <w:r>
              <w:rPr>
                <w:sz w:val="14"/>
              </w:rPr>
              <w:t>way Section 72 Amendment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352" w:hRule="atLeast"/>
        </w:trPr>
        <w:tc>
          <w:tcPr>
            <w:tcW w:w="5794" w:type="dxa"/>
          </w:tcPr>
          <w:p>
            <w:pPr>
              <w:pStyle w:val="TableParagraph"/>
              <w:spacing w:line="160" w:lineRule="atLeast" w:before="11"/>
              <w:ind w:left="107"/>
              <w:rPr>
                <w:sz w:val="14"/>
              </w:rPr>
            </w:pPr>
            <w:r>
              <w:rPr>
                <w:sz w:val="14"/>
              </w:rPr>
              <w:t>Subdivision</w:t>
            </w:r>
            <w:r>
              <w:rPr>
                <w:spacing w:val="-3"/>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21(c)</w:t>
            </w:r>
            <w:r>
              <w:rPr>
                <w:spacing w:val="-5"/>
                <w:sz w:val="14"/>
              </w:rPr>
              <w:t> </w:t>
            </w:r>
            <w:r>
              <w:rPr>
                <w:sz w:val="14"/>
              </w:rPr>
              <w:t>-</w:t>
            </w:r>
            <w:r>
              <w:rPr>
                <w:spacing w:val="-2"/>
                <w:sz w:val="14"/>
              </w:rPr>
              <w:t> </w:t>
            </w:r>
            <w:r>
              <w:rPr>
                <w:sz w:val="14"/>
              </w:rPr>
              <w:t>Create,</w:t>
            </w:r>
            <w:r>
              <w:rPr>
                <w:spacing w:val="-5"/>
                <w:sz w:val="14"/>
              </w:rPr>
              <w:t> </w:t>
            </w:r>
            <w:r>
              <w:rPr>
                <w:sz w:val="14"/>
              </w:rPr>
              <w:t>vary</w:t>
            </w:r>
            <w:r>
              <w:rPr>
                <w:spacing w:val="-3"/>
                <w:sz w:val="14"/>
              </w:rPr>
              <w:t> </w:t>
            </w:r>
            <w:r>
              <w:rPr>
                <w:sz w:val="14"/>
              </w:rPr>
              <w:t>or</w:t>
            </w:r>
            <w:r>
              <w:rPr>
                <w:spacing w:val="-5"/>
                <w:sz w:val="14"/>
              </w:rPr>
              <w:t> </w:t>
            </w:r>
            <w:r>
              <w:rPr>
                <w:sz w:val="14"/>
              </w:rPr>
              <w:t>remove</w:t>
            </w:r>
            <w:r>
              <w:rPr>
                <w:spacing w:val="-3"/>
                <w:sz w:val="14"/>
              </w:rPr>
              <w:t> </w:t>
            </w:r>
            <w:r>
              <w:rPr>
                <w:sz w:val="14"/>
              </w:rPr>
              <w:t>an</w:t>
            </w:r>
            <w:r>
              <w:rPr>
                <w:spacing w:val="40"/>
                <w:sz w:val="14"/>
              </w:rPr>
              <w:t> </w:t>
            </w:r>
            <w:r>
              <w:rPr>
                <w:sz w:val="14"/>
              </w:rPr>
              <w:t>easement (other then right of way) Application fee</w:t>
            </w:r>
          </w:p>
        </w:tc>
        <w:tc>
          <w:tcPr>
            <w:tcW w:w="1131" w:type="dxa"/>
          </w:tcPr>
          <w:p>
            <w:pPr>
              <w:pStyle w:val="TableParagraph"/>
              <w:spacing w:before="8"/>
              <w:rPr>
                <w:sz w:val="16"/>
              </w:rPr>
            </w:pPr>
          </w:p>
          <w:p>
            <w:pPr>
              <w:pStyle w:val="TableParagraph"/>
              <w:spacing w:line="140" w:lineRule="exact"/>
              <w:ind w:left="7"/>
              <w:jc w:val="center"/>
              <w:rPr>
                <w:sz w:val="14"/>
              </w:rPr>
            </w:pPr>
            <w:r>
              <w:rPr>
                <w:w w:val="99"/>
                <w:sz w:val="14"/>
              </w:rPr>
              <w:t>S</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1,415.10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1,453.40</w:t>
            </w:r>
          </w:p>
        </w:tc>
        <w:tc>
          <w:tcPr>
            <w:tcW w:w="861" w:type="dxa"/>
          </w:tcPr>
          <w:p>
            <w:pPr>
              <w:pStyle w:val="TableParagraph"/>
              <w:spacing w:before="8"/>
              <w:rPr>
                <w:sz w:val="16"/>
              </w:rPr>
            </w:pPr>
          </w:p>
          <w:p>
            <w:pPr>
              <w:pStyle w:val="TableParagraph"/>
              <w:spacing w:line="140" w:lineRule="exact"/>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Pr>
                <w:sz w:val="14"/>
              </w:rPr>
            </w:pPr>
            <w:r>
              <w:rPr>
                <w:sz w:val="14"/>
              </w:rPr>
              <w:t>Subdivision</w:t>
            </w:r>
            <w:r>
              <w:rPr>
                <w:spacing w:val="-3"/>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21(c)</w:t>
            </w:r>
            <w:r>
              <w:rPr>
                <w:spacing w:val="-5"/>
                <w:sz w:val="14"/>
              </w:rPr>
              <w:t> </w:t>
            </w:r>
            <w:r>
              <w:rPr>
                <w:sz w:val="14"/>
              </w:rPr>
              <w:t>-</w:t>
            </w:r>
            <w:r>
              <w:rPr>
                <w:spacing w:val="-2"/>
                <w:sz w:val="14"/>
              </w:rPr>
              <w:t> </w:t>
            </w:r>
            <w:r>
              <w:rPr>
                <w:sz w:val="14"/>
              </w:rPr>
              <w:t>Create,</w:t>
            </w:r>
            <w:r>
              <w:rPr>
                <w:spacing w:val="-5"/>
                <w:sz w:val="14"/>
              </w:rPr>
              <w:t> </w:t>
            </w:r>
            <w:r>
              <w:rPr>
                <w:sz w:val="14"/>
              </w:rPr>
              <w:t>vary</w:t>
            </w:r>
            <w:r>
              <w:rPr>
                <w:spacing w:val="-3"/>
                <w:sz w:val="14"/>
              </w:rPr>
              <w:t> </w:t>
            </w:r>
            <w:r>
              <w:rPr>
                <w:sz w:val="14"/>
              </w:rPr>
              <w:t>or</w:t>
            </w:r>
            <w:r>
              <w:rPr>
                <w:spacing w:val="-5"/>
                <w:sz w:val="14"/>
              </w:rPr>
              <w:t> </w:t>
            </w:r>
            <w:r>
              <w:rPr>
                <w:sz w:val="14"/>
              </w:rPr>
              <w:t>remove</w:t>
            </w:r>
            <w:r>
              <w:rPr>
                <w:spacing w:val="-3"/>
                <w:sz w:val="14"/>
              </w:rPr>
              <w:t> </w:t>
            </w:r>
            <w:r>
              <w:rPr>
                <w:sz w:val="14"/>
              </w:rPr>
              <w:t>an</w:t>
            </w:r>
            <w:r>
              <w:rPr>
                <w:spacing w:val="40"/>
                <w:sz w:val="14"/>
              </w:rPr>
              <w:t> </w:t>
            </w:r>
            <w:r>
              <w:rPr>
                <w:sz w:val="14"/>
              </w:rPr>
              <w:t>easement (other then right of way) Section 72 Amendment 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405" w:hRule="atLeast"/>
        </w:trPr>
        <w:tc>
          <w:tcPr>
            <w:tcW w:w="5794" w:type="dxa"/>
          </w:tcPr>
          <w:p>
            <w:pPr>
              <w:pStyle w:val="TableParagraph"/>
              <w:spacing w:line="160" w:lineRule="atLeast" w:before="64"/>
              <w:ind w:left="107" w:right="174"/>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21(d)</w:t>
            </w:r>
            <w:r>
              <w:rPr>
                <w:spacing w:val="-2"/>
                <w:sz w:val="14"/>
              </w:rPr>
              <w:t> </w:t>
            </w:r>
            <w:r>
              <w:rPr>
                <w:sz w:val="14"/>
              </w:rPr>
              <w:t>-</w:t>
            </w:r>
            <w:r>
              <w:rPr>
                <w:spacing w:val="-6"/>
                <w:sz w:val="14"/>
              </w:rPr>
              <w:t> </w:t>
            </w:r>
            <w:r>
              <w:rPr>
                <w:sz w:val="14"/>
              </w:rPr>
              <w:t>Vary</w:t>
            </w:r>
            <w:r>
              <w:rPr>
                <w:spacing w:val="-1"/>
                <w:sz w:val="14"/>
              </w:rPr>
              <w:t> </w:t>
            </w:r>
            <w:r>
              <w:rPr>
                <w:sz w:val="14"/>
              </w:rPr>
              <w:t>or</w:t>
            </w:r>
            <w:r>
              <w:rPr>
                <w:spacing w:val="-2"/>
                <w:sz w:val="14"/>
              </w:rPr>
              <w:t> </w:t>
            </w:r>
            <w:r>
              <w:rPr>
                <w:sz w:val="14"/>
              </w:rPr>
              <w:t>remove</w:t>
            </w:r>
            <w:r>
              <w:rPr>
                <w:spacing w:val="-6"/>
                <w:sz w:val="14"/>
              </w:rPr>
              <w:t> </w:t>
            </w:r>
            <w:r>
              <w:rPr>
                <w:sz w:val="14"/>
              </w:rPr>
              <w:t>a</w:t>
            </w:r>
            <w:r>
              <w:rPr>
                <w:spacing w:val="-2"/>
                <w:sz w:val="14"/>
              </w:rPr>
              <w:t> </w:t>
            </w:r>
            <w:r>
              <w:rPr>
                <w:sz w:val="14"/>
              </w:rPr>
              <w:t>condition</w:t>
            </w:r>
            <w:r>
              <w:rPr>
                <w:spacing w:val="-3"/>
                <w:sz w:val="14"/>
              </w:rPr>
              <w:t> </w:t>
            </w:r>
            <w:r>
              <w:rPr>
                <w:sz w:val="14"/>
              </w:rPr>
              <w:t>in</w:t>
            </w:r>
            <w:r>
              <w:rPr>
                <w:spacing w:val="40"/>
                <w:sz w:val="14"/>
              </w:rPr>
              <w:t> </w:t>
            </w:r>
            <w:r>
              <w:rPr>
                <w:sz w:val="14"/>
              </w:rPr>
              <w:t>the nature of an easement (other then right of way) in a crown grants Application fee</w:t>
            </w:r>
          </w:p>
        </w:tc>
        <w:tc>
          <w:tcPr>
            <w:tcW w:w="1131" w:type="dxa"/>
          </w:tcPr>
          <w:p>
            <w:pPr>
              <w:pStyle w:val="TableParagraph"/>
              <w:spacing w:before="3"/>
              <w:rPr>
                <w:sz w:val="21"/>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3"/>
              <w:rPr>
                <w:sz w:val="21"/>
              </w:rPr>
            </w:pPr>
          </w:p>
          <w:p>
            <w:pPr>
              <w:pStyle w:val="TableParagraph"/>
              <w:spacing w:line="140" w:lineRule="exact" w:before="1"/>
              <w:ind w:left="190"/>
              <w:rPr>
                <w:sz w:val="14"/>
              </w:rPr>
            </w:pPr>
            <w:r>
              <w:rPr>
                <w:spacing w:val="-5"/>
                <w:sz w:val="14"/>
              </w:rPr>
              <w:t>No</w:t>
            </w:r>
          </w:p>
        </w:tc>
        <w:tc>
          <w:tcPr>
            <w:tcW w:w="997" w:type="dxa"/>
          </w:tcPr>
          <w:p>
            <w:pPr>
              <w:pStyle w:val="TableParagraph"/>
              <w:spacing w:before="3"/>
              <w:rPr>
                <w:sz w:val="21"/>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3"/>
              <w:rPr>
                <w:sz w:val="21"/>
              </w:rPr>
            </w:pPr>
          </w:p>
          <w:p>
            <w:pPr>
              <w:pStyle w:val="TableParagraph"/>
              <w:spacing w:line="140" w:lineRule="exact" w:before="1"/>
              <w:ind w:right="101"/>
              <w:jc w:val="right"/>
              <w:rPr>
                <w:sz w:val="14"/>
              </w:rPr>
            </w:pPr>
            <w:r>
              <w:rPr>
                <w:spacing w:val="-2"/>
                <w:sz w:val="14"/>
              </w:rPr>
              <w:t>1,453.40</w:t>
            </w:r>
          </w:p>
        </w:tc>
        <w:tc>
          <w:tcPr>
            <w:tcW w:w="861" w:type="dxa"/>
          </w:tcPr>
          <w:p>
            <w:pPr>
              <w:pStyle w:val="TableParagraph"/>
              <w:spacing w:before="3"/>
              <w:rPr>
                <w:sz w:val="21"/>
              </w:rPr>
            </w:pPr>
          </w:p>
          <w:p>
            <w:pPr>
              <w:pStyle w:val="TableParagraph"/>
              <w:spacing w:line="140" w:lineRule="exact" w:before="1"/>
              <w:ind w:left="152" w:right="154"/>
              <w:jc w:val="center"/>
              <w:rPr>
                <w:sz w:val="14"/>
              </w:rPr>
            </w:pPr>
            <w:r>
              <w:rPr>
                <w:spacing w:val="-5"/>
                <w:sz w:val="14"/>
              </w:rPr>
              <w:t>2.6</w:t>
            </w:r>
          </w:p>
        </w:tc>
      </w:tr>
      <w:tr>
        <w:trPr>
          <w:trHeight w:val="482" w:hRule="atLeast"/>
        </w:trPr>
        <w:tc>
          <w:tcPr>
            <w:tcW w:w="5794" w:type="dxa"/>
          </w:tcPr>
          <w:p>
            <w:pPr>
              <w:pStyle w:val="TableParagraph"/>
              <w:spacing w:line="160" w:lineRule="atLeast"/>
              <w:ind w:left="107" w:right="174"/>
              <w:rPr>
                <w:sz w:val="14"/>
              </w:rPr>
            </w:pPr>
            <w:r>
              <w:rPr>
                <w:sz w:val="14"/>
              </w:rPr>
              <w:t>Subdivision</w:t>
            </w:r>
            <w:r>
              <w:rPr>
                <w:spacing w:val="-2"/>
                <w:sz w:val="14"/>
              </w:rPr>
              <w:t> </w:t>
            </w:r>
            <w:r>
              <w:rPr>
                <w:sz w:val="14"/>
              </w:rPr>
              <w:t>(excludes</w:t>
            </w:r>
            <w:r>
              <w:rPr>
                <w:spacing w:val="-4"/>
                <w:sz w:val="14"/>
              </w:rPr>
              <w:t> </w:t>
            </w:r>
            <w:r>
              <w:rPr>
                <w:sz w:val="14"/>
              </w:rPr>
              <w:t>VicSmart</w:t>
            </w:r>
            <w:r>
              <w:rPr>
                <w:spacing w:val="-3"/>
                <w:sz w:val="14"/>
              </w:rPr>
              <w:t> </w:t>
            </w:r>
            <w:r>
              <w:rPr>
                <w:sz w:val="14"/>
              </w:rPr>
              <w:t>applications)</w:t>
            </w:r>
            <w:r>
              <w:rPr>
                <w:spacing w:val="-5"/>
                <w:sz w:val="14"/>
              </w:rPr>
              <w:t> </w:t>
            </w:r>
            <w:r>
              <w:rPr>
                <w:sz w:val="14"/>
              </w:rPr>
              <w:t>Class</w:t>
            </w:r>
            <w:r>
              <w:rPr>
                <w:spacing w:val="-5"/>
                <w:sz w:val="14"/>
              </w:rPr>
              <w:t> </w:t>
            </w:r>
            <w:r>
              <w:rPr>
                <w:sz w:val="14"/>
              </w:rPr>
              <w:t>21(d)</w:t>
            </w:r>
            <w:r>
              <w:rPr>
                <w:spacing w:val="-2"/>
                <w:sz w:val="14"/>
              </w:rPr>
              <w:t> </w:t>
            </w:r>
            <w:r>
              <w:rPr>
                <w:sz w:val="14"/>
              </w:rPr>
              <w:t>-</w:t>
            </w:r>
            <w:r>
              <w:rPr>
                <w:spacing w:val="-6"/>
                <w:sz w:val="14"/>
              </w:rPr>
              <w:t> </w:t>
            </w:r>
            <w:r>
              <w:rPr>
                <w:sz w:val="14"/>
              </w:rPr>
              <w:t>Vary</w:t>
            </w:r>
            <w:r>
              <w:rPr>
                <w:spacing w:val="-1"/>
                <w:sz w:val="14"/>
              </w:rPr>
              <w:t> </w:t>
            </w:r>
            <w:r>
              <w:rPr>
                <w:sz w:val="14"/>
              </w:rPr>
              <w:t>or</w:t>
            </w:r>
            <w:r>
              <w:rPr>
                <w:spacing w:val="-2"/>
                <w:sz w:val="14"/>
              </w:rPr>
              <w:t> </w:t>
            </w:r>
            <w:r>
              <w:rPr>
                <w:sz w:val="14"/>
              </w:rPr>
              <w:t>remove</w:t>
            </w:r>
            <w:r>
              <w:rPr>
                <w:spacing w:val="-6"/>
                <w:sz w:val="14"/>
              </w:rPr>
              <w:t> </w:t>
            </w:r>
            <w:r>
              <w:rPr>
                <w:sz w:val="14"/>
              </w:rPr>
              <w:t>a</w:t>
            </w:r>
            <w:r>
              <w:rPr>
                <w:spacing w:val="-2"/>
                <w:sz w:val="14"/>
              </w:rPr>
              <w:t> </w:t>
            </w:r>
            <w:r>
              <w:rPr>
                <w:sz w:val="14"/>
              </w:rPr>
              <w:t>condition</w:t>
            </w:r>
            <w:r>
              <w:rPr>
                <w:spacing w:val="-3"/>
                <w:sz w:val="14"/>
              </w:rPr>
              <w:t> </w:t>
            </w:r>
            <w:r>
              <w:rPr>
                <w:sz w:val="14"/>
              </w:rPr>
              <w:t>in</w:t>
            </w:r>
            <w:r>
              <w:rPr>
                <w:spacing w:val="40"/>
                <w:sz w:val="14"/>
              </w:rPr>
              <w:t> </w:t>
            </w:r>
            <w:r>
              <w:rPr>
                <w:sz w:val="14"/>
              </w:rPr>
              <w:t>the nature of an easement (other then right of way) in a crown grants Section 72</w:t>
            </w:r>
            <w:r>
              <w:rPr>
                <w:spacing w:val="40"/>
                <w:sz w:val="14"/>
              </w:rPr>
              <w:t> </w:t>
            </w:r>
            <w:r>
              <w:rPr>
                <w:sz w:val="14"/>
              </w:rPr>
              <w:t>Amendment</w:t>
            </w:r>
            <w:r>
              <w:rPr>
                <w:spacing w:val="-6"/>
                <w:sz w:val="14"/>
              </w:rPr>
              <w:t> </w:t>
            </w:r>
            <w:r>
              <w:rPr>
                <w:sz w:val="14"/>
              </w:rPr>
              <w:t>fee</w:t>
            </w:r>
          </w:p>
        </w:tc>
        <w:tc>
          <w:tcPr>
            <w:tcW w:w="1131" w:type="dxa"/>
          </w:tcPr>
          <w:p>
            <w:pPr>
              <w:pStyle w:val="TableParagraph"/>
              <w:rPr>
                <w:sz w:val="16"/>
              </w:rPr>
            </w:pPr>
          </w:p>
          <w:p>
            <w:pPr>
              <w:pStyle w:val="TableParagraph"/>
              <w:spacing w:line="140" w:lineRule="exact" w:before="138"/>
              <w:ind w:left="7"/>
              <w:jc w:val="center"/>
              <w:rPr>
                <w:sz w:val="14"/>
              </w:rPr>
            </w:pPr>
            <w:r>
              <w:rPr>
                <w:w w:val="99"/>
                <w:sz w:val="14"/>
              </w:rPr>
              <w:t>S</w:t>
            </w:r>
          </w:p>
        </w:tc>
        <w:tc>
          <w:tcPr>
            <w:tcW w:w="567" w:type="dxa"/>
          </w:tcPr>
          <w:p>
            <w:pPr>
              <w:pStyle w:val="TableParagraph"/>
              <w:rPr>
                <w:sz w:val="16"/>
              </w:rPr>
            </w:pPr>
          </w:p>
          <w:p>
            <w:pPr>
              <w:pStyle w:val="TableParagraph"/>
              <w:spacing w:line="140" w:lineRule="exact" w:before="138"/>
              <w:ind w:left="190"/>
              <w:rPr>
                <w:sz w:val="14"/>
              </w:rPr>
            </w:pPr>
            <w:r>
              <w:rPr>
                <w:spacing w:val="-5"/>
                <w:sz w:val="14"/>
              </w:rPr>
              <w:t>No</w:t>
            </w:r>
          </w:p>
        </w:tc>
        <w:tc>
          <w:tcPr>
            <w:tcW w:w="997" w:type="dxa"/>
          </w:tcPr>
          <w:p>
            <w:pPr>
              <w:pStyle w:val="TableParagraph"/>
              <w:rPr>
                <w:sz w:val="16"/>
              </w:rPr>
            </w:pPr>
          </w:p>
          <w:p>
            <w:pPr>
              <w:pStyle w:val="TableParagraph"/>
              <w:spacing w:line="140" w:lineRule="exact" w:before="138"/>
              <w:ind w:right="100"/>
              <w:jc w:val="right"/>
              <w:rPr>
                <w:sz w:val="14"/>
              </w:rPr>
            </w:pPr>
            <w:r>
              <w:rPr>
                <w:spacing w:val="-2"/>
                <w:sz w:val="14"/>
              </w:rPr>
              <w:t>1,415.10</w:t>
            </w:r>
          </w:p>
        </w:tc>
        <w:tc>
          <w:tcPr>
            <w:tcW w:w="995" w:type="dxa"/>
          </w:tcPr>
          <w:p>
            <w:pPr>
              <w:pStyle w:val="TableParagraph"/>
              <w:rPr>
                <w:sz w:val="16"/>
              </w:rPr>
            </w:pPr>
          </w:p>
          <w:p>
            <w:pPr>
              <w:pStyle w:val="TableParagraph"/>
              <w:spacing w:line="140" w:lineRule="exact" w:before="138"/>
              <w:ind w:right="101"/>
              <w:jc w:val="right"/>
              <w:rPr>
                <w:sz w:val="14"/>
              </w:rPr>
            </w:pPr>
            <w:r>
              <w:rPr>
                <w:spacing w:val="-2"/>
                <w:sz w:val="14"/>
              </w:rPr>
              <w:t>1,453.40</w:t>
            </w:r>
          </w:p>
        </w:tc>
        <w:tc>
          <w:tcPr>
            <w:tcW w:w="861" w:type="dxa"/>
          </w:tcPr>
          <w:p>
            <w:pPr>
              <w:pStyle w:val="TableParagraph"/>
              <w:rPr>
                <w:sz w:val="16"/>
              </w:rPr>
            </w:pPr>
          </w:p>
          <w:p>
            <w:pPr>
              <w:pStyle w:val="TableParagraph"/>
              <w:spacing w:line="140" w:lineRule="exact" w:before="138"/>
              <w:ind w:left="152" w:right="154"/>
              <w:jc w:val="center"/>
              <w:rPr>
                <w:sz w:val="14"/>
              </w:rPr>
            </w:pPr>
            <w:r>
              <w:rPr>
                <w:spacing w:val="-5"/>
                <w:sz w:val="14"/>
              </w:rPr>
              <w:t>2.6</w:t>
            </w:r>
          </w:p>
        </w:tc>
      </w:tr>
      <w:tr>
        <w:trPr>
          <w:trHeight w:val="241" w:hRule="atLeast"/>
        </w:trPr>
        <w:tc>
          <w:tcPr>
            <w:tcW w:w="5794" w:type="dxa"/>
          </w:tcPr>
          <w:p>
            <w:pPr>
              <w:pStyle w:val="TableParagraph"/>
              <w:spacing w:line="140" w:lineRule="exact" w:before="81"/>
              <w:ind w:left="107"/>
              <w:rPr>
                <w:sz w:val="14"/>
              </w:rPr>
            </w:pPr>
            <w:r>
              <w:rPr>
                <w:sz w:val="14"/>
              </w:rPr>
              <w:t>Use</w:t>
            </w:r>
            <w:r>
              <w:rPr>
                <w:spacing w:val="-5"/>
                <w:sz w:val="14"/>
              </w:rPr>
              <w:t> </w:t>
            </w:r>
            <w:r>
              <w:rPr>
                <w:sz w:val="14"/>
              </w:rPr>
              <w:t>of</w:t>
            </w:r>
            <w:r>
              <w:rPr>
                <w:spacing w:val="-4"/>
                <w:sz w:val="14"/>
              </w:rPr>
              <w:t> </w:t>
            </w:r>
            <w:r>
              <w:rPr>
                <w:sz w:val="14"/>
              </w:rPr>
              <w:t>land</w:t>
            </w:r>
            <w:r>
              <w:rPr>
                <w:spacing w:val="-4"/>
                <w:sz w:val="14"/>
              </w:rPr>
              <w:t> </w:t>
            </w:r>
            <w:r>
              <w:rPr>
                <w:sz w:val="14"/>
              </w:rPr>
              <w:t>Class</w:t>
            </w:r>
            <w:r>
              <w:rPr>
                <w:spacing w:val="-1"/>
                <w:sz w:val="14"/>
              </w:rPr>
              <w:t> </w:t>
            </w:r>
            <w:r>
              <w:rPr>
                <w:sz w:val="14"/>
              </w:rPr>
              <w:t>1</w:t>
            </w:r>
            <w:r>
              <w:rPr>
                <w:spacing w:val="-5"/>
                <w:sz w:val="14"/>
              </w:rPr>
              <w:t> </w:t>
            </w:r>
            <w:r>
              <w:rPr>
                <w:sz w:val="14"/>
              </w:rPr>
              <w:t>(includes</w:t>
            </w:r>
            <w:r>
              <w:rPr>
                <w:spacing w:val="-4"/>
                <w:sz w:val="14"/>
              </w:rPr>
              <w:t> </w:t>
            </w:r>
            <w:r>
              <w:rPr>
                <w:sz w:val="14"/>
              </w:rPr>
              <w:t>car</w:t>
            </w:r>
            <w:r>
              <w:rPr>
                <w:spacing w:val="-5"/>
                <w:sz w:val="14"/>
              </w:rPr>
              <w:t> </w:t>
            </w:r>
            <w:r>
              <w:rPr>
                <w:sz w:val="14"/>
              </w:rPr>
              <w:t>parking</w:t>
            </w:r>
            <w:r>
              <w:rPr>
                <w:spacing w:val="-2"/>
                <w:sz w:val="14"/>
              </w:rPr>
              <w:t> </w:t>
            </w:r>
            <w:r>
              <w:rPr>
                <w:sz w:val="14"/>
              </w:rPr>
              <w:t>and</w:t>
            </w:r>
            <w:r>
              <w:rPr>
                <w:spacing w:val="-1"/>
                <w:sz w:val="14"/>
              </w:rPr>
              <w:t> </w:t>
            </w:r>
            <w:r>
              <w:rPr>
                <w:sz w:val="14"/>
              </w:rPr>
              <w:t>liquor</w:t>
            </w:r>
            <w:r>
              <w:rPr>
                <w:spacing w:val="-2"/>
                <w:sz w:val="14"/>
              </w:rPr>
              <w:t> </w:t>
            </w:r>
            <w:r>
              <w:rPr>
                <w:sz w:val="14"/>
              </w:rPr>
              <w:t>licence </w:t>
            </w:r>
            <w:r>
              <w:rPr>
                <w:spacing w:val="-2"/>
                <w:sz w:val="14"/>
              </w:rPr>
              <w:t>applications)</w:t>
            </w:r>
          </w:p>
        </w:tc>
        <w:tc>
          <w:tcPr>
            <w:tcW w:w="1131" w:type="dxa"/>
          </w:tcPr>
          <w:p>
            <w:pPr>
              <w:pStyle w:val="TableParagraph"/>
              <w:spacing w:line="140" w:lineRule="exact" w:before="81"/>
              <w:ind w:left="7"/>
              <w:jc w:val="center"/>
              <w:rPr>
                <w:sz w:val="14"/>
              </w:rPr>
            </w:pPr>
            <w:r>
              <w:rPr>
                <w:w w:val="99"/>
                <w:sz w:val="14"/>
              </w:rPr>
              <w:t>S</w:t>
            </w:r>
          </w:p>
        </w:tc>
        <w:tc>
          <w:tcPr>
            <w:tcW w:w="567" w:type="dxa"/>
          </w:tcPr>
          <w:p>
            <w:pPr>
              <w:pStyle w:val="TableParagraph"/>
              <w:spacing w:line="140" w:lineRule="exact" w:before="81"/>
              <w:ind w:left="190"/>
              <w:rPr>
                <w:sz w:val="14"/>
              </w:rPr>
            </w:pPr>
            <w:r>
              <w:rPr>
                <w:spacing w:val="-5"/>
                <w:sz w:val="14"/>
              </w:rPr>
              <w:t>No</w:t>
            </w:r>
          </w:p>
        </w:tc>
        <w:tc>
          <w:tcPr>
            <w:tcW w:w="997" w:type="dxa"/>
          </w:tcPr>
          <w:p>
            <w:pPr>
              <w:pStyle w:val="TableParagraph"/>
              <w:spacing w:line="140" w:lineRule="exact" w:before="81"/>
              <w:ind w:right="100"/>
              <w:jc w:val="right"/>
              <w:rPr>
                <w:sz w:val="14"/>
              </w:rPr>
            </w:pPr>
            <w:r>
              <w:rPr>
                <w:spacing w:val="-2"/>
                <w:sz w:val="14"/>
              </w:rPr>
              <w:t>1,415.10</w:t>
            </w:r>
          </w:p>
        </w:tc>
        <w:tc>
          <w:tcPr>
            <w:tcW w:w="995" w:type="dxa"/>
          </w:tcPr>
          <w:p>
            <w:pPr>
              <w:pStyle w:val="TableParagraph"/>
              <w:spacing w:line="140" w:lineRule="exact" w:before="81"/>
              <w:ind w:right="102"/>
              <w:jc w:val="right"/>
              <w:rPr>
                <w:sz w:val="14"/>
              </w:rPr>
            </w:pPr>
            <w:r>
              <w:rPr>
                <w:spacing w:val="-2"/>
                <w:sz w:val="14"/>
              </w:rPr>
              <w:t>220.50</w:t>
            </w:r>
          </w:p>
        </w:tc>
        <w:tc>
          <w:tcPr>
            <w:tcW w:w="861" w:type="dxa"/>
          </w:tcPr>
          <w:p>
            <w:pPr>
              <w:pStyle w:val="TableParagraph"/>
              <w:spacing w:line="140" w:lineRule="exact" w:before="81"/>
              <w:ind w:left="152" w:right="154"/>
              <w:jc w:val="center"/>
              <w:rPr>
                <w:sz w:val="14"/>
              </w:rPr>
            </w:pPr>
            <w:r>
              <w:rPr>
                <w:spacing w:val="-5"/>
                <w:sz w:val="14"/>
              </w:rPr>
              <w:t>2.6</w:t>
            </w:r>
          </w:p>
        </w:tc>
      </w:tr>
      <w:tr>
        <w:trPr>
          <w:trHeight w:val="354" w:hRule="atLeast"/>
        </w:trPr>
        <w:tc>
          <w:tcPr>
            <w:tcW w:w="5794" w:type="dxa"/>
          </w:tcPr>
          <w:p>
            <w:pPr>
              <w:pStyle w:val="TableParagraph"/>
              <w:spacing w:line="160" w:lineRule="atLeast" w:before="14"/>
              <w:ind w:left="107" w:right="174"/>
              <w:rPr>
                <w:sz w:val="14"/>
              </w:rPr>
            </w:pPr>
            <w:r>
              <w:rPr>
                <w:sz w:val="14"/>
              </w:rPr>
              <w:t>Use</w:t>
            </w:r>
            <w:r>
              <w:rPr>
                <w:spacing w:val="-4"/>
                <w:sz w:val="14"/>
              </w:rPr>
              <w:t> </w:t>
            </w:r>
            <w:r>
              <w:rPr>
                <w:sz w:val="14"/>
              </w:rPr>
              <w:t>of</w:t>
            </w:r>
            <w:r>
              <w:rPr>
                <w:spacing w:val="-4"/>
                <w:sz w:val="14"/>
              </w:rPr>
              <w:t> </w:t>
            </w:r>
            <w:r>
              <w:rPr>
                <w:sz w:val="14"/>
              </w:rPr>
              <w:t>land</w:t>
            </w:r>
            <w:r>
              <w:rPr>
                <w:spacing w:val="-4"/>
                <w:sz w:val="14"/>
              </w:rPr>
              <w:t> </w:t>
            </w:r>
            <w:r>
              <w:rPr>
                <w:sz w:val="14"/>
              </w:rPr>
              <w:t>Class 1</w:t>
            </w:r>
            <w:r>
              <w:rPr>
                <w:spacing w:val="-5"/>
                <w:sz w:val="14"/>
              </w:rPr>
              <w:t> </w:t>
            </w:r>
            <w:r>
              <w:rPr>
                <w:sz w:val="14"/>
              </w:rPr>
              <w:t>Amendment</w:t>
            </w:r>
            <w:r>
              <w:rPr>
                <w:spacing w:val="-4"/>
                <w:sz w:val="14"/>
              </w:rPr>
              <w:t> </w:t>
            </w:r>
            <w:r>
              <w:rPr>
                <w:sz w:val="14"/>
              </w:rPr>
              <w:t>to</w:t>
            </w:r>
            <w:r>
              <w:rPr>
                <w:spacing w:val="-1"/>
                <w:sz w:val="14"/>
              </w:rPr>
              <w:t> </w:t>
            </w:r>
            <w:r>
              <w:rPr>
                <w:sz w:val="14"/>
              </w:rPr>
              <w:t>a</w:t>
            </w:r>
            <w:r>
              <w:rPr>
                <w:spacing w:val="-2"/>
                <w:sz w:val="14"/>
              </w:rPr>
              <w:t> </w:t>
            </w:r>
            <w:r>
              <w:rPr>
                <w:sz w:val="14"/>
              </w:rPr>
              <w:t>permit</w:t>
            </w:r>
            <w:r>
              <w:rPr>
                <w:spacing w:val="-4"/>
                <w:sz w:val="14"/>
              </w:rPr>
              <w:t> </w:t>
            </w:r>
            <w:r>
              <w:rPr>
                <w:sz w:val="14"/>
              </w:rPr>
              <w:t>to</w:t>
            </w:r>
            <w:r>
              <w:rPr>
                <w:spacing w:val="-2"/>
                <w:sz w:val="14"/>
              </w:rPr>
              <w:t> </w:t>
            </w:r>
            <w:r>
              <w:rPr>
                <w:sz w:val="14"/>
              </w:rPr>
              <w:t>change</w:t>
            </w:r>
            <w:r>
              <w:rPr>
                <w:spacing w:val="-2"/>
                <w:sz w:val="14"/>
              </w:rPr>
              <w:t> </w:t>
            </w:r>
            <w:r>
              <w:rPr>
                <w:sz w:val="14"/>
              </w:rPr>
              <w:t>the</w:t>
            </w:r>
            <w:r>
              <w:rPr>
                <w:spacing w:val="-1"/>
                <w:sz w:val="14"/>
              </w:rPr>
              <w:t> </w:t>
            </w:r>
            <w:r>
              <w:rPr>
                <w:sz w:val="14"/>
              </w:rPr>
              <w:t>use</w:t>
            </w:r>
            <w:r>
              <w:rPr>
                <w:spacing w:val="-4"/>
                <w:sz w:val="14"/>
              </w:rPr>
              <w:t> </w:t>
            </w:r>
            <w:r>
              <w:rPr>
                <w:sz w:val="14"/>
              </w:rPr>
              <w:t>allowed</w:t>
            </w:r>
            <w:r>
              <w:rPr>
                <w:spacing w:val="-4"/>
                <w:sz w:val="14"/>
              </w:rPr>
              <w:t> </w:t>
            </w:r>
            <w:r>
              <w:rPr>
                <w:sz w:val="14"/>
              </w:rPr>
              <w:t>by</w:t>
            </w:r>
            <w:r>
              <w:rPr>
                <w:spacing w:val="-4"/>
                <w:sz w:val="14"/>
              </w:rPr>
              <w:t> </w:t>
            </w:r>
            <w:r>
              <w:rPr>
                <w:sz w:val="14"/>
              </w:rPr>
              <w:t>the permit</w:t>
            </w:r>
            <w:r>
              <w:rPr>
                <w:spacing w:val="-1"/>
                <w:sz w:val="14"/>
              </w:rPr>
              <w:t> </w:t>
            </w:r>
            <w:r>
              <w:rPr>
                <w:sz w:val="14"/>
              </w:rPr>
              <w:t>or</w:t>
            </w:r>
            <w:r>
              <w:rPr>
                <w:spacing w:val="40"/>
                <w:sz w:val="14"/>
              </w:rPr>
              <w:t> </w:t>
            </w:r>
            <w:r>
              <w:rPr>
                <w:sz w:val="14"/>
              </w:rPr>
              <w:t>allow a new use of land</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1,415.10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220.50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5"/>
                <w:sz w:val="14"/>
              </w:rPr>
              <w:t> </w:t>
            </w:r>
            <w:r>
              <w:rPr>
                <w:sz w:val="14"/>
              </w:rPr>
              <w:t>Class</w:t>
            </w:r>
            <w:r>
              <w:rPr>
                <w:spacing w:val="-5"/>
                <w:sz w:val="14"/>
              </w:rPr>
              <w:t> </w:t>
            </w:r>
            <w:r>
              <w:rPr>
                <w:sz w:val="14"/>
              </w:rPr>
              <w:t>7</w:t>
            </w:r>
            <w:r>
              <w:rPr>
                <w:spacing w:val="-1"/>
                <w:sz w:val="14"/>
              </w:rPr>
              <w:t> </w:t>
            </w:r>
            <w:r>
              <w:rPr>
                <w:sz w:val="14"/>
              </w:rPr>
              <w:t>-</w:t>
            </w:r>
            <w:r>
              <w:rPr>
                <w:spacing w:val="-2"/>
                <w:sz w:val="14"/>
              </w:rPr>
              <w:t> </w:t>
            </w:r>
            <w:r>
              <w:rPr>
                <w:sz w:val="14"/>
              </w:rPr>
              <w:t>up</w:t>
            </w:r>
            <w:r>
              <w:rPr>
                <w:spacing w:val="-1"/>
                <w:sz w:val="14"/>
              </w:rPr>
              <w:t> </w:t>
            </w:r>
            <w:r>
              <w:rPr>
                <w:sz w:val="14"/>
              </w:rPr>
              <w:t>to</w:t>
            </w:r>
            <w:r>
              <w:rPr>
                <w:spacing w:val="-1"/>
                <w:sz w:val="14"/>
              </w:rPr>
              <w:t> </w:t>
            </w:r>
            <w:r>
              <w:rPr>
                <w:sz w:val="14"/>
              </w:rPr>
              <w:t>$10,000</w:t>
            </w:r>
            <w:r>
              <w:rPr>
                <w:spacing w:val="-4"/>
                <w:sz w:val="14"/>
              </w:rPr>
              <w:t> </w:t>
            </w:r>
            <w:r>
              <w:rPr>
                <w:sz w:val="14"/>
              </w:rPr>
              <w:t>Application</w:t>
            </w:r>
            <w:r>
              <w:rPr>
                <w:spacing w:val="-5"/>
                <w:sz w:val="14"/>
              </w:rPr>
              <w:t> 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473.60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5"/>
                <w:sz w:val="14"/>
              </w:rPr>
              <w:t> </w:t>
            </w:r>
            <w:r>
              <w:rPr>
                <w:sz w:val="14"/>
              </w:rPr>
              <w:t>Class</w:t>
            </w:r>
            <w:r>
              <w:rPr>
                <w:spacing w:val="-5"/>
                <w:sz w:val="14"/>
              </w:rPr>
              <w:t> </w:t>
            </w:r>
            <w:r>
              <w:rPr>
                <w:sz w:val="14"/>
              </w:rPr>
              <w:t>7</w:t>
            </w:r>
            <w:r>
              <w:rPr>
                <w:spacing w:val="-2"/>
                <w:sz w:val="14"/>
              </w:rPr>
              <w:t> </w:t>
            </w:r>
            <w:r>
              <w:rPr>
                <w:sz w:val="14"/>
              </w:rPr>
              <w:t>-</w:t>
            </w:r>
            <w:r>
              <w:rPr>
                <w:spacing w:val="-2"/>
                <w:sz w:val="14"/>
              </w:rPr>
              <w:t> </w:t>
            </w:r>
            <w:r>
              <w:rPr>
                <w:sz w:val="14"/>
              </w:rPr>
              <w:t>up</w:t>
            </w:r>
            <w:r>
              <w:rPr>
                <w:spacing w:val="-1"/>
                <w:sz w:val="14"/>
              </w:rPr>
              <w:t> </w:t>
            </w:r>
            <w:r>
              <w:rPr>
                <w:sz w:val="14"/>
              </w:rPr>
              <w:t>to</w:t>
            </w:r>
            <w:r>
              <w:rPr>
                <w:spacing w:val="-1"/>
                <w:sz w:val="14"/>
              </w:rPr>
              <w:t> </w:t>
            </w:r>
            <w:r>
              <w:rPr>
                <w:sz w:val="14"/>
              </w:rPr>
              <w:t>$10,000</w:t>
            </w:r>
            <w:r>
              <w:rPr>
                <w:spacing w:val="-4"/>
                <w:sz w:val="14"/>
              </w:rPr>
              <w:t> </w:t>
            </w:r>
            <w:r>
              <w:rPr>
                <w:sz w:val="14"/>
              </w:rPr>
              <w:t>Section</w:t>
            </w:r>
            <w:r>
              <w:rPr>
                <w:spacing w:val="-1"/>
                <w:sz w:val="14"/>
              </w:rPr>
              <w:t> </w:t>
            </w:r>
            <w:r>
              <w:rPr>
                <w:sz w:val="14"/>
              </w:rPr>
              <w:t>72</w:t>
            </w:r>
            <w:r>
              <w:rPr>
                <w:spacing w:val="-6"/>
                <w:sz w:val="14"/>
              </w:rPr>
              <w:t> </w:t>
            </w:r>
            <w:r>
              <w:rPr>
                <w:sz w:val="14"/>
              </w:rPr>
              <w:t>Amendment</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473.60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6"/>
                <w:sz w:val="14"/>
              </w:rPr>
              <w:t> </w:t>
            </w:r>
            <w:r>
              <w:rPr>
                <w:sz w:val="14"/>
              </w:rPr>
              <w:t>Class</w:t>
            </w:r>
            <w:r>
              <w:rPr>
                <w:spacing w:val="-5"/>
                <w:sz w:val="14"/>
              </w:rPr>
              <w:t> </w:t>
            </w:r>
            <w:r>
              <w:rPr>
                <w:sz w:val="14"/>
              </w:rPr>
              <w:t>8</w:t>
            </w:r>
            <w:r>
              <w:rPr>
                <w:spacing w:val="-2"/>
                <w:sz w:val="14"/>
              </w:rPr>
              <w:t> </w:t>
            </w:r>
            <w:r>
              <w:rPr>
                <w:sz w:val="14"/>
              </w:rPr>
              <w:t>-</w:t>
            </w:r>
            <w:r>
              <w:rPr>
                <w:spacing w:val="-5"/>
                <w:sz w:val="14"/>
              </w:rPr>
              <w:t> </w:t>
            </w:r>
            <w:r>
              <w:rPr>
                <w:sz w:val="14"/>
              </w:rPr>
              <w:t>more</w:t>
            </w:r>
            <w:r>
              <w:rPr>
                <w:spacing w:val="-4"/>
                <w:sz w:val="14"/>
              </w:rPr>
              <w:t> </w:t>
            </w:r>
            <w:r>
              <w:rPr>
                <w:sz w:val="14"/>
              </w:rPr>
              <w:t>than</w:t>
            </w:r>
            <w:r>
              <w:rPr>
                <w:spacing w:val="-1"/>
                <w:sz w:val="14"/>
              </w:rPr>
              <w:t> </w:t>
            </w:r>
            <w:r>
              <w:rPr>
                <w:sz w:val="14"/>
              </w:rPr>
              <w:t>$10,000</w:t>
            </w:r>
            <w:r>
              <w:rPr>
                <w:spacing w:val="-2"/>
                <w:sz w:val="14"/>
              </w:rPr>
              <w:t> </w:t>
            </w:r>
            <w:r>
              <w:rPr>
                <w:sz w:val="14"/>
              </w:rPr>
              <w:t>Application</w:t>
            </w:r>
            <w:r>
              <w:rPr>
                <w:spacing w:val="-3"/>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461.10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5"/>
                <w:sz w:val="14"/>
              </w:rPr>
              <w:t> </w:t>
            </w:r>
            <w:r>
              <w:rPr>
                <w:sz w:val="14"/>
              </w:rPr>
              <w:t>Class</w:t>
            </w:r>
            <w:r>
              <w:rPr>
                <w:spacing w:val="-5"/>
                <w:sz w:val="14"/>
              </w:rPr>
              <w:t> </w:t>
            </w:r>
            <w:r>
              <w:rPr>
                <w:sz w:val="14"/>
              </w:rPr>
              <w:t>8</w:t>
            </w:r>
            <w:r>
              <w:rPr>
                <w:spacing w:val="-2"/>
                <w:sz w:val="14"/>
              </w:rPr>
              <w:t> </w:t>
            </w:r>
            <w:r>
              <w:rPr>
                <w:sz w:val="14"/>
              </w:rPr>
              <w:t>-</w:t>
            </w:r>
            <w:r>
              <w:rPr>
                <w:spacing w:val="-5"/>
                <w:sz w:val="14"/>
              </w:rPr>
              <w:t> </w:t>
            </w:r>
            <w:r>
              <w:rPr>
                <w:sz w:val="14"/>
              </w:rPr>
              <w:t>more</w:t>
            </w:r>
            <w:r>
              <w:rPr>
                <w:spacing w:val="-3"/>
                <w:sz w:val="14"/>
              </w:rPr>
              <w:t> </w:t>
            </w:r>
            <w:r>
              <w:rPr>
                <w:sz w:val="14"/>
              </w:rPr>
              <w:t>than</w:t>
            </w:r>
            <w:r>
              <w:rPr>
                <w:spacing w:val="-2"/>
                <w:sz w:val="14"/>
              </w:rPr>
              <w:t> </w:t>
            </w:r>
            <w:r>
              <w:rPr>
                <w:sz w:val="14"/>
              </w:rPr>
              <w:t>$10,000</w:t>
            </w:r>
            <w:r>
              <w:rPr>
                <w:spacing w:val="-3"/>
                <w:sz w:val="14"/>
              </w:rPr>
              <w:t> </w:t>
            </w:r>
            <w:r>
              <w:rPr>
                <w:sz w:val="14"/>
              </w:rPr>
              <w:t>Section</w:t>
            </w:r>
            <w:r>
              <w:rPr>
                <w:spacing w:val="-6"/>
                <w:sz w:val="14"/>
              </w:rPr>
              <w:t> </w:t>
            </w:r>
            <w:r>
              <w:rPr>
                <w:sz w:val="14"/>
              </w:rPr>
              <w:t>72</w:t>
            </w:r>
            <w:r>
              <w:rPr>
                <w:spacing w:val="-4"/>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461.10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5"/>
                <w:sz w:val="14"/>
              </w:rPr>
              <w:t> </w:t>
            </w:r>
            <w:r>
              <w:rPr>
                <w:sz w:val="14"/>
              </w:rPr>
              <w:t>Class</w:t>
            </w:r>
            <w:r>
              <w:rPr>
                <w:spacing w:val="-5"/>
                <w:sz w:val="14"/>
              </w:rPr>
              <w:t> </w:t>
            </w:r>
            <w:r>
              <w:rPr>
                <w:sz w:val="14"/>
              </w:rPr>
              <w:t>9</w:t>
            </w:r>
            <w:r>
              <w:rPr>
                <w:spacing w:val="-2"/>
                <w:sz w:val="14"/>
              </w:rPr>
              <w:t> </w:t>
            </w:r>
            <w:r>
              <w:rPr>
                <w:sz w:val="14"/>
              </w:rPr>
              <w:t>-application</w:t>
            </w:r>
            <w:r>
              <w:rPr>
                <w:spacing w:val="-6"/>
                <w:sz w:val="14"/>
              </w:rPr>
              <w:t> </w:t>
            </w:r>
            <w:r>
              <w:rPr>
                <w:sz w:val="14"/>
              </w:rPr>
              <w:t>to</w:t>
            </w:r>
            <w:r>
              <w:rPr>
                <w:spacing w:val="-6"/>
                <w:sz w:val="14"/>
              </w:rPr>
              <w:t> </w:t>
            </w:r>
            <w:r>
              <w:rPr>
                <w:sz w:val="14"/>
              </w:rPr>
              <w:t>subdivide</w:t>
            </w:r>
            <w:r>
              <w:rPr>
                <w:spacing w:val="-1"/>
                <w:sz w:val="14"/>
              </w:rPr>
              <w:t> </w:t>
            </w:r>
            <w:r>
              <w:rPr>
                <w:sz w:val="14"/>
              </w:rPr>
              <w:t>or</w:t>
            </w:r>
            <w:r>
              <w:rPr>
                <w:spacing w:val="-5"/>
                <w:sz w:val="14"/>
              </w:rPr>
              <w:t> </w:t>
            </w:r>
            <w:r>
              <w:rPr>
                <w:sz w:val="14"/>
              </w:rPr>
              <w:t>consolidate</w:t>
            </w:r>
            <w:r>
              <w:rPr>
                <w:spacing w:val="-5"/>
                <w:sz w:val="14"/>
              </w:rPr>
              <w:t> </w:t>
            </w:r>
            <w:r>
              <w:rPr>
                <w:sz w:val="14"/>
              </w:rPr>
              <w:t>land</w:t>
            </w:r>
            <w:r>
              <w:rPr>
                <w:spacing w:val="-4"/>
                <w:sz w:val="14"/>
              </w:rPr>
              <w:t> </w:t>
            </w:r>
            <w:r>
              <w:rPr>
                <w:sz w:val="14"/>
              </w:rPr>
              <w:t>Application</w:t>
            </w:r>
            <w:r>
              <w:rPr>
                <w:spacing w:val="-3"/>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VicSmart</w:t>
            </w:r>
            <w:r>
              <w:rPr>
                <w:spacing w:val="-5"/>
                <w:sz w:val="14"/>
              </w:rPr>
              <w:t> </w:t>
            </w:r>
            <w:r>
              <w:rPr>
                <w:sz w:val="14"/>
              </w:rPr>
              <w:t>Class</w:t>
            </w:r>
            <w:r>
              <w:rPr>
                <w:spacing w:val="-4"/>
                <w:sz w:val="14"/>
              </w:rPr>
              <w:t> </w:t>
            </w:r>
            <w:r>
              <w:rPr>
                <w:sz w:val="14"/>
              </w:rPr>
              <w:t>9</w:t>
            </w:r>
            <w:r>
              <w:rPr>
                <w:spacing w:val="-2"/>
                <w:sz w:val="14"/>
              </w:rPr>
              <w:t> </w:t>
            </w:r>
            <w:r>
              <w:rPr>
                <w:sz w:val="14"/>
              </w:rPr>
              <w:t>-application</w:t>
            </w:r>
            <w:r>
              <w:rPr>
                <w:spacing w:val="-5"/>
                <w:sz w:val="14"/>
              </w:rPr>
              <w:t> </w:t>
            </w:r>
            <w:r>
              <w:rPr>
                <w:sz w:val="14"/>
              </w:rPr>
              <w:t>to</w:t>
            </w:r>
            <w:r>
              <w:rPr>
                <w:spacing w:val="-6"/>
                <w:sz w:val="14"/>
              </w:rPr>
              <w:t> </w:t>
            </w:r>
            <w:r>
              <w:rPr>
                <w:sz w:val="14"/>
              </w:rPr>
              <w:t>subdivide</w:t>
            </w:r>
            <w:r>
              <w:rPr>
                <w:spacing w:val="-1"/>
                <w:sz w:val="14"/>
              </w:rPr>
              <w:t> </w:t>
            </w:r>
            <w:r>
              <w:rPr>
                <w:sz w:val="14"/>
              </w:rPr>
              <w:t>or</w:t>
            </w:r>
            <w:r>
              <w:rPr>
                <w:spacing w:val="-4"/>
                <w:sz w:val="14"/>
              </w:rPr>
              <w:t> </w:t>
            </w:r>
            <w:r>
              <w:rPr>
                <w:sz w:val="14"/>
              </w:rPr>
              <w:t>consolidate</w:t>
            </w:r>
            <w:r>
              <w:rPr>
                <w:spacing w:val="-5"/>
                <w:sz w:val="14"/>
              </w:rPr>
              <w:t> </w:t>
            </w:r>
            <w:r>
              <w:rPr>
                <w:sz w:val="14"/>
              </w:rPr>
              <w:t>land</w:t>
            </w:r>
            <w:r>
              <w:rPr>
                <w:spacing w:val="-3"/>
                <w:sz w:val="14"/>
              </w:rPr>
              <w:t> </w:t>
            </w:r>
            <w:r>
              <w:rPr>
                <w:sz w:val="14"/>
              </w:rPr>
              <w:t>Section</w:t>
            </w:r>
            <w:r>
              <w:rPr>
                <w:spacing w:val="-5"/>
                <w:sz w:val="14"/>
              </w:rPr>
              <w:t> </w:t>
            </w:r>
            <w:r>
              <w:rPr>
                <w:sz w:val="14"/>
              </w:rPr>
              <w:t>72</w:t>
            </w:r>
            <w:r>
              <w:rPr>
                <w:spacing w:val="-4"/>
                <w:sz w:val="14"/>
              </w:rPr>
              <w:t> </w:t>
            </w:r>
            <w:r>
              <w:rPr>
                <w:sz w:val="14"/>
              </w:rPr>
              <w:t>Amendment</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214.70</w:t>
            </w:r>
          </w:p>
        </w:tc>
        <w:tc>
          <w:tcPr>
            <w:tcW w:w="995" w:type="dxa"/>
          </w:tcPr>
          <w:p>
            <w:pPr>
              <w:pStyle w:val="TableParagraph"/>
              <w:spacing w:line="140" w:lineRule="exact" w:before="17"/>
              <w:ind w:right="102"/>
              <w:jc w:val="right"/>
              <w:rPr>
                <w:sz w:val="14"/>
              </w:rPr>
            </w:pPr>
            <w:r>
              <w:rPr>
                <w:spacing w:val="-2"/>
                <w:sz w:val="14"/>
              </w:rPr>
              <w:t>220.50</w:t>
            </w:r>
          </w:p>
        </w:tc>
        <w:tc>
          <w:tcPr>
            <w:tcW w:w="861" w:type="dxa"/>
          </w:tcPr>
          <w:p>
            <w:pPr>
              <w:pStyle w:val="TableParagraph"/>
              <w:spacing w:line="140" w:lineRule="exact" w:before="17"/>
              <w:ind w:left="152" w:right="154"/>
              <w:jc w:val="center"/>
              <w:rPr>
                <w:sz w:val="14"/>
              </w:rPr>
            </w:pPr>
            <w:r>
              <w:rPr>
                <w:spacing w:val="-5"/>
                <w:sz w:val="14"/>
              </w:rPr>
              <w:t>2.6</w:t>
            </w:r>
          </w:p>
        </w:tc>
      </w:tr>
      <w:tr>
        <w:trPr>
          <w:trHeight w:val="177" w:hRule="atLeast"/>
        </w:trPr>
        <w:tc>
          <w:tcPr>
            <w:tcW w:w="5794" w:type="dxa"/>
          </w:tcPr>
          <w:p>
            <w:pPr>
              <w:pStyle w:val="TableParagraph"/>
              <w:spacing w:line="142" w:lineRule="exact" w:before="15"/>
              <w:ind w:left="107"/>
              <w:rPr>
                <w:sz w:val="14"/>
              </w:rPr>
            </w:pPr>
            <w:r>
              <w:rPr>
                <w:sz w:val="14"/>
              </w:rPr>
              <w:t>VicSmart</w:t>
            </w:r>
            <w:r>
              <w:rPr>
                <w:spacing w:val="-5"/>
                <w:sz w:val="14"/>
              </w:rPr>
              <w:t> </w:t>
            </w:r>
            <w:r>
              <w:rPr>
                <w:sz w:val="14"/>
              </w:rPr>
              <w:t>Class</w:t>
            </w:r>
            <w:r>
              <w:rPr>
                <w:spacing w:val="-4"/>
                <w:sz w:val="14"/>
              </w:rPr>
              <w:t> </w:t>
            </w:r>
            <w:r>
              <w:rPr>
                <w:sz w:val="14"/>
              </w:rPr>
              <w:t>10</w:t>
            </w:r>
            <w:r>
              <w:rPr>
                <w:spacing w:val="-4"/>
                <w:sz w:val="14"/>
              </w:rPr>
              <w:t> </w:t>
            </w:r>
            <w:r>
              <w:rPr>
                <w:sz w:val="14"/>
              </w:rPr>
              <w:t>-</w:t>
            </w:r>
            <w:r>
              <w:rPr>
                <w:spacing w:val="-2"/>
                <w:sz w:val="14"/>
              </w:rPr>
              <w:t> </w:t>
            </w:r>
            <w:r>
              <w:rPr>
                <w:sz w:val="14"/>
              </w:rPr>
              <w:t>All</w:t>
            </w:r>
            <w:r>
              <w:rPr>
                <w:spacing w:val="-3"/>
                <w:sz w:val="14"/>
              </w:rPr>
              <w:t> </w:t>
            </w:r>
            <w:r>
              <w:rPr>
                <w:sz w:val="14"/>
              </w:rPr>
              <w:t>other</w:t>
            </w:r>
            <w:r>
              <w:rPr>
                <w:spacing w:val="-5"/>
                <w:sz w:val="14"/>
              </w:rPr>
              <w:t> </w:t>
            </w:r>
            <w:r>
              <w:rPr>
                <w:sz w:val="14"/>
              </w:rPr>
              <w:t>VicSmart</w:t>
            </w:r>
            <w:r>
              <w:rPr>
                <w:spacing w:val="1"/>
                <w:sz w:val="14"/>
              </w:rPr>
              <w:t> </w:t>
            </w:r>
            <w:r>
              <w:rPr>
                <w:sz w:val="14"/>
              </w:rPr>
              <w:t>Applications</w:t>
            </w:r>
            <w:r>
              <w:rPr>
                <w:spacing w:val="-4"/>
                <w:sz w:val="14"/>
              </w:rPr>
              <w:t> </w:t>
            </w:r>
            <w:r>
              <w:rPr>
                <w:spacing w:val="-5"/>
                <w:sz w:val="14"/>
              </w:rPr>
              <w:t>fee</w:t>
            </w:r>
          </w:p>
        </w:tc>
        <w:tc>
          <w:tcPr>
            <w:tcW w:w="1131" w:type="dxa"/>
          </w:tcPr>
          <w:p>
            <w:pPr>
              <w:pStyle w:val="TableParagraph"/>
              <w:spacing w:line="142" w:lineRule="exact" w:before="15"/>
              <w:ind w:left="8"/>
              <w:jc w:val="center"/>
              <w:rPr>
                <w:sz w:val="14"/>
              </w:rPr>
            </w:pPr>
            <w:r>
              <w:rPr>
                <w:w w:val="99"/>
                <w:sz w:val="14"/>
              </w:rPr>
              <w:t>S</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214.70</w:t>
            </w:r>
          </w:p>
        </w:tc>
        <w:tc>
          <w:tcPr>
            <w:tcW w:w="995" w:type="dxa"/>
          </w:tcPr>
          <w:p>
            <w:pPr>
              <w:pStyle w:val="TableParagraph"/>
              <w:spacing w:line="142" w:lineRule="exact" w:before="15"/>
              <w:ind w:right="101"/>
              <w:jc w:val="right"/>
              <w:rPr>
                <w:sz w:val="14"/>
              </w:rPr>
            </w:pPr>
            <w:r>
              <w:rPr>
                <w:spacing w:val="-2"/>
                <w:sz w:val="14"/>
              </w:rPr>
              <w:t>1,453.40</w:t>
            </w:r>
          </w:p>
        </w:tc>
        <w:tc>
          <w:tcPr>
            <w:tcW w:w="861" w:type="dxa"/>
          </w:tcPr>
          <w:p>
            <w:pPr>
              <w:pStyle w:val="TableParagraph"/>
              <w:spacing w:line="142" w:lineRule="exact" w:before="15"/>
              <w:ind w:left="152" w:right="154"/>
              <w:jc w:val="center"/>
              <w:rPr>
                <w:sz w:val="14"/>
              </w:rPr>
            </w:pPr>
            <w:r>
              <w:rPr>
                <w:spacing w:val="-5"/>
                <w:sz w:val="14"/>
              </w:rPr>
              <w:t>2.6</w:t>
            </w:r>
          </w:p>
        </w:tc>
      </w:tr>
      <w:tr>
        <w:trPr>
          <w:trHeight w:val="174" w:hRule="atLeast"/>
        </w:trPr>
        <w:tc>
          <w:tcPr>
            <w:tcW w:w="5794" w:type="dxa"/>
          </w:tcPr>
          <w:p>
            <w:pPr>
              <w:pStyle w:val="TableParagraph"/>
              <w:spacing w:line="140" w:lineRule="exact" w:before="15"/>
              <w:ind w:left="107"/>
              <w:rPr>
                <w:sz w:val="14"/>
              </w:rPr>
            </w:pPr>
            <w:r>
              <w:rPr>
                <w:sz w:val="14"/>
              </w:rPr>
              <w:t>VicSmart</w:t>
            </w:r>
            <w:r>
              <w:rPr>
                <w:spacing w:val="-5"/>
                <w:sz w:val="14"/>
              </w:rPr>
              <w:t> </w:t>
            </w:r>
            <w:r>
              <w:rPr>
                <w:sz w:val="14"/>
              </w:rPr>
              <w:t>Class</w:t>
            </w:r>
            <w:r>
              <w:rPr>
                <w:spacing w:val="-5"/>
                <w:sz w:val="14"/>
              </w:rPr>
              <w:t> </w:t>
            </w:r>
            <w:r>
              <w:rPr>
                <w:sz w:val="14"/>
              </w:rPr>
              <w:t>10</w:t>
            </w:r>
            <w:r>
              <w:rPr>
                <w:spacing w:val="-4"/>
                <w:sz w:val="14"/>
              </w:rPr>
              <w:t> </w:t>
            </w:r>
            <w:r>
              <w:rPr>
                <w:sz w:val="14"/>
              </w:rPr>
              <w:t>-</w:t>
            </w:r>
            <w:r>
              <w:rPr>
                <w:spacing w:val="-2"/>
                <w:sz w:val="14"/>
              </w:rPr>
              <w:t> </w:t>
            </w:r>
            <w:r>
              <w:rPr>
                <w:sz w:val="14"/>
              </w:rPr>
              <w:t>All</w:t>
            </w:r>
            <w:r>
              <w:rPr>
                <w:spacing w:val="-4"/>
                <w:sz w:val="14"/>
              </w:rPr>
              <w:t> </w:t>
            </w:r>
            <w:r>
              <w:rPr>
                <w:sz w:val="14"/>
              </w:rPr>
              <w:t>other</w:t>
            </w:r>
            <w:r>
              <w:rPr>
                <w:spacing w:val="-5"/>
                <w:sz w:val="14"/>
              </w:rPr>
              <w:t> </w:t>
            </w:r>
            <w:r>
              <w:rPr>
                <w:sz w:val="14"/>
              </w:rPr>
              <w:t>VicSmart Applications</w:t>
            </w:r>
            <w:r>
              <w:rPr>
                <w:spacing w:val="-4"/>
                <w:sz w:val="14"/>
              </w:rPr>
              <w:t> </w:t>
            </w:r>
            <w:r>
              <w:rPr>
                <w:sz w:val="14"/>
              </w:rPr>
              <w:t>Section</w:t>
            </w:r>
            <w:r>
              <w:rPr>
                <w:spacing w:val="-3"/>
                <w:sz w:val="14"/>
              </w:rPr>
              <w:t> </w:t>
            </w:r>
            <w:r>
              <w:rPr>
                <w:sz w:val="14"/>
              </w:rPr>
              <w:t>72</w:t>
            </w:r>
            <w:r>
              <w:rPr>
                <w:spacing w:val="-2"/>
                <w:sz w:val="14"/>
              </w:rPr>
              <w:t> </w:t>
            </w:r>
            <w:r>
              <w:rPr>
                <w:sz w:val="14"/>
              </w:rPr>
              <w:t>Amendment</w:t>
            </w:r>
            <w:r>
              <w:rPr>
                <w:spacing w:val="-2"/>
                <w:sz w:val="14"/>
              </w:rPr>
              <w:t> </w:t>
            </w:r>
            <w:r>
              <w:rPr>
                <w:spacing w:val="-5"/>
                <w:sz w:val="14"/>
              </w:rPr>
              <w:t>fee</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214.70</w:t>
            </w:r>
          </w:p>
        </w:tc>
        <w:tc>
          <w:tcPr>
            <w:tcW w:w="995" w:type="dxa"/>
          </w:tcPr>
          <w:p>
            <w:pPr>
              <w:pStyle w:val="TableParagraph"/>
              <w:spacing w:line="140" w:lineRule="exact" w:before="15"/>
              <w:ind w:right="101"/>
              <w:jc w:val="right"/>
              <w:rPr>
                <w:sz w:val="14"/>
              </w:rPr>
            </w:pPr>
            <w:r>
              <w:rPr>
                <w:spacing w:val="-2"/>
                <w:sz w:val="14"/>
              </w:rPr>
              <w:t>1,453.40</w:t>
            </w:r>
          </w:p>
        </w:tc>
        <w:tc>
          <w:tcPr>
            <w:tcW w:w="861" w:type="dxa"/>
          </w:tcPr>
          <w:p>
            <w:pPr>
              <w:pStyle w:val="TableParagraph"/>
              <w:spacing w:line="140" w:lineRule="exact" w:before="15"/>
              <w:ind w:left="152" w:right="154"/>
              <w:jc w:val="center"/>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Planning</w:t>
            </w:r>
            <w:r>
              <w:rPr>
                <w:spacing w:val="-7"/>
                <w:sz w:val="14"/>
              </w:rPr>
              <w:t> </w:t>
            </w:r>
            <w:r>
              <w:rPr>
                <w:sz w:val="14"/>
              </w:rPr>
              <w:t>Information</w:t>
            </w:r>
            <w:r>
              <w:rPr>
                <w:spacing w:val="-3"/>
                <w:sz w:val="14"/>
              </w:rPr>
              <w:t> </w:t>
            </w:r>
            <w:r>
              <w:rPr>
                <w:sz w:val="14"/>
              </w:rPr>
              <w:t>request</w:t>
            </w:r>
            <w:r>
              <w:rPr>
                <w:spacing w:val="-4"/>
                <w:sz w:val="14"/>
              </w:rPr>
              <w:t> </w:t>
            </w:r>
            <w:r>
              <w:rPr>
                <w:sz w:val="14"/>
              </w:rPr>
              <w:t>(PIR)</w:t>
            </w:r>
            <w:r>
              <w:rPr>
                <w:spacing w:val="-4"/>
                <w:sz w:val="14"/>
              </w:rPr>
              <w:t> </w:t>
            </w:r>
            <w:r>
              <w:rPr>
                <w:spacing w:val="-2"/>
                <w:sz w:val="14"/>
              </w:rPr>
              <w:t>General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203.00</w:t>
            </w:r>
          </w:p>
        </w:tc>
        <w:tc>
          <w:tcPr>
            <w:tcW w:w="995" w:type="dxa"/>
          </w:tcPr>
          <w:p>
            <w:pPr>
              <w:pStyle w:val="TableParagraph"/>
              <w:spacing w:line="140" w:lineRule="exact" w:before="17"/>
              <w:ind w:right="102"/>
              <w:jc w:val="right"/>
              <w:rPr>
                <w:sz w:val="14"/>
              </w:rPr>
            </w:pPr>
            <w:r>
              <w:rPr>
                <w:spacing w:val="-2"/>
                <w:sz w:val="14"/>
              </w:rPr>
              <w:t>219.50</w:t>
            </w:r>
          </w:p>
        </w:tc>
        <w:tc>
          <w:tcPr>
            <w:tcW w:w="861" w:type="dxa"/>
          </w:tcPr>
          <w:p>
            <w:pPr>
              <w:pStyle w:val="TableParagraph"/>
              <w:spacing w:line="140" w:lineRule="exact" w:before="17"/>
              <w:ind w:left="152" w:right="154"/>
              <w:jc w:val="center"/>
              <w:rPr>
                <w:sz w:val="14"/>
              </w:rPr>
            </w:pPr>
            <w:r>
              <w:rPr>
                <w:spacing w:val="-5"/>
                <w:sz w:val="14"/>
              </w:rPr>
              <w:t>7.5</w:t>
            </w:r>
          </w:p>
        </w:tc>
      </w:tr>
      <w:tr>
        <w:trPr>
          <w:trHeight w:val="177" w:hRule="atLeast"/>
        </w:trPr>
        <w:tc>
          <w:tcPr>
            <w:tcW w:w="5794" w:type="dxa"/>
          </w:tcPr>
          <w:p>
            <w:pPr>
              <w:pStyle w:val="TableParagraph"/>
              <w:spacing w:line="140" w:lineRule="exact" w:before="17"/>
              <w:ind w:left="107"/>
              <w:rPr>
                <w:sz w:val="14"/>
              </w:rPr>
            </w:pPr>
            <w:r>
              <w:rPr>
                <w:sz w:val="14"/>
              </w:rPr>
              <w:t>Planning</w:t>
            </w:r>
            <w:r>
              <w:rPr>
                <w:spacing w:val="-6"/>
                <w:sz w:val="14"/>
              </w:rPr>
              <w:t> </w:t>
            </w:r>
            <w:r>
              <w:rPr>
                <w:sz w:val="14"/>
              </w:rPr>
              <w:t>Information</w:t>
            </w:r>
            <w:r>
              <w:rPr>
                <w:spacing w:val="-2"/>
                <w:sz w:val="14"/>
              </w:rPr>
              <w:t> </w:t>
            </w:r>
            <w:r>
              <w:rPr>
                <w:sz w:val="14"/>
              </w:rPr>
              <w:t>request</w:t>
            </w:r>
            <w:r>
              <w:rPr>
                <w:spacing w:val="-2"/>
                <w:sz w:val="14"/>
              </w:rPr>
              <w:t> </w:t>
            </w:r>
            <w:r>
              <w:rPr>
                <w:sz w:val="14"/>
              </w:rPr>
              <w:t>(PIR)</w:t>
            </w:r>
            <w:r>
              <w:rPr>
                <w:spacing w:val="-3"/>
                <w:sz w:val="14"/>
              </w:rPr>
              <w:t> </w:t>
            </w:r>
            <w:r>
              <w:rPr>
                <w:sz w:val="14"/>
              </w:rPr>
              <w:t>Discounted</w:t>
            </w:r>
            <w:r>
              <w:rPr>
                <w:spacing w:val="-5"/>
                <w:sz w:val="14"/>
              </w:rPr>
              <w:t> </w:t>
            </w:r>
            <w:r>
              <w:rPr>
                <w:sz w:val="14"/>
              </w:rPr>
              <w:t>fee</w:t>
            </w:r>
            <w:r>
              <w:rPr>
                <w:spacing w:val="-6"/>
                <w:sz w:val="14"/>
              </w:rPr>
              <w:t> </w:t>
            </w:r>
            <w:r>
              <w:rPr>
                <w:sz w:val="14"/>
              </w:rPr>
              <w:t>for</w:t>
            </w:r>
            <w:r>
              <w:rPr>
                <w:spacing w:val="-2"/>
                <w:sz w:val="14"/>
              </w:rPr>
              <w:t> </w:t>
            </w:r>
            <w:r>
              <w:rPr>
                <w:sz w:val="14"/>
              </w:rPr>
              <w:t>single</w:t>
            </w:r>
            <w:r>
              <w:rPr>
                <w:spacing w:val="-5"/>
                <w:sz w:val="14"/>
              </w:rPr>
              <w:t> </w:t>
            </w:r>
            <w:r>
              <w:rPr>
                <w:sz w:val="14"/>
              </w:rPr>
              <w:t>dwelling</w:t>
            </w:r>
            <w:r>
              <w:rPr>
                <w:spacing w:val="-6"/>
                <w:sz w:val="14"/>
              </w:rPr>
              <w:t> </w:t>
            </w:r>
            <w:r>
              <w:rPr>
                <w:sz w:val="14"/>
              </w:rPr>
              <w:t>in</w:t>
            </w:r>
            <w:r>
              <w:rPr>
                <w:spacing w:val="-3"/>
                <w:sz w:val="14"/>
              </w:rPr>
              <w:t> </w:t>
            </w:r>
            <w:r>
              <w:rPr>
                <w:sz w:val="14"/>
              </w:rPr>
              <w:t>a</w:t>
            </w:r>
            <w:r>
              <w:rPr>
                <w:spacing w:val="-3"/>
                <w:sz w:val="14"/>
              </w:rPr>
              <w:t> </w:t>
            </w:r>
            <w:r>
              <w:rPr>
                <w:sz w:val="14"/>
              </w:rPr>
              <w:t>residential</w:t>
            </w:r>
            <w:r>
              <w:rPr>
                <w:spacing w:val="-4"/>
                <w:sz w:val="14"/>
              </w:rPr>
              <w:t> zone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125.00</w:t>
            </w:r>
          </w:p>
        </w:tc>
        <w:tc>
          <w:tcPr>
            <w:tcW w:w="995" w:type="dxa"/>
          </w:tcPr>
          <w:p>
            <w:pPr>
              <w:pStyle w:val="TableParagraph"/>
              <w:spacing w:line="140" w:lineRule="exact" w:before="17"/>
              <w:ind w:right="102"/>
              <w:jc w:val="right"/>
              <w:rPr>
                <w:sz w:val="14"/>
              </w:rPr>
            </w:pPr>
            <w:r>
              <w:rPr>
                <w:spacing w:val="-2"/>
                <w:sz w:val="14"/>
              </w:rPr>
              <w:t>135.20</w:t>
            </w:r>
          </w:p>
        </w:tc>
        <w:tc>
          <w:tcPr>
            <w:tcW w:w="861" w:type="dxa"/>
          </w:tcPr>
          <w:p>
            <w:pPr>
              <w:pStyle w:val="TableParagraph"/>
              <w:spacing w:line="140" w:lineRule="exact" w:before="17"/>
              <w:ind w:left="152" w:right="154"/>
              <w:jc w:val="center"/>
              <w:rPr>
                <w:sz w:val="14"/>
              </w:rPr>
            </w:pPr>
            <w:r>
              <w:rPr>
                <w:spacing w:val="-5"/>
                <w:sz w:val="14"/>
              </w:rPr>
              <w:t>7.5</w:t>
            </w:r>
          </w:p>
        </w:tc>
      </w:tr>
      <w:tr>
        <w:trPr>
          <w:trHeight w:val="177" w:hRule="atLeast"/>
        </w:trPr>
        <w:tc>
          <w:tcPr>
            <w:tcW w:w="5794" w:type="dxa"/>
          </w:tcPr>
          <w:p>
            <w:pPr>
              <w:pStyle w:val="TableParagraph"/>
              <w:spacing w:line="140" w:lineRule="exact" w:before="17"/>
              <w:ind w:left="107"/>
              <w:rPr>
                <w:sz w:val="14"/>
              </w:rPr>
            </w:pPr>
            <w:r>
              <w:rPr>
                <w:sz w:val="14"/>
              </w:rPr>
              <w:t>Permit</w:t>
            </w:r>
            <w:r>
              <w:rPr>
                <w:spacing w:val="-4"/>
                <w:sz w:val="14"/>
              </w:rPr>
              <w:t> </w:t>
            </w:r>
            <w:r>
              <w:rPr>
                <w:sz w:val="14"/>
              </w:rPr>
              <w:t>history</w:t>
            </w:r>
            <w:r>
              <w:rPr>
                <w:spacing w:val="-4"/>
                <w:sz w:val="14"/>
              </w:rPr>
              <w:t> </w:t>
            </w:r>
            <w:r>
              <w:rPr>
                <w:sz w:val="14"/>
              </w:rPr>
              <w:t>request</w:t>
            </w:r>
            <w:r>
              <w:rPr>
                <w:spacing w:val="-2"/>
                <w:sz w:val="14"/>
              </w:rPr>
              <w:t> </w:t>
            </w:r>
            <w:r>
              <w:rPr>
                <w:sz w:val="14"/>
              </w:rPr>
              <w:t>(PHR)</w:t>
            </w:r>
            <w:r>
              <w:rPr>
                <w:spacing w:val="-4"/>
                <w:sz w:val="14"/>
              </w:rPr>
              <w:t> </w:t>
            </w:r>
            <w:r>
              <w:rPr>
                <w:sz w:val="14"/>
              </w:rPr>
              <w:t>-</w:t>
            </w:r>
            <w:r>
              <w:rPr>
                <w:spacing w:val="-2"/>
                <w:sz w:val="14"/>
              </w:rPr>
              <w:t> </w:t>
            </w:r>
            <w:r>
              <w:rPr>
                <w:sz w:val="14"/>
              </w:rPr>
              <w:t>First</w:t>
            </w:r>
            <w:r>
              <w:rPr>
                <w:spacing w:val="-3"/>
                <w:sz w:val="14"/>
              </w:rPr>
              <w:t> </w:t>
            </w:r>
            <w:r>
              <w:rPr>
                <w:sz w:val="14"/>
              </w:rPr>
              <w:t>2</w:t>
            </w:r>
            <w:r>
              <w:rPr>
                <w:spacing w:val="-3"/>
                <w:sz w:val="14"/>
              </w:rPr>
              <w:t> </w:t>
            </w:r>
            <w:r>
              <w:rPr>
                <w:spacing w:val="-2"/>
                <w:sz w:val="14"/>
              </w:rPr>
              <w:t>permits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377.00</w:t>
            </w:r>
          </w:p>
        </w:tc>
        <w:tc>
          <w:tcPr>
            <w:tcW w:w="995" w:type="dxa"/>
          </w:tcPr>
          <w:p>
            <w:pPr>
              <w:pStyle w:val="TableParagraph"/>
              <w:spacing w:line="140" w:lineRule="exact" w:before="17"/>
              <w:ind w:right="102"/>
              <w:jc w:val="right"/>
              <w:rPr>
                <w:sz w:val="14"/>
              </w:rPr>
            </w:pPr>
            <w:r>
              <w:rPr>
                <w:spacing w:val="-2"/>
                <w:sz w:val="14"/>
              </w:rPr>
              <w:t>407.40</w:t>
            </w:r>
          </w:p>
        </w:tc>
        <w:tc>
          <w:tcPr>
            <w:tcW w:w="861" w:type="dxa"/>
          </w:tcPr>
          <w:p>
            <w:pPr>
              <w:pStyle w:val="TableParagraph"/>
              <w:spacing w:line="140" w:lineRule="exact" w:before="17"/>
              <w:ind w:left="152" w:right="154"/>
              <w:jc w:val="center"/>
              <w:rPr>
                <w:sz w:val="14"/>
              </w:rPr>
            </w:pPr>
            <w:r>
              <w:rPr>
                <w:spacing w:val="-5"/>
                <w:sz w:val="14"/>
              </w:rPr>
              <w:t>7.5</w:t>
            </w:r>
          </w:p>
        </w:tc>
      </w:tr>
      <w:tr>
        <w:trPr>
          <w:trHeight w:val="177" w:hRule="atLeast"/>
        </w:trPr>
        <w:tc>
          <w:tcPr>
            <w:tcW w:w="5794" w:type="dxa"/>
          </w:tcPr>
          <w:p>
            <w:pPr>
              <w:pStyle w:val="TableParagraph"/>
              <w:spacing w:line="140" w:lineRule="exact" w:before="17"/>
              <w:ind w:left="107"/>
              <w:rPr>
                <w:sz w:val="14"/>
              </w:rPr>
            </w:pPr>
            <w:r>
              <w:rPr>
                <w:sz w:val="14"/>
              </w:rPr>
              <w:t>Permit</w:t>
            </w:r>
            <w:r>
              <w:rPr>
                <w:spacing w:val="-5"/>
                <w:sz w:val="14"/>
              </w:rPr>
              <w:t> </w:t>
            </w:r>
            <w:r>
              <w:rPr>
                <w:sz w:val="14"/>
              </w:rPr>
              <w:t>history</w:t>
            </w:r>
            <w:r>
              <w:rPr>
                <w:spacing w:val="-4"/>
                <w:sz w:val="14"/>
              </w:rPr>
              <w:t> </w:t>
            </w:r>
            <w:r>
              <w:rPr>
                <w:sz w:val="14"/>
              </w:rPr>
              <w:t>request</w:t>
            </w:r>
            <w:r>
              <w:rPr>
                <w:spacing w:val="-3"/>
                <w:sz w:val="14"/>
              </w:rPr>
              <w:t> </w:t>
            </w:r>
            <w:r>
              <w:rPr>
                <w:sz w:val="14"/>
              </w:rPr>
              <w:t>(PHR)</w:t>
            </w:r>
            <w:r>
              <w:rPr>
                <w:spacing w:val="-5"/>
                <w:sz w:val="14"/>
              </w:rPr>
              <w:t> </w:t>
            </w:r>
            <w:r>
              <w:rPr>
                <w:sz w:val="14"/>
              </w:rPr>
              <w:t>-</w:t>
            </w:r>
            <w:r>
              <w:rPr>
                <w:spacing w:val="-5"/>
                <w:sz w:val="14"/>
              </w:rPr>
              <w:t> </w:t>
            </w:r>
            <w:r>
              <w:rPr>
                <w:sz w:val="14"/>
              </w:rPr>
              <w:t>Each</w:t>
            </w:r>
            <w:r>
              <w:rPr>
                <w:spacing w:val="-3"/>
                <w:sz w:val="14"/>
              </w:rPr>
              <w:t> </w:t>
            </w:r>
            <w:r>
              <w:rPr>
                <w:sz w:val="14"/>
              </w:rPr>
              <w:t>subsequent</w:t>
            </w:r>
            <w:r>
              <w:rPr>
                <w:spacing w:val="-2"/>
                <w:sz w:val="14"/>
              </w:rPr>
              <w:t> permit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98.00</w:t>
            </w:r>
          </w:p>
        </w:tc>
        <w:tc>
          <w:tcPr>
            <w:tcW w:w="995" w:type="dxa"/>
          </w:tcPr>
          <w:p>
            <w:pPr>
              <w:pStyle w:val="TableParagraph"/>
              <w:spacing w:line="140" w:lineRule="exact" w:before="17"/>
              <w:ind w:right="102"/>
              <w:jc w:val="right"/>
              <w:rPr>
                <w:sz w:val="14"/>
              </w:rPr>
            </w:pPr>
            <w:r>
              <w:rPr>
                <w:spacing w:val="-2"/>
                <w:sz w:val="14"/>
              </w:rPr>
              <w:t>106.00</w:t>
            </w:r>
          </w:p>
        </w:tc>
        <w:tc>
          <w:tcPr>
            <w:tcW w:w="861" w:type="dxa"/>
          </w:tcPr>
          <w:p>
            <w:pPr>
              <w:pStyle w:val="TableParagraph"/>
              <w:spacing w:line="140" w:lineRule="exact" w:before="17"/>
              <w:ind w:left="152" w:right="154"/>
              <w:jc w:val="center"/>
              <w:rPr>
                <w:sz w:val="14"/>
              </w:rPr>
            </w:pPr>
            <w:r>
              <w:rPr>
                <w:spacing w:val="-5"/>
                <w:sz w:val="14"/>
              </w:rPr>
              <w:t>7.5</w:t>
            </w:r>
          </w:p>
        </w:tc>
      </w:tr>
      <w:tr>
        <w:trPr>
          <w:trHeight w:val="321" w:hRule="atLeast"/>
        </w:trPr>
        <w:tc>
          <w:tcPr>
            <w:tcW w:w="5794" w:type="dxa"/>
          </w:tcPr>
          <w:p>
            <w:pPr>
              <w:pStyle w:val="TableParagraph"/>
              <w:spacing w:line="160" w:lineRule="atLeast"/>
              <w:ind w:left="107" w:right="174"/>
              <w:rPr>
                <w:sz w:val="14"/>
              </w:rPr>
            </w:pPr>
            <w:r>
              <w:rPr>
                <w:sz w:val="14"/>
              </w:rPr>
              <w:t>Vegetation</w:t>
            </w:r>
            <w:r>
              <w:rPr>
                <w:spacing w:val="-7"/>
                <w:sz w:val="14"/>
              </w:rPr>
              <w:t> </w:t>
            </w:r>
            <w:r>
              <w:rPr>
                <w:sz w:val="14"/>
              </w:rPr>
              <w:t>Protection</w:t>
            </w:r>
            <w:r>
              <w:rPr>
                <w:spacing w:val="-7"/>
                <w:sz w:val="14"/>
              </w:rPr>
              <w:t> </w:t>
            </w:r>
            <w:r>
              <w:rPr>
                <w:sz w:val="14"/>
              </w:rPr>
              <w:t>(VPO),</w:t>
            </w:r>
            <w:r>
              <w:rPr>
                <w:spacing w:val="-4"/>
                <w:sz w:val="14"/>
              </w:rPr>
              <w:t> </w:t>
            </w:r>
            <w:r>
              <w:rPr>
                <w:sz w:val="14"/>
              </w:rPr>
              <w:t>Heritage</w:t>
            </w:r>
            <w:r>
              <w:rPr>
                <w:spacing w:val="-4"/>
                <w:sz w:val="14"/>
              </w:rPr>
              <w:t> </w:t>
            </w:r>
            <w:r>
              <w:rPr>
                <w:sz w:val="14"/>
              </w:rPr>
              <w:t>(HO)</w:t>
            </w:r>
            <w:r>
              <w:rPr>
                <w:spacing w:val="-5"/>
                <w:sz w:val="14"/>
              </w:rPr>
              <w:t> </w:t>
            </w:r>
            <w:r>
              <w:rPr>
                <w:sz w:val="14"/>
              </w:rPr>
              <w:t>and</w:t>
            </w:r>
            <w:r>
              <w:rPr>
                <w:spacing w:val="-7"/>
                <w:sz w:val="14"/>
              </w:rPr>
              <w:t> </w:t>
            </w:r>
            <w:r>
              <w:rPr>
                <w:sz w:val="14"/>
              </w:rPr>
              <w:t>Neighbourhood</w:t>
            </w:r>
            <w:r>
              <w:rPr>
                <w:spacing w:val="-7"/>
                <w:sz w:val="14"/>
              </w:rPr>
              <w:t> </w:t>
            </w:r>
            <w:r>
              <w:rPr>
                <w:sz w:val="14"/>
              </w:rPr>
              <w:t>Character</w:t>
            </w:r>
            <w:r>
              <w:rPr>
                <w:spacing w:val="-4"/>
                <w:sz w:val="14"/>
              </w:rPr>
              <w:t> </w:t>
            </w:r>
            <w:r>
              <w:rPr>
                <w:sz w:val="14"/>
              </w:rPr>
              <w:t>(NCO)</w:t>
            </w:r>
            <w:r>
              <w:rPr>
                <w:spacing w:val="40"/>
                <w:sz w:val="14"/>
              </w:rPr>
              <w:t> </w:t>
            </w:r>
            <w:r>
              <w:rPr>
                <w:spacing w:val="-2"/>
                <w:sz w:val="14"/>
              </w:rPr>
              <w:t>overlays</w:t>
            </w:r>
          </w:p>
        </w:tc>
        <w:tc>
          <w:tcPr>
            <w:tcW w:w="1131" w:type="dxa"/>
          </w:tcPr>
          <w:p>
            <w:pPr>
              <w:pStyle w:val="TableParagraph"/>
              <w:rPr>
                <w:sz w:val="14"/>
              </w:rPr>
            </w:pPr>
          </w:p>
          <w:p>
            <w:pPr>
              <w:pStyle w:val="TableParagraph"/>
              <w:spacing w:line="140" w:lineRule="exact"/>
              <w:ind w:left="5"/>
              <w:jc w:val="center"/>
              <w:rPr>
                <w:sz w:val="14"/>
              </w:rPr>
            </w:pPr>
            <w:r>
              <w:rPr>
                <w:w w:val="99"/>
                <w:sz w:val="14"/>
              </w:rPr>
              <w:t>N</w:t>
            </w:r>
          </w:p>
        </w:tc>
        <w:tc>
          <w:tcPr>
            <w:tcW w:w="567" w:type="dxa"/>
          </w:tcPr>
          <w:p>
            <w:pPr>
              <w:pStyle w:val="TableParagraph"/>
              <w:rPr>
                <w:sz w:val="14"/>
              </w:rPr>
            </w:pPr>
          </w:p>
          <w:p>
            <w:pPr>
              <w:pStyle w:val="TableParagraph"/>
              <w:spacing w:line="140" w:lineRule="exact"/>
              <w:ind w:left="190"/>
              <w:rPr>
                <w:sz w:val="14"/>
              </w:rPr>
            </w:pPr>
            <w:r>
              <w:rPr>
                <w:spacing w:val="-5"/>
                <w:sz w:val="14"/>
              </w:rPr>
              <w:t>No</w:t>
            </w:r>
          </w:p>
        </w:tc>
        <w:tc>
          <w:tcPr>
            <w:tcW w:w="997" w:type="dxa"/>
          </w:tcPr>
          <w:p>
            <w:pPr>
              <w:pStyle w:val="TableParagraph"/>
              <w:rPr>
                <w:sz w:val="14"/>
              </w:rPr>
            </w:pPr>
          </w:p>
          <w:p>
            <w:pPr>
              <w:pStyle w:val="TableParagraph"/>
              <w:spacing w:line="140" w:lineRule="exact"/>
              <w:ind w:right="100"/>
              <w:jc w:val="right"/>
              <w:rPr>
                <w:sz w:val="14"/>
              </w:rPr>
            </w:pPr>
            <w:r>
              <w:rPr>
                <w:spacing w:val="-2"/>
                <w:sz w:val="14"/>
              </w:rPr>
              <w:t>293.00</w:t>
            </w:r>
          </w:p>
        </w:tc>
        <w:tc>
          <w:tcPr>
            <w:tcW w:w="995" w:type="dxa"/>
          </w:tcPr>
          <w:p>
            <w:pPr>
              <w:pStyle w:val="TableParagraph"/>
              <w:rPr>
                <w:sz w:val="14"/>
              </w:rPr>
            </w:pPr>
          </w:p>
          <w:p>
            <w:pPr>
              <w:pStyle w:val="TableParagraph"/>
              <w:spacing w:line="140" w:lineRule="exact"/>
              <w:ind w:right="102"/>
              <w:jc w:val="right"/>
              <w:rPr>
                <w:sz w:val="14"/>
              </w:rPr>
            </w:pPr>
            <w:r>
              <w:rPr>
                <w:spacing w:val="-2"/>
                <w:sz w:val="14"/>
              </w:rPr>
              <w:t>316.80</w:t>
            </w:r>
          </w:p>
        </w:tc>
        <w:tc>
          <w:tcPr>
            <w:tcW w:w="861" w:type="dxa"/>
          </w:tcPr>
          <w:p>
            <w:pPr>
              <w:pStyle w:val="TableParagraph"/>
              <w:rPr>
                <w:sz w:val="14"/>
              </w:rPr>
            </w:pPr>
          </w:p>
          <w:p>
            <w:pPr>
              <w:pStyle w:val="TableParagraph"/>
              <w:spacing w:line="140" w:lineRule="exact"/>
              <w:ind w:left="152" w:right="154"/>
              <w:jc w:val="center"/>
              <w:rPr>
                <w:sz w:val="14"/>
              </w:rPr>
            </w:pPr>
            <w:r>
              <w:rPr>
                <w:spacing w:val="-5"/>
                <w:sz w:val="14"/>
              </w:rPr>
              <w:t>7.5</w:t>
            </w:r>
          </w:p>
        </w:tc>
      </w:tr>
      <w:tr>
        <w:trPr>
          <w:trHeight w:val="353" w:hRule="atLeast"/>
        </w:trPr>
        <w:tc>
          <w:tcPr>
            <w:tcW w:w="5794" w:type="dxa"/>
          </w:tcPr>
          <w:p>
            <w:pPr>
              <w:pStyle w:val="TableParagraph"/>
              <w:spacing w:line="160" w:lineRule="atLeast" w:before="13"/>
              <w:ind w:left="107" w:right="206"/>
              <w:rPr>
                <w:sz w:val="14"/>
              </w:rPr>
            </w:pPr>
            <w:r>
              <w:rPr>
                <w:sz w:val="14"/>
              </w:rPr>
              <w:t>Permit</w:t>
            </w:r>
            <w:r>
              <w:rPr>
                <w:spacing w:val="-3"/>
                <w:sz w:val="14"/>
              </w:rPr>
              <w:t> </w:t>
            </w:r>
            <w:r>
              <w:rPr>
                <w:sz w:val="14"/>
              </w:rPr>
              <w:t>history</w:t>
            </w:r>
            <w:r>
              <w:rPr>
                <w:spacing w:val="-3"/>
                <w:sz w:val="14"/>
              </w:rPr>
              <w:t> </w:t>
            </w:r>
            <w:r>
              <w:rPr>
                <w:sz w:val="14"/>
              </w:rPr>
              <w:t>request</w:t>
            </w:r>
            <w:r>
              <w:rPr>
                <w:spacing w:val="-2"/>
                <w:sz w:val="14"/>
              </w:rPr>
              <w:t> </w:t>
            </w:r>
            <w:r>
              <w:rPr>
                <w:sz w:val="14"/>
              </w:rPr>
              <w:t>(PHR)</w:t>
            </w:r>
            <w:r>
              <w:rPr>
                <w:spacing w:val="-5"/>
                <w:sz w:val="14"/>
              </w:rPr>
              <w:t> </w:t>
            </w:r>
            <w:r>
              <w:rPr>
                <w:sz w:val="14"/>
              </w:rPr>
              <w:t>Discounted</w:t>
            </w:r>
            <w:r>
              <w:rPr>
                <w:spacing w:val="-4"/>
                <w:sz w:val="14"/>
              </w:rPr>
              <w:t> </w:t>
            </w:r>
            <w:r>
              <w:rPr>
                <w:sz w:val="14"/>
              </w:rPr>
              <w:t>fee</w:t>
            </w:r>
            <w:r>
              <w:rPr>
                <w:spacing w:val="-4"/>
                <w:sz w:val="14"/>
              </w:rPr>
              <w:t> </w:t>
            </w:r>
            <w:r>
              <w:rPr>
                <w:sz w:val="14"/>
              </w:rPr>
              <w:t>for</w:t>
            </w:r>
            <w:r>
              <w:rPr>
                <w:spacing w:val="-4"/>
                <w:sz w:val="14"/>
              </w:rPr>
              <w:t> </w:t>
            </w:r>
            <w:r>
              <w:rPr>
                <w:sz w:val="14"/>
              </w:rPr>
              <w:t>single</w:t>
            </w:r>
            <w:r>
              <w:rPr>
                <w:spacing w:val="-4"/>
                <w:sz w:val="14"/>
              </w:rPr>
              <w:t> </w:t>
            </w:r>
            <w:r>
              <w:rPr>
                <w:sz w:val="14"/>
              </w:rPr>
              <w:t>dwelling</w:t>
            </w:r>
            <w:r>
              <w:rPr>
                <w:spacing w:val="-5"/>
                <w:sz w:val="14"/>
              </w:rPr>
              <w:t> </w:t>
            </w:r>
            <w:r>
              <w:rPr>
                <w:sz w:val="14"/>
              </w:rPr>
              <w:t>in</w:t>
            </w:r>
            <w:r>
              <w:rPr>
                <w:spacing w:val="-3"/>
                <w:sz w:val="14"/>
              </w:rPr>
              <w:t> </w:t>
            </w:r>
            <w:r>
              <w:rPr>
                <w:sz w:val="14"/>
              </w:rPr>
              <w:t>a</w:t>
            </w:r>
            <w:r>
              <w:rPr>
                <w:spacing w:val="-1"/>
                <w:sz w:val="14"/>
              </w:rPr>
              <w:t> </w:t>
            </w:r>
            <w:r>
              <w:rPr>
                <w:sz w:val="14"/>
              </w:rPr>
              <w:t>residential</w:t>
            </w:r>
            <w:r>
              <w:rPr>
                <w:spacing w:val="-2"/>
                <w:sz w:val="14"/>
              </w:rPr>
              <w:t> </w:t>
            </w:r>
            <w:r>
              <w:rPr>
                <w:sz w:val="14"/>
              </w:rPr>
              <w:t>zone</w:t>
            </w:r>
            <w:r>
              <w:rPr>
                <w:spacing w:val="-4"/>
                <w:sz w:val="14"/>
              </w:rPr>
              <w:t> </w:t>
            </w:r>
            <w:r>
              <w:rPr>
                <w:sz w:val="14"/>
              </w:rPr>
              <w:t>-</w:t>
            </w:r>
            <w:r>
              <w:rPr>
                <w:spacing w:val="40"/>
                <w:sz w:val="14"/>
              </w:rPr>
              <w:t> </w:t>
            </w:r>
            <w:r>
              <w:rPr>
                <w:sz w:val="14"/>
              </w:rPr>
              <w:t>First 2 permits</w:t>
            </w:r>
          </w:p>
        </w:tc>
        <w:tc>
          <w:tcPr>
            <w:tcW w:w="1131" w:type="dxa"/>
          </w:tcPr>
          <w:p>
            <w:pPr>
              <w:pStyle w:val="TableParagraph"/>
              <w:spacing w:before="10"/>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ind w:left="159"/>
              <w:rPr>
                <w:sz w:val="14"/>
              </w:rPr>
            </w:pPr>
            <w:r>
              <w:rPr>
                <w:spacing w:val="-5"/>
                <w:sz w:val="14"/>
              </w:rPr>
              <w:t>Yes</w:t>
            </w:r>
          </w:p>
        </w:tc>
        <w:tc>
          <w:tcPr>
            <w:tcW w:w="997" w:type="dxa"/>
          </w:tcPr>
          <w:p>
            <w:pPr>
              <w:pStyle w:val="TableParagraph"/>
              <w:spacing w:before="10"/>
              <w:rPr>
                <w:sz w:val="16"/>
              </w:rPr>
            </w:pPr>
          </w:p>
          <w:p>
            <w:pPr>
              <w:pStyle w:val="TableParagraph"/>
              <w:spacing w:line="140" w:lineRule="exact"/>
              <w:ind w:right="100"/>
              <w:jc w:val="right"/>
              <w:rPr>
                <w:sz w:val="14"/>
              </w:rPr>
            </w:pPr>
            <w:r>
              <w:rPr>
                <w:spacing w:val="-2"/>
                <w:sz w:val="14"/>
              </w:rPr>
              <w:t>140.00</w:t>
            </w:r>
          </w:p>
        </w:tc>
        <w:tc>
          <w:tcPr>
            <w:tcW w:w="995" w:type="dxa"/>
          </w:tcPr>
          <w:p>
            <w:pPr>
              <w:pStyle w:val="TableParagraph"/>
              <w:spacing w:before="10"/>
              <w:rPr>
                <w:sz w:val="16"/>
              </w:rPr>
            </w:pPr>
          </w:p>
          <w:p>
            <w:pPr>
              <w:pStyle w:val="TableParagraph"/>
              <w:spacing w:line="140" w:lineRule="exact"/>
              <w:ind w:right="102"/>
              <w:jc w:val="right"/>
              <w:rPr>
                <w:sz w:val="14"/>
              </w:rPr>
            </w:pPr>
            <w:r>
              <w:rPr>
                <w:spacing w:val="-2"/>
                <w:sz w:val="14"/>
              </w:rPr>
              <w:t>151.30</w:t>
            </w:r>
          </w:p>
        </w:tc>
        <w:tc>
          <w:tcPr>
            <w:tcW w:w="861" w:type="dxa"/>
          </w:tcPr>
          <w:p>
            <w:pPr>
              <w:pStyle w:val="TableParagraph"/>
              <w:spacing w:before="10"/>
              <w:rPr>
                <w:sz w:val="16"/>
              </w:rPr>
            </w:pPr>
          </w:p>
          <w:p>
            <w:pPr>
              <w:pStyle w:val="TableParagraph"/>
              <w:spacing w:line="140" w:lineRule="exact"/>
              <w:ind w:left="152" w:right="154"/>
              <w:jc w:val="center"/>
              <w:rPr>
                <w:sz w:val="14"/>
              </w:rPr>
            </w:pPr>
            <w:r>
              <w:rPr>
                <w:spacing w:val="-5"/>
                <w:sz w:val="14"/>
              </w:rPr>
              <w:t>7.5</w:t>
            </w:r>
          </w:p>
        </w:tc>
      </w:tr>
      <w:tr>
        <w:trPr>
          <w:trHeight w:val="354" w:hRule="atLeast"/>
        </w:trPr>
        <w:tc>
          <w:tcPr>
            <w:tcW w:w="5794" w:type="dxa"/>
          </w:tcPr>
          <w:p>
            <w:pPr>
              <w:pStyle w:val="TableParagraph"/>
              <w:spacing w:line="160" w:lineRule="atLeast" w:before="14"/>
              <w:ind w:left="107" w:right="174"/>
              <w:rPr>
                <w:sz w:val="14"/>
              </w:rPr>
            </w:pPr>
            <w:r>
              <w:rPr>
                <w:sz w:val="14"/>
              </w:rPr>
              <w:t>Permit</w:t>
            </w:r>
            <w:r>
              <w:rPr>
                <w:spacing w:val="-3"/>
                <w:sz w:val="14"/>
              </w:rPr>
              <w:t> </w:t>
            </w:r>
            <w:r>
              <w:rPr>
                <w:sz w:val="14"/>
              </w:rPr>
              <w:t>history</w:t>
            </w:r>
            <w:r>
              <w:rPr>
                <w:spacing w:val="-3"/>
                <w:sz w:val="14"/>
              </w:rPr>
              <w:t> </w:t>
            </w:r>
            <w:r>
              <w:rPr>
                <w:sz w:val="14"/>
              </w:rPr>
              <w:t>request</w:t>
            </w:r>
            <w:r>
              <w:rPr>
                <w:spacing w:val="-2"/>
                <w:sz w:val="14"/>
              </w:rPr>
              <w:t> </w:t>
            </w:r>
            <w:r>
              <w:rPr>
                <w:sz w:val="14"/>
              </w:rPr>
              <w:t>(PHR)</w:t>
            </w:r>
            <w:r>
              <w:rPr>
                <w:spacing w:val="-5"/>
                <w:sz w:val="14"/>
              </w:rPr>
              <w:t> </w:t>
            </w:r>
            <w:r>
              <w:rPr>
                <w:sz w:val="14"/>
              </w:rPr>
              <w:t>Discounted</w:t>
            </w:r>
            <w:r>
              <w:rPr>
                <w:spacing w:val="-4"/>
                <w:sz w:val="14"/>
              </w:rPr>
              <w:t> </w:t>
            </w:r>
            <w:r>
              <w:rPr>
                <w:sz w:val="14"/>
              </w:rPr>
              <w:t>fee</w:t>
            </w:r>
            <w:r>
              <w:rPr>
                <w:spacing w:val="-4"/>
                <w:sz w:val="14"/>
              </w:rPr>
              <w:t> </w:t>
            </w:r>
            <w:r>
              <w:rPr>
                <w:sz w:val="14"/>
              </w:rPr>
              <w:t>for</w:t>
            </w:r>
            <w:r>
              <w:rPr>
                <w:spacing w:val="-4"/>
                <w:sz w:val="14"/>
              </w:rPr>
              <w:t> </w:t>
            </w:r>
            <w:r>
              <w:rPr>
                <w:sz w:val="14"/>
              </w:rPr>
              <w:t>single</w:t>
            </w:r>
            <w:r>
              <w:rPr>
                <w:spacing w:val="-4"/>
                <w:sz w:val="14"/>
              </w:rPr>
              <w:t> </w:t>
            </w:r>
            <w:r>
              <w:rPr>
                <w:sz w:val="14"/>
              </w:rPr>
              <w:t>dwelling</w:t>
            </w:r>
            <w:r>
              <w:rPr>
                <w:spacing w:val="-5"/>
                <w:sz w:val="14"/>
              </w:rPr>
              <w:t> </w:t>
            </w:r>
            <w:r>
              <w:rPr>
                <w:sz w:val="14"/>
              </w:rPr>
              <w:t>in</w:t>
            </w:r>
            <w:r>
              <w:rPr>
                <w:spacing w:val="-3"/>
                <w:sz w:val="14"/>
              </w:rPr>
              <w:t> </w:t>
            </w:r>
            <w:r>
              <w:rPr>
                <w:sz w:val="14"/>
              </w:rPr>
              <w:t>a</w:t>
            </w:r>
            <w:r>
              <w:rPr>
                <w:spacing w:val="-1"/>
                <w:sz w:val="14"/>
              </w:rPr>
              <w:t> </w:t>
            </w:r>
            <w:r>
              <w:rPr>
                <w:sz w:val="14"/>
              </w:rPr>
              <w:t>residential</w:t>
            </w:r>
            <w:r>
              <w:rPr>
                <w:spacing w:val="-2"/>
                <w:sz w:val="14"/>
              </w:rPr>
              <w:t> </w:t>
            </w:r>
            <w:r>
              <w:rPr>
                <w:sz w:val="14"/>
              </w:rPr>
              <w:t>zone</w:t>
            </w:r>
            <w:r>
              <w:rPr>
                <w:spacing w:val="-4"/>
                <w:sz w:val="14"/>
              </w:rPr>
              <w:t> </w:t>
            </w:r>
            <w:r>
              <w:rPr>
                <w:sz w:val="14"/>
              </w:rPr>
              <w:t>-</w:t>
            </w:r>
            <w:r>
              <w:rPr>
                <w:spacing w:val="40"/>
                <w:sz w:val="14"/>
              </w:rPr>
              <w:t> </w:t>
            </w:r>
            <w:r>
              <w:rPr>
                <w:sz w:val="14"/>
              </w:rPr>
              <w:t>Each subsequent permit</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38.00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41.00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7.3</w:t>
            </w:r>
          </w:p>
        </w:tc>
      </w:tr>
      <w:tr>
        <w:trPr>
          <w:trHeight w:val="321" w:hRule="atLeast"/>
        </w:trPr>
        <w:tc>
          <w:tcPr>
            <w:tcW w:w="5794" w:type="dxa"/>
          </w:tcPr>
          <w:p>
            <w:pPr>
              <w:pStyle w:val="TableParagraph"/>
              <w:spacing w:line="160" w:lineRule="atLeast"/>
              <w:ind w:left="107" w:right="174"/>
              <w:rPr>
                <w:sz w:val="14"/>
              </w:rPr>
            </w:pPr>
            <w:r>
              <w:rPr>
                <w:sz w:val="14"/>
              </w:rPr>
              <w:t>Vegetation</w:t>
            </w:r>
            <w:r>
              <w:rPr>
                <w:spacing w:val="-7"/>
                <w:sz w:val="14"/>
              </w:rPr>
              <w:t> </w:t>
            </w:r>
            <w:r>
              <w:rPr>
                <w:sz w:val="14"/>
              </w:rPr>
              <w:t>Protection</w:t>
            </w:r>
            <w:r>
              <w:rPr>
                <w:spacing w:val="-7"/>
                <w:sz w:val="14"/>
              </w:rPr>
              <w:t> </w:t>
            </w:r>
            <w:r>
              <w:rPr>
                <w:sz w:val="14"/>
              </w:rPr>
              <w:t>(VPO),</w:t>
            </w:r>
            <w:r>
              <w:rPr>
                <w:spacing w:val="-4"/>
                <w:sz w:val="14"/>
              </w:rPr>
              <w:t> </w:t>
            </w:r>
            <w:r>
              <w:rPr>
                <w:sz w:val="14"/>
              </w:rPr>
              <w:t>Heritage</w:t>
            </w:r>
            <w:r>
              <w:rPr>
                <w:spacing w:val="-4"/>
                <w:sz w:val="14"/>
              </w:rPr>
              <w:t> </w:t>
            </w:r>
            <w:r>
              <w:rPr>
                <w:sz w:val="14"/>
              </w:rPr>
              <w:t>(HO)</w:t>
            </w:r>
            <w:r>
              <w:rPr>
                <w:spacing w:val="-5"/>
                <w:sz w:val="14"/>
              </w:rPr>
              <w:t> </w:t>
            </w:r>
            <w:r>
              <w:rPr>
                <w:sz w:val="14"/>
              </w:rPr>
              <w:t>and</w:t>
            </w:r>
            <w:r>
              <w:rPr>
                <w:spacing w:val="-7"/>
                <w:sz w:val="14"/>
              </w:rPr>
              <w:t> </w:t>
            </w:r>
            <w:r>
              <w:rPr>
                <w:sz w:val="14"/>
              </w:rPr>
              <w:t>Neighbourhood</w:t>
            </w:r>
            <w:r>
              <w:rPr>
                <w:spacing w:val="-7"/>
                <w:sz w:val="14"/>
              </w:rPr>
              <w:t> </w:t>
            </w:r>
            <w:r>
              <w:rPr>
                <w:sz w:val="14"/>
              </w:rPr>
              <w:t>Character</w:t>
            </w:r>
            <w:r>
              <w:rPr>
                <w:spacing w:val="-4"/>
                <w:sz w:val="14"/>
              </w:rPr>
              <w:t> </w:t>
            </w:r>
            <w:r>
              <w:rPr>
                <w:sz w:val="14"/>
              </w:rPr>
              <w:t>(NCO)</w:t>
            </w:r>
            <w:r>
              <w:rPr>
                <w:spacing w:val="40"/>
                <w:sz w:val="14"/>
              </w:rPr>
              <w:t> </w:t>
            </w:r>
            <w:r>
              <w:rPr>
                <w:spacing w:val="-2"/>
                <w:sz w:val="14"/>
              </w:rPr>
              <w:t>overlays</w:t>
            </w:r>
          </w:p>
        </w:tc>
        <w:tc>
          <w:tcPr>
            <w:tcW w:w="1131" w:type="dxa"/>
          </w:tcPr>
          <w:p>
            <w:pPr>
              <w:pStyle w:val="TableParagraph"/>
              <w:rPr>
                <w:sz w:val="14"/>
              </w:rPr>
            </w:pPr>
          </w:p>
          <w:p>
            <w:pPr>
              <w:pStyle w:val="TableParagraph"/>
              <w:spacing w:line="140" w:lineRule="exact"/>
              <w:ind w:left="5"/>
              <w:jc w:val="center"/>
              <w:rPr>
                <w:sz w:val="14"/>
              </w:rPr>
            </w:pPr>
            <w:r>
              <w:rPr>
                <w:w w:val="99"/>
                <w:sz w:val="14"/>
              </w:rPr>
              <w:t>N</w:t>
            </w:r>
          </w:p>
        </w:tc>
        <w:tc>
          <w:tcPr>
            <w:tcW w:w="567" w:type="dxa"/>
          </w:tcPr>
          <w:p>
            <w:pPr>
              <w:pStyle w:val="TableParagraph"/>
              <w:rPr>
                <w:sz w:val="14"/>
              </w:rPr>
            </w:pPr>
          </w:p>
          <w:p>
            <w:pPr>
              <w:pStyle w:val="TableParagraph"/>
              <w:spacing w:line="140" w:lineRule="exact"/>
              <w:ind w:left="159"/>
              <w:rPr>
                <w:sz w:val="14"/>
              </w:rPr>
            </w:pPr>
            <w:r>
              <w:rPr>
                <w:spacing w:val="-5"/>
                <w:sz w:val="14"/>
              </w:rPr>
              <w:t>Yes</w:t>
            </w:r>
          </w:p>
        </w:tc>
        <w:tc>
          <w:tcPr>
            <w:tcW w:w="997" w:type="dxa"/>
          </w:tcPr>
          <w:p>
            <w:pPr>
              <w:pStyle w:val="TableParagraph"/>
              <w:rPr>
                <w:sz w:val="14"/>
              </w:rPr>
            </w:pPr>
          </w:p>
          <w:p>
            <w:pPr>
              <w:pStyle w:val="TableParagraph"/>
              <w:spacing w:line="140" w:lineRule="exact"/>
              <w:ind w:right="100"/>
              <w:jc w:val="right"/>
              <w:rPr>
                <w:sz w:val="14"/>
              </w:rPr>
            </w:pPr>
            <w:r>
              <w:rPr>
                <w:spacing w:val="-2"/>
                <w:sz w:val="14"/>
              </w:rPr>
              <w:t>293.00</w:t>
            </w:r>
          </w:p>
        </w:tc>
        <w:tc>
          <w:tcPr>
            <w:tcW w:w="995" w:type="dxa"/>
          </w:tcPr>
          <w:p>
            <w:pPr>
              <w:pStyle w:val="TableParagraph"/>
              <w:rPr>
                <w:sz w:val="14"/>
              </w:rPr>
            </w:pPr>
          </w:p>
          <w:p>
            <w:pPr>
              <w:pStyle w:val="TableParagraph"/>
              <w:spacing w:line="140" w:lineRule="exact"/>
              <w:ind w:right="102"/>
              <w:jc w:val="right"/>
              <w:rPr>
                <w:sz w:val="14"/>
              </w:rPr>
            </w:pPr>
            <w:r>
              <w:rPr>
                <w:spacing w:val="-2"/>
                <w:sz w:val="14"/>
              </w:rPr>
              <w:t>316.80</w:t>
            </w:r>
          </w:p>
        </w:tc>
        <w:tc>
          <w:tcPr>
            <w:tcW w:w="861" w:type="dxa"/>
          </w:tcPr>
          <w:p>
            <w:pPr>
              <w:pStyle w:val="TableParagraph"/>
              <w:rPr>
                <w:sz w:val="14"/>
              </w:rPr>
            </w:pPr>
          </w:p>
          <w:p>
            <w:pPr>
              <w:pStyle w:val="TableParagraph"/>
              <w:spacing w:line="140" w:lineRule="exact"/>
              <w:ind w:left="152" w:right="154"/>
              <w:jc w:val="center"/>
              <w:rPr>
                <w:sz w:val="14"/>
              </w:rPr>
            </w:pPr>
            <w:r>
              <w:rPr>
                <w:spacing w:val="-5"/>
                <w:sz w:val="14"/>
              </w:rPr>
              <w:t>7.5</w:t>
            </w:r>
          </w:p>
        </w:tc>
      </w:tr>
      <w:tr>
        <w:trPr>
          <w:trHeight w:val="176" w:hRule="atLeast"/>
        </w:trPr>
        <w:tc>
          <w:tcPr>
            <w:tcW w:w="5794" w:type="dxa"/>
          </w:tcPr>
          <w:p>
            <w:pPr>
              <w:pStyle w:val="TableParagraph"/>
              <w:spacing w:line="140" w:lineRule="exact" w:before="16"/>
              <w:ind w:left="107"/>
              <w:rPr>
                <w:sz w:val="14"/>
              </w:rPr>
            </w:pPr>
            <w:r>
              <w:rPr>
                <w:sz w:val="14"/>
              </w:rPr>
              <w:t>All</w:t>
            </w:r>
            <w:r>
              <w:rPr>
                <w:spacing w:val="-4"/>
                <w:sz w:val="14"/>
              </w:rPr>
              <w:t> </w:t>
            </w:r>
            <w:r>
              <w:rPr>
                <w:sz w:val="14"/>
              </w:rPr>
              <w:t>other</w:t>
            </w:r>
            <w:r>
              <w:rPr>
                <w:spacing w:val="-5"/>
                <w:sz w:val="14"/>
              </w:rPr>
              <w:t> </w:t>
            </w:r>
            <w:r>
              <w:rPr>
                <w:sz w:val="14"/>
              </w:rPr>
              <w:t>Applications,</w:t>
            </w:r>
            <w:r>
              <w:rPr>
                <w:spacing w:val="-4"/>
                <w:sz w:val="14"/>
              </w:rPr>
              <w:t> </w:t>
            </w:r>
            <w:r>
              <w:rPr>
                <w:sz w:val="14"/>
              </w:rPr>
              <w:t>P/E</w:t>
            </w:r>
            <w:r>
              <w:rPr>
                <w:spacing w:val="-4"/>
                <w:sz w:val="14"/>
              </w:rPr>
              <w:t> </w:t>
            </w:r>
            <w:r>
              <w:rPr>
                <w:sz w:val="14"/>
              </w:rPr>
              <w:t>Act </w:t>
            </w:r>
            <w:r>
              <w:rPr>
                <w:spacing w:val="-5"/>
                <w:sz w:val="14"/>
              </w:rPr>
              <w:t>Fee</w:t>
            </w:r>
          </w:p>
        </w:tc>
        <w:tc>
          <w:tcPr>
            <w:tcW w:w="1131" w:type="dxa"/>
          </w:tcPr>
          <w:p>
            <w:pPr>
              <w:pStyle w:val="TableParagraph"/>
              <w:spacing w:line="140" w:lineRule="exact" w:before="16"/>
              <w:ind w:left="7"/>
              <w:jc w:val="center"/>
              <w:rPr>
                <w:sz w:val="14"/>
              </w:rPr>
            </w:pPr>
            <w:r>
              <w:rPr>
                <w:w w:val="99"/>
                <w:sz w:val="14"/>
              </w:rPr>
              <w:t>S</w:t>
            </w:r>
          </w:p>
        </w:tc>
        <w:tc>
          <w:tcPr>
            <w:tcW w:w="567" w:type="dxa"/>
          </w:tcPr>
          <w:p>
            <w:pPr>
              <w:pStyle w:val="TableParagraph"/>
              <w:spacing w:line="140" w:lineRule="exact" w:before="16"/>
              <w:ind w:left="190"/>
              <w:rPr>
                <w:sz w:val="14"/>
              </w:rPr>
            </w:pPr>
            <w:r>
              <w:rPr>
                <w:spacing w:val="-5"/>
                <w:sz w:val="14"/>
              </w:rPr>
              <w:t>No</w:t>
            </w:r>
          </w:p>
        </w:tc>
        <w:tc>
          <w:tcPr>
            <w:tcW w:w="997" w:type="dxa"/>
          </w:tcPr>
          <w:p>
            <w:pPr>
              <w:pStyle w:val="TableParagraph"/>
              <w:spacing w:line="140" w:lineRule="exact" w:before="16"/>
              <w:ind w:right="100"/>
              <w:jc w:val="right"/>
              <w:rPr>
                <w:sz w:val="14"/>
              </w:rPr>
            </w:pPr>
            <w:r>
              <w:rPr>
                <w:spacing w:val="-2"/>
                <w:sz w:val="14"/>
              </w:rPr>
              <w:t>1,405.40</w:t>
            </w:r>
          </w:p>
        </w:tc>
        <w:tc>
          <w:tcPr>
            <w:tcW w:w="995" w:type="dxa"/>
          </w:tcPr>
          <w:p>
            <w:pPr>
              <w:pStyle w:val="TableParagraph"/>
              <w:spacing w:line="140" w:lineRule="exact" w:before="16"/>
              <w:ind w:right="101"/>
              <w:jc w:val="right"/>
              <w:rPr>
                <w:sz w:val="14"/>
              </w:rPr>
            </w:pPr>
            <w:r>
              <w:rPr>
                <w:spacing w:val="-2"/>
                <w:sz w:val="14"/>
              </w:rPr>
              <w:t>1,453.40</w:t>
            </w:r>
          </w:p>
        </w:tc>
        <w:tc>
          <w:tcPr>
            <w:tcW w:w="861" w:type="dxa"/>
          </w:tcPr>
          <w:p>
            <w:pPr>
              <w:pStyle w:val="TableParagraph"/>
              <w:spacing w:line="140" w:lineRule="exact" w:before="16"/>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Other</w:t>
            </w:r>
            <w:r>
              <w:rPr>
                <w:spacing w:val="-5"/>
                <w:sz w:val="14"/>
              </w:rPr>
              <w:t> </w:t>
            </w:r>
            <w:r>
              <w:rPr>
                <w:sz w:val="14"/>
              </w:rPr>
              <w:t>subdivision</w:t>
            </w:r>
            <w:r>
              <w:rPr>
                <w:spacing w:val="-6"/>
                <w:sz w:val="14"/>
              </w:rPr>
              <w:t> </w:t>
            </w:r>
            <w:r>
              <w:rPr>
                <w:sz w:val="14"/>
              </w:rPr>
              <w:t>fee:</w:t>
            </w:r>
            <w:r>
              <w:rPr>
                <w:spacing w:val="-2"/>
                <w:sz w:val="14"/>
              </w:rPr>
              <w:t> </w:t>
            </w:r>
            <w:r>
              <w:rPr>
                <w:sz w:val="14"/>
              </w:rPr>
              <w:t>re-cert</w:t>
            </w:r>
            <w:r>
              <w:rPr>
                <w:spacing w:val="-3"/>
                <w:sz w:val="14"/>
              </w:rPr>
              <w:t> </w:t>
            </w:r>
            <w:r>
              <w:rPr>
                <w:sz w:val="14"/>
              </w:rPr>
              <w:t>(second</w:t>
            </w:r>
            <w:r>
              <w:rPr>
                <w:spacing w:val="-5"/>
                <w:sz w:val="14"/>
              </w:rPr>
              <w:t> </w:t>
            </w:r>
            <w:r>
              <w:rPr>
                <w:sz w:val="14"/>
              </w:rPr>
              <w:t>time),</w:t>
            </w:r>
            <w:r>
              <w:rPr>
                <w:spacing w:val="-5"/>
                <w:sz w:val="14"/>
              </w:rPr>
              <w:t> </w:t>
            </w:r>
            <w:r>
              <w:rPr>
                <w:sz w:val="14"/>
              </w:rPr>
              <w:t>Planning</w:t>
            </w:r>
            <w:r>
              <w:rPr>
                <w:spacing w:val="-5"/>
                <w:sz w:val="14"/>
              </w:rPr>
              <w:t> </w:t>
            </w:r>
            <w:r>
              <w:rPr>
                <w:sz w:val="14"/>
              </w:rPr>
              <w:t>&amp;</w:t>
            </w:r>
            <w:r>
              <w:rPr>
                <w:spacing w:val="-3"/>
                <w:sz w:val="14"/>
              </w:rPr>
              <w:t> </w:t>
            </w:r>
            <w:r>
              <w:rPr>
                <w:sz w:val="14"/>
              </w:rPr>
              <w:t>Environment</w:t>
            </w:r>
            <w:r>
              <w:rPr>
                <w:spacing w:val="-5"/>
                <w:sz w:val="14"/>
              </w:rPr>
              <w:t> </w:t>
            </w:r>
            <w:r>
              <w:rPr>
                <w:sz w:val="14"/>
              </w:rPr>
              <w:t>Act</w:t>
            </w:r>
            <w:r>
              <w:rPr>
                <w:spacing w:val="-3"/>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182.70</w:t>
            </w:r>
          </w:p>
        </w:tc>
        <w:tc>
          <w:tcPr>
            <w:tcW w:w="995" w:type="dxa"/>
          </w:tcPr>
          <w:p>
            <w:pPr>
              <w:pStyle w:val="TableParagraph"/>
              <w:spacing w:line="140" w:lineRule="exact" w:before="17"/>
              <w:ind w:right="102"/>
              <w:jc w:val="right"/>
              <w:rPr>
                <w:sz w:val="14"/>
              </w:rPr>
            </w:pPr>
            <w:r>
              <w:rPr>
                <w:spacing w:val="-2"/>
                <w:sz w:val="14"/>
              </w:rPr>
              <w:t>192.70</w:t>
            </w:r>
          </w:p>
        </w:tc>
        <w:tc>
          <w:tcPr>
            <w:tcW w:w="861" w:type="dxa"/>
          </w:tcPr>
          <w:p>
            <w:pPr>
              <w:pStyle w:val="TableParagraph"/>
              <w:spacing w:line="140" w:lineRule="exact" w:before="17"/>
              <w:ind w:left="152" w:right="154"/>
              <w:jc w:val="center"/>
              <w:rPr>
                <w:sz w:val="14"/>
              </w:rPr>
            </w:pPr>
            <w:r>
              <w:rPr>
                <w:spacing w:val="-5"/>
                <w:sz w:val="14"/>
              </w:rPr>
              <w:t>0.0</w:t>
            </w:r>
          </w:p>
        </w:tc>
      </w:tr>
      <w:tr>
        <w:trPr>
          <w:trHeight w:val="354" w:hRule="atLeast"/>
        </w:trPr>
        <w:tc>
          <w:tcPr>
            <w:tcW w:w="5794" w:type="dxa"/>
          </w:tcPr>
          <w:p>
            <w:pPr>
              <w:pStyle w:val="TableParagraph"/>
              <w:spacing w:line="160" w:lineRule="atLeast" w:before="13"/>
              <w:ind w:left="107"/>
              <w:rPr>
                <w:sz w:val="14"/>
              </w:rPr>
            </w:pPr>
            <w:r>
              <w:rPr>
                <w:sz w:val="14"/>
              </w:rPr>
              <w:t>Subdivision</w:t>
            </w:r>
            <w:r>
              <w:rPr>
                <w:spacing w:val="-2"/>
                <w:sz w:val="14"/>
              </w:rPr>
              <w:t> </w:t>
            </w:r>
            <w:r>
              <w:rPr>
                <w:sz w:val="14"/>
              </w:rPr>
              <w:t>Certification</w:t>
            </w:r>
            <w:r>
              <w:rPr>
                <w:spacing w:val="-6"/>
                <w:sz w:val="14"/>
              </w:rPr>
              <w:t> </w:t>
            </w:r>
            <w:r>
              <w:rPr>
                <w:sz w:val="14"/>
              </w:rPr>
              <w:t>of</w:t>
            </w:r>
            <w:r>
              <w:rPr>
                <w:spacing w:val="-2"/>
                <w:sz w:val="14"/>
              </w:rPr>
              <w:t> </w:t>
            </w:r>
            <w:r>
              <w:rPr>
                <w:sz w:val="14"/>
              </w:rPr>
              <w:t>a</w:t>
            </w:r>
            <w:r>
              <w:rPr>
                <w:spacing w:val="-1"/>
                <w:sz w:val="14"/>
              </w:rPr>
              <w:t> </w:t>
            </w:r>
            <w:r>
              <w:rPr>
                <w:sz w:val="14"/>
              </w:rPr>
              <w:t>plan</w:t>
            </w:r>
            <w:r>
              <w:rPr>
                <w:spacing w:val="-5"/>
                <w:sz w:val="14"/>
              </w:rPr>
              <w:t> </w:t>
            </w:r>
            <w:r>
              <w:rPr>
                <w:sz w:val="14"/>
              </w:rPr>
              <w:t>of</w:t>
            </w:r>
            <w:r>
              <w:rPr>
                <w:spacing w:val="-2"/>
                <w:sz w:val="14"/>
              </w:rPr>
              <w:t> </w:t>
            </w:r>
            <w:r>
              <w:rPr>
                <w:sz w:val="14"/>
              </w:rPr>
              <w:t>subdivision</w:t>
            </w:r>
            <w:r>
              <w:rPr>
                <w:spacing w:val="-1"/>
                <w:sz w:val="14"/>
              </w:rPr>
              <w:t> </w:t>
            </w:r>
            <w:r>
              <w:rPr>
                <w:sz w:val="14"/>
              </w:rPr>
              <w:t>and</w:t>
            </w:r>
            <w:r>
              <w:rPr>
                <w:spacing w:val="-6"/>
                <w:sz w:val="14"/>
              </w:rPr>
              <w:t> </w:t>
            </w:r>
            <w:r>
              <w:rPr>
                <w:sz w:val="14"/>
              </w:rPr>
              <w:t>for</w:t>
            </w:r>
            <w:r>
              <w:rPr>
                <w:spacing w:val="-5"/>
                <w:sz w:val="14"/>
              </w:rPr>
              <w:t> </w:t>
            </w:r>
            <w:r>
              <w:rPr>
                <w:sz w:val="14"/>
              </w:rPr>
              <w:t>a</w:t>
            </w:r>
            <w:r>
              <w:rPr>
                <w:spacing w:val="-2"/>
                <w:sz w:val="14"/>
              </w:rPr>
              <w:t> </w:t>
            </w:r>
            <w:r>
              <w:rPr>
                <w:sz w:val="14"/>
              </w:rPr>
              <w:t>statement</w:t>
            </w:r>
            <w:r>
              <w:rPr>
                <w:spacing w:val="-2"/>
                <w:sz w:val="14"/>
              </w:rPr>
              <w:t> </w:t>
            </w:r>
            <w:r>
              <w:rPr>
                <w:sz w:val="14"/>
              </w:rPr>
              <w:t>of</w:t>
            </w:r>
            <w:r>
              <w:rPr>
                <w:spacing w:val="-5"/>
                <w:sz w:val="14"/>
              </w:rPr>
              <w:t> </w:t>
            </w:r>
            <w:r>
              <w:rPr>
                <w:sz w:val="14"/>
              </w:rPr>
              <w:t>compliance</w:t>
            </w:r>
            <w:r>
              <w:rPr>
                <w:spacing w:val="40"/>
                <w:sz w:val="14"/>
              </w:rPr>
              <w:t> </w:t>
            </w:r>
            <w:r>
              <w:rPr>
                <w:sz w:val="14"/>
              </w:rPr>
              <w:t>Application</w:t>
            </w:r>
            <w:r>
              <w:rPr>
                <w:spacing w:val="-2"/>
                <w:sz w:val="14"/>
              </w:rPr>
              <w:t> </w:t>
            </w:r>
            <w:r>
              <w:rPr>
                <w:sz w:val="14"/>
              </w:rPr>
              <w:t>fee</w:t>
            </w:r>
          </w:p>
        </w:tc>
        <w:tc>
          <w:tcPr>
            <w:tcW w:w="1131" w:type="dxa"/>
          </w:tcPr>
          <w:p>
            <w:pPr>
              <w:pStyle w:val="TableParagraph"/>
              <w:spacing w:before="10"/>
              <w:rPr>
                <w:sz w:val="16"/>
              </w:rPr>
            </w:pPr>
          </w:p>
          <w:p>
            <w:pPr>
              <w:pStyle w:val="TableParagraph"/>
              <w:spacing w:line="140" w:lineRule="exact" w:before="1"/>
              <w:ind w:left="7"/>
              <w:jc w:val="center"/>
              <w:rPr>
                <w:sz w:val="14"/>
              </w:rPr>
            </w:pPr>
            <w:r>
              <w:rPr>
                <w:w w:val="99"/>
                <w:sz w:val="14"/>
              </w:rPr>
              <w:t>S</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187.60</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192.70</w:t>
            </w:r>
          </w:p>
        </w:tc>
        <w:tc>
          <w:tcPr>
            <w:tcW w:w="861" w:type="dxa"/>
          </w:tcPr>
          <w:p>
            <w:pPr>
              <w:pStyle w:val="TableParagraph"/>
              <w:spacing w:before="10"/>
              <w:rPr>
                <w:sz w:val="16"/>
              </w:rPr>
            </w:pPr>
          </w:p>
          <w:p>
            <w:pPr>
              <w:pStyle w:val="TableParagraph"/>
              <w:spacing w:line="140" w:lineRule="exact" w:before="1"/>
              <w:ind w:left="152" w:right="154"/>
              <w:jc w:val="center"/>
              <w:rPr>
                <w:sz w:val="14"/>
              </w:rPr>
            </w:pPr>
            <w:r>
              <w:rPr>
                <w:spacing w:val="-5"/>
                <w:sz w:val="14"/>
              </w:rPr>
              <w:t>0.0</w:t>
            </w:r>
          </w:p>
        </w:tc>
      </w:tr>
      <w:tr>
        <w:trPr>
          <w:trHeight w:val="177" w:hRule="atLeast"/>
        </w:trPr>
        <w:tc>
          <w:tcPr>
            <w:tcW w:w="5794" w:type="dxa"/>
          </w:tcPr>
          <w:p>
            <w:pPr>
              <w:pStyle w:val="TableParagraph"/>
              <w:spacing w:line="142" w:lineRule="exact" w:before="15"/>
              <w:ind w:left="107"/>
              <w:rPr>
                <w:sz w:val="14"/>
              </w:rPr>
            </w:pPr>
            <w:r>
              <w:rPr>
                <w:sz w:val="14"/>
              </w:rPr>
              <w:t>Subdivision</w:t>
            </w:r>
            <w:r>
              <w:rPr>
                <w:spacing w:val="-3"/>
                <w:sz w:val="14"/>
              </w:rPr>
              <w:t> </w:t>
            </w:r>
            <w:r>
              <w:rPr>
                <w:sz w:val="14"/>
              </w:rPr>
              <w:t>Alteration</w:t>
            </w:r>
            <w:r>
              <w:rPr>
                <w:spacing w:val="-1"/>
                <w:sz w:val="14"/>
              </w:rPr>
              <w:t> </w:t>
            </w:r>
            <w:r>
              <w:rPr>
                <w:sz w:val="14"/>
              </w:rPr>
              <w:t>of</w:t>
            </w:r>
            <w:r>
              <w:rPr>
                <w:spacing w:val="-3"/>
                <w:sz w:val="14"/>
              </w:rPr>
              <w:t> </w:t>
            </w:r>
            <w:r>
              <w:rPr>
                <w:sz w:val="14"/>
              </w:rPr>
              <w:t>a</w:t>
            </w:r>
            <w:r>
              <w:rPr>
                <w:spacing w:val="-6"/>
                <w:sz w:val="14"/>
              </w:rPr>
              <w:t> </w:t>
            </w:r>
            <w:r>
              <w:rPr>
                <w:sz w:val="14"/>
              </w:rPr>
              <w:t>plan</w:t>
            </w:r>
            <w:r>
              <w:rPr>
                <w:spacing w:val="-5"/>
                <w:sz w:val="14"/>
              </w:rPr>
              <w:t> </w:t>
            </w:r>
            <w:r>
              <w:rPr>
                <w:sz w:val="14"/>
              </w:rPr>
              <w:t>Application</w:t>
            </w:r>
            <w:r>
              <w:rPr>
                <w:spacing w:val="-5"/>
                <w:sz w:val="14"/>
              </w:rPr>
              <w:t> fee</w:t>
            </w:r>
          </w:p>
        </w:tc>
        <w:tc>
          <w:tcPr>
            <w:tcW w:w="1131" w:type="dxa"/>
          </w:tcPr>
          <w:p>
            <w:pPr>
              <w:pStyle w:val="TableParagraph"/>
              <w:spacing w:line="142" w:lineRule="exact" w:before="15"/>
              <w:ind w:left="8"/>
              <w:jc w:val="center"/>
              <w:rPr>
                <w:sz w:val="14"/>
              </w:rPr>
            </w:pPr>
            <w:r>
              <w:rPr>
                <w:w w:val="99"/>
                <w:sz w:val="14"/>
              </w:rPr>
              <w:t>S</w:t>
            </w:r>
          </w:p>
        </w:tc>
        <w:tc>
          <w:tcPr>
            <w:tcW w:w="567" w:type="dxa"/>
          </w:tcPr>
          <w:p>
            <w:pPr>
              <w:pStyle w:val="TableParagraph"/>
              <w:spacing w:line="142" w:lineRule="exact" w:before="15"/>
              <w:ind w:left="191"/>
              <w:rPr>
                <w:sz w:val="14"/>
              </w:rPr>
            </w:pPr>
            <w:r>
              <w:rPr>
                <w:spacing w:val="-5"/>
                <w:sz w:val="14"/>
              </w:rPr>
              <w:t>No</w:t>
            </w:r>
          </w:p>
        </w:tc>
        <w:tc>
          <w:tcPr>
            <w:tcW w:w="997" w:type="dxa"/>
          </w:tcPr>
          <w:p>
            <w:pPr>
              <w:pStyle w:val="TableParagraph"/>
              <w:spacing w:line="142" w:lineRule="exact" w:before="15"/>
              <w:ind w:right="100"/>
              <w:jc w:val="right"/>
              <w:rPr>
                <w:sz w:val="14"/>
              </w:rPr>
            </w:pPr>
            <w:r>
              <w:rPr>
                <w:spacing w:val="-2"/>
                <w:sz w:val="14"/>
              </w:rPr>
              <w:t>119.30</w:t>
            </w:r>
          </w:p>
        </w:tc>
        <w:tc>
          <w:tcPr>
            <w:tcW w:w="995" w:type="dxa"/>
          </w:tcPr>
          <w:p>
            <w:pPr>
              <w:pStyle w:val="TableParagraph"/>
              <w:spacing w:line="142" w:lineRule="exact" w:before="15"/>
              <w:ind w:right="101"/>
              <w:jc w:val="right"/>
              <w:rPr>
                <w:sz w:val="14"/>
              </w:rPr>
            </w:pPr>
            <w:r>
              <w:rPr>
                <w:spacing w:val="-2"/>
                <w:sz w:val="14"/>
              </w:rPr>
              <w:t>122.50</w:t>
            </w:r>
          </w:p>
        </w:tc>
        <w:tc>
          <w:tcPr>
            <w:tcW w:w="861" w:type="dxa"/>
          </w:tcPr>
          <w:p>
            <w:pPr>
              <w:pStyle w:val="TableParagraph"/>
              <w:spacing w:line="142" w:lineRule="exact" w:before="15"/>
              <w:ind w:left="151" w:right="154"/>
              <w:jc w:val="center"/>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Subdivision</w:t>
            </w:r>
            <w:r>
              <w:rPr>
                <w:spacing w:val="-3"/>
                <w:sz w:val="14"/>
              </w:rPr>
              <w:t> </w:t>
            </w:r>
            <w:r>
              <w:rPr>
                <w:sz w:val="14"/>
              </w:rPr>
              <w:t>Amend</w:t>
            </w:r>
            <w:r>
              <w:rPr>
                <w:spacing w:val="-3"/>
                <w:sz w:val="14"/>
              </w:rPr>
              <w:t> </w:t>
            </w:r>
            <w:r>
              <w:rPr>
                <w:sz w:val="14"/>
              </w:rPr>
              <w:t>a</w:t>
            </w:r>
            <w:r>
              <w:rPr>
                <w:spacing w:val="-5"/>
                <w:sz w:val="14"/>
              </w:rPr>
              <w:t> </w:t>
            </w:r>
            <w:r>
              <w:rPr>
                <w:sz w:val="14"/>
              </w:rPr>
              <w:t>certified</w:t>
            </w:r>
            <w:r>
              <w:rPr>
                <w:spacing w:val="-6"/>
                <w:sz w:val="14"/>
              </w:rPr>
              <w:t> </w:t>
            </w:r>
            <w:r>
              <w:rPr>
                <w:sz w:val="14"/>
              </w:rPr>
              <w:t>plan</w:t>
            </w:r>
            <w:r>
              <w:rPr>
                <w:spacing w:val="-6"/>
                <w:sz w:val="14"/>
              </w:rPr>
              <w:t> </w:t>
            </w:r>
            <w:r>
              <w:rPr>
                <w:sz w:val="14"/>
              </w:rPr>
              <w:t>Application</w:t>
            </w:r>
            <w:r>
              <w:rPr>
                <w:spacing w:val="-4"/>
                <w:sz w:val="14"/>
              </w:rPr>
              <w:t> </w:t>
            </w:r>
            <w:r>
              <w:rPr>
                <w:spacing w:val="-5"/>
                <w:sz w:val="14"/>
              </w:rPr>
              <w:t>fee</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151.10</w:t>
            </w:r>
          </w:p>
        </w:tc>
        <w:tc>
          <w:tcPr>
            <w:tcW w:w="995" w:type="dxa"/>
          </w:tcPr>
          <w:p>
            <w:pPr>
              <w:pStyle w:val="TableParagraph"/>
              <w:spacing w:line="140" w:lineRule="exact" w:before="15"/>
              <w:ind w:right="102"/>
              <w:jc w:val="right"/>
              <w:rPr>
                <w:sz w:val="14"/>
              </w:rPr>
            </w:pPr>
            <w:r>
              <w:rPr>
                <w:spacing w:val="-2"/>
                <w:sz w:val="14"/>
              </w:rPr>
              <w:t>155.10</w:t>
            </w:r>
          </w:p>
        </w:tc>
        <w:tc>
          <w:tcPr>
            <w:tcW w:w="861" w:type="dxa"/>
          </w:tcPr>
          <w:p>
            <w:pPr>
              <w:pStyle w:val="TableParagraph"/>
              <w:spacing w:line="140" w:lineRule="exact" w:before="15"/>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Infringements-Company,</w:t>
            </w:r>
            <w:r>
              <w:rPr>
                <w:spacing w:val="-7"/>
                <w:sz w:val="14"/>
              </w:rPr>
              <w:t> </w:t>
            </w:r>
            <w:r>
              <w:rPr>
                <w:sz w:val="14"/>
              </w:rPr>
              <w:t>Planning</w:t>
            </w:r>
            <w:r>
              <w:rPr>
                <w:spacing w:val="-7"/>
                <w:sz w:val="14"/>
              </w:rPr>
              <w:t> </w:t>
            </w:r>
            <w:r>
              <w:rPr>
                <w:sz w:val="14"/>
              </w:rPr>
              <w:t>&amp;</w:t>
            </w:r>
            <w:r>
              <w:rPr>
                <w:spacing w:val="-4"/>
                <w:sz w:val="14"/>
              </w:rPr>
              <w:t> </w:t>
            </w:r>
            <w:r>
              <w:rPr>
                <w:sz w:val="14"/>
              </w:rPr>
              <w:t>Environment</w:t>
            </w:r>
            <w:r>
              <w:rPr>
                <w:spacing w:val="-7"/>
                <w:sz w:val="14"/>
              </w:rPr>
              <w:t> </w:t>
            </w:r>
            <w:r>
              <w:rPr>
                <w:sz w:val="14"/>
              </w:rPr>
              <w:t>Act</w:t>
            </w:r>
            <w:r>
              <w:rPr>
                <w:spacing w:val="-4"/>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1,909.30</w:t>
            </w:r>
          </w:p>
        </w:tc>
        <w:tc>
          <w:tcPr>
            <w:tcW w:w="995" w:type="dxa"/>
          </w:tcPr>
          <w:p>
            <w:pPr>
              <w:pStyle w:val="TableParagraph"/>
              <w:spacing w:line="140" w:lineRule="exact" w:before="17"/>
              <w:ind w:right="101"/>
              <w:jc w:val="right"/>
              <w:rPr>
                <w:sz w:val="14"/>
              </w:rPr>
            </w:pPr>
            <w:r>
              <w:rPr>
                <w:spacing w:val="-2"/>
                <w:sz w:val="14"/>
              </w:rPr>
              <w:t>1,976.00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Infringements-Individual,</w:t>
            </w:r>
            <w:r>
              <w:rPr>
                <w:spacing w:val="-6"/>
                <w:sz w:val="14"/>
              </w:rPr>
              <w:t> </w:t>
            </w:r>
            <w:r>
              <w:rPr>
                <w:sz w:val="14"/>
              </w:rPr>
              <w:t>Planning</w:t>
            </w:r>
            <w:r>
              <w:rPr>
                <w:spacing w:val="-8"/>
                <w:sz w:val="14"/>
              </w:rPr>
              <w:t> </w:t>
            </w:r>
            <w:r>
              <w:rPr>
                <w:sz w:val="14"/>
              </w:rPr>
              <w:t>&amp;</w:t>
            </w:r>
            <w:r>
              <w:rPr>
                <w:spacing w:val="-5"/>
                <w:sz w:val="14"/>
              </w:rPr>
              <w:t> </w:t>
            </w:r>
            <w:r>
              <w:rPr>
                <w:sz w:val="14"/>
              </w:rPr>
              <w:t>Environment</w:t>
            </w:r>
            <w:r>
              <w:rPr>
                <w:spacing w:val="-5"/>
                <w:sz w:val="14"/>
              </w:rPr>
              <w:t> </w:t>
            </w:r>
            <w:r>
              <w:rPr>
                <w:sz w:val="14"/>
              </w:rPr>
              <w:t>Act</w:t>
            </w:r>
            <w:r>
              <w:rPr>
                <w:spacing w:val="-6"/>
                <w:sz w:val="14"/>
              </w:rPr>
              <w:t> </w:t>
            </w:r>
            <w:r>
              <w:rPr>
                <w:spacing w:val="-5"/>
                <w:sz w:val="14"/>
              </w:rPr>
              <w:t>Fee</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954.70</w:t>
            </w:r>
          </w:p>
        </w:tc>
        <w:tc>
          <w:tcPr>
            <w:tcW w:w="995" w:type="dxa"/>
          </w:tcPr>
          <w:p>
            <w:pPr>
              <w:pStyle w:val="TableParagraph"/>
              <w:spacing w:line="140" w:lineRule="exact" w:before="17"/>
              <w:ind w:right="102"/>
              <w:jc w:val="right"/>
              <w:rPr>
                <w:sz w:val="14"/>
              </w:rPr>
            </w:pPr>
            <w:r>
              <w:rPr>
                <w:spacing w:val="-2"/>
                <w:sz w:val="14"/>
              </w:rPr>
              <w:t>988.00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3"/>
                <w:sz w:val="14"/>
              </w:rPr>
              <w:t> </w:t>
            </w:r>
            <w:r>
              <w:rPr>
                <w:sz w:val="14"/>
              </w:rPr>
              <w:t>-</w:t>
            </w:r>
            <w:r>
              <w:rPr>
                <w:spacing w:val="-4"/>
                <w:sz w:val="14"/>
              </w:rPr>
              <w:t> </w:t>
            </w:r>
            <w:r>
              <w:rPr>
                <w:sz w:val="14"/>
              </w:rPr>
              <w:t>A4</w:t>
            </w:r>
            <w:r>
              <w:rPr>
                <w:spacing w:val="-4"/>
                <w:sz w:val="14"/>
              </w:rPr>
              <w:t> </w:t>
            </w:r>
            <w:r>
              <w:rPr>
                <w:sz w:val="14"/>
              </w:rPr>
              <w:t>Size</w:t>
            </w:r>
            <w:r>
              <w:rPr>
                <w:spacing w:val="-1"/>
                <w:sz w:val="14"/>
              </w:rPr>
              <w:t> </w:t>
            </w:r>
            <w:r>
              <w:rPr>
                <w:sz w:val="14"/>
              </w:rPr>
              <w:t>-</w:t>
            </w:r>
            <w:r>
              <w:rPr>
                <w:spacing w:val="-1"/>
                <w:sz w:val="14"/>
              </w:rPr>
              <w:t> </w:t>
            </w:r>
            <w:r>
              <w:rPr>
                <w:sz w:val="14"/>
              </w:rPr>
              <w:t>per</w:t>
            </w:r>
            <w:r>
              <w:rPr>
                <w:spacing w:val="-4"/>
                <w:sz w:val="14"/>
              </w:rPr>
              <w:t> </w:t>
            </w:r>
            <w:r>
              <w:rPr>
                <w:sz w:val="14"/>
              </w:rPr>
              <w:t>page,</w:t>
            </w:r>
            <w:r>
              <w:rPr>
                <w:spacing w:val="-2"/>
                <w:sz w:val="14"/>
              </w:rPr>
              <w:t> </w:t>
            </w:r>
            <w:r>
              <w:rPr>
                <w:sz w:val="14"/>
              </w:rPr>
              <w:t>black</w:t>
            </w:r>
            <w:r>
              <w:rPr>
                <w:spacing w:val="-3"/>
                <w:sz w:val="14"/>
              </w:rPr>
              <w:t> </w:t>
            </w:r>
            <w:r>
              <w:rPr>
                <w:sz w:val="14"/>
              </w:rPr>
              <w:t>&amp;</w:t>
            </w:r>
            <w:r>
              <w:rPr>
                <w:spacing w:val="-3"/>
                <w:sz w:val="14"/>
              </w:rPr>
              <w:t> </w:t>
            </w:r>
            <w:r>
              <w:rPr>
                <w:spacing w:val="-4"/>
                <w:sz w:val="14"/>
              </w:rPr>
              <w:t>white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2.00</w:t>
            </w:r>
          </w:p>
        </w:tc>
        <w:tc>
          <w:tcPr>
            <w:tcW w:w="995" w:type="dxa"/>
          </w:tcPr>
          <w:p>
            <w:pPr>
              <w:pStyle w:val="TableParagraph"/>
              <w:spacing w:line="140" w:lineRule="exact" w:before="17"/>
              <w:ind w:right="101"/>
              <w:jc w:val="right"/>
              <w:rPr>
                <w:sz w:val="14"/>
              </w:rPr>
            </w:pPr>
            <w:r>
              <w:rPr>
                <w:spacing w:val="-4"/>
                <w:sz w:val="14"/>
              </w:rPr>
              <w:t>2.20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4"/>
                <w:sz w:val="14"/>
              </w:rPr>
              <w:t> </w:t>
            </w:r>
            <w:r>
              <w:rPr>
                <w:sz w:val="14"/>
              </w:rPr>
              <w:t>-</w:t>
            </w:r>
            <w:r>
              <w:rPr>
                <w:spacing w:val="-4"/>
                <w:sz w:val="14"/>
              </w:rPr>
              <w:t> </w:t>
            </w:r>
            <w:r>
              <w:rPr>
                <w:sz w:val="14"/>
              </w:rPr>
              <w:t>A4</w:t>
            </w:r>
            <w:r>
              <w:rPr>
                <w:spacing w:val="-4"/>
                <w:sz w:val="14"/>
              </w:rPr>
              <w:t> </w:t>
            </w:r>
            <w:r>
              <w:rPr>
                <w:sz w:val="14"/>
              </w:rPr>
              <w:t>Size</w:t>
            </w:r>
            <w:r>
              <w:rPr>
                <w:spacing w:val="-1"/>
                <w:sz w:val="14"/>
              </w:rPr>
              <w:t> </w:t>
            </w:r>
            <w:r>
              <w:rPr>
                <w:sz w:val="14"/>
              </w:rPr>
              <w:t>-</w:t>
            </w:r>
            <w:r>
              <w:rPr>
                <w:spacing w:val="-1"/>
                <w:sz w:val="14"/>
              </w:rPr>
              <w:t> </w:t>
            </w:r>
            <w:r>
              <w:rPr>
                <w:sz w:val="14"/>
              </w:rPr>
              <w:t>per</w:t>
            </w:r>
            <w:r>
              <w:rPr>
                <w:spacing w:val="-4"/>
                <w:sz w:val="14"/>
              </w:rPr>
              <w:t> </w:t>
            </w:r>
            <w:r>
              <w:rPr>
                <w:sz w:val="14"/>
              </w:rPr>
              <w:t>page,</w:t>
            </w:r>
            <w:r>
              <w:rPr>
                <w:spacing w:val="-3"/>
                <w:sz w:val="14"/>
              </w:rPr>
              <w:t> </w:t>
            </w:r>
            <w:r>
              <w:rPr>
                <w:spacing w:val="-2"/>
                <w:sz w:val="14"/>
              </w:rPr>
              <w:t>colour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3.00</w:t>
            </w:r>
          </w:p>
        </w:tc>
        <w:tc>
          <w:tcPr>
            <w:tcW w:w="995" w:type="dxa"/>
          </w:tcPr>
          <w:p>
            <w:pPr>
              <w:pStyle w:val="TableParagraph"/>
              <w:spacing w:line="140" w:lineRule="exact" w:before="17"/>
              <w:ind w:right="101"/>
              <w:jc w:val="right"/>
              <w:rPr>
                <w:sz w:val="14"/>
              </w:rPr>
            </w:pPr>
            <w:r>
              <w:rPr>
                <w:spacing w:val="-4"/>
                <w:sz w:val="14"/>
              </w:rPr>
              <w:t>3.20</w:t>
            </w:r>
          </w:p>
        </w:tc>
        <w:tc>
          <w:tcPr>
            <w:tcW w:w="861" w:type="dxa"/>
          </w:tcPr>
          <w:p>
            <w:pPr>
              <w:pStyle w:val="TableParagraph"/>
              <w:spacing w:line="140" w:lineRule="exact" w:before="17"/>
              <w:ind w:left="152" w:right="154"/>
              <w:jc w:val="center"/>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4"/>
                <w:sz w:val="14"/>
              </w:rPr>
              <w:t> </w:t>
            </w:r>
            <w:r>
              <w:rPr>
                <w:sz w:val="14"/>
              </w:rPr>
              <w:t>-</w:t>
            </w:r>
            <w:r>
              <w:rPr>
                <w:spacing w:val="-4"/>
                <w:sz w:val="14"/>
              </w:rPr>
              <w:t> </w:t>
            </w:r>
            <w:r>
              <w:rPr>
                <w:sz w:val="14"/>
              </w:rPr>
              <w:t>A3</w:t>
            </w:r>
            <w:r>
              <w:rPr>
                <w:spacing w:val="-5"/>
                <w:sz w:val="14"/>
              </w:rPr>
              <w:t> </w:t>
            </w:r>
            <w:r>
              <w:rPr>
                <w:sz w:val="14"/>
              </w:rPr>
              <w:t>per</w:t>
            </w:r>
            <w:r>
              <w:rPr>
                <w:spacing w:val="-1"/>
                <w:sz w:val="14"/>
              </w:rPr>
              <w:t> </w:t>
            </w:r>
            <w:r>
              <w:rPr>
                <w:sz w:val="14"/>
              </w:rPr>
              <w:t>page,</w:t>
            </w:r>
            <w:r>
              <w:rPr>
                <w:spacing w:val="-2"/>
                <w:sz w:val="14"/>
              </w:rPr>
              <w:t> </w:t>
            </w:r>
            <w:r>
              <w:rPr>
                <w:sz w:val="14"/>
              </w:rPr>
              <w:t>black</w:t>
            </w:r>
            <w:r>
              <w:rPr>
                <w:spacing w:val="-4"/>
                <w:sz w:val="14"/>
              </w:rPr>
              <w:t> </w:t>
            </w:r>
            <w:r>
              <w:rPr>
                <w:sz w:val="14"/>
              </w:rPr>
              <w:t>&amp;</w:t>
            </w:r>
            <w:r>
              <w:rPr>
                <w:spacing w:val="-3"/>
                <w:sz w:val="14"/>
              </w:rPr>
              <w:t> </w:t>
            </w:r>
            <w:r>
              <w:rPr>
                <w:spacing w:val="-4"/>
                <w:sz w:val="14"/>
              </w:rPr>
              <w:t>white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3.00</w:t>
            </w:r>
          </w:p>
        </w:tc>
        <w:tc>
          <w:tcPr>
            <w:tcW w:w="995" w:type="dxa"/>
          </w:tcPr>
          <w:p>
            <w:pPr>
              <w:pStyle w:val="TableParagraph"/>
              <w:spacing w:line="140" w:lineRule="exact" w:before="17"/>
              <w:ind w:right="101"/>
              <w:jc w:val="right"/>
              <w:rPr>
                <w:sz w:val="14"/>
              </w:rPr>
            </w:pPr>
            <w:r>
              <w:rPr>
                <w:spacing w:val="-4"/>
                <w:sz w:val="14"/>
              </w:rPr>
              <w:t>3.20</w:t>
            </w:r>
          </w:p>
        </w:tc>
        <w:tc>
          <w:tcPr>
            <w:tcW w:w="861" w:type="dxa"/>
          </w:tcPr>
          <w:p>
            <w:pPr>
              <w:pStyle w:val="TableParagraph"/>
              <w:spacing w:line="140" w:lineRule="exact" w:before="17"/>
              <w:ind w:left="152" w:right="154"/>
              <w:jc w:val="center"/>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4"/>
                <w:sz w:val="14"/>
              </w:rPr>
              <w:t> </w:t>
            </w:r>
            <w:r>
              <w:rPr>
                <w:sz w:val="14"/>
              </w:rPr>
              <w:t>-</w:t>
            </w:r>
            <w:r>
              <w:rPr>
                <w:spacing w:val="-5"/>
                <w:sz w:val="14"/>
              </w:rPr>
              <w:t> </w:t>
            </w:r>
            <w:r>
              <w:rPr>
                <w:sz w:val="14"/>
              </w:rPr>
              <w:t>A3</w:t>
            </w:r>
            <w:r>
              <w:rPr>
                <w:spacing w:val="-5"/>
                <w:sz w:val="14"/>
              </w:rPr>
              <w:t> </w:t>
            </w:r>
            <w:r>
              <w:rPr>
                <w:sz w:val="14"/>
              </w:rPr>
              <w:t>per</w:t>
            </w:r>
            <w:r>
              <w:rPr>
                <w:spacing w:val="-2"/>
                <w:sz w:val="14"/>
              </w:rPr>
              <w:t> </w:t>
            </w:r>
            <w:r>
              <w:rPr>
                <w:sz w:val="14"/>
              </w:rPr>
              <w:t>page,</w:t>
            </w:r>
            <w:r>
              <w:rPr>
                <w:spacing w:val="-2"/>
                <w:sz w:val="14"/>
              </w:rPr>
              <w:t> colour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5.00</w:t>
            </w:r>
          </w:p>
        </w:tc>
        <w:tc>
          <w:tcPr>
            <w:tcW w:w="995" w:type="dxa"/>
          </w:tcPr>
          <w:p>
            <w:pPr>
              <w:pStyle w:val="TableParagraph"/>
              <w:spacing w:line="140" w:lineRule="exact" w:before="17"/>
              <w:ind w:right="101"/>
              <w:jc w:val="right"/>
              <w:rPr>
                <w:sz w:val="14"/>
              </w:rPr>
            </w:pPr>
            <w:r>
              <w:rPr>
                <w:spacing w:val="-4"/>
                <w:sz w:val="14"/>
              </w:rPr>
              <w:t>5.40</w:t>
            </w:r>
          </w:p>
        </w:tc>
        <w:tc>
          <w:tcPr>
            <w:tcW w:w="861" w:type="dxa"/>
          </w:tcPr>
          <w:p>
            <w:pPr>
              <w:pStyle w:val="TableParagraph"/>
              <w:spacing w:line="140" w:lineRule="exact" w:before="17"/>
              <w:ind w:left="152" w:right="154"/>
              <w:jc w:val="center"/>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4"/>
                <w:sz w:val="14"/>
              </w:rPr>
              <w:t> </w:t>
            </w:r>
            <w:r>
              <w:rPr>
                <w:sz w:val="14"/>
              </w:rPr>
              <w:t>-</w:t>
            </w:r>
            <w:r>
              <w:rPr>
                <w:spacing w:val="-4"/>
                <w:sz w:val="14"/>
              </w:rPr>
              <w:t> </w:t>
            </w:r>
            <w:r>
              <w:rPr>
                <w:sz w:val="14"/>
              </w:rPr>
              <w:t>A1</w:t>
            </w:r>
            <w:r>
              <w:rPr>
                <w:spacing w:val="-4"/>
                <w:sz w:val="14"/>
              </w:rPr>
              <w:t> </w:t>
            </w:r>
            <w:r>
              <w:rPr>
                <w:sz w:val="14"/>
              </w:rPr>
              <w:t>per</w:t>
            </w:r>
            <w:r>
              <w:rPr>
                <w:spacing w:val="-1"/>
                <w:sz w:val="14"/>
              </w:rPr>
              <w:t> </w:t>
            </w:r>
            <w:r>
              <w:rPr>
                <w:sz w:val="14"/>
              </w:rPr>
              <w:t>page</w:t>
            </w:r>
            <w:r>
              <w:rPr>
                <w:spacing w:val="-2"/>
                <w:sz w:val="14"/>
              </w:rPr>
              <w:t> </w:t>
            </w:r>
            <w:r>
              <w:rPr>
                <w:sz w:val="14"/>
              </w:rPr>
              <w:t>-</w:t>
            </w:r>
            <w:r>
              <w:rPr>
                <w:spacing w:val="-1"/>
                <w:sz w:val="14"/>
              </w:rPr>
              <w:t> </w:t>
            </w:r>
            <w:r>
              <w:rPr>
                <w:sz w:val="14"/>
              </w:rPr>
              <w:t>black</w:t>
            </w:r>
            <w:r>
              <w:rPr>
                <w:spacing w:val="-4"/>
                <w:sz w:val="14"/>
              </w:rPr>
              <w:t> </w:t>
            </w:r>
            <w:r>
              <w:rPr>
                <w:sz w:val="14"/>
              </w:rPr>
              <w:t>&amp;</w:t>
            </w:r>
            <w:r>
              <w:rPr>
                <w:spacing w:val="3"/>
                <w:sz w:val="14"/>
              </w:rPr>
              <w:t> </w:t>
            </w:r>
            <w:r>
              <w:rPr>
                <w:spacing w:val="-2"/>
                <w:sz w:val="14"/>
              </w:rPr>
              <w:t>white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27.00</w:t>
            </w:r>
          </w:p>
        </w:tc>
        <w:tc>
          <w:tcPr>
            <w:tcW w:w="995" w:type="dxa"/>
          </w:tcPr>
          <w:p>
            <w:pPr>
              <w:pStyle w:val="TableParagraph"/>
              <w:spacing w:line="140" w:lineRule="exact" w:before="17"/>
              <w:ind w:right="101"/>
              <w:jc w:val="right"/>
              <w:rPr>
                <w:sz w:val="14"/>
              </w:rPr>
            </w:pPr>
            <w:r>
              <w:rPr>
                <w:spacing w:val="-2"/>
                <w:sz w:val="14"/>
              </w:rPr>
              <w:t>29.10</w:t>
            </w:r>
          </w:p>
        </w:tc>
        <w:tc>
          <w:tcPr>
            <w:tcW w:w="861" w:type="dxa"/>
          </w:tcPr>
          <w:p>
            <w:pPr>
              <w:pStyle w:val="TableParagraph"/>
              <w:spacing w:line="140" w:lineRule="exact" w:before="17"/>
              <w:ind w:left="152" w:right="154"/>
              <w:jc w:val="center"/>
              <w:rPr>
                <w:sz w:val="14"/>
              </w:rPr>
            </w:pPr>
            <w:r>
              <w:rPr>
                <w:spacing w:val="-5"/>
                <w:sz w:val="14"/>
              </w:rPr>
              <w:t>7.2</w:t>
            </w:r>
          </w:p>
        </w:tc>
      </w:tr>
      <w:tr>
        <w:trPr>
          <w:trHeight w:val="177" w:hRule="atLeast"/>
        </w:trPr>
        <w:tc>
          <w:tcPr>
            <w:tcW w:w="5794" w:type="dxa"/>
          </w:tcPr>
          <w:p>
            <w:pPr>
              <w:pStyle w:val="TableParagraph"/>
              <w:spacing w:line="140" w:lineRule="exact" w:before="17"/>
              <w:ind w:left="107"/>
              <w:rPr>
                <w:sz w:val="14"/>
              </w:rPr>
            </w:pPr>
            <w:r>
              <w:rPr>
                <w:sz w:val="14"/>
              </w:rPr>
              <w:t>Photocopying</w:t>
            </w:r>
            <w:r>
              <w:rPr>
                <w:spacing w:val="-4"/>
                <w:sz w:val="14"/>
              </w:rPr>
              <w:t> </w:t>
            </w:r>
            <w:r>
              <w:rPr>
                <w:sz w:val="14"/>
              </w:rPr>
              <w:t>-</w:t>
            </w:r>
            <w:r>
              <w:rPr>
                <w:spacing w:val="-4"/>
                <w:sz w:val="14"/>
              </w:rPr>
              <w:t> </w:t>
            </w:r>
            <w:r>
              <w:rPr>
                <w:sz w:val="14"/>
              </w:rPr>
              <w:t>A1</w:t>
            </w:r>
            <w:r>
              <w:rPr>
                <w:spacing w:val="-4"/>
                <w:sz w:val="14"/>
              </w:rPr>
              <w:t> </w:t>
            </w:r>
            <w:r>
              <w:rPr>
                <w:sz w:val="14"/>
              </w:rPr>
              <w:t>per</w:t>
            </w:r>
            <w:r>
              <w:rPr>
                <w:spacing w:val="-1"/>
                <w:sz w:val="14"/>
              </w:rPr>
              <w:t> </w:t>
            </w:r>
            <w:r>
              <w:rPr>
                <w:sz w:val="14"/>
              </w:rPr>
              <w:t>page</w:t>
            </w:r>
            <w:r>
              <w:rPr>
                <w:spacing w:val="-2"/>
                <w:sz w:val="14"/>
              </w:rPr>
              <w:t> </w:t>
            </w:r>
            <w:r>
              <w:rPr>
                <w:sz w:val="14"/>
              </w:rPr>
              <w:t>-</w:t>
            </w:r>
            <w:r>
              <w:rPr>
                <w:spacing w:val="-4"/>
                <w:sz w:val="14"/>
              </w:rPr>
              <w:t> </w:t>
            </w:r>
            <w:r>
              <w:rPr>
                <w:spacing w:val="-2"/>
                <w:sz w:val="14"/>
              </w:rPr>
              <w:t>colour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60.00</w:t>
            </w:r>
          </w:p>
        </w:tc>
        <w:tc>
          <w:tcPr>
            <w:tcW w:w="995" w:type="dxa"/>
          </w:tcPr>
          <w:p>
            <w:pPr>
              <w:pStyle w:val="TableParagraph"/>
              <w:spacing w:line="140" w:lineRule="exact" w:before="17"/>
              <w:ind w:right="101"/>
              <w:jc w:val="right"/>
              <w:rPr>
                <w:sz w:val="14"/>
              </w:rPr>
            </w:pPr>
            <w:r>
              <w:rPr>
                <w:spacing w:val="-2"/>
                <w:sz w:val="14"/>
              </w:rPr>
              <w:t>64.50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Statutory</w:t>
            </w:r>
            <w:r>
              <w:rPr>
                <w:b/>
                <w:spacing w:val="-8"/>
                <w:sz w:val="14"/>
              </w:rPr>
              <w:t> </w:t>
            </w:r>
            <w:r>
              <w:rPr>
                <w:b/>
                <w:sz w:val="14"/>
              </w:rPr>
              <w:t>Planning</w:t>
            </w:r>
            <w:r>
              <w:rPr>
                <w:b/>
                <w:spacing w:val="-8"/>
                <w:sz w:val="14"/>
              </w:rPr>
              <w:t> </w:t>
            </w:r>
            <w:r>
              <w:rPr>
                <w:b/>
                <w:sz w:val="14"/>
              </w:rPr>
              <w:t>Neighbourhood</w:t>
            </w:r>
            <w:r>
              <w:rPr>
                <w:b/>
                <w:spacing w:val="-5"/>
                <w:sz w:val="14"/>
              </w:rPr>
              <w:t> </w:t>
            </w:r>
            <w:r>
              <w:rPr>
                <w:b/>
                <w:spacing w:val="-2"/>
                <w:sz w:val="14"/>
              </w:rPr>
              <w:t>Character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Front</w:t>
            </w:r>
            <w:r>
              <w:rPr>
                <w:spacing w:val="-4"/>
                <w:sz w:val="14"/>
              </w:rPr>
              <w:t> </w:t>
            </w:r>
            <w:r>
              <w:rPr>
                <w:sz w:val="14"/>
              </w:rPr>
              <w:t>fence</w:t>
            </w:r>
            <w:r>
              <w:rPr>
                <w:spacing w:val="-3"/>
                <w:sz w:val="14"/>
              </w:rPr>
              <w:t> </w:t>
            </w:r>
            <w:r>
              <w:rPr>
                <w:sz w:val="14"/>
              </w:rPr>
              <w:t>(regulations</w:t>
            </w:r>
            <w:r>
              <w:rPr>
                <w:spacing w:val="-3"/>
                <w:sz w:val="14"/>
              </w:rPr>
              <w:t> </w:t>
            </w:r>
            <w:r>
              <w:rPr>
                <w:sz w:val="14"/>
              </w:rPr>
              <w:t>89</w:t>
            </w:r>
            <w:r>
              <w:rPr>
                <w:spacing w:val="-3"/>
                <w:sz w:val="14"/>
              </w:rPr>
              <w:t> </w:t>
            </w:r>
            <w:r>
              <w:rPr>
                <w:sz w:val="14"/>
              </w:rPr>
              <w:t>and</w:t>
            </w:r>
            <w:r>
              <w:rPr>
                <w:spacing w:val="-6"/>
                <w:sz w:val="14"/>
              </w:rPr>
              <w:t> </w:t>
            </w:r>
            <w:r>
              <w:rPr>
                <w:spacing w:val="-5"/>
                <w:sz w:val="14"/>
              </w:rPr>
              <w:t>92)</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157.70</w:t>
            </w:r>
          </w:p>
        </w:tc>
        <w:tc>
          <w:tcPr>
            <w:tcW w:w="995" w:type="dxa"/>
          </w:tcPr>
          <w:p>
            <w:pPr>
              <w:pStyle w:val="TableParagraph"/>
              <w:spacing w:line="140" w:lineRule="exact" w:before="17"/>
              <w:ind w:right="102"/>
              <w:jc w:val="right"/>
              <w:rPr>
                <w:sz w:val="14"/>
              </w:rPr>
            </w:pPr>
            <w:r>
              <w:rPr>
                <w:spacing w:val="-2"/>
                <w:sz w:val="14"/>
              </w:rPr>
              <w:t>205.00</w:t>
            </w:r>
          </w:p>
        </w:tc>
        <w:tc>
          <w:tcPr>
            <w:tcW w:w="861" w:type="dxa"/>
          </w:tcPr>
          <w:p>
            <w:pPr>
              <w:pStyle w:val="TableParagraph"/>
              <w:spacing w:line="140" w:lineRule="exact" w:before="17"/>
              <w:ind w:left="152" w:right="154"/>
              <w:jc w:val="center"/>
              <w:rPr>
                <w:sz w:val="14"/>
              </w:rPr>
            </w:pPr>
            <w:r>
              <w:rPr>
                <w:spacing w:val="-5"/>
                <w:sz w:val="14"/>
              </w:rPr>
              <w:t>0.0</w:t>
            </w:r>
          </w:p>
        </w:tc>
      </w:tr>
    </w:tbl>
    <w:p>
      <w:pPr>
        <w:spacing w:after="0" w:line="140" w:lineRule="exact"/>
        <w:jc w:val="center"/>
        <w:rPr>
          <w:sz w:val="14"/>
        </w:rPr>
        <w:sectPr>
          <w:type w:val="continuous"/>
          <w:pgSz w:w="11910" w:h="16840"/>
          <w:pgMar w:header="0" w:footer="687" w:top="920" w:bottom="1139"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Siting</w:t>
            </w:r>
            <w:r>
              <w:rPr>
                <w:spacing w:val="-2"/>
                <w:sz w:val="14"/>
              </w:rPr>
              <w:t> </w:t>
            </w:r>
            <w:r>
              <w:rPr>
                <w:sz w:val="14"/>
              </w:rPr>
              <w:t>(regulations</w:t>
            </w:r>
            <w:r>
              <w:rPr>
                <w:spacing w:val="-2"/>
                <w:sz w:val="14"/>
              </w:rPr>
              <w:t> </w:t>
            </w:r>
            <w:r>
              <w:rPr>
                <w:sz w:val="14"/>
              </w:rPr>
              <w:t>73,74</w:t>
            </w:r>
            <w:r>
              <w:rPr>
                <w:spacing w:val="-3"/>
                <w:sz w:val="14"/>
              </w:rPr>
              <w:t> </w:t>
            </w:r>
            <w:r>
              <w:rPr>
                <w:sz w:val="14"/>
              </w:rPr>
              <w:t>and</w:t>
            </w:r>
            <w:r>
              <w:rPr>
                <w:spacing w:val="-5"/>
                <w:sz w:val="14"/>
              </w:rPr>
              <w:t> </w:t>
            </w:r>
            <w:r>
              <w:rPr>
                <w:sz w:val="14"/>
              </w:rPr>
              <w:t>79)</w:t>
            </w:r>
            <w:r>
              <w:rPr>
                <w:spacing w:val="-2"/>
                <w:sz w:val="14"/>
              </w:rPr>
              <w:t> </w:t>
            </w:r>
            <w:r>
              <w:rPr>
                <w:sz w:val="14"/>
              </w:rPr>
              <w:t>front,</w:t>
            </w:r>
            <w:r>
              <w:rPr>
                <w:spacing w:val="-1"/>
                <w:sz w:val="14"/>
              </w:rPr>
              <w:t> </w:t>
            </w:r>
            <w:r>
              <w:rPr>
                <w:sz w:val="14"/>
              </w:rPr>
              <w:t>side</w:t>
            </w:r>
            <w:r>
              <w:rPr>
                <w:spacing w:val="-2"/>
                <w:sz w:val="14"/>
              </w:rPr>
              <w:t> </w:t>
            </w:r>
            <w:r>
              <w:rPr>
                <w:sz w:val="14"/>
              </w:rPr>
              <w:t>and</w:t>
            </w:r>
            <w:r>
              <w:rPr>
                <w:spacing w:val="-6"/>
                <w:sz w:val="14"/>
              </w:rPr>
              <w:t> </w:t>
            </w:r>
            <w:r>
              <w:rPr>
                <w:sz w:val="14"/>
              </w:rPr>
              <w:t>rear</w:t>
            </w:r>
            <w:r>
              <w:rPr>
                <w:spacing w:val="-5"/>
                <w:sz w:val="14"/>
              </w:rPr>
              <w:t> </w:t>
            </w:r>
            <w:r>
              <w:rPr>
                <w:spacing w:val="-2"/>
                <w:sz w:val="14"/>
              </w:rPr>
              <w:t>setback</w:t>
            </w:r>
          </w:p>
        </w:tc>
        <w:tc>
          <w:tcPr>
            <w:tcW w:w="1131" w:type="dxa"/>
          </w:tcPr>
          <w:p>
            <w:pPr>
              <w:pStyle w:val="TableParagraph"/>
              <w:spacing w:line="140" w:lineRule="exact" w:before="15"/>
              <w:ind w:left="7"/>
              <w:jc w:val="center"/>
              <w:rPr>
                <w:sz w:val="14"/>
              </w:rPr>
            </w:pPr>
            <w:r>
              <w:rPr>
                <w:w w:val="99"/>
                <w:sz w:val="14"/>
              </w:rPr>
              <w:t>S</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311.80</w:t>
            </w:r>
          </w:p>
        </w:tc>
        <w:tc>
          <w:tcPr>
            <w:tcW w:w="995" w:type="dxa"/>
          </w:tcPr>
          <w:p>
            <w:pPr>
              <w:pStyle w:val="TableParagraph"/>
              <w:spacing w:line="140" w:lineRule="exact" w:before="15"/>
              <w:ind w:right="102"/>
              <w:jc w:val="right"/>
              <w:rPr>
                <w:sz w:val="14"/>
              </w:rPr>
            </w:pPr>
            <w:r>
              <w:rPr>
                <w:spacing w:val="-2"/>
                <w:sz w:val="14"/>
              </w:rPr>
              <w:t>448.25</w:t>
            </w:r>
          </w:p>
        </w:tc>
        <w:tc>
          <w:tcPr>
            <w:tcW w:w="861" w:type="dxa"/>
          </w:tcPr>
          <w:p>
            <w:pPr>
              <w:pStyle w:val="TableParagraph"/>
              <w:spacing w:line="140" w:lineRule="exact" w:before="15"/>
              <w:ind w:left="152" w:right="154"/>
              <w:jc w:val="center"/>
              <w:rPr>
                <w:sz w:val="14"/>
              </w:rPr>
            </w:pPr>
            <w:r>
              <w:rPr>
                <w:spacing w:val="-5"/>
                <w:sz w:val="14"/>
              </w:rPr>
              <w:t>0.0</w:t>
            </w:r>
          </w:p>
        </w:tc>
      </w:tr>
      <w:tr>
        <w:trPr>
          <w:trHeight w:val="267" w:hRule="atLeast"/>
        </w:trPr>
        <w:tc>
          <w:tcPr>
            <w:tcW w:w="5794" w:type="dxa"/>
            <w:tcBorders>
              <w:bottom w:val="single" w:sz="18" w:space="0" w:color="000000"/>
            </w:tcBorders>
            <w:shd w:val="clear" w:color="auto" w:fill="D8D8D8"/>
          </w:tcPr>
          <w:p>
            <w:pPr>
              <w:pStyle w:val="TableParagraph"/>
              <w:spacing w:line="214" w:lineRule="exact" w:before="33"/>
              <w:ind w:left="170"/>
              <w:rPr>
                <w:b/>
                <w:sz w:val="22"/>
              </w:rPr>
            </w:pPr>
            <w:r>
              <w:rPr>
                <w:b/>
                <w:sz w:val="22"/>
              </w:rPr>
              <w:t>Finance</w:t>
            </w:r>
            <w:r>
              <w:rPr>
                <w:b/>
                <w:spacing w:val="-2"/>
                <w:sz w:val="22"/>
              </w:rPr>
              <w:t> </w:t>
            </w:r>
            <w:r>
              <w:rPr>
                <w:b/>
                <w:sz w:val="22"/>
              </w:rPr>
              <w:t>&amp;</w:t>
            </w:r>
            <w:r>
              <w:rPr>
                <w:b/>
                <w:spacing w:val="-1"/>
                <w:sz w:val="22"/>
              </w:rPr>
              <w:t> </w:t>
            </w:r>
            <w:r>
              <w:rPr>
                <w:b/>
                <w:spacing w:val="-2"/>
                <w:sz w:val="22"/>
              </w:rPr>
              <w:t>Commercial</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tcBorders>
              <w:right w:val="nil"/>
            </w:tcBorders>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pacing w:val="-2"/>
                <w:sz w:val="14"/>
              </w:rPr>
              <w:t>Revenue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Fee-</w:t>
            </w:r>
            <w:r>
              <w:rPr>
                <w:spacing w:val="-6"/>
                <w:sz w:val="14"/>
              </w:rPr>
              <w:t> </w:t>
            </w:r>
            <w:r>
              <w:rPr>
                <w:sz w:val="14"/>
              </w:rPr>
              <w:t>Direct</w:t>
            </w:r>
            <w:r>
              <w:rPr>
                <w:spacing w:val="-3"/>
                <w:sz w:val="14"/>
              </w:rPr>
              <w:t> </w:t>
            </w:r>
            <w:r>
              <w:rPr>
                <w:sz w:val="14"/>
              </w:rPr>
              <w:t>Debt</w:t>
            </w:r>
            <w:r>
              <w:rPr>
                <w:spacing w:val="-4"/>
                <w:sz w:val="14"/>
              </w:rPr>
              <w:t> </w:t>
            </w:r>
            <w:r>
              <w:rPr>
                <w:spacing w:val="-2"/>
                <w:sz w:val="14"/>
              </w:rPr>
              <w:t>Dishonour/Administration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27.00</w:t>
            </w:r>
          </w:p>
        </w:tc>
        <w:tc>
          <w:tcPr>
            <w:tcW w:w="861" w:type="dxa"/>
          </w:tcPr>
          <w:p>
            <w:pPr>
              <w:pStyle w:val="TableParagraph"/>
              <w:spacing w:line="140" w:lineRule="exact" w:before="17"/>
              <w:ind w:left="152" w:right="154"/>
              <w:jc w:val="center"/>
              <w:rPr>
                <w:sz w:val="14"/>
              </w:rPr>
            </w:pPr>
            <w:r>
              <w:rPr>
                <w:spacing w:val="-5"/>
                <w:sz w:val="14"/>
              </w:rPr>
              <w:t>7.4</w:t>
            </w:r>
          </w:p>
        </w:tc>
      </w:tr>
      <w:tr>
        <w:trPr>
          <w:trHeight w:val="177" w:hRule="atLeast"/>
        </w:trPr>
        <w:tc>
          <w:tcPr>
            <w:tcW w:w="5794" w:type="dxa"/>
          </w:tcPr>
          <w:p>
            <w:pPr>
              <w:pStyle w:val="TableParagraph"/>
              <w:spacing w:line="140" w:lineRule="exact" w:before="17"/>
              <w:ind w:left="107"/>
              <w:rPr>
                <w:sz w:val="14"/>
              </w:rPr>
            </w:pPr>
            <w:r>
              <w:rPr>
                <w:sz w:val="14"/>
              </w:rPr>
              <w:t>Copy</w:t>
            </w:r>
            <w:r>
              <w:rPr>
                <w:spacing w:val="-2"/>
                <w:sz w:val="14"/>
              </w:rPr>
              <w:t> </w:t>
            </w:r>
            <w:r>
              <w:rPr>
                <w:sz w:val="14"/>
              </w:rPr>
              <w:t>of</w:t>
            </w:r>
            <w:r>
              <w:rPr>
                <w:spacing w:val="-4"/>
                <w:sz w:val="14"/>
              </w:rPr>
              <w:t> </w:t>
            </w:r>
            <w:r>
              <w:rPr>
                <w:sz w:val="14"/>
              </w:rPr>
              <w:t>Rate</w:t>
            </w:r>
            <w:r>
              <w:rPr>
                <w:spacing w:val="-2"/>
                <w:sz w:val="14"/>
              </w:rPr>
              <w:t> Notice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21.50</w:t>
            </w:r>
          </w:p>
        </w:tc>
        <w:tc>
          <w:tcPr>
            <w:tcW w:w="861" w:type="dxa"/>
          </w:tcPr>
          <w:p>
            <w:pPr>
              <w:pStyle w:val="TableParagraph"/>
              <w:spacing w:line="140" w:lineRule="exact" w:before="17"/>
              <w:ind w:left="152" w:right="154"/>
              <w:jc w:val="center"/>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Fee-</w:t>
            </w:r>
            <w:r>
              <w:rPr>
                <w:spacing w:val="-7"/>
                <w:sz w:val="14"/>
              </w:rPr>
              <w:t> </w:t>
            </w:r>
            <w:r>
              <w:rPr>
                <w:spacing w:val="-2"/>
                <w:sz w:val="14"/>
              </w:rPr>
              <w:t>Refund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10.00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Copy</w:t>
            </w:r>
            <w:r>
              <w:rPr>
                <w:spacing w:val="-2"/>
                <w:sz w:val="14"/>
              </w:rPr>
              <w:t> </w:t>
            </w:r>
            <w:r>
              <w:rPr>
                <w:sz w:val="14"/>
              </w:rPr>
              <w:t>of</w:t>
            </w:r>
            <w:r>
              <w:rPr>
                <w:spacing w:val="-4"/>
                <w:sz w:val="14"/>
              </w:rPr>
              <w:t> </w:t>
            </w:r>
            <w:r>
              <w:rPr>
                <w:sz w:val="14"/>
              </w:rPr>
              <w:t>Rates</w:t>
            </w:r>
            <w:r>
              <w:rPr>
                <w:spacing w:val="-4"/>
                <w:sz w:val="14"/>
              </w:rPr>
              <w:t> </w:t>
            </w:r>
            <w:r>
              <w:rPr>
                <w:spacing w:val="-2"/>
                <w:sz w:val="14"/>
              </w:rPr>
              <w:t>History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35.00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Land</w:t>
            </w:r>
            <w:r>
              <w:rPr>
                <w:spacing w:val="-8"/>
                <w:sz w:val="14"/>
              </w:rPr>
              <w:t> </w:t>
            </w:r>
            <w:r>
              <w:rPr>
                <w:sz w:val="14"/>
              </w:rPr>
              <w:t>Information</w:t>
            </w:r>
            <w:r>
              <w:rPr>
                <w:spacing w:val="-7"/>
                <w:sz w:val="14"/>
              </w:rPr>
              <w:t> </w:t>
            </w:r>
            <w:r>
              <w:rPr>
                <w:sz w:val="14"/>
              </w:rPr>
              <w:t>Certificate</w:t>
            </w:r>
            <w:r>
              <w:rPr>
                <w:spacing w:val="-7"/>
                <w:sz w:val="14"/>
              </w:rPr>
              <w:t> </w:t>
            </w:r>
            <w:r>
              <w:rPr>
                <w:spacing w:val="-4"/>
                <w:sz w:val="14"/>
              </w:rPr>
              <w:t>Fees</w:t>
            </w:r>
          </w:p>
        </w:tc>
        <w:tc>
          <w:tcPr>
            <w:tcW w:w="1131" w:type="dxa"/>
          </w:tcPr>
          <w:p>
            <w:pPr>
              <w:pStyle w:val="TableParagraph"/>
              <w:spacing w:line="140" w:lineRule="exact" w:before="17"/>
              <w:ind w:left="7"/>
              <w:jc w:val="center"/>
              <w:rPr>
                <w:sz w:val="14"/>
              </w:rPr>
            </w:pPr>
            <w:r>
              <w:rPr>
                <w:w w:val="99"/>
                <w:sz w:val="14"/>
              </w:rPr>
              <w:t>S</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28.90</w:t>
            </w:r>
          </w:p>
        </w:tc>
        <w:tc>
          <w:tcPr>
            <w:tcW w:w="995" w:type="dxa"/>
          </w:tcPr>
          <w:p>
            <w:pPr>
              <w:pStyle w:val="TableParagraph"/>
              <w:spacing w:line="140" w:lineRule="exact" w:before="17"/>
              <w:ind w:right="101"/>
              <w:jc w:val="right"/>
              <w:rPr>
                <w:sz w:val="14"/>
              </w:rPr>
            </w:pPr>
            <w:r>
              <w:rPr>
                <w:spacing w:val="-2"/>
                <w:sz w:val="14"/>
              </w:rPr>
              <w:t>28.90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2" w:lineRule="exact" w:before="15"/>
              <w:ind w:left="107"/>
              <w:rPr>
                <w:sz w:val="14"/>
              </w:rPr>
            </w:pPr>
            <w:r>
              <w:rPr>
                <w:sz w:val="14"/>
              </w:rPr>
              <w:t>Urgent</w:t>
            </w:r>
            <w:r>
              <w:rPr>
                <w:spacing w:val="-5"/>
                <w:sz w:val="14"/>
              </w:rPr>
              <w:t> </w:t>
            </w:r>
            <w:r>
              <w:rPr>
                <w:sz w:val="14"/>
              </w:rPr>
              <w:t>Land</w:t>
            </w:r>
            <w:r>
              <w:rPr>
                <w:spacing w:val="-5"/>
                <w:sz w:val="14"/>
              </w:rPr>
              <w:t> </w:t>
            </w:r>
            <w:r>
              <w:rPr>
                <w:sz w:val="14"/>
              </w:rPr>
              <w:t>Information</w:t>
            </w:r>
            <w:r>
              <w:rPr>
                <w:spacing w:val="-7"/>
                <w:sz w:val="14"/>
              </w:rPr>
              <w:t> </w:t>
            </w:r>
            <w:r>
              <w:rPr>
                <w:spacing w:val="-2"/>
                <w:sz w:val="14"/>
              </w:rPr>
              <w:t>Certificate</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1"/>
              <w:jc w:val="right"/>
              <w:rPr>
                <w:sz w:val="14"/>
              </w:rPr>
            </w:pPr>
            <w:r>
              <w:rPr>
                <w:spacing w:val="-2"/>
                <w:sz w:val="14"/>
              </w:rPr>
              <w:t>50.00</w:t>
            </w:r>
          </w:p>
        </w:tc>
        <w:tc>
          <w:tcPr>
            <w:tcW w:w="995" w:type="dxa"/>
          </w:tcPr>
          <w:p>
            <w:pPr>
              <w:pStyle w:val="TableParagraph"/>
              <w:spacing w:line="142" w:lineRule="exact" w:before="15"/>
              <w:ind w:right="101"/>
              <w:jc w:val="right"/>
              <w:rPr>
                <w:sz w:val="14"/>
              </w:rPr>
            </w:pPr>
            <w:r>
              <w:rPr>
                <w:spacing w:val="-2"/>
                <w:sz w:val="14"/>
              </w:rPr>
              <w:t>50.00</w:t>
            </w:r>
          </w:p>
        </w:tc>
        <w:tc>
          <w:tcPr>
            <w:tcW w:w="861" w:type="dxa"/>
          </w:tcPr>
          <w:p>
            <w:pPr>
              <w:pStyle w:val="TableParagraph"/>
              <w:spacing w:line="142" w:lineRule="exact" w:before="15"/>
              <w:ind w:left="152" w:right="154"/>
              <w:jc w:val="center"/>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Vehicle</w:t>
            </w:r>
            <w:r>
              <w:rPr>
                <w:spacing w:val="-4"/>
                <w:sz w:val="14"/>
              </w:rPr>
              <w:t> </w:t>
            </w:r>
            <w:r>
              <w:rPr>
                <w:sz w:val="14"/>
              </w:rPr>
              <w:t>Access</w:t>
            </w:r>
            <w:r>
              <w:rPr>
                <w:spacing w:val="-5"/>
                <w:sz w:val="14"/>
              </w:rPr>
              <w:t> </w:t>
            </w:r>
            <w:r>
              <w:rPr>
                <w:sz w:val="14"/>
              </w:rPr>
              <w:t>Over</w:t>
            </w:r>
            <w:r>
              <w:rPr>
                <w:spacing w:val="-3"/>
                <w:sz w:val="14"/>
              </w:rPr>
              <w:t> </w:t>
            </w:r>
            <w:r>
              <w:rPr>
                <w:sz w:val="14"/>
              </w:rPr>
              <w:t>Council</w:t>
            </w:r>
            <w:r>
              <w:rPr>
                <w:spacing w:val="-2"/>
                <w:sz w:val="14"/>
              </w:rPr>
              <w:t> </w:t>
            </w:r>
            <w:r>
              <w:rPr>
                <w:sz w:val="14"/>
              </w:rPr>
              <w:t>Land</w:t>
            </w:r>
            <w:r>
              <w:rPr>
                <w:spacing w:val="-6"/>
                <w:sz w:val="14"/>
              </w:rPr>
              <w:t> </w:t>
            </w:r>
            <w:r>
              <w:rPr>
                <w:sz w:val="14"/>
              </w:rPr>
              <w:t>Application</w:t>
            </w:r>
            <w:r>
              <w:rPr>
                <w:spacing w:val="-6"/>
                <w:sz w:val="14"/>
              </w:rPr>
              <w:t> </w:t>
            </w: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575.00</w:t>
            </w:r>
          </w:p>
        </w:tc>
        <w:tc>
          <w:tcPr>
            <w:tcW w:w="995" w:type="dxa"/>
          </w:tcPr>
          <w:p>
            <w:pPr>
              <w:pStyle w:val="TableParagraph"/>
              <w:spacing w:line="140" w:lineRule="exact" w:before="15"/>
              <w:ind w:right="102"/>
              <w:jc w:val="right"/>
              <w:rPr>
                <w:sz w:val="14"/>
              </w:rPr>
            </w:pPr>
            <w:r>
              <w:rPr>
                <w:spacing w:val="-2"/>
                <w:sz w:val="14"/>
              </w:rPr>
              <w:t>575.00</w:t>
            </w:r>
          </w:p>
        </w:tc>
        <w:tc>
          <w:tcPr>
            <w:tcW w:w="861" w:type="dxa"/>
          </w:tcPr>
          <w:p>
            <w:pPr>
              <w:pStyle w:val="TableParagraph"/>
              <w:spacing w:line="140" w:lineRule="exact" w:before="15"/>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Vehicle</w:t>
            </w:r>
            <w:r>
              <w:rPr>
                <w:spacing w:val="-4"/>
                <w:sz w:val="14"/>
              </w:rPr>
              <w:t> </w:t>
            </w:r>
            <w:r>
              <w:rPr>
                <w:sz w:val="14"/>
              </w:rPr>
              <w:t>Access</w:t>
            </w:r>
            <w:r>
              <w:rPr>
                <w:spacing w:val="-5"/>
                <w:sz w:val="14"/>
              </w:rPr>
              <w:t> </w:t>
            </w:r>
            <w:r>
              <w:rPr>
                <w:sz w:val="14"/>
              </w:rPr>
              <w:t>Over</w:t>
            </w:r>
            <w:r>
              <w:rPr>
                <w:spacing w:val="-3"/>
                <w:sz w:val="14"/>
              </w:rPr>
              <w:t> </w:t>
            </w:r>
            <w:r>
              <w:rPr>
                <w:sz w:val="14"/>
              </w:rPr>
              <w:t>Council</w:t>
            </w:r>
            <w:r>
              <w:rPr>
                <w:spacing w:val="-2"/>
                <w:sz w:val="14"/>
              </w:rPr>
              <w:t> </w:t>
            </w:r>
            <w:r>
              <w:rPr>
                <w:sz w:val="14"/>
              </w:rPr>
              <w:t>Land</w:t>
            </w:r>
            <w:r>
              <w:rPr>
                <w:spacing w:val="-6"/>
                <w:sz w:val="14"/>
              </w:rPr>
              <w:t> </w:t>
            </w:r>
            <w:r>
              <w:rPr>
                <w:sz w:val="14"/>
              </w:rPr>
              <w:t>Application</w:t>
            </w:r>
            <w:r>
              <w:rPr>
                <w:spacing w:val="-6"/>
                <w:sz w:val="14"/>
              </w:rPr>
              <w:t> </w:t>
            </w:r>
            <w:r>
              <w:rPr>
                <w:spacing w:val="-4"/>
                <w:sz w:val="14"/>
              </w:rPr>
              <w:t>Bond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2,812.50</w:t>
            </w:r>
          </w:p>
        </w:tc>
        <w:tc>
          <w:tcPr>
            <w:tcW w:w="995" w:type="dxa"/>
          </w:tcPr>
          <w:p>
            <w:pPr>
              <w:pStyle w:val="TableParagraph"/>
              <w:spacing w:line="140" w:lineRule="exact" w:before="17"/>
              <w:ind w:right="101"/>
              <w:jc w:val="right"/>
              <w:rPr>
                <w:sz w:val="14"/>
              </w:rPr>
            </w:pPr>
            <w:r>
              <w:rPr>
                <w:spacing w:val="-2"/>
                <w:sz w:val="14"/>
              </w:rPr>
              <w:t>3,000.00</w:t>
            </w:r>
          </w:p>
        </w:tc>
        <w:tc>
          <w:tcPr>
            <w:tcW w:w="861" w:type="dxa"/>
          </w:tcPr>
          <w:p>
            <w:pPr>
              <w:pStyle w:val="TableParagraph"/>
              <w:spacing w:line="140" w:lineRule="exact" w:before="17"/>
              <w:ind w:left="152" w:right="154"/>
              <w:jc w:val="center"/>
              <w:rPr>
                <w:sz w:val="14"/>
              </w:rPr>
            </w:pPr>
            <w:r>
              <w:rPr>
                <w:spacing w:val="-5"/>
                <w:sz w:val="14"/>
              </w:rPr>
              <w:t>6.3</w:t>
            </w:r>
          </w:p>
        </w:tc>
      </w:tr>
      <w:tr>
        <w:trPr>
          <w:trHeight w:val="270" w:hRule="atLeast"/>
        </w:trPr>
        <w:tc>
          <w:tcPr>
            <w:tcW w:w="5794" w:type="dxa"/>
            <w:tcBorders>
              <w:bottom w:val="single" w:sz="18" w:space="0" w:color="000000"/>
            </w:tcBorders>
            <w:shd w:val="clear" w:color="auto" w:fill="D8D8D8"/>
          </w:tcPr>
          <w:p>
            <w:pPr>
              <w:pStyle w:val="TableParagraph"/>
              <w:spacing w:line="217" w:lineRule="exact" w:before="33"/>
              <w:ind w:left="170"/>
              <w:rPr>
                <w:b/>
                <w:sz w:val="22"/>
              </w:rPr>
            </w:pPr>
            <w:r>
              <w:rPr>
                <w:b/>
                <w:sz w:val="22"/>
              </w:rPr>
              <w:t>Governance</w:t>
            </w:r>
            <w:r>
              <w:rPr>
                <w:b/>
                <w:spacing w:val="-2"/>
                <w:sz w:val="22"/>
              </w:rPr>
              <w:t> </w:t>
            </w:r>
            <w:r>
              <w:rPr>
                <w:b/>
                <w:sz w:val="22"/>
              </w:rPr>
              <w:t>&amp;</w:t>
            </w:r>
            <w:r>
              <w:rPr>
                <w:b/>
                <w:spacing w:val="-3"/>
                <w:sz w:val="22"/>
              </w:rPr>
              <w:t> </w:t>
            </w:r>
            <w:r>
              <w:rPr>
                <w:b/>
                <w:spacing w:val="-2"/>
                <w:sz w:val="22"/>
              </w:rPr>
              <w:t>Performance</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pacing w:val="-2"/>
                <w:sz w:val="14"/>
              </w:rPr>
              <w:t>Election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21" w:hRule="atLeast"/>
        </w:trPr>
        <w:tc>
          <w:tcPr>
            <w:tcW w:w="5794" w:type="dxa"/>
          </w:tcPr>
          <w:p>
            <w:pPr>
              <w:pStyle w:val="TableParagraph"/>
              <w:rPr>
                <w:sz w:val="14"/>
              </w:rPr>
            </w:pPr>
          </w:p>
          <w:p>
            <w:pPr>
              <w:pStyle w:val="TableParagraph"/>
              <w:spacing w:line="140" w:lineRule="exact"/>
              <w:ind w:left="107"/>
              <w:rPr>
                <w:sz w:val="14"/>
              </w:rPr>
            </w:pPr>
            <w:r>
              <w:rPr>
                <w:sz w:val="14"/>
              </w:rPr>
              <w:t>Failure</w:t>
            </w:r>
            <w:r>
              <w:rPr>
                <w:spacing w:val="-5"/>
                <w:sz w:val="14"/>
              </w:rPr>
              <w:t> </w:t>
            </w:r>
            <w:r>
              <w:rPr>
                <w:sz w:val="14"/>
              </w:rPr>
              <w:t>to</w:t>
            </w:r>
            <w:r>
              <w:rPr>
                <w:spacing w:val="-2"/>
                <w:sz w:val="14"/>
              </w:rPr>
              <w:t> </w:t>
            </w:r>
            <w:r>
              <w:rPr>
                <w:spacing w:val="-4"/>
                <w:sz w:val="14"/>
              </w:rPr>
              <w:t>vote</w:t>
            </w:r>
          </w:p>
        </w:tc>
        <w:tc>
          <w:tcPr>
            <w:tcW w:w="1131" w:type="dxa"/>
          </w:tcPr>
          <w:p>
            <w:pPr>
              <w:pStyle w:val="TableParagraph"/>
              <w:rPr>
                <w:sz w:val="14"/>
              </w:rPr>
            </w:pPr>
          </w:p>
          <w:p>
            <w:pPr>
              <w:pStyle w:val="TableParagraph"/>
              <w:spacing w:line="140" w:lineRule="exact"/>
              <w:ind w:left="7"/>
              <w:jc w:val="center"/>
              <w:rPr>
                <w:sz w:val="14"/>
              </w:rPr>
            </w:pPr>
            <w:r>
              <w:rPr>
                <w:w w:val="99"/>
                <w:sz w:val="14"/>
              </w:rPr>
              <w:t>S</w:t>
            </w:r>
          </w:p>
        </w:tc>
        <w:tc>
          <w:tcPr>
            <w:tcW w:w="567" w:type="dxa"/>
          </w:tcPr>
          <w:p>
            <w:pPr>
              <w:pStyle w:val="TableParagraph"/>
              <w:rPr>
                <w:sz w:val="14"/>
              </w:rPr>
            </w:pPr>
          </w:p>
          <w:p>
            <w:pPr>
              <w:pStyle w:val="TableParagraph"/>
              <w:spacing w:line="140" w:lineRule="exact"/>
              <w:ind w:left="190"/>
              <w:rPr>
                <w:sz w:val="14"/>
              </w:rPr>
            </w:pPr>
            <w:r>
              <w:rPr>
                <w:spacing w:val="-5"/>
                <w:sz w:val="14"/>
              </w:rPr>
              <w:t>No</w:t>
            </w:r>
          </w:p>
        </w:tc>
        <w:tc>
          <w:tcPr>
            <w:tcW w:w="997" w:type="dxa"/>
          </w:tcPr>
          <w:p>
            <w:pPr>
              <w:pStyle w:val="TableParagraph"/>
              <w:rPr>
                <w:sz w:val="14"/>
              </w:rPr>
            </w:pPr>
          </w:p>
          <w:p>
            <w:pPr>
              <w:pStyle w:val="TableParagraph"/>
              <w:spacing w:line="140" w:lineRule="exact"/>
              <w:ind w:left="319"/>
              <w:rPr>
                <w:sz w:val="14"/>
              </w:rPr>
            </w:pPr>
            <w:r>
              <w:rPr>
                <w:spacing w:val="-2"/>
                <w:sz w:val="14"/>
              </w:rPr>
              <w:t>92.00</w:t>
            </w:r>
          </w:p>
        </w:tc>
        <w:tc>
          <w:tcPr>
            <w:tcW w:w="995" w:type="dxa"/>
          </w:tcPr>
          <w:p>
            <w:pPr>
              <w:pStyle w:val="TableParagraph"/>
              <w:spacing w:line="160" w:lineRule="atLeast"/>
              <w:ind w:left="299" w:right="213" w:hanging="82"/>
              <w:rPr>
                <w:sz w:val="14"/>
              </w:rPr>
            </w:pPr>
            <w:r>
              <w:rPr>
                <w:spacing w:val="-2"/>
                <w:sz w:val="14"/>
              </w:rPr>
              <w:t>available</w:t>
            </w:r>
            <w:r>
              <w:rPr>
                <w:spacing w:val="40"/>
                <w:sz w:val="14"/>
              </w:rPr>
              <w:t> </w:t>
            </w:r>
            <w:r>
              <w:rPr>
                <w:spacing w:val="-2"/>
                <w:sz w:val="14"/>
              </w:rPr>
              <w:t>1/7/24</w:t>
            </w:r>
          </w:p>
        </w:tc>
        <w:tc>
          <w:tcPr>
            <w:tcW w:w="861" w:type="dxa"/>
          </w:tcPr>
          <w:p>
            <w:pPr>
              <w:pStyle w:val="TableParagraph"/>
              <w:rPr>
                <w:sz w:val="14"/>
              </w:rPr>
            </w:pPr>
          </w:p>
          <w:p>
            <w:pPr>
              <w:pStyle w:val="TableParagraph"/>
              <w:spacing w:line="140" w:lineRule="exact"/>
              <w:ind w:left="152" w:right="154"/>
              <w:jc w:val="center"/>
              <w:rPr>
                <w:sz w:val="14"/>
              </w:rPr>
            </w:pPr>
            <w:r>
              <w:rPr>
                <w:spacing w:val="-5"/>
                <w:sz w:val="14"/>
              </w:rPr>
              <w:t>0.0</w:t>
            </w:r>
          </w:p>
        </w:tc>
      </w:tr>
      <w:tr>
        <w:trPr>
          <w:trHeight w:val="320" w:hRule="atLeast"/>
        </w:trPr>
        <w:tc>
          <w:tcPr>
            <w:tcW w:w="5794" w:type="dxa"/>
          </w:tcPr>
          <w:p>
            <w:pPr>
              <w:pStyle w:val="TableParagraph"/>
              <w:spacing w:before="11"/>
              <w:rPr>
                <w:sz w:val="13"/>
              </w:rPr>
            </w:pPr>
          </w:p>
          <w:p>
            <w:pPr>
              <w:pStyle w:val="TableParagraph"/>
              <w:spacing w:line="140" w:lineRule="exact"/>
              <w:ind w:left="107"/>
              <w:rPr>
                <w:sz w:val="14"/>
              </w:rPr>
            </w:pPr>
            <w:r>
              <w:rPr>
                <w:sz w:val="14"/>
              </w:rPr>
              <w:t>Failure</w:t>
            </w:r>
            <w:r>
              <w:rPr>
                <w:spacing w:val="-5"/>
                <w:sz w:val="14"/>
              </w:rPr>
              <w:t> </w:t>
            </w:r>
            <w:r>
              <w:rPr>
                <w:sz w:val="14"/>
              </w:rPr>
              <w:t>to</w:t>
            </w:r>
            <w:r>
              <w:rPr>
                <w:spacing w:val="-2"/>
                <w:sz w:val="14"/>
              </w:rPr>
              <w:t> </w:t>
            </w:r>
            <w:r>
              <w:rPr>
                <w:sz w:val="14"/>
              </w:rPr>
              <w:t>vote</w:t>
            </w:r>
            <w:r>
              <w:rPr>
                <w:spacing w:val="-5"/>
                <w:sz w:val="14"/>
              </w:rPr>
              <w:t> </w:t>
            </w:r>
            <w:r>
              <w:rPr>
                <w:sz w:val="14"/>
              </w:rPr>
              <w:t>reminder</w:t>
            </w:r>
            <w:r>
              <w:rPr>
                <w:spacing w:val="-2"/>
                <w:sz w:val="14"/>
              </w:rPr>
              <w:t> </w:t>
            </w:r>
            <w:r>
              <w:rPr>
                <w:sz w:val="14"/>
              </w:rPr>
              <w:t>notice</w:t>
            </w:r>
            <w:r>
              <w:rPr>
                <w:spacing w:val="-2"/>
                <w:sz w:val="14"/>
              </w:rPr>
              <w:t> </w:t>
            </w:r>
            <w:r>
              <w:rPr>
                <w:sz w:val="14"/>
              </w:rPr>
              <w:t>-</w:t>
            </w:r>
            <w:r>
              <w:rPr>
                <w:spacing w:val="-5"/>
                <w:sz w:val="14"/>
              </w:rPr>
              <w:t> </w:t>
            </w:r>
            <w:r>
              <w:rPr>
                <w:sz w:val="14"/>
              </w:rPr>
              <w:t>additional</w:t>
            </w:r>
            <w:r>
              <w:rPr>
                <w:spacing w:val="-4"/>
                <w:sz w:val="14"/>
              </w:rPr>
              <w:t> </w:t>
            </w:r>
            <w:r>
              <w:rPr>
                <w:sz w:val="14"/>
              </w:rPr>
              <w:t>to</w:t>
            </w:r>
            <w:r>
              <w:rPr>
                <w:spacing w:val="-5"/>
                <w:sz w:val="14"/>
              </w:rPr>
              <w:t> </w:t>
            </w:r>
            <w:r>
              <w:rPr>
                <w:sz w:val="14"/>
              </w:rPr>
              <w:t>original</w:t>
            </w:r>
            <w:r>
              <w:rPr>
                <w:spacing w:val="-4"/>
                <w:sz w:val="14"/>
              </w:rPr>
              <w:t> fine</w:t>
            </w:r>
          </w:p>
        </w:tc>
        <w:tc>
          <w:tcPr>
            <w:tcW w:w="1131" w:type="dxa"/>
          </w:tcPr>
          <w:p>
            <w:pPr>
              <w:pStyle w:val="TableParagraph"/>
              <w:spacing w:before="11"/>
              <w:rPr>
                <w:sz w:val="13"/>
              </w:rPr>
            </w:pPr>
          </w:p>
          <w:p>
            <w:pPr>
              <w:pStyle w:val="TableParagraph"/>
              <w:spacing w:line="140" w:lineRule="exact"/>
              <w:ind w:left="7"/>
              <w:jc w:val="center"/>
              <w:rPr>
                <w:sz w:val="14"/>
              </w:rPr>
            </w:pPr>
            <w:r>
              <w:rPr>
                <w:w w:val="99"/>
                <w:sz w:val="14"/>
              </w:rPr>
              <w:t>S</w:t>
            </w:r>
          </w:p>
        </w:tc>
        <w:tc>
          <w:tcPr>
            <w:tcW w:w="567" w:type="dxa"/>
          </w:tcPr>
          <w:p>
            <w:pPr>
              <w:pStyle w:val="TableParagraph"/>
              <w:spacing w:before="11"/>
              <w:rPr>
                <w:sz w:val="13"/>
              </w:rPr>
            </w:pPr>
          </w:p>
          <w:p>
            <w:pPr>
              <w:pStyle w:val="TableParagraph"/>
              <w:spacing w:line="140" w:lineRule="exact"/>
              <w:ind w:left="190"/>
              <w:rPr>
                <w:sz w:val="14"/>
              </w:rPr>
            </w:pPr>
            <w:r>
              <w:rPr>
                <w:spacing w:val="-5"/>
                <w:sz w:val="14"/>
              </w:rPr>
              <w:t>No</w:t>
            </w:r>
          </w:p>
        </w:tc>
        <w:tc>
          <w:tcPr>
            <w:tcW w:w="997" w:type="dxa"/>
          </w:tcPr>
          <w:p>
            <w:pPr>
              <w:pStyle w:val="TableParagraph"/>
              <w:spacing w:before="11"/>
              <w:rPr>
                <w:sz w:val="13"/>
              </w:rPr>
            </w:pPr>
          </w:p>
          <w:p>
            <w:pPr>
              <w:pStyle w:val="TableParagraph"/>
              <w:spacing w:line="140" w:lineRule="exact"/>
              <w:ind w:left="319"/>
              <w:rPr>
                <w:sz w:val="14"/>
              </w:rPr>
            </w:pPr>
            <w:r>
              <w:rPr>
                <w:spacing w:val="-2"/>
                <w:sz w:val="14"/>
              </w:rPr>
              <w:t>27.70</w:t>
            </w:r>
          </w:p>
        </w:tc>
        <w:tc>
          <w:tcPr>
            <w:tcW w:w="995" w:type="dxa"/>
          </w:tcPr>
          <w:p>
            <w:pPr>
              <w:pStyle w:val="TableParagraph"/>
              <w:spacing w:line="160" w:lineRule="exact"/>
              <w:ind w:left="299" w:right="213" w:hanging="82"/>
              <w:rPr>
                <w:sz w:val="14"/>
              </w:rPr>
            </w:pPr>
            <w:r>
              <w:rPr>
                <w:spacing w:val="-2"/>
                <w:sz w:val="14"/>
              </w:rPr>
              <w:t>available</w:t>
            </w:r>
            <w:r>
              <w:rPr>
                <w:spacing w:val="40"/>
                <w:sz w:val="14"/>
              </w:rPr>
              <w:t> </w:t>
            </w:r>
            <w:r>
              <w:rPr>
                <w:spacing w:val="-2"/>
                <w:sz w:val="14"/>
              </w:rPr>
              <w:t>1/7/24</w:t>
            </w:r>
          </w:p>
        </w:tc>
        <w:tc>
          <w:tcPr>
            <w:tcW w:w="861" w:type="dxa"/>
          </w:tcPr>
          <w:p>
            <w:pPr>
              <w:pStyle w:val="TableParagraph"/>
              <w:spacing w:before="11"/>
              <w:rPr>
                <w:sz w:val="13"/>
              </w:rPr>
            </w:pPr>
          </w:p>
          <w:p>
            <w:pPr>
              <w:pStyle w:val="TableParagraph"/>
              <w:spacing w:line="140" w:lineRule="exact"/>
              <w:ind w:left="152" w:right="154"/>
              <w:jc w:val="center"/>
              <w:rPr>
                <w:sz w:val="14"/>
              </w:rPr>
            </w:pPr>
            <w:r>
              <w:rPr>
                <w:spacing w:val="-5"/>
                <w:sz w:val="14"/>
              </w:rPr>
              <w:t>0.0</w:t>
            </w:r>
          </w:p>
        </w:tc>
      </w:tr>
      <w:tr>
        <w:trPr>
          <w:trHeight w:val="270" w:hRule="atLeast"/>
        </w:trPr>
        <w:tc>
          <w:tcPr>
            <w:tcW w:w="5794" w:type="dxa"/>
            <w:tcBorders>
              <w:bottom w:val="single" w:sz="18" w:space="0" w:color="000000"/>
            </w:tcBorders>
            <w:shd w:val="clear" w:color="auto" w:fill="D8D8D8"/>
          </w:tcPr>
          <w:p>
            <w:pPr>
              <w:pStyle w:val="TableParagraph"/>
              <w:spacing w:line="217" w:lineRule="exact" w:before="33"/>
              <w:ind w:left="170"/>
              <w:rPr>
                <w:b/>
                <w:sz w:val="22"/>
              </w:rPr>
            </w:pPr>
            <w:r>
              <w:rPr>
                <w:b/>
                <w:sz w:val="22"/>
              </w:rPr>
              <w:t>Senior</w:t>
            </w:r>
            <w:r>
              <w:rPr>
                <w:b/>
                <w:spacing w:val="-4"/>
                <w:sz w:val="22"/>
              </w:rPr>
              <w:t> </w:t>
            </w:r>
            <w:r>
              <w:rPr>
                <w:b/>
                <w:spacing w:val="-2"/>
                <w:sz w:val="22"/>
              </w:rPr>
              <w:t>Executive</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International</w:t>
            </w:r>
            <w:r>
              <w:rPr>
                <w:b/>
                <w:spacing w:val="-8"/>
                <w:sz w:val="14"/>
              </w:rPr>
              <w:t> </w:t>
            </w:r>
            <w:r>
              <w:rPr>
                <w:b/>
                <w:sz w:val="14"/>
              </w:rPr>
              <w:t>Women's</w:t>
            </w:r>
            <w:r>
              <w:rPr>
                <w:b/>
                <w:spacing w:val="-6"/>
                <w:sz w:val="14"/>
              </w:rPr>
              <w:t> </w:t>
            </w:r>
            <w:r>
              <w:rPr>
                <w:b/>
                <w:spacing w:val="-5"/>
                <w:sz w:val="14"/>
              </w:rPr>
              <w:t>Day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28.00</w:t>
            </w:r>
          </w:p>
        </w:tc>
        <w:tc>
          <w:tcPr>
            <w:tcW w:w="995" w:type="dxa"/>
          </w:tcPr>
          <w:p>
            <w:pPr>
              <w:pStyle w:val="TableParagraph"/>
              <w:spacing w:line="140" w:lineRule="exact" w:before="15"/>
              <w:ind w:right="101"/>
              <w:jc w:val="right"/>
              <w:rPr>
                <w:sz w:val="14"/>
              </w:rPr>
            </w:pPr>
            <w:r>
              <w:rPr>
                <w:spacing w:val="-2"/>
                <w:sz w:val="14"/>
              </w:rPr>
              <w:t>30.00</w:t>
            </w:r>
          </w:p>
        </w:tc>
        <w:tc>
          <w:tcPr>
            <w:tcW w:w="861" w:type="dxa"/>
          </w:tcPr>
          <w:p>
            <w:pPr>
              <w:pStyle w:val="TableParagraph"/>
              <w:spacing w:line="140" w:lineRule="exact" w:before="15"/>
              <w:ind w:left="152" w:right="154"/>
              <w:jc w:val="center"/>
              <w:rPr>
                <w:sz w:val="14"/>
              </w:rPr>
            </w:pPr>
            <w:r>
              <w:rPr>
                <w:spacing w:val="-5"/>
                <w:sz w:val="14"/>
              </w:rPr>
              <w:t>6.7</w:t>
            </w:r>
          </w:p>
        </w:tc>
      </w:tr>
      <w:tr>
        <w:trPr>
          <w:trHeight w:val="270" w:hRule="atLeast"/>
        </w:trPr>
        <w:tc>
          <w:tcPr>
            <w:tcW w:w="5794" w:type="dxa"/>
            <w:tcBorders>
              <w:bottom w:val="single" w:sz="18" w:space="0" w:color="000000"/>
            </w:tcBorders>
            <w:shd w:val="clear" w:color="auto" w:fill="D8D8D8"/>
          </w:tcPr>
          <w:p>
            <w:pPr>
              <w:pStyle w:val="TableParagraph"/>
              <w:spacing w:line="217" w:lineRule="exact" w:before="33"/>
              <w:ind w:left="170"/>
              <w:rPr>
                <w:b/>
                <w:sz w:val="22"/>
              </w:rPr>
            </w:pPr>
            <w:r>
              <w:rPr>
                <w:b/>
                <w:spacing w:val="-2"/>
                <w:sz w:val="22"/>
              </w:rPr>
              <w:t>Operations</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pacing w:val="-2"/>
                <w:sz w:val="14"/>
              </w:rPr>
              <w:t>Marveloo</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482" w:hRule="atLeast"/>
        </w:trPr>
        <w:tc>
          <w:tcPr>
            <w:tcW w:w="5794" w:type="dxa"/>
            <w:tcBorders>
              <w:bottom w:val="nil"/>
            </w:tcBorders>
          </w:tcPr>
          <w:p>
            <w:pPr>
              <w:pStyle w:val="TableParagraph"/>
              <w:rPr>
                <w:sz w:val="14"/>
              </w:rPr>
            </w:pPr>
          </w:p>
          <w:p>
            <w:pPr>
              <w:pStyle w:val="TableParagraph"/>
              <w:ind w:left="107"/>
              <w:rPr>
                <w:sz w:val="14"/>
              </w:rPr>
            </w:pPr>
            <w:r>
              <w:rPr>
                <w:sz w:val="14"/>
              </w:rPr>
              <w:t>Use</w:t>
            </w:r>
            <w:r>
              <w:rPr>
                <w:spacing w:val="-4"/>
                <w:sz w:val="14"/>
              </w:rPr>
              <w:t> </w:t>
            </w:r>
            <w:r>
              <w:rPr>
                <w:sz w:val="14"/>
              </w:rPr>
              <w:t>of</w:t>
            </w:r>
            <w:r>
              <w:rPr>
                <w:spacing w:val="-3"/>
                <w:sz w:val="14"/>
              </w:rPr>
              <w:t> </w:t>
            </w:r>
            <w:r>
              <w:rPr>
                <w:spacing w:val="-2"/>
                <w:sz w:val="14"/>
              </w:rPr>
              <w:t>Marveloo</w:t>
            </w:r>
          </w:p>
        </w:tc>
        <w:tc>
          <w:tcPr>
            <w:tcW w:w="1131" w:type="dxa"/>
            <w:tcBorders>
              <w:bottom w:val="nil"/>
            </w:tcBorders>
          </w:tcPr>
          <w:p>
            <w:pPr>
              <w:pStyle w:val="TableParagraph"/>
              <w:rPr>
                <w:sz w:val="16"/>
              </w:rPr>
            </w:pPr>
          </w:p>
          <w:p>
            <w:pPr>
              <w:pStyle w:val="TableParagraph"/>
              <w:spacing w:line="140" w:lineRule="exact" w:before="138"/>
              <w:ind w:left="5"/>
              <w:jc w:val="center"/>
              <w:rPr>
                <w:sz w:val="14"/>
              </w:rPr>
            </w:pPr>
            <w:r>
              <w:rPr>
                <w:w w:val="99"/>
                <w:sz w:val="14"/>
              </w:rPr>
              <w:t>N</w:t>
            </w:r>
          </w:p>
        </w:tc>
        <w:tc>
          <w:tcPr>
            <w:tcW w:w="567" w:type="dxa"/>
            <w:tcBorders>
              <w:bottom w:val="nil"/>
            </w:tcBorders>
          </w:tcPr>
          <w:p>
            <w:pPr>
              <w:pStyle w:val="TableParagraph"/>
              <w:rPr>
                <w:sz w:val="16"/>
              </w:rPr>
            </w:pPr>
          </w:p>
          <w:p>
            <w:pPr>
              <w:pStyle w:val="TableParagraph"/>
              <w:spacing w:line="140" w:lineRule="exact" w:before="138"/>
              <w:ind w:left="159"/>
              <w:rPr>
                <w:sz w:val="14"/>
              </w:rPr>
            </w:pPr>
            <w:r>
              <w:rPr>
                <w:spacing w:val="-5"/>
                <w:sz w:val="14"/>
              </w:rPr>
              <w:t>Yes</w:t>
            </w:r>
          </w:p>
        </w:tc>
        <w:tc>
          <w:tcPr>
            <w:tcW w:w="997" w:type="dxa"/>
            <w:tcBorders>
              <w:bottom w:val="nil"/>
            </w:tcBorders>
          </w:tcPr>
          <w:p>
            <w:pPr>
              <w:pStyle w:val="TableParagraph"/>
              <w:spacing w:line="160" w:lineRule="atLeast"/>
              <w:ind w:left="115" w:right="108"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995" w:type="dxa"/>
            <w:tcBorders>
              <w:bottom w:val="nil"/>
            </w:tcBorders>
          </w:tcPr>
          <w:p>
            <w:pPr>
              <w:pStyle w:val="TableParagraph"/>
              <w:spacing w:line="160" w:lineRule="atLeast"/>
              <w:ind w:left="112" w:right="109" w:hanging="3"/>
              <w:jc w:val="center"/>
              <w:rPr>
                <w:sz w:val="14"/>
              </w:rPr>
            </w:pPr>
            <w:r>
              <w:rPr>
                <w:spacing w:val="-2"/>
                <w:sz w:val="14"/>
              </w:rPr>
              <w:t>Varies</w:t>
            </w:r>
            <w:r>
              <w:rPr>
                <w:spacing w:val="40"/>
                <w:sz w:val="14"/>
              </w:rPr>
              <w:t> </w:t>
            </w:r>
            <w:r>
              <w:rPr>
                <w:sz w:val="14"/>
              </w:rPr>
              <w:t>according</w:t>
            </w:r>
            <w:r>
              <w:rPr>
                <w:spacing w:val="-10"/>
                <w:sz w:val="14"/>
              </w:rPr>
              <w:t> </w:t>
            </w:r>
            <w:r>
              <w:rPr>
                <w:sz w:val="14"/>
              </w:rPr>
              <w:t>to</w:t>
            </w:r>
            <w:r>
              <w:rPr>
                <w:spacing w:val="40"/>
                <w:sz w:val="14"/>
              </w:rPr>
              <w:t> </w:t>
            </w:r>
            <w:r>
              <w:rPr>
                <w:spacing w:val="-2"/>
                <w:sz w:val="14"/>
              </w:rPr>
              <w:t>quote</w:t>
            </w:r>
          </w:p>
        </w:tc>
        <w:tc>
          <w:tcPr>
            <w:tcW w:w="861" w:type="dxa"/>
            <w:tcBorders>
              <w:bottom w:val="nil"/>
            </w:tcBorders>
          </w:tcPr>
          <w:p>
            <w:pPr>
              <w:pStyle w:val="TableParagraph"/>
              <w:rPr>
                <w:rFonts w:ascii="Times New Roman"/>
                <w:sz w:val="14"/>
              </w:rPr>
            </w:pPr>
          </w:p>
        </w:tc>
      </w:tr>
      <w:tr>
        <w:trPr>
          <w:trHeight w:val="266" w:hRule="atLeast"/>
        </w:trPr>
        <w:tc>
          <w:tcPr>
            <w:tcW w:w="5794" w:type="dxa"/>
            <w:tcBorders>
              <w:top w:val="nil"/>
              <w:bottom w:val="single" w:sz="18" w:space="0" w:color="000000"/>
            </w:tcBorders>
            <w:shd w:val="clear" w:color="auto" w:fill="D8D8D8"/>
          </w:tcPr>
          <w:p>
            <w:pPr>
              <w:pStyle w:val="TableParagraph"/>
              <w:spacing w:line="214" w:lineRule="exact" w:before="33"/>
              <w:ind w:left="170"/>
              <w:rPr>
                <w:b/>
                <w:sz w:val="22"/>
              </w:rPr>
            </w:pPr>
            <w:r>
              <w:rPr>
                <w:b/>
                <w:spacing w:val="-2"/>
                <w:sz w:val="22"/>
              </w:rPr>
              <w:t>Leisure</w:t>
            </w:r>
          </w:p>
        </w:tc>
        <w:tc>
          <w:tcPr>
            <w:tcW w:w="1131" w:type="dxa"/>
            <w:tcBorders>
              <w:top w:val="nil"/>
            </w:tcBorders>
            <w:shd w:val="clear" w:color="auto" w:fill="D8D8D8"/>
          </w:tcPr>
          <w:p>
            <w:pPr>
              <w:pStyle w:val="TableParagraph"/>
              <w:rPr>
                <w:rFonts w:ascii="Times New Roman"/>
                <w:sz w:val="14"/>
              </w:rPr>
            </w:pPr>
          </w:p>
        </w:tc>
        <w:tc>
          <w:tcPr>
            <w:tcW w:w="567" w:type="dxa"/>
            <w:tcBorders>
              <w:top w:val="nil"/>
            </w:tcBorders>
            <w:shd w:val="clear" w:color="auto" w:fill="D8D8D8"/>
          </w:tcPr>
          <w:p>
            <w:pPr>
              <w:pStyle w:val="TableParagraph"/>
              <w:rPr>
                <w:rFonts w:ascii="Times New Roman"/>
                <w:sz w:val="14"/>
              </w:rPr>
            </w:pPr>
          </w:p>
        </w:tc>
        <w:tc>
          <w:tcPr>
            <w:tcW w:w="997" w:type="dxa"/>
            <w:tcBorders>
              <w:top w:val="nil"/>
            </w:tcBorders>
            <w:shd w:val="clear" w:color="auto" w:fill="D8D8D8"/>
          </w:tcPr>
          <w:p>
            <w:pPr>
              <w:pStyle w:val="TableParagraph"/>
              <w:rPr>
                <w:rFonts w:ascii="Times New Roman"/>
                <w:sz w:val="14"/>
              </w:rPr>
            </w:pPr>
          </w:p>
        </w:tc>
        <w:tc>
          <w:tcPr>
            <w:tcW w:w="995" w:type="dxa"/>
            <w:tcBorders>
              <w:top w:val="nil"/>
            </w:tcBorders>
            <w:shd w:val="clear" w:color="auto" w:fill="D8D8D8"/>
          </w:tcPr>
          <w:p>
            <w:pPr>
              <w:pStyle w:val="TableParagraph"/>
              <w:rPr>
                <w:rFonts w:ascii="Times New Roman"/>
                <w:sz w:val="14"/>
              </w:rPr>
            </w:pPr>
          </w:p>
        </w:tc>
        <w:tc>
          <w:tcPr>
            <w:tcW w:w="861" w:type="dxa"/>
            <w:tcBorders>
              <w:top w:val="nil"/>
            </w:tcBorders>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Night</w:t>
            </w:r>
            <w:r>
              <w:rPr>
                <w:b/>
                <w:spacing w:val="-7"/>
                <w:sz w:val="14"/>
              </w:rPr>
              <w:t> </w:t>
            </w:r>
            <w:r>
              <w:rPr>
                <w:b/>
                <w:spacing w:val="-5"/>
                <w:sz w:val="14"/>
              </w:rPr>
              <w:t>Run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Concession</w:t>
            </w:r>
            <w:r>
              <w:rPr>
                <w:spacing w:val="-7"/>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22.00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pacing w:val="-2"/>
                <w:sz w:val="14"/>
              </w:rPr>
              <w:t>Individual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26.00</w:t>
            </w:r>
          </w:p>
        </w:tc>
        <w:tc>
          <w:tcPr>
            <w:tcW w:w="995" w:type="dxa"/>
          </w:tcPr>
          <w:p>
            <w:pPr>
              <w:pStyle w:val="TableParagraph"/>
              <w:spacing w:line="140" w:lineRule="exact" w:before="17"/>
              <w:ind w:right="101"/>
              <w:jc w:val="right"/>
              <w:rPr>
                <w:sz w:val="14"/>
              </w:rPr>
            </w:pPr>
            <w:r>
              <w:rPr>
                <w:spacing w:val="-2"/>
                <w:sz w:val="14"/>
              </w:rPr>
              <w:t>27.00</w:t>
            </w:r>
          </w:p>
        </w:tc>
        <w:tc>
          <w:tcPr>
            <w:tcW w:w="861" w:type="dxa"/>
          </w:tcPr>
          <w:p>
            <w:pPr>
              <w:pStyle w:val="TableParagraph"/>
              <w:spacing w:line="140" w:lineRule="exact" w:before="17"/>
              <w:ind w:left="152" w:right="154"/>
              <w:jc w:val="center"/>
              <w:rPr>
                <w:sz w:val="14"/>
              </w:rPr>
            </w:pPr>
            <w:r>
              <w:rPr>
                <w:spacing w:val="-5"/>
                <w:sz w:val="14"/>
              </w:rPr>
              <w:t>3.7</w:t>
            </w:r>
          </w:p>
        </w:tc>
      </w:tr>
      <w:tr>
        <w:trPr>
          <w:trHeight w:val="177" w:hRule="atLeast"/>
        </w:trPr>
        <w:tc>
          <w:tcPr>
            <w:tcW w:w="5794" w:type="dxa"/>
          </w:tcPr>
          <w:p>
            <w:pPr>
              <w:pStyle w:val="TableParagraph"/>
              <w:spacing w:line="140" w:lineRule="exact" w:before="17"/>
              <w:ind w:left="107"/>
              <w:rPr>
                <w:sz w:val="14"/>
              </w:rPr>
            </w:pPr>
            <w:r>
              <w:rPr>
                <w:spacing w:val="-2"/>
                <w:sz w:val="14"/>
              </w:rPr>
              <w:t>Family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57.00</w:t>
            </w:r>
          </w:p>
        </w:tc>
        <w:tc>
          <w:tcPr>
            <w:tcW w:w="995" w:type="dxa"/>
          </w:tcPr>
          <w:p>
            <w:pPr>
              <w:pStyle w:val="TableParagraph"/>
              <w:spacing w:line="140" w:lineRule="exact" w:before="17"/>
              <w:ind w:right="101"/>
              <w:jc w:val="right"/>
              <w:rPr>
                <w:sz w:val="14"/>
              </w:rPr>
            </w:pPr>
            <w:r>
              <w:rPr>
                <w:spacing w:val="-2"/>
                <w:sz w:val="14"/>
              </w:rPr>
              <w:t>60.00</w:t>
            </w:r>
          </w:p>
        </w:tc>
        <w:tc>
          <w:tcPr>
            <w:tcW w:w="861" w:type="dxa"/>
          </w:tcPr>
          <w:p>
            <w:pPr>
              <w:pStyle w:val="TableParagraph"/>
              <w:spacing w:line="140" w:lineRule="exact" w:before="17"/>
              <w:ind w:left="152" w:right="154"/>
              <w:jc w:val="center"/>
              <w:rPr>
                <w:sz w:val="14"/>
              </w:rPr>
            </w:pPr>
            <w:r>
              <w:rPr>
                <w:spacing w:val="-5"/>
                <w:sz w:val="14"/>
              </w:rPr>
              <w:t>5.0</w:t>
            </w:r>
          </w:p>
        </w:tc>
      </w:tr>
      <w:tr>
        <w:trPr>
          <w:trHeight w:val="177" w:hRule="atLeast"/>
        </w:trPr>
        <w:tc>
          <w:tcPr>
            <w:tcW w:w="5794" w:type="dxa"/>
          </w:tcPr>
          <w:p>
            <w:pPr>
              <w:pStyle w:val="TableParagraph"/>
              <w:spacing w:line="140" w:lineRule="exact" w:before="17"/>
              <w:ind w:left="107"/>
              <w:rPr>
                <w:b/>
                <w:sz w:val="14"/>
              </w:rPr>
            </w:pPr>
            <w:r>
              <w:rPr>
                <w:b/>
                <w:sz w:val="14"/>
              </w:rPr>
              <w:t>Run</w:t>
            </w:r>
            <w:r>
              <w:rPr>
                <w:b/>
                <w:spacing w:val="-4"/>
                <w:sz w:val="14"/>
              </w:rPr>
              <w:t> </w:t>
            </w:r>
            <w:r>
              <w:rPr>
                <w:b/>
                <w:spacing w:val="-2"/>
                <w:sz w:val="14"/>
              </w:rPr>
              <w:t>Maroondah</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Entry</w:t>
            </w:r>
            <w:r>
              <w:rPr>
                <w:spacing w:val="-3"/>
                <w:sz w:val="14"/>
              </w:rPr>
              <w:t> </w:t>
            </w:r>
            <w:r>
              <w:rPr>
                <w:sz w:val="14"/>
              </w:rPr>
              <w:t>fee</w:t>
            </w:r>
            <w:r>
              <w:rPr>
                <w:spacing w:val="-2"/>
                <w:sz w:val="14"/>
              </w:rPr>
              <w:t> </w:t>
            </w:r>
            <w:r>
              <w:rPr>
                <w:sz w:val="14"/>
              </w:rPr>
              <w:t>-</w:t>
            </w:r>
            <w:r>
              <w:rPr>
                <w:spacing w:val="-5"/>
                <w:sz w:val="14"/>
              </w:rPr>
              <w:t> </w:t>
            </w:r>
            <w:r>
              <w:rPr>
                <w:sz w:val="14"/>
              </w:rPr>
              <w:t>individual</w:t>
            </w:r>
            <w:r>
              <w:rPr>
                <w:spacing w:val="-4"/>
                <w:sz w:val="14"/>
              </w:rPr>
              <w:t> </w:t>
            </w:r>
            <w:r>
              <w:rPr>
                <w:spacing w:val="-5"/>
                <w:sz w:val="14"/>
              </w:rPr>
              <w:t>5km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26.00</w:t>
            </w:r>
          </w:p>
        </w:tc>
        <w:tc>
          <w:tcPr>
            <w:tcW w:w="995" w:type="dxa"/>
          </w:tcPr>
          <w:p>
            <w:pPr>
              <w:pStyle w:val="TableParagraph"/>
              <w:spacing w:line="140" w:lineRule="exact" w:before="17"/>
              <w:ind w:right="101"/>
              <w:jc w:val="right"/>
              <w:rPr>
                <w:sz w:val="14"/>
              </w:rPr>
            </w:pPr>
            <w:r>
              <w:rPr>
                <w:spacing w:val="-2"/>
                <w:sz w:val="14"/>
              </w:rPr>
              <w:t>27.00</w:t>
            </w:r>
          </w:p>
        </w:tc>
        <w:tc>
          <w:tcPr>
            <w:tcW w:w="861" w:type="dxa"/>
          </w:tcPr>
          <w:p>
            <w:pPr>
              <w:pStyle w:val="TableParagraph"/>
              <w:spacing w:line="140" w:lineRule="exact" w:before="17"/>
              <w:ind w:left="152" w:right="154"/>
              <w:jc w:val="center"/>
              <w:rPr>
                <w:sz w:val="14"/>
              </w:rPr>
            </w:pPr>
            <w:r>
              <w:rPr>
                <w:spacing w:val="-5"/>
                <w:sz w:val="14"/>
              </w:rPr>
              <w:t>3.7</w:t>
            </w:r>
          </w:p>
        </w:tc>
      </w:tr>
      <w:tr>
        <w:trPr>
          <w:trHeight w:val="177" w:hRule="atLeast"/>
        </w:trPr>
        <w:tc>
          <w:tcPr>
            <w:tcW w:w="5794" w:type="dxa"/>
          </w:tcPr>
          <w:p>
            <w:pPr>
              <w:pStyle w:val="TableParagraph"/>
              <w:spacing w:line="140" w:lineRule="exact" w:before="17"/>
              <w:ind w:left="107"/>
              <w:rPr>
                <w:sz w:val="14"/>
              </w:rPr>
            </w:pPr>
            <w:r>
              <w:rPr>
                <w:sz w:val="14"/>
              </w:rPr>
              <w:t>Entry</w:t>
            </w:r>
            <w:r>
              <w:rPr>
                <w:spacing w:val="-3"/>
                <w:sz w:val="14"/>
              </w:rPr>
              <w:t> </w:t>
            </w:r>
            <w:r>
              <w:rPr>
                <w:sz w:val="14"/>
              </w:rPr>
              <w:t>fee</w:t>
            </w:r>
            <w:r>
              <w:rPr>
                <w:spacing w:val="-2"/>
                <w:sz w:val="14"/>
              </w:rPr>
              <w:t> </w:t>
            </w:r>
            <w:r>
              <w:rPr>
                <w:sz w:val="14"/>
              </w:rPr>
              <w:t>-</w:t>
            </w:r>
            <w:r>
              <w:rPr>
                <w:spacing w:val="-5"/>
                <w:sz w:val="14"/>
              </w:rPr>
              <w:t> </w:t>
            </w:r>
            <w:r>
              <w:rPr>
                <w:sz w:val="14"/>
              </w:rPr>
              <w:t>individual</w:t>
            </w:r>
            <w:r>
              <w:rPr>
                <w:spacing w:val="-4"/>
                <w:sz w:val="14"/>
              </w:rPr>
              <w:t> 10km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31.20</w:t>
            </w:r>
          </w:p>
        </w:tc>
        <w:tc>
          <w:tcPr>
            <w:tcW w:w="995" w:type="dxa"/>
          </w:tcPr>
          <w:p>
            <w:pPr>
              <w:pStyle w:val="TableParagraph"/>
              <w:spacing w:line="140" w:lineRule="exact" w:before="17"/>
              <w:ind w:right="101"/>
              <w:jc w:val="right"/>
              <w:rPr>
                <w:sz w:val="14"/>
              </w:rPr>
            </w:pPr>
            <w:r>
              <w:rPr>
                <w:spacing w:val="-2"/>
                <w:sz w:val="14"/>
              </w:rPr>
              <w:t>33.00</w:t>
            </w:r>
          </w:p>
        </w:tc>
        <w:tc>
          <w:tcPr>
            <w:tcW w:w="861" w:type="dxa"/>
          </w:tcPr>
          <w:p>
            <w:pPr>
              <w:pStyle w:val="TableParagraph"/>
              <w:spacing w:line="140" w:lineRule="exact" w:before="17"/>
              <w:ind w:left="152" w:right="154"/>
              <w:jc w:val="center"/>
              <w:rPr>
                <w:sz w:val="14"/>
              </w:rPr>
            </w:pPr>
            <w:r>
              <w:rPr>
                <w:spacing w:val="-5"/>
                <w:sz w:val="14"/>
              </w:rPr>
              <w:t>5.5</w:t>
            </w:r>
          </w:p>
        </w:tc>
      </w:tr>
      <w:tr>
        <w:trPr>
          <w:trHeight w:val="177" w:hRule="atLeast"/>
        </w:trPr>
        <w:tc>
          <w:tcPr>
            <w:tcW w:w="5794" w:type="dxa"/>
          </w:tcPr>
          <w:p>
            <w:pPr>
              <w:pStyle w:val="TableParagraph"/>
              <w:spacing w:line="140" w:lineRule="exact" w:before="17"/>
              <w:ind w:left="107"/>
              <w:rPr>
                <w:sz w:val="14"/>
              </w:rPr>
            </w:pPr>
            <w:r>
              <w:rPr>
                <w:sz w:val="14"/>
              </w:rPr>
              <w:t>Entry</w:t>
            </w:r>
            <w:r>
              <w:rPr>
                <w:spacing w:val="-3"/>
                <w:sz w:val="14"/>
              </w:rPr>
              <w:t> </w:t>
            </w:r>
            <w:r>
              <w:rPr>
                <w:sz w:val="14"/>
              </w:rPr>
              <w:t>fee</w:t>
            </w:r>
            <w:r>
              <w:rPr>
                <w:spacing w:val="-2"/>
                <w:sz w:val="14"/>
              </w:rPr>
              <w:t> </w:t>
            </w:r>
            <w:r>
              <w:rPr>
                <w:sz w:val="14"/>
              </w:rPr>
              <w:t>-</w:t>
            </w:r>
            <w:r>
              <w:rPr>
                <w:spacing w:val="-5"/>
                <w:sz w:val="14"/>
              </w:rPr>
              <w:t> </w:t>
            </w:r>
            <w:r>
              <w:rPr>
                <w:sz w:val="14"/>
              </w:rPr>
              <w:t>individual</w:t>
            </w:r>
            <w:r>
              <w:rPr>
                <w:spacing w:val="-4"/>
                <w:sz w:val="14"/>
              </w:rPr>
              <w:t> 15km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36.40</w:t>
            </w:r>
          </w:p>
        </w:tc>
        <w:tc>
          <w:tcPr>
            <w:tcW w:w="995" w:type="dxa"/>
          </w:tcPr>
          <w:p>
            <w:pPr>
              <w:pStyle w:val="TableParagraph"/>
              <w:spacing w:line="140" w:lineRule="exact" w:before="17"/>
              <w:ind w:right="101"/>
              <w:jc w:val="right"/>
              <w:rPr>
                <w:sz w:val="14"/>
              </w:rPr>
            </w:pPr>
            <w:r>
              <w:rPr>
                <w:spacing w:val="-2"/>
                <w:sz w:val="14"/>
              </w:rPr>
              <w:t>38.00</w:t>
            </w:r>
          </w:p>
        </w:tc>
        <w:tc>
          <w:tcPr>
            <w:tcW w:w="861" w:type="dxa"/>
          </w:tcPr>
          <w:p>
            <w:pPr>
              <w:pStyle w:val="TableParagraph"/>
              <w:spacing w:line="140" w:lineRule="exact" w:before="17"/>
              <w:ind w:left="152" w:right="154"/>
              <w:jc w:val="center"/>
              <w:rPr>
                <w:sz w:val="14"/>
              </w:rPr>
            </w:pPr>
            <w:r>
              <w:rPr>
                <w:spacing w:val="-5"/>
                <w:sz w:val="14"/>
              </w:rPr>
              <w:t>4.2</w:t>
            </w:r>
          </w:p>
        </w:tc>
      </w:tr>
      <w:tr>
        <w:trPr>
          <w:trHeight w:val="177" w:hRule="atLeast"/>
        </w:trPr>
        <w:tc>
          <w:tcPr>
            <w:tcW w:w="5794" w:type="dxa"/>
          </w:tcPr>
          <w:p>
            <w:pPr>
              <w:pStyle w:val="TableParagraph"/>
              <w:spacing w:line="142" w:lineRule="exact" w:before="15"/>
              <w:ind w:left="107"/>
              <w:rPr>
                <w:sz w:val="14"/>
              </w:rPr>
            </w:pPr>
            <w:r>
              <w:rPr>
                <w:sz w:val="14"/>
              </w:rPr>
              <w:t>Entry</w:t>
            </w:r>
            <w:r>
              <w:rPr>
                <w:spacing w:val="-3"/>
                <w:sz w:val="14"/>
              </w:rPr>
              <w:t> </w:t>
            </w:r>
            <w:r>
              <w:rPr>
                <w:sz w:val="14"/>
              </w:rPr>
              <w:t>fee</w:t>
            </w:r>
            <w:r>
              <w:rPr>
                <w:spacing w:val="-2"/>
                <w:sz w:val="14"/>
              </w:rPr>
              <w:t> </w:t>
            </w:r>
            <w:r>
              <w:rPr>
                <w:sz w:val="14"/>
              </w:rPr>
              <w:t>-</w:t>
            </w:r>
            <w:r>
              <w:rPr>
                <w:spacing w:val="-6"/>
                <w:sz w:val="14"/>
              </w:rPr>
              <w:t> </w:t>
            </w:r>
            <w:r>
              <w:rPr>
                <w:sz w:val="14"/>
              </w:rPr>
              <w:t>concession</w:t>
            </w:r>
            <w:r>
              <w:rPr>
                <w:spacing w:val="-2"/>
                <w:sz w:val="14"/>
              </w:rPr>
              <w:t> </w:t>
            </w:r>
            <w:r>
              <w:rPr>
                <w:spacing w:val="-5"/>
                <w:sz w:val="14"/>
              </w:rPr>
              <w:t>5km</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20.80</w:t>
            </w:r>
          </w:p>
        </w:tc>
        <w:tc>
          <w:tcPr>
            <w:tcW w:w="995" w:type="dxa"/>
          </w:tcPr>
          <w:p>
            <w:pPr>
              <w:pStyle w:val="TableParagraph"/>
              <w:spacing w:line="142" w:lineRule="exact" w:before="15"/>
              <w:ind w:right="101"/>
              <w:jc w:val="right"/>
              <w:rPr>
                <w:sz w:val="14"/>
              </w:rPr>
            </w:pPr>
            <w:r>
              <w:rPr>
                <w:spacing w:val="-2"/>
                <w:sz w:val="14"/>
              </w:rPr>
              <w:t>22.00</w:t>
            </w:r>
          </w:p>
        </w:tc>
        <w:tc>
          <w:tcPr>
            <w:tcW w:w="861" w:type="dxa"/>
          </w:tcPr>
          <w:p>
            <w:pPr>
              <w:pStyle w:val="TableParagraph"/>
              <w:spacing w:line="142" w:lineRule="exact" w:before="15"/>
              <w:ind w:left="152" w:right="154"/>
              <w:jc w:val="center"/>
              <w:rPr>
                <w:sz w:val="14"/>
              </w:rPr>
            </w:pPr>
            <w:r>
              <w:rPr>
                <w:spacing w:val="-5"/>
                <w:sz w:val="14"/>
              </w:rPr>
              <w:t>5.5</w:t>
            </w:r>
          </w:p>
        </w:tc>
      </w:tr>
      <w:tr>
        <w:trPr>
          <w:trHeight w:val="174" w:hRule="atLeast"/>
        </w:trPr>
        <w:tc>
          <w:tcPr>
            <w:tcW w:w="5794" w:type="dxa"/>
          </w:tcPr>
          <w:p>
            <w:pPr>
              <w:pStyle w:val="TableParagraph"/>
              <w:spacing w:line="140" w:lineRule="exact" w:before="15"/>
              <w:ind w:left="107"/>
              <w:rPr>
                <w:sz w:val="14"/>
              </w:rPr>
            </w:pPr>
            <w:r>
              <w:rPr>
                <w:sz w:val="14"/>
              </w:rPr>
              <w:t>Entry</w:t>
            </w:r>
            <w:r>
              <w:rPr>
                <w:spacing w:val="-3"/>
                <w:sz w:val="14"/>
              </w:rPr>
              <w:t> </w:t>
            </w:r>
            <w:r>
              <w:rPr>
                <w:sz w:val="14"/>
              </w:rPr>
              <w:t>fee</w:t>
            </w:r>
            <w:r>
              <w:rPr>
                <w:spacing w:val="-2"/>
                <w:sz w:val="14"/>
              </w:rPr>
              <w:t> </w:t>
            </w:r>
            <w:r>
              <w:rPr>
                <w:sz w:val="14"/>
              </w:rPr>
              <w:t>-</w:t>
            </w:r>
            <w:r>
              <w:rPr>
                <w:spacing w:val="-6"/>
                <w:sz w:val="14"/>
              </w:rPr>
              <w:t> </w:t>
            </w:r>
            <w:r>
              <w:rPr>
                <w:sz w:val="14"/>
              </w:rPr>
              <w:t>concession</w:t>
            </w:r>
            <w:r>
              <w:rPr>
                <w:spacing w:val="-1"/>
                <w:sz w:val="14"/>
              </w:rPr>
              <w:t> </w:t>
            </w:r>
            <w:r>
              <w:rPr>
                <w:spacing w:val="-4"/>
                <w:sz w:val="14"/>
              </w:rPr>
              <w:t>10km</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26.00</w:t>
            </w:r>
          </w:p>
        </w:tc>
        <w:tc>
          <w:tcPr>
            <w:tcW w:w="995" w:type="dxa"/>
          </w:tcPr>
          <w:p>
            <w:pPr>
              <w:pStyle w:val="TableParagraph"/>
              <w:spacing w:line="140" w:lineRule="exact" w:before="15"/>
              <w:ind w:right="101"/>
              <w:jc w:val="right"/>
              <w:rPr>
                <w:sz w:val="14"/>
              </w:rPr>
            </w:pPr>
            <w:r>
              <w:rPr>
                <w:spacing w:val="-2"/>
                <w:sz w:val="14"/>
              </w:rPr>
              <w:t>28.00</w:t>
            </w:r>
          </w:p>
        </w:tc>
        <w:tc>
          <w:tcPr>
            <w:tcW w:w="861" w:type="dxa"/>
          </w:tcPr>
          <w:p>
            <w:pPr>
              <w:pStyle w:val="TableParagraph"/>
              <w:spacing w:line="140" w:lineRule="exact" w:before="15"/>
              <w:ind w:left="152" w:right="154"/>
              <w:jc w:val="center"/>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Entry</w:t>
            </w:r>
            <w:r>
              <w:rPr>
                <w:spacing w:val="-3"/>
                <w:sz w:val="14"/>
              </w:rPr>
              <w:t> </w:t>
            </w:r>
            <w:r>
              <w:rPr>
                <w:sz w:val="14"/>
              </w:rPr>
              <w:t>fee</w:t>
            </w:r>
            <w:r>
              <w:rPr>
                <w:spacing w:val="-2"/>
                <w:sz w:val="14"/>
              </w:rPr>
              <w:t> </w:t>
            </w:r>
            <w:r>
              <w:rPr>
                <w:sz w:val="14"/>
              </w:rPr>
              <w:t>-</w:t>
            </w:r>
            <w:r>
              <w:rPr>
                <w:spacing w:val="-6"/>
                <w:sz w:val="14"/>
              </w:rPr>
              <w:t> </w:t>
            </w:r>
            <w:r>
              <w:rPr>
                <w:sz w:val="14"/>
              </w:rPr>
              <w:t>concession</w:t>
            </w:r>
            <w:r>
              <w:rPr>
                <w:spacing w:val="-1"/>
                <w:sz w:val="14"/>
              </w:rPr>
              <w:t> </w:t>
            </w:r>
            <w:r>
              <w:rPr>
                <w:spacing w:val="-4"/>
                <w:sz w:val="14"/>
              </w:rPr>
              <w:t>15km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31.20</w:t>
            </w:r>
          </w:p>
        </w:tc>
        <w:tc>
          <w:tcPr>
            <w:tcW w:w="995" w:type="dxa"/>
          </w:tcPr>
          <w:p>
            <w:pPr>
              <w:pStyle w:val="TableParagraph"/>
              <w:spacing w:line="140" w:lineRule="exact" w:before="17"/>
              <w:ind w:right="101"/>
              <w:jc w:val="right"/>
              <w:rPr>
                <w:sz w:val="14"/>
              </w:rPr>
            </w:pPr>
            <w:r>
              <w:rPr>
                <w:spacing w:val="-2"/>
                <w:sz w:val="14"/>
              </w:rPr>
              <w:t>33.00</w:t>
            </w:r>
          </w:p>
        </w:tc>
        <w:tc>
          <w:tcPr>
            <w:tcW w:w="861" w:type="dxa"/>
          </w:tcPr>
          <w:p>
            <w:pPr>
              <w:pStyle w:val="TableParagraph"/>
              <w:spacing w:line="140" w:lineRule="exact" w:before="17"/>
              <w:ind w:left="152" w:right="154"/>
              <w:jc w:val="center"/>
              <w:rPr>
                <w:sz w:val="14"/>
              </w:rPr>
            </w:pPr>
            <w:r>
              <w:rPr>
                <w:spacing w:val="-5"/>
                <w:sz w:val="14"/>
              </w:rPr>
              <w:t>5.5</w:t>
            </w:r>
          </w:p>
        </w:tc>
      </w:tr>
      <w:tr>
        <w:trPr>
          <w:trHeight w:val="177" w:hRule="atLeast"/>
        </w:trPr>
        <w:tc>
          <w:tcPr>
            <w:tcW w:w="5794" w:type="dxa"/>
          </w:tcPr>
          <w:p>
            <w:pPr>
              <w:pStyle w:val="TableParagraph"/>
              <w:spacing w:line="140" w:lineRule="exact" w:before="17"/>
              <w:ind w:left="107"/>
              <w:rPr>
                <w:sz w:val="14"/>
              </w:rPr>
            </w:pPr>
            <w:r>
              <w:rPr>
                <w:sz w:val="14"/>
              </w:rPr>
              <w:t>Entry</w:t>
            </w:r>
            <w:r>
              <w:rPr>
                <w:spacing w:val="-2"/>
                <w:sz w:val="14"/>
              </w:rPr>
              <w:t> </w:t>
            </w:r>
            <w:r>
              <w:rPr>
                <w:sz w:val="14"/>
              </w:rPr>
              <w:t>fee</w:t>
            </w:r>
            <w:r>
              <w:rPr>
                <w:spacing w:val="-1"/>
                <w:sz w:val="14"/>
              </w:rPr>
              <w:t> </w:t>
            </w:r>
            <w:r>
              <w:rPr>
                <w:sz w:val="14"/>
              </w:rPr>
              <w:t>-</w:t>
            </w:r>
            <w:r>
              <w:rPr>
                <w:spacing w:val="-2"/>
                <w:sz w:val="14"/>
              </w:rPr>
              <w:t> </w:t>
            </w:r>
            <w:r>
              <w:rPr>
                <w:sz w:val="14"/>
              </w:rPr>
              <w:t>family</w:t>
            </w:r>
            <w:r>
              <w:rPr>
                <w:spacing w:val="-3"/>
                <w:sz w:val="14"/>
              </w:rPr>
              <w:t> </w:t>
            </w:r>
            <w:r>
              <w:rPr>
                <w:sz w:val="14"/>
              </w:rPr>
              <w:t>5km run/walk</w:t>
            </w:r>
            <w:r>
              <w:rPr>
                <w:spacing w:val="-3"/>
                <w:sz w:val="14"/>
              </w:rPr>
              <w:t> </w:t>
            </w:r>
            <w:r>
              <w:rPr>
                <w:sz w:val="14"/>
              </w:rPr>
              <w:t>(up</w:t>
            </w:r>
            <w:r>
              <w:rPr>
                <w:spacing w:val="-5"/>
                <w:sz w:val="14"/>
              </w:rPr>
              <w:t> </w:t>
            </w:r>
            <w:r>
              <w:rPr>
                <w:sz w:val="14"/>
              </w:rPr>
              <w:t>to 4</w:t>
            </w:r>
            <w:r>
              <w:rPr>
                <w:spacing w:val="-3"/>
                <w:sz w:val="14"/>
              </w:rPr>
              <w:t> </w:t>
            </w:r>
            <w:r>
              <w:rPr>
                <w:spacing w:val="-2"/>
                <w:sz w:val="14"/>
              </w:rPr>
              <w:t>participants)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57.20</w:t>
            </w:r>
          </w:p>
        </w:tc>
        <w:tc>
          <w:tcPr>
            <w:tcW w:w="995" w:type="dxa"/>
          </w:tcPr>
          <w:p>
            <w:pPr>
              <w:pStyle w:val="TableParagraph"/>
              <w:spacing w:line="140" w:lineRule="exact" w:before="17"/>
              <w:ind w:right="101"/>
              <w:jc w:val="right"/>
              <w:rPr>
                <w:sz w:val="14"/>
              </w:rPr>
            </w:pPr>
            <w:r>
              <w:rPr>
                <w:spacing w:val="-2"/>
                <w:sz w:val="14"/>
              </w:rPr>
              <w:t>60.00</w:t>
            </w:r>
          </w:p>
        </w:tc>
        <w:tc>
          <w:tcPr>
            <w:tcW w:w="861" w:type="dxa"/>
          </w:tcPr>
          <w:p>
            <w:pPr>
              <w:pStyle w:val="TableParagraph"/>
              <w:spacing w:line="140" w:lineRule="exact" w:before="17"/>
              <w:ind w:left="152" w:right="154"/>
              <w:jc w:val="center"/>
              <w:rPr>
                <w:sz w:val="14"/>
              </w:rPr>
            </w:pPr>
            <w:r>
              <w:rPr>
                <w:spacing w:val="-5"/>
                <w:sz w:val="14"/>
              </w:rPr>
              <w:t>4.7</w:t>
            </w:r>
          </w:p>
        </w:tc>
      </w:tr>
      <w:tr>
        <w:trPr>
          <w:trHeight w:val="177" w:hRule="atLeast"/>
        </w:trPr>
        <w:tc>
          <w:tcPr>
            <w:tcW w:w="5794" w:type="dxa"/>
          </w:tcPr>
          <w:p>
            <w:pPr>
              <w:pStyle w:val="TableParagraph"/>
              <w:spacing w:line="140" w:lineRule="exact" w:before="17"/>
              <w:ind w:left="107"/>
              <w:rPr>
                <w:sz w:val="14"/>
              </w:rPr>
            </w:pPr>
            <w:r>
              <w:rPr>
                <w:sz w:val="14"/>
              </w:rPr>
              <w:t>Entry</w:t>
            </w:r>
            <w:r>
              <w:rPr>
                <w:spacing w:val="-3"/>
                <w:sz w:val="14"/>
              </w:rPr>
              <w:t> </w:t>
            </w:r>
            <w:r>
              <w:rPr>
                <w:sz w:val="14"/>
              </w:rPr>
              <w:t>fee</w:t>
            </w:r>
            <w:r>
              <w:rPr>
                <w:spacing w:val="-2"/>
                <w:sz w:val="14"/>
              </w:rPr>
              <w:t> </w:t>
            </w:r>
            <w:r>
              <w:rPr>
                <w:sz w:val="14"/>
              </w:rPr>
              <w:t>-</w:t>
            </w:r>
            <w:r>
              <w:rPr>
                <w:spacing w:val="-3"/>
                <w:sz w:val="14"/>
              </w:rPr>
              <w:t> </w:t>
            </w:r>
            <w:r>
              <w:rPr>
                <w:sz w:val="14"/>
              </w:rPr>
              <w:t>family</w:t>
            </w:r>
            <w:r>
              <w:rPr>
                <w:spacing w:val="-4"/>
                <w:sz w:val="14"/>
              </w:rPr>
              <w:t> </w:t>
            </w:r>
            <w:r>
              <w:rPr>
                <w:sz w:val="14"/>
              </w:rPr>
              <w:t>additional</w:t>
            </w:r>
            <w:r>
              <w:rPr>
                <w:spacing w:val="-4"/>
                <w:sz w:val="14"/>
              </w:rPr>
              <w:t> </w:t>
            </w:r>
            <w:r>
              <w:rPr>
                <w:sz w:val="14"/>
              </w:rPr>
              <w:t>family</w:t>
            </w:r>
            <w:r>
              <w:rPr>
                <w:spacing w:val="-3"/>
                <w:sz w:val="14"/>
              </w:rPr>
              <w:t> </w:t>
            </w:r>
            <w:r>
              <w:rPr>
                <w:sz w:val="14"/>
              </w:rPr>
              <w:t>entry</w:t>
            </w:r>
            <w:r>
              <w:rPr>
                <w:spacing w:val="-2"/>
                <w:sz w:val="14"/>
              </w:rPr>
              <w:t> </w:t>
            </w:r>
            <w:r>
              <w:rPr>
                <w:sz w:val="14"/>
              </w:rPr>
              <w:t>per</w:t>
            </w:r>
            <w:r>
              <w:rPr>
                <w:spacing w:val="-6"/>
                <w:sz w:val="14"/>
              </w:rPr>
              <w:t> </w:t>
            </w:r>
            <w:r>
              <w:rPr>
                <w:spacing w:val="-2"/>
                <w:sz w:val="14"/>
              </w:rPr>
              <w:t>person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5.00</w:t>
            </w:r>
          </w:p>
        </w:tc>
        <w:tc>
          <w:tcPr>
            <w:tcW w:w="995" w:type="dxa"/>
          </w:tcPr>
          <w:p>
            <w:pPr>
              <w:pStyle w:val="TableParagraph"/>
              <w:spacing w:line="140" w:lineRule="exact" w:before="17"/>
              <w:ind w:right="101"/>
              <w:jc w:val="right"/>
              <w:rPr>
                <w:sz w:val="14"/>
              </w:rPr>
            </w:pPr>
            <w:r>
              <w:rPr>
                <w:spacing w:val="-4"/>
                <w:sz w:val="14"/>
              </w:rPr>
              <w:t>5.50</w:t>
            </w:r>
          </w:p>
        </w:tc>
        <w:tc>
          <w:tcPr>
            <w:tcW w:w="861" w:type="dxa"/>
          </w:tcPr>
          <w:p>
            <w:pPr>
              <w:pStyle w:val="TableParagraph"/>
              <w:spacing w:line="140" w:lineRule="exact" w:before="17"/>
              <w:ind w:left="152" w:right="154"/>
              <w:jc w:val="center"/>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Entry</w:t>
            </w:r>
            <w:r>
              <w:rPr>
                <w:spacing w:val="-2"/>
                <w:sz w:val="14"/>
              </w:rPr>
              <w:t> </w:t>
            </w:r>
            <w:r>
              <w:rPr>
                <w:sz w:val="14"/>
              </w:rPr>
              <w:t>fee</w:t>
            </w:r>
            <w:r>
              <w:rPr>
                <w:spacing w:val="-2"/>
                <w:sz w:val="14"/>
              </w:rPr>
              <w:t> </w:t>
            </w:r>
            <w:r>
              <w:rPr>
                <w:sz w:val="14"/>
              </w:rPr>
              <w:t>-</w:t>
            </w:r>
            <w:r>
              <w:rPr>
                <w:spacing w:val="-5"/>
                <w:sz w:val="14"/>
              </w:rPr>
              <w:t> </w:t>
            </w:r>
            <w:r>
              <w:rPr>
                <w:sz w:val="14"/>
              </w:rPr>
              <w:t>kids</w:t>
            </w:r>
            <w:r>
              <w:rPr>
                <w:spacing w:val="-1"/>
                <w:sz w:val="14"/>
              </w:rPr>
              <w:t> </w:t>
            </w:r>
            <w:r>
              <w:rPr>
                <w:sz w:val="14"/>
              </w:rPr>
              <w:t>1.2km</w:t>
            </w:r>
            <w:r>
              <w:rPr>
                <w:spacing w:val="-2"/>
                <w:sz w:val="14"/>
              </w:rPr>
              <w:t> </w:t>
            </w:r>
            <w:r>
              <w:rPr>
                <w:sz w:val="14"/>
              </w:rPr>
              <w:t>dash</w:t>
            </w:r>
            <w:r>
              <w:rPr>
                <w:spacing w:val="-5"/>
                <w:sz w:val="14"/>
              </w:rPr>
              <w:t> </w:t>
            </w:r>
            <w:r>
              <w:rPr>
                <w:sz w:val="14"/>
              </w:rPr>
              <w:t>(under</w:t>
            </w:r>
            <w:r>
              <w:rPr>
                <w:spacing w:val="-4"/>
                <w:sz w:val="14"/>
              </w:rPr>
              <w:t> </w:t>
            </w:r>
            <w:r>
              <w:rPr>
                <w:sz w:val="14"/>
              </w:rPr>
              <w:t>14</w:t>
            </w:r>
            <w:r>
              <w:rPr>
                <w:spacing w:val="-5"/>
                <w:sz w:val="14"/>
              </w:rPr>
              <w:t> </w:t>
            </w:r>
            <w:r>
              <w:rPr>
                <w:spacing w:val="-2"/>
                <w:sz w:val="14"/>
              </w:rPr>
              <w:t>years)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15.60</w:t>
            </w:r>
          </w:p>
        </w:tc>
        <w:tc>
          <w:tcPr>
            <w:tcW w:w="995" w:type="dxa"/>
          </w:tcPr>
          <w:p>
            <w:pPr>
              <w:pStyle w:val="TableParagraph"/>
              <w:spacing w:line="140" w:lineRule="exact" w:before="17"/>
              <w:ind w:right="101"/>
              <w:jc w:val="right"/>
              <w:rPr>
                <w:sz w:val="14"/>
              </w:rPr>
            </w:pPr>
            <w:r>
              <w:rPr>
                <w:spacing w:val="-2"/>
                <w:sz w:val="14"/>
              </w:rPr>
              <w:t>16.50</w:t>
            </w:r>
          </w:p>
        </w:tc>
        <w:tc>
          <w:tcPr>
            <w:tcW w:w="861" w:type="dxa"/>
          </w:tcPr>
          <w:p>
            <w:pPr>
              <w:pStyle w:val="TableParagraph"/>
              <w:spacing w:line="140" w:lineRule="exact" w:before="17"/>
              <w:ind w:left="152" w:right="154"/>
              <w:jc w:val="center"/>
              <w:rPr>
                <w:sz w:val="14"/>
              </w:rPr>
            </w:pPr>
            <w:r>
              <w:rPr>
                <w:spacing w:val="-5"/>
                <w:sz w:val="14"/>
              </w:rPr>
              <w:t>5.5</w:t>
            </w:r>
          </w:p>
        </w:tc>
      </w:tr>
      <w:tr>
        <w:trPr>
          <w:trHeight w:val="177" w:hRule="atLeast"/>
        </w:trPr>
        <w:tc>
          <w:tcPr>
            <w:tcW w:w="5794" w:type="dxa"/>
          </w:tcPr>
          <w:p>
            <w:pPr>
              <w:pStyle w:val="TableParagraph"/>
              <w:spacing w:line="140" w:lineRule="exact" w:before="17"/>
              <w:ind w:left="107"/>
              <w:rPr>
                <w:b/>
                <w:sz w:val="14"/>
              </w:rPr>
            </w:pPr>
            <w:r>
              <w:rPr>
                <w:b/>
                <w:sz w:val="14"/>
              </w:rPr>
              <w:t>Tri</w:t>
            </w:r>
            <w:r>
              <w:rPr>
                <w:b/>
                <w:spacing w:val="-2"/>
                <w:sz w:val="14"/>
              </w:rPr>
              <w:t> Maroondah</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Participation</w:t>
            </w:r>
            <w:r>
              <w:rPr>
                <w:spacing w:val="-5"/>
                <w:sz w:val="14"/>
              </w:rPr>
              <w:t> </w:t>
            </w:r>
            <w:r>
              <w:rPr>
                <w:sz w:val="14"/>
              </w:rPr>
              <w:t>fee</w:t>
            </w:r>
            <w:r>
              <w:rPr>
                <w:spacing w:val="-3"/>
                <w:sz w:val="14"/>
              </w:rPr>
              <w:t> </w:t>
            </w:r>
            <w:r>
              <w:rPr>
                <w:sz w:val="14"/>
              </w:rPr>
              <w:t>-</w:t>
            </w:r>
            <w:r>
              <w:rPr>
                <w:spacing w:val="-5"/>
                <w:sz w:val="14"/>
              </w:rPr>
              <w:t> </w:t>
            </w:r>
            <w:r>
              <w:rPr>
                <w:spacing w:val="-2"/>
                <w:sz w:val="14"/>
              </w:rPr>
              <w:t>varies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1"/>
              <w:jc w:val="right"/>
              <w:rPr>
                <w:sz w:val="14"/>
              </w:rPr>
            </w:pPr>
            <w:r>
              <w:rPr>
                <w:spacing w:val="-2"/>
                <w:sz w:val="14"/>
              </w:rPr>
              <w:t>Varies</w:t>
            </w:r>
          </w:p>
        </w:tc>
        <w:tc>
          <w:tcPr>
            <w:tcW w:w="995" w:type="dxa"/>
          </w:tcPr>
          <w:p>
            <w:pPr>
              <w:pStyle w:val="TableParagraph"/>
              <w:spacing w:line="140" w:lineRule="exact" w:before="17"/>
              <w:ind w:right="102"/>
              <w:jc w:val="right"/>
              <w:rPr>
                <w:sz w:val="14"/>
              </w:rPr>
            </w:pPr>
            <w:r>
              <w:rPr>
                <w:spacing w:val="-2"/>
                <w:sz w:val="14"/>
              </w:rPr>
              <w:t>Varies</w:t>
            </w: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7"/>
                <w:sz w:val="14"/>
              </w:rPr>
              <w:t> </w:t>
            </w:r>
            <w:r>
              <w:rPr>
                <w:b/>
                <w:spacing w:val="-2"/>
                <w:sz w:val="14"/>
              </w:rPr>
              <w:t>Festival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Craft</w:t>
            </w:r>
            <w:r>
              <w:rPr>
                <w:spacing w:val="-4"/>
                <w:sz w:val="14"/>
              </w:rPr>
              <w:t> </w:t>
            </w:r>
            <w:r>
              <w:rPr>
                <w:sz w:val="14"/>
              </w:rPr>
              <w:t>Market</w:t>
            </w:r>
            <w:r>
              <w:rPr>
                <w:spacing w:val="-4"/>
                <w:sz w:val="14"/>
              </w:rPr>
              <w:t> </w:t>
            </w:r>
            <w:r>
              <w:rPr>
                <w:spacing w:val="-5"/>
                <w:sz w:val="14"/>
              </w:rPr>
              <w:t>3x3</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130.00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Craft</w:t>
            </w:r>
            <w:r>
              <w:rPr>
                <w:spacing w:val="-4"/>
                <w:sz w:val="14"/>
              </w:rPr>
              <w:t> </w:t>
            </w:r>
            <w:r>
              <w:rPr>
                <w:sz w:val="14"/>
              </w:rPr>
              <w:t>Market</w:t>
            </w:r>
            <w:r>
              <w:rPr>
                <w:spacing w:val="-4"/>
                <w:sz w:val="14"/>
              </w:rPr>
              <w:t> </w:t>
            </w:r>
            <w:r>
              <w:rPr>
                <w:spacing w:val="-5"/>
                <w:sz w:val="14"/>
              </w:rPr>
              <w:t>6x3</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260.00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5"/>
                <w:sz w:val="14"/>
              </w:rPr>
              <w:t> </w:t>
            </w:r>
            <w:r>
              <w:rPr>
                <w:sz w:val="14"/>
              </w:rPr>
              <w:t>Business</w:t>
            </w:r>
            <w:r>
              <w:rPr>
                <w:spacing w:val="-5"/>
                <w:sz w:val="14"/>
              </w:rPr>
              <w:t> </w:t>
            </w:r>
            <w:r>
              <w:rPr>
                <w:sz w:val="14"/>
              </w:rPr>
              <w:t>Site</w:t>
            </w:r>
            <w:r>
              <w:rPr>
                <w:spacing w:val="-6"/>
                <w:sz w:val="14"/>
              </w:rPr>
              <w:t> </w:t>
            </w:r>
            <w:r>
              <w:rPr>
                <w:spacing w:val="-5"/>
                <w:sz w:val="14"/>
              </w:rPr>
              <w:t>3x3</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450.00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2" w:lineRule="exact" w:before="15"/>
              <w:ind w:left="107"/>
              <w:rPr>
                <w:sz w:val="14"/>
              </w:rPr>
            </w:pPr>
            <w:r>
              <w:rPr>
                <w:sz w:val="14"/>
              </w:rPr>
              <w:t>Commercial</w:t>
            </w:r>
            <w:r>
              <w:rPr>
                <w:spacing w:val="-5"/>
                <w:sz w:val="14"/>
              </w:rPr>
              <w:t> </w:t>
            </w:r>
            <w:r>
              <w:rPr>
                <w:sz w:val="14"/>
              </w:rPr>
              <w:t>Business</w:t>
            </w:r>
            <w:r>
              <w:rPr>
                <w:spacing w:val="-5"/>
                <w:sz w:val="14"/>
              </w:rPr>
              <w:t> </w:t>
            </w:r>
            <w:r>
              <w:rPr>
                <w:sz w:val="14"/>
              </w:rPr>
              <w:t>Site</w:t>
            </w:r>
            <w:r>
              <w:rPr>
                <w:spacing w:val="-6"/>
                <w:sz w:val="14"/>
              </w:rPr>
              <w:t> </w:t>
            </w:r>
            <w:r>
              <w:rPr>
                <w:spacing w:val="-5"/>
                <w:sz w:val="14"/>
              </w:rPr>
              <w:t>6x3</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4"/>
                <w:sz w:val="14"/>
              </w:rPr>
              <w:t>0.00</w:t>
            </w:r>
          </w:p>
        </w:tc>
        <w:tc>
          <w:tcPr>
            <w:tcW w:w="995" w:type="dxa"/>
          </w:tcPr>
          <w:p>
            <w:pPr>
              <w:pStyle w:val="TableParagraph"/>
              <w:spacing w:line="142" w:lineRule="exact" w:before="15"/>
              <w:ind w:right="102"/>
              <w:jc w:val="right"/>
              <w:rPr>
                <w:sz w:val="14"/>
              </w:rPr>
            </w:pPr>
            <w:r>
              <w:rPr>
                <w:spacing w:val="-2"/>
                <w:sz w:val="14"/>
              </w:rPr>
              <w:t>900.00</w:t>
            </w:r>
          </w:p>
        </w:tc>
        <w:tc>
          <w:tcPr>
            <w:tcW w:w="861" w:type="dxa"/>
          </w:tcPr>
          <w:p>
            <w:pPr>
              <w:pStyle w:val="TableParagraph"/>
              <w:spacing w:line="142" w:lineRule="exact" w:before="15"/>
              <w:ind w:left="152" w:right="154"/>
              <w:jc w:val="center"/>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Commercial</w:t>
            </w:r>
            <w:r>
              <w:rPr>
                <w:spacing w:val="-5"/>
                <w:sz w:val="14"/>
              </w:rPr>
              <w:t> </w:t>
            </w:r>
            <w:r>
              <w:rPr>
                <w:sz w:val="14"/>
              </w:rPr>
              <w:t>Food</w:t>
            </w:r>
            <w:r>
              <w:rPr>
                <w:spacing w:val="-6"/>
                <w:sz w:val="14"/>
              </w:rPr>
              <w:t> </w:t>
            </w:r>
            <w:r>
              <w:rPr>
                <w:spacing w:val="-2"/>
                <w:sz w:val="14"/>
              </w:rPr>
              <w:t>Vendor</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4"/>
                <w:sz w:val="14"/>
              </w:rPr>
              <w:t>0.00</w:t>
            </w:r>
          </w:p>
        </w:tc>
        <w:tc>
          <w:tcPr>
            <w:tcW w:w="995" w:type="dxa"/>
          </w:tcPr>
          <w:p>
            <w:pPr>
              <w:pStyle w:val="TableParagraph"/>
              <w:spacing w:line="140" w:lineRule="exact" w:before="15"/>
              <w:ind w:right="102"/>
              <w:jc w:val="right"/>
              <w:rPr>
                <w:sz w:val="14"/>
              </w:rPr>
            </w:pPr>
            <w:r>
              <w:rPr>
                <w:spacing w:val="-2"/>
                <w:sz w:val="14"/>
              </w:rPr>
              <w:t>400.00</w:t>
            </w:r>
          </w:p>
        </w:tc>
        <w:tc>
          <w:tcPr>
            <w:tcW w:w="861" w:type="dxa"/>
          </w:tcPr>
          <w:p>
            <w:pPr>
              <w:pStyle w:val="TableParagraph"/>
              <w:spacing w:line="140" w:lineRule="exact" w:before="15"/>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Community</w:t>
            </w:r>
            <w:r>
              <w:rPr>
                <w:spacing w:val="-4"/>
                <w:sz w:val="14"/>
              </w:rPr>
              <w:t> </w:t>
            </w:r>
            <w:r>
              <w:rPr>
                <w:sz w:val="14"/>
              </w:rPr>
              <w:t>Static</w:t>
            </w:r>
            <w:r>
              <w:rPr>
                <w:spacing w:val="-5"/>
                <w:sz w:val="14"/>
              </w:rPr>
              <w:t> </w:t>
            </w:r>
            <w:r>
              <w:rPr>
                <w:sz w:val="14"/>
              </w:rPr>
              <w:t>Site</w:t>
            </w:r>
            <w:r>
              <w:rPr>
                <w:spacing w:val="-4"/>
                <w:sz w:val="14"/>
              </w:rPr>
              <w:t> </w:t>
            </w:r>
            <w:r>
              <w:rPr>
                <w:sz w:val="14"/>
              </w:rPr>
              <w:t>(BYO</w:t>
            </w:r>
            <w:r>
              <w:rPr>
                <w:spacing w:val="-4"/>
                <w:sz w:val="14"/>
              </w:rPr>
              <w:t> </w:t>
            </w:r>
            <w:r>
              <w:rPr>
                <w:spacing w:val="-2"/>
                <w:sz w:val="14"/>
              </w:rPr>
              <w:t>Marque)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50.00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Community</w:t>
            </w:r>
            <w:r>
              <w:rPr>
                <w:spacing w:val="-5"/>
                <w:sz w:val="14"/>
              </w:rPr>
              <w:t> </w:t>
            </w:r>
            <w:r>
              <w:rPr>
                <w:sz w:val="14"/>
              </w:rPr>
              <w:t>Food</w:t>
            </w:r>
            <w:r>
              <w:rPr>
                <w:spacing w:val="-8"/>
                <w:sz w:val="14"/>
              </w:rPr>
              <w:t> </w:t>
            </w:r>
            <w:r>
              <w:rPr>
                <w:spacing w:val="-4"/>
                <w:sz w:val="14"/>
              </w:rPr>
              <w:t>Site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150.00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Community</w:t>
            </w:r>
            <w:r>
              <w:rPr>
                <w:spacing w:val="-7"/>
                <w:sz w:val="14"/>
              </w:rPr>
              <w:t> </w:t>
            </w:r>
            <w:r>
              <w:rPr>
                <w:spacing w:val="-2"/>
                <w:sz w:val="14"/>
              </w:rPr>
              <w:t>Marque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Fun</w:t>
            </w:r>
            <w:r>
              <w:rPr>
                <w:spacing w:val="-5"/>
                <w:sz w:val="14"/>
              </w:rPr>
              <w:t> </w:t>
            </w:r>
            <w:r>
              <w:rPr>
                <w:sz w:val="14"/>
              </w:rPr>
              <w:t>&amp;</w:t>
            </w:r>
            <w:r>
              <w:rPr>
                <w:spacing w:val="-3"/>
                <w:sz w:val="14"/>
              </w:rPr>
              <w:t> </w:t>
            </w:r>
            <w:r>
              <w:rPr>
                <w:sz w:val="14"/>
              </w:rPr>
              <w:t>Fitness</w:t>
            </w:r>
            <w:r>
              <w:rPr>
                <w:spacing w:val="-4"/>
                <w:sz w:val="14"/>
              </w:rPr>
              <w:t> Site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152" w:right="154"/>
              <w:jc w:val="center"/>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Quambee</w:t>
            </w:r>
            <w:r>
              <w:rPr>
                <w:b/>
                <w:spacing w:val="-9"/>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59"/>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10" w:right="106"/>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09" w:right="104"/>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4"/>
              </w:rPr>
            </w:pPr>
          </w:p>
        </w:tc>
      </w:tr>
      <w:tr>
        <w:trPr>
          <w:trHeight w:val="254" w:hRule="atLeast"/>
        </w:trPr>
        <w:tc>
          <w:tcPr>
            <w:tcW w:w="5794" w:type="dxa"/>
          </w:tcPr>
          <w:p>
            <w:pPr>
              <w:pStyle w:val="TableParagraph"/>
              <w:spacing w:line="140" w:lineRule="exact" w:before="94"/>
              <w:ind w:left="107"/>
              <w:rPr>
                <w:b/>
                <w:sz w:val="14"/>
              </w:rPr>
            </w:pPr>
            <w:r>
              <w:rPr>
                <w:b/>
                <w:sz w:val="14"/>
              </w:rPr>
              <w:t>North</w:t>
            </w:r>
            <w:r>
              <w:rPr>
                <w:b/>
                <w:spacing w:val="-6"/>
                <w:sz w:val="14"/>
              </w:rPr>
              <w:t> </w:t>
            </w:r>
            <w:r>
              <w:rPr>
                <w:b/>
                <w:sz w:val="14"/>
              </w:rPr>
              <w:t>Ringwood</w:t>
            </w:r>
            <w:r>
              <w:rPr>
                <w:b/>
                <w:spacing w:val="-5"/>
                <w:sz w:val="14"/>
              </w:rPr>
              <w:t> </w:t>
            </w:r>
            <w:r>
              <w:rPr>
                <w:b/>
                <w:spacing w:val="-2"/>
                <w:sz w:val="14"/>
              </w:rPr>
              <w:t>Reserve</w:t>
            </w:r>
          </w:p>
        </w:tc>
        <w:tc>
          <w:tcPr>
            <w:tcW w:w="1131" w:type="dxa"/>
          </w:tcPr>
          <w:p>
            <w:pPr>
              <w:pStyle w:val="TableParagraph"/>
              <w:rPr>
                <w:rFonts w:ascii="Times New Roman"/>
                <w:sz w:val="14"/>
              </w:rPr>
            </w:pPr>
          </w:p>
        </w:tc>
        <w:tc>
          <w:tcPr>
            <w:tcW w:w="567" w:type="dxa"/>
          </w:tcPr>
          <w:p>
            <w:pPr>
              <w:pStyle w:val="TableParagraph"/>
              <w:rPr>
                <w:rFonts w:ascii="Times New Roman"/>
                <w:sz w:val="14"/>
              </w:rPr>
            </w:pPr>
          </w:p>
        </w:tc>
        <w:tc>
          <w:tcPr>
            <w:tcW w:w="997" w:type="dxa"/>
          </w:tcPr>
          <w:p>
            <w:pPr>
              <w:pStyle w:val="TableParagraph"/>
              <w:rPr>
                <w:rFonts w:ascii="Times New Roman"/>
                <w:sz w:val="14"/>
              </w:rPr>
            </w:pPr>
          </w:p>
        </w:tc>
        <w:tc>
          <w:tcPr>
            <w:tcW w:w="995" w:type="dxa"/>
          </w:tcPr>
          <w:p>
            <w:pPr>
              <w:pStyle w:val="TableParagraph"/>
              <w:rPr>
                <w:rFonts w:ascii="Times New Roman"/>
                <w:sz w:val="14"/>
              </w:rPr>
            </w:pPr>
          </w:p>
        </w:tc>
        <w:tc>
          <w:tcPr>
            <w:tcW w:w="861" w:type="dxa"/>
          </w:tcPr>
          <w:p>
            <w:pPr>
              <w:pStyle w:val="TableParagraph"/>
              <w:rPr>
                <w:rFonts w:ascii="Times New Roman"/>
                <w:sz w:val="14"/>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59"/>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10" w:right="107"/>
              <w:jc w:val="center"/>
              <w:rPr>
                <w:sz w:val="14"/>
              </w:rPr>
            </w:pP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06" w:right="107"/>
              <w:jc w:val="center"/>
              <w:rPr>
                <w:sz w:val="14"/>
              </w:rPr>
            </w:pPr>
            <w:r>
              <w:rPr>
                <w:spacing w:val="-2"/>
                <w:sz w:val="14"/>
              </w:rPr>
              <w:t>Website</w:t>
            </w:r>
          </w:p>
        </w:tc>
        <w:tc>
          <w:tcPr>
            <w:tcW w:w="861" w:type="dxa"/>
          </w:tcPr>
          <w:p>
            <w:pPr>
              <w:pStyle w:val="TableParagraph"/>
              <w:rPr>
                <w:rFonts w:ascii="Times New Roman"/>
                <w:sz w:val="14"/>
              </w:rPr>
            </w:pPr>
          </w:p>
        </w:tc>
      </w:tr>
      <w:tr>
        <w:trPr>
          <w:trHeight w:val="241" w:hRule="atLeast"/>
        </w:trPr>
        <w:tc>
          <w:tcPr>
            <w:tcW w:w="5794" w:type="dxa"/>
          </w:tcPr>
          <w:p>
            <w:pPr>
              <w:pStyle w:val="TableParagraph"/>
              <w:spacing w:line="140" w:lineRule="exact" w:before="82"/>
              <w:ind w:left="107"/>
              <w:rPr>
                <w:b/>
                <w:sz w:val="14"/>
              </w:rPr>
            </w:pPr>
            <w:r>
              <w:rPr>
                <w:b/>
                <w:sz w:val="14"/>
              </w:rPr>
              <w:t>Jubilee</w:t>
            </w:r>
            <w:r>
              <w:rPr>
                <w:b/>
                <w:spacing w:val="-5"/>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4"/>
              </w:rPr>
            </w:pPr>
          </w:p>
        </w:tc>
        <w:tc>
          <w:tcPr>
            <w:tcW w:w="567" w:type="dxa"/>
          </w:tcPr>
          <w:p>
            <w:pPr>
              <w:pStyle w:val="TableParagraph"/>
              <w:rPr>
                <w:rFonts w:ascii="Times New Roman"/>
                <w:sz w:val="14"/>
              </w:rPr>
            </w:pPr>
          </w:p>
        </w:tc>
        <w:tc>
          <w:tcPr>
            <w:tcW w:w="997" w:type="dxa"/>
          </w:tcPr>
          <w:p>
            <w:pPr>
              <w:pStyle w:val="TableParagraph"/>
              <w:rPr>
                <w:rFonts w:ascii="Times New Roman"/>
                <w:sz w:val="14"/>
              </w:rPr>
            </w:pPr>
          </w:p>
        </w:tc>
        <w:tc>
          <w:tcPr>
            <w:tcW w:w="995" w:type="dxa"/>
          </w:tcPr>
          <w:p>
            <w:pPr>
              <w:pStyle w:val="TableParagraph"/>
              <w:rPr>
                <w:rFonts w:ascii="Times New Roman"/>
                <w:sz w:val="14"/>
              </w:rPr>
            </w:pPr>
          </w:p>
        </w:tc>
        <w:tc>
          <w:tcPr>
            <w:tcW w:w="861" w:type="dxa"/>
          </w:tcPr>
          <w:p>
            <w:pPr>
              <w:pStyle w:val="TableParagraph"/>
              <w:rPr>
                <w:rFonts w:ascii="Times New Roman"/>
                <w:sz w:val="14"/>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159"/>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4"/>
              </w:rPr>
            </w:pPr>
          </w:p>
        </w:tc>
      </w:tr>
    </w:tbl>
    <w:p>
      <w:pPr>
        <w:spacing w:after="0"/>
        <w:rPr>
          <w:rFonts w:ascii="Times New Roman"/>
          <w:sz w:val="14"/>
        </w:rPr>
        <w:sectPr>
          <w:type w:val="continuous"/>
          <w:pgSz w:w="11910" w:h="16840"/>
          <w:pgMar w:header="0" w:footer="687" w:top="920" w:bottom="1160"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b/>
                <w:sz w:val="14"/>
              </w:rPr>
            </w:pPr>
            <w:r>
              <w:rPr>
                <w:b/>
                <w:sz w:val="14"/>
              </w:rPr>
              <w:t>Proclamation</w:t>
            </w:r>
            <w:r>
              <w:rPr>
                <w:b/>
                <w:spacing w:val="-7"/>
                <w:sz w:val="14"/>
              </w:rPr>
              <w:t> </w:t>
            </w:r>
            <w:r>
              <w:rPr>
                <w:b/>
                <w:sz w:val="14"/>
              </w:rPr>
              <w:t>Park</w:t>
            </w:r>
            <w:r>
              <w:rPr>
                <w:b/>
                <w:spacing w:val="-4"/>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Heathmont</w:t>
            </w:r>
            <w:r>
              <w:rPr>
                <w:b/>
                <w:spacing w:val="-10"/>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Manson</w:t>
            </w:r>
            <w:r>
              <w:rPr>
                <w:b/>
                <w:spacing w:val="-6"/>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145" w:right="144"/>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4" w:hRule="atLeast"/>
        </w:trPr>
        <w:tc>
          <w:tcPr>
            <w:tcW w:w="5794" w:type="dxa"/>
          </w:tcPr>
          <w:p>
            <w:pPr>
              <w:pStyle w:val="TableParagraph"/>
              <w:spacing w:line="140" w:lineRule="exact" w:before="15"/>
              <w:ind w:left="107"/>
              <w:rPr>
                <w:b/>
                <w:sz w:val="14"/>
              </w:rPr>
            </w:pPr>
            <w:r>
              <w:rPr>
                <w:b/>
                <w:sz w:val="14"/>
              </w:rPr>
              <w:t>HE</w:t>
            </w:r>
            <w:r>
              <w:rPr>
                <w:b/>
                <w:spacing w:val="-5"/>
                <w:sz w:val="14"/>
              </w:rPr>
              <w:t> </w:t>
            </w:r>
            <w:r>
              <w:rPr>
                <w:b/>
                <w:sz w:val="14"/>
              </w:rPr>
              <w:t>Parker</w:t>
            </w:r>
            <w:r>
              <w:rPr>
                <w:b/>
                <w:spacing w:val="-4"/>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14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p>
            <w:pPr>
              <w:pStyle w:val="TableParagraph"/>
              <w:rPr>
                <w:sz w:val="16"/>
              </w:rPr>
            </w:pPr>
          </w:p>
          <w:p>
            <w:pPr>
              <w:pStyle w:val="TableParagraph"/>
              <w:spacing w:before="6"/>
              <w:rPr>
                <w:sz w:val="20"/>
              </w:rPr>
            </w:pPr>
          </w:p>
          <w:p>
            <w:pPr>
              <w:pStyle w:val="TableParagraph"/>
              <w:spacing w:line="140" w:lineRule="exact"/>
              <w:ind w:left="107"/>
              <w:rPr>
                <w:b/>
                <w:sz w:val="14"/>
              </w:rPr>
            </w:pPr>
            <w:r>
              <w:rPr>
                <w:b/>
                <w:sz w:val="14"/>
              </w:rPr>
              <w:t>East</w:t>
            </w:r>
            <w:r>
              <w:rPr>
                <w:b/>
                <w:spacing w:val="-4"/>
                <w:sz w:val="14"/>
              </w:rPr>
              <w:t> </w:t>
            </w:r>
            <w:r>
              <w:rPr>
                <w:b/>
                <w:sz w:val="14"/>
              </w:rPr>
              <w:t>Ringwood</w:t>
            </w:r>
            <w:r>
              <w:rPr>
                <w:b/>
                <w:spacing w:val="-4"/>
                <w:sz w:val="14"/>
              </w:rPr>
              <w:t> </w:t>
            </w:r>
            <w:r>
              <w:rPr>
                <w:b/>
                <w:spacing w:val="-2"/>
                <w:sz w:val="14"/>
              </w:rPr>
              <w:t>Reserve</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before="1"/>
              <w:ind w:left="145" w:right="143"/>
              <w:jc w:val="center"/>
              <w:rPr>
                <w:sz w:val="14"/>
              </w:rPr>
            </w:pPr>
            <w:r>
              <w:rPr>
                <w:spacing w:val="-5"/>
                <w:sz w:val="14"/>
              </w:rPr>
              <w:t>Yes</w:t>
            </w:r>
          </w:p>
        </w:tc>
        <w:tc>
          <w:tcPr>
            <w:tcW w:w="997" w:type="dxa"/>
          </w:tcPr>
          <w:p>
            <w:pPr>
              <w:pStyle w:val="TableParagraph"/>
              <w:spacing w:before="3"/>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before="3"/>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96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Mullum</w:t>
            </w:r>
            <w:r>
              <w:rPr>
                <w:b/>
                <w:spacing w:val="-8"/>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14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before="1"/>
              <w:ind w:left="145" w:right="143"/>
              <w:jc w:val="center"/>
              <w:rPr>
                <w:sz w:val="14"/>
              </w:rPr>
            </w:pPr>
            <w:r>
              <w:rPr>
                <w:spacing w:val="-5"/>
                <w:sz w:val="14"/>
              </w:rPr>
              <w:t>Yes</w:t>
            </w:r>
          </w:p>
        </w:tc>
        <w:tc>
          <w:tcPr>
            <w:tcW w:w="997" w:type="dxa"/>
          </w:tcPr>
          <w:p>
            <w:pPr>
              <w:pStyle w:val="TableParagraph"/>
              <w:spacing w:before="3"/>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before="3"/>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Belmont</w:t>
            </w:r>
            <w:r>
              <w:rPr>
                <w:b/>
                <w:spacing w:val="-6"/>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Arrabri</w:t>
            </w:r>
            <w:r>
              <w:rPr>
                <w:b/>
                <w:spacing w:val="-6"/>
                <w:sz w:val="14"/>
              </w:rPr>
              <w:t> </w:t>
            </w:r>
            <w:r>
              <w:rPr>
                <w:b/>
                <w:sz w:val="14"/>
              </w:rPr>
              <w:t>Oval</w:t>
            </w:r>
            <w:r>
              <w:rPr>
                <w:b/>
                <w:spacing w:val="-3"/>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10" w:right="106"/>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09" w:right="104"/>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Cheong</w:t>
            </w:r>
            <w:r>
              <w:rPr>
                <w:b/>
                <w:spacing w:val="-5"/>
                <w:sz w:val="14"/>
              </w:rPr>
              <w:t> </w:t>
            </w:r>
            <w:r>
              <w:rPr>
                <w:b/>
                <w:sz w:val="14"/>
              </w:rPr>
              <w:t>Park</w:t>
            </w:r>
            <w:r>
              <w:rPr>
                <w:b/>
                <w:spacing w:val="-4"/>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Eastfield</w:t>
            </w:r>
            <w:r>
              <w:rPr>
                <w:b/>
                <w:spacing w:val="-6"/>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Glen</w:t>
            </w:r>
            <w:r>
              <w:rPr>
                <w:b/>
                <w:spacing w:val="-5"/>
                <w:sz w:val="14"/>
              </w:rPr>
              <w:t> </w:t>
            </w:r>
            <w:r>
              <w:rPr>
                <w:b/>
                <w:sz w:val="14"/>
              </w:rPr>
              <w:t>Park</w:t>
            </w:r>
            <w:r>
              <w:rPr>
                <w:b/>
                <w:spacing w:val="-4"/>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2" w:lineRule="exact" w:before="15"/>
              <w:ind w:left="107"/>
              <w:rPr>
                <w:b/>
                <w:sz w:val="14"/>
              </w:rPr>
            </w:pPr>
            <w:r>
              <w:rPr>
                <w:b/>
                <w:sz w:val="14"/>
              </w:rPr>
              <w:t>Gracedale</w:t>
            </w:r>
            <w:r>
              <w:rPr>
                <w:b/>
                <w:spacing w:val="-5"/>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bl>
    <w:p>
      <w:pPr>
        <w:spacing w:after="0"/>
        <w:rPr>
          <w:rFonts w:ascii="Times New Roman"/>
          <w:sz w:val="10"/>
        </w:rPr>
        <w:sectPr>
          <w:type w:val="continuous"/>
          <w:pgSz w:w="11910" w:h="16840"/>
          <w:pgMar w:header="0" w:footer="687" w:top="920" w:bottom="1743"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964" w:hRule="atLeast"/>
        </w:trPr>
        <w:tc>
          <w:tcPr>
            <w:tcW w:w="5794" w:type="dxa"/>
          </w:tcPr>
          <w:p>
            <w:pPr>
              <w:pStyle w:val="TableParagraph"/>
              <w:rPr>
                <w:sz w:val="16"/>
              </w:rPr>
            </w:pPr>
          </w:p>
          <w:p>
            <w:pPr>
              <w:pStyle w:val="TableParagraph"/>
              <w:spacing w:before="10"/>
              <w:rPr>
                <w:sz w:val="18"/>
              </w:rPr>
            </w:pPr>
          </w:p>
          <w:p>
            <w:pPr>
              <w:pStyle w:val="TableParagraph"/>
              <w:spacing w:before="1"/>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9"/>
              <w:rPr>
                <w:sz w:val="21"/>
              </w:rPr>
            </w:pPr>
          </w:p>
          <w:p>
            <w:pPr>
              <w:pStyle w:val="TableParagraph"/>
              <w:spacing w:line="142"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9"/>
              <w:rPr>
                <w:sz w:val="21"/>
              </w:rPr>
            </w:pPr>
          </w:p>
          <w:p>
            <w:pPr>
              <w:pStyle w:val="TableParagraph"/>
              <w:spacing w:line="142" w:lineRule="exact"/>
              <w:ind w:left="145" w:right="144"/>
              <w:jc w:val="center"/>
              <w:rPr>
                <w:sz w:val="14"/>
              </w:rPr>
            </w:pPr>
            <w:r>
              <w:rPr>
                <w:spacing w:val="-5"/>
                <w:sz w:val="14"/>
              </w:rPr>
              <w:t>Yes</w:t>
            </w:r>
          </w:p>
        </w:tc>
        <w:tc>
          <w:tcPr>
            <w:tcW w:w="997" w:type="dxa"/>
          </w:tcPr>
          <w:p>
            <w:pPr>
              <w:pStyle w:val="TableParagraph"/>
              <w:spacing w:line="160" w:lineRule="exac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exac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4" w:hRule="atLeast"/>
        </w:trPr>
        <w:tc>
          <w:tcPr>
            <w:tcW w:w="5794" w:type="dxa"/>
          </w:tcPr>
          <w:p>
            <w:pPr>
              <w:pStyle w:val="TableParagraph"/>
              <w:spacing w:line="140" w:lineRule="exact" w:before="15"/>
              <w:ind w:left="107"/>
              <w:rPr>
                <w:b/>
                <w:sz w:val="14"/>
              </w:rPr>
            </w:pPr>
            <w:r>
              <w:rPr>
                <w:b/>
                <w:sz w:val="14"/>
              </w:rPr>
              <w:t>Ainslie</w:t>
            </w:r>
            <w:r>
              <w:rPr>
                <w:b/>
                <w:spacing w:val="-5"/>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Hughes</w:t>
            </w:r>
            <w:r>
              <w:rPr>
                <w:b/>
                <w:spacing w:val="-5"/>
                <w:sz w:val="14"/>
              </w:rPr>
              <w:t> </w:t>
            </w:r>
            <w:r>
              <w:rPr>
                <w:b/>
                <w:sz w:val="14"/>
              </w:rPr>
              <w:t>Park</w:t>
            </w:r>
            <w:r>
              <w:rPr>
                <w:b/>
                <w:spacing w:val="-5"/>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10" w:right="107"/>
              <w:jc w:val="center"/>
              <w:rPr>
                <w:sz w:val="14"/>
              </w:rPr>
            </w:pP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06" w:right="107"/>
              <w:jc w:val="center"/>
              <w:rPr>
                <w:sz w:val="14"/>
              </w:rPr>
            </w:pP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2" w:lineRule="exact" w:before="15"/>
              <w:ind w:left="107"/>
              <w:rPr>
                <w:b/>
                <w:sz w:val="14"/>
              </w:rPr>
            </w:pPr>
            <w:r>
              <w:rPr>
                <w:b/>
                <w:sz w:val="14"/>
              </w:rPr>
              <w:t>Lipscombe</w:t>
            </w:r>
            <w:r>
              <w:rPr>
                <w:b/>
                <w:spacing w:val="-7"/>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0"/>
              <w:rPr>
                <w:sz w:val="18"/>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Griff</w:t>
            </w:r>
            <w:r>
              <w:rPr>
                <w:b/>
                <w:spacing w:val="-5"/>
                <w:sz w:val="14"/>
              </w:rPr>
              <w:t> </w:t>
            </w:r>
            <w:r>
              <w:rPr>
                <w:b/>
                <w:sz w:val="14"/>
              </w:rPr>
              <w:t>Hunt</w:t>
            </w:r>
            <w:r>
              <w:rPr>
                <w:b/>
                <w:spacing w:val="-2"/>
                <w:sz w:val="14"/>
              </w:rPr>
              <w:t> 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10" w:right="107"/>
              <w:jc w:val="center"/>
              <w:rPr>
                <w:sz w:val="14"/>
              </w:rPr>
            </w:pP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06" w:right="107"/>
              <w:jc w:val="center"/>
              <w:rPr>
                <w:sz w:val="14"/>
              </w:rPr>
            </w:pP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Barngeong</w:t>
            </w:r>
            <w:r>
              <w:rPr>
                <w:b/>
                <w:spacing w:val="-9"/>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142" w:hRule="atLeast"/>
        </w:trPr>
        <w:tc>
          <w:tcPr>
            <w:tcW w:w="5794" w:type="dxa"/>
          </w:tcPr>
          <w:p>
            <w:pPr>
              <w:pStyle w:val="TableParagraph"/>
              <w:rPr>
                <w:sz w:val="16"/>
              </w:rPr>
            </w:pPr>
          </w:p>
          <w:p>
            <w:pPr>
              <w:pStyle w:val="TableParagraph"/>
              <w:spacing w:before="10"/>
              <w:rPr>
                <w:sz w:val="18"/>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Silcock</w:t>
            </w:r>
            <w:r>
              <w:rPr>
                <w:b/>
                <w:spacing w:val="-5"/>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2" w:lineRule="exact"/>
              <w:ind w:left="145" w:right="144"/>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4" w:hRule="atLeast"/>
        </w:trPr>
        <w:tc>
          <w:tcPr>
            <w:tcW w:w="5794" w:type="dxa"/>
          </w:tcPr>
          <w:p>
            <w:pPr>
              <w:pStyle w:val="TableParagraph"/>
              <w:spacing w:line="140" w:lineRule="exact" w:before="15"/>
              <w:ind w:left="107"/>
              <w:rPr>
                <w:b/>
                <w:sz w:val="14"/>
              </w:rPr>
            </w:pPr>
            <w:r>
              <w:rPr>
                <w:b/>
                <w:sz w:val="14"/>
              </w:rPr>
              <w:t>Town</w:t>
            </w:r>
            <w:r>
              <w:rPr>
                <w:b/>
                <w:spacing w:val="-5"/>
                <w:sz w:val="14"/>
              </w:rPr>
              <w:t> </w:t>
            </w:r>
            <w:r>
              <w:rPr>
                <w:b/>
                <w:sz w:val="14"/>
              </w:rPr>
              <w:t>Park</w:t>
            </w:r>
            <w:r>
              <w:rPr>
                <w:b/>
                <w:spacing w:val="-4"/>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6"/>
                <w:sz w:val="14"/>
              </w:rPr>
              <w:t> </w:t>
            </w:r>
            <w:r>
              <w:rPr>
                <w:b/>
                <w:sz w:val="14"/>
              </w:rPr>
              <w:t>Park</w:t>
            </w:r>
            <w:r>
              <w:rPr>
                <w:b/>
                <w:spacing w:val="-6"/>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10" w:right="106"/>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p>
            <w:pPr>
              <w:pStyle w:val="TableParagraph"/>
              <w:spacing w:line="160" w:lineRule="atLeast"/>
              <w:ind w:left="109" w:right="104"/>
              <w:jc w:val="center"/>
              <w:rPr>
                <w:sz w:val="14"/>
              </w:rPr>
            </w:pP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Dorset</w:t>
            </w:r>
            <w:r>
              <w:rPr>
                <w:b/>
                <w:spacing w:val="-7"/>
                <w:sz w:val="14"/>
              </w:rPr>
              <w:t> </w:t>
            </w:r>
            <w:r>
              <w:rPr>
                <w:b/>
                <w:sz w:val="14"/>
              </w:rPr>
              <w:t>Complex</w:t>
            </w:r>
            <w:r>
              <w:rPr>
                <w:b/>
                <w:spacing w:val="-3"/>
                <w:sz w:val="14"/>
              </w:rPr>
              <w:t> </w:t>
            </w:r>
            <w:r>
              <w:rPr>
                <w:b/>
                <w:spacing w:val="-2"/>
                <w:sz w:val="14"/>
              </w:rPr>
              <w:t>Income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0"/>
              <w:rPr>
                <w:sz w:val="18"/>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45" w:right="143"/>
              <w:jc w:val="center"/>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175" w:hRule="atLeast"/>
        </w:trPr>
        <w:tc>
          <w:tcPr>
            <w:tcW w:w="5794" w:type="dxa"/>
          </w:tcPr>
          <w:p>
            <w:pPr>
              <w:pStyle w:val="TableParagraph"/>
              <w:spacing w:line="140" w:lineRule="exact" w:before="15"/>
              <w:ind w:left="107"/>
              <w:rPr>
                <w:b/>
                <w:sz w:val="14"/>
              </w:rPr>
            </w:pPr>
            <w:r>
              <w:rPr>
                <w:b/>
                <w:sz w:val="14"/>
              </w:rPr>
              <w:t>Sundry</w:t>
            </w:r>
            <w:r>
              <w:rPr>
                <w:b/>
                <w:spacing w:val="-6"/>
                <w:sz w:val="14"/>
              </w:rPr>
              <w:t> </w:t>
            </w:r>
            <w:r>
              <w:rPr>
                <w:b/>
                <w:sz w:val="14"/>
              </w:rPr>
              <w:t>Parks</w:t>
            </w:r>
            <w:r>
              <w:rPr>
                <w:b/>
                <w:spacing w:val="-5"/>
                <w:sz w:val="14"/>
              </w:rPr>
              <w:t> </w:t>
            </w:r>
            <w:r>
              <w:rPr>
                <w:b/>
                <w:spacing w:val="-2"/>
                <w:sz w:val="14"/>
              </w:rPr>
              <w:t>Reserve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6"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Seasonal</w:t>
            </w:r>
            <w:r>
              <w:rPr>
                <w:spacing w:val="-5"/>
                <w:sz w:val="14"/>
              </w:rPr>
              <w:t> </w:t>
            </w:r>
            <w:r>
              <w:rPr>
                <w:sz w:val="14"/>
              </w:rPr>
              <w:t>&amp;</w:t>
            </w:r>
            <w:r>
              <w:rPr>
                <w:spacing w:val="-3"/>
                <w:sz w:val="14"/>
              </w:rPr>
              <w:t> </w:t>
            </w:r>
            <w:r>
              <w:rPr>
                <w:sz w:val="14"/>
              </w:rPr>
              <w:t>casual</w:t>
            </w:r>
            <w:r>
              <w:rPr>
                <w:spacing w:val="-1"/>
                <w:sz w:val="14"/>
              </w:rPr>
              <w:t> </w:t>
            </w:r>
            <w:r>
              <w:rPr>
                <w:sz w:val="14"/>
              </w:rPr>
              <w:t>use</w:t>
            </w:r>
            <w:r>
              <w:rPr>
                <w:spacing w:val="-4"/>
                <w:sz w:val="14"/>
              </w:rPr>
              <w:t> </w:t>
            </w:r>
            <w:r>
              <w:rPr>
                <w:sz w:val="14"/>
              </w:rPr>
              <w:t>of</w:t>
            </w:r>
            <w:r>
              <w:rPr>
                <w:spacing w:val="-2"/>
                <w:sz w:val="14"/>
              </w:rPr>
              <w:t> </w:t>
            </w:r>
            <w:r>
              <w:rPr>
                <w:sz w:val="14"/>
              </w:rPr>
              <w:t>council</w:t>
            </w:r>
            <w:r>
              <w:rPr>
                <w:spacing w:val="-2"/>
                <w:sz w:val="14"/>
              </w:rPr>
              <w:t> facilities</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
              <w:rPr>
                <w:sz w:val="22"/>
              </w:rPr>
            </w:pPr>
          </w:p>
          <w:p>
            <w:pPr>
              <w:pStyle w:val="TableParagraph"/>
              <w:spacing w:line="140" w:lineRule="exact" w:before="1"/>
              <w:ind w:left="145" w:right="143"/>
              <w:jc w:val="center"/>
              <w:rPr>
                <w:sz w:val="14"/>
              </w:rPr>
            </w:pPr>
            <w:r>
              <w:rPr>
                <w:spacing w:val="-5"/>
                <w:sz w:val="14"/>
              </w:rPr>
              <w:t>Yes</w:t>
            </w:r>
          </w:p>
        </w:tc>
        <w:tc>
          <w:tcPr>
            <w:tcW w:w="997" w:type="dxa"/>
          </w:tcPr>
          <w:p>
            <w:pPr>
              <w:pStyle w:val="TableParagraph"/>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10" w:right="107"/>
              <w:jc w:val="center"/>
              <w:rPr>
                <w:sz w:val="14"/>
              </w:rPr>
            </w:pPr>
            <w:r>
              <w:rPr>
                <w:spacing w:val="-2"/>
                <w:sz w:val="14"/>
              </w:rPr>
              <w:t>Website</w:t>
            </w:r>
          </w:p>
        </w:tc>
        <w:tc>
          <w:tcPr>
            <w:tcW w:w="995" w:type="dxa"/>
          </w:tcPr>
          <w:p>
            <w:pPr>
              <w:pStyle w:val="TableParagraph"/>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z w:val="14"/>
              </w:rPr>
              <w:t>City</w:t>
            </w:r>
            <w:r>
              <w:rPr>
                <w:spacing w:val="-5"/>
                <w:sz w:val="14"/>
              </w:rPr>
              <w:t> </w:t>
            </w:r>
            <w:r>
              <w:rPr>
                <w:spacing w:val="-2"/>
                <w:sz w:val="14"/>
              </w:rPr>
              <w:t>Council</w:t>
            </w:r>
          </w:p>
          <w:p>
            <w:pPr>
              <w:pStyle w:val="TableParagraph"/>
              <w:spacing w:line="140" w:lineRule="exact" w:before="2"/>
              <w:ind w:left="106" w:right="107"/>
              <w:jc w:val="center"/>
              <w:rPr>
                <w:sz w:val="14"/>
              </w:rPr>
            </w:pP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Occupancy</w:t>
            </w:r>
            <w:r>
              <w:rPr>
                <w:b/>
                <w:spacing w:val="-9"/>
                <w:sz w:val="14"/>
              </w:rPr>
              <w:t> </w:t>
            </w:r>
            <w:r>
              <w:rPr>
                <w:b/>
                <w:spacing w:val="-2"/>
                <w:sz w:val="14"/>
              </w:rPr>
              <w:t>Payments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642" w:hRule="atLeast"/>
        </w:trPr>
        <w:tc>
          <w:tcPr>
            <w:tcW w:w="5794" w:type="dxa"/>
          </w:tcPr>
          <w:p>
            <w:pPr>
              <w:pStyle w:val="TableParagraph"/>
              <w:spacing w:before="10"/>
              <w:rPr>
                <w:sz w:val="20"/>
              </w:rPr>
            </w:pPr>
          </w:p>
          <w:p>
            <w:pPr>
              <w:pStyle w:val="TableParagraph"/>
              <w:ind w:left="107"/>
              <w:rPr>
                <w:sz w:val="14"/>
              </w:rPr>
            </w:pPr>
            <w:r>
              <w:rPr>
                <w:sz w:val="14"/>
              </w:rPr>
              <w:t>Tennis</w:t>
            </w:r>
            <w:r>
              <w:rPr>
                <w:spacing w:val="-5"/>
                <w:sz w:val="14"/>
              </w:rPr>
              <w:t> </w:t>
            </w:r>
            <w:r>
              <w:rPr>
                <w:sz w:val="14"/>
              </w:rPr>
              <w:t>Club</w:t>
            </w:r>
            <w:r>
              <w:rPr>
                <w:spacing w:val="-3"/>
                <w:sz w:val="14"/>
              </w:rPr>
              <w:t> </w:t>
            </w:r>
            <w:r>
              <w:rPr>
                <w:spacing w:val="-2"/>
                <w:sz w:val="14"/>
              </w:rPr>
              <w:t>Rentals</w:t>
            </w:r>
          </w:p>
        </w:tc>
        <w:tc>
          <w:tcPr>
            <w:tcW w:w="1131" w:type="dxa"/>
          </w:tcPr>
          <w:p>
            <w:pPr>
              <w:pStyle w:val="TableParagraph"/>
              <w:rPr>
                <w:sz w:val="16"/>
              </w:rPr>
            </w:pPr>
          </w:p>
          <w:p>
            <w:pPr>
              <w:pStyle w:val="TableParagraph"/>
              <w:rPr>
                <w:sz w:val="16"/>
              </w:rPr>
            </w:pPr>
          </w:p>
          <w:p>
            <w:pPr>
              <w:pStyle w:val="TableParagraph"/>
              <w:spacing w:line="140" w:lineRule="exact" w:before="115"/>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spacing w:line="140" w:lineRule="exact" w:before="115"/>
              <w:ind w:left="145" w:right="143"/>
              <w:jc w:val="center"/>
              <w:rPr>
                <w:sz w:val="14"/>
              </w:rPr>
            </w:pPr>
            <w:r>
              <w:rPr>
                <w:spacing w:val="-5"/>
                <w:sz w:val="14"/>
              </w:rPr>
              <w:t>Yes</w:t>
            </w:r>
          </w:p>
        </w:tc>
        <w:tc>
          <w:tcPr>
            <w:tcW w:w="997" w:type="dxa"/>
          </w:tcPr>
          <w:p>
            <w:pPr>
              <w:pStyle w:val="TableParagraph"/>
              <w:spacing w:line="160" w:lineRule="atLeast"/>
              <w:ind w:left="142" w:right="137"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tc>
        <w:tc>
          <w:tcPr>
            <w:tcW w:w="995" w:type="dxa"/>
          </w:tcPr>
          <w:p>
            <w:pPr>
              <w:pStyle w:val="TableParagraph"/>
              <w:spacing w:line="160" w:lineRule="atLeast"/>
              <w:ind w:left="141" w:right="136"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p>
        </w:tc>
        <w:tc>
          <w:tcPr>
            <w:tcW w:w="861" w:type="dxa"/>
          </w:tcPr>
          <w:p>
            <w:pPr>
              <w:pStyle w:val="TableParagraph"/>
              <w:rPr>
                <w:rFonts w:ascii="Times New Roman"/>
                <w:sz w:val="12"/>
              </w:rPr>
            </w:pPr>
          </w:p>
        </w:tc>
      </w:tr>
    </w:tbl>
    <w:p>
      <w:pPr>
        <w:spacing w:after="0"/>
        <w:rPr>
          <w:rFonts w:ascii="Times New Roman"/>
          <w:sz w:val="12"/>
        </w:rPr>
        <w:sectPr>
          <w:type w:val="continuous"/>
          <w:pgSz w:w="11910" w:h="16840"/>
          <w:pgMar w:header="0" w:footer="687" w:top="920" w:bottom="1270"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599" w:hRule="atLeast"/>
        </w:trPr>
        <w:tc>
          <w:tcPr>
            <w:tcW w:w="5794" w:type="dxa"/>
          </w:tcPr>
          <w:p>
            <w:pPr>
              <w:pStyle w:val="TableParagraph"/>
              <w:rPr>
                <w:rFonts w:ascii="Times New Roman"/>
                <w:sz w:val="12"/>
              </w:rPr>
            </w:pPr>
          </w:p>
        </w:tc>
        <w:tc>
          <w:tcPr>
            <w:tcW w:w="1131" w:type="dxa"/>
          </w:tcPr>
          <w:p>
            <w:pPr>
              <w:pStyle w:val="TableParagraph"/>
              <w:rPr>
                <w:rFonts w:ascii="Times New Roman"/>
                <w:sz w:val="12"/>
              </w:rPr>
            </w:pPr>
          </w:p>
        </w:tc>
        <w:tc>
          <w:tcPr>
            <w:tcW w:w="567" w:type="dxa"/>
          </w:tcPr>
          <w:p>
            <w:pPr>
              <w:pStyle w:val="TableParagraph"/>
              <w:rPr>
                <w:rFonts w:ascii="Times New Roman"/>
                <w:sz w:val="12"/>
              </w:rPr>
            </w:pPr>
          </w:p>
        </w:tc>
        <w:tc>
          <w:tcPr>
            <w:tcW w:w="997" w:type="dxa"/>
          </w:tcPr>
          <w:p>
            <w:pPr>
              <w:pStyle w:val="TableParagraph"/>
              <w:spacing w:line="150" w:lineRule="exact"/>
              <w:ind w:left="110" w:right="108"/>
              <w:jc w:val="center"/>
              <w:rPr>
                <w:sz w:val="14"/>
              </w:rPr>
            </w:pPr>
            <w:r>
              <w:rPr>
                <w:sz w:val="14"/>
              </w:rPr>
              <w:t>City</w:t>
            </w:r>
            <w:r>
              <w:rPr>
                <w:spacing w:val="-5"/>
                <w:sz w:val="14"/>
              </w:rPr>
              <w:t> </w:t>
            </w:r>
            <w:r>
              <w:rPr>
                <w:spacing w:val="-2"/>
                <w:sz w:val="14"/>
              </w:rPr>
              <w:t>Council</w:t>
            </w:r>
          </w:p>
          <w:p>
            <w:pPr>
              <w:pStyle w:val="TableParagraph"/>
              <w:ind w:left="110" w:right="107"/>
              <w:jc w:val="center"/>
              <w:rPr>
                <w:sz w:val="14"/>
              </w:rPr>
            </w:pPr>
            <w:r>
              <w:rPr>
                <w:spacing w:val="-2"/>
                <w:sz w:val="14"/>
              </w:rPr>
              <w:t>Website</w:t>
            </w:r>
          </w:p>
        </w:tc>
        <w:tc>
          <w:tcPr>
            <w:tcW w:w="995" w:type="dxa"/>
          </w:tcPr>
          <w:p>
            <w:pPr>
              <w:pStyle w:val="TableParagraph"/>
              <w:spacing w:line="150" w:lineRule="exact"/>
              <w:ind w:left="109" w:right="107"/>
              <w:jc w:val="center"/>
              <w:rPr>
                <w:sz w:val="14"/>
              </w:rPr>
            </w:pPr>
            <w:r>
              <w:rPr>
                <w:sz w:val="14"/>
              </w:rPr>
              <w:t>City</w:t>
            </w:r>
            <w:r>
              <w:rPr>
                <w:spacing w:val="-5"/>
                <w:sz w:val="14"/>
              </w:rPr>
              <w:t> </w:t>
            </w:r>
            <w:r>
              <w:rPr>
                <w:spacing w:val="-2"/>
                <w:sz w:val="14"/>
              </w:rPr>
              <w:t>Council</w:t>
            </w:r>
          </w:p>
          <w:p>
            <w:pPr>
              <w:pStyle w:val="TableParagraph"/>
              <w:ind w:left="106" w:right="107"/>
              <w:jc w:val="center"/>
              <w:rPr>
                <w:sz w:val="14"/>
              </w:rPr>
            </w:pPr>
            <w:r>
              <w:rPr>
                <w:spacing w:val="-2"/>
                <w:sz w:val="14"/>
              </w:rPr>
              <w:t>Website</w:t>
            </w: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b/>
                <w:sz w:val="14"/>
              </w:rPr>
            </w:pPr>
            <w:r>
              <w:rPr>
                <w:b/>
                <w:sz w:val="14"/>
              </w:rPr>
              <w:t>Sporting</w:t>
            </w:r>
            <w:r>
              <w:rPr>
                <w:b/>
                <w:spacing w:val="-8"/>
                <w:sz w:val="14"/>
              </w:rPr>
              <w:t> </w:t>
            </w:r>
            <w:r>
              <w:rPr>
                <w:b/>
                <w:spacing w:val="-2"/>
                <w:sz w:val="14"/>
              </w:rPr>
              <w:t>Clubs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964" w:hRule="atLeast"/>
        </w:trPr>
        <w:tc>
          <w:tcPr>
            <w:tcW w:w="5794" w:type="dxa"/>
          </w:tcPr>
          <w:p>
            <w:pPr>
              <w:pStyle w:val="TableParagraph"/>
              <w:rPr>
                <w:sz w:val="16"/>
              </w:rPr>
            </w:pPr>
          </w:p>
          <w:p>
            <w:pPr>
              <w:pStyle w:val="TableParagraph"/>
              <w:spacing w:before="1"/>
              <w:rPr>
                <w:sz w:val="19"/>
              </w:rPr>
            </w:pPr>
          </w:p>
          <w:p>
            <w:pPr>
              <w:pStyle w:val="TableParagraph"/>
              <w:ind w:left="107"/>
              <w:rPr>
                <w:sz w:val="14"/>
              </w:rPr>
            </w:pPr>
            <w:r>
              <w:rPr>
                <w:sz w:val="14"/>
              </w:rPr>
              <w:t>Use</w:t>
            </w:r>
            <w:r>
              <w:rPr>
                <w:spacing w:val="-4"/>
                <w:sz w:val="14"/>
              </w:rPr>
              <w:t> </w:t>
            </w:r>
            <w:r>
              <w:rPr>
                <w:sz w:val="14"/>
              </w:rPr>
              <w:t>of</w:t>
            </w:r>
            <w:r>
              <w:rPr>
                <w:spacing w:val="-3"/>
                <w:sz w:val="14"/>
              </w:rPr>
              <w:t> </w:t>
            </w:r>
            <w:r>
              <w:rPr>
                <w:spacing w:val="-2"/>
                <w:sz w:val="14"/>
              </w:rPr>
              <w:t>facility</w:t>
            </w:r>
          </w:p>
        </w:tc>
        <w:tc>
          <w:tcPr>
            <w:tcW w:w="1131"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5"/>
              <w:jc w:val="center"/>
              <w:rPr>
                <w:sz w:val="14"/>
              </w:rPr>
            </w:pPr>
            <w:r>
              <w:rPr>
                <w:w w:val="99"/>
                <w:sz w:val="14"/>
              </w:rPr>
              <w:t>N</w:t>
            </w:r>
          </w:p>
        </w:tc>
        <w:tc>
          <w:tcPr>
            <w:tcW w:w="567" w:type="dxa"/>
          </w:tcPr>
          <w:p>
            <w:pPr>
              <w:pStyle w:val="TableParagraph"/>
              <w:rPr>
                <w:sz w:val="16"/>
              </w:rPr>
            </w:pPr>
          </w:p>
          <w:p>
            <w:pPr>
              <w:pStyle w:val="TableParagraph"/>
              <w:rPr>
                <w:sz w:val="16"/>
              </w:rPr>
            </w:pPr>
          </w:p>
          <w:p>
            <w:pPr>
              <w:pStyle w:val="TableParagraph"/>
              <w:rPr>
                <w:sz w:val="16"/>
              </w:rPr>
            </w:pPr>
          </w:p>
          <w:p>
            <w:pPr>
              <w:pStyle w:val="TableParagraph"/>
              <w:spacing w:before="11"/>
              <w:rPr>
                <w:sz w:val="21"/>
              </w:rPr>
            </w:pPr>
          </w:p>
          <w:p>
            <w:pPr>
              <w:pStyle w:val="TableParagraph"/>
              <w:spacing w:line="140" w:lineRule="exact"/>
              <w:ind w:left="159"/>
              <w:rPr>
                <w:sz w:val="14"/>
              </w:rPr>
            </w:pPr>
            <w:r>
              <w:rPr>
                <w:spacing w:val="-5"/>
                <w:sz w:val="14"/>
              </w:rPr>
              <w:t>Yes</w:t>
            </w:r>
          </w:p>
        </w:tc>
        <w:tc>
          <w:tcPr>
            <w:tcW w:w="997" w:type="dxa"/>
          </w:tcPr>
          <w:p>
            <w:pPr>
              <w:pStyle w:val="TableParagraph"/>
              <w:spacing w:line="160" w:lineRule="atLeast"/>
              <w:ind w:left="122" w:right="118" w:firstLine="2"/>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995" w:type="dxa"/>
          </w:tcPr>
          <w:p>
            <w:pPr>
              <w:pStyle w:val="TableParagraph"/>
              <w:spacing w:line="160" w:lineRule="atLeast"/>
              <w:ind w:left="122" w:right="117" w:hanging="3"/>
              <w:jc w:val="center"/>
              <w:rPr>
                <w:sz w:val="14"/>
              </w:rPr>
            </w:pPr>
            <w:r>
              <w:rPr>
                <w:sz w:val="14"/>
              </w:rPr>
              <w:t>Refer</w:t>
            </w:r>
            <w:r>
              <w:rPr>
                <w:spacing w:val="-6"/>
                <w:sz w:val="14"/>
              </w:rPr>
              <w:t> </w:t>
            </w:r>
            <w:r>
              <w:rPr>
                <w:sz w:val="14"/>
              </w:rPr>
              <w:t>to</w:t>
            </w:r>
            <w:r>
              <w:rPr>
                <w:spacing w:val="40"/>
                <w:sz w:val="14"/>
              </w:rPr>
              <w:t> </w:t>
            </w:r>
            <w:r>
              <w:rPr>
                <w:sz w:val="14"/>
              </w:rPr>
              <w:t>policy on</w:t>
            </w:r>
            <w:r>
              <w:rPr>
                <w:spacing w:val="40"/>
                <w:sz w:val="14"/>
              </w:rPr>
              <w:t> </w:t>
            </w:r>
            <w:r>
              <w:rPr>
                <w:spacing w:val="-4"/>
                <w:sz w:val="14"/>
              </w:rPr>
              <w:t>the</w:t>
            </w:r>
            <w:r>
              <w:rPr>
                <w:spacing w:val="40"/>
                <w:sz w:val="14"/>
              </w:rPr>
              <w:t> </w:t>
            </w:r>
            <w:r>
              <w:rPr>
                <w:spacing w:val="-2"/>
                <w:sz w:val="14"/>
              </w:rPr>
              <w:t>Maroondah</w:t>
            </w:r>
            <w:r>
              <w:rPr>
                <w:spacing w:val="40"/>
                <w:sz w:val="14"/>
              </w:rPr>
              <w:t> </w:t>
            </w:r>
            <w:r>
              <w:rPr>
                <w:spacing w:val="-2"/>
                <w:sz w:val="14"/>
              </w:rPr>
              <w:t>City</w:t>
            </w:r>
            <w:r>
              <w:rPr>
                <w:spacing w:val="-8"/>
                <w:sz w:val="14"/>
              </w:rPr>
              <w:t> </w:t>
            </w:r>
            <w:r>
              <w:rPr>
                <w:spacing w:val="-2"/>
                <w:sz w:val="14"/>
              </w:rPr>
              <w:t>Council</w:t>
            </w:r>
            <w:r>
              <w:rPr>
                <w:spacing w:val="40"/>
                <w:sz w:val="14"/>
              </w:rPr>
              <w:t> </w:t>
            </w:r>
            <w:r>
              <w:rPr>
                <w:spacing w:val="-2"/>
                <w:sz w:val="14"/>
              </w:rPr>
              <w:t>Website</w:t>
            </w:r>
          </w:p>
        </w:tc>
        <w:tc>
          <w:tcPr>
            <w:tcW w:w="861" w:type="dxa"/>
          </w:tcPr>
          <w:p>
            <w:pPr>
              <w:pStyle w:val="TableParagraph"/>
              <w:rPr>
                <w:rFonts w:ascii="Times New Roman"/>
                <w:sz w:val="12"/>
              </w:rPr>
            </w:pPr>
          </w:p>
        </w:tc>
      </w:tr>
      <w:tr>
        <w:trPr>
          <w:trHeight w:val="239" w:hRule="atLeast"/>
        </w:trPr>
        <w:tc>
          <w:tcPr>
            <w:tcW w:w="5794" w:type="dxa"/>
          </w:tcPr>
          <w:p>
            <w:pPr>
              <w:pStyle w:val="TableParagraph"/>
              <w:spacing w:line="140" w:lineRule="exact" w:before="80"/>
              <w:ind w:left="107"/>
              <w:rPr>
                <w:b/>
                <w:sz w:val="14"/>
              </w:rPr>
            </w:pPr>
            <w:r>
              <w:rPr>
                <w:b/>
                <w:sz w:val="14"/>
              </w:rPr>
              <w:t>Maroondah</w:t>
            </w:r>
            <w:r>
              <w:rPr>
                <w:b/>
                <w:spacing w:val="-5"/>
                <w:sz w:val="14"/>
              </w:rPr>
              <w:t> </w:t>
            </w:r>
            <w:r>
              <w:rPr>
                <w:b/>
                <w:sz w:val="14"/>
              </w:rPr>
              <w:t>Leisure</w:t>
            </w:r>
            <w:r>
              <w:rPr>
                <w:b/>
                <w:spacing w:val="-5"/>
                <w:sz w:val="14"/>
              </w:rPr>
              <w:t> </w:t>
            </w:r>
            <w:r>
              <w:rPr>
                <w:b/>
                <w:sz w:val="14"/>
              </w:rPr>
              <w:t>Joining</w:t>
            </w:r>
            <w:r>
              <w:rPr>
                <w:b/>
                <w:spacing w:val="-6"/>
                <w:sz w:val="14"/>
              </w:rPr>
              <w:t> </w:t>
            </w:r>
            <w:r>
              <w:rPr>
                <w:b/>
                <w:spacing w:val="-5"/>
                <w:sz w:val="14"/>
              </w:rPr>
              <w:t>Fee</w:t>
            </w:r>
          </w:p>
        </w:tc>
        <w:tc>
          <w:tcPr>
            <w:tcW w:w="1131" w:type="dxa"/>
          </w:tcPr>
          <w:p>
            <w:pPr>
              <w:pStyle w:val="TableParagraph"/>
              <w:rPr>
                <w:rFonts w:ascii="Times New Roman"/>
                <w:sz w:val="12"/>
              </w:rPr>
            </w:pPr>
          </w:p>
        </w:tc>
        <w:tc>
          <w:tcPr>
            <w:tcW w:w="567" w:type="dxa"/>
          </w:tcPr>
          <w:p>
            <w:pPr>
              <w:pStyle w:val="TableParagraph"/>
              <w:rPr>
                <w:rFonts w:ascii="Times New Roman"/>
                <w:sz w:val="12"/>
              </w:rPr>
            </w:pPr>
          </w:p>
        </w:tc>
        <w:tc>
          <w:tcPr>
            <w:tcW w:w="997" w:type="dxa"/>
          </w:tcPr>
          <w:p>
            <w:pPr>
              <w:pStyle w:val="TableParagraph"/>
              <w:rPr>
                <w:rFonts w:ascii="Times New Roman"/>
                <w:sz w:val="12"/>
              </w:rPr>
            </w:pPr>
          </w:p>
        </w:tc>
        <w:tc>
          <w:tcPr>
            <w:tcW w:w="995" w:type="dxa"/>
          </w:tcPr>
          <w:p>
            <w:pPr>
              <w:pStyle w:val="TableParagraph"/>
              <w:rPr>
                <w:rFonts w:ascii="Times New Roman"/>
                <w:sz w:val="12"/>
              </w:rPr>
            </w:pP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sz w:val="14"/>
              </w:rPr>
            </w:pPr>
            <w:r>
              <w:rPr>
                <w:sz w:val="14"/>
              </w:rPr>
              <w:t>Joining</w:t>
            </w:r>
            <w:r>
              <w:rPr>
                <w:spacing w:val="-3"/>
                <w:sz w:val="14"/>
              </w:rPr>
              <w:t> </w:t>
            </w:r>
            <w:r>
              <w:rPr>
                <w:sz w:val="14"/>
              </w:rPr>
              <w:t>Fee</w:t>
            </w:r>
            <w:r>
              <w:rPr>
                <w:spacing w:val="-3"/>
                <w:sz w:val="14"/>
              </w:rPr>
              <w:t> </w:t>
            </w:r>
            <w:r>
              <w:rPr>
                <w:sz w:val="14"/>
              </w:rPr>
              <w:t>(no</w:t>
            </w:r>
            <w:r>
              <w:rPr>
                <w:spacing w:val="-5"/>
                <w:sz w:val="14"/>
              </w:rPr>
              <w:t> </w:t>
            </w:r>
            <w:r>
              <w:rPr>
                <w:sz w:val="14"/>
              </w:rPr>
              <w:t>lock</w:t>
            </w:r>
            <w:r>
              <w:rPr>
                <w:spacing w:val="-3"/>
                <w:sz w:val="14"/>
              </w:rPr>
              <w:t> </w:t>
            </w:r>
            <w:r>
              <w:rPr>
                <w:spacing w:val="-5"/>
                <w:sz w:val="14"/>
              </w:rPr>
              <w:t>in)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Joining</w:t>
            </w:r>
            <w:r>
              <w:rPr>
                <w:spacing w:val="-4"/>
                <w:sz w:val="14"/>
              </w:rPr>
              <w:t> </w:t>
            </w:r>
            <w:r>
              <w:rPr>
                <w:sz w:val="14"/>
              </w:rPr>
              <w:t>Fee</w:t>
            </w:r>
            <w:r>
              <w:rPr>
                <w:spacing w:val="-4"/>
                <w:sz w:val="14"/>
              </w:rPr>
              <w:t> </w:t>
            </w:r>
            <w:r>
              <w:rPr>
                <w:sz w:val="14"/>
              </w:rPr>
              <w:t>(12</w:t>
            </w:r>
            <w:r>
              <w:rPr>
                <w:spacing w:val="-4"/>
                <w:sz w:val="14"/>
              </w:rPr>
              <w:t> </w:t>
            </w:r>
            <w:r>
              <w:rPr>
                <w:sz w:val="14"/>
              </w:rPr>
              <w:t>month</w:t>
            </w:r>
            <w:r>
              <w:rPr>
                <w:spacing w:val="-3"/>
                <w:sz w:val="14"/>
              </w:rPr>
              <w:t> </w:t>
            </w:r>
            <w:r>
              <w:rPr>
                <w:sz w:val="14"/>
              </w:rPr>
              <w:t>lock</w:t>
            </w:r>
            <w:r>
              <w:rPr>
                <w:spacing w:val="-1"/>
                <w:sz w:val="14"/>
              </w:rPr>
              <w:t> </w:t>
            </w:r>
            <w:r>
              <w:rPr>
                <w:spacing w:val="-5"/>
                <w:sz w:val="14"/>
              </w:rPr>
              <w:t>in)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29.00</w:t>
            </w:r>
          </w:p>
        </w:tc>
        <w:tc>
          <w:tcPr>
            <w:tcW w:w="995" w:type="dxa"/>
          </w:tcPr>
          <w:p>
            <w:pPr>
              <w:pStyle w:val="TableParagraph"/>
              <w:spacing w:line="140" w:lineRule="exact" w:before="17"/>
              <w:ind w:right="101"/>
              <w:jc w:val="right"/>
              <w:rPr>
                <w:sz w:val="14"/>
              </w:rPr>
            </w:pPr>
            <w:r>
              <w:rPr>
                <w:spacing w:val="-2"/>
                <w:sz w:val="14"/>
              </w:rPr>
              <w:t>29.00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6"/>
                <w:sz w:val="14"/>
              </w:rPr>
              <w:t> </w:t>
            </w:r>
            <w:r>
              <w:rPr>
                <w:b/>
                <w:sz w:val="14"/>
              </w:rPr>
              <w:t>Leisure</w:t>
            </w:r>
            <w:r>
              <w:rPr>
                <w:b/>
                <w:spacing w:val="-8"/>
                <w:sz w:val="14"/>
              </w:rPr>
              <w:t> </w:t>
            </w:r>
            <w:r>
              <w:rPr>
                <w:b/>
                <w:sz w:val="14"/>
              </w:rPr>
              <w:t>Wellness</w:t>
            </w:r>
            <w:r>
              <w:rPr>
                <w:b/>
                <w:spacing w:val="-7"/>
                <w:sz w:val="14"/>
              </w:rPr>
              <w:t> </w:t>
            </w:r>
            <w:r>
              <w:rPr>
                <w:b/>
                <w:spacing w:val="-4"/>
                <w:sz w:val="14"/>
              </w:rPr>
              <w:t>Plus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Maroondah</w:t>
            </w:r>
            <w:r>
              <w:rPr>
                <w:spacing w:val="-5"/>
                <w:sz w:val="14"/>
              </w:rPr>
              <w:t> </w:t>
            </w:r>
            <w:r>
              <w:rPr>
                <w:sz w:val="14"/>
              </w:rPr>
              <w:t>Leisure</w:t>
            </w:r>
            <w:r>
              <w:rPr>
                <w:spacing w:val="-8"/>
                <w:sz w:val="14"/>
              </w:rPr>
              <w:t> </w:t>
            </w:r>
            <w:r>
              <w:rPr>
                <w:sz w:val="14"/>
              </w:rPr>
              <w:t>Wellness</w:t>
            </w:r>
            <w:r>
              <w:rPr>
                <w:spacing w:val="-6"/>
                <w:sz w:val="14"/>
              </w:rPr>
              <w:t> </w:t>
            </w:r>
            <w:r>
              <w:rPr>
                <w:spacing w:val="-2"/>
                <w:sz w:val="14"/>
              </w:rPr>
              <w:t>Plus/Fee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79.00</w:t>
            </w:r>
          </w:p>
        </w:tc>
        <w:tc>
          <w:tcPr>
            <w:tcW w:w="995" w:type="dxa"/>
          </w:tcPr>
          <w:p>
            <w:pPr>
              <w:pStyle w:val="TableParagraph"/>
              <w:spacing w:line="140" w:lineRule="exact" w:before="17"/>
              <w:ind w:right="101"/>
              <w:jc w:val="right"/>
              <w:rPr>
                <w:sz w:val="14"/>
              </w:rPr>
            </w:pPr>
            <w:r>
              <w:rPr>
                <w:spacing w:val="-2"/>
                <w:sz w:val="14"/>
              </w:rPr>
              <w:t>82.00</w:t>
            </w:r>
          </w:p>
        </w:tc>
        <w:tc>
          <w:tcPr>
            <w:tcW w:w="861" w:type="dxa"/>
          </w:tcPr>
          <w:p>
            <w:pPr>
              <w:pStyle w:val="TableParagraph"/>
              <w:spacing w:line="140" w:lineRule="exact" w:before="17"/>
              <w:ind w:left="327"/>
              <w:rPr>
                <w:sz w:val="14"/>
              </w:rPr>
            </w:pPr>
            <w:r>
              <w:rPr>
                <w:spacing w:val="-5"/>
                <w:sz w:val="14"/>
              </w:rPr>
              <w:t>3.7</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7"/>
                <w:sz w:val="14"/>
              </w:rPr>
              <w:t> </w:t>
            </w:r>
            <w:r>
              <w:rPr>
                <w:b/>
                <w:sz w:val="14"/>
              </w:rPr>
              <w:t>Wellness</w:t>
            </w:r>
            <w:r>
              <w:rPr>
                <w:b/>
                <w:spacing w:val="-5"/>
                <w:sz w:val="14"/>
              </w:rPr>
              <w:t> </w:t>
            </w:r>
            <w:r>
              <w:rPr>
                <w:b/>
                <w:sz w:val="14"/>
              </w:rPr>
              <w:t>Plus</w:t>
            </w:r>
            <w:r>
              <w:rPr>
                <w:b/>
                <w:spacing w:val="-6"/>
                <w:sz w:val="14"/>
              </w:rPr>
              <w:t> </w:t>
            </w:r>
            <w:r>
              <w:rPr>
                <w:b/>
                <w:spacing w:val="-2"/>
                <w:sz w:val="14"/>
              </w:rPr>
              <w:t>Concession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Maroondah</w:t>
            </w:r>
            <w:r>
              <w:rPr>
                <w:spacing w:val="-4"/>
                <w:sz w:val="14"/>
              </w:rPr>
              <w:t> </w:t>
            </w:r>
            <w:r>
              <w:rPr>
                <w:sz w:val="14"/>
              </w:rPr>
              <w:t>Leisure</w:t>
            </w:r>
            <w:r>
              <w:rPr>
                <w:spacing w:val="-7"/>
                <w:sz w:val="14"/>
              </w:rPr>
              <w:t> </w:t>
            </w:r>
            <w:r>
              <w:rPr>
                <w:sz w:val="14"/>
              </w:rPr>
              <w:t>Wellness</w:t>
            </w:r>
            <w:r>
              <w:rPr>
                <w:spacing w:val="-6"/>
                <w:sz w:val="14"/>
              </w:rPr>
              <w:t> </w:t>
            </w:r>
            <w:r>
              <w:rPr>
                <w:sz w:val="14"/>
              </w:rPr>
              <w:t>Plus</w:t>
            </w:r>
            <w:r>
              <w:rPr>
                <w:spacing w:val="-4"/>
                <w:sz w:val="14"/>
              </w:rPr>
              <w:t> </w:t>
            </w:r>
            <w:r>
              <w:rPr>
                <w:spacing w:val="-2"/>
                <w:sz w:val="14"/>
              </w:rPr>
              <w:t>Concession/Fee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67.20</w:t>
            </w:r>
          </w:p>
        </w:tc>
        <w:tc>
          <w:tcPr>
            <w:tcW w:w="995" w:type="dxa"/>
          </w:tcPr>
          <w:p>
            <w:pPr>
              <w:pStyle w:val="TableParagraph"/>
              <w:spacing w:line="140" w:lineRule="exact" w:before="17"/>
              <w:ind w:right="101"/>
              <w:jc w:val="right"/>
              <w:rPr>
                <w:sz w:val="14"/>
              </w:rPr>
            </w:pPr>
            <w:r>
              <w:rPr>
                <w:spacing w:val="-2"/>
                <w:sz w:val="14"/>
              </w:rPr>
              <w:t>69.70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4"/>
                <w:sz w:val="14"/>
              </w:rPr>
              <w:t> </w:t>
            </w:r>
            <w:r>
              <w:rPr>
                <w:b/>
                <w:sz w:val="14"/>
              </w:rPr>
              <w:t>Fitness</w:t>
            </w:r>
            <w:r>
              <w:rPr>
                <w:b/>
                <w:spacing w:val="-6"/>
                <w:sz w:val="14"/>
              </w:rPr>
              <w:t> </w:t>
            </w:r>
            <w:r>
              <w:rPr>
                <w:b/>
                <w:sz w:val="14"/>
              </w:rPr>
              <w:t>Plus</w:t>
            </w:r>
            <w:r>
              <w:rPr>
                <w:b/>
                <w:spacing w:val="-4"/>
                <w:sz w:val="14"/>
              </w:rPr>
              <w:t> </w:t>
            </w:r>
            <w:r>
              <w:rPr>
                <w:b/>
                <w:spacing w:val="-2"/>
                <w:sz w:val="14"/>
              </w:rPr>
              <w:t>Family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99.90</w:t>
            </w:r>
          </w:p>
        </w:tc>
        <w:tc>
          <w:tcPr>
            <w:tcW w:w="995" w:type="dxa"/>
          </w:tcPr>
          <w:p>
            <w:pPr>
              <w:pStyle w:val="TableParagraph"/>
              <w:spacing w:line="140" w:lineRule="exact" w:before="17"/>
              <w:ind w:right="102"/>
              <w:jc w:val="right"/>
              <w:rPr>
                <w:sz w:val="14"/>
              </w:rPr>
            </w:pPr>
            <w:r>
              <w:rPr>
                <w:spacing w:val="-2"/>
                <w:sz w:val="14"/>
              </w:rPr>
              <w:t>109.20</w:t>
            </w:r>
          </w:p>
        </w:tc>
        <w:tc>
          <w:tcPr>
            <w:tcW w:w="861" w:type="dxa"/>
          </w:tcPr>
          <w:p>
            <w:pPr>
              <w:pStyle w:val="TableParagraph"/>
              <w:spacing w:line="140" w:lineRule="exact" w:before="17"/>
              <w:ind w:left="327"/>
              <w:rPr>
                <w:sz w:val="14"/>
              </w:rPr>
            </w:pPr>
            <w:r>
              <w:rPr>
                <w:spacing w:val="-5"/>
                <w:sz w:val="14"/>
              </w:rPr>
              <w:t>8.5</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5"/>
                <w:sz w:val="14"/>
              </w:rPr>
              <w:t> </w:t>
            </w:r>
            <w:r>
              <w:rPr>
                <w:b/>
                <w:sz w:val="14"/>
              </w:rPr>
              <w:t>Fitness</w:t>
            </w:r>
            <w:r>
              <w:rPr>
                <w:b/>
                <w:spacing w:val="-7"/>
                <w:sz w:val="14"/>
              </w:rPr>
              <w:t> </w:t>
            </w:r>
            <w:r>
              <w:rPr>
                <w:b/>
                <w:sz w:val="14"/>
              </w:rPr>
              <w:t>Plus</w:t>
            </w:r>
            <w:r>
              <w:rPr>
                <w:b/>
                <w:spacing w:val="-3"/>
                <w:sz w:val="14"/>
              </w:rPr>
              <w:t> </w:t>
            </w:r>
            <w:r>
              <w:rPr>
                <w:b/>
                <w:sz w:val="14"/>
              </w:rPr>
              <w:t>Family</w:t>
            </w:r>
            <w:r>
              <w:rPr>
                <w:b/>
                <w:spacing w:val="-6"/>
                <w:sz w:val="14"/>
              </w:rPr>
              <w:t> </w:t>
            </w:r>
            <w:r>
              <w:rPr>
                <w:b/>
                <w:spacing w:val="-2"/>
                <w:sz w:val="14"/>
              </w:rPr>
              <w:t>Concession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84.90</w:t>
            </w:r>
          </w:p>
        </w:tc>
        <w:tc>
          <w:tcPr>
            <w:tcW w:w="995" w:type="dxa"/>
          </w:tcPr>
          <w:p>
            <w:pPr>
              <w:pStyle w:val="TableParagraph"/>
              <w:spacing w:line="140" w:lineRule="exact" w:before="17"/>
              <w:ind w:right="101"/>
              <w:jc w:val="right"/>
              <w:rPr>
                <w:sz w:val="14"/>
              </w:rPr>
            </w:pPr>
            <w:r>
              <w:rPr>
                <w:spacing w:val="-2"/>
                <w:sz w:val="14"/>
              </w:rPr>
              <w:t>92.82</w:t>
            </w:r>
          </w:p>
        </w:tc>
        <w:tc>
          <w:tcPr>
            <w:tcW w:w="861" w:type="dxa"/>
          </w:tcPr>
          <w:p>
            <w:pPr>
              <w:pStyle w:val="TableParagraph"/>
              <w:spacing w:line="140" w:lineRule="exact" w:before="17"/>
              <w:ind w:left="327"/>
              <w:rPr>
                <w:sz w:val="14"/>
              </w:rPr>
            </w:pPr>
            <w:r>
              <w:rPr>
                <w:spacing w:val="-5"/>
                <w:sz w:val="14"/>
              </w:rPr>
              <w:t>8.5</w:t>
            </w:r>
          </w:p>
        </w:tc>
      </w:tr>
      <w:tr>
        <w:trPr>
          <w:trHeight w:val="177" w:hRule="atLeast"/>
        </w:trPr>
        <w:tc>
          <w:tcPr>
            <w:tcW w:w="5794" w:type="dxa"/>
          </w:tcPr>
          <w:p>
            <w:pPr>
              <w:pStyle w:val="TableParagraph"/>
              <w:spacing w:line="142" w:lineRule="exact" w:before="15"/>
              <w:ind w:left="107"/>
              <w:rPr>
                <w:b/>
                <w:sz w:val="14"/>
              </w:rPr>
            </w:pPr>
            <w:r>
              <w:rPr>
                <w:b/>
                <w:sz w:val="14"/>
              </w:rPr>
              <w:t>Maroondah</w:t>
            </w:r>
            <w:r>
              <w:rPr>
                <w:b/>
                <w:spacing w:val="-4"/>
                <w:sz w:val="14"/>
              </w:rPr>
              <w:t> </w:t>
            </w:r>
            <w:r>
              <w:rPr>
                <w:b/>
                <w:sz w:val="14"/>
              </w:rPr>
              <w:t>Leisure</w:t>
            </w:r>
            <w:r>
              <w:rPr>
                <w:b/>
                <w:spacing w:val="-4"/>
                <w:sz w:val="14"/>
              </w:rPr>
              <w:t> </w:t>
            </w:r>
            <w:r>
              <w:rPr>
                <w:b/>
                <w:sz w:val="14"/>
              </w:rPr>
              <w:t>Fitness</w:t>
            </w:r>
            <w:r>
              <w:rPr>
                <w:b/>
                <w:spacing w:val="-7"/>
                <w:sz w:val="14"/>
              </w:rPr>
              <w:t> </w:t>
            </w:r>
            <w:r>
              <w:rPr>
                <w:b/>
                <w:sz w:val="14"/>
              </w:rPr>
              <w:t>Plus</w:t>
            </w:r>
            <w:r>
              <w:rPr>
                <w:b/>
                <w:spacing w:val="-6"/>
                <w:sz w:val="14"/>
              </w:rPr>
              <w:t> </w:t>
            </w:r>
            <w:r>
              <w:rPr>
                <w:b/>
                <w:spacing w:val="-4"/>
                <w:sz w:val="14"/>
              </w:rPr>
              <w:t>Teen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25.00</w:t>
            </w:r>
          </w:p>
        </w:tc>
        <w:tc>
          <w:tcPr>
            <w:tcW w:w="995" w:type="dxa"/>
          </w:tcPr>
          <w:p>
            <w:pPr>
              <w:pStyle w:val="TableParagraph"/>
              <w:spacing w:line="140" w:lineRule="exact" w:before="15"/>
              <w:ind w:right="101"/>
              <w:jc w:val="right"/>
              <w:rPr>
                <w:sz w:val="14"/>
              </w:rPr>
            </w:pPr>
            <w:r>
              <w:rPr>
                <w:spacing w:val="-2"/>
                <w:sz w:val="14"/>
              </w:rPr>
              <w:t>30.00</w:t>
            </w:r>
          </w:p>
        </w:tc>
        <w:tc>
          <w:tcPr>
            <w:tcW w:w="861" w:type="dxa"/>
          </w:tcPr>
          <w:p>
            <w:pPr>
              <w:pStyle w:val="TableParagraph"/>
              <w:spacing w:line="140" w:lineRule="exact" w:before="15"/>
              <w:ind w:left="288"/>
              <w:rPr>
                <w:sz w:val="14"/>
              </w:rPr>
            </w:pPr>
            <w:r>
              <w:rPr>
                <w:spacing w:val="-4"/>
                <w:sz w:val="14"/>
              </w:rPr>
              <w:t>16.7</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4"/>
                <w:sz w:val="14"/>
              </w:rPr>
              <w:t> </w:t>
            </w:r>
            <w:r>
              <w:rPr>
                <w:b/>
                <w:sz w:val="14"/>
              </w:rPr>
              <w:t>Fitness</w:t>
            </w:r>
            <w:r>
              <w:rPr>
                <w:b/>
                <w:spacing w:val="-7"/>
                <w:sz w:val="14"/>
              </w:rPr>
              <w:t> </w:t>
            </w:r>
            <w:r>
              <w:rPr>
                <w:b/>
                <w:sz w:val="14"/>
              </w:rPr>
              <w:t>Plus</w:t>
            </w:r>
            <w:r>
              <w:rPr>
                <w:b/>
                <w:spacing w:val="-5"/>
                <w:sz w:val="14"/>
              </w:rPr>
              <w:t> </w:t>
            </w:r>
            <w:r>
              <w:rPr>
                <w:b/>
                <w:spacing w:val="-2"/>
                <w:sz w:val="14"/>
              </w:rPr>
              <w:t>Individual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Maroondah</w:t>
            </w:r>
            <w:r>
              <w:rPr>
                <w:spacing w:val="-5"/>
                <w:sz w:val="14"/>
              </w:rPr>
              <w:t> </w:t>
            </w:r>
            <w:r>
              <w:rPr>
                <w:sz w:val="14"/>
              </w:rPr>
              <w:t>Leisure</w:t>
            </w:r>
            <w:r>
              <w:rPr>
                <w:spacing w:val="-5"/>
                <w:sz w:val="14"/>
              </w:rPr>
              <w:t> </w:t>
            </w:r>
            <w:r>
              <w:rPr>
                <w:sz w:val="14"/>
              </w:rPr>
              <w:t>Fitness</w:t>
            </w:r>
            <w:r>
              <w:rPr>
                <w:spacing w:val="-6"/>
                <w:sz w:val="14"/>
              </w:rPr>
              <w:t> </w:t>
            </w:r>
            <w:r>
              <w:rPr>
                <w:sz w:val="14"/>
              </w:rPr>
              <w:t>Plus</w:t>
            </w:r>
            <w:r>
              <w:rPr>
                <w:spacing w:val="-6"/>
                <w:sz w:val="14"/>
              </w:rPr>
              <w:t> </w:t>
            </w:r>
            <w:r>
              <w:rPr>
                <w:spacing w:val="-2"/>
                <w:sz w:val="14"/>
              </w:rPr>
              <w:t>Individual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49.90</w:t>
            </w:r>
          </w:p>
        </w:tc>
        <w:tc>
          <w:tcPr>
            <w:tcW w:w="995" w:type="dxa"/>
          </w:tcPr>
          <w:p>
            <w:pPr>
              <w:pStyle w:val="TableParagraph"/>
              <w:spacing w:line="140" w:lineRule="exact" w:before="17"/>
              <w:ind w:right="101"/>
              <w:jc w:val="right"/>
              <w:rPr>
                <w:sz w:val="14"/>
              </w:rPr>
            </w:pPr>
            <w:r>
              <w:rPr>
                <w:spacing w:val="-2"/>
                <w:sz w:val="14"/>
              </w:rPr>
              <w:t>52.00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b/>
                <w:sz w:val="14"/>
              </w:rPr>
            </w:pPr>
            <w:r>
              <w:rPr>
                <w:b/>
                <w:sz w:val="14"/>
              </w:rPr>
              <w:t>Club</w:t>
            </w:r>
            <w:r>
              <w:rPr>
                <w:b/>
                <w:spacing w:val="-7"/>
                <w:sz w:val="14"/>
              </w:rPr>
              <w:t> </w:t>
            </w:r>
            <w:r>
              <w:rPr>
                <w:b/>
                <w:sz w:val="14"/>
              </w:rPr>
              <w:t>Membership</w:t>
            </w:r>
            <w:r>
              <w:rPr>
                <w:b/>
                <w:spacing w:val="-4"/>
                <w:sz w:val="14"/>
              </w:rPr>
              <w:t> </w:t>
            </w:r>
            <w:r>
              <w:rPr>
                <w:b/>
                <w:sz w:val="14"/>
              </w:rPr>
              <w:t>Ringwood</w:t>
            </w:r>
            <w:r>
              <w:rPr>
                <w:b/>
                <w:spacing w:val="-7"/>
                <w:sz w:val="14"/>
              </w:rPr>
              <w:t> </w:t>
            </w:r>
            <w:r>
              <w:rPr>
                <w:b/>
                <w:sz w:val="14"/>
              </w:rPr>
              <w:t>Swimming</w:t>
            </w:r>
            <w:r>
              <w:rPr>
                <w:b/>
                <w:spacing w:val="-4"/>
                <w:sz w:val="14"/>
              </w:rPr>
              <w:t> Club</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Club</w:t>
            </w:r>
            <w:r>
              <w:rPr>
                <w:spacing w:val="-5"/>
                <w:sz w:val="14"/>
              </w:rPr>
              <w:t> </w:t>
            </w:r>
            <w:r>
              <w:rPr>
                <w:sz w:val="14"/>
              </w:rPr>
              <w:t>Memberships</w:t>
            </w:r>
            <w:r>
              <w:rPr>
                <w:spacing w:val="-4"/>
                <w:sz w:val="14"/>
              </w:rPr>
              <w:t> </w:t>
            </w:r>
            <w:r>
              <w:rPr>
                <w:sz w:val="14"/>
              </w:rPr>
              <w:t>Ringwood</w:t>
            </w:r>
            <w:r>
              <w:rPr>
                <w:spacing w:val="-6"/>
                <w:sz w:val="14"/>
              </w:rPr>
              <w:t> </w:t>
            </w:r>
            <w:r>
              <w:rPr>
                <w:sz w:val="14"/>
              </w:rPr>
              <w:t>Swimming</w:t>
            </w:r>
            <w:r>
              <w:rPr>
                <w:spacing w:val="-6"/>
                <w:sz w:val="14"/>
              </w:rPr>
              <w:t> </w:t>
            </w:r>
            <w:r>
              <w:rPr>
                <w:spacing w:val="-4"/>
                <w:sz w:val="14"/>
              </w:rPr>
              <w:t>Club</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20.50</w:t>
            </w:r>
          </w:p>
        </w:tc>
        <w:tc>
          <w:tcPr>
            <w:tcW w:w="995" w:type="dxa"/>
          </w:tcPr>
          <w:p>
            <w:pPr>
              <w:pStyle w:val="TableParagraph"/>
              <w:spacing w:line="140" w:lineRule="exact" w:before="17"/>
              <w:ind w:right="101"/>
              <w:jc w:val="right"/>
              <w:rPr>
                <w:sz w:val="14"/>
              </w:rPr>
            </w:pPr>
            <w:r>
              <w:rPr>
                <w:spacing w:val="-2"/>
                <w:sz w:val="14"/>
              </w:rPr>
              <w:t>20.50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4"/>
                <w:sz w:val="14"/>
              </w:rPr>
              <w:t> </w:t>
            </w:r>
            <w:r>
              <w:rPr>
                <w:b/>
                <w:sz w:val="14"/>
              </w:rPr>
              <w:t>-</w:t>
            </w:r>
            <w:r>
              <w:rPr>
                <w:b/>
                <w:spacing w:val="-4"/>
                <w:sz w:val="14"/>
              </w:rPr>
              <w:t> </w:t>
            </w:r>
            <w:r>
              <w:rPr>
                <w:b/>
                <w:sz w:val="14"/>
              </w:rPr>
              <w:t>Family</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Lifestyle</w:t>
            </w:r>
            <w:r>
              <w:rPr>
                <w:spacing w:val="-8"/>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127.50</w:t>
            </w:r>
          </w:p>
        </w:tc>
        <w:tc>
          <w:tcPr>
            <w:tcW w:w="995" w:type="dxa"/>
          </w:tcPr>
          <w:p>
            <w:pPr>
              <w:pStyle w:val="TableParagraph"/>
              <w:spacing w:line="140" w:lineRule="exact" w:before="17"/>
              <w:ind w:right="102"/>
              <w:jc w:val="right"/>
              <w:rPr>
                <w:sz w:val="14"/>
              </w:rPr>
            </w:pPr>
            <w:r>
              <w:rPr>
                <w:spacing w:val="-2"/>
                <w:sz w:val="14"/>
              </w:rPr>
              <w:t>139.23</w:t>
            </w:r>
          </w:p>
        </w:tc>
        <w:tc>
          <w:tcPr>
            <w:tcW w:w="861" w:type="dxa"/>
          </w:tcPr>
          <w:p>
            <w:pPr>
              <w:pStyle w:val="TableParagraph"/>
              <w:spacing w:line="140" w:lineRule="exact" w:before="17"/>
              <w:ind w:left="327"/>
              <w:rPr>
                <w:sz w:val="14"/>
              </w:rPr>
            </w:pPr>
            <w:r>
              <w:rPr>
                <w:spacing w:val="-5"/>
                <w:sz w:val="14"/>
              </w:rPr>
              <w:t>8.4</w:t>
            </w:r>
          </w:p>
        </w:tc>
      </w:tr>
      <w:tr>
        <w:trPr>
          <w:trHeight w:val="177" w:hRule="atLeast"/>
        </w:trPr>
        <w:tc>
          <w:tcPr>
            <w:tcW w:w="5794" w:type="dxa"/>
          </w:tcPr>
          <w:p>
            <w:pPr>
              <w:pStyle w:val="TableParagraph"/>
              <w:spacing w:line="140" w:lineRule="exact" w:before="17"/>
              <w:ind w:left="107"/>
              <w:rPr>
                <w:sz w:val="14"/>
              </w:rPr>
            </w:pPr>
            <w:r>
              <w:rPr>
                <w:spacing w:val="-2"/>
                <w:sz w:val="14"/>
              </w:rPr>
              <w:t>Lifestyle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150.00</w:t>
            </w:r>
          </w:p>
        </w:tc>
        <w:tc>
          <w:tcPr>
            <w:tcW w:w="995" w:type="dxa"/>
          </w:tcPr>
          <w:p>
            <w:pPr>
              <w:pStyle w:val="TableParagraph"/>
              <w:spacing w:line="140" w:lineRule="exact" w:before="17"/>
              <w:ind w:right="102"/>
              <w:jc w:val="right"/>
              <w:rPr>
                <w:sz w:val="14"/>
              </w:rPr>
            </w:pPr>
            <w:r>
              <w:rPr>
                <w:spacing w:val="-2"/>
                <w:sz w:val="14"/>
              </w:rPr>
              <w:t>163.80</w:t>
            </w:r>
          </w:p>
        </w:tc>
        <w:tc>
          <w:tcPr>
            <w:tcW w:w="861" w:type="dxa"/>
          </w:tcPr>
          <w:p>
            <w:pPr>
              <w:pStyle w:val="TableParagraph"/>
              <w:spacing w:line="140" w:lineRule="exact" w:before="17"/>
              <w:ind w:left="327"/>
              <w:rPr>
                <w:sz w:val="14"/>
              </w:rPr>
            </w:pPr>
            <w:r>
              <w:rPr>
                <w:spacing w:val="-5"/>
                <w:sz w:val="14"/>
              </w:rPr>
              <w:t>8.4</w:t>
            </w:r>
          </w:p>
        </w:tc>
      </w:tr>
      <w:tr>
        <w:trPr>
          <w:trHeight w:val="177" w:hRule="atLeast"/>
        </w:trPr>
        <w:tc>
          <w:tcPr>
            <w:tcW w:w="5794" w:type="dxa"/>
          </w:tcPr>
          <w:p>
            <w:pPr>
              <w:pStyle w:val="TableParagraph"/>
              <w:spacing w:line="140" w:lineRule="exact" w:before="17"/>
              <w:ind w:left="107"/>
              <w:rPr>
                <w:sz w:val="14"/>
              </w:rPr>
            </w:pPr>
            <w:r>
              <w:rPr>
                <w:sz w:val="14"/>
              </w:rPr>
              <w:t>Mates</w:t>
            </w:r>
            <w:r>
              <w:rPr>
                <w:spacing w:val="-3"/>
                <w:sz w:val="14"/>
              </w:rPr>
              <w:t> </w:t>
            </w:r>
            <w:r>
              <w:rPr>
                <w:sz w:val="14"/>
              </w:rPr>
              <w:t>Lifestyle</w:t>
            </w:r>
            <w:r>
              <w:rPr>
                <w:spacing w:val="-5"/>
                <w:sz w:val="14"/>
              </w:rPr>
              <w:t> </w:t>
            </w:r>
            <w:r>
              <w:rPr>
                <w:sz w:val="14"/>
              </w:rPr>
              <w:t>x</w:t>
            </w:r>
            <w:r>
              <w:rPr>
                <w:spacing w:val="-3"/>
                <w:sz w:val="14"/>
              </w:rPr>
              <w:t> </w:t>
            </w:r>
            <w:r>
              <w:rPr>
                <w:spacing w:val="-10"/>
                <w:sz w:val="14"/>
              </w:rPr>
              <w:t>2</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135.50</w:t>
            </w:r>
          </w:p>
        </w:tc>
        <w:tc>
          <w:tcPr>
            <w:tcW w:w="995" w:type="dxa"/>
          </w:tcPr>
          <w:p>
            <w:pPr>
              <w:pStyle w:val="TableParagraph"/>
              <w:spacing w:line="140" w:lineRule="exact" w:before="17"/>
              <w:ind w:right="102"/>
              <w:jc w:val="right"/>
              <w:rPr>
                <w:sz w:val="14"/>
              </w:rPr>
            </w:pPr>
            <w:r>
              <w:rPr>
                <w:spacing w:val="-2"/>
                <w:sz w:val="14"/>
              </w:rPr>
              <w:t>140.40</w:t>
            </w:r>
          </w:p>
        </w:tc>
        <w:tc>
          <w:tcPr>
            <w:tcW w:w="861" w:type="dxa"/>
          </w:tcPr>
          <w:p>
            <w:pPr>
              <w:pStyle w:val="TableParagraph"/>
              <w:spacing w:line="140" w:lineRule="exact" w:before="17"/>
              <w:ind w:left="327"/>
              <w:rPr>
                <w:sz w:val="14"/>
              </w:rPr>
            </w:pPr>
            <w:r>
              <w:rPr>
                <w:spacing w:val="-5"/>
                <w:sz w:val="14"/>
              </w:rPr>
              <w:t>3.5</w:t>
            </w:r>
          </w:p>
        </w:tc>
      </w:tr>
      <w:tr>
        <w:trPr>
          <w:trHeight w:val="177" w:hRule="atLeast"/>
        </w:trPr>
        <w:tc>
          <w:tcPr>
            <w:tcW w:w="5794" w:type="dxa"/>
          </w:tcPr>
          <w:p>
            <w:pPr>
              <w:pStyle w:val="TableParagraph"/>
              <w:spacing w:line="140" w:lineRule="exact" w:before="17"/>
              <w:ind w:left="107"/>
              <w:rPr>
                <w:sz w:val="14"/>
              </w:rPr>
            </w:pPr>
            <w:r>
              <w:rPr>
                <w:sz w:val="14"/>
              </w:rPr>
              <w:t>Mates</w:t>
            </w:r>
            <w:r>
              <w:rPr>
                <w:spacing w:val="-3"/>
                <w:sz w:val="14"/>
              </w:rPr>
              <w:t> </w:t>
            </w:r>
            <w:r>
              <w:rPr>
                <w:sz w:val="14"/>
              </w:rPr>
              <w:t>Lifestyle</w:t>
            </w:r>
            <w:r>
              <w:rPr>
                <w:spacing w:val="-5"/>
                <w:sz w:val="14"/>
              </w:rPr>
              <w:t> </w:t>
            </w:r>
            <w:r>
              <w:rPr>
                <w:sz w:val="14"/>
              </w:rPr>
              <w:t>x</w:t>
            </w:r>
            <w:r>
              <w:rPr>
                <w:spacing w:val="-3"/>
                <w:sz w:val="14"/>
              </w:rPr>
              <w:t> </w:t>
            </w:r>
            <w:r>
              <w:rPr>
                <w:spacing w:val="-10"/>
                <w:sz w:val="14"/>
              </w:rPr>
              <w:t>3</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203.25</w:t>
            </w:r>
          </w:p>
        </w:tc>
        <w:tc>
          <w:tcPr>
            <w:tcW w:w="995" w:type="dxa"/>
          </w:tcPr>
          <w:p>
            <w:pPr>
              <w:pStyle w:val="TableParagraph"/>
              <w:spacing w:line="140" w:lineRule="exact" w:before="17"/>
              <w:ind w:right="102"/>
              <w:jc w:val="right"/>
              <w:rPr>
                <w:sz w:val="14"/>
              </w:rPr>
            </w:pPr>
            <w:r>
              <w:rPr>
                <w:spacing w:val="-2"/>
                <w:sz w:val="14"/>
              </w:rPr>
              <w:t>210.60</w:t>
            </w:r>
          </w:p>
        </w:tc>
        <w:tc>
          <w:tcPr>
            <w:tcW w:w="861" w:type="dxa"/>
          </w:tcPr>
          <w:p>
            <w:pPr>
              <w:pStyle w:val="TableParagraph"/>
              <w:spacing w:line="140" w:lineRule="exact" w:before="17"/>
              <w:ind w:left="327"/>
              <w:rPr>
                <w:sz w:val="14"/>
              </w:rPr>
            </w:pPr>
            <w:r>
              <w:rPr>
                <w:spacing w:val="-5"/>
                <w:sz w:val="14"/>
              </w:rPr>
              <w:t>3.5</w:t>
            </w:r>
          </w:p>
        </w:tc>
      </w:tr>
      <w:tr>
        <w:trPr>
          <w:trHeight w:val="177" w:hRule="atLeast"/>
        </w:trPr>
        <w:tc>
          <w:tcPr>
            <w:tcW w:w="5794" w:type="dxa"/>
          </w:tcPr>
          <w:p>
            <w:pPr>
              <w:pStyle w:val="TableParagraph"/>
              <w:spacing w:line="140" w:lineRule="exact" w:before="17"/>
              <w:ind w:left="107"/>
              <w:rPr>
                <w:sz w:val="14"/>
              </w:rPr>
            </w:pPr>
            <w:r>
              <w:rPr>
                <w:sz w:val="14"/>
              </w:rPr>
              <w:t>Mates</w:t>
            </w:r>
            <w:r>
              <w:rPr>
                <w:spacing w:val="-3"/>
                <w:sz w:val="14"/>
              </w:rPr>
              <w:t> </w:t>
            </w:r>
            <w:r>
              <w:rPr>
                <w:sz w:val="14"/>
              </w:rPr>
              <w:t>Lifestyle</w:t>
            </w:r>
            <w:r>
              <w:rPr>
                <w:spacing w:val="-5"/>
                <w:sz w:val="14"/>
              </w:rPr>
              <w:t> </w:t>
            </w:r>
            <w:r>
              <w:rPr>
                <w:sz w:val="14"/>
              </w:rPr>
              <w:t>x</w:t>
            </w:r>
            <w:r>
              <w:rPr>
                <w:spacing w:val="-3"/>
                <w:sz w:val="14"/>
              </w:rPr>
              <w:t> </w:t>
            </w:r>
            <w:r>
              <w:rPr>
                <w:spacing w:val="-10"/>
                <w:sz w:val="14"/>
              </w:rPr>
              <w:t>4</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271.00</w:t>
            </w:r>
          </w:p>
        </w:tc>
        <w:tc>
          <w:tcPr>
            <w:tcW w:w="995" w:type="dxa"/>
          </w:tcPr>
          <w:p>
            <w:pPr>
              <w:pStyle w:val="TableParagraph"/>
              <w:spacing w:line="140" w:lineRule="exact" w:before="17"/>
              <w:ind w:right="102"/>
              <w:jc w:val="right"/>
              <w:rPr>
                <w:sz w:val="14"/>
              </w:rPr>
            </w:pPr>
            <w:r>
              <w:rPr>
                <w:spacing w:val="-2"/>
                <w:sz w:val="14"/>
              </w:rPr>
              <w:t>280.80</w:t>
            </w:r>
          </w:p>
        </w:tc>
        <w:tc>
          <w:tcPr>
            <w:tcW w:w="861" w:type="dxa"/>
          </w:tcPr>
          <w:p>
            <w:pPr>
              <w:pStyle w:val="TableParagraph"/>
              <w:spacing w:line="140" w:lineRule="exact" w:before="17"/>
              <w:ind w:left="327"/>
              <w:rPr>
                <w:sz w:val="14"/>
              </w:rPr>
            </w:pPr>
            <w:r>
              <w:rPr>
                <w:spacing w:val="-5"/>
                <w:sz w:val="14"/>
              </w:rPr>
              <w:t>3.5</w:t>
            </w:r>
          </w:p>
        </w:tc>
      </w:tr>
      <w:tr>
        <w:trPr>
          <w:trHeight w:val="177" w:hRule="atLeast"/>
        </w:trPr>
        <w:tc>
          <w:tcPr>
            <w:tcW w:w="5794" w:type="dxa"/>
          </w:tcPr>
          <w:p>
            <w:pPr>
              <w:pStyle w:val="TableParagraph"/>
              <w:spacing w:line="142" w:lineRule="exact" w:before="15"/>
              <w:ind w:left="107"/>
              <w:rPr>
                <w:sz w:val="14"/>
              </w:rPr>
            </w:pPr>
            <w:r>
              <w:rPr>
                <w:sz w:val="14"/>
              </w:rPr>
              <w:t>Teen</w:t>
            </w:r>
            <w:r>
              <w:rPr>
                <w:spacing w:val="-4"/>
                <w:sz w:val="14"/>
              </w:rPr>
              <w:t> </w:t>
            </w:r>
            <w:r>
              <w:rPr>
                <w:spacing w:val="-2"/>
                <w:sz w:val="14"/>
              </w:rPr>
              <w:t>Lifestyle</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37.60</w:t>
            </w:r>
          </w:p>
        </w:tc>
        <w:tc>
          <w:tcPr>
            <w:tcW w:w="995" w:type="dxa"/>
          </w:tcPr>
          <w:p>
            <w:pPr>
              <w:pStyle w:val="TableParagraph"/>
              <w:spacing w:line="142" w:lineRule="exact" w:before="15"/>
              <w:ind w:right="101"/>
              <w:jc w:val="right"/>
              <w:rPr>
                <w:sz w:val="14"/>
              </w:rPr>
            </w:pPr>
            <w:r>
              <w:rPr>
                <w:spacing w:val="-2"/>
                <w:sz w:val="14"/>
              </w:rPr>
              <w:t>41.00</w:t>
            </w:r>
          </w:p>
        </w:tc>
        <w:tc>
          <w:tcPr>
            <w:tcW w:w="861" w:type="dxa"/>
          </w:tcPr>
          <w:p>
            <w:pPr>
              <w:pStyle w:val="TableParagraph"/>
              <w:spacing w:line="142" w:lineRule="exact" w:before="15"/>
              <w:ind w:left="326"/>
              <w:rPr>
                <w:sz w:val="14"/>
              </w:rPr>
            </w:pPr>
            <w:r>
              <w:rPr>
                <w:spacing w:val="-5"/>
                <w:sz w:val="14"/>
              </w:rPr>
              <w:t>8.3</w:t>
            </w:r>
          </w:p>
        </w:tc>
      </w:tr>
      <w:tr>
        <w:trPr>
          <w:trHeight w:val="174" w:hRule="atLeast"/>
        </w:trPr>
        <w:tc>
          <w:tcPr>
            <w:tcW w:w="5794" w:type="dxa"/>
          </w:tcPr>
          <w:p>
            <w:pPr>
              <w:pStyle w:val="TableParagraph"/>
              <w:spacing w:line="140" w:lineRule="exact" w:before="15"/>
              <w:ind w:left="107"/>
              <w:rPr>
                <w:b/>
                <w:sz w:val="14"/>
              </w:rPr>
            </w:pPr>
            <w:r>
              <w:rPr>
                <w:b/>
                <w:sz w:val="14"/>
              </w:rPr>
              <w:t>Maroondah</w:t>
            </w:r>
            <w:r>
              <w:rPr>
                <w:b/>
                <w:spacing w:val="-3"/>
                <w:sz w:val="14"/>
              </w:rPr>
              <w:t> </w:t>
            </w:r>
            <w:r>
              <w:rPr>
                <w:b/>
                <w:sz w:val="14"/>
              </w:rPr>
              <w:t>Leisure</w:t>
            </w:r>
            <w:r>
              <w:rPr>
                <w:b/>
                <w:spacing w:val="-2"/>
                <w:sz w:val="14"/>
              </w:rPr>
              <w:t> </w:t>
            </w:r>
            <w:r>
              <w:rPr>
                <w:b/>
                <w:sz w:val="14"/>
              </w:rPr>
              <w:t>-</w:t>
            </w:r>
            <w:r>
              <w:rPr>
                <w:b/>
                <w:spacing w:val="-6"/>
                <w:sz w:val="14"/>
              </w:rPr>
              <w:t> </w:t>
            </w:r>
            <w:r>
              <w:rPr>
                <w:b/>
                <w:sz w:val="14"/>
              </w:rPr>
              <w:t>50</w:t>
            </w:r>
            <w:r>
              <w:rPr>
                <w:b/>
                <w:spacing w:val="-5"/>
                <w:sz w:val="14"/>
              </w:rPr>
              <w:t> </w:t>
            </w:r>
            <w:r>
              <w:rPr>
                <w:b/>
                <w:sz w:val="14"/>
              </w:rPr>
              <w:t>Plus</w:t>
            </w:r>
            <w:r>
              <w:rPr>
                <w:b/>
                <w:spacing w:val="-2"/>
                <w:sz w:val="14"/>
              </w:rPr>
              <w:t> </w:t>
            </w:r>
            <w:r>
              <w:rPr>
                <w:b/>
                <w:sz w:val="14"/>
              </w:rPr>
              <w:t>Lifestyle</w:t>
            </w:r>
            <w:r>
              <w:rPr>
                <w:b/>
                <w:spacing w:val="-6"/>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Fee</w:t>
            </w:r>
            <w:r>
              <w:rPr>
                <w:spacing w:val="-6"/>
                <w:sz w:val="14"/>
              </w:rPr>
              <w:t> </w:t>
            </w:r>
            <w:r>
              <w:rPr>
                <w:spacing w:val="-2"/>
                <w:sz w:val="14"/>
              </w:rPr>
              <w:t>Individual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67.70</w:t>
            </w:r>
          </w:p>
        </w:tc>
        <w:tc>
          <w:tcPr>
            <w:tcW w:w="995" w:type="dxa"/>
          </w:tcPr>
          <w:p>
            <w:pPr>
              <w:pStyle w:val="TableParagraph"/>
              <w:spacing w:line="140" w:lineRule="exact" w:before="17"/>
              <w:ind w:right="101"/>
              <w:jc w:val="right"/>
              <w:rPr>
                <w:sz w:val="14"/>
              </w:rPr>
            </w:pPr>
            <w:r>
              <w:rPr>
                <w:spacing w:val="-2"/>
                <w:sz w:val="14"/>
              </w:rPr>
              <w:t>69.70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Fee</w:t>
            </w:r>
            <w:r>
              <w:rPr>
                <w:spacing w:val="-6"/>
                <w:sz w:val="14"/>
              </w:rPr>
              <w:t> </w:t>
            </w:r>
            <w:r>
              <w:rPr>
                <w:sz w:val="14"/>
              </w:rPr>
              <w:t>Individual</w:t>
            </w:r>
            <w:r>
              <w:rPr>
                <w:spacing w:val="-4"/>
                <w:sz w:val="14"/>
              </w:rPr>
              <w:t> </w:t>
            </w:r>
            <w:r>
              <w:rPr>
                <w:sz w:val="14"/>
              </w:rPr>
              <w:t>+</w:t>
            </w:r>
            <w:r>
              <w:rPr>
                <w:spacing w:val="-2"/>
                <w:sz w:val="14"/>
              </w:rPr>
              <w:t> Partner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135.50</w:t>
            </w:r>
          </w:p>
        </w:tc>
        <w:tc>
          <w:tcPr>
            <w:tcW w:w="995" w:type="dxa"/>
          </w:tcPr>
          <w:p>
            <w:pPr>
              <w:pStyle w:val="TableParagraph"/>
              <w:spacing w:line="140" w:lineRule="exact" w:before="17"/>
              <w:ind w:right="102"/>
              <w:jc w:val="right"/>
              <w:rPr>
                <w:sz w:val="14"/>
              </w:rPr>
            </w:pPr>
            <w:r>
              <w:rPr>
                <w:spacing w:val="-2"/>
                <w:sz w:val="14"/>
              </w:rPr>
              <w:t>140.00</w:t>
            </w:r>
          </w:p>
        </w:tc>
        <w:tc>
          <w:tcPr>
            <w:tcW w:w="861" w:type="dxa"/>
          </w:tcPr>
          <w:p>
            <w:pPr>
              <w:pStyle w:val="TableParagraph"/>
              <w:spacing w:line="140" w:lineRule="exact" w:before="17"/>
              <w:ind w:left="327"/>
              <w:rPr>
                <w:sz w:val="14"/>
              </w:rPr>
            </w:pPr>
            <w:r>
              <w:rPr>
                <w:spacing w:val="-5"/>
                <w:sz w:val="14"/>
              </w:rPr>
              <w:t>3.2</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4"/>
                <w:sz w:val="14"/>
              </w:rPr>
              <w:t> </w:t>
            </w:r>
            <w:r>
              <w:rPr>
                <w:b/>
                <w:sz w:val="14"/>
              </w:rPr>
              <w:t>-</w:t>
            </w:r>
            <w:r>
              <w:rPr>
                <w:b/>
                <w:spacing w:val="-7"/>
                <w:sz w:val="14"/>
              </w:rPr>
              <w:t> </w:t>
            </w:r>
            <w:r>
              <w:rPr>
                <w:b/>
                <w:sz w:val="14"/>
              </w:rPr>
              <w:t>Individual</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Lifestyle</w:t>
            </w:r>
            <w:r>
              <w:rPr>
                <w:spacing w:val="-8"/>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64.00</w:t>
            </w:r>
          </w:p>
        </w:tc>
        <w:tc>
          <w:tcPr>
            <w:tcW w:w="995" w:type="dxa"/>
          </w:tcPr>
          <w:p>
            <w:pPr>
              <w:pStyle w:val="TableParagraph"/>
              <w:spacing w:line="140" w:lineRule="exact" w:before="17"/>
              <w:ind w:right="101"/>
              <w:jc w:val="right"/>
              <w:rPr>
                <w:sz w:val="14"/>
              </w:rPr>
            </w:pPr>
            <w:r>
              <w:rPr>
                <w:spacing w:val="-2"/>
                <w:sz w:val="14"/>
              </w:rPr>
              <w:t>66.30</w:t>
            </w:r>
          </w:p>
        </w:tc>
        <w:tc>
          <w:tcPr>
            <w:tcW w:w="861" w:type="dxa"/>
          </w:tcPr>
          <w:p>
            <w:pPr>
              <w:pStyle w:val="TableParagraph"/>
              <w:spacing w:line="140" w:lineRule="exact" w:before="17"/>
              <w:ind w:left="327"/>
              <w:rPr>
                <w:sz w:val="14"/>
              </w:rPr>
            </w:pPr>
            <w:r>
              <w:rPr>
                <w:spacing w:val="-5"/>
                <w:sz w:val="14"/>
              </w:rPr>
              <w:t>3.5</w:t>
            </w:r>
          </w:p>
        </w:tc>
      </w:tr>
      <w:tr>
        <w:trPr>
          <w:trHeight w:val="177" w:hRule="atLeast"/>
        </w:trPr>
        <w:tc>
          <w:tcPr>
            <w:tcW w:w="5794" w:type="dxa"/>
          </w:tcPr>
          <w:p>
            <w:pPr>
              <w:pStyle w:val="TableParagraph"/>
              <w:spacing w:line="140" w:lineRule="exact" w:before="17"/>
              <w:ind w:left="107"/>
              <w:rPr>
                <w:sz w:val="14"/>
              </w:rPr>
            </w:pPr>
            <w:r>
              <w:rPr>
                <w:sz w:val="14"/>
              </w:rPr>
              <w:t>Lifestyle</w:t>
            </w:r>
            <w:r>
              <w:rPr>
                <w:spacing w:val="-8"/>
                <w:sz w:val="14"/>
              </w:rPr>
              <w:t> </w:t>
            </w:r>
            <w:r>
              <w:rPr>
                <w:spacing w:val="-2"/>
                <w:sz w:val="14"/>
              </w:rPr>
              <w:t>Individual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75.00</w:t>
            </w:r>
          </w:p>
        </w:tc>
        <w:tc>
          <w:tcPr>
            <w:tcW w:w="995" w:type="dxa"/>
          </w:tcPr>
          <w:p>
            <w:pPr>
              <w:pStyle w:val="TableParagraph"/>
              <w:spacing w:line="140" w:lineRule="exact" w:before="17"/>
              <w:ind w:right="101"/>
              <w:jc w:val="right"/>
              <w:rPr>
                <w:sz w:val="14"/>
              </w:rPr>
            </w:pPr>
            <w:r>
              <w:rPr>
                <w:spacing w:val="-2"/>
                <w:sz w:val="14"/>
              </w:rPr>
              <w:t>78.00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3"/>
                <w:sz w:val="14"/>
              </w:rPr>
              <w:t> </w:t>
            </w:r>
            <w:r>
              <w:rPr>
                <w:b/>
                <w:sz w:val="14"/>
              </w:rPr>
              <w:t>-</w:t>
            </w:r>
            <w:r>
              <w:rPr>
                <w:b/>
                <w:spacing w:val="-6"/>
                <w:sz w:val="14"/>
              </w:rPr>
              <w:t> </w:t>
            </w:r>
            <w:r>
              <w:rPr>
                <w:b/>
                <w:spacing w:val="-4"/>
                <w:sz w:val="14"/>
              </w:rPr>
              <w:t>Golf</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58.65</w:t>
            </w:r>
          </w:p>
        </w:tc>
        <w:tc>
          <w:tcPr>
            <w:tcW w:w="995" w:type="dxa"/>
          </w:tcPr>
          <w:p>
            <w:pPr>
              <w:pStyle w:val="TableParagraph"/>
              <w:spacing w:line="140" w:lineRule="exact" w:before="17"/>
              <w:ind w:right="101"/>
              <w:jc w:val="right"/>
              <w:rPr>
                <w:sz w:val="14"/>
              </w:rPr>
            </w:pPr>
            <w:r>
              <w:rPr>
                <w:spacing w:val="-2"/>
                <w:sz w:val="14"/>
              </w:rPr>
              <w:t>61.20</w:t>
            </w:r>
          </w:p>
        </w:tc>
        <w:tc>
          <w:tcPr>
            <w:tcW w:w="861" w:type="dxa"/>
          </w:tcPr>
          <w:p>
            <w:pPr>
              <w:pStyle w:val="TableParagraph"/>
              <w:spacing w:line="140" w:lineRule="exact" w:before="17"/>
              <w:ind w:left="327"/>
              <w:rPr>
                <w:sz w:val="14"/>
              </w:rPr>
            </w:pPr>
            <w:r>
              <w:rPr>
                <w:spacing w:val="-5"/>
                <w:sz w:val="14"/>
              </w:rPr>
              <w:t>4.2</w:t>
            </w:r>
          </w:p>
        </w:tc>
      </w:tr>
      <w:tr>
        <w:trPr>
          <w:trHeight w:val="177" w:hRule="atLeast"/>
        </w:trPr>
        <w:tc>
          <w:tcPr>
            <w:tcW w:w="5794" w:type="dxa"/>
          </w:tcPr>
          <w:p>
            <w:pPr>
              <w:pStyle w:val="TableParagraph"/>
              <w:spacing w:line="140" w:lineRule="exact" w:before="17"/>
              <w:ind w:left="107"/>
              <w:rPr>
                <w:sz w:val="14"/>
              </w:rPr>
            </w:pPr>
            <w:r>
              <w:rPr>
                <w:spacing w:val="-2"/>
                <w:sz w:val="14"/>
              </w:rPr>
              <w:t>Fortnightly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65.00</w:t>
            </w:r>
          </w:p>
        </w:tc>
        <w:tc>
          <w:tcPr>
            <w:tcW w:w="995" w:type="dxa"/>
          </w:tcPr>
          <w:p>
            <w:pPr>
              <w:pStyle w:val="TableParagraph"/>
              <w:spacing w:line="140" w:lineRule="exact" w:before="17"/>
              <w:ind w:right="101"/>
              <w:jc w:val="right"/>
              <w:rPr>
                <w:sz w:val="14"/>
              </w:rPr>
            </w:pPr>
            <w:r>
              <w:rPr>
                <w:spacing w:val="-2"/>
                <w:sz w:val="14"/>
              </w:rPr>
              <w:t>72.00</w:t>
            </w:r>
          </w:p>
        </w:tc>
        <w:tc>
          <w:tcPr>
            <w:tcW w:w="861" w:type="dxa"/>
          </w:tcPr>
          <w:p>
            <w:pPr>
              <w:pStyle w:val="TableParagraph"/>
              <w:spacing w:line="140" w:lineRule="exact" w:before="17"/>
              <w:ind w:left="327"/>
              <w:rPr>
                <w:sz w:val="14"/>
              </w:rPr>
            </w:pPr>
            <w:r>
              <w:rPr>
                <w:spacing w:val="-5"/>
                <w:sz w:val="14"/>
              </w:rPr>
              <w:t>9.7</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Leisure</w:t>
            </w:r>
            <w:r>
              <w:rPr>
                <w:b/>
                <w:spacing w:val="-3"/>
                <w:sz w:val="14"/>
              </w:rPr>
              <w:t> </w:t>
            </w:r>
            <w:r>
              <w:rPr>
                <w:b/>
                <w:sz w:val="14"/>
              </w:rPr>
              <w:t>-</w:t>
            </w:r>
            <w:r>
              <w:rPr>
                <w:b/>
                <w:spacing w:val="-6"/>
                <w:sz w:val="14"/>
              </w:rPr>
              <w:t> </w:t>
            </w:r>
            <w:r>
              <w:rPr>
                <w:b/>
                <w:spacing w:val="-2"/>
                <w:sz w:val="14"/>
              </w:rPr>
              <w:t>Aquatics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Swim</w:t>
            </w:r>
            <w:r>
              <w:rPr>
                <w:spacing w:val="-2"/>
                <w:sz w:val="14"/>
              </w:rPr>
              <w:t> </w:t>
            </w:r>
            <w:r>
              <w:rPr>
                <w:sz w:val="14"/>
              </w:rPr>
              <w:t>Plus</w:t>
            </w:r>
            <w:r>
              <w:rPr>
                <w:spacing w:val="-4"/>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32.90</w:t>
            </w:r>
          </w:p>
        </w:tc>
        <w:tc>
          <w:tcPr>
            <w:tcW w:w="995" w:type="dxa"/>
          </w:tcPr>
          <w:p>
            <w:pPr>
              <w:pStyle w:val="TableParagraph"/>
              <w:spacing w:line="140" w:lineRule="exact" w:before="17"/>
              <w:ind w:right="101"/>
              <w:jc w:val="right"/>
              <w:rPr>
                <w:sz w:val="14"/>
              </w:rPr>
            </w:pPr>
            <w:r>
              <w:rPr>
                <w:spacing w:val="-2"/>
                <w:sz w:val="14"/>
              </w:rPr>
              <w:t>34.00</w:t>
            </w:r>
          </w:p>
        </w:tc>
        <w:tc>
          <w:tcPr>
            <w:tcW w:w="861" w:type="dxa"/>
          </w:tcPr>
          <w:p>
            <w:pPr>
              <w:pStyle w:val="TableParagraph"/>
              <w:spacing w:line="140" w:lineRule="exact" w:before="17"/>
              <w:ind w:left="327"/>
              <w:rPr>
                <w:sz w:val="14"/>
              </w:rPr>
            </w:pPr>
            <w:r>
              <w:rPr>
                <w:spacing w:val="-5"/>
                <w:sz w:val="14"/>
              </w:rPr>
              <w:t>3.2</w:t>
            </w:r>
          </w:p>
        </w:tc>
      </w:tr>
      <w:tr>
        <w:trPr>
          <w:trHeight w:val="177" w:hRule="atLeast"/>
        </w:trPr>
        <w:tc>
          <w:tcPr>
            <w:tcW w:w="5794" w:type="dxa"/>
          </w:tcPr>
          <w:p>
            <w:pPr>
              <w:pStyle w:val="TableParagraph"/>
              <w:spacing w:line="142" w:lineRule="exact" w:before="15"/>
              <w:ind w:left="107"/>
              <w:rPr>
                <w:sz w:val="14"/>
              </w:rPr>
            </w:pPr>
            <w:r>
              <w:rPr>
                <w:sz w:val="14"/>
              </w:rPr>
              <w:t>Swim</w:t>
            </w:r>
            <w:r>
              <w:rPr>
                <w:spacing w:val="-2"/>
                <w:sz w:val="14"/>
              </w:rPr>
              <w:t> </w:t>
            </w:r>
            <w:r>
              <w:rPr>
                <w:spacing w:val="-4"/>
                <w:sz w:val="14"/>
              </w:rPr>
              <w:t>Plus</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38.70</w:t>
            </w:r>
          </w:p>
        </w:tc>
        <w:tc>
          <w:tcPr>
            <w:tcW w:w="995" w:type="dxa"/>
          </w:tcPr>
          <w:p>
            <w:pPr>
              <w:pStyle w:val="TableParagraph"/>
              <w:spacing w:line="142" w:lineRule="exact" w:before="15"/>
              <w:ind w:right="102"/>
              <w:jc w:val="right"/>
              <w:rPr>
                <w:sz w:val="14"/>
              </w:rPr>
            </w:pPr>
            <w:r>
              <w:rPr>
                <w:spacing w:val="-2"/>
                <w:sz w:val="14"/>
              </w:rPr>
              <w:t>40.00</w:t>
            </w:r>
          </w:p>
        </w:tc>
        <w:tc>
          <w:tcPr>
            <w:tcW w:w="861" w:type="dxa"/>
          </w:tcPr>
          <w:p>
            <w:pPr>
              <w:pStyle w:val="TableParagraph"/>
              <w:spacing w:line="142" w:lineRule="exact" w:before="15"/>
              <w:ind w:left="326"/>
              <w:rPr>
                <w:sz w:val="14"/>
              </w:rPr>
            </w:pPr>
            <w:r>
              <w:rPr>
                <w:spacing w:val="-5"/>
                <w:sz w:val="14"/>
              </w:rPr>
              <w:t>3.2</w:t>
            </w:r>
          </w:p>
        </w:tc>
      </w:tr>
      <w:tr>
        <w:trPr>
          <w:trHeight w:val="174" w:hRule="atLeast"/>
        </w:trPr>
        <w:tc>
          <w:tcPr>
            <w:tcW w:w="5794" w:type="dxa"/>
          </w:tcPr>
          <w:p>
            <w:pPr>
              <w:pStyle w:val="TableParagraph"/>
              <w:spacing w:line="140" w:lineRule="exact" w:before="15"/>
              <w:ind w:left="107"/>
              <w:rPr>
                <w:b/>
                <w:sz w:val="14"/>
              </w:rPr>
            </w:pPr>
            <w:r>
              <w:rPr>
                <w:b/>
                <w:sz w:val="14"/>
              </w:rPr>
              <w:t>Aquanation</w:t>
            </w:r>
            <w:r>
              <w:rPr>
                <w:b/>
                <w:spacing w:val="-6"/>
                <w:sz w:val="14"/>
              </w:rPr>
              <w:t> </w:t>
            </w:r>
            <w:r>
              <w:rPr>
                <w:b/>
                <w:sz w:val="14"/>
              </w:rPr>
              <w:t>-</w:t>
            </w:r>
            <w:r>
              <w:rPr>
                <w:b/>
                <w:spacing w:val="-3"/>
                <w:sz w:val="14"/>
              </w:rPr>
              <w:t> </w:t>
            </w:r>
            <w:r>
              <w:rPr>
                <w:b/>
                <w:sz w:val="14"/>
              </w:rPr>
              <w:t>Casual</w:t>
            </w:r>
            <w:r>
              <w:rPr>
                <w:b/>
                <w:spacing w:val="-5"/>
                <w:sz w:val="14"/>
              </w:rPr>
              <w:t> </w:t>
            </w:r>
            <w:r>
              <w:rPr>
                <w:b/>
                <w:spacing w:val="-2"/>
                <w:sz w:val="14"/>
              </w:rPr>
              <w:t>Aquatics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Adult</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9.50</w:t>
            </w:r>
          </w:p>
        </w:tc>
        <w:tc>
          <w:tcPr>
            <w:tcW w:w="995" w:type="dxa"/>
          </w:tcPr>
          <w:p>
            <w:pPr>
              <w:pStyle w:val="TableParagraph"/>
              <w:spacing w:line="140" w:lineRule="exact" w:before="17"/>
              <w:ind w:right="101"/>
              <w:jc w:val="right"/>
              <w:rPr>
                <w:sz w:val="14"/>
              </w:rPr>
            </w:pPr>
            <w:r>
              <w:rPr>
                <w:spacing w:val="-2"/>
                <w:sz w:val="14"/>
              </w:rPr>
              <w:t>10.00</w:t>
            </w:r>
          </w:p>
        </w:tc>
        <w:tc>
          <w:tcPr>
            <w:tcW w:w="861" w:type="dxa"/>
          </w:tcPr>
          <w:p>
            <w:pPr>
              <w:pStyle w:val="TableParagraph"/>
              <w:spacing w:line="140" w:lineRule="exact" w:before="17"/>
              <w:ind w:left="327"/>
              <w:rPr>
                <w:sz w:val="14"/>
              </w:rPr>
            </w:pPr>
            <w:r>
              <w:rPr>
                <w:spacing w:val="-5"/>
                <w:sz w:val="14"/>
              </w:rPr>
              <w:t>5.0</w:t>
            </w:r>
          </w:p>
        </w:tc>
      </w:tr>
      <w:tr>
        <w:trPr>
          <w:trHeight w:val="177" w:hRule="atLeast"/>
        </w:trPr>
        <w:tc>
          <w:tcPr>
            <w:tcW w:w="5794" w:type="dxa"/>
          </w:tcPr>
          <w:p>
            <w:pPr>
              <w:pStyle w:val="TableParagraph"/>
              <w:spacing w:line="140" w:lineRule="exact" w:before="17"/>
              <w:ind w:left="107"/>
              <w:rPr>
                <w:sz w:val="14"/>
              </w:rPr>
            </w:pPr>
            <w:r>
              <w:rPr>
                <w:sz w:val="14"/>
              </w:rPr>
              <w:t>Child</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7.60</w:t>
            </w:r>
          </w:p>
        </w:tc>
        <w:tc>
          <w:tcPr>
            <w:tcW w:w="995" w:type="dxa"/>
          </w:tcPr>
          <w:p>
            <w:pPr>
              <w:pStyle w:val="TableParagraph"/>
              <w:spacing w:line="140" w:lineRule="exact" w:before="17"/>
              <w:ind w:right="101"/>
              <w:jc w:val="right"/>
              <w:rPr>
                <w:sz w:val="14"/>
              </w:rPr>
            </w:pPr>
            <w:r>
              <w:rPr>
                <w:spacing w:val="-4"/>
                <w:sz w:val="14"/>
              </w:rPr>
              <w:t>8.50</w:t>
            </w:r>
          </w:p>
        </w:tc>
        <w:tc>
          <w:tcPr>
            <w:tcW w:w="861" w:type="dxa"/>
          </w:tcPr>
          <w:p>
            <w:pPr>
              <w:pStyle w:val="TableParagraph"/>
              <w:spacing w:line="140" w:lineRule="exact" w:before="17"/>
              <w:ind w:left="288"/>
              <w:rPr>
                <w:sz w:val="14"/>
              </w:rPr>
            </w:pPr>
            <w:r>
              <w:rPr>
                <w:spacing w:val="-4"/>
                <w:sz w:val="14"/>
              </w:rPr>
              <w:t>10.6</w:t>
            </w:r>
          </w:p>
        </w:tc>
      </w:tr>
      <w:tr>
        <w:trPr>
          <w:trHeight w:val="177" w:hRule="atLeast"/>
        </w:trPr>
        <w:tc>
          <w:tcPr>
            <w:tcW w:w="5794" w:type="dxa"/>
          </w:tcPr>
          <w:p>
            <w:pPr>
              <w:pStyle w:val="TableParagraph"/>
              <w:spacing w:line="140" w:lineRule="exact" w:before="17"/>
              <w:ind w:left="107"/>
              <w:rPr>
                <w:sz w:val="14"/>
              </w:rPr>
            </w:pPr>
            <w:r>
              <w:rPr>
                <w:sz w:val="14"/>
              </w:rPr>
              <w:t>Family</w:t>
            </w:r>
            <w:r>
              <w:rPr>
                <w:spacing w:val="-7"/>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27.00</w:t>
            </w:r>
          </w:p>
        </w:tc>
        <w:tc>
          <w:tcPr>
            <w:tcW w:w="995" w:type="dxa"/>
          </w:tcPr>
          <w:p>
            <w:pPr>
              <w:pStyle w:val="TableParagraph"/>
              <w:spacing w:line="140" w:lineRule="exact" w:before="17"/>
              <w:ind w:right="101"/>
              <w:jc w:val="right"/>
              <w:rPr>
                <w:sz w:val="14"/>
              </w:rPr>
            </w:pPr>
            <w:r>
              <w:rPr>
                <w:spacing w:val="-2"/>
                <w:sz w:val="14"/>
              </w:rPr>
              <w:t>28.50</w:t>
            </w:r>
          </w:p>
        </w:tc>
        <w:tc>
          <w:tcPr>
            <w:tcW w:w="861" w:type="dxa"/>
          </w:tcPr>
          <w:p>
            <w:pPr>
              <w:pStyle w:val="TableParagraph"/>
              <w:spacing w:line="140" w:lineRule="exact" w:before="17"/>
              <w:ind w:left="327"/>
              <w:rPr>
                <w:sz w:val="14"/>
              </w:rPr>
            </w:pPr>
            <w:r>
              <w:rPr>
                <w:spacing w:val="-5"/>
                <w:sz w:val="14"/>
              </w:rPr>
              <w:t>5.3</w:t>
            </w:r>
          </w:p>
        </w:tc>
      </w:tr>
      <w:tr>
        <w:trPr>
          <w:trHeight w:val="177" w:hRule="atLeast"/>
        </w:trPr>
        <w:tc>
          <w:tcPr>
            <w:tcW w:w="5794" w:type="dxa"/>
          </w:tcPr>
          <w:p>
            <w:pPr>
              <w:pStyle w:val="TableParagraph"/>
              <w:spacing w:line="140" w:lineRule="exact" w:before="17"/>
              <w:ind w:left="107"/>
              <w:rPr>
                <w:sz w:val="14"/>
              </w:rPr>
            </w:pPr>
            <w:r>
              <w:rPr>
                <w:sz w:val="14"/>
              </w:rPr>
              <w:t>Pensioner/Health</w:t>
            </w:r>
            <w:r>
              <w:rPr>
                <w:spacing w:val="-8"/>
                <w:sz w:val="14"/>
              </w:rPr>
              <w:t> </w:t>
            </w:r>
            <w:r>
              <w:rPr>
                <w:sz w:val="14"/>
              </w:rPr>
              <w:t>Care</w:t>
            </w:r>
            <w:r>
              <w:rPr>
                <w:spacing w:val="-6"/>
                <w:sz w:val="14"/>
              </w:rPr>
              <w:t> </w:t>
            </w:r>
            <w:r>
              <w:rPr>
                <w:spacing w:val="-4"/>
                <w:sz w:val="14"/>
              </w:rPr>
              <w:t>Card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7.60</w:t>
            </w:r>
          </w:p>
        </w:tc>
        <w:tc>
          <w:tcPr>
            <w:tcW w:w="995" w:type="dxa"/>
          </w:tcPr>
          <w:p>
            <w:pPr>
              <w:pStyle w:val="TableParagraph"/>
              <w:spacing w:line="140" w:lineRule="exact" w:before="17"/>
              <w:ind w:right="101"/>
              <w:jc w:val="right"/>
              <w:rPr>
                <w:sz w:val="14"/>
              </w:rPr>
            </w:pPr>
            <w:r>
              <w:rPr>
                <w:spacing w:val="-4"/>
                <w:sz w:val="14"/>
              </w:rPr>
              <w:t>8.50</w:t>
            </w:r>
          </w:p>
        </w:tc>
        <w:tc>
          <w:tcPr>
            <w:tcW w:w="861" w:type="dxa"/>
          </w:tcPr>
          <w:p>
            <w:pPr>
              <w:pStyle w:val="TableParagraph"/>
              <w:spacing w:line="140" w:lineRule="exact" w:before="17"/>
              <w:ind w:left="288"/>
              <w:rPr>
                <w:sz w:val="14"/>
              </w:rPr>
            </w:pPr>
            <w:r>
              <w:rPr>
                <w:spacing w:val="-4"/>
                <w:sz w:val="14"/>
              </w:rPr>
              <w:t>10.6</w:t>
            </w:r>
          </w:p>
        </w:tc>
      </w:tr>
      <w:tr>
        <w:trPr>
          <w:trHeight w:val="177" w:hRule="atLeast"/>
        </w:trPr>
        <w:tc>
          <w:tcPr>
            <w:tcW w:w="5794" w:type="dxa"/>
          </w:tcPr>
          <w:p>
            <w:pPr>
              <w:pStyle w:val="TableParagraph"/>
              <w:spacing w:line="140" w:lineRule="exact" w:before="17"/>
              <w:ind w:left="107"/>
              <w:rPr>
                <w:sz w:val="14"/>
              </w:rPr>
            </w:pP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8.60</w:t>
            </w:r>
          </w:p>
        </w:tc>
        <w:tc>
          <w:tcPr>
            <w:tcW w:w="995" w:type="dxa"/>
          </w:tcPr>
          <w:p>
            <w:pPr>
              <w:pStyle w:val="TableParagraph"/>
              <w:spacing w:line="140" w:lineRule="exact" w:before="17"/>
              <w:ind w:right="101"/>
              <w:jc w:val="right"/>
              <w:rPr>
                <w:sz w:val="14"/>
              </w:rPr>
            </w:pPr>
            <w:r>
              <w:rPr>
                <w:spacing w:val="-4"/>
                <w:sz w:val="14"/>
              </w:rPr>
              <w:t>9.00</w:t>
            </w:r>
          </w:p>
        </w:tc>
        <w:tc>
          <w:tcPr>
            <w:tcW w:w="861" w:type="dxa"/>
          </w:tcPr>
          <w:p>
            <w:pPr>
              <w:pStyle w:val="TableParagraph"/>
              <w:spacing w:line="140" w:lineRule="exact" w:before="17"/>
              <w:ind w:left="327"/>
              <w:rPr>
                <w:sz w:val="14"/>
              </w:rPr>
            </w:pPr>
            <w:r>
              <w:rPr>
                <w:spacing w:val="-5"/>
                <w:sz w:val="14"/>
              </w:rPr>
              <w:t>4.4</w:t>
            </w:r>
          </w:p>
        </w:tc>
      </w:tr>
      <w:tr>
        <w:trPr>
          <w:trHeight w:val="177" w:hRule="atLeast"/>
        </w:trPr>
        <w:tc>
          <w:tcPr>
            <w:tcW w:w="5794" w:type="dxa"/>
          </w:tcPr>
          <w:p>
            <w:pPr>
              <w:pStyle w:val="TableParagraph"/>
              <w:spacing w:line="140" w:lineRule="exact" w:before="17"/>
              <w:ind w:left="107"/>
              <w:rPr>
                <w:sz w:val="14"/>
              </w:rPr>
            </w:pPr>
            <w:r>
              <w:rPr>
                <w:sz w:val="14"/>
              </w:rPr>
              <w:t>Waterslide</w:t>
            </w:r>
            <w:r>
              <w:rPr>
                <w:spacing w:val="-5"/>
                <w:sz w:val="14"/>
              </w:rPr>
              <w:t> </w:t>
            </w:r>
            <w:r>
              <w:rPr>
                <w:sz w:val="14"/>
              </w:rPr>
              <w:t>-</w:t>
            </w:r>
            <w:r>
              <w:rPr>
                <w:spacing w:val="-5"/>
                <w:sz w:val="14"/>
              </w:rPr>
              <w:t> </w:t>
            </w:r>
            <w:r>
              <w:rPr>
                <w:sz w:val="14"/>
              </w:rPr>
              <w:t>Adult/Child</w:t>
            </w:r>
            <w:r>
              <w:rPr>
                <w:spacing w:val="-5"/>
                <w:sz w:val="14"/>
              </w:rPr>
              <w:t> </w:t>
            </w:r>
            <w:r>
              <w:rPr>
                <w:spacing w:val="-2"/>
                <w:sz w:val="14"/>
              </w:rPr>
              <w:t>Membership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4.40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Shower</w:t>
            </w:r>
            <w:r>
              <w:rPr>
                <w:spacing w:val="-7"/>
                <w:sz w:val="14"/>
              </w:rPr>
              <w:t> </w:t>
            </w:r>
            <w:r>
              <w:rPr>
                <w:spacing w:val="-2"/>
                <w:sz w:val="14"/>
              </w:rPr>
              <w:t>Access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4.50</w:t>
            </w:r>
          </w:p>
        </w:tc>
        <w:tc>
          <w:tcPr>
            <w:tcW w:w="995" w:type="dxa"/>
          </w:tcPr>
          <w:p>
            <w:pPr>
              <w:pStyle w:val="TableParagraph"/>
              <w:spacing w:line="140" w:lineRule="exact" w:before="17"/>
              <w:ind w:right="101"/>
              <w:jc w:val="right"/>
              <w:rPr>
                <w:sz w:val="14"/>
              </w:rPr>
            </w:pPr>
            <w:r>
              <w:rPr>
                <w:spacing w:val="-4"/>
                <w:sz w:val="14"/>
              </w:rPr>
              <w:t>4.50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pacing w:val="-2"/>
                <w:sz w:val="14"/>
              </w:rPr>
              <w:t>Waterslide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2" w:hRule="atLeast"/>
        </w:trPr>
        <w:tc>
          <w:tcPr>
            <w:tcW w:w="5794" w:type="dxa"/>
          </w:tcPr>
          <w:p>
            <w:pPr>
              <w:pStyle w:val="TableParagraph"/>
              <w:spacing w:line="160" w:lineRule="atLeast" w:before="11"/>
              <w:ind w:left="107" w:right="206"/>
              <w:rPr>
                <w:sz w:val="14"/>
              </w:rPr>
            </w:pPr>
            <w:r>
              <w:rPr>
                <w:sz w:val="14"/>
              </w:rPr>
              <w:t>Adult</w:t>
            </w:r>
            <w:r>
              <w:rPr>
                <w:spacing w:val="-4"/>
                <w:sz w:val="14"/>
              </w:rPr>
              <w:t> </w:t>
            </w:r>
            <w:r>
              <w:rPr>
                <w:sz w:val="14"/>
              </w:rPr>
              <w:t>(unlimited</w:t>
            </w:r>
            <w:r>
              <w:rPr>
                <w:spacing w:val="-7"/>
                <w:sz w:val="14"/>
              </w:rPr>
              <w:t> </w:t>
            </w:r>
            <w:r>
              <w:rPr>
                <w:sz w:val="14"/>
              </w:rPr>
              <w:t>slides</w:t>
            </w:r>
            <w:r>
              <w:rPr>
                <w:spacing w:val="-4"/>
                <w:sz w:val="14"/>
              </w:rPr>
              <w:t> </w:t>
            </w:r>
            <w:r>
              <w:rPr>
                <w:sz w:val="14"/>
              </w:rPr>
              <w:t>4-7pm</w:t>
            </w:r>
            <w:r>
              <w:rPr>
                <w:spacing w:val="-4"/>
                <w:sz w:val="14"/>
              </w:rPr>
              <w:t> </w:t>
            </w:r>
            <w:r>
              <w:rPr>
                <w:sz w:val="14"/>
              </w:rPr>
              <w:t>weekdays,</w:t>
            </w:r>
            <w:r>
              <w:rPr>
                <w:spacing w:val="-7"/>
                <w:sz w:val="14"/>
              </w:rPr>
              <w:t> </w:t>
            </w:r>
            <w:r>
              <w:rPr>
                <w:sz w:val="14"/>
              </w:rPr>
              <w:t>10am-6pm</w:t>
            </w:r>
            <w:r>
              <w:rPr>
                <w:spacing w:val="-4"/>
                <w:sz w:val="14"/>
              </w:rPr>
              <w:t> </w:t>
            </w:r>
            <w:r>
              <w:rPr>
                <w:sz w:val="14"/>
              </w:rPr>
              <w:t>weekends,</w:t>
            </w:r>
            <w:r>
              <w:rPr>
                <w:spacing w:val="-7"/>
                <w:sz w:val="14"/>
              </w:rPr>
              <w:t> </w:t>
            </w:r>
            <w:r>
              <w:rPr>
                <w:sz w:val="14"/>
              </w:rPr>
              <w:t>school</w:t>
            </w:r>
            <w:r>
              <w:rPr>
                <w:spacing w:val="-3"/>
                <w:sz w:val="14"/>
              </w:rPr>
              <w:t> </w:t>
            </w:r>
            <w:r>
              <w:rPr>
                <w:sz w:val="14"/>
              </w:rPr>
              <w:t>holidays</w:t>
            </w:r>
            <w:r>
              <w:rPr>
                <w:spacing w:val="-7"/>
                <w:sz w:val="14"/>
              </w:rPr>
              <w:t> </w:t>
            </w:r>
            <w:r>
              <w:rPr>
                <w:sz w:val="14"/>
              </w:rPr>
              <w:t>and</w:t>
            </w:r>
            <w:r>
              <w:rPr>
                <w:spacing w:val="40"/>
                <w:sz w:val="14"/>
              </w:rPr>
              <w:t> </w:t>
            </w:r>
            <w:r>
              <w:rPr>
                <w:sz w:val="14"/>
              </w:rPr>
              <w:t>public holidays)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59"/>
              <w:rPr>
                <w:sz w:val="14"/>
              </w:rPr>
            </w:pPr>
            <w:r>
              <w:rPr>
                <w:spacing w:val="-5"/>
                <w:sz w:val="14"/>
              </w:rPr>
              <w:t>Yes</w:t>
            </w:r>
          </w:p>
        </w:tc>
        <w:tc>
          <w:tcPr>
            <w:tcW w:w="997" w:type="dxa"/>
          </w:tcPr>
          <w:p>
            <w:pPr>
              <w:pStyle w:val="TableParagraph"/>
              <w:spacing w:before="8"/>
              <w:rPr>
                <w:sz w:val="16"/>
              </w:rPr>
            </w:pPr>
          </w:p>
          <w:p>
            <w:pPr>
              <w:pStyle w:val="TableParagraph"/>
              <w:spacing w:line="140" w:lineRule="exact"/>
              <w:ind w:right="100"/>
              <w:jc w:val="right"/>
              <w:rPr>
                <w:sz w:val="14"/>
              </w:rPr>
            </w:pPr>
            <w:r>
              <w:rPr>
                <w:spacing w:val="-4"/>
                <w:sz w:val="14"/>
              </w:rPr>
              <w:t>8.30</w:t>
            </w:r>
          </w:p>
        </w:tc>
        <w:tc>
          <w:tcPr>
            <w:tcW w:w="995" w:type="dxa"/>
          </w:tcPr>
          <w:p>
            <w:pPr>
              <w:pStyle w:val="TableParagraph"/>
              <w:spacing w:before="8"/>
              <w:rPr>
                <w:sz w:val="16"/>
              </w:rPr>
            </w:pPr>
          </w:p>
          <w:p>
            <w:pPr>
              <w:pStyle w:val="TableParagraph"/>
              <w:spacing w:line="140" w:lineRule="exact"/>
              <w:ind w:right="101"/>
              <w:jc w:val="right"/>
              <w:rPr>
                <w:sz w:val="14"/>
              </w:rPr>
            </w:pPr>
            <w:r>
              <w:rPr>
                <w:spacing w:val="-4"/>
                <w:sz w:val="14"/>
              </w:rPr>
              <w:t>0.00</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0.0</w:t>
            </w:r>
          </w:p>
        </w:tc>
      </w:tr>
      <w:tr>
        <w:trPr>
          <w:trHeight w:val="354" w:hRule="atLeast"/>
        </w:trPr>
        <w:tc>
          <w:tcPr>
            <w:tcW w:w="5794" w:type="dxa"/>
          </w:tcPr>
          <w:p>
            <w:pPr>
              <w:pStyle w:val="TableParagraph"/>
              <w:spacing w:line="160" w:lineRule="atLeast" w:before="14"/>
              <w:ind w:left="107" w:right="206"/>
              <w:rPr>
                <w:sz w:val="14"/>
              </w:rPr>
            </w:pPr>
            <w:r>
              <w:rPr>
                <w:sz w:val="14"/>
              </w:rPr>
              <w:t>Child</w:t>
            </w:r>
            <w:r>
              <w:rPr>
                <w:spacing w:val="-5"/>
                <w:sz w:val="14"/>
              </w:rPr>
              <w:t> </w:t>
            </w:r>
            <w:r>
              <w:rPr>
                <w:sz w:val="14"/>
              </w:rPr>
              <w:t>(unlimited</w:t>
            </w:r>
            <w:r>
              <w:rPr>
                <w:spacing w:val="-6"/>
                <w:sz w:val="14"/>
              </w:rPr>
              <w:t> </w:t>
            </w:r>
            <w:r>
              <w:rPr>
                <w:sz w:val="14"/>
              </w:rPr>
              <w:t>slides</w:t>
            </w:r>
            <w:r>
              <w:rPr>
                <w:spacing w:val="-4"/>
                <w:sz w:val="14"/>
              </w:rPr>
              <w:t> </w:t>
            </w:r>
            <w:r>
              <w:rPr>
                <w:sz w:val="14"/>
              </w:rPr>
              <w:t>4-7pm</w:t>
            </w:r>
            <w:r>
              <w:rPr>
                <w:spacing w:val="-4"/>
                <w:sz w:val="14"/>
              </w:rPr>
              <w:t> </w:t>
            </w:r>
            <w:r>
              <w:rPr>
                <w:sz w:val="14"/>
              </w:rPr>
              <w:t>weekdays,</w:t>
            </w:r>
            <w:r>
              <w:rPr>
                <w:spacing w:val="-6"/>
                <w:sz w:val="14"/>
              </w:rPr>
              <w:t> </w:t>
            </w:r>
            <w:r>
              <w:rPr>
                <w:sz w:val="14"/>
              </w:rPr>
              <w:t>10am-6pm</w:t>
            </w:r>
            <w:r>
              <w:rPr>
                <w:spacing w:val="-5"/>
                <w:sz w:val="14"/>
              </w:rPr>
              <w:t> </w:t>
            </w:r>
            <w:r>
              <w:rPr>
                <w:sz w:val="14"/>
              </w:rPr>
              <w:t>weekends,</w:t>
            </w:r>
            <w:r>
              <w:rPr>
                <w:spacing w:val="-6"/>
                <w:sz w:val="14"/>
              </w:rPr>
              <w:t> </w:t>
            </w:r>
            <w:r>
              <w:rPr>
                <w:sz w:val="14"/>
              </w:rPr>
              <w:t>school</w:t>
            </w:r>
            <w:r>
              <w:rPr>
                <w:spacing w:val="-3"/>
                <w:sz w:val="14"/>
              </w:rPr>
              <w:t> </w:t>
            </w:r>
            <w:r>
              <w:rPr>
                <w:sz w:val="14"/>
              </w:rPr>
              <w:t>holidays</w:t>
            </w:r>
            <w:r>
              <w:rPr>
                <w:spacing w:val="-6"/>
                <w:sz w:val="14"/>
              </w:rPr>
              <w:t> </w:t>
            </w:r>
            <w:r>
              <w:rPr>
                <w:sz w:val="14"/>
              </w:rPr>
              <w:t>and</w:t>
            </w:r>
            <w:r>
              <w:rPr>
                <w:spacing w:val="40"/>
                <w:sz w:val="14"/>
              </w:rPr>
              <w:t> </w:t>
            </w:r>
            <w:r>
              <w:rPr>
                <w:sz w:val="14"/>
              </w:rPr>
              <w:t>public holidays)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59"/>
              <w:rPr>
                <w:sz w:val="14"/>
              </w:rPr>
            </w:pPr>
            <w:r>
              <w:rPr>
                <w:spacing w:val="-5"/>
                <w:sz w:val="14"/>
              </w:rPr>
              <w:t>Yes</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7.40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0.00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2"/>
                <w:sz w:val="14"/>
              </w:rPr>
              <w:t> </w:t>
            </w:r>
            <w:r>
              <w:rPr>
                <w:b/>
                <w:sz w:val="14"/>
              </w:rPr>
              <w:t>Waterslide</w:t>
            </w:r>
            <w:r>
              <w:rPr>
                <w:b/>
                <w:spacing w:val="-6"/>
                <w:sz w:val="14"/>
              </w:rPr>
              <w:t> </w:t>
            </w:r>
            <w:r>
              <w:rPr>
                <w:b/>
                <w:sz w:val="14"/>
              </w:rPr>
              <w:t>10</w:t>
            </w:r>
            <w:r>
              <w:rPr>
                <w:b/>
                <w:spacing w:val="-5"/>
                <w:sz w:val="14"/>
              </w:rPr>
              <w:t> </w:t>
            </w:r>
            <w:r>
              <w:rPr>
                <w:b/>
                <w:sz w:val="14"/>
              </w:rPr>
              <w:t>Visit</w:t>
            </w:r>
            <w:r>
              <w:rPr>
                <w:b/>
                <w:spacing w:val="-4"/>
                <w:sz w:val="14"/>
              </w:rPr>
              <w:t> Pass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74.70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w w:val="95"/>
                <w:sz w:val="14"/>
              </w:rPr>
              <w:t>Child/Concession</w:t>
            </w:r>
            <w:r>
              <w:rPr>
                <w:spacing w:val="43"/>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63.00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2"/>
                <w:sz w:val="14"/>
              </w:rPr>
              <w:t> </w:t>
            </w:r>
            <w:r>
              <w:rPr>
                <w:b/>
                <w:sz w:val="14"/>
              </w:rPr>
              <w:t>Casual</w:t>
            </w:r>
            <w:r>
              <w:rPr>
                <w:b/>
                <w:spacing w:val="-2"/>
                <w:sz w:val="14"/>
              </w:rPr>
              <w:t> </w:t>
            </w:r>
            <w:r>
              <w:rPr>
                <w:b/>
                <w:sz w:val="14"/>
              </w:rPr>
              <w:t>spa,</w:t>
            </w:r>
            <w:r>
              <w:rPr>
                <w:b/>
                <w:spacing w:val="-3"/>
                <w:sz w:val="14"/>
              </w:rPr>
              <w:t> </w:t>
            </w:r>
            <w:r>
              <w:rPr>
                <w:b/>
                <w:sz w:val="14"/>
              </w:rPr>
              <w:t>sauna</w:t>
            </w:r>
            <w:r>
              <w:rPr>
                <w:b/>
                <w:spacing w:val="-6"/>
                <w:sz w:val="14"/>
              </w:rPr>
              <w:t> </w:t>
            </w:r>
            <w:r>
              <w:rPr>
                <w:b/>
                <w:sz w:val="14"/>
              </w:rPr>
              <w:t>&amp;</w:t>
            </w:r>
            <w:r>
              <w:rPr>
                <w:b/>
                <w:spacing w:val="-2"/>
                <w:sz w:val="14"/>
              </w:rPr>
              <w:t> </w:t>
            </w:r>
            <w:r>
              <w:rPr>
                <w:b/>
                <w:sz w:val="14"/>
              </w:rPr>
              <w:t>steam</w:t>
            </w:r>
            <w:r>
              <w:rPr>
                <w:b/>
                <w:spacing w:val="-3"/>
                <w:sz w:val="14"/>
              </w:rPr>
              <w:t> </w:t>
            </w:r>
            <w:r>
              <w:rPr>
                <w:b/>
                <w:spacing w:val="-4"/>
                <w:sz w:val="14"/>
              </w:rPr>
              <w:t>room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13.00</w:t>
            </w:r>
          </w:p>
        </w:tc>
        <w:tc>
          <w:tcPr>
            <w:tcW w:w="995" w:type="dxa"/>
          </w:tcPr>
          <w:p>
            <w:pPr>
              <w:pStyle w:val="TableParagraph"/>
              <w:spacing w:line="140" w:lineRule="exact" w:before="17"/>
              <w:ind w:right="101"/>
              <w:jc w:val="right"/>
              <w:rPr>
                <w:sz w:val="14"/>
              </w:rPr>
            </w:pPr>
            <w:r>
              <w:rPr>
                <w:spacing w:val="-2"/>
                <w:sz w:val="14"/>
              </w:rPr>
              <w:t>14.00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11.20</w:t>
            </w:r>
          </w:p>
        </w:tc>
        <w:tc>
          <w:tcPr>
            <w:tcW w:w="995" w:type="dxa"/>
          </w:tcPr>
          <w:p>
            <w:pPr>
              <w:pStyle w:val="TableParagraph"/>
              <w:spacing w:line="140" w:lineRule="exact" w:before="17"/>
              <w:ind w:right="101"/>
              <w:jc w:val="right"/>
              <w:rPr>
                <w:sz w:val="14"/>
              </w:rPr>
            </w:pPr>
            <w:r>
              <w:rPr>
                <w:spacing w:val="-2"/>
                <w:sz w:val="14"/>
              </w:rPr>
              <w:t>11.90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2" w:lineRule="exact" w:before="15"/>
              <w:ind w:left="107"/>
              <w:rPr>
                <w:sz w:val="14"/>
              </w:rPr>
            </w:pPr>
            <w:r>
              <w:rPr>
                <w:spacing w:val="-2"/>
                <w:sz w:val="14"/>
              </w:rPr>
              <w:t>Seniors</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12.00</w:t>
            </w:r>
          </w:p>
        </w:tc>
        <w:tc>
          <w:tcPr>
            <w:tcW w:w="995" w:type="dxa"/>
          </w:tcPr>
          <w:p>
            <w:pPr>
              <w:pStyle w:val="TableParagraph"/>
              <w:spacing w:line="142" w:lineRule="exact" w:before="15"/>
              <w:ind w:right="102"/>
              <w:jc w:val="right"/>
              <w:rPr>
                <w:sz w:val="14"/>
              </w:rPr>
            </w:pPr>
            <w:r>
              <w:rPr>
                <w:spacing w:val="-2"/>
                <w:sz w:val="14"/>
              </w:rPr>
              <w:t>12.60</w:t>
            </w:r>
          </w:p>
        </w:tc>
        <w:tc>
          <w:tcPr>
            <w:tcW w:w="861" w:type="dxa"/>
          </w:tcPr>
          <w:p>
            <w:pPr>
              <w:pStyle w:val="TableParagraph"/>
              <w:spacing w:line="142" w:lineRule="exact" w:before="15"/>
              <w:ind w:left="327"/>
              <w:rPr>
                <w:sz w:val="14"/>
              </w:rPr>
            </w:pPr>
            <w:r>
              <w:rPr>
                <w:spacing w:val="-5"/>
                <w:sz w:val="14"/>
              </w:rPr>
              <w:t>4.8</w:t>
            </w:r>
          </w:p>
        </w:tc>
      </w:tr>
      <w:tr>
        <w:trPr>
          <w:trHeight w:val="174" w:hRule="atLeast"/>
        </w:trPr>
        <w:tc>
          <w:tcPr>
            <w:tcW w:w="5794" w:type="dxa"/>
          </w:tcPr>
          <w:p>
            <w:pPr>
              <w:pStyle w:val="TableParagraph"/>
              <w:spacing w:line="140" w:lineRule="exact" w:before="15"/>
              <w:ind w:left="107"/>
              <w:rPr>
                <w:b/>
                <w:sz w:val="14"/>
              </w:rPr>
            </w:pPr>
            <w:r>
              <w:rPr>
                <w:b/>
                <w:sz w:val="14"/>
              </w:rPr>
              <w:t>Aquanation</w:t>
            </w:r>
            <w:r>
              <w:rPr>
                <w:b/>
                <w:spacing w:val="-5"/>
                <w:sz w:val="14"/>
              </w:rPr>
              <w:t> </w:t>
            </w:r>
            <w:r>
              <w:rPr>
                <w:b/>
                <w:sz w:val="14"/>
              </w:rPr>
              <w:t>-</w:t>
            </w:r>
            <w:r>
              <w:rPr>
                <w:b/>
                <w:spacing w:val="-2"/>
                <w:sz w:val="14"/>
              </w:rPr>
              <w:t> </w:t>
            </w:r>
            <w:r>
              <w:rPr>
                <w:b/>
                <w:sz w:val="14"/>
              </w:rPr>
              <w:t>Aquatic</w:t>
            </w:r>
            <w:r>
              <w:rPr>
                <w:b/>
                <w:spacing w:val="-5"/>
                <w:sz w:val="14"/>
              </w:rPr>
              <w:t> </w:t>
            </w:r>
            <w:r>
              <w:rPr>
                <w:b/>
                <w:sz w:val="14"/>
              </w:rPr>
              <w:t>10</w:t>
            </w:r>
            <w:r>
              <w:rPr>
                <w:b/>
                <w:spacing w:val="-5"/>
                <w:sz w:val="14"/>
              </w:rPr>
              <w:t> </w:t>
            </w:r>
            <w:r>
              <w:rPr>
                <w:b/>
                <w:sz w:val="14"/>
              </w:rPr>
              <w:t>Visit</w:t>
            </w:r>
            <w:r>
              <w:rPr>
                <w:b/>
                <w:spacing w:val="-4"/>
                <w:sz w:val="14"/>
              </w:rPr>
              <w:t> Pass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Adult</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81.00</w:t>
            </w:r>
          </w:p>
        </w:tc>
        <w:tc>
          <w:tcPr>
            <w:tcW w:w="995" w:type="dxa"/>
          </w:tcPr>
          <w:p>
            <w:pPr>
              <w:pStyle w:val="TableParagraph"/>
              <w:spacing w:line="140" w:lineRule="exact" w:before="17"/>
              <w:ind w:right="101"/>
              <w:jc w:val="right"/>
              <w:rPr>
                <w:sz w:val="14"/>
              </w:rPr>
            </w:pPr>
            <w:r>
              <w:rPr>
                <w:spacing w:val="-2"/>
                <w:sz w:val="14"/>
              </w:rPr>
              <w:t>90.00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Concession</w:t>
            </w:r>
            <w:r>
              <w:rPr>
                <w:spacing w:val="-9"/>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68.40</w:t>
            </w:r>
          </w:p>
        </w:tc>
        <w:tc>
          <w:tcPr>
            <w:tcW w:w="995" w:type="dxa"/>
          </w:tcPr>
          <w:p>
            <w:pPr>
              <w:pStyle w:val="TableParagraph"/>
              <w:spacing w:line="140" w:lineRule="exact" w:before="17"/>
              <w:ind w:right="101"/>
              <w:jc w:val="right"/>
              <w:rPr>
                <w:sz w:val="14"/>
              </w:rPr>
            </w:pPr>
            <w:r>
              <w:rPr>
                <w:spacing w:val="-2"/>
                <w:sz w:val="14"/>
              </w:rPr>
              <w:t>76.50</w:t>
            </w:r>
          </w:p>
        </w:tc>
        <w:tc>
          <w:tcPr>
            <w:tcW w:w="861" w:type="dxa"/>
          </w:tcPr>
          <w:p>
            <w:pPr>
              <w:pStyle w:val="TableParagraph"/>
              <w:spacing w:line="140" w:lineRule="exact" w:before="17"/>
              <w:ind w:left="288"/>
              <w:rPr>
                <w:sz w:val="14"/>
              </w:rPr>
            </w:pPr>
            <w:r>
              <w:rPr>
                <w:spacing w:val="-4"/>
                <w:sz w:val="14"/>
              </w:rPr>
              <w:t>10.6</w:t>
            </w:r>
          </w:p>
        </w:tc>
      </w:tr>
      <w:tr>
        <w:trPr>
          <w:trHeight w:val="177" w:hRule="atLeast"/>
        </w:trPr>
        <w:tc>
          <w:tcPr>
            <w:tcW w:w="5794" w:type="dxa"/>
          </w:tcPr>
          <w:p>
            <w:pPr>
              <w:pStyle w:val="TableParagraph"/>
              <w:spacing w:line="140" w:lineRule="exact" w:before="17"/>
              <w:ind w:left="107"/>
              <w:rPr>
                <w:sz w:val="14"/>
              </w:rPr>
            </w:pPr>
            <w:r>
              <w:rPr>
                <w:sz w:val="14"/>
              </w:rPr>
              <w:t>Child</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70.20</w:t>
            </w:r>
          </w:p>
        </w:tc>
        <w:tc>
          <w:tcPr>
            <w:tcW w:w="995" w:type="dxa"/>
          </w:tcPr>
          <w:p>
            <w:pPr>
              <w:pStyle w:val="TableParagraph"/>
              <w:spacing w:line="140" w:lineRule="exact" w:before="17"/>
              <w:ind w:right="101"/>
              <w:jc w:val="right"/>
              <w:rPr>
                <w:sz w:val="14"/>
              </w:rPr>
            </w:pPr>
            <w:r>
              <w:rPr>
                <w:spacing w:val="-2"/>
                <w:sz w:val="14"/>
              </w:rPr>
              <w:t>76.50</w:t>
            </w:r>
          </w:p>
        </w:tc>
        <w:tc>
          <w:tcPr>
            <w:tcW w:w="861" w:type="dxa"/>
          </w:tcPr>
          <w:p>
            <w:pPr>
              <w:pStyle w:val="TableParagraph"/>
              <w:spacing w:line="140" w:lineRule="exact" w:before="17"/>
              <w:ind w:left="327"/>
              <w:rPr>
                <w:sz w:val="14"/>
              </w:rPr>
            </w:pPr>
            <w:r>
              <w:rPr>
                <w:spacing w:val="-5"/>
                <w:sz w:val="14"/>
              </w:rPr>
              <w:t>8.2</w:t>
            </w:r>
          </w:p>
        </w:tc>
      </w:tr>
      <w:tr>
        <w:trPr>
          <w:trHeight w:val="177" w:hRule="atLeast"/>
        </w:trPr>
        <w:tc>
          <w:tcPr>
            <w:tcW w:w="5794" w:type="dxa"/>
          </w:tcPr>
          <w:p>
            <w:pPr>
              <w:pStyle w:val="TableParagraph"/>
              <w:spacing w:line="140" w:lineRule="exact" w:before="17"/>
              <w:ind w:left="107"/>
              <w:rPr>
                <w:sz w:val="14"/>
              </w:rPr>
            </w:pPr>
            <w:r>
              <w:rPr>
                <w:sz w:val="14"/>
              </w:rPr>
              <w:t>Family</w:t>
            </w:r>
            <w:r>
              <w:rPr>
                <w:spacing w:val="-7"/>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243.00</w:t>
            </w:r>
          </w:p>
        </w:tc>
        <w:tc>
          <w:tcPr>
            <w:tcW w:w="995" w:type="dxa"/>
          </w:tcPr>
          <w:p>
            <w:pPr>
              <w:pStyle w:val="TableParagraph"/>
              <w:spacing w:line="140" w:lineRule="exact" w:before="17"/>
              <w:ind w:right="102"/>
              <w:jc w:val="right"/>
              <w:rPr>
                <w:sz w:val="14"/>
              </w:rPr>
            </w:pPr>
            <w:r>
              <w:rPr>
                <w:spacing w:val="-2"/>
                <w:sz w:val="14"/>
              </w:rPr>
              <w:t>256.50</w:t>
            </w:r>
          </w:p>
        </w:tc>
        <w:tc>
          <w:tcPr>
            <w:tcW w:w="861" w:type="dxa"/>
          </w:tcPr>
          <w:p>
            <w:pPr>
              <w:pStyle w:val="TableParagraph"/>
              <w:spacing w:line="140" w:lineRule="exact" w:before="17"/>
              <w:ind w:left="327"/>
              <w:rPr>
                <w:sz w:val="14"/>
              </w:rPr>
            </w:pPr>
            <w:r>
              <w:rPr>
                <w:spacing w:val="-5"/>
                <w:sz w:val="14"/>
              </w:rPr>
              <w:t>5.3</w:t>
            </w:r>
          </w:p>
        </w:tc>
      </w:tr>
      <w:tr>
        <w:trPr>
          <w:trHeight w:val="177" w:hRule="atLeast"/>
        </w:trPr>
        <w:tc>
          <w:tcPr>
            <w:tcW w:w="5794" w:type="dxa"/>
          </w:tcPr>
          <w:p>
            <w:pPr>
              <w:pStyle w:val="TableParagraph"/>
              <w:spacing w:line="140" w:lineRule="exact" w:before="17"/>
              <w:ind w:left="107"/>
              <w:rPr>
                <w:sz w:val="14"/>
              </w:rPr>
            </w:pP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77.40</w:t>
            </w:r>
          </w:p>
        </w:tc>
        <w:tc>
          <w:tcPr>
            <w:tcW w:w="995" w:type="dxa"/>
          </w:tcPr>
          <w:p>
            <w:pPr>
              <w:pStyle w:val="TableParagraph"/>
              <w:spacing w:line="140" w:lineRule="exact" w:before="17"/>
              <w:ind w:right="101"/>
              <w:jc w:val="right"/>
              <w:rPr>
                <w:sz w:val="14"/>
              </w:rPr>
            </w:pPr>
            <w:r>
              <w:rPr>
                <w:spacing w:val="-2"/>
                <w:sz w:val="14"/>
              </w:rPr>
              <w:t>81.00</w:t>
            </w:r>
          </w:p>
        </w:tc>
        <w:tc>
          <w:tcPr>
            <w:tcW w:w="861" w:type="dxa"/>
          </w:tcPr>
          <w:p>
            <w:pPr>
              <w:pStyle w:val="TableParagraph"/>
              <w:spacing w:line="140" w:lineRule="exact" w:before="17"/>
              <w:ind w:left="327"/>
              <w:rPr>
                <w:sz w:val="14"/>
              </w:rPr>
            </w:pPr>
            <w:r>
              <w:rPr>
                <w:spacing w:val="-5"/>
                <w:sz w:val="14"/>
              </w:rPr>
              <w:t>4.4</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5"/>
                <w:sz w:val="14"/>
              </w:rPr>
              <w:t> </w:t>
            </w:r>
            <w:r>
              <w:rPr>
                <w:b/>
                <w:sz w:val="14"/>
              </w:rPr>
              <w:t>-</w:t>
            </w:r>
            <w:r>
              <w:rPr>
                <w:b/>
                <w:spacing w:val="-2"/>
                <w:sz w:val="14"/>
              </w:rPr>
              <w:t> </w:t>
            </w:r>
            <w:r>
              <w:rPr>
                <w:b/>
                <w:sz w:val="14"/>
              </w:rPr>
              <w:t>Spa,</w:t>
            </w:r>
            <w:r>
              <w:rPr>
                <w:b/>
                <w:spacing w:val="-2"/>
                <w:sz w:val="14"/>
              </w:rPr>
              <w:t> </w:t>
            </w:r>
            <w:r>
              <w:rPr>
                <w:b/>
                <w:sz w:val="14"/>
              </w:rPr>
              <w:t>sauna</w:t>
            </w:r>
            <w:r>
              <w:rPr>
                <w:b/>
                <w:spacing w:val="-5"/>
                <w:sz w:val="14"/>
              </w:rPr>
              <w:t> </w:t>
            </w:r>
            <w:r>
              <w:rPr>
                <w:b/>
                <w:sz w:val="14"/>
              </w:rPr>
              <w:t>&amp;</w:t>
            </w:r>
            <w:r>
              <w:rPr>
                <w:b/>
                <w:spacing w:val="-1"/>
                <w:sz w:val="14"/>
              </w:rPr>
              <w:t> </w:t>
            </w:r>
            <w:r>
              <w:rPr>
                <w:b/>
                <w:sz w:val="14"/>
              </w:rPr>
              <w:t>steam</w:t>
            </w:r>
            <w:r>
              <w:rPr>
                <w:b/>
                <w:spacing w:val="-3"/>
                <w:sz w:val="14"/>
              </w:rPr>
              <w:t> </w:t>
            </w:r>
            <w:r>
              <w:rPr>
                <w:b/>
                <w:sz w:val="14"/>
              </w:rPr>
              <w:t>room</w:t>
            </w:r>
            <w:r>
              <w:rPr>
                <w:b/>
                <w:spacing w:val="-3"/>
                <w:sz w:val="14"/>
              </w:rPr>
              <w:t> </w:t>
            </w:r>
            <w:r>
              <w:rPr>
                <w:b/>
                <w:sz w:val="14"/>
              </w:rPr>
              <w:t>10</w:t>
            </w:r>
            <w:r>
              <w:rPr>
                <w:b/>
                <w:spacing w:val="-5"/>
                <w:sz w:val="14"/>
              </w:rPr>
              <w:t> </w:t>
            </w:r>
            <w:r>
              <w:rPr>
                <w:b/>
                <w:sz w:val="14"/>
              </w:rPr>
              <w:t>Visit</w:t>
            </w:r>
            <w:r>
              <w:rPr>
                <w:b/>
                <w:spacing w:val="-5"/>
                <w:sz w:val="14"/>
              </w:rPr>
              <w:t> </w:t>
            </w:r>
            <w:r>
              <w:rPr>
                <w:b/>
                <w:spacing w:val="-4"/>
                <w:sz w:val="14"/>
              </w:rPr>
              <w:t>Pass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117.00</w:t>
            </w:r>
          </w:p>
        </w:tc>
        <w:tc>
          <w:tcPr>
            <w:tcW w:w="995" w:type="dxa"/>
          </w:tcPr>
          <w:p>
            <w:pPr>
              <w:pStyle w:val="TableParagraph"/>
              <w:spacing w:line="140" w:lineRule="exact" w:before="17"/>
              <w:ind w:right="102"/>
              <w:jc w:val="right"/>
              <w:rPr>
                <w:sz w:val="14"/>
              </w:rPr>
            </w:pPr>
            <w:r>
              <w:rPr>
                <w:spacing w:val="-2"/>
                <w:sz w:val="14"/>
              </w:rPr>
              <w:t>126.00</w:t>
            </w:r>
          </w:p>
        </w:tc>
        <w:tc>
          <w:tcPr>
            <w:tcW w:w="861" w:type="dxa"/>
          </w:tcPr>
          <w:p>
            <w:pPr>
              <w:pStyle w:val="TableParagraph"/>
              <w:spacing w:line="140" w:lineRule="exact" w:before="17"/>
              <w:ind w:left="327"/>
              <w:rPr>
                <w:sz w:val="14"/>
              </w:rPr>
            </w:pPr>
            <w:r>
              <w:rPr>
                <w:spacing w:val="-5"/>
                <w:sz w:val="14"/>
              </w:rPr>
              <w:t>7.1</w:t>
            </w:r>
          </w:p>
        </w:tc>
      </w:tr>
    </w:tbl>
    <w:p>
      <w:pPr>
        <w:spacing w:after="0" w:line="140" w:lineRule="exact"/>
        <w:rPr>
          <w:sz w:val="14"/>
        </w:rPr>
        <w:sectPr>
          <w:type w:val="continuous"/>
          <w:pgSz w:w="11910" w:h="16840"/>
          <w:pgMar w:header="0" w:footer="687" w:top="920" w:bottom="1111"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pacing w:val="-2"/>
                <w:sz w:val="14"/>
              </w:rPr>
              <w:t>Concession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102.00</w:t>
            </w:r>
          </w:p>
        </w:tc>
        <w:tc>
          <w:tcPr>
            <w:tcW w:w="995" w:type="dxa"/>
          </w:tcPr>
          <w:p>
            <w:pPr>
              <w:pStyle w:val="TableParagraph"/>
              <w:spacing w:line="140" w:lineRule="exact" w:before="15"/>
              <w:ind w:right="102"/>
              <w:jc w:val="right"/>
              <w:rPr>
                <w:sz w:val="14"/>
              </w:rPr>
            </w:pPr>
            <w:r>
              <w:rPr>
                <w:spacing w:val="-2"/>
                <w:sz w:val="14"/>
              </w:rPr>
              <w:t>107.10</w:t>
            </w:r>
          </w:p>
        </w:tc>
        <w:tc>
          <w:tcPr>
            <w:tcW w:w="861" w:type="dxa"/>
          </w:tcPr>
          <w:p>
            <w:pPr>
              <w:pStyle w:val="TableParagraph"/>
              <w:spacing w:line="140" w:lineRule="exact" w:before="15"/>
              <w:ind w:left="327"/>
              <w:rPr>
                <w:sz w:val="14"/>
              </w:rPr>
            </w:pPr>
            <w:r>
              <w:rPr>
                <w:spacing w:val="-5"/>
                <w:sz w:val="14"/>
              </w:rPr>
              <w:t>4.8</w:t>
            </w:r>
          </w:p>
        </w:tc>
      </w:tr>
      <w:tr>
        <w:trPr>
          <w:trHeight w:val="177" w:hRule="atLeast"/>
        </w:trPr>
        <w:tc>
          <w:tcPr>
            <w:tcW w:w="5794" w:type="dxa"/>
          </w:tcPr>
          <w:p>
            <w:pPr>
              <w:pStyle w:val="TableParagraph"/>
              <w:spacing w:line="140" w:lineRule="exact" w:before="17"/>
              <w:ind w:left="107"/>
              <w:rPr>
                <w:sz w:val="14"/>
              </w:rPr>
            </w:pP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108.00</w:t>
            </w:r>
          </w:p>
        </w:tc>
        <w:tc>
          <w:tcPr>
            <w:tcW w:w="995" w:type="dxa"/>
          </w:tcPr>
          <w:p>
            <w:pPr>
              <w:pStyle w:val="TableParagraph"/>
              <w:spacing w:line="140" w:lineRule="exact" w:before="17"/>
              <w:ind w:right="102"/>
              <w:jc w:val="right"/>
              <w:rPr>
                <w:sz w:val="14"/>
              </w:rPr>
            </w:pPr>
            <w:r>
              <w:rPr>
                <w:spacing w:val="-2"/>
                <w:sz w:val="14"/>
              </w:rPr>
              <w:t>113.40</w:t>
            </w:r>
          </w:p>
        </w:tc>
        <w:tc>
          <w:tcPr>
            <w:tcW w:w="861" w:type="dxa"/>
          </w:tcPr>
          <w:p>
            <w:pPr>
              <w:pStyle w:val="TableParagraph"/>
              <w:spacing w:line="140" w:lineRule="exact" w:before="17"/>
              <w:ind w:left="327"/>
              <w:rPr>
                <w:sz w:val="14"/>
              </w:rPr>
            </w:pPr>
            <w:r>
              <w:rPr>
                <w:spacing w:val="-5"/>
                <w:sz w:val="14"/>
              </w:rPr>
              <w:t>4.8</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5"/>
                <w:sz w:val="14"/>
              </w:rPr>
              <w:t> </w:t>
            </w:r>
            <w:r>
              <w:rPr>
                <w:b/>
                <w:sz w:val="14"/>
              </w:rPr>
              <w:t>-</w:t>
            </w:r>
            <w:r>
              <w:rPr>
                <w:b/>
                <w:spacing w:val="-1"/>
                <w:sz w:val="14"/>
              </w:rPr>
              <w:t> </w:t>
            </w:r>
            <w:r>
              <w:rPr>
                <w:b/>
                <w:sz w:val="14"/>
              </w:rPr>
              <w:t>Learn</w:t>
            </w:r>
            <w:r>
              <w:rPr>
                <w:b/>
                <w:spacing w:val="-4"/>
                <w:sz w:val="14"/>
              </w:rPr>
              <w:t> </w:t>
            </w:r>
            <w:r>
              <w:rPr>
                <w:b/>
                <w:sz w:val="14"/>
              </w:rPr>
              <w:t>to</w:t>
            </w:r>
            <w:r>
              <w:rPr>
                <w:b/>
                <w:spacing w:val="-5"/>
                <w:sz w:val="14"/>
              </w:rPr>
              <w:t> </w:t>
            </w:r>
            <w:r>
              <w:rPr>
                <w:b/>
                <w:sz w:val="14"/>
              </w:rPr>
              <w:t>Swim</w:t>
            </w:r>
            <w:r>
              <w:rPr>
                <w:b/>
                <w:spacing w:val="-2"/>
                <w:sz w:val="14"/>
              </w:rPr>
              <w:t> </w:t>
            </w:r>
            <w:r>
              <w:rPr>
                <w:b/>
                <w:sz w:val="14"/>
              </w:rPr>
              <w:t>Joining</w:t>
            </w:r>
            <w:r>
              <w:rPr>
                <w:b/>
                <w:spacing w:val="-1"/>
                <w:sz w:val="14"/>
              </w:rPr>
              <w:t> </w:t>
            </w:r>
            <w:r>
              <w:rPr>
                <w:b/>
                <w:spacing w:val="-5"/>
                <w:sz w:val="14"/>
              </w:rPr>
              <w:t>Fee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pacing w:val="-5"/>
                <w:sz w:val="14"/>
              </w:rPr>
              <w:t>Fee</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25.00</w:t>
            </w:r>
          </w:p>
        </w:tc>
        <w:tc>
          <w:tcPr>
            <w:tcW w:w="995" w:type="dxa"/>
          </w:tcPr>
          <w:p>
            <w:pPr>
              <w:pStyle w:val="TableParagraph"/>
              <w:spacing w:line="142" w:lineRule="exact" w:before="15"/>
              <w:ind w:right="101"/>
              <w:jc w:val="right"/>
              <w:rPr>
                <w:sz w:val="14"/>
              </w:rPr>
            </w:pPr>
            <w:r>
              <w:rPr>
                <w:spacing w:val="-2"/>
                <w:sz w:val="14"/>
              </w:rPr>
              <w:t>25.00</w:t>
            </w:r>
          </w:p>
        </w:tc>
        <w:tc>
          <w:tcPr>
            <w:tcW w:w="861" w:type="dxa"/>
          </w:tcPr>
          <w:p>
            <w:pPr>
              <w:pStyle w:val="TableParagraph"/>
              <w:spacing w:line="142" w:lineRule="exact" w:before="15"/>
              <w:ind w:left="326"/>
              <w:rPr>
                <w:sz w:val="14"/>
              </w:rPr>
            </w:pPr>
            <w:r>
              <w:rPr>
                <w:spacing w:val="-5"/>
                <w:sz w:val="14"/>
              </w:rPr>
              <w:t>0.0</w:t>
            </w:r>
          </w:p>
        </w:tc>
      </w:tr>
      <w:tr>
        <w:trPr>
          <w:trHeight w:val="174" w:hRule="atLeast"/>
        </w:trPr>
        <w:tc>
          <w:tcPr>
            <w:tcW w:w="5794" w:type="dxa"/>
          </w:tcPr>
          <w:p>
            <w:pPr>
              <w:pStyle w:val="TableParagraph"/>
              <w:spacing w:line="140" w:lineRule="exact" w:before="15"/>
              <w:ind w:left="107"/>
              <w:rPr>
                <w:b/>
                <w:sz w:val="14"/>
              </w:rPr>
            </w:pPr>
            <w:r>
              <w:rPr>
                <w:b/>
                <w:sz w:val="14"/>
              </w:rPr>
              <w:t>Aquanation</w:t>
            </w:r>
            <w:r>
              <w:rPr>
                <w:b/>
                <w:spacing w:val="-6"/>
                <w:sz w:val="14"/>
              </w:rPr>
              <w:t> </w:t>
            </w:r>
            <w:r>
              <w:rPr>
                <w:b/>
                <w:sz w:val="14"/>
              </w:rPr>
              <w:t>-</w:t>
            </w:r>
            <w:r>
              <w:rPr>
                <w:b/>
                <w:spacing w:val="-2"/>
                <w:sz w:val="14"/>
              </w:rPr>
              <w:t> </w:t>
            </w:r>
            <w:r>
              <w:rPr>
                <w:b/>
                <w:sz w:val="14"/>
              </w:rPr>
              <w:t>Aquatic</w:t>
            </w:r>
            <w:r>
              <w:rPr>
                <w:b/>
                <w:spacing w:val="-6"/>
                <w:sz w:val="14"/>
              </w:rPr>
              <w:t> </w:t>
            </w:r>
            <w:r>
              <w:rPr>
                <w:b/>
                <w:spacing w:val="-2"/>
                <w:sz w:val="14"/>
              </w:rPr>
              <w:t>Education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Membership</w:t>
            </w:r>
            <w:r>
              <w:rPr>
                <w:spacing w:val="-5"/>
                <w:sz w:val="14"/>
              </w:rPr>
              <w:t> </w:t>
            </w:r>
            <w:r>
              <w:rPr>
                <w:sz w:val="14"/>
              </w:rPr>
              <w:t>(48</w:t>
            </w:r>
            <w:r>
              <w:rPr>
                <w:spacing w:val="-5"/>
                <w:sz w:val="14"/>
              </w:rPr>
              <w:t> </w:t>
            </w:r>
            <w:r>
              <w:rPr>
                <w:spacing w:val="-2"/>
                <w:sz w:val="14"/>
              </w:rPr>
              <w:t>weeks)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44.00</w:t>
            </w:r>
          </w:p>
        </w:tc>
        <w:tc>
          <w:tcPr>
            <w:tcW w:w="995" w:type="dxa"/>
          </w:tcPr>
          <w:p>
            <w:pPr>
              <w:pStyle w:val="TableParagraph"/>
              <w:spacing w:line="140" w:lineRule="exact" w:before="17"/>
              <w:ind w:right="101"/>
              <w:jc w:val="right"/>
              <w:rPr>
                <w:sz w:val="14"/>
              </w:rPr>
            </w:pPr>
            <w:r>
              <w:rPr>
                <w:spacing w:val="-2"/>
                <w:sz w:val="14"/>
              </w:rPr>
              <w:t>46.60</w:t>
            </w:r>
          </w:p>
        </w:tc>
        <w:tc>
          <w:tcPr>
            <w:tcW w:w="861" w:type="dxa"/>
          </w:tcPr>
          <w:p>
            <w:pPr>
              <w:pStyle w:val="TableParagraph"/>
              <w:spacing w:line="140" w:lineRule="exact" w:before="17"/>
              <w:ind w:left="327"/>
              <w:rPr>
                <w:sz w:val="14"/>
              </w:rPr>
            </w:pPr>
            <w:r>
              <w:rPr>
                <w:spacing w:val="-5"/>
                <w:sz w:val="14"/>
              </w:rPr>
              <w:t>5.6</w:t>
            </w:r>
          </w:p>
        </w:tc>
      </w:tr>
      <w:tr>
        <w:trPr>
          <w:trHeight w:val="177" w:hRule="atLeast"/>
        </w:trPr>
        <w:tc>
          <w:tcPr>
            <w:tcW w:w="5794" w:type="dxa"/>
          </w:tcPr>
          <w:p>
            <w:pPr>
              <w:pStyle w:val="TableParagraph"/>
              <w:spacing w:line="140" w:lineRule="exact" w:before="17"/>
              <w:ind w:left="107"/>
              <w:rPr>
                <w:sz w:val="14"/>
              </w:rPr>
            </w:pPr>
            <w:r>
              <w:rPr>
                <w:sz w:val="14"/>
              </w:rPr>
              <w:t>Private</w:t>
            </w:r>
            <w:r>
              <w:rPr>
                <w:spacing w:val="-6"/>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65.00</w:t>
            </w:r>
          </w:p>
        </w:tc>
        <w:tc>
          <w:tcPr>
            <w:tcW w:w="995" w:type="dxa"/>
          </w:tcPr>
          <w:p>
            <w:pPr>
              <w:pStyle w:val="TableParagraph"/>
              <w:spacing w:line="140" w:lineRule="exact" w:before="17"/>
              <w:ind w:right="102"/>
              <w:jc w:val="right"/>
              <w:rPr>
                <w:sz w:val="14"/>
              </w:rPr>
            </w:pPr>
            <w:r>
              <w:rPr>
                <w:spacing w:val="-2"/>
                <w:sz w:val="14"/>
              </w:rPr>
              <w:t>136.00</w:t>
            </w:r>
          </w:p>
        </w:tc>
        <w:tc>
          <w:tcPr>
            <w:tcW w:w="861" w:type="dxa"/>
          </w:tcPr>
          <w:p>
            <w:pPr>
              <w:pStyle w:val="TableParagraph"/>
              <w:spacing w:line="140" w:lineRule="exact" w:before="17"/>
              <w:ind w:left="288"/>
              <w:rPr>
                <w:sz w:val="14"/>
              </w:rPr>
            </w:pPr>
            <w:r>
              <w:rPr>
                <w:spacing w:val="-4"/>
                <w:sz w:val="14"/>
              </w:rPr>
              <w:t>52.2</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pacing w:val="-2"/>
                <w:sz w:val="14"/>
              </w:rPr>
              <w:t>Schools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lessons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10.00</w:t>
            </w:r>
          </w:p>
        </w:tc>
        <w:tc>
          <w:tcPr>
            <w:tcW w:w="995" w:type="dxa"/>
          </w:tcPr>
          <w:p>
            <w:pPr>
              <w:pStyle w:val="TableParagraph"/>
              <w:spacing w:line="140" w:lineRule="exact" w:before="17"/>
              <w:ind w:right="101"/>
              <w:jc w:val="right"/>
              <w:rPr>
                <w:sz w:val="14"/>
              </w:rPr>
            </w:pPr>
            <w:r>
              <w:rPr>
                <w:spacing w:val="-2"/>
                <w:sz w:val="14"/>
              </w:rPr>
              <w:t>10.90</w:t>
            </w:r>
          </w:p>
        </w:tc>
        <w:tc>
          <w:tcPr>
            <w:tcW w:w="861" w:type="dxa"/>
          </w:tcPr>
          <w:p>
            <w:pPr>
              <w:pStyle w:val="TableParagraph"/>
              <w:spacing w:line="140" w:lineRule="exact" w:before="17"/>
              <w:ind w:left="327"/>
              <w:rPr>
                <w:sz w:val="14"/>
              </w:rPr>
            </w:pPr>
            <w:r>
              <w:rPr>
                <w:spacing w:val="-5"/>
                <w:sz w:val="14"/>
              </w:rPr>
              <w:t>8.3</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2"/>
                <w:sz w:val="14"/>
              </w:rPr>
              <w:t> </w:t>
            </w:r>
            <w:r>
              <w:rPr>
                <w:b/>
                <w:sz w:val="14"/>
              </w:rPr>
              <w:t>Facility</w:t>
            </w:r>
            <w:r>
              <w:rPr>
                <w:b/>
                <w:spacing w:val="-6"/>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25m</w:t>
            </w:r>
            <w:r>
              <w:rPr>
                <w:spacing w:val="-3"/>
                <w:sz w:val="14"/>
              </w:rPr>
              <w:t> </w:t>
            </w:r>
            <w:r>
              <w:rPr>
                <w:sz w:val="14"/>
              </w:rPr>
              <w:t>lane</w:t>
            </w:r>
            <w:r>
              <w:rPr>
                <w:spacing w:val="-3"/>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40.00</w:t>
            </w:r>
          </w:p>
        </w:tc>
        <w:tc>
          <w:tcPr>
            <w:tcW w:w="995" w:type="dxa"/>
          </w:tcPr>
          <w:p>
            <w:pPr>
              <w:pStyle w:val="TableParagraph"/>
              <w:spacing w:line="140" w:lineRule="exact" w:before="17"/>
              <w:ind w:right="101"/>
              <w:jc w:val="right"/>
              <w:rPr>
                <w:sz w:val="14"/>
              </w:rPr>
            </w:pPr>
            <w:r>
              <w:rPr>
                <w:spacing w:val="-2"/>
                <w:sz w:val="14"/>
              </w:rPr>
              <w:t>45.00</w:t>
            </w:r>
          </w:p>
        </w:tc>
        <w:tc>
          <w:tcPr>
            <w:tcW w:w="861" w:type="dxa"/>
          </w:tcPr>
          <w:p>
            <w:pPr>
              <w:pStyle w:val="TableParagraph"/>
              <w:spacing w:line="140" w:lineRule="exact" w:before="17"/>
              <w:ind w:left="288"/>
              <w:rPr>
                <w:sz w:val="14"/>
              </w:rPr>
            </w:pPr>
            <w:r>
              <w:rPr>
                <w:spacing w:val="-4"/>
                <w:sz w:val="14"/>
              </w:rPr>
              <w:t>11.1</w:t>
            </w:r>
          </w:p>
        </w:tc>
      </w:tr>
      <w:tr>
        <w:trPr>
          <w:trHeight w:val="177" w:hRule="atLeast"/>
        </w:trPr>
        <w:tc>
          <w:tcPr>
            <w:tcW w:w="5794" w:type="dxa"/>
          </w:tcPr>
          <w:p>
            <w:pPr>
              <w:pStyle w:val="TableParagraph"/>
              <w:spacing w:line="140" w:lineRule="exact" w:before="17"/>
              <w:ind w:left="107"/>
              <w:rPr>
                <w:sz w:val="14"/>
              </w:rPr>
            </w:pPr>
            <w:r>
              <w:rPr>
                <w:sz w:val="14"/>
              </w:rPr>
              <w:t>25m</w:t>
            </w:r>
            <w:r>
              <w:rPr>
                <w:spacing w:val="-3"/>
                <w:sz w:val="14"/>
              </w:rPr>
              <w:t> </w:t>
            </w:r>
            <w:r>
              <w:rPr>
                <w:sz w:val="14"/>
              </w:rPr>
              <w:t>pool</w:t>
            </w:r>
            <w:r>
              <w:rPr>
                <w:spacing w:val="-2"/>
                <w:sz w:val="14"/>
              </w:rPr>
              <w:t> booking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50m</w:t>
            </w:r>
            <w:r>
              <w:rPr>
                <w:spacing w:val="-3"/>
                <w:sz w:val="14"/>
              </w:rPr>
              <w:t> </w:t>
            </w:r>
            <w:r>
              <w:rPr>
                <w:sz w:val="14"/>
              </w:rPr>
              <w:t>lane</w:t>
            </w:r>
            <w:r>
              <w:rPr>
                <w:spacing w:val="-3"/>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59.00</w:t>
            </w:r>
          </w:p>
        </w:tc>
        <w:tc>
          <w:tcPr>
            <w:tcW w:w="995" w:type="dxa"/>
          </w:tcPr>
          <w:p>
            <w:pPr>
              <w:pStyle w:val="TableParagraph"/>
              <w:spacing w:line="140" w:lineRule="exact" w:before="17"/>
              <w:ind w:right="101"/>
              <w:jc w:val="right"/>
              <w:rPr>
                <w:sz w:val="14"/>
              </w:rPr>
            </w:pPr>
            <w:r>
              <w:rPr>
                <w:spacing w:val="-2"/>
                <w:sz w:val="14"/>
              </w:rPr>
              <w:t>65.00</w:t>
            </w:r>
          </w:p>
        </w:tc>
        <w:tc>
          <w:tcPr>
            <w:tcW w:w="861" w:type="dxa"/>
          </w:tcPr>
          <w:p>
            <w:pPr>
              <w:pStyle w:val="TableParagraph"/>
              <w:spacing w:line="140" w:lineRule="exact" w:before="17"/>
              <w:ind w:left="327"/>
              <w:rPr>
                <w:sz w:val="14"/>
              </w:rPr>
            </w:pPr>
            <w:r>
              <w:rPr>
                <w:spacing w:val="-5"/>
                <w:sz w:val="14"/>
              </w:rPr>
              <w:t>9.2</w:t>
            </w:r>
          </w:p>
        </w:tc>
      </w:tr>
      <w:tr>
        <w:trPr>
          <w:trHeight w:val="177" w:hRule="atLeast"/>
        </w:trPr>
        <w:tc>
          <w:tcPr>
            <w:tcW w:w="5794" w:type="dxa"/>
          </w:tcPr>
          <w:p>
            <w:pPr>
              <w:pStyle w:val="TableParagraph"/>
              <w:spacing w:line="140" w:lineRule="exact" w:before="17"/>
              <w:ind w:left="107"/>
              <w:rPr>
                <w:sz w:val="14"/>
              </w:rPr>
            </w:pPr>
            <w:r>
              <w:rPr>
                <w:sz w:val="14"/>
              </w:rPr>
              <w:t>50m</w:t>
            </w:r>
            <w:r>
              <w:rPr>
                <w:spacing w:val="-3"/>
                <w:sz w:val="14"/>
              </w:rPr>
              <w:t> </w:t>
            </w:r>
            <w:r>
              <w:rPr>
                <w:sz w:val="14"/>
              </w:rPr>
              <w:t>pool</w:t>
            </w:r>
            <w:r>
              <w:rPr>
                <w:spacing w:val="-2"/>
                <w:sz w:val="14"/>
              </w:rPr>
              <w:t> booking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337.00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Warm</w:t>
            </w:r>
            <w:r>
              <w:rPr>
                <w:spacing w:val="-5"/>
                <w:sz w:val="14"/>
              </w:rPr>
              <w:t> </w:t>
            </w:r>
            <w:r>
              <w:rPr>
                <w:sz w:val="14"/>
              </w:rPr>
              <w:t>water</w:t>
            </w:r>
            <w:r>
              <w:rPr>
                <w:spacing w:val="-4"/>
                <w:sz w:val="14"/>
              </w:rPr>
              <w:t> </w:t>
            </w:r>
            <w:r>
              <w:rPr>
                <w:sz w:val="14"/>
              </w:rPr>
              <w:t>pool</w:t>
            </w:r>
            <w:r>
              <w:rPr>
                <w:spacing w:val="-2"/>
                <w:sz w:val="14"/>
              </w:rPr>
              <w:t> booking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130.00</w:t>
            </w:r>
          </w:p>
        </w:tc>
        <w:tc>
          <w:tcPr>
            <w:tcW w:w="995" w:type="dxa"/>
          </w:tcPr>
          <w:p>
            <w:pPr>
              <w:pStyle w:val="TableParagraph"/>
              <w:spacing w:line="140" w:lineRule="exact" w:before="17"/>
              <w:ind w:right="102"/>
              <w:jc w:val="right"/>
              <w:rPr>
                <w:sz w:val="14"/>
              </w:rPr>
            </w:pPr>
            <w:r>
              <w:rPr>
                <w:spacing w:val="-2"/>
                <w:sz w:val="14"/>
              </w:rPr>
              <w:t>150.00</w:t>
            </w:r>
          </w:p>
        </w:tc>
        <w:tc>
          <w:tcPr>
            <w:tcW w:w="861" w:type="dxa"/>
          </w:tcPr>
          <w:p>
            <w:pPr>
              <w:pStyle w:val="TableParagraph"/>
              <w:spacing w:line="140" w:lineRule="exact" w:before="17"/>
              <w:ind w:left="288"/>
              <w:rPr>
                <w:sz w:val="14"/>
              </w:rPr>
            </w:pPr>
            <w:r>
              <w:rPr>
                <w:spacing w:val="-4"/>
                <w:sz w:val="14"/>
              </w:rPr>
              <w:t>13.3</w:t>
            </w:r>
          </w:p>
        </w:tc>
      </w:tr>
      <w:tr>
        <w:trPr>
          <w:trHeight w:val="177" w:hRule="atLeast"/>
        </w:trPr>
        <w:tc>
          <w:tcPr>
            <w:tcW w:w="5794" w:type="dxa"/>
          </w:tcPr>
          <w:p>
            <w:pPr>
              <w:pStyle w:val="TableParagraph"/>
              <w:spacing w:line="142" w:lineRule="exact" w:before="15"/>
              <w:ind w:left="107"/>
              <w:rPr>
                <w:sz w:val="14"/>
              </w:rPr>
            </w:pPr>
            <w:r>
              <w:rPr>
                <w:sz w:val="14"/>
              </w:rPr>
              <w:t>Warm</w:t>
            </w:r>
            <w:r>
              <w:rPr>
                <w:spacing w:val="-4"/>
                <w:sz w:val="14"/>
              </w:rPr>
              <w:t> </w:t>
            </w:r>
            <w:r>
              <w:rPr>
                <w:sz w:val="14"/>
              </w:rPr>
              <w:t>water</w:t>
            </w:r>
            <w:r>
              <w:rPr>
                <w:spacing w:val="-3"/>
                <w:sz w:val="14"/>
              </w:rPr>
              <w:t> </w:t>
            </w:r>
            <w:r>
              <w:rPr>
                <w:sz w:val="14"/>
              </w:rPr>
              <w:t>pool</w:t>
            </w:r>
            <w:r>
              <w:rPr>
                <w:spacing w:val="-1"/>
                <w:sz w:val="14"/>
              </w:rPr>
              <w:t> </w:t>
            </w:r>
            <w:r>
              <w:rPr>
                <w:sz w:val="14"/>
              </w:rPr>
              <w:t>-</w:t>
            </w:r>
            <w:r>
              <w:rPr>
                <w:spacing w:val="-5"/>
                <w:sz w:val="14"/>
              </w:rPr>
              <w:t> </w:t>
            </w:r>
            <w:r>
              <w:rPr>
                <w:sz w:val="14"/>
              </w:rPr>
              <w:t>half</w:t>
            </w:r>
            <w:r>
              <w:rPr>
                <w:spacing w:val="-4"/>
                <w:sz w:val="14"/>
              </w:rPr>
              <w:t> </w:t>
            </w:r>
            <w:r>
              <w:rPr>
                <w:sz w:val="14"/>
              </w:rPr>
              <w:t>pool</w:t>
            </w:r>
            <w:r>
              <w:rPr>
                <w:spacing w:val="-2"/>
                <w:sz w:val="14"/>
              </w:rPr>
              <w:t> booking</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55.00</w:t>
            </w:r>
          </w:p>
        </w:tc>
        <w:tc>
          <w:tcPr>
            <w:tcW w:w="995" w:type="dxa"/>
          </w:tcPr>
          <w:p>
            <w:pPr>
              <w:pStyle w:val="TableParagraph"/>
              <w:spacing w:line="142" w:lineRule="exact" w:before="15"/>
              <w:ind w:right="101"/>
              <w:jc w:val="right"/>
              <w:rPr>
                <w:sz w:val="14"/>
              </w:rPr>
            </w:pPr>
            <w:r>
              <w:rPr>
                <w:spacing w:val="-2"/>
                <w:sz w:val="14"/>
              </w:rPr>
              <w:t>75.00</w:t>
            </w:r>
          </w:p>
        </w:tc>
        <w:tc>
          <w:tcPr>
            <w:tcW w:w="861" w:type="dxa"/>
          </w:tcPr>
          <w:p>
            <w:pPr>
              <w:pStyle w:val="TableParagraph"/>
              <w:spacing w:line="142" w:lineRule="exact" w:before="15"/>
              <w:ind w:left="289"/>
              <w:rPr>
                <w:sz w:val="14"/>
              </w:rPr>
            </w:pPr>
            <w:r>
              <w:rPr>
                <w:spacing w:val="-4"/>
                <w:sz w:val="14"/>
              </w:rPr>
              <w:t>26.7</w:t>
            </w:r>
          </w:p>
        </w:tc>
      </w:tr>
      <w:tr>
        <w:trPr>
          <w:trHeight w:val="174" w:hRule="atLeast"/>
        </w:trPr>
        <w:tc>
          <w:tcPr>
            <w:tcW w:w="5794" w:type="dxa"/>
          </w:tcPr>
          <w:p>
            <w:pPr>
              <w:pStyle w:val="TableParagraph"/>
              <w:spacing w:line="140" w:lineRule="exact" w:before="15"/>
              <w:ind w:left="107"/>
              <w:rPr>
                <w:sz w:val="14"/>
              </w:rPr>
            </w:pPr>
            <w:r>
              <w:rPr>
                <w:sz w:val="14"/>
              </w:rPr>
              <w:t>Waterslide</w:t>
            </w:r>
            <w:r>
              <w:rPr>
                <w:spacing w:val="-5"/>
                <w:sz w:val="14"/>
              </w:rPr>
              <w:t> </w:t>
            </w:r>
            <w:r>
              <w:rPr>
                <w:sz w:val="14"/>
              </w:rPr>
              <w:t>hire</w:t>
            </w:r>
            <w:r>
              <w:rPr>
                <w:spacing w:val="-3"/>
                <w:sz w:val="14"/>
              </w:rPr>
              <w:t> </w:t>
            </w:r>
            <w:r>
              <w:rPr>
                <w:sz w:val="14"/>
              </w:rPr>
              <w:t>(hire</w:t>
            </w:r>
            <w:r>
              <w:rPr>
                <w:spacing w:val="-6"/>
                <w:sz w:val="14"/>
              </w:rPr>
              <w:t> </w:t>
            </w:r>
            <w:r>
              <w:rPr>
                <w:sz w:val="14"/>
              </w:rPr>
              <w:t>cost</w:t>
            </w:r>
            <w:r>
              <w:rPr>
                <w:spacing w:val="-2"/>
                <w:sz w:val="14"/>
              </w:rPr>
              <w:t> </w:t>
            </w:r>
            <w:r>
              <w:rPr>
                <w:sz w:val="14"/>
              </w:rPr>
              <w:t>only,</w:t>
            </w:r>
            <w:r>
              <w:rPr>
                <w:spacing w:val="-5"/>
                <w:sz w:val="14"/>
              </w:rPr>
              <w:t> </w:t>
            </w:r>
            <w:r>
              <w:rPr>
                <w:sz w:val="14"/>
              </w:rPr>
              <w:t>excludes</w:t>
            </w:r>
            <w:r>
              <w:rPr>
                <w:spacing w:val="-4"/>
                <w:sz w:val="14"/>
              </w:rPr>
              <w:t> </w:t>
            </w:r>
            <w:r>
              <w:rPr>
                <w:sz w:val="14"/>
              </w:rPr>
              <w:t>staff</w:t>
            </w:r>
            <w:r>
              <w:rPr>
                <w:spacing w:val="-4"/>
                <w:sz w:val="14"/>
              </w:rPr>
              <w:t> </w:t>
            </w:r>
            <w:r>
              <w:rPr>
                <w:spacing w:val="-2"/>
                <w:sz w:val="14"/>
              </w:rPr>
              <w:t>costs)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208.00</w:t>
            </w:r>
          </w:p>
        </w:tc>
        <w:tc>
          <w:tcPr>
            <w:tcW w:w="995" w:type="dxa"/>
          </w:tcPr>
          <w:p>
            <w:pPr>
              <w:pStyle w:val="TableParagraph"/>
              <w:spacing w:line="140" w:lineRule="exact" w:before="15"/>
              <w:ind w:right="102"/>
              <w:jc w:val="right"/>
              <w:rPr>
                <w:sz w:val="14"/>
              </w:rPr>
            </w:pPr>
            <w:r>
              <w:rPr>
                <w:spacing w:val="-2"/>
                <w:sz w:val="14"/>
              </w:rPr>
              <w:t>210.00</w:t>
            </w:r>
          </w:p>
        </w:tc>
        <w:tc>
          <w:tcPr>
            <w:tcW w:w="861" w:type="dxa"/>
          </w:tcPr>
          <w:p>
            <w:pPr>
              <w:pStyle w:val="TableParagraph"/>
              <w:spacing w:line="140" w:lineRule="exact" w:before="15"/>
              <w:ind w:left="327"/>
              <w:rPr>
                <w:sz w:val="14"/>
              </w:rPr>
            </w:pPr>
            <w:r>
              <w:rPr>
                <w:spacing w:val="-5"/>
                <w:sz w:val="14"/>
              </w:rPr>
              <w:t>1.0</w:t>
            </w:r>
          </w:p>
        </w:tc>
      </w:tr>
      <w:tr>
        <w:trPr>
          <w:trHeight w:val="177" w:hRule="atLeast"/>
        </w:trPr>
        <w:tc>
          <w:tcPr>
            <w:tcW w:w="5794" w:type="dxa"/>
          </w:tcPr>
          <w:p>
            <w:pPr>
              <w:pStyle w:val="TableParagraph"/>
              <w:spacing w:line="140" w:lineRule="exact" w:before="17"/>
              <w:ind w:left="107"/>
              <w:rPr>
                <w:sz w:val="14"/>
              </w:rPr>
            </w:pPr>
            <w:r>
              <w:rPr>
                <w:sz w:val="14"/>
              </w:rPr>
              <w:t>Dive</w:t>
            </w:r>
            <w:r>
              <w:rPr>
                <w:spacing w:val="-6"/>
                <w:sz w:val="14"/>
              </w:rPr>
              <w:t> </w:t>
            </w:r>
            <w:r>
              <w:rPr>
                <w:sz w:val="14"/>
              </w:rPr>
              <w:t>pool</w:t>
            </w:r>
            <w:r>
              <w:rPr>
                <w:spacing w:val="-1"/>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180.00</w:t>
            </w:r>
          </w:p>
        </w:tc>
        <w:tc>
          <w:tcPr>
            <w:tcW w:w="995" w:type="dxa"/>
          </w:tcPr>
          <w:p>
            <w:pPr>
              <w:pStyle w:val="TableParagraph"/>
              <w:spacing w:line="140" w:lineRule="exact" w:before="17"/>
              <w:ind w:right="102"/>
              <w:jc w:val="right"/>
              <w:rPr>
                <w:sz w:val="14"/>
              </w:rPr>
            </w:pPr>
            <w:r>
              <w:rPr>
                <w:spacing w:val="-2"/>
                <w:sz w:val="14"/>
              </w:rPr>
              <w:t>200.00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Half</w:t>
            </w:r>
            <w:r>
              <w:rPr>
                <w:spacing w:val="-5"/>
                <w:sz w:val="14"/>
              </w:rPr>
              <w:t> </w:t>
            </w:r>
            <w:r>
              <w:rPr>
                <w:sz w:val="14"/>
              </w:rPr>
              <w:t>dive</w:t>
            </w:r>
            <w:r>
              <w:rPr>
                <w:spacing w:val="-1"/>
                <w:sz w:val="14"/>
              </w:rPr>
              <w:t> </w:t>
            </w:r>
            <w:r>
              <w:rPr>
                <w:sz w:val="14"/>
              </w:rPr>
              <w:t>pool</w:t>
            </w:r>
            <w:r>
              <w:rPr>
                <w:spacing w:val="-3"/>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112.00</w:t>
            </w:r>
          </w:p>
        </w:tc>
        <w:tc>
          <w:tcPr>
            <w:tcW w:w="995" w:type="dxa"/>
          </w:tcPr>
          <w:p>
            <w:pPr>
              <w:pStyle w:val="TableParagraph"/>
              <w:spacing w:line="140" w:lineRule="exact" w:before="17"/>
              <w:ind w:right="102"/>
              <w:jc w:val="right"/>
              <w:rPr>
                <w:sz w:val="14"/>
              </w:rPr>
            </w:pPr>
            <w:r>
              <w:rPr>
                <w:spacing w:val="-2"/>
                <w:sz w:val="14"/>
              </w:rPr>
              <w:t>120.00</w:t>
            </w:r>
          </w:p>
        </w:tc>
        <w:tc>
          <w:tcPr>
            <w:tcW w:w="861" w:type="dxa"/>
          </w:tcPr>
          <w:p>
            <w:pPr>
              <w:pStyle w:val="TableParagraph"/>
              <w:spacing w:line="140" w:lineRule="exact" w:before="17"/>
              <w:ind w:left="327"/>
              <w:rPr>
                <w:sz w:val="14"/>
              </w:rPr>
            </w:pPr>
            <w:r>
              <w:rPr>
                <w:spacing w:val="-5"/>
                <w:sz w:val="14"/>
              </w:rPr>
              <w:t>6.7</w:t>
            </w:r>
          </w:p>
        </w:tc>
      </w:tr>
      <w:tr>
        <w:trPr>
          <w:trHeight w:val="177" w:hRule="atLeast"/>
        </w:trPr>
        <w:tc>
          <w:tcPr>
            <w:tcW w:w="5794" w:type="dxa"/>
          </w:tcPr>
          <w:p>
            <w:pPr>
              <w:pStyle w:val="TableParagraph"/>
              <w:spacing w:line="140" w:lineRule="exact" w:before="17"/>
              <w:ind w:left="107"/>
              <w:rPr>
                <w:sz w:val="14"/>
              </w:rPr>
            </w:pPr>
            <w:r>
              <w:rPr>
                <w:sz w:val="14"/>
              </w:rPr>
              <w:t>Group</w:t>
            </w:r>
            <w:r>
              <w:rPr>
                <w:spacing w:val="-4"/>
                <w:sz w:val="14"/>
              </w:rPr>
              <w:t> </w:t>
            </w:r>
            <w:r>
              <w:rPr>
                <w:sz w:val="14"/>
              </w:rPr>
              <w:t>fitness</w:t>
            </w:r>
            <w:r>
              <w:rPr>
                <w:spacing w:val="-3"/>
                <w:sz w:val="14"/>
              </w:rPr>
              <w:t> </w:t>
            </w:r>
            <w:r>
              <w:rPr>
                <w:sz w:val="14"/>
              </w:rPr>
              <w:t>room</w:t>
            </w:r>
            <w:r>
              <w:rPr>
                <w:spacing w:val="-2"/>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78.00</w:t>
            </w:r>
          </w:p>
        </w:tc>
        <w:tc>
          <w:tcPr>
            <w:tcW w:w="995" w:type="dxa"/>
          </w:tcPr>
          <w:p>
            <w:pPr>
              <w:pStyle w:val="TableParagraph"/>
              <w:spacing w:line="140" w:lineRule="exact" w:before="17"/>
              <w:ind w:right="101"/>
              <w:jc w:val="right"/>
              <w:rPr>
                <w:sz w:val="14"/>
              </w:rPr>
            </w:pPr>
            <w:r>
              <w:rPr>
                <w:spacing w:val="-2"/>
                <w:sz w:val="14"/>
              </w:rPr>
              <w:t>85.00</w:t>
            </w:r>
          </w:p>
        </w:tc>
        <w:tc>
          <w:tcPr>
            <w:tcW w:w="861" w:type="dxa"/>
          </w:tcPr>
          <w:p>
            <w:pPr>
              <w:pStyle w:val="TableParagraph"/>
              <w:spacing w:line="140" w:lineRule="exact" w:before="17"/>
              <w:ind w:left="327"/>
              <w:rPr>
                <w:sz w:val="14"/>
              </w:rPr>
            </w:pPr>
            <w:r>
              <w:rPr>
                <w:spacing w:val="-5"/>
                <w:sz w:val="14"/>
              </w:rPr>
              <w:t>8.2</w:t>
            </w:r>
          </w:p>
        </w:tc>
      </w:tr>
      <w:tr>
        <w:trPr>
          <w:trHeight w:val="177" w:hRule="atLeast"/>
        </w:trPr>
        <w:tc>
          <w:tcPr>
            <w:tcW w:w="5794" w:type="dxa"/>
          </w:tcPr>
          <w:p>
            <w:pPr>
              <w:pStyle w:val="TableParagraph"/>
              <w:spacing w:line="140" w:lineRule="exact" w:before="17"/>
              <w:ind w:left="107"/>
              <w:rPr>
                <w:sz w:val="14"/>
              </w:rPr>
            </w:pPr>
            <w:r>
              <w:rPr>
                <w:sz w:val="14"/>
              </w:rPr>
              <w:t>Multipurpose</w:t>
            </w:r>
            <w:r>
              <w:rPr>
                <w:spacing w:val="-5"/>
                <w:sz w:val="14"/>
              </w:rPr>
              <w:t> </w:t>
            </w:r>
            <w:r>
              <w:rPr>
                <w:sz w:val="14"/>
              </w:rPr>
              <w:t>(room</w:t>
            </w:r>
            <w:r>
              <w:rPr>
                <w:spacing w:val="-3"/>
                <w:sz w:val="14"/>
              </w:rPr>
              <w:t> </w:t>
            </w:r>
            <w:r>
              <w:rPr>
                <w:sz w:val="14"/>
              </w:rPr>
              <w:t>2)</w:t>
            </w:r>
            <w:r>
              <w:rPr>
                <w:spacing w:val="-6"/>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Group</w:t>
            </w:r>
            <w:r>
              <w:rPr>
                <w:spacing w:val="-2"/>
                <w:sz w:val="14"/>
              </w:rPr>
              <w:t> </w:t>
            </w:r>
            <w:r>
              <w:rPr>
                <w:sz w:val="14"/>
              </w:rPr>
              <w:t>Fitness</w:t>
            </w:r>
            <w:r>
              <w:rPr>
                <w:spacing w:val="-2"/>
                <w:sz w:val="14"/>
              </w:rPr>
              <w:t> </w:t>
            </w:r>
            <w:r>
              <w:rPr>
                <w:sz w:val="14"/>
              </w:rPr>
              <w:t>Room</w:t>
            </w:r>
            <w:r>
              <w:rPr>
                <w:spacing w:val="-3"/>
                <w:sz w:val="14"/>
              </w:rPr>
              <w:t> </w:t>
            </w:r>
            <w:r>
              <w:rPr>
                <w:sz w:val="14"/>
              </w:rPr>
              <w:t>Hire</w:t>
            </w:r>
            <w:r>
              <w:rPr>
                <w:spacing w:val="-5"/>
                <w:sz w:val="14"/>
              </w:rPr>
              <w:t> </w:t>
            </w:r>
            <w:r>
              <w:rPr>
                <w:sz w:val="14"/>
              </w:rPr>
              <w:t>plus</w:t>
            </w:r>
            <w:r>
              <w:rPr>
                <w:spacing w:val="-4"/>
                <w:sz w:val="14"/>
              </w:rPr>
              <w:t> </w:t>
            </w:r>
            <w:r>
              <w:rPr>
                <w:spacing w:val="-2"/>
                <w:sz w:val="14"/>
              </w:rPr>
              <w:t>Classes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95.00</w:t>
            </w:r>
          </w:p>
        </w:tc>
        <w:tc>
          <w:tcPr>
            <w:tcW w:w="995" w:type="dxa"/>
          </w:tcPr>
          <w:p>
            <w:pPr>
              <w:pStyle w:val="TableParagraph"/>
              <w:spacing w:line="140" w:lineRule="exact" w:before="17"/>
              <w:ind w:right="102"/>
              <w:jc w:val="right"/>
              <w:rPr>
                <w:sz w:val="14"/>
              </w:rPr>
            </w:pPr>
            <w:r>
              <w:rPr>
                <w:spacing w:val="-2"/>
                <w:sz w:val="14"/>
              </w:rPr>
              <w:t>160.00</w:t>
            </w:r>
          </w:p>
        </w:tc>
        <w:tc>
          <w:tcPr>
            <w:tcW w:w="861" w:type="dxa"/>
          </w:tcPr>
          <w:p>
            <w:pPr>
              <w:pStyle w:val="TableParagraph"/>
              <w:spacing w:line="140" w:lineRule="exact" w:before="17"/>
              <w:ind w:left="288"/>
              <w:rPr>
                <w:sz w:val="14"/>
              </w:rPr>
            </w:pPr>
            <w:r>
              <w:rPr>
                <w:spacing w:val="-4"/>
                <w:sz w:val="14"/>
              </w:rPr>
              <w:t>40.6</w:t>
            </w:r>
          </w:p>
        </w:tc>
      </w:tr>
      <w:tr>
        <w:trPr>
          <w:trHeight w:val="177" w:hRule="atLeast"/>
        </w:trPr>
        <w:tc>
          <w:tcPr>
            <w:tcW w:w="5794" w:type="dxa"/>
          </w:tcPr>
          <w:p>
            <w:pPr>
              <w:pStyle w:val="TableParagraph"/>
              <w:spacing w:line="140" w:lineRule="exact" w:before="17"/>
              <w:ind w:left="107"/>
              <w:rPr>
                <w:sz w:val="14"/>
              </w:rPr>
            </w:pPr>
            <w:r>
              <w:rPr>
                <w:sz w:val="14"/>
              </w:rPr>
              <w:t>RSC</w:t>
            </w:r>
            <w:r>
              <w:rPr>
                <w:spacing w:val="-5"/>
                <w:sz w:val="14"/>
              </w:rPr>
              <w:t> </w:t>
            </w:r>
            <w:r>
              <w:rPr>
                <w:sz w:val="14"/>
              </w:rPr>
              <w:t>Room</w:t>
            </w:r>
            <w:r>
              <w:rPr>
                <w:spacing w:val="-2"/>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Cycle</w:t>
            </w:r>
            <w:r>
              <w:rPr>
                <w:spacing w:val="-6"/>
                <w:sz w:val="14"/>
              </w:rPr>
              <w:t> </w:t>
            </w:r>
            <w:r>
              <w:rPr>
                <w:sz w:val="14"/>
              </w:rPr>
              <w:t>Studio</w:t>
            </w:r>
            <w:r>
              <w:rPr>
                <w:spacing w:val="-3"/>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90.00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Dry</w:t>
            </w:r>
            <w:r>
              <w:rPr>
                <w:spacing w:val="-3"/>
                <w:sz w:val="14"/>
              </w:rPr>
              <w:t> </w:t>
            </w:r>
            <w:r>
              <w:rPr>
                <w:sz w:val="14"/>
              </w:rPr>
              <w:t>Dive</w:t>
            </w:r>
            <w:r>
              <w:rPr>
                <w:spacing w:val="-4"/>
                <w:sz w:val="14"/>
              </w:rPr>
              <w:t> 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145.00</w:t>
            </w:r>
          </w:p>
        </w:tc>
        <w:tc>
          <w:tcPr>
            <w:tcW w:w="995" w:type="dxa"/>
          </w:tcPr>
          <w:p>
            <w:pPr>
              <w:pStyle w:val="TableParagraph"/>
              <w:spacing w:line="140" w:lineRule="exact" w:before="17"/>
              <w:ind w:right="102"/>
              <w:jc w:val="right"/>
              <w:rPr>
                <w:sz w:val="14"/>
              </w:rPr>
            </w:pPr>
            <w:r>
              <w:rPr>
                <w:spacing w:val="-2"/>
                <w:sz w:val="14"/>
              </w:rPr>
              <w:t>160.00</w:t>
            </w:r>
          </w:p>
        </w:tc>
        <w:tc>
          <w:tcPr>
            <w:tcW w:w="861" w:type="dxa"/>
          </w:tcPr>
          <w:p>
            <w:pPr>
              <w:pStyle w:val="TableParagraph"/>
              <w:spacing w:line="140" w:lineRule="exact" w:before="17"/>
              <w:ind w:left="327"/>
              <w:rPr>
                <w:sz w:val="14"/>
              </w:rPr>
            </w:pPr>
            <w:r>
              <w:rPr>
                <w:spacing w:val="-5"/>
                <w:sz w:val="14"/>
              </w:rPr>
              <w:t>9.4</w:t>
            </w:r>
          </w:p>
        </w:tc>
      </w:tr>
      <w:tr>
        <w:trPr>
          <w:trHeight w:val="177" w:hRule="atLeast"/>
        </w:trPr>
        <w:tc>
          <w:tcPr>
            <w:tcW w:w="5794" w:type="dxa"/>
          </w:tcPr>
          <w:p>
            <w:pPr>
              <w:pStyle w:val="TableParagraph"/>
              <w:spacing w:line="140" w:lineRule="exact" w:before="17"/>
              <w:ind w:left="107"/>
              <w:rPr>
                <w:sz w:val="14"/>
              </w:rPr>
            </w:pPr>
            <w:r>
              <w:rPr>
                <w:sz w:val="14"/>
              </w:rPr>
              <w:t>Half</w:t>
            </w:r>
            <w:r>
              <w:rPr>
                <w:spacing w:val="-4"/>
                <w:sz w:val="14"/>
              </w:rPr>
              <w:t> </w:t>
            </w:r>
            <w:r>
              <w:rPr>
                <w:sz w:val="14"/>
              </w:rPr>
              <w:t>Dry</w:t>
            </w:r>
            <w:r>
              <w:rPr>
                <w:spacing w:val="-3"/>
                <w:sz w:val="14"/>
              </w:rPr>
              <w:t> </w:t>
            </w:r>
            <w:r>
              <w:rPr>
                <w:spacing w:val="-4"/>
                <w:sz w:val="14"/>
              </w:rPr>
              <w:t>Dive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88.00</w:t>
            </w:r>
          </w:p>
        </w:tc>
        <w:tc>
          <w:tcPr>
            <w:tcW w:w="995" w:type="dxa"/>
          </w:tcPr>
          <w:p>
            <w:pPr>
              <w:pStyle w:val="TableParagraph"/>
              <w:spacing w:line="140" w:lineRule="exact" w:before="17"/>
              <w:ind w:right="102"/>
              <w:jc w:val="right"/>
              <w:rPr>
                <w:sz w:val="14"/>
              </w:rPr>
            </w:pPr>
            <w:r>
              <w:rPr>
                <w:spacing w:val="-2"/>
                <w:sz w:val="14"/>
              </w:rPr>
              <w:t>100.00</w:t>
            </w:r>
          </w:p>
        </w:tc>
        <w:tc>
          <w:tcPr>
            <w:tcW w:w="861" w:type="dxa"/>
          </w:tcPr>
          <w:p>
            <w:pPr>
              <w:pStyle w:val="TableParagraph"/>
              <w:spacing w:line="140" w:lineRule="exact" w:before="17"/>
              <w:ind w:left="288"/>
              <w:rPr>
                <w:sz w:val="14"/>
              </w:rPr>
            </w:pPr>
            <w:r>
              <w:rPr>
                <w:spacing w:val="-4"/>
                <w:sz w:val="14"/>
              </w:rPr>
              <w:t>12.0</w:t>
            </w:r>
          </w:p>
        </w:tc>
      </w:tr>
      <w:tr>
        <w:trPr>
          <w:trHeight w:val="177" w:hRule="atLeast"/>
        </w:trPr>
        <w:tc>
          <w:tcPr>
            <w:tcW w:w="5794" w:type="dxa"/>
          </w:tcPr>
          <w:p>
            <w:pPr>
              <w:pStyle w:val="TableParagraph"/>
              <w:spacing w:line="140" w:lineRule="exact" w:before="17"/>
              <w:ind w:left="107"/>
              <w:rPr>
                <w:sz w:val="14"/>
              </w:rPr>
            </w:pPr>
            <w:r>
              <w:rPr>
                <w:sz w:val="14"/>
              </w:rPr>
              <w:t>Creche</w:t>
            </w:r>
            <w:r>
              <w:rPr>
                <w:spacing w:val="-5"/>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78.00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2" w:lineRule="exact" w:before="15"/>
              <w:ind w:left="107"/>
              <w:rPr>
                <w:sz w:val="14"/>
              </w:rPr>
            </w:pPr>
            <w:r>
              <w:rPr>
                <w:sz w:val="14"/>
              </w:rPr>
              <w:t>Pool</w:t>
            </w:r>
            <w:r>
              <w:rPr>
                <w:spacing w:val="-5"/>
                <w:sz w:val="14"/>
              </w:rPr>
              <w:t> </w:t>
            </w:r>
            <w:r>
              <w:rPr>
                <w:spacing w:val="-2"/>
                <w:sz w:val="14"/>
              </w:rPr>
              <w:t>booking</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159.00</w:t>
            </w:r>
          </w:p>
        </w:tc>
        <w:tc>
          <w:tcPr>
            <w:tcW w:w="995" w:type="dxa"/>
          </w:tcPr>
          <w:p>
            <w:pPr>
              <w:pStyle w:val="TableParagraph"/>
              <w:spacing w:line="142" w:lineRule="exact" w:before="15"/>
              <w:ind w:right="101"/>
              <w:jc w:val="right"/>
              <w:rPr>
                <w:sz w:val="14"/>
              </w:rPr>
            </w:pPr>
            <w:r>
              <w:rPr>
                <w:spacing w:val="-4"/>
                <w:sz w:val="14"/>
              </w:rPr>
              <w:t>0.00</w:t>
            </w:r>
          </w:p>
        </w:tc>
        <w:tc>
          <w:tcPr>
            <w:tcW w:w="861" w:type="dxa"/>
          </w:tcPr>
          <w:p>
            <w:pPr>
              <w:pStyle w:val="TableParagraph"/>
              <w:spacing w:line="142" w:lineRule="exact" w:before="15"/>
              <w:ind w:left="327"/>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Lane</w:t>
            </w:r>
            <w:r>
              <w:rPr>
                <w:spacing w:val="-7"/>
                <w:sz w:val="14"/>
              </w:rPr>
              <w:t> </w:t>
            </w:r>
            <w:r>
              <w:rPr>
                <w:spacing w:val="-4"/>
                <w:sz w:val="14"/>
              </w:rPr>
              <w:t>hire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33.50</w:t>
            </w:r>
          </w:p>
        </w:tc>
        <w:tc>
          <w:tcPr>
            <w:tcW w:w="995" w:type="dxa"/>
          </w:tcPr>
          <w:p>
            <w:pPr>
              <w:pStyle w:val="TableParagraph"/>
              <w:spacing w:line="140" w:lineRule="exact" w:before="15"/>
              <w:ind w:right="101"/>
              <w:jc w:val="right"/>
              <w:rPr>
                <w:sz w:val="14"/>
              </w:rPr>
            </w:pPr>
            <w:r>
              <w:rPr>
                <w:spacing w:val="-4"/>
                <w:sz w:val="14"/>
              </w:rPr>
              <w:t>0.00</w:t>
            </w:r>
          </w:p>
        </w:tc>
        <w:tc>
          <w:tcPr>
            <w:tcW w:w="861" w:type="dxa"/>
          </w:tcPr>
          <w:p>
            <w:pPr>
              <w:pStyle w:val="TableParagraph"/>
              <w:spacing w:line="140" w:lineRule="exact" w:before="1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pacing w:val="-2"/>
                <w:sz w:val="14"/>
              </w:rPr>
              <w:t>Creche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Membership</w:t>
            </w:r>
            <w:r>
              <w:rPr>
                <w:spacing w:val="-3"/>
                <w:sz w:val="14"/>
              </w:rPr>
              <w:t> </w:t>
            </w:r>
            <w:r>
              <w:rPr>
                <w:sz w:val="14"/>
              </w:rPr>
              <w:t>-</w:t>
            </w:r>
            <w:r>
              <w:rPr>
                <w:spacing w:val="-6"/>
                <w:sz w:val="14"/>
              </w:rPr>
              <w:t> </w:t>
            </w:r>
            <w:r>
              <w:rPr>
                <w:sz w:val="14"/>
              </w:rPr>
              <w:t>One</w:t>
            </w:r>
            <w:r>
              <w:rPr>
                <w:spacing w:val="-4"/>
                <w:sz w:val="14"/>
              </w:rPr>
              <w:t> </w:t>
            </w:r>
            <w:r>
              <w:rPr>
                <w:spacing w:val="-2"/>
                <w:sz w:val="14"/>
              </w:rPr>
              <w:t>Child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3"/>
                <w:sz w:val="14"/>
              </w:rPr>
              <w:t> </w:t>
            </w:r>
            <w:r>
              <w:rPr>
                <w:sz w:val="14"/>
              </w:rPr>
              <w:t>-</w:t>
            </w:r>
            <w:r>
              <w:rPr>
                <w:spacing w:val="-5"/>
                <w:sz w:val="14"/>
              </w:rPr>
              <w:t> </w:t>
            </w:r>
            <w:r>
              <w:rPr>
                <w:sz w:val="14"/>
              </w:rPr>
              <w:t>One</w:t>
            </w:r>
            <w:r>
              <w:rPr>
                <w:spacing w:val="-3"/>
                <w:sz w:val="14"/>
              </w:rPr>
              <w:t> </w:t>
            </w:r>
            <w:r>
              <w:rPr>
                <w:spacing w:val="-4"/>
                <w:sz w:val="14"/>
              </w:rPr>
              <w:t>Child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5"/>
                <w:sz w:val="14"/>
              </w:rPr>
              <w:t> </w:t>
            </w:r>
            <w:r>
              <w:rPr>
                <w:b/>
                <w:sz w:val="14"/>
              </w:rPr>
              <w:t>-</w:t>
            </w:r>
            <w:r>
              <w:rPr>
                <w:b/>
                <w:spacing w:val="-3"/>
                <w:sz w:val="14"/>
              </w:rPr>
              <w:t> </w:t>
            </w:r>
            <w:r>
              <w:rPr>
                <w:b/>
                <w:sz w:val="14"/>
              </w:rPr>
              <w:t>Creche</w:t>
            </w:r>
            <w:r>
              <w:rPr>
                <w:b/>
                <w:spacing w:val="-2"/>
                <w:sz w:val="14"/>
              </w:rPr>
              <w:t> </w:t>
            </w:r>
            <w:r>
              <w:rPr>
                <w:b/>
                <w:sz w:val="14"/>
              </w:rPr>
              <w:t>10</w:t>
            </w:r>
            <w:r>
              <w:rPr>
                <w:b/>
                <w:spacing w:val="-5"/>
                <w:sz w:val="14"/>
              </w:rPr>
              <w:t> </w:t>
            </w:r>
            <w:r>
              <w:rPr>
                <w:b/>
                <w:sz w:val="14"/>
              </w:rPr>
              <w:t>Visit</w:t>
            </w:r>
            <w:r>
              <w:rPr>
                <w:b/>
                <w:spacing w:val="-5"/>
                <w:sz w:val="14"/>
              </w:rPr>
              <w:t> </w:t>
            </w:r>
            <w:r>
              <w:rPr>
                <w:b/>
                <w:spacing w:val="-2"/>
                <w:sz w:val="14"/>
              </w:rPr>
              <w:t>Passes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Membership</w:t>
            </w:r>
            <w:r>
              <w:rPr>
                <w:spacing w:val="-2"/>
                <w:sz w:val="14"/>
              </w:rPr>
              <w:t> </w:t>
            </w:r>
            <w:r>
              <w:rPr>
                <w:sz w:val="14"/>
              </w:rPr>
              <w:t>10</w:t>
            </w:r>
            <w:r>
              <w:rPr>
                <w:spacing w:val="-6"/>
                <w:sz w:val="14"/>
              </w:rPr>
              <w:t> </w:t>
            </w:r>
            <w:r>
              <w:rPr>
                <w:sz w:val="14"/>
              </w:rPr>
              <w:t>visit</w:t>
            </w:r>
            <w:r>
              <w:rPr>
                <w:spacing w:val="-5"/>
                <w:sz w:val="14"/>
              </w:rPr>
              <w:t> </w:t>
            </w:r>
            <w:r>
              <w:rPr>
                <w:spacing w:val="-4"/>
                <w:sz w:val="14"/>
              </w:rPr>
              <w:t>pass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4"/>
                <w:sz w:val="14"/>
              </w:rPr>
              <w:t> </w:t>
            </w:r>
            <w:r>
              <w:rPr>
                <w:sz w:val="14"/>
              </w:rPr>
              <w:t>10</w:t>
            </w:r>
            <w:r>
              <w:rPr>
                <w:spacing w:val="-3"/>
                <w:sz w:val="14"/>
              </w:rPr>
              <w:t> </w:t>
            </w:r>
            <w:r>
              <w:rPr>
                <w:sz w:val="14"/>
              </w:rPr>
              <w:t>visit</w:t>
            </w:r>
            <w:r>
              <w:rPr>
                <w:spacing w:val="-3"/>
                <w:sz w:val="14"/>
              </w:rPr>
              <w:t> </w:t>
            </w:r>
            <w:r>
              <w:rPr>
                <w:spacing w:val="-4"/>
                <w:sz w:val="14"/>
              </w:rPr>
              <w:t>pass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Occasional</w:t>
            </w:r>
            <w:r>
              <w:rPr>
                <w:spacing w:val="-8"/>
                <w:sz w:val="14"/>
              </w:rPr>
              <w:t> </w:t>
            </w:r>
            <w:r>
              <w:rPr>
                <w:spacing w:val="-4"/>
                <w:sz w:val="14"/>
              </w:rPr>
              <w:t>care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w:t>
            </w:r>
            <w:r>
              <w:rPr>
                <w:spacing w:val="-5"/>
                <w:sz w:val="14"/>
              </w:rPr>
              <w:t> </w:t>
            </w:r>
            <w:r>
              <w:rPr>
                <w:sz w:val="14"/>
              </w:rPr>
              <w:t>pass</w:t>
            </w:r>
            <w:r>
              <w:rPr>
                <w:spacing w:val="-1"/>
                <w:sz w:val="14"/>
              </w:rPr>
              <w:t> </w:t>
            </w:r>
            <w:r>
              <w:rPr>
                <w:sz w:val="14"/>
              </w:rPr>
              <w:t>Occasional</w:t>
            </w:r>
            <w:r>
              <w:rPr>
                <w:spacing w:val="-4"/>
                <w:sz w:val="14"/>
              </w:rPr>
              <w:t> care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135.00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pacing w:val="-2"/>
                <w:sz w:val="14"/>
              </w:rPr>
              <w:t>Lockers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2" w:hRule="atLeast"/>
        </w:trPr>
        <w:tc>
          <w:tcPr>
            <w:tcW w:w="5794" w:type="dxa"/>
          </w:tcPr>
          <w:p>
            <w:pPr>
              <w:pStyle w:val="TableParagraph"/>
              <w:spacing w:before="17"/>
              <w:ind w:left="107"/>
              <w:rPr>
                <w:sz w:val="14"/>
              </w:rPr>
            </w:pPr>
            <w:r>
              <w:rPr>
                <w:spacing w:val="-5"/>
                <w:sz w:val="14"/>
              </w:rPr>
              <w:t>Fee</w:t>
            </w:r>
          </w:p>
        </w:tc>
        <w:tc>
          <w:tcPr>
            <w:tcW w:w="1131" w:type="dxa"/>
          </w:tcPr>
          <w:p>
            <w:pPr>
              <w:pStyle w:val="TableParagraph"/>
              <w:spacing w:before="17"/>
              <w:ind w:left="5"/>
              <w:jc w:val="center"/>
              <w:rPr>
                <w:sz w:val="14"/>
              </w:rPr>
            </w:pPr>
            <w:r>
              <w:rPr>
                <w:w w:val="99"/>
                <w:sz w:val="14"/>
              </w:rPr>
              <w:t>N</w:t>
            </w:r>
          </w:p>
        </w:tc>
        <w:tc>
          <w:tcPr>
            <w:tcW w:w="567" w:type="dxa"/>
          </w:tcPr>
          <w:p>
            <w:pPr>
              <w:pStyle w:val="TableParagraph"/>
              <w:spacing w:before="17"/>
              <w:ind w:left="159"/>
              <w:rPr>
                <w:sz w:val="14"/>
              </w:rPr>
            </w:pPr>
            <w:r>
              <w:rPr>
                <w:spacing w:val="-5"/>
                <w:sz w:val="14"/>
              </w:rPr>
              <w:t>Yes</w:t>
            </w:r>
          </w:p>
        </w:tc>
        <w:tc>
          <w:tcPr>
            <w:tcW w:w="997" w:type="dxa"/>
          </w:tcPr>
          <w:p>
            <w:pPr>
              <w:pStyle w:val="TableParagraph"/>
              <w:spacing w:before="17"/>
              <w:ind w:right="100"/>
              <w:jc w:val="right"/>
              <w:rPr>
                <w:sz w:val="14"/>
              </w:rPr>
            </w:pPr>
            <w:r>
              <w:rPr>
                <w:spacing w:val="-4"/>
                <w:sz w:val="14"/>
              </w:rPr>
              <w:t>3.50</w:t>
            </w:r>
          </w:p>
        </w:tc>
        <w:tc>
          <w:tcPr>
            <w:tcW w:w="995" w:type="dxa"/>
          </w:tcPr>
          <w:p>
            <w:pPr>
              <w:pStyle w:val="TableParagraph"/>
              <w:spacing w:before="17"/>
              <w:ind w:right="101"/>
              <w:jc w:val="right"/>
              <w:rPr>
                <w:sz w:val="14"/>
              </w:rPr>
            </w:pPr>
            <w:r>
              <w:rPr>
                <w:spacing w:val="-4"/>
                <w:sz w:val="14"/>
              </w:rPr>
              <w:t>3.50</w:t>
            </w:r>
          </w:p>
        </w:tc>
        <w:tc>
          <w:tcPr>
            <w:tcW w:w="861" w:type="dxa"/>
          </w:tcPr>
          <w:p>
            <w:pPr>
              <w:pStyle w:val="TableParagraph"/>
              <w:spacing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7"/>
                <w:sz w:val="14"/>
              </w:rPr>
              <w:t> </w:t>
            </w:r>
            <w:r>
              <w:rPr>
                <w:b/>
                <w:sz w:val="14"/>
              </w:rPr>
              <w:t>-</w:t>
            </w:r>
            <w:r>
              <w:rPr>
                <w:b/>
                <w:spacing w:val="-3"/>
                <w:sz w:val="14"/>
              </w:rPr>
              <w:t> </w:t>
            </w:r>
            <w:r>
              <w:rPr>
                <w:b/>
                <w:sz w:val="14"/>
              </w:rPr>
              <w:t>Personal</w:t>
            </w:r>
            <w:r>
              <w:rPr>
                <w:b/>
                <w:spacing w:val="-6"/>
                <w:sz w:val="14"/>
              </w:rPr>
              <w:t> </w:t>
            </w:r>
            <w:r>
              <w:rPr>
                <w:b/>
                <w:spacing w:val="-2"/>
                <w:sz w:val="14"/>
              </w:rPr>
              <w:t>Training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81" w:hRule="atLeast"/>
        </w:trPr>
        <w:tc>
          <w:tcPr>
            <w:tcW w:w="5794" w:type="dxa"/>
          </w:tcPr>
          <w:p>
            <w:pPr>
              <w:pStyle w:val="TableParagraph"/>
              <w:spacing w:line="142" w:lineRule="exact" w:before="19"/>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5"/>
                <w:sz w:val="14"/>
              </w:rPr>
              <w:t> 1:1</w:t>
            </w:r>
          </w:p>
        </w:tc>
        <w:tc>
          <w:tcPr>
            <w:tcW w:w="1131" w:type="dxa"/>
          </w:tcPr>
          <w:p>
            <w:pPr>
              <w:pStyle w:val="TableParagraph"/>
              <w:spacing w:line="142" w:lineRule="exact" w:before="19"/>
              <w:ind w:left="4"/>
              <w:jc w:val="center"/>
              <w:rPr>
                <w:sz w:val="14"/>
              </w:rPr>
            </w:pPr>
            <w:r>
              <w:rPr>
                <w:w w:val="99"/>
                <w:sz w:val="14"/>
              </w:rPr>
              <w:t>N</w:t>
            </w:r>
          </w:p>
        </w:tc>
        <w:tc>
          <w:tcPr>
            <w:tcW w:w="567" w:type="dxa"/>
          </w:tcPr>
          <w:p>
            <w:pPr>
              <w:pStyle w:val="TableParagraph"/>
              <w:spacing w:line="142" w:lineRule="exact" w:before="19"/>
              <w:ind w:left="159"/>
              <w:rPr>
                <w:sz w:val="14"/>
              </w:rPr>
            </w:pPr>
            <w:r>
              <w:rPr>
                <w:spacing w:val="-5"/>
                <w:sz w:val="14"/>
              </w:rPr>
              <w:t>Yes</w:t>
            </w:r>
          </w:p>
        </w:tc>
        <w:tc>
          <w:tcPr>
            <w:tcW w:w="997" w:type="dxa"/>
          </w:tcPr>
          <w:p>
            <w:pPr>
              <w:pStyle w:val="TableParagraph"/>
              <w:spacing w:line="142" w:lineRule="exact" w:before="19"/>
              <w:ind w:right="100"/>
              <w:jc w:val="right"/>
              <w:rPr>
                <w:sz w:val="14"/>
              </w:rPr>
            </w:pPr>
            <w:r>
              <w:rPr>
                <w:spacing w:val="-2"/>
                <w:sz w:val="14"/>
              </w:rPr>
              <w:t>482.71</w:t>
            </w:r>
          </w:p>
        </w:tc>
        <w:tc>
          <w:tcPr>
            <w:tcW w:w="995" w:type="dxa"/>
          </w:tcPr>
          <w:p>
            <w:pPr>
              <w:pStyle w:val="TableParagraph"/>
              <w:spacing w:line="142" w:lineRule="exact" w:before="19"/>
              <w:ind w:right="102"/>
              <w:jc w:val="right"/>
              <w:rPr>
                <w:sz w:val="14"/>
              </w:rPr>
            </w:pPr>
            <w:r>
              <w:rPr>
                <w:spacing w:val="-2"/>
                <w:sz w:val="14"/>
              </w:rPr>
              <w:t>483.00</w:t>
            </w:r>
          </w:p>
        </w:tc>
        <w:tc>
          <w:tcPr>
            <w:tcW w:w="861" w:type="dxa"/>
          </w:tcPr>
          <w:p>
            <w:pPr>
              <w:pStyle w:val="TableParagraph"/>
              <w:spacing w:line="142" w:lineRule="exact" w:before="19"/>
              <w:ind w:left="327"/>
              <w:rPr>
                <w:sz w:val="14"/>
              </w:rPr>
            </w:pPr>
            <w:r>
              <w:rPr>
                <w:spacing w:val="-5"/>
                <w:sz w:val="14"/>
              </w:rPr>
              <w:t>0.1</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60</w:t>
            </w:r>
            <w:r>
              <w:rPr>
                <w:spacing w:val="-5"/>
                <w:sz w:val="14"/>
              </w:rPr>
              <w:t> </w:t>
            </w:r>
            <w:r>
              <w:rPr>
                <w:sz w:val="14"/>
              </w:rPr>
              <w:t>mins</w:t>
            </w:r>
            <w:r>
              <w:rPr>
                <w:spacing w:val="-1"/>
                <w:sz w:val="14"/>
              </w:rPr>
              <w:t> </w:t>
            </w:r>
            <w:r>
              <w:rPr>
                <w:sz w:val="14"/>
              </w:rPr>
              <w:t>-</w:t>
            </w:r>
            <w:r>
              <w:rPr>
                <w:spacing w:val="-5"/>
                <w:sz w:val="14"/>
              </w:rPr>
              <w:t> 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758.54</w:t>
            </w:r>
          </w:p>
        </w:tc>
        <w:tc>
          <w:tcPr>
            <w:tcW w:w="995" w:type="dxa"/>
          </w:tcPr>
          <w:p>
            <w:pPr>
              <w:pStyle w:val="TableParagraph"/>
              <w:spacing w:line="140" w:lineRule="exact" w:before="19"/>
              <w:ind w:right="102"/>
              <w:jc w:val="right"/>
              <w:rPr>
                <w:sz w:val="14"/>
              </w:rPr>
            </w:pPr>
            <w:r>
              <w:rPr>
                <w:spacing w:val="-2"/>
                <w:sz w:val="14"/>
              </w:rPr>
              <w:t>758.00</w:t>
            </w:r>
          </w:p>
        </w:tc>
        <w:tc>
          <w:tcPr>
            <w:tcW w:w="861" w:type="dxa"/>
          </w:tcPr>
          <w:p>
            <w:pPr>
              <w:pStyle w:val="TableParagraph"/>
              <w:spacing w:line="140" w:lineRule="exact" w:before="19"/>
              <w:ind w:left="302"/>
              <w:rPr>
                <w:sz w:val="14"/>
              </w:rPr>
            </w:pPr>
            <w:r>
              <w:rPr>
                <w:w w:val="95"/>
                <w:sz w:val="14"/>
              </w:rPr>
              <w:t>-</w:t>
            </w:r>
            <w:r>
              <w:rPr>
                <w:spacing w:val="-5"/>
                <w:sz w:val="14"/>
              </w:rPr>
              <w:t>0.1</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3"/>
                <w:sz w:val="14"/>
              </w:rPr>
              <w:t> </w:t>
            </w:r>
            <w:r>
              <w:rPr>
                <w:sz w:val="14"/>
              </w:rPr>
              <w:t>10</w:t>
            </w:r>
            <w:r>
              <w:rPr>
                <w:spacing w:val="-6"/>
                <w:sz w:val="14"/>
              </w:rPr>
              <w:t> </w:t>
            </w:r>
            <w:r>
              <w:rPr>
                <w:sz w:val="14"/>
              </w:rPr>
              <w:t>Pass</w:t>
            </w:r>
            <w:r>
              <w:rPr>
                <w:spacing w:val="-3"/>
                <w:sz w:val="14"/>
              </w:rPr>
              <w:t> </w:t>
            </w:r>
            <w:r>
              <w:rPr>
                <w:sz w:val="14"/>
              </w:rPr>
              <w:t>45mins</w:t>
            </w:r>
            <w:r>
              <w:rPr>
                <w:spacing w:val="-3"/>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603.00</w:t>
            </w:r>
          </w:p>
        </w:tc>
        <w:tc>
          <w:tcPr>
            <w:tcW w:w="995" w:type="dxa"/>
          </w:tcPr>
          <w:p>
            <w:pPr>
              <w:pStyle w:val="TableParagraph"/>
              <w:spacing w:line="140" w:lineRule="exact" w:before="19"/>
              <w:ind w:right="102"/>
              <w:jc w:val="right"/>
              <w:rPr>
                <w:sz w:val="14"/>
              </w:rPr>
            </w:pPr>
            <w:r>
              <w:rPr>
                <w:spacing w:val="-2"/>
                <w:sz w:val="14"/>
              </w:rPr>
              <w:t>625.20</w:t>
            </w:r>
          </w:p>
        </w:tc>
        <w:tc>
          <w:tcPr>
            <w:tcW w:w="861" w:type="dxa"/>
          </w:tcPr>
          <w:p>
            <w:pPr>
              <w:pStyle w:val="TableParagraph"/>
              <w:spacing w:line="140" w:lineRule="exact" w:before="19"/>
              <w:ind w:left="327"/>
              <w:rPr>
                <w:sz w:val="14"/>
              </w:rPr>
            </w:pPr>
            <w:r>
              <w:rPr>
                <w:spacing w:val="-5"/>
                <w:sz w:val="14"/>
              </w:rPr>
              <w:t>3.6</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2"/>
                <w:sz w:val="14"/>
              </w:rPr>
              <w:t> </w:t>
            </w:r>
            <w:r>
              <w:rPr>
                <w:sz w:val="14"/>
              </w:rPr>
              <w:t>30</w:t>
            </w:r>
            <w:r>
              <w:rPr>
                <w:spacing w:val="-5"/>
                <w:sz w:val="14"/>
              </w:rPr>
              <w:t> </w:t>
            </w:r>
            <w:r>
              <w:rPr>
                <w:sz w:val="14"/>
              </w:rPr>
              <w:t>mins</w:t>
            </w:r>
            <w:r>
              <w:rPr>
                <w:spacing w:val="-3"/>
                <w:sz w:val="14"/>
              </w:rPr>
              <w:t> </w:t>
            </w:r>
            <w:r>
              <w:rPr>
                <w:sz w:val="14"/>
              </w:rPr>
              <w:t>-</w:t>
            </w:r>
            <w:r>
              <w:rPr>
                <w:spacing w:val="-2"/>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53.05</w:t>
            </w:r>
          </w:p>
        </w:tc>
        <w:tc>
          <w:tcPr>
            <w:tcW w:w="995" w:type="dxa"/>
          </w:tcPr>
          <w:p>
            <w:pPr>
              <w:pStyle w:val="TableParagraph"/>
              <w:spacing w:line="140" w:lineRule="exact" w:before="19"/>
              <w:ind w:right="101"/>
              <w:jc w:val="right"/>
              <w:rPr>
                <w:sz w:val="14"/>
              </w:rPr>
            </w:pPr>
            <w:r>
              <w:rPr>
                <w:spacing w:val="-2"/>
                <w:sz w:val="14"/>
              </w:rPr>
              <w:t>53.50</w:t>
            </w:r>
          </w:p>
        </w:tc>
        <w:tc>
          <w:tcPr>
            <w:tcW w:w="861" w:type="dxa"/>
          </w:tcPr>
          <w:p>
            <w:pPr>
              <w:pStyle w:val="TableParagraph"/>
              <w:spacing w:line="140" w:lineRule="exact" w:before="19"/>
              <w:ind w:left="327"/>
              <w:rPr>
                <w:sz w:val="14"/>
              </w:rPr>
            </w:pPr>
            <w:r>
              <w:rPr>
                <w:spacing w:val="-5"/>
                <w:sz w:val="14"/>
              </w:rPr>
              <w:t>0.8</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2"/>
                <w:sz w:val="14"/>
              </w:rPr>
              <w:t> </w:t>
            </w:r>
            <w:r>
              <w:rPr>
                <w:sz w:val="14"/>
              </w:rPr>
              <w:t>30</w:t>
            </w:r>
            <w:r>
              <w:rPr>
                <w:spacing w:val="-5"/>
                <w:sz w:val="14"/>
              </w:rPr>
              <w:t> </w:t>
            </w:r>
            <w:r>
              <w:rPr>
                <w:sz w:val="14"/>
              </w:rPr>
              <w:t>mins</w:t>
            </w:r>
            <w:r>
              <w:rPr>
                <w:spacing w:val="-3"/>
                <w:sz w:val="14"/>
              </w:rPr>
              <w:t> </w:t>
            </w:r>
            <w:r>
              <w:rPr>
                <w:sz w:val="14"/>
              </w:rPr>
              <w:t>-</w:t>
            </w:r>
            <w:r>
              <w:rPr>
                <w:spacing w:val="-2"/>
                <w:sz w:val="14"/>
              </w:rPr>
              <w:t> </w:t>
            </w:r>
            <w:r>
              <w:rPr>
                <w:spacing w:val="-5"/>
                <w:sz w:val="14"/>
              </w:rPr>
              <w:t>2:1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71.00</w:t>
            </w:r>
          </w:p>
        </w:tc>
        <w:tc>
          <w:tcPr>
            <w:tcW w:w="995" w:type="dxa"/>
          </w:tcPr>
          <w:p>
            <w:pPr>
              <w:pStyle w:val="TableParagraph"/>
              <w:spacing w:line="140" w:lineRule="exact" w:before="19"/>
              <w:ind w:right="101"/>
              <w:jc w:val="right"/>
              <w:rPr>
                <w:sz w:val="14"/>
              </w:rPr>
            </w:pPr>
            <w:r>
              <w:rPr>
                <w:spacing w:val="-2"/>
                <w:sz w:val="14"/>
              </w:rPr>
              <w:t>73.10</w:t>
            </w:r>
          </w:p>
        </w:tc>
        <w:tc>
          <w:tcPr>
            <w:tcW w:w="861" w:type="dxa"/>
          </w:tcPr>
          <w:p>
            <w:pPr>
              <w:pStyle w:val="TableParagraph"/>
              <w:spacing w:line="140" w:lineRule="exact" w:before="19"/>
              <w:ind w:left="327"/>
              <w:rPr>
                <w:sz w:val="14"/>
              </w:rPr>
            </w:pPr>
            <w:r>
              <w:rPr>
                <w:spacing w:val="-5"/>
                <w:sz w:val="14"/>
              </w:rPr>
              <w:t>2.9</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2"/>
                <w:sz w:val="14"/>
              </w:rPr>
              <w:t> </w:t>
            </w:r>
            <w:r>
              <w:rPr>
                <w:sz w:val="14"/>
              </w:rPr>
              <w:t>60</w:t>
            </w:r>
            <w:r>
              <w:rPr>
                <w:spacing w:val="-5"/>
                <w:sz w:val="14"/>
              </w:rPr>
              <w:t> </w:t>
            </w:r>
            <w:r>
              <w:rPr>
                <w:sz w:val="14"/>
              </w:rPr>
              <w:t>mins</w:t>
            </w:r>
            <w:r>
              <w:rPr>
                <w:spacing w:val="-3"/>
                <w:sz w:val="14"/>
              </w:rPr>
              <w:t> </w:t>
            </w:r>
            <w:r>
              <w:rPr>
                <w:sz w:val="14"/>
              </w:rPr>
              <w:t>-</w:t>
            </w:r>
            <w:r>
              <w:rPr>
                <w:spacing w:val="-2"/>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83.81</w:t>
            </w:r>
          </w:p>
        </w:tc>
        <w:tc>
          <w:tcPr>
            <w:tcW w:w="995" w:type="dxa"/>
          </w:tcPr>
          <w:p>
            <w:pPr>
              <w:pStyle w:val="TableParagraph"/>
              <w:spacing w:line="140" w:lineRule="exact" w:before="19"/>
              <w:ind w:right="101"/>
              <w:jc w:val="right"/>
              <w:rPr>
                <w:sz w:val="14"/>
              </w:rPr>
            </w:pPr>
            <w:r>
              <w:rPr>
                <w:spacing w:val="-2"/>
                <w:sz w:val="14"/>
              </w:rPr>
              <w:t>83.40</w:t>
            </w:r>
          </w:p>
        </w:tc>
        <w:tc>
          <w:tcPr>
            <w:tcW w:w="861" w:type="dxa"/>
          </w:tcPr>
          <w:p>
            <w:pPr>
              <w:pStyle w:val="TableParagraph"/>
              <w:spacing w:line="140" w:lineRule="exact" w:before="19"/>
              <w:ind w:left="302"/>
              <w:rPr>
                <w:sz w:val="14"/>
              </w:rPr>
            </w:pPr>
            <w:r>
              <w:rPr>
                <w:w w:val="95"/>
                <w:sz w:val="14"/>
              </w:rPr>
              <w:t>-</w:t>
            </w:r>
            <w:r>
              <w:rPr>
                <w:spacing w:val="-5"/>
                <w:sz w:val="14"/>
              </w:rPr>
              <w:t>0.5</w:t>
            </w:r>
          </w:p>
        </w:tc>
      </w:tr>
      <w:tr>
        <w:trPr>
          <w:trHeight w:val="181" w:hRule="atLeast"/>
        </w:trPr>
        <w:tc>
          <w:tcPr>
            <w:tcW w:w="5794" w:type="dxa"/>
          </w:tcPr>
          <w:p>
            <w:pPr>
              <w:pStyle w:val="TableParagraph"/>
              <w:spacing w:line="142" w:lineRule="exact" w:before="19"/>
              <w:ind w:left="107"/>
              <w:rPr>
                <w:sz w:val="14"/>
              </w:rPr>
            </w:pPr>
            <w:r>
              <w:rPr>
                <w:sz w:val="14"/>
              </w:rPr>
              <w:t>Membership</w:t>
            </w:r>
            <w:r>
              <w:rPr>
                <w:spacing w:val="-2"/>
                <w:sz w:val="14"/>
              </w:rPr>
              <w:t> </w:t>
            </w:r>
            <w:r>
              <w:rPr>
                <w:sz w:val="14"/>
              </w:rPr>
              <w:t>60</w:t>
            </w:r>
            <w:r>
              <w:rPr>
                <w:spacing w:val="-5"/>
                <w:sz w:val="14"/>
              </w:rPr>
              <w:t> </w:t>
            </w:r>
            <w:r>
              <w:rPr>
                <w:sz w:val="14"/>
              </w:rPr>
              <w:t>mins</w:t>
            </w:r>
            <w:r>
              <w:rPr>
                <w:spacing w:val="-3"/>
                <w:sz w:val="14"/>
              </w:rPr>
              <w:t> </w:t>
            </w:r>
            <w:r>
              <w:rPr>
                <w:sz w:val="14"/>
              </w:rPr>
              <w:t>-</w:t>
            </w:r>
            <w:r>
              <w:rPr>
                <w:spacing w:val="-2"/>
                <w:sz w:val="14"/>
              </w:rPr>
              <w:t> </w:t>
            </w:r>
            <w:r>
              <w:rPr>
                <w:spacing w:val="-5"/>
                <w:sz w:val="14"/>
              </w:rPr>
              <w:t>2:1</w:t>
            </w:r>
          </w:p>
        </w:tc>
        <w:tc>
          <w:tcPr>
            <w:tcW w:w="1131" w:type="dxa"/>
          </w:tcPr>
          <w:p>
            <w:pPr>
              <w:pStyle w:val="TableParagraph"/>
              <w:spacing w:line="142" w:lineRule="exact" w:before="19"/>
              <w:ind w:left="5"/>
              <w:jc w:val="center"/>
              <w:rPr>
                <w:sz w:val="14"/>
              </w:rPr>
            </w:pPr>
            <w:r>
              <w:rPr>
                <w:w w:val="99"/>
                <w:sz w:val="14"/>
              </w:rPr>
              <w:t>N</w:t>
            </w:r>
          </w:p>
        </w:tc>
        <w:tc>
          <w:tcPr>
            <w:tcW w:w="567" w:type="dxa"/>
          </w:tcPr>
          <w:p>
            <w:pPr>
              <w:pStyle w:val="TableParagraph"/>
              <w:spacing w:line="142" w:lineRule="exact" w:before="19"/>
              <w:ind w:left="159"/>
              <w:rPr>
                <w:sz w:val="14"/>
              </w:rPr>
            </w:pPr>
            <w:r>
              <w:rPr>
                <w:spacing w:val="-5"/>
                <w:sz w:val="14"/>
              </w:rPr>
              <w:t>Yes</w:t>
            </w:r>
          </w:p>
        </w:tc>
        <w:tc>
          <w:tcPr>
            <w:tcW w:w="997" w:type="dxa"/>
          </w:tcPr>
          <w:p>
            <w:pPr>
              <w:pStyle w:val="TableParagraph"/>
              <w:spacing w:line="142" w:lineRule="exact" w:before="19"/>
              <w:ind w:right="100"/>
              <w:jc w:val="right"/>
              <w:rPr>
                <w:sz w:val="14"/>
              </w:rPr>
            </w:pPr>
            <w:r>
              <w:rPr>
                <w:spacing w:val="-2"/>
                <w:sz w:val="14"/>
              </w:rPr>
              <w:t>101.85</w:t>
            </w:r>
          </w:p>
        </w:tc>
        <w:tc>
          <w:tcPr>
            <w:tcW w:w="995" w:type="dxa"/>
          </w:tcPr>
          <w:p>
            <w:pPr>
              <w:pStyle w:val="TableParagraph"/>
              <w:spacing w:line="142" w:lineRule="exact" w:before="19"/>
              <w:ind w:right="101"/>
              <w:jc w:val="right"/>
              <w:rPr>
                <w:sz w:val="14"/>
              </w:rPr>
            </w:pPr>
            <w:r>
              <w:rPr>
                <w:spacing w:val="-2"/>
                <w:sz w:val="14"/>
              </w:rPr>
              <w:t>102.00</w:t>
            </w:r>
          </w:p>
        </w:tc>
        <w:tc>
          <w:tcPr>
            <w:tcW w:w="861" w:type="dxa"/>
          </w:tcPr>
          <w:p>
            <w:pPr>
              <w:pStyle w:val="TableParagraph"/>
              <w:spacing w:line="142" w:lineRule="exact" w:before="19"/>
              <w:ind w:left="326"/>
              <w:rPr>
                <w:sz w:val="14"/>
              </w:rPr>
            </w:pPr>
            <w:r>
              <w:rPr>
                <w:spacing w:val="-5"/>
                <w:sz w:val="14"/>
              </w:rPr>
              <w:t>0.1</w:t>
            </w:r>
          </w:p>
        </w:tc>
      </w:tr>
      <w:tr>
        <w:trPr>
          <w:trHeight w:val="179" w:hRule="atLeast"/>
        </w:trPr>
        <w:tc>
          <w:tcPr>
            <w:tcW w:w="5794" w:type="dxa"/>
          </w:tcPr>
          <w:p>
            <w:pPr>
              <w:pStyle w:val="TableParagraph"/>
              <w:spacing w:line="140" w:lineRule="exact" w:before="19"/>
              <w:ind w:left="107"/>
              <w:rPr>
                <w:sz w:val="14"/>
              </w:rPr>
            </w:pPr>
            <w:r>
              <w:rPr>
                <w:sz w:val="14"/>
              </w:rPr>
              <w:t>Membership</w:t>
            </w:r>
            <w:r>
              <w:rPr>
                <w:spacing w:val="-3"/>
                <w:sz w:val="14"/>
              </w:rPr>
              <w:t> </w:t>
            </w:r>
            <w:r>
              <w:rPr>
                <w:sz w:val="14"/>
              </w:rPr>
              <w:t>45mins</w:t>
            </w:r>
            <w:r>
              <w:rPr>
                <w:spacing w:val="-4"/>
                <w:sz w:val="14"/>
              </w:rPr>
              <w:t> </w:t>
            </w:r>
            <w:r>
              <w:rPr>
                <w:sz w:val="14"/>
              </w:rPr>
              <w:t>-</w:t>
            </w:r>
            <w:r>
              <w:rPr>
                <w:spacing w:val="-4"/>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67.00</w:t>
            </w:r>
          </w:p>
        </w:tc>
        <w:tc>
          <w:tcPr>
            <w:tcW w:w="995" w:type="dxa"/>
          </w:tcPr>
          <w:p>
            <w:pPr>
              <w:pStyle w:val="TableParagraph"/>
              <w:spacing w:line="140" w:lineRule="exact" w:before="19"/>
              <w:ind w:right="101"/>
              <w:jc w:val="right"/>
              <w:rPr>
                <w:sz w:val="14"/>
              </w:rPr>
            </w:pPr>
            <w:r>
              <w:rPr>
                <w:spacing w:val="-2"/>
                <w:sz w:val="14"/>
              </w:rPr>
              <w:t>69.50</w:t>
            </w:r>
          </w:p>
        </w:tc>
        <w:tc>
          <w:tcPr>
            <w:tcW w:w="861" w:type="dxa"/>
          </w:tcPr>
          <w:p>
            <w:pPr>
              <w:pStyle w:val="TableParagraph"/>
              <w:spacing w:line="140" w:lineRule="exact" w:before="19"/>
              <w:ind w:left="327"/>
              <w:rPr>
                <w:sz w:val="14"/>
              </w:rPr>
            </w:pPr>
            <w:r>
              <w:rPr>
                <w:spacing w:val="-5"/>
                <w:sz w:val="14"/>
              </w:rPr>
              <w:t>3.6</w:t>
            </w:r>
          </w:p>
        </w:tc>
      </w:tr>
      <w:tr>
        <w:trPr>
          <w:trHeight w:val="179" w:hRule="atLeast"/>
        </w:trPr>
        <w:tc>
          <w:tcPr>
            <w:tcW w:w="5794" w:type="dxa"/>
          </w:tcPr>
          <w:p>
            <w:pPr>
              <w:pStyle w:val="TableParagraph"/>
              <w:spacing w:line="140" w:lineRule="exact" w:before="19"/>
              <w:ind w:left="107"/>
              <w:rPr>
                <w:sz w:val="14"/>
              </w:rPr>
            </w:pPr>
            <w:r>
              <w:rPr>
                <w:sz w:val="14"/>
              </w:rPr>
              <w:t>Non</w:t>
            </w:r>
            <w:r>
              <w:rPr>
                <w:spacing w:val="-2"/>
                <w:sz w:val="14"/>
              </w:rPr>
              <w:t> </w:t>
            </w:r>
            <w:r>
              <w:rPr>
                <w:sz w:val="14"/>
              </w:rPr>
              <w:t>Membership</w:t>
            </w:r>
            <w:r>
              <w:rPr>
                <w:spacing w:val="-3"/>
                <w:sz w:val="14"/>
              </w:rPr>
              <w:t> </w:t>
            </w:r>
            <w:r>
              <w:rPr>
                <w:sz w:val="14"/>
              </w:rPr>
              <w:t>10</w:t>
            </w:r>
            <w:r>
              <w:rPr>
                <w:spacing w:val="-2"/>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4"/>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541.00</w:t>
            </w:r>
          </w:p>
        </w:tc>
        <w:tc>
          <w:tcPr>
            <w:tcW w:w="995" w:type="dxa"/>
          </w:tcPr>
          <w:p>
            <w:pPr>
              <w:pStyle w:val="TableParagraph"/>
              <w:spacing w:line="140" w:lineRule="exact" w:before="19"/>
              <w:ind w:right="102"/>
              <w:jc w:val="right"/>
              <w:rPr>
                <w:sz w:val="14"/>
              </w:rPr>
            </w:pPr>
            <w:r>
              <w:rPr>
                <w:spacing w:val="-2"/>
                <w:sz w:val="14"/>
              </w:rPr>
              <w:t>557.20</w:t>
            </w:r>
          </w:p>
        </w:tc>
        <w:tc>
          <w:tcPr>
            <w:tcW w:w="861" w:type="dxa"/>
          </w:tcPr>
          <w:p>
            <w:pPr>
              <w:pStyle w:val="TableParagraph"/>
              <w:spacing w:line="140" w:lineRule="exact" w:before="19"/>
              <w:ind w:left="327"/>
              <w:rPr>
                <w:sz w:val="14"/>
              </w:rPr>
            </w:pPr>
            <w:r>
              <w:rPr>
                <w:spacing w:val="-5"/>
                <w:sz w:val="14"/>
              </w:rPr>
              <w:t>2.9</w:t>
            </w:r>
          </w:p>
        </w:tc>
      </w:tr>
      <w:tr>
        <w:trPr>
          <w:trHeight w:val="179" w:hRule="atLeast"/>
        </w:trPr>
        <w:tc>
          <w:tcPr>
            <w:tcW w:w="5794" w:type="dxa"/>
          </w:tcPr>
          <w:p>
            <w:pPr>
              <w:pStyle w:val="TableParagraph"/>
              <w:spacing w:line="140" w:lineRule="exact" w:before="19"/>
              <w:ind w:left="107"/>
              <w:rPr>
                <w:sz w:val="14"/>
              </w:rPr>
            </w:pPr>
            <w:r>
              <w:rPr>
                <w:sz w:val="14"/>
              </w:rPr>
              <w:t>Non</w:t>
            </w:r>
            <w:r>
              <w:rPr>
                <w:spacing w:val="-2"/>
                <w:sz w:val="14"/>
              </w:rPr>
              <w:t> </w:t>
            </w:r>
            <w:r>
              <w:rPr>
                <w:sz w:val="14"/>
              </w:rPr>
              <w:t>Membership</w:t>
            </w:r>
            <w:r>
              <w:rPr>
                <w:spacing w:val="-3"/>
                <w:sz w:val="14"/>
              </w:rPr>
              <w:t> </w:t>
            </w:r>
            <w:r>
              <w:rPr>
                <w:sz w:val="14"/>
              </w:rPr>
              <w:t>10</w:t>
            </w:r>
            <w:r>
              <w:rPr>
                <w:spacing w:val="-2"/>
                <w:sz w:val="14"/>
              </w:rPr>
              <w:t> </w:t>
            </w:r>
            <w:r>
              <w:rPr>
                <w:sz w:val="14"/>
              </w:rPr>
              <w:t>pass</w:t>
            </w:r>
            <w:r>
              <w:rPr>
                <w:spacing w:val="-4"/>
                <w:sz w:val="14"/>
              </w:rPr>
              <w:t> </w:t>
            </w:r>
            <w:r>
              <w:rPr>
                <w:sz w:val="14"/>
              </w:rPr>
              <w:t>60</w:t>
            </w:r>
            <w:r>
              <w:rPr>
                <w:spacing w:val="-5"/>
                <w:sz w:val="14"/>
              </w:rPr>
              <w:t> </w:t>
            </w:r>
            <w:r>
              <w:rPr>
                <w:sz w:val="14"/>
              </w:rPr>
              <w:t>mins</w:t>
            </w:r>
            <w:r>
              <w:rPr>
                <w:spacing w:val="-1"/>
                <w:sz w:val="14"/>
              </w:rPr>
              <w:t> </w:t>
            </w:r>
            <w:r>
              <w:rPr>
                <w:sz w:val="14"/>
              </w:rPr>
              <w:t>-</w:t>
            </w:r>
            <w:r>
              <w:rPr>
                <w:spacing w:val="-4"/>
                <w:sz w:val="14"/>
              </w:rPr>
              <w:t> </w:t>
            </w:r>
            <w:r>
              <w:rPr>
                <w:spacing w:val="-5"/>
                <w:sz w:val="14"/>
              </w:rPr>
              <w:t>1:1</w:t>
            </w:r>
          </w:p>
        </w:tc>
        <w:tc>
          <w:tcPr>
            <w:tcW w:w="1131" w:type="dxa"/>
          </w:tcPr>
          <w:p>
            <w:pPr>
              <w:pStyle w:val="TableParagraph"/>
              <w:spacing w:line="140" w:lineRule="exact" w:before="19"/>
              <w:ind w:left="5"/>
              <w:jc w:val="center"/>
              <w:rPr>
                <w:sz w:val="14"/>
              </w:rPr>
            </w:pPr>
            <w:r>
              <w:rPr>
                <w:w w:val="99"/>
                <w:sz w:val="14"/>
              </w:rPr>
              <w:t>N</w:t>
            </w:r>
          </w:p>
        </w:tc>
        <w:tc>
          <w:tcPr>
            <w:tcW w:w="567" w:type="dxa"/>
          </w:tcPr>
          <w:p>
            <w:pPr>
              <w:pStyle w:val="TableParagraph"/>
              <w:spacing w:line="140" w:lineRule="exact" w:before="19"/>
              <w:ind w:left="159"/>
              <w:rPr>
                <w:sz w:val="14"/>
              </w:rPr>
            </w:pPr>
            <w:r>
              <w:rPr>
                <w:spacing w:val="-5"/>
                <w:sz w:val="14"/>
              </w:rPr>
              <w:t>Yes</w:t>
            </w:r>
          </w:p>
        </w:tc>
        <w:tc>
          <w:tcPr>
            <w:tcW w:w="997" w:type="dxa"/>
          </w:tcPr>
          <w:p>
            <w:pPr>
              <w:pStyle w:val="TableParagraph"/>
              <w:spacing w:line="140" w:lineRule="exact" w:before="19"/>
              <w:ind w:right="100"/>
              <w:jc w:val="right"/>
              <w:rPr>
                <w:sz w:val="14"/>
              </w:rPr>
            </w:pPr>
            <w:r>
              <w:rPr>
                <w:spacing w:val="-2"/>
                <w:sz w:val="14"/>
              </w:rPr>
              <w:t>834.00</w:t>
            </w:r>
          </w:p>
        </w:tc>
        <w:tc>
          <w:tcPr>
            <w:tcW w:w="995" w:type="dxa"/>
          </w:tcPr>
          <w:p>
            <w:pPr>
              <w:pStyle w:val="TableParagraph"/>
              <w:spacing w:line="140" w:lineRule="exact" w:before="19"/>
              <w:ind w:right="102"/>
              <w:jc w:val="right"/>
              <w:rPr>
                <w:sz w:val="14"/>
              </w:rPr>
            </w:pPr>
            <w:r>
              <w:rPr>
                <w:spacing w:val="-2"/>
                <w:sz w:val="14"/>
              </w:rPr>
              <w:t>859.00</w:t>
            </w:r>
          </w:p>
        </w:tc>
        <w:tc>
          <w:tcPr>
            <w:tcW w:w="861" w:type="dxa"/>
          </w:tcPr>
          <w:p>
            <w:pPr>
              <w:pStyle w:val="TableParagraph"/>
              <w:spacing w:line="140" w:lineRule="exact" w:before="19"/>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3"/>
                <w:sz w:val="14"/>
              </w:rPr>
              <w:t> </w:t>
            </w:r>
            <w:r>
              <w:rPr>
                <w:sz w:val="14"/>
              </w:rPr>
              <w:t>30</w:t>
            </w:r>
            <w:r>
              <w:rPr>
                <w:spacing w:val="-3"/>
                <w:sz w:val="14"/>
              </w:rPr>
              <w:t> </w:t>
            </w:r>
            <w:r>
              <w:rPr>
                <w:sz w:val="14"/>
              </w:rPr>
              <w:t>mins</w:t>
            </w:r>
            <w:r>
              <w:rPr>
                <w:spacing w:val="-4"/>
                <w:sz w:val="14"/>
              </w:rPr>
              <w:t> </w:t>
            </w:r>
            <w:r>
              <w:rPr>
                <w:sz w:val="14"/>
              </w:rPr>
              <w:t>-</w:t>
            </w:r>
            <w:r>
              <w:rPr>
                <w:spacing w:val="-2"/>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60.00</w:t>
            </w:r>
          </w:p>
        </w:tc>
        <w:tc>
          <w:tcPr>
            <w:tcW w:w="995" w:type="dxa"/>
          </w:tcPr>
          <w:p>
            <w:pPr>
              <w:pStyle w:val="TableParagraph"/>
              <w:spacing w:line="140" w:lineRule="exact" w:before="17"/>
              <w:ind w:right="101"/>
              <w:jc w:val="right"/>
              <w:rPr>
                <w:sz w:val="14"/>
              </w:rPr>
            </w:pPr>
            <w:r>
              <w:rPr>
                <w:spacing w:val="-2"/>
                <w:sz w:val="14"/>
              </w:rPr>
              <w:t>61.80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1"/>
                <w:sz w:val="14"/>
              </w:rPr>
              <w:t> </w:t>
            </w:r>
            <w:r>
              <w:rPr>
                <w:sz w:val="14"/>
              </w:rPr>
              <w:t>30</w:t>
            </w:r>
            <w:r>
              <w:rPr>
                <w:spacing w:val="-3"/>
                <w:sz w:val="14"/>
              </w:rPr>
              <w:t> </w:t>
            </w:r>
            <w:r>
              <w:rPr>
                <w:sz w:val="14"/>
              </w:rPr>
              <w:t>mins</w:t>
            </w:r>
            <w:r>
              <w:rPr>
                <w:spacing w:val="-4"/>
                <w:sz w:val="14"/>
              </w:rPr>
              <w:t> </w:t>
            </w:r>
            <w:r>
              <w:rPr>
                <w:sz w:val="14"/>
              </w:rPr>
              <w:t>-</w:t>
            </w:r>
            <w:r>
              <w:rPr>
                <w:spacing w:val="-3"/>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81.00</w:t>
            </w:r>
          </w:p>
        </w:tc>
        <w:tc>
          <w:tcPr>
            <w:tcW w:w="995" w:type="dxa"/>
          </w:tcPr>
          <w:p>
            <w:pPr>
              <w:pStyle w:val="TableParagraph"/>
              <w:spacing w:line="140" w:lineRule="exact" w:before="17"/>
              <w:ind w:right="101"/>
              <w:jc w:val="right"/>
              <w:rPr>
                <w:sz w:val="14"/>
              </w:rPr>
            </w:pPr>
            <w:r>
              <w:rPr>
                <w:spacing w:val="-2"/>
                <w:sz w:val="14"/>
              </w:rPr>
              <w:t>83.40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3"/>
                <w:sz w:val="14"/>
              </w:rPr>
              <w:t> </w:t>
            </w:r>
            <w:r>
              <w:rPr>
                <w:sz w:val="14"/>
              </w:rPr>
              <w:t>60</w:t>
            </w:r>
            <w:r>
              <w:rPr>
                <w:spacing w:val="-3"/>
                <w:sz w:val="14"/>
              </w:rPr>
              <w:t> </w:t>
            </w:r>
            <w:r>
              <w:rPr>
                <w:sz w:val="14"/>
              </w:rPr>
              <w:t>mins</w:t>
            </w:r>
            <w:r>
              <w:rPr>
                <w:spacing w:val="-4"/>
                <w:sz w:val="14"/>
              </w:rPr>
              <w:t> </w:t>
            </w:r>
            <w:r>
              <w:rPr>
                <w:sz w:val="14"/>
              </w:rPr>
              <w:t>-</w:t>
            </w:r>
            <w:r>
              <w:rPr>
                <w:spacing w:val="-2"/>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93.00</w:t>
            </w:r>
          </w:p>
        </w:tc>
        <w:tc>
          <w:tcPr>
            <w:tcW w:w="995" w:type="dxa"/>
          </w:tcPr>
          <w:p>
            <w:pPr>
              <w:pStyle w:val="TableParagraph"/>
              <w:spacing w:line="140" w:lineRule="exact" w:before="17"/>
              <w:ind w:right="101"/>
              <w:jc w:val="right"/>
              <w:rPr>
                <w:sz w:val="14"/>
              </w:rPr>
            </w:pPr>
            <w:r>
              <w:rPr>
                <w:spacing w:val="-2"/>
                <w:sz w:val="14"/>
              </w:rPr>
              <w:t>95.80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3"/>
                <w:sz w:val="14"/>
              </w:rPr>
              <w:t> </w:t>
            </w:r>
            <w:r>
              <w:rPr>
                <w:sz w:val="14"/>
              </w:rPr>
              <w:t>60</w:t>
            </w:r>
            <w:r>
              <w:rPr>
                <w:spacing w:val="-3"/>
                <w:sz w:val="14"/>
              </w:rPr>
              <w:t> </w:t>
            </w:r>
            <w:r>
              <w:rPr>
                <w:sz w:val="14"/>
              </w:rPr>
              <w:t>mins</w:t>
            </w:r>
            <w:r>
              <w:rPr>
                <w:spacing w:val="-4"/>
                <w:sz w:val="14"/>
              </w:rPr>
              <w:t> </w:t>
            </w:r>
            <w:r>
              <w:rPr>
                <w:sz w:val="14"/>
              </w:rPr>
              <w:t>-</w:t>
            </w:r>
            <w:r>
              <w:rPr>
                <w:spacing w:val="-2"/>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109.00</w:t>
            </w:r>
          </w:p>
        </w:tc>
        <w:tc>
          <w:tcPr>
            <w:tcW w:w="995" w:type="dxa"/>
          </w:tcPr>
          <w:p>
            <w:pPr>
              <w:pStyle w:val="TableParagraph"/>
              <w:spacing w:line="140" w:lineRule="exact" w:before="17"/>
              <w:ind w:right="102"/>
              <w:jc w:val="right"/>
              <w:rPr>
                <w:sz w:val="14"/>
              </w:rPr>
            </w:pPr>
            <w:r>
              <w:rPr>
                <w:spacing w:val="-2"/>
                <w:sz w:val="14"/>
              </w:rPr>
              <w:t>112.30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Start</w:t>
            </w:r>
            <w:r>
              <w:rPr>
                <w:spacing w:val="-2"/>
                <w:sz w:val="14"/>
              </w:rPr>
              <w:t> </w:t>
            </w:r>
            <w:r>
              <w:rPr>
                <w:sz w:val="14"/>
              </w:rPr>
              <w:t>up</w:t>
            </w:r>
            <w:r>
              <w:rPr>
                <w:spacing w:val="-1"/>
                <w:sz w:val="14"/>
              </w:rPr>
              <w:t> </w:t>
            </w:r>
            <w:r>
              <w:rPr>
                <w:sz w:val="14"/>
              </w:rPr>
              <w:t>Trial -</w:t>
            </w:r>
            <w:r>
              <w:rPr>
                <w:spacing w:val="-4"/>
                <w:sz w:val="14"/>
              </w:rPr>
              <w:t> </w:t>
            </w:r>
            <w:r>
              <w:rPr>
                <w:sz w:val="14"/>
              </w:rPr>
              <w:t>3</w:t>
            </w:r>
            <w:r>
              <w:rPr>
                <w:spacing w:val="-2"/>
                <w:sz w:val="14"/>
              </w:rPr>
              <w:t> sessions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2" w:lineRule="exact" w:before="15"/>
              <w:ind w:left="107"/>
              <w:rPr>
                <w:b/>
                <w:sz w:val="14"/>
              </w:rPr>
            </w:pPr>
            <w:r>
              <w:rPr>
                <w:b/>
                <w:sz w:val="14"/>
              </w:rPr>
              <w:t>Aquanation</w:t>
            </w:r>
            <w:r>
              <w:rPr>
                <w:b/>
                <w:spacing w:val="-6"/>
                <w:sz w:val="14"/>
              </w:rPr>
              <w:t> </w:t>
            </w:r>
            <w:r>
              <w:rPr>
                <w:b/>
                <w:sz w:val="14"/>
              </w:rPr>
              <w:t>-</w:t>
            </w:r>
            <w:r>
              <w:rPr>
                <w:b/>
                <w:spacing w:val="-3"/>
                <w:sz w:val="14"/>
              </w:rPr>
              <w:t> </w:t>
            </w:r>
            <w:r>
              <w:rPr>
                <w:b/>
                <w:sz w:val="14"/>
              </w:rPr>
              <w:t>Casual</w:t>
            </w:r>
            <w:r>
              <w:rPr>
                <w:b/>
                <w:spacing w:val="-4"/>
                <w:sz w:val="14"/>
              </w:rPr>
              <w:t> </w:t>
            </w:r>
            <w:r>
              <w:rPr>
                <w:b/>
                <w:sz w:val="14"/>
              </w:rPr>
              <w:t>Health</w:t>
            </w:r>
            <w:r>
              <w:rPr>
                <w:b/>
                <w:spacing w:val="-5"/>
                <w:sz w:val="14"/>
              </w:rPr>
              <w:t> </w:t>
            </w:r>
            <w:r>
              <w:rPr>
                <w:b/>
                <w:spacing w:val="-4"/>
                <w:sz w:val="14"/>
              </w:rPr>
              <w:t>Club</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pacing w:val="-4"/>
                <w:sz w:val="14"/>
              </w:rPr>
              <w:t>Adult</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25.31</w:t>
            </w:r>
          </w:p>
        </w:tc>
        <w:tc>
          <w:tcPr>
            <w:tcW w:w="995" w:type="dxa"/>
          </w:tcPr>
          <w:p>
            <w:pPr>
              <w:pStyle w:val="TableParagraph"/>
              <w:spacing w:line="140" w:lineRule="exact" w:before="15"/>
              <w:ind w:right="101"/>
              <w:jc w:val="right"/>
              <w:rPr>
                <w:sz w:val="14"/>
              </w:rPr>
            </w:pPr>
            <w:r>
              <w:rPr>
                <w:spacing w:val="-2"/>
                <w:sz w:val="14"/>
              </w:rPr>
              <w:t>26.00</w:t>
            </w:r>
          </w:p>
        </w:tc>
        <w:tc>
          <w:tcPr>
            <w:tcW w:w="861" w:type="dxa"/>
          </w:tcPr>
          <w:p>
            <w:pPr>
              <w:pStyle w:val="TableParagraph"/>
              <w:spacing w:line="140" w:lineRule="exact" w:before="15"/>
              <w:ind w:left="327"/>
              <w:rPr>
                <w:sz w:val="14"/>
              </w:rPr>
            </w:pPr>
            <w:r>
              <w:rPr>
                <w:spacing w:val="-5"/>
                <w:sz w:val="14"/>
              </w:rPr>
              <w:t>2.7</w:t>
            </w:r>
          </w:p>
        </w:tc>
      </w:tr>
      <w:tr>
        <w:trPr>
          <w:trHeight w:val="177" w:hRule="atLeast"/>
        </w:trPr>
        <w:tc>
          <w:tcPr>
            <w:tcW w:w="5794" w:type="dxa"/>
          </w:tcPr>
          <w:p>
            <w:pPr>
              <w:pStyle w:val="TableParagraph"/>
              <w:spacing w:line="140" w:lineRule="exact" w:before="17"/>
              <w:ind w:left="107"/>
              <w:rPr>
                <w:sz w:val="14"/>
              </w:rPr>
            </w:pP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21.09</w:t>
            </w:r>
          </w:p>
        </w:tc>
        <w:tc>
          <w:tcPr>
            <w:tcW w:w="995" w:type="dxa"/>
          </w:tcPr>
          <w:p>
            <w:pPr>
              <w:pStyle w:val="TableParagraph"/>
              <w:spacing w:line="140" w:lineRule="exact" w:before="17"/>
              <w:ind w:right="101"/>
              <w:jc w:val="right"/>
              <w:rPr>
                <w:sz w:val="14"/>
              </w:rPr>
            </w:pPr>
            <w:r>
              <w:rPr>
                <w:spacing w:val="-2"/>
                <w:sz w:val="14"/>
              </w:rPr>
              <w:t>22.10</w:t>
            </w:r>
          </w:p>
        </w:tc>
        <w:tc>
          <w:tcPr>
            <w:tcW w:w="861" w:type="dxa"/>
          </w:tcPr>
          <w:p>
            <w:pPr>
              <w:pStyle w:val="TableParagraph"/>
              <w:spacing w:line="140" w:lineRule="exact" w:before="17"/>
              <w:ind w:left="327"/>
              <w:rPr>
                <w:sz w:val="14"/>
              </w:rPr>
            </w:pPr>
            <w:r>
              <w:rPr>
                <w:spacing w:val="-5"/>
                <w:sz w:val="14"/>
              </w:rPr>
              <w:t>4.6</w:t>
            </w:r>
          </w:p>
        </w:tc>
      </w:tr>
      <w:tr>
        <w:trPr>
          <w:trHeight w:val="177" w:hRule="atLeast"/>
        </w:trPr>
        <w:tc>
          <w:tcPr>
            <w:tcW w:w="5794" w:type="dxa"/>
          </w:tcPr>
          <w:p>
            <w:pPr>
              <w:pStyle w:val="TableParagraph"/>
              <w:spacing w:line="140" w:lineRule="exact" w:before="17"/>
              <w:ind w:left="107"/>
              <w:rPr>
                <w:sz w:val="14"/>
              </w:rPr>
            </w:pP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22.15</w:t>
            </w:r>
          </w:p>
        </w:tc>
        <w:tc>
          <w:tcPr>
            <w:tcW w:w="995" w:type="dxa"/>
          </w:tcPr>
          <w:p>
            <w:pPr>
              <w:pStyle w:val="TableParagraph"/>
              <w:spacing w:line="140" w:lineRule="exact" w:before="17"/>
              <w:ind w:right="101"/>
              <w:jc w:val="right"/>
              <w:rPr>
                <w:sz w:val="14"/>
              </w:rPr>
            </w:pPr>
            <w:r>
              <w:rPr>
                <w:spacing w:val="-2"/>
                <w:sz w:val="14"/>
              </w:rPr>
              <w:t>23.40</w:t>
            </w:r>
          </w:p>
        </w:tc>
        <w:tc>
          <w:tcPr>
            <w:tcW w:w="861" w:type="dxa"/>
          </w:tcPr>
          <w:p>
            <w:pPr>
              <w:pStyle w:val="TableParagraph"/>
              <w:spacing w:line="140" w:lineRule="exact" w:before="17"/>
              <w:ind w:left="327"/>
              <w:rPr>
                <w:sz w:val="14"/>
              </w:rPr>
            </w:pPr>
            <w:r>
              <w:rPr>
                <w:spacing w:val="-5"/>
                <w:sz w:val="14"/>
              </w:rPr>
              <w:t>5.3</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Club</w:t>
            </w:r>
            <w:r>
              <w:rPr>
                <w:spacing w:val="-5"/>
                <w:sz w:val="14"/>
              </w:rPr>
              <w:t> </w:t>
            </w:r>
            <w:r>
              <w:rPr>
                <w:sz w:val="14"/>
              </w:rPr>
              <w:t>Casual</w:t>
            </w:r>
            <w:r>
              <w:rPr>
                <w:spacing w:val="-4"/>
                <w:sz w:val="14"/>
              </w:rPr>
              <w:t> Teen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20.04</w:t>
            </w:r>
          </w:p>
        </w:tc>
        <w:tc>
          <w:tcPr>
            <w:tcW w:w="995" w:type="dxa"/>
          </w:tcPr>
          <w:p>
            <w:pPr>
              <w:pStyle w:val="TableParagraph"/>
              <w:spacing w:line="140" w:lineRule="exact" w:before="17"/>
              <w:ind w:right="101"/>
              <w:jc w:val="right"/>
              <w:rPr>
                <w:sz w:val="14"/>
              </w:rPr>
            </w:pPr>
            <w:r>
              <w:rPr>
                <w:spacing w:val="-2"/>
                <w:sz w:val="14"/>
              </w:rPr>
              <w:t>20.80</w:t>
            </w:r>
          </w:p>
        </w:tc>
        <w:tc>
          <w:tcPr>
            <w:tcW w:w="861" w:type="dxa"/>
          </w:tcPr>
          <w:p>
            <w:pPr>
              <w:pStyle w:val="TableParagraph"/>
              <w:spacing w:line="140" w:lineRule="exact" w:before="17"/>
              <w:ind w:left="327"/>
              <w:rPr>
                <w:sz w:val="14"/>
              </w:rPr>
            </w:pPr>
            <w:r>
              <w:rPr>
                <w:spacing w:val="-5"/>
                <w:sz w:val="14"/>
              </w:rPr>
              <w:t>3.7</w:t>
            </w:r>
          </w:p>
        </w:tc>
      </w:tr>
      <w:tr>
        <w:trPr>
          <w:trHeight w:val="177" w:hRule="atLeast"/>
        </w:trPr>
        <w:tc>
          <w:tcPr>
            <w:tcW w:w="5794" w:type="dxa"/>
          </w:tcPr>
          <w:p>
            <w:pPr>
              <w:pStyle w:val="TableParagraph"/>
              <w:spacing w:line="140" w:lineRule="exact" w:before="17"/>
              <w:ind w:left="107"/>
              <w:rPr>
                <w:sz w:val="14"/>
              </w:rPr>
            </w:pPr>
            <w:r>
              <w:rPr>
                <w:sz w:val="14"/>
              </w:rPr>
              <w:t>Active</w:t>
            </w:r>
            <w:r>
              <w:rPr>
                <w:spacing w:val="-5"/>
                <w:sz w:val="14"/>
              </w:rPr>
              <w:t> </w:t>
            </w:r>
            <w:r>
              <w:rPr>
                <w:sz w:val="14"/>
              </w:rPr>
              <w:t>Adults -</w:t>
            </w:r>
            <w:r>
              <w:rPr>
                <w:spacing w:val="-4"/>
                <w:sz w:val="14"/>
              </w:rPr>
              <w:t> </w:t>
            </w:r>
            <w:r>
              <w:rPr>
                <w:sz w:val="14"/>
              </w:rPr>
              <w:t>10</w:t>
            </w:r>
            <w:r>
              <w:rPr>
                <w:spacing w:val="-4"/>
                <w:sz w:val="14"/>
              </w:rPr>
              <w:t> </w:t>
            </w:r>
            <w:r>
              <w:rPr>
                <w:sz w:val="14"/>
              </w:rPr>
              <w:t>visit</w:t>
            </w:r>
            <w:r>
              <w:rPr>
                <w:spacing w:val="-3"/>
                <w:sz w:val="14"/>
              </w:rPr>
              <w:t> </w:t>
            </w:r>
            <w:r>
              <w:rPr>
                <w:spacing w:val="-4"/>
                <w:sz w:val="14"/>
              </w:rPr>
              <w:t>pass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68.35</w:t>
            </w:r>
          </w:p>
        </w:tc>
        <w:tc>
          <w:tcPr>
            <w:tcW w:w="995" w:type="dxa"/>
          </w:tcPr>
          <w:p>
            <w:pPr>
              <w:pStyle w:val="TableParagraph"/>
              <w:spacing w:line="140" w:lineRule="exact" w:before="17"/>
              <w:ind w:right="101"/>
              <w:jc w:val="right"/>
              <w:rPr>
                <w:sz w:val="14"/>
              </w:rPr>
            </w:pPr>
            <w:r>
              <w:rPr>
                <w:spacing w:val="-2"/>
                <w:sz w:val="14"/>
              </w:rPr>
              <w:t>72.00</w:t>
            </w:r>
          </w:p>
        </w:tc>
        <w:tc>
          <w:tcPr>
            <w:tcW w:w="861" w:type="dxa"/>
          </w:tcPr>
          <w:p>
            <w:pPr>
              <w:pStyle w:val="TableParagraph"/>
              <w:spacing w:line="140" w:lineRule="exact" w:before="17"/>
              <w:ind w:left="327"/>
              <w:rPr>
                <w:sz w:val="14"/>
              </w:rPr>
            </w:pPr>
            <w:r>
              <w:rPr>
                <w:spacing w:val="-5"/>
                <w:sz w:val="14"/>
              </w:rPr>
              <w:t>5.1</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5"/>
                <w:sz w:val="14"/>
              </w:rPr>
              <w:t> </w:t>
            </w:r>
            <w:r>
              <w:rPr>
                <w:b/>
                <w:sz w:val="14"/>
              </w:rPr>
              <w:t>-</w:t>
            </w:r>
            <w:r>
              <w:rPr>
                <w:b/>
                <w:spacing w:val="-2"/>
                <w:sz w:val="14"/>
              </w:rPr>
              <w:t> </w:t>
            </w:r>
            <w:r>
              <w:rPr>
                <w:b/>
                <w:sz w:val="14"/>
              </w:rPr>
              <w:t>Group</w:t>
            </w:r>
            <w:r>
              <w:rPr>
                <w:b/>
                <w:spacing w:val="-5"/>
                <w:sz w:val="14"/>
              </w:rPr>
              <w:t> </w:t>
            </w:r>
            <w:r>
              <w:rPr>
                <w:b/>
                <w:spacing w:val="-2"/>
                <w:sz w:val="14"/>
              </w:rPr>
              <w:t>Training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180.00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7"/>
                <w:sz w:val="14"/>
              </w:rPr>
              <w:t> </w:t>
            </w:r>
            <w:r>
              <w:rPr>
                <w:b/>
                <w:sz w:val="14"/>
              </w:rPr>
              <w:t>-</w:t>
            </w:r>
            <w:r>
              <w:rPr>
                <w:b/>
                <w:spacing w:val="-3"/>
                <w:sz w:val="14"/>
              </w:rPr>
              <w:t> </w:t>
            </w:r>
            <w:r>
              <w:rPr>
                <w:b/>
                <w:sz w:val="14"/>
              </w:rPr>
              <w:t>Casual</w:t>
            </w:r>
            <w:r>
              <w:rPr>
                <w:b/>
                <w:spacing w:val="-3"/>
                <w:sz w:val="14"/>
              </w:rPr>
              <w:t> </w:t>
            </w:r>
            <w:r>
              <w:rPr>
                <w:b/>
                <w:sz w:val="14"/>
              </w:rPr>
              <w:t>Group</w:t>
            </w:r>
            <w:r>
              <w:rPr>
                <w:b/>
                <w:spacing w:val="-3"/>
                <w:sz w:val="14"/>
              </w:rPr>
              <w:t> </w:t>
            </w:r>
            <w:r>
              <w:rPr>
                <w:b/>
                <w:spacing w:val="-2"/>
                <w:sz w:val="14"/>
              </w:rPr>
              <w:t>Fitness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visits</w:t>
            </w:r>
            <w:r>
              <w:rPr>
                <w:spacing w:val="-3"/>
                <w:sz w:val="14"/>
              </w:rPr>
              <w:t> </w:t>
            </w:r>
            <w:r>
              <w:rPr>
                <w:spacing w:val="-2"/>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185.81</w:t>
            </w:r>
          </w:p>
        </w:tc>
        <w:tc>
          <w:tcPr>
            <w:tcW w:w="995" w:type="dxa"/>
          </w:tcPr>
          <w:p>
            <w:pPr>
              <w:pStyle w:val="TableParagraph"/>
              <w:spacing w:line="140" w:lineRule="exact" w:before="17"/>
              <w:ind w:right="102"/>
              <w:jc w:val="right"/>
              <w:rPr>
                <w:sz w:val="14"/>
              </w:rPr>
            </w:pPr>
            <w:r>
              <w:rPr>
                <w:spacing w:val="-2"/>
                <w:sz w:val="14"/>
              </w:rPr>
              <w:t>194.40</w:t>
            </w:r>
          </w:p>
        </w:tc>
        <w:tc>
          <w:tcPr>
            <w:tcW w:w="861" w:type="dxa"/>
          </w:tcPr>
          <w:p>
            <w:pPr>
              <w:pStyle w:val="TableParagraph"/>
              <w:spacing w:line="140" w:lineRule="exact" w:before="17"/>
              <w:ind w:left="327"/>
              <w:rPr>
                <w:sz w:val="14"/>
              </w:rPr>
            </w:pPr>
            <w:r>
              <w:rPr>
                <w:spacing w:val="-5"/>
                <w:sz w:val="14"/>
              </w:rPr>
              <w:t>4.4</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visits</w:t>
            </w:r>
            <w:r>
              <w:rPr>
                <w:spacing w:val="-3"/>
                <w:sz w:val="14"/>
              </w:rPr>
              <w:t> </w:t>
            </w: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166.12</w:t>
            </w:r>
          </w:p>
        </w:tc>
        <w:tc>
          <w:tcPr>
            <w:tcW w:w="995" w:type="dxa"/>
          </w:tcPr>
          <w:p>
            <w:pPr>
              <w:pStyle w:val="TableParagraph"/>
              <w:spacing w:line="140" w:lineRule="exact" w:before="17"/>
              <w:ind w:right="102"/>
              <w:jc w:val="right"/>
              <w:rPr>
                <w:sz w:val="14"/>
              </w:rPr>
            </w:pPr>
            <w:r>
              <w:rPr>
                <w:spacing w:val="-2"/>
                <w:sz w:val="14"/>
              </w:rPr>
              <w:t>174.60</w:t>
            </w:r>
          </w:p>
        </w:tc>
        <w:tc>
          <w:tcPr>
            <w:tcW w:w="861" w:type="dxa"/>
          </w:tcPr>
          <w:p>
            <w:pPr>
              <w:pStyle w:val="TableParagraph"/>
              <w:spacing w:line="140" w:lineRule="exact" w:before="17"/>
              <w:ind w:left="327"/>
              <w:rPr>
                <w:sz w:val="14"/>
              </w:rPr>
            </w:pPr>
            <w:r>
              <w:rPr>
                <w:spacing w:val="-5"/>
                <w:sz w:val="14"/>
              </w:rPr>
              <w:t>4.9</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visits</w:t>
            </w:r>
            <w:r>
              <w:rPr>
                <w:spacing w:val="-3"/>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156.63</w:t>
            </w:r>
          </w:p>
        </w:tc>
        <w:tc>
          <w:tcPr>
            <w:tcW w:w="995" w:type="dxa"/>
          </w:tcPr>
          <w:p>
            <w:pPr>
              <w:pStyle w:val="TableParagraph"/>
              <w:spacing w:line="140" w:lineRule="exact" w:before="17"/>
              <w:ind w:right="102"/>
              <w:jc w:val="right"/>
              <w:rPr>
                <w:sz w:val="14"/>
              </w:rPr>
            </w:pPr>
            <w:r>
              <w:rPr>
                <w:spacing w:val="-2"/>
                <w:sz w:val="14"/>
              </w:rPr>
              <w:t>164.70</w:t>
            </w:r>
          </w:p>
        </w:tc>
        <w:tc>
          <w:tcPr>
            <w:tcW w:w="861" w:type="dxa"/>
          </w:tcPr>
          <w:p>
            <w:pPr>
              <w:pStyle w:val="TableParagraph"/>
              <w:spacing w:line="140" w:lineRule="exact" w:before="17"/>
              <w:ind w:left="327"/>
              <w:rPr>
                <w:sz w:val="14"/>
              </w:rPr>
            </w:pPr>
            <w:r>
              <w:rPr>
                <w:spacing w:val="-5"/>
                <w:sz w:val="14"/>
              </w:rPr>
              <w:t>4.9</w:t>
            </w:r>
          </w:p>
        </w:tc>
      </w:tr>
      <w:tr>
        <w:trPr>
          <w:trHeight w:val="177" w:hRule="atLeast"/>
        </w:trPr>
        <w:tc>
          <w:tcPr>
            <w:tcW w:w="5794" w:type="dxa"/>
          </w:tcPr>
          <w:p>
            <w:pPr>
              <w:pStyle w:val="TableParagraph"/>
              <w:spacing w:line="142" w:lineRule="exact" w:before="15"/>
              <w:ind w:left="107"/>
              <w:rPr>
                <w:sz w:val="14"/>
              </w:rPr>
            </w:pPr>
            <w:r>
              <w:rPr>
                <w:spacing w:val="-4"/>
                <w:sz w:val="14"/>
              </w:rPr>
              <w:t>Adult</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20.57</w:t>
            </w:r>
          </w:p>
        </w:tc>
        <w:tc>
          <w:tcPr>
            <w:tcW w:w="995" w:type="dxa"/>
          </w:tcPr>
          <w:p>
            <w:pPr>
              <w:pStyle w:val="TableParagraph"/>
              <w:spacing w:line="142" w:lineRule="exact" w:before="15"/>
              <w:ind w:right="102"/>
              <w:jc w:val="right"/>
              <w:rPr>
                <w:sz w:val="14"/>
              </w:rPr>
            </w:pPr>
            <w:r>
              <w:rPr>
                <w:spacing w:val="-2"/>
                <w:sz w:val="14"/>
              </w:rPr>
              <w:t>21.60</w:t>
            </w:r>
          </w:p>
        </w:tc>
        <w:tc>
          <w:tcPr>
            <w:tcW w:w="861" w:type="dxa"/>
          </w:tcPr>
          <w:p>
            <w:pPr>
              <w:pStyle w:val="TableParagraph"/>
              <w:spacing w:line="142" w:lineRule="exact" w:before="15"/>
              <w:ind w:left="327"/>
              <w:rPr>
                <w:sz w:val="14"/>
              </w:rPr>
            </w:pPr>
            <w:r>
              <w:rPr>
                <w:spacing w:val="-5"/>
                <w:sz w:val="14"/>
              </w:rPr>
              <w:t>4.8</w:t>
            </w:r>
          </w:p>
        </w:tc>
      </w:tr>
      <w:tr>
        <w:trPr>
          <w:trHeight w:val="174" w:hRule="atLeast"/>
        </w:trPr>
        <w:tc>
          <w:tcPr>
            <w:tcW w:w="5794" w:type="dxa"/>
          </w:tcPr>
          <w:p>
            <w:pPr>
              <w:pStyle w:val="TableParagraph"/>
              <w:spacing w:line="140" w:lineRule="exact" w:before="15"/>
              <w:ind w:left="107"/>
              <w:rPr>
                <w:sz w:val="14"/>
              </w:rPr>
            </w:pPr>
            <w:r>
              <w:rPr>
                <w:spacing w:val="-2"/>
                <w:sz w:val="14"/>
              </w:rPr>
              <w:t>Concession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17.40</w:t>
            </w:r>
          </w:p>
        </w:tc>
        <w:tc>
          <w:tcPr>
            <w:tcW w:w="995" w:type="dxa"/>
          </w:tcPr>
          <w:p>
            <w:pPr>
              <w:pStyle w:val="TableParagraph"/>
              <w:spacing w:line="140" w:lineRule="exact" w:before="15"/>
              <w:ind w:right="101"/>
              <w:jc w:val="right"/>
              <w:rPr>
                <w:sz w:val="14"/>
              </w:rPr>
            </w:pPr>
            <w:r>
              <w:rPr>
                <w:spacing w:val="-2"/>
                <w:sz w:val="14"/>
              </w:rPr>
              <w:t>18.30</w:t>
            </w:r>
          </w:p>
        </w:tc>
        <w:tc>
          <w:tcPr>
            <w:tcW w:w="861" w:type="dxa"/>
          </w:tcPr>
          <w:p>
            <w:pPr>
              <w:pStyle w:val="TableParagraph"/>
              <w:spacing w:line="140" w:lineRule="exact" w:before="15"/>
              <w:ind w:left="327"/>
              <w:rPr>
                <w:sz w:val="14"/>
              </w:rPr>
            </w:pPr>
            <w:r>
              <w:rPr>
                <w:spacing w:val="-5"/>
                <w:sz w:val="14"/>
              </w:rPr>
              <w:t>4.9</w:t>
            </w:r>
          </w:p>
        </w:tc>
      </w:tr>
      <w:tr>
        <w:trPr>
          <w:trHeight w:val="177" w:hRule="atLeast"/>
        </w:trPr>
        <w:tc>
          <w:tcPr>
            <w:tcW w:w="5794" w:type="dxa"/>
          </w:tcPr>
          <w:p>
            <w:pPr>
              <w:pStyle w:val="TableParagraph"/>
              <w:spacing w:line="140" w:lineRule="exact" w:before="17"/>
              <w:ind w:left="107"/>
              <w:rPr>
                <w:sz w:val="14"/>
              </w:rPr>
            </w:pPr>
            <w:r>
              <w:rPr>
                <w:sz w:val="14"/>
              </w:rPr>
              <w:t>Fitness</w:t>
            </w:r>
            <w:r>
              <w:rPr>
                <w:spacing w:val="-2"/>
                <w:sz w:val="14"/>
              </w:rPr>
              <w:t> </w:t>
            </w:r>
            <w:r>
              <w:rPr>
                <w:sz w:val="14"/>
              </w:rPr>
              <w:t>30</w:t>
            </w:r>
            <w:r>
              <w:rPr>
                <w:spacing w:val="-6"/>
                <w:sz w:val="14"/>
              </w:rPr>
              <w:t> </w:t>
            </w:r>
            <w:r>
              <w:rPr>
                <w:sz w:val="14"/>
              </w:rPr>
              <w:t>min</w:t>
            </w:r>
            <w:r>
              <w:rPr>
                <w:spacing w:val="-3"/>
                <w:sz w:val="14"/>
              </w:rPr>
              <w:t> </w:t>
            </w:r>
            <w:r>
              <w:rPr>
                <w:sz w:val="14"/>
              </w:rPr>
              <w:t>class</w:t>
            </w:r>
            <w:r>
              <w:rPr>
                <w:spacing w:val="-3"/>
                <w:sz w:val="14"/>
              </w:rPr>
              <w:t> </w:t>
            </w: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13.18</w:t>
            </w:r>
          </w:p>
        </w:tc>
        <w:tc>
          <w:tcPr>
            <w:tcW w:w="995" w:type="dxa"/>
          </w:tcPr>
          <w:p>
            <w:pPr>
              <w:pStyle w:val="TableParagraph"/>
              <w:spacing w:line="140" w:lineRule="exact" w:before="17"/>
              <w:ind w:right="101"/>
              <w:jc w:val="right"/>
              <w:rPr>
                <w:sz w:val="14"/>
              </w:rPr>
            </w:pPr>
            <w:r>
              <w:rPr>
                <w:spacing w:val="-2"/>
                <w:sz w:val="14"/>
              </w:rPr>
              <w:t>14.00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0" w:lineRule="exact" w:before="17"/>
              <w:ind w:left="107"/>
              <w:rPr>
                <w:sz w:val="14"/>
              </w:rPr>
            </w:pPr>
            <w:r>
              <w:rPr>
                <w:spacing w:val="-2"/>
                <w:sz w:val="14"/>
              </w:rPr>
              <w:t>Seniors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18.46</w:t>
            </w:r>
          </w:p>
        </w:tc>
        <w:tc>
          <w:tcPr>
            <w:tcW w:w="995" w:type="dxa"/>
          </w:tcPr>
          <w:p>
            <w:pPr>
              <w:pStyle w:val="TableParagraph"/>
              <w:spacing w:line="140" w:lineRule="exact" w:before="17"/>
              <w:ind w:right="101"/>
              <w:jc w:val="right"/>
              <w:rPr>
                <w:sz w:val="14"/>
              </w:rPr>
            </w:pPr>
            <w:r>
              <w:rPr>
                <w:spacing w:val="-2"/>
                <w:sz w:val="14"/>
              </w:rPr>
              <w:t>19.40</w:t>
            </w:r>
          </w:p>
        </w:tc>
        <w:tc>
          <w:tcPr>
            <w:tcW w:w="861" w:type="dxa"/>
          </w:tcPr>
          <w:p>
            <w:pPr>
              <w:pStyle w:val="TableParagraph"/>
              <w:spacing w:line="140" w:lineRule="exact" w:before="17"/>
              <w:ind w:left="327"/>
              <w:rPr>
                <w:sz w:val="14"/>
              </w:rPr>
            </w:pPr>
            <w:r>
              <w:rPr>
                <w:spacing w:val="-5"/>
                <w:sz w:val="14"/>
              </w:rPr>
              <w:t>4.8</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z w:val="14"/>
              </w:rPr>
              <w:t>Family</w:t>
            </w:r>
            <w:r>
              <w:rPr>
                <w:b/>
                <w:spacing w:val="-4"/>
                <w:sz w:val="14"/>
              </w:rPr>
              <w:t> </w:t>
            </w:r>
            <w:r>
              <w:rPr>
                <w:b/>
                <w:sz w:val="14"/>
              </w:rPr>
              <w:t>Lifestyle</w:t>
            </w:r>
            <w:r>
              <w:rPr>
                <w:b/>
                <w:spacing w:val="-3"/>
                <w:sz w:val="14"/>
              </w:rPr>
              <w:t> </w:t>
            </w:r>
            <w:r>
              <w:rPr>
                <w:b/>
                <w:sz w:val="14"/>
              </w:rPr>
              <w:t>Memberships</w:t>
            </w:r>
            <w:r>
              <w:rPr>
                <w:b/>
                <w:spacing w:val="-5"/>
                <w:sz w:val="14"/>
              </w:rPr>
              <w:t> </w:t>
            </w:r>
            <w:r>
              <w:rPr>
                <w:b/>
                <w:sz w:val="14"/>
              </w:rPr>
              <w:t>-</w:t>
            </w:r>
            <w:r>
              <w:rPr>
                <w:b/>
                <w:spacing w:val="-6"/>
                <w:sz w:val="14"/>
              </w:rPr>
              <w:t> </w:t>
            </w:r>
            <w:r>
              <w:rPr>
                <w:b/>
                <w:spacing w:val="-5"/>
                <w:sz w:val="14"/>
              </w:rPr>
              <w:t>Dry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w w:val="95"/>
                <w:sz w:val="14"/>
              </w:rPr>
              <w:t>Lifestyle-Family</w:t>
            </w:r>
            <w:r>
              <w:rPr>
                <w:spacing w:val="39"/>
                <w:sz w:val="14"/>
              </w:rPr>
              <w:t> </w:t>
            </w:r>
            <w:r>
              <w:rPr>
                <w:spacing w:val="-2"/>
                <w:w w:val="95"/>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127.50</w:t>
            </w:r>
          </w:p>
        </w:tc>
        <w:tc>
          <w:tcPr>
            <w:tcW w:w="995" w:type="dxa"/>
          </w:tcPr>
          <w:p>
            <w:pPr>
              <w:pStyle w:val="TableParagraph"/>
              <w:spacing w:line="140" w:lineRule="exact" w:before="17"/>
              <w:ind w:right="102"/>
              <w:jc w:val="right"/>
              <w:rPr>
                <w:sz w:val="14"/>
              </w:rPr>
            </w:pPr>
            <w:r>
              <w:rPr>
                <w:spacing w:val="-2"/>
                <w:sz w:val="14"/>
              </w:rPr>
              <w:t>139.23</w:t>
            </w:r>
          </w:p>
        </w:tc>
        <w:tc>
          <w:tcPr>
            <w:tcW w:w="861" w:type="dxa"/>
          </w:tcPr>
          <w:p>
            <w:pPr>
              <w:pStyle w:val="TableParagraph"/>
              <w:spacing w:line="140" w:lineRule="exact" w:before="17"/>
              <w:ind w:left="327"/>
              <w:rPr>
                <w:sz w:val="14"/>
              </w:rPr>
            </w:pPr>
            <w:r>
              <w:rPr>
                <w:spacing w:val="-5"/>
                <w:sz w:val="14"/>
              </w:rPr>
              <w:t>8.4</w:t>
            </w:r>
          </w:p>
        </w:tc>
      </w:tr>
    </w:tbl>
    <w:p>
      <w:pPr>
        <w:spacing w:after="0" w:line="140" w:lineRule="exact"/>
        <w:rPr>
          <w:sz w:val="14"/>
        </w:rPr>
        <w:sectPr>
          <w:type w:val="continuous"/>
          <w:pgSz w:w="11910" w:h="16840"/>
          <w:pgMar w:header="0" w:footer="687" w:top="920" w:bottom="1046"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b/>
                <w:sz w:val="14"/>
              </w:rPr>
            </w:pPr>
            <w:r>
              <w:rPr>
                <w:b/>
                <w:sz w:val="14"/>
              </w:rPr>
              <w:t>Aquanation</w:t>
            </w:r>
            <w:r>
              <w:rPr>
                <w:b/>
                <w:spacing w:val="-6"/>
                <w:sz w:val="14"/>
              </w:rPr>
              <w:t> </w:t>
            </w:r>
            <w:r>
              <w:rPr>
                <w:b/>
                <w:sz w:val="14"/>
              </w:rPr>
              <w:t>-</w:t>
            </w:r>
            <w:r>
              <w:rPr>
                <w:b/>
                <w:spacing w:val="-3"/>
                <w:sz w:val="14"/>
              </w:rPr>
              <w:t> </w:t>
            </w:r>
            <w:r>
              <w:rPr>
                <w:b/>
                <w:sz w:val="14"/>
              </w:rPr>
              <w:t>Individual</w:t>
            </w:r>
            <w:r>
              <w:rPr>
                <w:b/>
                <w:spacing w:val="-3"/>
                <w:sz w:val="14"/>
              </w:rPr>
              <w:t> </w:t>
            </w:r>
            <w:r>
              <w:rPr>
                <w:b/>
                <w:sz w:val="14"/>
              </w:rPr>
              <w:t>Lifestyle</w:t>
            </w:r>
            <w:r>
              <w:rPr>
                <w:b/>
                <w:spacing w:val="-6"/>
                <w:sz w:val="14"/>
              </w:rPr>
              <w:t> </w:t>
            </w:r>
            <w:r>
              <w:rPr>
                <w:b/>
                <w:sz w:val="14"/>
              </w:rPr>
              <w:t>-</w:t>
            </w:r>
            <w:r>
              <w:rPr>
                <w:b/>
                <w:spacing w:val="-3"/>
                <w:sz w:val="14"/>
              </w:rPr>
              <w:t> </w:t>
            </w:r>
            <w:r>
              <w:rPr>
                <w:b/>
                <w:spacing w:val="-5"/>
                <w:sz w:val="14"/>
              </w:rPr>
              <w:t>Dry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75.00</w:t>
            </w:r>
          </w:p>
        </w:tc>
        <w:tc>
          <w:tcPr>
            <w:tcW w:w="995" w:type="dxa"/>
          </w:tcPr>
          <w:p>
            <w:pPr>
              <w:pStyle w:val="TableParagraph"/>
              <w:spacing w:line="140" w:lineRule="exact" w:before="17"/>
              <w:ind w:right="101"/>
              <w:jc w:val="right"/>
              <w:rPr>
                <w:sz w:val="14"/>
              </w:rPr>
            </w:pPr>
            <w:r>
              <w:rPr>
                <w:spacing w:val="-2"/>
                <w:sz w:val="14"/>
              </w:rPr>
              <w:t>78.00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sz w:val="14"/>
              </w:rPr>
            </w:pPr>
            <w:r>
              <w:rPr>
                <w:w w:val="95"/>
                <w:sz w:val="14"/>
              </w:rPr>
              <w:t>Lifestyle-Individual</w:t>
            </w:r>
            <w:r>
              <w:rPr>
                <w:spacing w:val="44"/>
                <w:sz w:val="14"/>
              </w:rPr>
              <w:t> </w:t>
            </w:r>
            <w:r>
              <w:rPr>
                <w:spacing w:val="-2"/>
                <w:w w:val="95"/>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60.40</w:t>
            </w:r>
          </w:p>
        </w:tc>
        <w:tc>
          <w:tcPr>
            <w:tcW w:w="995" w:type="dxa"/>
          </w:tcPr>
          <w:p>
            <w:pPr>
              <w:pStyle w:val="TableParagraph"/>
              <w:spacing w:line="140" w:lineRule="exact" w:before="17"/>
              <w:ind w:right="101"/>
              <w:jc w:val="right"/>
              <w:rPr>
                <w:sz w:val="14"/>
              </w:rPr>
            </w:pPr>
            <w:r>
              <w:rPr>
                <w:spacing w:val="-2"/>
                <w:sz w:val="14"/>
              </w:rPr>
              <w:t>66.30</w:t>
            </w:r>
          </w:p>
        </w:tc>
        <w:tc>
          <w:tcPr>
            <w:tcW w:w="861" w:type="dxa"/>
          </w:tcPr>
          <w:p>
            <w:pPr>
              <w:pStyle w:val="TableParagraph"/>
              <w:spacing w:line="140" w:lineRule="exact" w:before="17"/>
              <w:ind w:left="327"/>
              <w:rPr>
                <w:sz w:val="14"/>
              </w:rPr>
            </w:pPr>
            <w:r>
              <w:rPr>
                <w:spacing w:val="-5"/>
                <w:sz w:val="14"/>
              </w:rPr>
              <w:t>8.9</w:t>
            </w:r>
          </w:p>
        </w:tc>
      </w:tr>
      <w:tr>
        <w:trPr>
          <w:trHeight w:val="177" w:hRule="atLeast"/>
        </w:trPr>
        <w:tc>
          <w:tcPr>
            <w:tcW w:w="5794" w:type="dxa"/>
          </w:tcPr>
          <w:p>
            <w:pPr>
              <w:pStyle w:val="TableParagraph"/>
              <w:spacing w:line="142" w:lineRule="exact" w:before="15"/>
              <w:ind w:left="107"/>
              <w:rPr>
                <w:b/>
                <w:sz w:val="14"/>
              </w:rPr>
            </w:pPr>
            <w:r>
              <w:rPr>
                <w:b/>
                <w:sz w:val="14"/>
              </w:rPr>
              <w:t>Aquanation</w:t>
            </w:r>
            <w:r>
              <w:rPr>
                <w:b/>
                <w:spacing w:val="-7"/>
                <w:sz w:val="14"/>
              </w:rPr>
              <w:t> </w:t>
            </w:r>
            <w:r>
              <w:rPr>
                <w:b/>
                <w:sz w:val="14"/>
              </w:rPr>
              <w:t>-</w:t>
            </w:r>
            <w:r>
              <w:rPr>
                <w:b/>
                <w:spacing w:val="-3"/>
                <w:sz w:val="14"/>
              </w:rPr>
              <w:t> </w:t>
            </w:r>
            <w:r>
              <w:rPr>
                <w:b/>
                <w:sz w:val="14"/>
              </w:rPr>
              <w:t>Swim</w:t>
            </w:r>
            <w:r>
              <w:rPr>
                <w:b/>
                <w:spacing w:val="-2"/>
                <w:sz w:val="14"/>
              </w:rPr>
              <w:t> </w:t>
            </w:r>
            <w:r>
              <w:rPr>
                <w:b/>
                <w:sz w:val="14"/>
              </w:rPr>
              <w:t>Lifestyle</w:t>
            </w:r>
            <w:r>
              <w:rPr>
                <w:b/>
                <w:spacing w:val="-3"/>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Swim</w:t>
            </w:r>
            <w:r>
              <w:rPr>
                <w:spacing w:val="-2"/>
                <w:sz w:val="14"/>
              </w:rPr>
              <w:t> </w:t>
            </w:r>
            <w:r>
              <w:rPr>
                <w:sz w:val="14"/>
              </w:rPr>
              <w:t>Plus</w:t>
            </w:r>
            <w:r>
              <w:rPr>
                <w:spacing w:val="-4"/>
                <w:sz w:val="14"/>
              </w:rPr>
              <w:t> </w:t>
            </w:r>
            <w:r>
              <w:rPr>
                <w:spacing w:val="-2"/>
                <w:sz w:val="14"/>
              </w:rPr>
              <w:t>Concession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32.90</w:t>
            </w:r>
          </w:p>
        </w:tc>
        <w:tc>
          <w:tcPr>
            <w:tcW w:w="995" w:type="dxa"/>
          </w:tcPr>
          <w:p>
            <w:pPr>
              <w:pStyle w:val="TableParagraph"/>
              <w:spacing w:line="140" w:lineRule="exact" w:before="15"/>
              <w:ind w:right="101"/>
              <w:jc w:val="right"/>
              <w:rPr>
                <w:sz w:val="14"/>
              </w:rPr>
            </w:pPr>
            <w:r>
              <w:rPr>
                <w:spacing w:val="-2"/>
                <w:sz w:val="14"/>
              </w:rPr>
              <w:t>34.00</w:t>
            </w:r>
          </w:p>
        </w:tc>
        <w:tc>
          <w:tcPr>
            <w:tcW w:w="861" w:type="dxa"/>
          </w:tcPr>
          <w:p>
            <w:pPr>
              <w:pStyle w:val="TableParagraph"/>
              <w:spacing w:line="140" w:lineRule="exact" w:before="15"/>
              <w:ind w:left="327"/>
              <w:rPr>
                <w:sz w:val="14"/>
              </w:rPr>
            </w:pPr>
            <w:r>
              <w:rPr>
                <w:spacing w:val="-5"/>
                <w:sz w:val="14"/>
              </w:rPr>
              <w:t>3.2</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7"/>
                <w:sz w:val="14"/>
              </w:rPr>
              <w:t> </w:t>
            </w:r>
            <w:r>
              <w:rPr>
                <w:b/>
                <w:sz w:val="14"/>
              </w:rPr>
              <w:t>-</w:t>
            </w:r>
            <w:r>
              <w:rPr>
                <w:b/>
                <w:spacing w:val="-4"/>
                <w:sz w:val="14"/>
              </w:rPr>
              <w:t> </w:t>
            </w:r>
            <w:r>
              <w:rPr>
                <w:b/>
                <w:sz w:val="14"/>
              </w:rPr>
              <w:t>Membership</w:t>
            </w:r>
            <w:r>
              <w:rPr>
                <w:b/>
                <w:spacing w:val="-4"/>
                <w:sz w:val="14"/>
              </w:rPr>
              <w:t> </w:t>
            </w:r>
            <w:r>
              <w:rPr>
                <w:b/>
                <w:sz w:val="14"/>
              </w:rPr>
              <w:t>Joining</w:t>
            </w:r>
            <w:r>
              <w:rPr>
                <w:b/>
                <w:spacing w:val="-4"/>
                <w:sz w:val="14"/>
              </w:rPr>
              <w:t> </w:t>
            </w:r>
            <w:r>
              <w:rPr>
                <w:b/>
                <w:spacing w:val="-5"/>
                <w:sz w:val="14"/>
              </w:rPr>
              <w:t>Fee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pacing w:val="-2"/>
                <w:sz w:val="14"/>
              </w:rPr>
              <w:t>Rehab</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Rehab</w:t>
            </w:r>
            <w:r>
              <w:rPr>
                <w:spacing w:val="-5"/>
                <w:sz w:val="14"/>
              </w:rPr>
              <w:t> </w:t>
            </w:r>
            <w:r>
              <w:rPr>
                <w:sz w:val="14"/>
              </w:rPr>
              <w:t>Swim</w:t>
            </w:r>
            <w:r>
              <w:rPr>
                <w:spacing w:val="-1"/>
                <w:sz w:val="14"/>
              </w:rPr>
              <w:t> </w:t>
            </w:r>
            <w:r>
              <w:rPr>
                <w:sz w:val="14"/>
              </w:rPr>
              <w:t>-3</w:t>
            </w:r>
            <w:r>
              <w:rPr>
                <w:spacing w:val="-4"/>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300.00</w:t>
            </w:r>
          </w:p>
        </w:tc>
        <w:tc>
          <w:tcPr>
            <w:tcW w:w="995" w:type="dxa"/>
          </w:tcPr>
          <w:p>
            <w:pPr>
              <w:pStyle w:val="TableParagraph"/>
              <w:spacing w:line="140" w:lineRule="exact" w:before="17"/>
              <w:ind w:right="102"/>
              <w:jc w:val="right"/>
              <w:rPr>
                <w:sz w:val="14"/>
              </w:rPr>
            </w:pPr>
            <w:r>
              <w:rPr>
                <w:spacing w:val="-2"/>
                <w:sz w:val="14"/>
              </w:rPr>
              <w:t>300.00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Rehab</w:t>
            </w:r>
            <w:r>
              <w:rPr>
                <w:spacing w:val="-4"/>
                <w:sz w:val="14"/>
              </w:rPr>
              <w:t> </w:t>
            </w:r>
            <w:r>
              <w:rPr>
                <w:sz w:val="14"/>
              </w:rPr>
              <w:t>Swim</w:t>
            </w:r>
            <w:r>
              <w:rPr>
                <w:spacing w:val="-1"/>
                <w:sz w:val="14"/>
              </w:rPr>
              <w:t> </w:t>
            </w:r>
            <w:r>
              <w:rPr>
                <w:sz w:val="14"/>
              </w:rPr>
              <w:t>-</w:t>
            </w:r>
            <w:r>
              <w:rPr>
                <w:spacing w:val="-1"/>
                <w:sz w:val="14"/>
              </w:rPr>
              <w:t> </w:t>
            </w:r>
            <w:r>
              <w:rPr>
                <w:sz w:val="14"/>
              </w:rPr>
              <w:t>6</w:t>
            </w:r>
            <w:r>
              <w:rPr>
                <w:spacing w:val="-4"/>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600.00</w:t>
            </w:r>
          </w:p>
        </w:tc>
        <w:tc>
          <w:tcPr>
            <w:tcW w:w="995" w:type="dxa"/>
          </w:tcPr>
          <w:p>
            <w:pPr>
              <w:pStyle w:val="TableParagraph"/>
              <w:spacing w:line="140" w:lineRule="exact" w:before="17"/>
              <w:ind w:right="102"/>
              <w:jc w:val="right"/>
              <w:rPr>
                <w:sz w:val="14"/>
              </w:rPr>
            </w:pPr>
            <w:r>
              <w:rPr>
                <w:spacing w:val="-2"/>
                <w:sz w:val="14"/>
              </w:rPr>
              <w:t>600.00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Rehab</w:t>
            </w:r>
            <w:r>
              <w:rPr>
                <w:spacing w:val="-5"/>
                <w:sz w:val="14"/>
              </w:rPr>
              <w:t> </w:t>
            </w:r>
            <w:r>
              <w:rPr>
                <w:sz w:val="14"/>
              </w:rPr>
              <w:t>Swim</w:t>
            </w:r>
            <w:r>
              <w:rPr>
                <w:spacing w:val="-1"/>
                <w:sz w:val="14"/>
              </w:rPr>
              <w:t> </w:t>
            </w:r>
            <w:r>
              <w:rPr>
                <w:sz w:val="14"/>
              </w:rPr>
              <w:t>-</w:t>
            </w:r>
            <w:r>
              <w:rPr>
                <w:spacing w:val="-2"/>
                <w:sz w:val="14"/>
              </w:rPr>
              <w:t> </w:t>
            </w:r>
            <w:r>
              <w:rPr>
                <w:sz w:val="14"/>
              </w:rPr>
              <w:t>12</w:t>
            </w:r>
            <w:r>
              <w:rPr>
                <w:spacing w:val="-1"/>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1,200.00</w:t>
            </w:r>
          </w:p>
        </w:tc>
        <w:tc>
          <w:tcPr>
            <w:tcW w:w="995" w:type="dxa"/>
          </w:tcPr>
          <w:p>
            <w:pPr>
              <w:pStyle w:val="TableParagraph"/>
              <w:spacing w:line="140" w:lineRule="exact" w:before="17"/>
              <w:ind w:right="101"/>
              <w:jc w:val="right"/>
              <w:rPr>
                <w:sz w:val="14"/>
              </w:rPr>
            </w:pPr>
            <w:r>
              <w:rPr>
                <w:spacing w:val="-2"/>
                <w:sz w:val="14"/>
              </w:rPr>
              <w:t>1,200.00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Rehab</w:t>
            </w:r>
            <w:r>
              <w:rPr>
                <w:spacing w:val="-4"/>
                <w:sz w:val="14"/>
              </w:rPr>
              <w:t> </w:t>
            </w:r>
            <w:r>
              <w:rPr>
                <w:sz w:val="14"/>
              </w:rPr>
              <w:t>Gym</w:t>
            </w:r>
            <w:r>
              <w:rPr>
                <w:spacing w:val="-1"/>
                <w:sz w:val="14"/>
              </w:rPr>
              <w:t> </w:t>
            </w:r>
            <w:r>
              <w:rPr>
                <w:sz w:val="14"/>
              </w:rPr>
              <w:t>&amp;</w:t>
            </w:r>
            <w:r>
              <w:rPr>
                <w:spacing w:val="-3"/>
                <w:sz w:val="14"/>
              </w:rPr>
              <w:t> </w:t>
            </w:r>
            <w:r>
              <w:rPr>
                <w:sz w:val="14"/>
              </w:rPr>
              <w:t>Swim</w:t>
            </w:r>
            <w:r>
              <w:rPr>
                <w:spacing w:val="-1"/>
                <w:sz w:val="14"/>
              </w:rPr>
              <w:t> </w:t>
            </w:r>
            <w:r>
              <w:rPr>
                <w:sz w:val="14"/>
              </w:rPr>
              <w:t>-</w:t>
            </w:r>
            <w:r>
              <w:rPr>
                <w:spacing w:val="-3"/>
                <w:sz w:val="14"/>
              </w:rPr>
              <w:t> </w:t>
            </w:r>
            <w:r>
              <w:rPr>
                <w:sz w:val="14"/>
              </w:rPr>
              <w:t>3</w:t>
            </w:r>
            <w:r>
              <w:rPr>
                <w:spacing w:val="-2"/>
                <w:sz w:val="14"/>
              </w:rPr>
              <w:t> 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402.52</w:t>
            </w:r>
          </w:p>
        </w:tc>
        <w:tc>
          <w:tcPr>
            <w:tcW w:w="995" w:type="dxa"/>
          </w:tcPr>
          <w:p>
            <w:pPr>
              <w:pStyle w:val="TableParagraph"/>
              <w:spacing w:line="140" w:lineRule="exact" w:before="17"/>
              <w:ind w:right="102"/>
              <w:jc w:val="right"/>
              <w:rPr>
                <w:sz w:val="14"/>
              </w:rPr>
            </w:pPr>
            <w:r>
              <w:rPr>
                <w:spacing w:val="-2"/>
                <w:sz w:val="14"/>
              </w:rPr>
              <w:t>402.52</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Rehab</w:t>
            </w:r>
            <w:r>
              <w:rPr>
                <w:spacing w:val="-4"/>
                <w:sz w:val="14"/>
              </w:rPr>
              <w:t> </w:t>
            </w:r>
            <w:r>
              <w:rPr>
                <w:sz w:val="14"/>
              </w:rPr>
              <w:t>Gym</w:t>
            </w:r>
            <w:r>
              <w:rPr>
                <w:spacing w:val="-1"/>
                <w:sz w:val="14"/>
              </w:rPr>
              <w:t> </w:t>
            </w:r>
            <w:r>
              <w:rPr>
                <w:sz w:val="14"/>
              </w:rPr>
              <w:t>&amp;</w:t>
            </w:r>
            <w:r>
              <w:rPr>
                <w:spacing w:val="-3"/>
                <w:sz w:val="14"/>
              </w:rPr>
              <w:t> </w:t>
            </w:r>
            <w:r>
              <w:rPr>
                <w:sz w:val="14"/>
              </w:rPr>
              <w:t>Swim</w:t>
            </w:r>
            <w:r>
              <w:rPr>
                <w:spacing w:val="-1"/>
                <w:sz w:val="14"/>
              </w:rPr>
              <w:t> </w:t>
            </w:r>
            <w:r>
              <w:rPr>
                <w:sz w:val="14"/>
              </w:rPr>
              <w:t>-</w:t>
            </w:r>
            <w:r>
              <w:rPr>
                <w:spacing w:val="-3"/>
                <w:sz w:val="14"/>
              </w:rPr>
              <w:t> </w:t>
            </w:r>
            <w:r>
              <w:rPr>
                <w:sz w:val="14"/>
              </w:rPr>
              <w:t>6</w:t>
            </w:r>
            <w:r>
              <w:rPr>
                <w:spacing w:val="-1"/>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805.04</w:t>
            </w:r>
          </w:p>
        </w:tc>
        <w:tc>
          <w:tcPr>
            <w:tcW w:w="995" w:type="dxa"/>
          </w:tcPr>
          <w:p>
            <w:pPr>
              <w:pStyle w:val="TableParagraph"/>
              <w:spacing w:line="140" w:lineRule="exact" w:before="17"/>
              <w:ind w:right="102"/>
              <w:jc w:val="right"/>
              <w:rPr>
                <w:sz w:val="14"/>
              </w:rPr>
            </w:pPr>
            <w:r>
              <w:rPr>
                <w:spacing w:val="-2"/>
                <w:sz w:val="14"/>
              </w:rPr>
              <w:t>805.04</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Rehab</w:t>
            </w:r>
            <w:r>
              <w:rPr>
                <w:spacing w:val="-4"/>
                <w:sz w:val="14"/>
              </w:rPr>
              <w:t> </w:t>
            </w:r>
            <w:r>
              <w:rPr>
                <w:sz w:val="14"/>
              </w:rPr>
              <w:t>Gym</w:t>
            </w:r>
            <w:r>
              <w:rPr>
                <w:spacing w:val="-1"/>
                <w:sz w:val="14"/>
              </w:rPr>
              <w:t> </w:t>
            </w:r>
            <w:r>
              <w:rPr>
                <w:sz w:val="14"/>
              </w:rPr>
              <w:t>&amp;</w:t>
            </w:r>
            <w:r>
              <w:rPr>
                <w:spacing w:val="-3"/>
                <w:sz w:val="14"/>
              </w:rPr>
              <w:t> </w:t>
            </w:r>
            <w:r>
              <w:rPr>
                <w:sz w:val="14"/>
              </w:rPr>
              <w:t>Swim</w:t>
            </w:r>
            <w:r>
              <w:rPr>
                <w:spacing w:val="-1"/>
                <w:sz w:val="14"/>
              </w:rPr>
              <w:t> </w:t>
            </w:r>
            <w:r>
              <w:rPr>
                <w:sz w:val="14"/>
              </w:rPr>
              <w:t>-</w:t>
            </w:r>
            <w:r>
              <w:rPr>
                <w:spacing w:val="-3"/>
                <w:sz w:val="14"/>
              </w:rPr>
              <w:t> </w:t>
            </w:r>
            <w:r>
              <w:rPr>
                <w:sz w:val="14"/>
              </w:rPr>
              <w:t>12</w:t>
            </w:r>
            <w:r>
              <w:rPr>
                <w:spacing w:val="-4"/>
                <w:sz w:val="14"/>
              </w:rPr>
              <w:t> </w:t>
            </w:r>
            <w:r>
              <w:rPr>
                <w:spacing w:val="-2"/>
                <w:sz w:val="14"/>
              </w:rPr>
              <w:t>months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1,610.07</w:t>
            </w:r>
          </w:p>
        </w:tc>
        <w:tc>
          <w:tcPr>
            <w:tcW w:w="995" w:type="dxa"/>
          </w:tcPr>
          <w:p>
            <w:pPr>
              <w:pStyle w:val="TableParagraph"/>
              <w:spacing w:line="140" w:lineRule="exact" w:before="17"/>
              <w:ind w:right="101"/>
              <w:jc w:val="right"/>
              <w:rPr>
                <w:sz w:val="14"/>
              </w:rPr>
            </w:pPr>
            <w:r>
              <w:rPr>
                <w:spacing w:val="-2"/>
                <w:sz w:val="14"/>
              </w:rPr>
              <w:t>1,610.07</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z w:val="14"/>
              </w:rPr>
              <w:t>Fitness</w:t>
            </w:r>
            <w:r>
              <w:rPr>
                <w:b/>
                <w:spacing w:val="-6"/>
                <w:sz w:val="14"/>
              </w:rPr>
              <w:t> </w:t>
            </w:r>
            <w:r>
              <w:rPr>
                <w:b/>
                <w:sz w:val="14"/>
              </w:rPr>
              <w:t>Plus</w:t>
            </w:r>
            <w:r>
              <w:rPr>
                <w:b/>
                <w:spacing w:val="-3"/>
                <w:sz w:val="14"/>
              </w:rPr>
              <w:t> </w:t>
            </w:r>
            <w:r>
              <w:rPr>
                <w:b/>
                <w:spacing w:val="-2"/>
                <w:sz w:val="14"/>
              </w:rPr>
              <w:t>Individual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pacing w:val="-5"/>
                <w:sz w:val="14"/>
              </w:rPr>
              <w:t>Fee</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49.90</w:t>
            </w:r>
          </w:p>
        </w:tc>
        <w:tc>
          <w:tcPr>
            <w:tcW w:w="995" w:type="dxa"/>
          </w:tcPr>
          <w:p>
            <w:pPr>
              <w:pStyle w:val="TableParagraph"/>
              <w:spacing w:line="142" w:lineRule="exact" w:before="15"/>
              <w:ind w:right="101"/>
              <w:jc w:val="right"/>
              <w:rPr>
                <w:sz w:val="14"/>
              </w:rPr>
            </w:pPr>
            <w:r>
              <w:rPr>
                <w:spacing w:val="-2"/>
                <w:sz w:val="14"/>
              </w:rPr>
              <w:t>52.00</w:t>
            </w:r>
          </w:p>
        </w:tc>
        <w:tc>
          <w:tcPr>
            <w:tcW w:w="861" w:type="dxa"/>
          </w:tcPr>
          <w:p>
            <w:pPr>
              <w:pStyle w:val="TableParagraph"/>
              <w:spacing w:line="142" w:lineRule="exact" w:before="15"/>
              <w:ind w:left="326"/>
              <w:rPr>
                <w:sz w:val="14"/>
              </w:rPr>
            </w:pPr>
            <w:r>
              <w:rPr>
                <w:spacing w:val="-5"/>
                <w:sz w:val="14"/>
              </w:rPr>
              <w:t>4.0</w:t>
            </w:r>
          </w:p>
        </w:tc>
      </w:tr>
      <w:tr>
        <w:trPr>
          <w:trHeight w:val="174" w:hRule="atLeast"/>
        </w:trPr>
        <w:tc>
          <w:tcPr>
            <w:tcW w:w="5794" w:type="dxa"/>
          </w:tcPr>
          <w:p>
            <w:pPr>
              <w:pStyle w:val="TableParagraph"/>
              <w:spacing w:line="140" w:lineRule="exact" w:before="15"/>
              <w:ind w:left="107"/>
              <w:rPr>
                <w:b/>
                <w:sz w:val="14"/>
              </w:rPr>
            </w:pPr>
            <w:r>
              <w:rPr>
                <w:b/>
                <w:sz w:val="14"/>
              </w:rPr>
              <w:t>Aquanation</w:t>
            </w:r>
            <w:r>
              <w:rPr>
                <w:b/>
                <w:spacing w:val="-6"/>
                <w:sz w:val="14"/>
              </w:rPr>
              <w:t> </w:t>
            </w:r>
            <w:r>
              <w:rPr>
                <w:b/>
                <w:sz w:val="14"/>
              </w:rPr>
              <w:t>-</w:t>
            </w:r>
            <w:r>
              <w:rPr>
                <w:b/>
                <w:spacing w:val="-3"/>
                <w:sz w:val="14"/>
              </w:rPr>
              <w:t> </w:t>
            </w:r>
            <w:r>
              <w:rPr>
                <w:b/>
                <w:sz w:val="14"/>
              </w:rPr>
              <w:t>Fitness</w:t>
            </w:r>
            <w:r>
              <w:rPr>
                <w:b/>
                <w:spacing w:val="-7"/>
                <w:sz w:val="14"/>
              </w:rPr>
              <w:t> </w:t>
            </w:r>
            <w:r>
              <w:rPr>
                <w:b/>
                <w:sz w:val="14"/>
              </w:rPr>
              <w:t>Plus</w:t>
            </w:r>
            <w:r>
              <w:rPr>
                <w:b/>
                <w:spacing w:val="-3"/>
                <w:sz w:val="14"/>
              </w:rPr>
              <w:t> </w:t>
            </w:r>
            <w:r>
              <w:rPr>
                <w:b/>
                <w:sz w:val="14"/>
              </w:rPr>
              <w:t>Family</w:t>
            </w:r>
            <w:r>
              <w:rPr>
                <w:b/>
                <w:spacing w:val="-3"/>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99.90</w:t>
            </w:r>
          </w:p>
        </w:tc>
        <w:tc>
          <w:tcPr>
            <w:tcW w:w="995" w:type="dxa"/>
          </w:tcPr>
          <w:p>
            <w:pPr>
              <w:pStyle w:val="TableParagraph"/>
              <w:spacing w:line="140" w:lineRule="exact" w:before="17"/>
              <w:ind w:right="102"/>
              <w:jc w:val="right"/>
              <w:rPr>
                <w:sz w:val="14"/>
              </w:rPr>
            </w:pPr>
            <w:r>
              <w:rPr>
                <w:spacing w:val="-2"/>
                <w:sz w:val="14"/>
              </w:rPr>
              <w:t>109.20</w:t>
            </w:r>
          </w:p>
        </w:tc>
        <w:tc>
          <w:tcPr>
            <w:tcW w:w="861" w:type="dxa"/>
          </w:tcPr>
          <w:p>
            <w:pPr>
              <w:pStyle w:val="TableParagraph"/>
              <w:spacing w:line="140" w:lineRule="exact" w:before="17"/>
              <w:ind w:left="327"/>
              <w:rPr>
                <w:sz w:val="14"/>
              </w:rPr>
            </w:pPr>
            <w:r>
              <w:rPr>
                <w:spacing w:val="-5"/>
                <w:sz w:val="14"/>
              </w:rPr>
              <w:t>8.5</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5"/>
                <w:sz w:val="14"/>
              </w:rPr>
              <w:t> </w:t>
            </w:r>
            <w:r>
              <w:rPr>
                <w:b/>
                <w:sz w:val="14"/>
              </w:rPr>
              <w:t>-</w:t>
            </w:r>
            <w:r>
              <w:rPr>
                <w:b/>
                <w:spacing w:val="-3"/>
                <w:sz w:val="14"/>
              </w:rPr>
              <w:t> </w:t>
            </w:r>
            <w:r>
              <w:rPr>
                <w:b/>
                <w:sz w:val="14"/>
              </w:rPr>
              <w:t>Fitness</w:t>
            </w:r>
            <w:r>
              <w:rPr>
                <w:b/>
                <w:spacing w:val="-5"/>
                <w:sz w:val="14"/>
              </w:rPr>
              <w:t> </w:t>
            </w:r>
            <w:r>
              <w:rPr>
                <w:b/>
                <w:sz w:val="14"/>
              </w:rPr>
              <w:t>Plus</w:t>
            </w:r>
            <w:r>
              <w:rPr>
                <w:b/>
                <w:spacing w:val="-3"/>
                <w:sz w:val="14"/>
              </w:rPr>
              <w:t> </w:t>
            </w:r>
            <w:r>
              <w:rPr>
                <w:b/>
                <w:sz w:val="14"/>
              </w:rPr>
              <w:t>Off</w:t>
            </w:r>
            <w:r>
              <w:rPr>
                <w:b/>
                <w:spacing w:val="-5"/>
                <w:sz w:val="14"/>
              </w:rPr>
              <w:t> </w:t>
            </w:r>
            <w:r>
              <w:rPr>
                <w:b/>
                <w:sz w:val="14"/>
              </w:rPr>
              <w:t>Peak</w:t>
            </w:r>
            <w:r>
              <w:rPr>
                <w:b/>
                <w:spacing w:val="-2"/>
                <w:sz w:val="14"/>
              </w:rPr>
              <w:t> 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32.40</w:t>
            </w:r>
          </w:p>
        </w:tc>
        <w:tc>
          <w:tcPr>
            <w:tcW w:w="995" w:type="dxa"/>
          </w:tcPr>
          <w:p>
            <w:pPr>
              <w:pStyle w:val="TableParagraph"/>
              <w:spacing w:line="140" w:lineRule="exact" w:before="17"/>
              <w:ind w:right="101"/>
              <w:jc w:val="right"/>
              <w:rPr>
                <w:sz w:val="14"/>
              </w:rPr>
            </w:pPr>
            <w:r>
              <w:rPr>
                <w:spacing w:val="-2"/>
                <w:sz w:val="14"/>
              </w:rPr>
              <w:t>33.80</w:t>
            </w:r>
          </w:p>
        </w:tc>
        <w:tc>
          <w:tcPr>
            <w:tcW w:w="861" w:type="dxa"/>
          </w:tcPr>
          <w:p>
            <w:pPr>
              <w:pStyle w:val="TableParagraph"/>
              <w:spacing w:line="140" w:lineRule="exact" w:before="17"/>
              <w:ind w:left="327"/>
              <w:rPr>
                <w:sz w:val="14"/>
              </w:rPr>
            </w:pPr>
            <w:r>
              <w:rPr>
                <w:spacing w:val="-5"/>
                <w:sz w:val="14"/>
              </w:rPr>
              <w:t>4.1</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2"/>
                <w:sz w:val="14"/>
              </w:rPr>
              <w:t> </w:t>
            </w:r>
            <w:r>
              <w:rPr>
                <w:b/>
                <w:sz w:val="14"/>
              </w:rPr>
              <w:t>Fitness</w:t>
            </w:r>
            <w:r>
              <w:rPr>
                <w:b/>
                <w:spacing w:val="-6"/>
                <w:sz w:val="14"/>
              </w:rPr>
              <w:t> </w:t>
            </w:r>
            <w:r>
              <w:rPr>
                <w:b/>
                <w:sz w:val="14"/>
              </w:rPr>
              <w:t>Plus</w:t>
            </w:r>
            <w:r>
              <w:rPr>
                <w:b/>
                <w:spacing w:val="-3"/>
                <w:sz w:val="14"/>
              </w:rPr>
              <w:t> </w:t>
            </w:r>
            <w:r>
              <w:rPr>
                <w:b/>
                <w:sz w:val="14"/>
              </w:rPr>
              <w:t>Teen</w:t>
            </w:r>
            <w:r>
              <w:rPr>
                <w:b/>
                <w:spacing w:val="-5"/>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288"/>
              <w:rPr>
                <w:sz w:val="14"/>
              </w:rPr>
            </w:pPr>
            <w:r>
              <w:rPr>
                <w:spacing w:val="-4"/>
                <w:sz w:val="14"/>
              </w:rPr>
              <w:t>16.7</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4"/>
                <w:sz w:val="14"/>
              </w:rPr>
              <w:t> </w:t>
            </w:r>
            <w:r>
              <w:rPr>
                <w:b/>
                <w:sz w:val="14"/>
              </w:rPr>
              <w:t>Wellness</w:t>
            </w:r>
            <w:r>
              <w:rPr>
                <w:b/>
                <w:spacing w:val="-6"/>
                <w:sz w:val="14"/>
              </w:rPr>
              <w:t> </w:t>
            </w:r>
            <w:r>
              <w:rPr>
                <w:b/>
                <w:spacing w:val="-4"/>
                <w:sz w:val="14"/>
              </w:rPr>
              <w:t>Plus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Wellness</w:t>
            </w:r>
            <w:r>
              <w:rPr>
                <w:spacing w:val="-8"/>
                <w:sz w:val="14"/>
              </w:rPr>
              <w:t> </w:t>
            </w:r>
            <w:r>
              <w:rPr>
                <w:spacing w:val="-2"/>
                <w:sz w:val="14"/>
              </w:rPr>
              <w:t>Plus/Fee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79.00</w:t>
            </w:r>
          </w:p>
        </w:tc>
        <w:tc>
          <w:tcPr>
            <w:tcW w:w="995" w:type="dxa"/>
          </w:tcPr>
          <w:p>
            <w:pPr>
              <w:pStyle w:val="TableParagraph"/>
              <w:spacing w:line="140" w:lineRule="exact" w:before="17"/>
              <w:ind w:right="101"/>
              <w:jc w:val="right"/>
              <w:rPr>
                <w:sz w:val="14"/>
              </w:rPr>
            </w:pPr>
            <w:r>
              <w:rPr>
                <w:spacing w:val="-2"/>
                <w:sz w:val="14"/>
              </w:rPr>
              <w:t>82.00</w:t>
            </w:r>
          </w:p>
        </w:tc>
        <w:tc>
          <w:tcPr>
            <w:tcW w:w="861" w:type="dxa"/>
          </w:tcPr>
          <w:p>
            <w:pPr>
              <w:pStyle w:val="TableParagraph"/>
              <w:spacing w:line="140" w:lineRule="exact" w:before="17"/>
              <w:ind w:left="327"/>
              <w:rPr>
                <w:sz w:val="14"/>
              </w:rPr>
            </w:pPr>
            <w:r>
              <w:rPr>
                <w:spacing w:val="-5"/>
                <w:sz w:val="14"/>
              </w:rPr>
              <w:t>3.7</w:t>
            </w:r>
          </w:p>
        </w:tc>
      </w:tr>
      <w:tr>
        <w:trPr>
          <w:trHeight w:val="177" w:hRule="atLeast"/>
        </w:trPr>
        <w:tc>
          <w:tcPr>
            <w:tcW w:w="5794" w:type="dxa"/>
          </w:tcPr>
          <w:p>
            <w:pPr>
              <w:pStyle w:val="TableParagraph"/>
              <w:spacing w:line="140" w:lineRule="exact" w:before="17"/>
              <w:ind w:left="107"/>
              <w:rPr>
                <w:b/>
                <w:sz w:val="14"/>
              </w:rPr>
            </w:pPr>
            <w:r>
              <w:rPr>
                <w:b/>
                <w:sz w:val="14"/>
              </w:rPr>
              <w:t>Aquanation</w:t>
            </w:r>
            <w:r>
              <w:rPr>
                <w:b/>
                <w:spacing w:val="-6"/>
                <w:sz w:val="14"/>
              </w:rPr>
              <w:t> </w:t>
            </w:r>
            <w:r>
              <w:rPr>
                <w:b/>
                <w:sz w:val="14"/>
              </w:rPr>
              <w:t>-</w:t>
            </w:r>
            <w:r>
              <w:rPr>
                <w:b/>
                <w:spacing w:val="-3"/>
                <w:sz w:val="14"/>
              </w:rPr>
              <w:t> </w:t>
            </w:r>
            <w:r>
              <w:rPr>
                <w:b/>
                <w:sz w:val="14"/>
              </w:rPr>
              <w:t>Wellness</w:t>
            </w:r>
            <w:r>
              <w:rPr>
                <w:b/>
                <w:spacing w:val="-5"/>
                <w:sz w:val="14"/>
              </w:rPr>
              <w:t> </w:t>
            </w:r>
            <w:r>
              <w:rPr>
                <w:b/>
                <w:sz w:val="14"/>
              </w:rPr>
              <w:t>Plus</w:t>
            </w:r>
            <w:r>
              <w:rPr>
                <w:b/>
                <w:spacing w:val="-5"/>
                <w:sz w:val="14"/>
              </w:rPr>
              <w:t> </w:t>
            </w:r>
            <w:r>
              <w:rPr>
                <w:b/>
                <w:spacing w:val="-2"/>
                <w:sz w:val="14"/>
              </w:rPr>
              <w:t>Concession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Aquanation-Wellness</w:t>
            </w:r>
            <w:r>
              <w:rPr>
                <w:spacing w:val="-9"/>
                <w:sz w:val="14"/>
              </w:rPr>
              <w:t> </w:t>
            </w:r>
            <w:r>
              <w:rPr>
                <w:sz w:val="14"/>
              </w:rPr>
              <w:t>Plus</w:t>
            </w:r>
            <w:r>
              <w:rPr>
                <w:spacing w:val="-8"/>
                <w:sz w:val="14"/>
              </w:rPr>
              <w:t> </w:t>
            </w:r>
            <w:r>
              <w:rPr>
                <w:spacing w:val="-2"/>
                <w:sz w:val="14"/>
              </w:rPr>
              <w:t>Concession/Fee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67.20</w:t>
            </w:r>
          </w:p>
        </w:tc>
        <w:tc>
          <w:tcPr>
            <w:tcW w:w="995" w:type="dxa"/>
          </w:tcPr>
          <w:p>
            <w:pPr>
              <w:pStyle w:val="TableParagraph"/>
              <w:spacing w:line="140" w:lineRule="exact" w:before="17"/>
              <w:ind w:right="101"/>
              <w:jc w:val="right"/>
              <w:rPr>
                <w:sz w:val="14"/>
              </w:rPr>
            </w:pPr>
            <w:r>
              <w:rPr>
                <w:spacing w:val="-2"/>
                <w:sz w:val="14"/>
              </w:rPr>
              <w:t>69.70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2"/>
                <w:sz w:val="14"/>
              </w:rPr>
              <w:t> </w:t>
            </w:r>
            <w:r>
              <w:rPr>
                <w:b/>
                <w:sz w:val="14"/>
              </w:rPr>
              <w:t>Casual</w:t>
            </w:r>
            <w:r>
              <w:rPr>
                <w:b/>
                <w:spacing w:val="-4"/>
                <w:sz w:val="14"/>
              </w:rPr>
              <w:t> </w:t>
            </w:r>
            <w:r>
              <w:rPr>
                <w:b/>
                <w:sz w:val="14"/>
              </w:rPr>
              <w:t>Health</w:t>
            </w:r>
            <w:r>
              <w:rPr>
                <w:b/>
                <w:spacing w:val="-4"/>
                <w:sz w:val="14"/>
              </w:rPr>
              <w:t> Club</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Health</w:t>
            </w:r>
            <w:r>
              <w:rPr>
                <w:spacing w:val="-4"/>
                <w:sz w:val="14"/>
              </w:rPr>
              <w:t> </w:t>
            </w:r>
            <w:r>
              <w:rPr>
                <w:sz w:val="14"/>
              </w:rPr>
              <w:t>Club</w:t>
            </w:r>
            <w:r>
              <w:rPr>
                <w:spacing w:val="-5"/>
                <w:sz w:val="14"/>
              </w:rPr>
              <w:t> </w:t>
            </w:r>
            <w:r>
              <w:rPr>
                <w:spacing w:val="-2"/>
                <w:sz w:val="14"/>
              </w:rPr>
              <w:t>Casual</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25.00</w:t>
            </w:r>
          </w:p>
        </w:tc>
        <w:tc>
          <w:tcPr>
            <w:tcW w:w="995" w:type="dxa"/>
          </w:tcPr>
          <w:p>
            <w:pPr>
              <w:pStyle w:val="TableParagraph"/>
              <w:spacing w:line="142" w:lineRule="exact" w:before="15"/>
              <w:ind w:right="101"/>
              <w:jc w:val="right"/>
              <w:rPr>
                <w:sz w:val="14"/>
              </w:rPr>
            </w:pPr>
            <w:r>
              <w:rPr>
                <w:spacing w:val="-2"/>
                <w:sz w:val="14"/>
              </w:rPr>
              <w:t>26.00</w:t>
            </w:r>
          </w:p>
        </w:tc>
        <w:tc>
          <w:tcPr>
            <w:tcW w:w="861" w:type="dxa"/>
          </w:tcPr>
          <w:p>
            <w:pPr>
              <w:pStyle w:val="TableParagraph"/>
              <w:spacing w:line="142" w:lineRule="exact" w:before="15"/>
              <w:ind w:left="326"/>
              <w:rPr>
                <w:sz w:val="14"/>
              </w:rPr>
            </w:pPr>
            <w:r>
              <w:rPr>
                <w:spacing w:val="-5"/>
                <w:sz w:val="14"/>
              </w:rPr>
              <w:t>3.8</w:t>
            </w:r>
          </w:p>
        </w:tc>
      </w:tr>
      <w:tr>
        <w:trPr>
          <w:trHeight w:val="174" w:hRule="atLeast"/>
        </w:trPr>
        <w:tc>
          <w:tcPr>
            <w:tcW w:w="5794" w:type="dxa"/>
          </w:tcPr>
          <w:p>
            <w:pPr>
              <w:pStyle w:val="TableParagraph"/>
              <w:spacing w:line="140" w:lineRule="exact" w:before="15"/>
              <w:ind w:left="107"/>
              <w:rPr>
                <w:sz w:val="14"/>
              </w:rPr>
            </w:pPr>
            <w:r>
              <w:rPr>
                <w:sz w:val="14"/>
              </w:rPr>
              <w:t>Health</w:t>
            </w:r>
            <w:r>
              <w:rPr>
                <w:spacing w:val="-5"/>
                <w:sz w:val="14"/>
              </w:rPr>
              <w:t> </w:t>
            </w:r>
            <w:r>
              <w:rPr>
                <w:sz w:val="14"/>
              </w:rPr>
              <w:t>Club</w:t>
            </w:r>
            <w:r>
              <w:rPr>
                <w:spacing w:val="-5"/>
                <w:sz w:val="14"/>
              </w:rPr>
              <w:t> </w:t>
            </w:r>
            <w:r>
              <w:rPr>
                <w:sz w:val="14"/>
              </w:rPr>
              <w:t>Casual</w:t>
            </w:r>
            <w:r>
              <w:rPr>
                <w:spacing w:val="-4"/>
                <w:sz w:val="14"/>
              </w:rPr>
              <w:t> </w:t>
            </w:r>
            <w:r>
              <w:rPr>
                <w:spacing w:val="-2"/>
                <w:sz w:val="14"/>
              </w:rPr>
              <w:t>Concession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20.50</w:t>
            </w:r>
          </w:p>
        </w:tc>
        <w:tc>
          <w:tcPr>
            <w:tcW w:w="995" w:type="dxa"/>
          </w:tcPr>
          <w:p>
            <w:pPr>
              <w:pStyle w:val="TableParagraph"/>
              <w:spacing w:line="140" w:lineRule="exact" w:before="15"/>
              <w:ind w:right="101"/>
              <w:jc w:val="right"/>
              <w:rPr>
                <w:sz w:val="14"/>
              </w:rPr>
            </w:pPr>
            <w:r>
              <w:rPr>
                <w:spacing w:val="-2"/>
                <w:sz w:val="14"/>
              </w:rPr>
              <w:t>22.10</w:t>
            </w:r>
          </w:p>
        </w:tc>
        <w:tc>
          <w:tcPr>
            <w:tcW w:w="861" w:type="dxa"/>
          </w:tcPr>
          <w:p>
            <w:pPr>
              <w:pStyle w:val="TableParagraph"/>
              <w:spacing w:line="140" w:lineRule="exact" w:before="15"/>
              <w:ind w:left="327"/>
              <w:rPr>
                <w:sz w:val="14"/>
              </w:rPr>
            </w:pPr>
            <w:r>
              <w:rPr>
                <w:spacing w:val="-5"/>
                <w:sz w:val="14"/>
              </w:rPr>
              <w:t>7.2</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Club</w:t>
            </w:r>
            <w:r>
              <w:rPr>
                <w:spacing w:val="-5"/>
                <w:sz w:val="14"/>
              </w:rPr>
              <w:t> </w:t>
            </w:r>
            <w:r>
              <w:rPr>
                <w:sz w:val="14"/>
              </w:rPr>
              <w:t>Casual</w:t>
            </w:r>
            <w:r>
              <w:rPr>
                <w:spacing w:val="-4"/>
                <w:sz w:val="14"/>
              </w:rPr>
              <w:t> </w:t>
            </w:r>
            <w:r>
              <w:rPr>
                <w:spacing w:val="-2"/>
                <w:sz w:val="14"/>
              </w:rPr>
              <w:t>Senior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21.50</w:t>
            </w:r>
          </w:p>
        </w:tc>
        <w:tc>
          <w:tcPr>
            <w:tcW w:w="995" w:type="dxa"/>
          </w:tcPr>
          <w:p>
            <w:pPr>
              <w:pStyle w:val="TableParagraph"/>
              <w:spacing w:line="140" w:lineRule="exact" w:before="17"/>
              <w:ind w:right="101"/>
              <w:jc w:val="right"/>
              <w:rPr>
                <w:sz w:val="14"/>
              </w:rPr>
            </w:pPr>
            <w:r>
              <w:rPr>
                <w:spacing w:val="-2"/>
                <w:sz w:val="14"/>
              </w:rPr>
              <w:t>23.40</w:t>
            </w:r>
          </w:p>
        </w:tc>
        <w:tc>
          <w:tcPr>
            <w:tcW w:w="861" w:type="dxa"/>
          </w:tcPr>
          <w:p>
            <w:pPr>
              <w:pStyle w:val="TableParagraph"/>
              <w:spacing w:line="140" w:lineRule="exact" w:before="17"/>
              <w:ind w:left="327"/>
              <w:rPr>
                <w:sz w:val="14"/>
              </w:rPr>
            </w:pPr>
            <w:r>
              <w:rPr>
                <w:spacing w:val="-5"/>
                <w:sz w:val="14"/>
              </w:rPr>
              <w:t>8.1</w:t>
            </w:r>
          </w:p>
        </w:tc>
      </w:tr>
      <w:tr>
        <w:trPr>
          <w:trHeight w:val="177" w:hRule="atLeast"/>
        </w:trPr>
        <w:tc>
          <w:tcPr>
            <w:tcW w:w="5794" w:type="dxa"/>
          </w:tcPr>
          <w:p>
            <w:pPr>
              <w:pStyle w:val="TableParagraph"/>
              <w:spacing w:line="140" w:lineRule="exact" w:before="17"/>
              <w:ind w:left="107"/>
              <w:rPr>
                <w:sz w:val="14"/>
              </w:rPr>
            </w:pPr>
            <w:r>
              <w:rPr>
                <w:sz w:val="14"/>
              </w:rPr>
              <w:t>Health</w:t>
            </w:r>
            <w:r>
              <w:rPr>
                <w:spacing w:val="-5"/>
                <w:sz w:val="14"/>
              </w:rPr>
              <w:t> </w:t>
            </w:r>
            <w:r>
              <w:rPr>
                <w:sz w:val="14"/>
              </w:rPr>
              <w:t>Club</w:t>
            </w:r>
            <w:r>
              <w:rPr>
                <w:spacing w:val="-5"/>
                <w:sz w:val="14"/>
              </w:rPr>
              <w:t> </w:t>
            </w:r>
            <w:r>
              <w:rPr>
                <w:sz w:val="14"/>
              </w:rPr>
              <w:t>Casual</w:t>
            </w:r>
            <w:r>
              <w:rPr>
                <w:spacing w:val="-4"/>
                <w:sz w:val="14"/>
              </w:rPr>
              <w:t> Teen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19.50</w:t>
            </w:r>
          </w:p>
        </w:tc>
        <w:tc>
          <w:tcPr>
            <w:tcW w:w="995" w:type="dxa"/>
          </w:tcPr>
          <w:p>
            <w:pPr>
              <w:pStyle w:val="TableParagraph"/>
              <w:spacing w:line="140" w:lineRule="exact" w:before="17"/>
              <w:ind w:right="101"/>
              <w:jc w:val="right"/>
              <w:rPr>
                <w:sz w:val="14"/>
              </w:rPr>
            </w:pPr>
            <w:r>
              <w:rPr>
                <w:spacing w:val="-2"/>
                <w:sz w:val="14"/>
              </w:rPr>
              <w:t>20.80</w:t>
            </w:r>
          </w:p>
        </w:tc>
        <w:tc>
          <w:tcPr>
            <w:tcW w:w="861" w:type="dxa"/>
          </w:tcPr>
          <w:p>
            <w:pPr>
              <w:pStyle w:val="TableParagraph"/>
              <w:spacing w:line="140" w:lineRule="exact" w:before="17"/>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6"/>
                <w:sz w:val="14"/>
              </w:rPr>
              <w:t> </w:t>
            </w:r>
            <w:r>
              <w:rPr>
                <w:b/>
                <w:sz w:val="14"/>
              </w:rPr>
              <w:t>-</w:t>
            </w:r>
            <w:r>
              <w:rPr>
                <w:b/>
                <w:spacing w:val="-2"/>
                <w:sz w:val="14"/>
              </w:rPr>
              <w:t> </w:t>
            </w:r>
            <w:r>
              <w:rPr>
                <w:b/>
                <w:sz w:val="14"/>
              </w:rPr>
              <w:t>Personal</w:t>
            </w:r>
            <w:r>
              <w:rPr>
                <w:b/>
                <w:spacing w:val="-5"/>
                <w:sz w:val="14"/>
              </w:rPr>
              <w:t> </w:t>
            </w:r>
            <w:r>
              <w:rPr>
                <w:b/>
                <w:spacing w:val="-2"/>
                <w:sz w:val="14"/>
              </w:rPr>
              <w:t>Training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4"/>
                <w:sz w:val="14"/>
              </w:rPr>
              <w:t> </w:t>
            </w:r>
            <w:r>
              <w:rPr>
                <w:sz w:val="14"/>
              </w:rPr>
              <w:t>30mins</w:t>
            </w:r>
            <w:r>
              <w:rPr>
                <w:spacing w:val="-1"/>
                <w:sz w:val="14"/>
              </w:rPr>
              <w:t> </w:t>
            </w:r>
            <w:r>
              <w:rPr>
                <w:sz w:val="14"/>
              </w:rPr>
              <w:t>1:1</w:t>
            </w:r>
            <w:r>
              <w:rPr>
                <w:spacing w:val="-2"/>
                <w:sz w:val="14"/>
              </w:rPr>
              <w:t> </w:t>
            </w:r>
            <w:r>
              <w:rPr>
                <w:sz w:val="14"/>
              </w:rPr>
              <w:t>(1</w:t>
            </w:r>
            <w:r>
              <w:rPr>
                <w:spacing w:val="-2"/>
                <w:sz w:val="14"/>
              </w:rPr>
              <w:t> </w:t>
            </w:r>
            <w:r>
              <w:rPr>
                <w:sz w:val="14"/>
              </w:rPr>
              <w:t>free</w:t>
            </w:r>
            <w:r>
              <w:rPr>
                <w:spacing w:val="-2"/>
                <w:sz w:val="14"/>
              </w:rPr>
              <w:t> session)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469.00</w:t>
            </w:r>
          </w:p>
        </w:tc>
        <w:tc>
          <w:tcPr>
            <w:tcW w:w="995" w:type="dxa"/>
          </w:tcPr>
          <w:p>
            <w:pPr>
              <w:pStyle w:val="TableParagraph"/>
              <w:spacing w:line="140" w:lineRule="exact" w:before="17"/>
              <w:ind w:right="102"/>
              <w:jc w:val="right"/>
              <w:rPr>
                <w:sz w:val="14"/>
              </w:rPr>
            </w:pPr>
            <w:r>
              <w:rPr>
                <w:spacing w:val="-2"/>
                <w:sz w:val="14"/>
              </w:rPr>
              <w:t>481.50</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4"/>
                <w:sz w:val="14"/>
              </w:rPr>
              <w:t> </w:t>
            </w:r>
            <w:r>
              <w:rPr>
                <w:sz w:val="14"/>
              </w:rPr>
              <w:t>45mins</w:t>
            </w:r>
            <w:r>
              <w:rPr>
                <w:spacing w:val="-1"/>
                <w:sz w:val="14"/>
              </w:rPr>
              <w:t> </w:t>
            </w:r>
            <w:r>
              <w:rPr>
                <w:sz w:val="14"/>
              </w:rPr>
              <w:t>1:1</w:t>
            </w:r>
            <w:r>
              <w:rPr>
                <w:spacing w:val="-2"/>
                <w:sz w:val="14"/>
              </w:rPr>
              <w:t> </w:t>
            </w:r>
            <w:r>
              <w:rPr>
                <w:sz w:val="14"/>
              </w:rPr>
              <w:t>(1</w:t>
            </w:r>
            <w:r>
              <w:rPr>
                <w:spacing w:val="-2"/>
                <w:sz w:val="14"/>
              </w:rPr>
              <w:t> </w:t>
            </w:r>
            <w:r>
              <w:rPr>
                <w:sz w:val="14"/>
              </w:rPr>
              <w:t>free</w:t>
            </w:r>
            <w:r>
              <w:rPr>
                <w:spacing w:val="-2"/>
                <w:sz w:val="14"/>
              </w:rPr>
              <w:t> session)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603.00</w:t>
            </w:r>
          </w:p>
        </w:tc>
        <w:tc>
          <w:tcPr>
            <w:tcW w:w="995" w:type="dxa"/>
          </w:tcPr>
          <w:p>
            <w:pPr>
              <w:pStyle w:val="TableParagraph"/>
              <w:spacing w:line="140" w:lineRule="exact" w:before="17"/>
              <w:ind w:right="102"/>
              <w:jc w:val="right"/>
              <w:rPr>
                <w:sz w:val="14"/>
              </w:rPr>
            </w:pPr>
            <w:r>
              <w:rPr>
                <w:spacing w:val="-2"/>
                <w:sz w:val="14"/>
              </w:rPr>
              <w:t>625.50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4"/>
                <w:sz w:val="14"/>
              </w:rPr>
              <w:t> </w:t>
            </w:r>
            <w:r>
              <w:rPr>
                <w:sz w:val="14"/>
              </w:rPr>
              <w:t>60mins</w:t>
            </w:r>
            <w:r>
              <w:rPr>
                <w:spacing w:val="-1"/>
                <w:sz w:val="14"/>
              </w:rPr>
              <w:t> </w:t>
            </w:r>
            <w:r>
              <w:rPr>
                <w:sz w:val="14"/>
              </w:rPr>
              <w:t>1:1</w:t>
            </w:r>
            <w:r>
              <w:rPr>
                <w:spacing w:val="-2"/>
                <w:sz w:val="14"/>
              </w:rPr>
              <w:t> </w:t>
            </w:r>
            <w:r>
              <w:rPr>
                <w:sz w:val="14"/>
              </w:rPr>
              <w:t>(1</w:t>
            </w:r>
            <w:r>
              <w:rPr>
                <w:spacing w:val="-2"/>
                <w:sz w:val="14"/>
              </w:rPr>
              <w:t> </w:t>
            </w:r>
            <w:r>
              <w:rPr>
                <w:sz w:val="14"/>
              </w:rPr>
              <w:t>free</w:t>
            </w:r>
            <w:r>
              <w:rPr>
                <w:spacing w:val="-2"/>
                <w:sz w:val="14"/>
              </w:rPr>
              <w:t> session)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736.00</w:t>
            </w:r>
          </w:p>
        </w:tc>
        <w:tc>
          <w:tcPr>
            <w:tcW w:w="995" w:type="dxa"/>
          </w:tcPr>
          <w:p>
            <w:pPr>
              <w:pStyle w:val="TableParagraph"/>
              <w:spacing w:line="140" w:lineRule="exact" w:before="17"/>
              <w:ind w:right="102"/>
              <w:jc w:val="right"/>
              <w:rPr>
                <w:sz w:val="14"/>
              </w:rPr>
            </w:pPr>
            <w:r>
              <w:rPr>
                <w:spacing w:val="-2"/>
                <w:sz w:val="14"/>
              </w:rPr>
              <w:t>750.60</w:t>
            </w:r>
          </w:p>
        </w:tc>
        <w:tc>
          <w:tcPr>
            <w:tcW w:w="861" w:type="dxa"/>
          </w:tcPr>
          <w:p>
            <w:pPr>
              <w:pStyle w:val="TableParagraph"/>
              <w:spacing w:line="140" w:lineRule="exact" w:before="17"/>
              <w:ind w:left="327"/>
              <w:rPr>
                <w:sz w:val="14"/>
              </w:rPr>
            </w:pPr>
            <w:r>
              <w:rPr>
                <w:spacing w:val="-5"/>
                <w:sz w:val="14"/>
              </w:rPr>
              <w:t>1.9</w:t>
            </w:r>
          </w:p>
        </w:tc>
      </w:tr>
      <w:tr>
        <w:trPr>
          <w:trHeight w:val="177" w:hRule="atLeast"/>
        </w:trPr>
        <w:tc>
          <w:tcPr>
            <w:tcW w:w="5794" w:type="dxa"/>
          </w:tcPr>
          <w:p>
            <w:pPr>
              <w:pStyle w:val="TableParagraph"/>
              <w:spacing w:line="140" w:lineRule="exact" w:before="17"/>
              <w:ind w:left="107"/>
              <w:rPr>
                <w:sz w:val="14"/>
              </w:rPr>
            </w:pPr>
            <w:r>
              <w:rPr>
                <w:sz w:val="14"/>
              </w:rPr>
              <w:t>30mins</w:t>
            </w:r>
            <w:r>
              <w:rPr>
                <w:spacing w:val="-5"/>
                <w:sz w:val="14"/>
              </w:rPr>
              <w:t> 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52.00</w:t>
            </w:r>
          </w:p>
        </w:tc>
        <w:tc>
          <w:tcPr>
            <w:tcW w:w="995" w:type="dxa"/>
          </w:tcPr>
          <w:p>
            <w:pPr>
              <w:pStyle w:val="TableParagraph"/>
              <w:spacing w:line="140" w:lineRule="exact" w:before="17"/>
              <w:ind w:right="101"/>
              <w:jc w:val="right"/>
              <w:rPr>
                <w:sz w:val="14"/>
              </w:rPr>
            </w:pPr>
            <w:r>
              <w:rPr>
                <w:spacing w:val="-2"/>
                <w:sz w:val="14"/>
              </w:rPr>
              <w:t>53.50</w:t>
            </w:r>
          </w:p>
        </w:tc>
        <w:tc>
          <w:tcPr>
            <w:tcW w:w="861" w:type="dxa"/>
          </w:tcPr>
          <w:p>
            <w:pPr>
              <w:pStyle w:val="TableParagraph"/>
              <w:spacing w:line="140" w:lineRule="exact" w:before="17"/>
              <w:ind w:left="327"/>
              <w:rPr>
                <w:sz w:val="14"/>
              </w:rPr>
            </w:pPr>
            <w:r>
              <w:rPr>
                <w:spacing w:val="-5"/>
                <w:sz w:val="14"/>
              </w:rPr>
              <w:t>2.8</w:t>
            </w:r>
          </w:p>
        </w:tc>
      </w:tr>
      <w:tr>
        <w:trPr>
          <w:trHeight w:val="177" w:hRule="atLeast"/>
        </w:trPr>
        <w:tc>
          <w:tcPr>
            <w:tcW w:w="5794" w:type="dxa"/>
          </w:tcPr>
          <w:p>
            <w:pPr>
              <w:pStyle w:val="TableParagraph"/>
              <w:spacing w:line="140" w:lineRule="exact" w:before="17"/>
              <w:ind w:left="107"/>
              <w:rPr>
                <w:sz w:val="14"/>
              </w:rPr>
            </w:pPr>
            <w:r>
              <w:rPr>
                <w:sz w:val="14"/>
              </w:rPr>
              <w:t>45mins</w:t>
            </w:r>
            <w:r>
              <w:rPr>
                <w:spacing w:val="-5"/>
                <w:sz w:val="14"/>
              </w:rPr>
              <w:t> 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67.00</w:t>
            </w:r>
          </w:p>
        </w:tc>
        <w:tc>
          <w:tcPr>
            <w:tcW w:w="995" w:type="dxa"/>
          </w:tcPr>
          <w:p>
            <w:pPr>
              <w:pStyle w:val="TableParagraph"/>
              <w:spacing w:line="140" w:lineRule="exact" w:before="17"/>
              <w:ind w:right="101"/>
              <w:jc w:val="right"/>
              <w:rPr>
                <w:sz w:val="14"/>
              </w:rPr>
            </w:pPr>
            <w:r>
              <w:rPr>
                <w:spacing w:val="-2"/>
                <w:sz w:val="14"/>
              </w:rPr>
              <w:t>69.50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sz w:val="14"/>
              </w:rPr>
            </w:pPr>
            <w:r>
              <w:rPr>
                <w:sz w:val="14"/>
              </w:rPr>
              <w:t>60mins</w:t>
            </w:r>
            <w:r>
              <w:rPr>
                <w:spacing w:val="-5"/>
                <w:sz w:val="14"/>
              </w:rPr>
              <w:t> 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81.00</w:t>
            </w:r>
          </w:p>
        </w:tc>
        <w:tc>
          <w:tcPr>
            <w:tcW w:w="995" w:type="dxa"/>
          </w:tcPr>
          <w:p>
            <w:pPr>
              <w:pStyle w:val="TableParagraph"/>
              <w:spacing w:line="140" w:lineRule="exact" w:before="17"/>
              <w:ind w:right="101"/>
              <w:jc w:val="right"/>
              <w:rPr>
                <w:sz w:val="14"/>
              </w:rPr>
            </w:pPr>
            <w:r>
              <w:rPr>
                <w:spacing w:val="-2"/>
                <w:sz w:val="14"/>
              </w:rPr>
              <w:t>83.40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Start</w:t>
            </w:r>
            <w:r>
              <w:rPr>
                <w:spacing w:val="-2"/>
                <w:sz w:val="14"/>
              </w:rPr>
              <w:t> </w:t>
            </w:r>
            <w:r>
              <w:rPr>
                <w:sz w:val="14"/>
              </w:rPr>
              <w:t>Up</w:t>
            </w:r>
            <w:r>
              <w:rPr>
                <w:spacing w:val="-5"/>
                <w:sz w:val="14"/>
              </w:rPr>
              <w:t> </w:t>
            </w:r>
            <w:r>
              <w:rPr>
                <w:sz w:val="14"/>
              </w:rPr>
              <w:t>Trial</w:t>
            </w:r>
            <w:r>
              <w:rPr>
                <w:spacing w:val="-2"/>
                <w:sz w:val="14"/>
              </w:rPr>
              <w:t> </w:t>
            </w:r>
            <w:r>
              <w:rPr>
                <w:sz w:val="14"/>
              </w:rPr>
              <w:t>- 3</w:t>
            </w:r>
            <w:r>
              <w:rPr>
                <w:spacing w:val="-4"/>
                <w:sz w:val="14"/>
              </w:rPr>
              <w:t> </w:t>
            </w:r>
            <w:r>
              <w:rPr>
                <w:sz w:val="14"/>
              </w:rPr>
              <w:t>sessions</w:t>
            </w:r>
            <w:r>
              <w:rPr>
                <w:spacing w:val="-1"/>
                <w:sz w:val="14"/>
              </w:rPr>
              <w:t> </w:t>
            </w:r>
            <w:r>
              <w:rPr>
                <w:spacing w:val="-2"/>
                <w:sz w:val="14"/>
              </w:rPr>
              <w:t>(30mins)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1"/>
                <w:sz w:val="14"/>
              </w:rPr>
              <w:t> </w:t>
            </w:r>
            <w:r>
              <w:rPr>
                <w:sz w:val="14"/>
              </w:rPr>
              <w:t>30</w:t>
            </w:r>
            <w:r>
              <w:rPr>
                <w:spacing w:val="-3"/>
                <w:sz w:val="14"/>
              </w:rPr>
              <w:t> </w:t>
            </w:r>
            <w:r>
              <w:rPr>
                <w:sz w:val="14"/>
              </w:rPr>
              <w:t>mins</w:t>
            </w:r>
            <w:r>
              <w:rPr>
                <w:spacing w:val="-4"/>
                <w:sz w:val="14"/>
              </w:rPr>
              <w:t> </w:t>
            </w:r>
            <w:r>
              <w:rPr>
                <w:sz w:val="14"/>
              </w:rPr>
              <w:t>-</w:t>
            </w:r>
            <w:r>
              <w:rPr>
                <w:spacing w:val="-3"/>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60.00</w:t>
            </w:r>
          </w:p>
        </w:tc>
        <w:tc>
          <w:tcPr>
            <w:tcW w:w="995" w:type="dxa"/>
          </w:tcPr>
          <w:p>
            <w:pPr>
              <w:pStyle w:val="TableParagraph"/>
              <w:spacing w:line="140" w:lineRule="exact" w:before="17"/>
              <w:ind w:right="101"/>
              <w:jc w:val="right"/>
              <w:rPr>
                <w:sz w:val="14"/>
              </w:rPr>
            </w:pPr>
            <w:r>
              <w:rPr>
                <w:spacing w:val="-2"/>
                <w:sz w:val="14"/>
              </w:rPr>
              <w:t>61.80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2" w:lineRule="exact" w:before="15"/>
              <w:ind w:left="107"/>
              <w:rPr>
                <w:sz w:val="14"/>
              </w:rPr>
            </w:pPr>
            <w:r>
              <w:rPr>
                <w:sz w:val="14"/>
              </w:rPr>
              <w:t>Non</w:t>
            </w:r>
            <w:r>
              <w:rPr>
                <w:spacing w:val="-3"/>
                <w:sz w:val="14"/>
              </w:rPr>
              <w:t> </w:t>
            </w:r>
            <w:r>
              <w:rPr>
                <w:sz w:val="14"/>
              </w:rPr>
              <w:t>Membership</w:t>
            </w:r>
            <w:r>
              <w:rPr>
                <w:spacing w:val="-3"/>
                <w:sz w:val="14"/>
              </w:rPr>
              <w:t> </w:t>
            </w:r>
            <w:r>
              <w:rPr>
                <w:sz w:val="14"/>
              </w:rPr>
              <w:t>60</w:t>
            </w:r>
            <w:r>
              <w:rPr>
                <w:spacing w:val="-3"/>
                <w:sz w:val="14"/>
              </w:rPr>
              <w:t> </w:t>
            </w:r>
            <w:r>
              <w:rPr>
                <w:sz w:val="14"/>
              </w:rPr>
              <w:t>mins</w:t>
            </w:r>
            <w:r>
              <w:rPr>
                <w:spacing w:val="-4"/>
                <w:sz w:val="14"/>
              </w:rPr>
              <w:t> </w:t>
            </w:r>
            <w:r>
              <w:rPr>
                <w:sz w:val="14"/>
              </w:rPr>
              <w:t>-</w:t>
            </w:r>
            <w:r>
              <w:rPr>
                <w:spacing w:val="-2"/>
                <w:sz w:val="14"/>
              </w:rPr>
              <w:t> </w:t>
            </w:r>
            <w:r>
              <w:rPr>
                <w:spacing w:val="-5"/>
                <w:sz w:val="14"/>
              </w:rPr>
              <w:t>1:1</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93.00</w:t>
            </w:r>
          </w:p>
        </w:tc>
        <w:tc>
          <w:tcPr>
            <w:tcW w:w="995" w:type="dxa"/>
          </w:tcPr>
          <w:p>
            <w:pPr>
              <w:pStyle w:val="TableParagraph"/>
              <w:spacing w:line="142" w:lineRule="exact" w:before="15"/>
              <w:ind w:right="101"/>
              <w:jc w:val="right"/>
              <w:rPr>
                <w:sz w:val="14"/>
              </w:rPr>
            </w:pPr>
            <w:r>
              <w:rPr>
                <w:spacing w:val="-2"/>
                <w:sz w:val="14"/>
              </w:rPr>
              <w:t>95.80</w:t>
            </w:r>
          </w:p>
        </w:tc>
        <w:tc>
          <w:tcPr>
            <w:tcW w:w="861" w:type="dxa"/>
          </w:tcPr>
          <w:p>
            <w:pPr>
              <w:pStyle w:val="TableParagraph"/>
              <w:spacing w:line="142" w:lineRule="exact" w:before="15"/>
              <w:ind w:left="326"/>
              <w:rPr>
                <w:sz w:val="14"/>
              </w:rPr>
            </w:pPr>
            <w:r>
              <w:rPr>
                <w:spacing w:val="-5"/>
                <w:sz w:val="14"/>
              </w:rPr>
              <w:t>2.9</w:t>
            </w:r>
          </w:p>
        </w:tc>
      </w:tr>
      <w:tr>
        <w:trPr>
          <w:trHeight w:val="174" w:hRule="atLeast"/>
        </w:trPr>
        <w:tc>
          <w:tcPr>
            <w:tcW w:w="5794" w:type="dxa"/>
          </w:tcPr>
          <w:p>
            <w:pPr>
              <w:pStyle w:val="TableParagraph"/>
              <w:spacing w:line="140" w:lineRule="exact" w:before="15"/>
              <w:ind w:left="107"/>
              <w:rPr>
                <w:sz w:val="14"/>
              </w:rPr>
            </w:pPr>
            <w:r>
              <w:rPr>
                <w:sz w:val="14"/>
              </w:rPr>
              <w:t>Membership</w:t>
            </w:r>
            <w:r>
              <w:rPr>
                <w:spacing w:val="-2"/>
                <w:sz w:val="14"/>
              </w:rPr>
              <w:t> </w:t>
            </w:r>
            <w:r>
              <w:rPr>
                <w:sz w:val="14"/>
              </w:rPr>
              <w:t>30</w:t>
            </w:r>
            <w:r>
              <w:rPr>
                <w:spacing w:val="-5"/>
                <w:sz w:val="14"/>
              </w:rPr>
              <w:t> </w:t>
            </w:r>
            <w:r>
              <w:rPr>
                <w:sz w:val="14"/>
              </w:rPr>
              <w:t>mins</w:t>
            </w:r>
            <w:r>
              <w:rPr>
                <w:spacing w:val="-3"/>
                <w:sz w:val="14"/>
              </w:rPr>
              <w:t> </w:t>
            </w:r>
            <w:r>
              <w:rPr>
                <w:sz w:val="14"/>
              </w:rPr>
              <w:t>-</w:t>
            </w:r>
            <w:r>
              <w:rPr>
                <w:spacing w:val="-2"/>
                <w:sz w:val="14"/>
              </w:rPr>
              <w:t> </w:t>
            </w:r>
            <w:r>
              <w:rPr>
                <w:spacing w:val="-5"/>
                <w:sz w:val="14"/>
              </w:rPr>
              <w:t>2:1</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71.00</w:t>
            </w:r>
          </w:p>
        </w:tc>
        <w:tc>
          <w:tcPr>
            <w:tcW w:w="995" w:type="dxa"/>
          </w:tcPr>
          <w:p>
            <w:pPr>
              <w:pStyle w:val="TableParagraph"/>
              <w:spacing w:line="140" w:lineRule="exact" w:before="15"/>
              <w:ind w:right="101"/>
              <w:jc w:val="right"/>
              <w:rPr>
                <w:sz w:val="14"/>
              </w:rPr>
            </w:pPr>
            <w:r>
              <w:rPr>
                <w:spacing w:val="-2"/>
                <w:sz w:val="14"/>
              </w:rPr>
              <w:t>73.10</w:t>
            </w:r>
          </w:p>
        </w:tc>
        <w:tc>
          <w:tcPr>
            <w:tcW w:w="861" w:type="dxa"/>
          </w:tcPr>
          <w:p>
            <w:pPr>
              <w:pStyle w:val="TableParagraph"/>
              <w:spacing w:line="140" w:lineRule="exact" w:before="15"/>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Membership</w:t>
            </w:r>
            <w:r>
              <w:rPr>
                <w:spacing w:val="-2"/>
                <w:sz w:val="14"/>
              </w:rPr>
              <w:t> </w:t>
            </w:r>
            <w:r>
              <w:rPr>
                <w:sz w:val="14"/>
              </w:rPr>
              <w:t>60</w:t>
            </w:r>
            <w:r>
              <w:rPr>
                <w:spacing w:val="-5"/>
                <w:sz w:val="14"/>
              </w:rPr>
              <w:t> </w:t>
            </w:r>
            <w:r>
              <w:rPr>
                <w:sz w:val="14"/>
              </w:rPr>
              <w:t>mins</w:t>
            </w:r>
            <w:r>
              <w:rPr>
                <w:spacing w:val="-3"/>
                <w:sz w:val="14"/>
              </w:rPr>
              <w:t> </w:t>
            </w:r>
            <w:r>
              <w:rPr>
                <w:sz w:val="14"/>
              </w:rPr>
              <w:t>-</w:t>
            </w:r>
            <w:r>
              <w:rPr>
                <w:spacing w:val="-2"/>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2"/>
              <w:jc w:val="right"/>
              <w:rPr>
                <w:sz w:val="14"/>
              </w:rPr>
            </w:pPr>
            <w:r>
              <w:rPr>
                <w:spacing w:val="-2"/>
                <w:sz w:val="14"/>
              </w:rPr>
              <w:t>102.00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3"/>
                <w:sz w:val="14"/>
              </w:rPr>
              <w:t> </w:t>
            </w:r>
            <w:r>
              <w:rPr>
                <w:sz w:val="14"/>
              </w:rPr>
              <w:t>30</w:t>
            </w:r>
            <w:r>
              <w:rPr>
                <w:spacing w:val="-3"/>
                <w:sz w:val="14"/>
              </w:rPr>
              <w:t> </w:t>
            </w:r>
            <w:r>
              <w:rPr>
                <w:sz w:val="14"/>
              </w:rPr>
              <w:t>mins</w:t>
            </w:r>
            <w:r>
              <w:rPr>
                <w:spacing w:val="-4"/>
                <w:sz w:val="14"/>
              </w:rPr>
              <w:t> </w:t>
            </w:r>
            <w:r>
              <w:rPr>
                <w:sz w:val="14"/>
              </w:rPr>
              <w:t>-</w:t>
            </w:r>
            <w:r>
              <w:rPr>
                <w:spacing w:val="-2"/>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81.00</w:t>
            </w:r>
          </w:p>
        </w:tc>
        <w:tc>
          <w:tcPr>
            <w:tcW w:w="995" w:type="dxa"/>
          </w:tcPr>
          <w:p>
            <w:pPr>
              <w:pStyle w:val="TableParagraph"/>
              <w:spacing w:line="140" w:lineRule="exact" w:before="17"/>
              <w:ind w:right="101"/>
              <w:jc w:val="right"/>
              <w:rPr>
                <w:sz w:val="14"/>
              </w:rPr>
            </w:pPr>
            <w:r>
              <w:rPr>
                <w:spacing w:val="-2"/>
                <w:sz w:val="14"/>
              </w:rPr>
              <w:t>83.40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Non</w:t>
            </w:r>
            <w:r>
              <w:rPr>
                <w:spacing w:val="-3"/>
                <w:sz w:val="14"/>
              </w:rPr>
              <w:t> </w:t>
            </w:r>
            <w:r>
              <w:rPr>
                <w:sz w:val="14"/>
              </w:rPr>
              <w:t>Membership</w:t>
            </w:r>
            <w:r>
              <w:rPr>
                <w:spacing w:val="-1"/>
                <w:sz w:val="14"/>
              </w:rPr>
              <w:t> </w:t>
            </w:r>
            <w:r>
              <w:rPr>
                <w:sz w:val="14"/>
              </w:rPr>
              <w:t>60</w:t>
            </w:r>
            <w:r>
              <w:rPr>
                <w:spacing w:val="-3"/>
                <w:sz w:val="14"/>
              </w:rPr>
              <w:t> </w:t>
            </w:r>
            <w:r>
              <w:rPr>
                <w:sz w:val="14"/>
              </w:rPr>
              <w:t>mins</w:t>
            </w:r>
            <w:r>
              <w:rPr>
                <w:spacing w:val="-4"/>
                <w:sz w:val="14"/>
              </w:rPr>
              <w:t> </w:t>
            </w:r>
            <w:r>
              <w:rPr>
                <w:sz w:val="14"/>
              </w:rPr>
              <w:t>-</w:t>
            </w:r>
            <w:r>
              <w:rPr>
                <w:spacing w:val="-3"/>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109.00</w:t>
            </w:r>
          </w:p>
        </w:tc>
        <w:tc>
          <w:tcPr>
            <w:tcW w:w="995" w:type="dxa"/>
          </w:tcPr>
          <w:p>
            <w:pPr>
              <w:pStyle w:val="TableParagraph"/>
              <w:spacing w:line="140" w:lineRule="exact" w:before="17"/>
              <w:ind w:right="102"/>
              <w:jc w:val="right"/>
              <w:rPr>
                <w:sz w:val="14"/>
              </w:rPr>
            </w:pPr>
            <w:r>
              <w:rPr>
                <w:spacing w:val="-2"/>
                <w:sz w:val="14"/>
              </w:rPr>
              <w:t>112.30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5"/>
                <w:sz w:val="14"/>
              </w:rPr>
              <w:t> 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469.00</w:t>
            </w:r>
          </w:p>
        </w:tc>
        <w:tc>
          <w:tcPr>
            <w:tcW w:w="995" w:type="dxa"/>
          </w:tcPr>
          <w:p>
            <w:pPr>
              <w:pStyle w:val="TableParagraph"/>
              <w:spacing w:line="140" w:lineRule="exact" w:before="17"/>
              <w:ind w:right="102"/>
              <w:jc w:val="right"/>
              <w:rPr>
                <w:sz w:val="14"/>
              </w:rPr>
            </w:pPr>
            <w:r>
              <w:rPr>
                <w:spacing w:val="-2"/>
                <w:sz w:val="14"/>
              </w:rPr>
              <w:t>481.50</w:t>
            </w:r>
          </w:p>
        </w:tc>
        <w:tc>
          <w:tcPr>
            <w:tcW w:w="861" w:type="dxa"/>
          </w:tcPr>
          <w:p>
            <w:pPr>
              <w:pStyle w:val="TableParagraph"/>
              <w:spacing w:line="140" w:lineRule="exact" w:before="17"/>
              <w:ind w:left="327"/>
              <w:rPr>
                <w:sz w:val="14"/>
              </w:rPr>
            </w:pPr>
            <w:r>
              <w:rPr>
                <w:spacing w:val="-5"/>
                <w:sz w:val="14"/>
              </w:rPr>
              <w:t>2.6</w:t>
            </w:r>
          </w:p>
        </w:tc>
      </w:tr>
      <w:tr>
        <w:trPr>
          <w:trHeight w:val="177" w:hRule="atLeast"/>
        </w:trPr>
        <w:tc>
          <w:tcPr>
            <w:tcW w:w="5794" w:type="dxa"/>
          </w:tcPr>
          <w:p>
            <w:pPr>
              <w:pStyle w:val="TableParagraph"/>
              <w:spacing w:line="140" w:lineRule="exact" w:before="17"/>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60</w:t>
            </w:r>
            <w:r>
              <w:rPr>
                <w:spacing w:val="-5"/>
                <w:sz w:val="14"/>
              </w:rPr>
              <w:t> </w:t>
            </w:r>
            <w:r>
              <w:rPr>
                <w:sz w:val="14"/>
              </w:rPr>
              <w:t>mins</w:t>
            </w:r>
            <w:r>
              <w:rPr>
                <w:spacing w:val="-1"/>
                <w:sz w:val="14"/>
              </w:rPr>
              <w:t> </w:t>
            </w:r>
            <w:r>
              <w:rPr>
                <w:sz w:val="14"/>
              </w:rPr>
              <w:t>-</w:t>
            </w:r>
            <w:r>
              <w:rPr>
                <w:spacing w:val="-5"/>
                <w:sz w:val="14"/>
              </w:rPr>
              <w:t> 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736.00</w:t>
            </w:r>
          </w:p>
        </w:tc>
        <w:tc>
          <w:tcPr>
            <w:tcW w:w="995" w:type="dxa"/>
          </w:tcPr>
          <w:p>
            <w:pPr>
              <w:pStyle w:val="TableParagraph"/>
              <w:spacing w:line="140" w:lineRule="exact" w:before="17"/>
              <w:ind w:right="102"/>
              <w:jc w:val="right"/>
              <w:rPr>
                <w:sz w:val="14"/>
              </w:rPr>
            </w:pPr>
            <w:r>
              <w:rPr>
                <w:spacing w:val="-2"/>
                <w:sz w:val="14"/>
              </w:rPr>
              <w:t>750.60</w:t>
            </w:r>
          </w:p>
        </w:tc>
        <w:tc>
          <w:tcPr>
            <w:tcW w:w="861" w:type="dxa"/>
          </w:tcPr>
          <w:p>
            <w:pPr>
              <w:pStyle w:val="TableParagraph"/>
              <w:spacing w:line="140" w:lineRule="exact" w:before="17"/>
              <w:ind w:left="327"/>
              <w:rPr>
                <w:sz w:val="14"/>
              </w:rPr>
            </w:pPr>
            <w:r>
              <w:rPr>
                <w:spacing w:val="-5"/>
                <w:sz w:val="14"/>
              </w:rPr>
              <w:t>1.9</w:t>
            </w:r>
          </w:p>
        </w:tc>
      </w:tr>
      <w:tr>
        <w:trPr>
          <w:trHeight w:val="177" w:hRule="atLeast"/>
        </w:trPr>
        <w:tc>
          <w:tcPr>
            <w:tcW w:w="5794" w:type="dxa"/>
          </w:tcPr>
          <w:p>
            <w:pPr>
              <w:pStyle w:val="TableParagraph"/>
              <w:spacing w:line="140" w:lineRule="exact" w:before="17"/>
              <w:ind w:left="107"/>
              <w:rPr>
                <w:sz w:val="14"/>
              </w:rPr>
            </w:pPr>
            <w:r>
              <w:rPr>
                <w:sz w:val="14"/>
              </w:rPr>
              <w:t>Non</w:t>
            </w:r>
            <w:r>
              <w:rPr>
                <w:spacing w:val="-2"/>
                <w:sz w:val="14"/>
              </w:rPr>
              <w:t> </w:t>
            </w:r>
            <w:r>
              <w:rPr>
                <w:sz w:val="14"/>
              </w:rPr>
              <w:t>Membership</w:t>
            </w:r>
            <w:r>
              <w:rPr>
                <w:spacing w:val="-3"/>
                <w:sz w:val="14"/>
              </w:rPr>
              <w:t> </w:t>
            </w:r>
            <w:r>
              <w:rPr>
                <w:sz w:val="14"/>
              </w:rPr>
              <w:t>10</w:t>
            </w:r>
            <w:r>
              <w:rPr>
                <w:spacing w:val="-2"/>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4"/>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541.00</w:t>
            </w:r>
          </w:p>
        </w:tc>
        <w:tc>
          <w:tcPr>
            <w:tcW w:w="995" w:type="dxa"/>
          </w:tcPr>
          <w:p>
            <w:pPr>
              <w:pStyle w:val="TableParagraph"/>
              <w:spacing w:line="140" w:lineRule="exact" w:before="17"/>
              <w:ind w:right="102"/>
              <w:jc w:val="right"/>
              <w:rPr>
                <w:sz w:val="14"/>
              </w:rPr>
            </w:pPr>
            <w:r>
              <w:rPr>
                <w:spacing w:val="-2"/>
                <w:sz w:val="14"/>
              </w:rPr>
              <w:t>556.20</w:t>
            </w:r>
          </w:p>
        </w:tc>
        <w:tc>
          <w:tcPr>
            <w:tcW w:w="861" w:type="dxa"/>
          </w:tcPr>
          <w:p>
            <w:pPr>
              <w:pStyle w:val="TableParagraph"/>
              <w:spacing w:line="140" w:lineRule="exact" w:before="17"/>
              <w:ind w:left="327"/>
              <w:rPr>
                <w:sz w:val="14"/>
              </w:rPr>
            </w:pPr>
            <w:r>
              <w:rPr>
                <w:spacing w:val="-5"/>
                <w:sz w:val="14"/>
              </w:rPr>
              <w:t>2.7</w:t>
            </w:r>
          </w:p>
        </w:tc>
      </w:tr>
      <w:tr>
        <w:trPr>
          <w:trHeight w:val="177" w:hRule="atLeast"/>
        </w:trPr>
        <w:tc>
          <w:tcPr>
            <w:tcW w:w="5794" w:type="dxa"/>
          </w:tcPr>
          <w:p>
            <w:pPr>
              <w:pStyle w:val="TableParagraph"/>
              <w:spacing w:line="140" w:lineRule="exact" w:before="17"/>
              <w:ind w:left="107"/>
              <w:rPr>
                <w:sz w:val="14"/>
              </w:rPr>
            </w:pPr>
            <w:r>
              <w:rPr>
                <w:sz w:val="14"/>
              </w:rPr>
              <w:t>Non</w:t>
            </w:r>
            <w:r>
              <w:rPr>
                <w:spacing w:val="-2"/>
                <w:sz w:val="14"/>
              </w:rPr>
              <w:t> </w:t>
            </w:r>
            <w:r>
              <w:rPr>
                <w:sz w:val="14"/>
              </w:rPr>
              <w:t>Membership</w:t>
            </w:r>
            <w:r>
              <w:rPr>
                <w:spacing w:val="-2"/>
                <w:sz w:val="14"/>
              </w:rPr>
              <w:t> </w:t>
            </w:r>
            <w:r>
              <w:rPr>
                <w:sz w:val="14"/>
              </w:rPr>
              <w:t>10</w:t>
            </w:r>
            <w:r>
              <w:rPr>
                <w:spacing w:val="-2"/>
                <w:sz w:val="14"/>
              </w:rPr>
              <w:t> </w:t>
            </w:r>
            <w:r>
              <w:rPr>
                <w:sz w:val="14"/>
              </w:rPr>
              <w:t>pass</w:t>
            </w:r>
            <w:r>
              <w:rPr>
                <w:spacing w:val="-4"/>
                <w:sz w:val="14"/>
              </w:rPr>
              <w:t> </w:t>
            </w:r>
            <w:r>
              <w:rPr>
                <w:sz w:val="14"/>
              </w:rPr>
              <w:t>60</w:t>
            </w:r>
            <w:r>
              <w:rPr>
                <w:spacing w:val="-6"/>
                <w:sz w:val="14"/>
              </w:rPr>
              <w:t> </w:t>
            </w:r>
            <w:r>
              <w:rPr>
                <w:sz w:val="14"/>
              </w:rPr>
              <w:t>mins</w:t>
            </w:r>
            <w:r>
              <w:rPr>
                <w:spacing w:val="-1"/>
                <w:sz w:val="14"/>
              </w:rPr>
              <w:t> </w:t>
            </w:r>
            <w:r>
              <w:rPr>
                <w:sz w:val="14"/>
              </w:rPr>
              <w:t>-</w:t>
            </w:r>
            <w:r>
              <w:rPr>
                <w:spacing w:val="-4"/>
                <w:sz w:val="14"/>
              </w:rPr>
              <w:t> </w:t>
            </w:r>
            <w:r>
              <w:rPr>
                <w:spacing w:val="-5"/>
                <w:sz w:val="14"/>
              </w:rPr>
              <w:t>1:1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834.00</w:t>
            </w:r>
          </w:p>
        </w:tc>
        <w:tc>
          <w:tcPr>
            <w:tcW w:w="995" w:type="dxa"/>
          </w:tcPr>
          <w:p>
            <w:pPr>
              <w:pStyle w:val="TableParagraph"/>
              <w:spacing w:line="140" w:lineRule="exact" w:before="17"/>
              <w:ind w:right="102"/>
              <w:jc w:val="right"/>
              <w:rPr>
                <w:sz w:val="14"/>
              </w:rPr>
            </w:pPr>
            <w:r>
              <w:rPr>
                <w:spacing w:val="-2"/>
                <w:sz w:val="14"/>
              </w:rPr>
              <w:t>862.20</w:t>
            </w:r>
          </w:p>
        </w:tc>
        <w:tc>
          <w:tcPr>
            <w:tcW w:w="861" w:type="dxa"/>
          </w:tcPr>
          <w:p>
            <w:pPr>
              <w:pStyle w:val="TableParagraph"/>
              <w:spacing w:line="140" w:lineRule="exact" w:before="17"/>
              <w:ind w:left="327"/>
              <w:rPr>
                <w:sz w:val="14"/>
              </w:rPr>
            </w:pPr>
            <w:r>
              <w:rPr>
                <w:spacing w:val="-5"/>
                <w:sz w:val="14"/>
              </w:rPr>
              <w:t>3.3</w:t>
            </w:r>
          </w:p>
        </w:tc>
      </w:tr>
      <w:tr>
        <w:trPr>
          <w:trHeight w:val="177" w:hRule="atLeast"/>
        </w:trPr>
        <w:tc>
          <w:tcPr>
            <w:tcW w:w="5794" w:type="dxa"/>
          </w:tcPr>
          <w:p>
            <w:pPr>
              <w:pStyle w:val="TableParagraph"/>
              <w:spacing w:line="140" w:lineRule="exact" w:before="17"/>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5"/>
                <w:sz w:val="14"/>
              </w:rPr>
              <w:t> 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640.00</w:t>
            </w:r>
          </w:p>
        </w:tc>
        <w:tc>
          <w:tcPr>
            <w:tcW w:w="995" w:type="dxa"/>
          </w:tcPr>
          <w:p>
            <w:pPr>
              <w:pStyle w:val="TableParagraph"/>
              <w:spacing w:line="140" w:lineRule="exact" w:before="17"/>
              <w:ind w:right="102"/>
              <w:jc w:val="right"/>
              <w:rPr>
                <w:sz w:val="14"/>
              </w:rPr>
            </w:pPr>
            <w:r>
              <w:rPr>
                <w:spacing w:val="-2"/>
                <w:sz w:val="14"/>
              </w:rPr>
              <w:t>657.90</w:t>
            </w:r>
          </w:p>
        </w:tc>
        <w:tc>
          <w:tcPr>
            <w:tcW w:w="861" w:type="dxa"/>
          </w:tcPr>
          <w:p>
            <w:pPr>
              <w:pStyle w:val="TableParagraph"/>
              <w:spacing w:line="140" w:lineRule="exact" w:before="17"/>
              <w:ind w:left="327"/>
              <w:rPr>
                <w:sz w:val="14"/>
              </w:rPr>
            </w:pPr>
            <w:r>
              <w:rPr>
                <w:spacing w:val="-5"/>
                <w:sz w:val="14"/>
              </w:rPr>
              <w:t>2.7</w:t>
            </w:r>
          </w:p>
        </w:tc>
      </w:tr>
      <w:tr>
        <w:trPr>
          <w:trHeight w:val="177" w:hRule="atLeast"/>
        </w:trPr>
        <w:tc>
          <w:tcPr>
            <w:tcW w:w="5794" w:type="dxa"/>
          </w:tcPr>
          <w:p>
            <w:pPr>
              <w:pStyle w:val="TableParagraph"/>
              <w:spacing w:line="140" w:lineRule="exact" w:before="17"/>
              <w:ind w:left="107"/>
              <w:rPr>
                <w:sz w:val="14"/>
              </w:rPr>
            </w:pPr>
            <w:r>
              <w:rPr>
                <w:sz w:val="14"/>
              </w:rPr>
              <w:t>Membership</w:t>
            </w:r>
            <w:r>
              <w:rPr>
                <w:spacing w:val="-1"/>
                <w:sz w:val="14"/>
              </w:rPr>
              <w:t> </w:t>
            </w:r>
            <w:r>
              <w:rPr>
                <w:sz w:val="14"/>
              </w:rPr>
              <w:t>10</w:t>
            </w:r>
            <w:r>
              <w:rPr>
                <w:spacing w:val="-3"/>
                <w:sz w:val="14"/>
              </w:rPr>
              <w:t> </w:t>
            </w:r>
            <w:r>
              <w:rPr>
                <w:sz w:val="14"/>
              </w:rPr>
              <w:t>pass</w:t>
            </w:r>
            <w:r>
              <w:rPr>
                <w:spacing w:val="-4"/>
                <w:sz w:val="14"/>
              </w:rPr>
              <w:t> </w:t>
            </w:r>
            <w:r>
              <w:rPr>
                <w:sz w:val="14"/>
              </w:rPr>
              <w:t>60</w:t>
            </w:r>
            <w:r>
              <w:rPr>
                <w:spacing w:val="-5"/>
                <w:sz w:val="14"/>
              </w:rPr>
              <w:t> </w:t>
            </w:r>
            <w:r>
              <w:rPr>
                <w:sz w:val="14"/>
              </w:rPr>
              <w:t>mins</w:t>
            </w:r>
            <w:r>
              <w:rPr>
                <w:spacing w:val="-1"/>
                <w:sz w:val="14"/>
              </w:rPr>
              <w:t> </w:t>
            </w:r>
            <w:r>
              <w:rPr>
                <w:sz w:val="14"/>
              </w:rPr>
              <w:t>-</w:t>
            </w:r>
            <w:r>
              <w:rPr>
                <w:spacing w:val="-5"/>
                <w:sz w:val="14"/>
              </w:rPr>
              <w:t> 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890.00</w:t>
            </w:r>
          </w:p>
        </w:tc>
        <w:tc>
          <w:tcPr>
            <w:tcW w:w="995" w:type="dxa"/>
          </w:tcPr>
          <w:p>
            <w:pPr>
              <w:pStyle w:val="TableParagraph"/>
              <w:spacing w:line="140" w:lineRule="exact" w:before="17"/>
              <w:ind w:right="102"/>
              <w:jc w:val="right"/>
              <w:rPr>
                <w:sz w:val="14"/>
              </w:rPr>
            </w:pPr>
            <w:r>
              <w:rPr>
                <w:spacing w:val="-2"/>
                <w:sz w:val="14"/>
              </w:rPr>
              <w:t>918.00</w:t>
            </w:r>
          </w:p>
        </w:tc>
        <w:tc>
          <w:tcPr>
            <w:tcW w:w="861" w:type="dxa"/>
          </w:tcPr>
          <w:p>
            <w:pPr>
              <w:pStyle w:val="TableParagraph"/>
              <w:spacing w:line="140" w:lineRule="exact" w:before="17"/>
              <w:ind w:left="327"/>
              <w:rPr>
                <w:sz w:val="14"/>
              </w:rPr>
            </w:pPr>
            <w:r>
              <w:rPr>
                <w:spacing w:val="-5"/>
                <w:sz w:val="14"/>
              </w:rPr>
              <w:t>3.1</w:t>
            </w:r>
          </w:p>
        </w:tc>
      </w:tr>
      <w:tr>
        <w:trPr>
          <w:trHeight w:val="177" w:hRule="atLeast"/>
        </w:trPr>
        <w:tc>
          <w:tcPr>
            <w:tcW w:w="5794" w:type="dxa"/>
          </w:tcPr>
          <w:p>
            <w:pPr>
              <w:pStyle w:val="TableParagraph"/>
              <w:spacing w:line="140" w:lineRule="exact" w:before="17"/>
              <w:ind w:left="107"/>
              <w:rPr>
                <w:sz w:val="14"/>
              </w:rPr>
            </w:pPr>
            <w:r>
              <w:rPr>
                <w:sz w:val="14"/>
              </w:rPr>
              <w:t>Non</w:t>
            </w:r>
            <w:r>
              <w:rPr>
                <w:spacing w:val="-2"/>
                <w:sz w:val="14"/>
              </w:rPr>
              <w:t> </w:t>
            </w:r>
            <w:r>
              <w:rPr>
                <w:sz w:val="14"/>
              </w:rPr>
              <w:t>Membership</w:t>
            </w:r>
            <w:r>
              <w:rPr>
                <w:spacing w:val="-3"/>
                <w:sz w:val="14"/>
              </w:rPr>
              <w:t> </w:t>
            </w:r>
            <w:r>
              <w:rPr>
                <w:sz w:val="14"/>
              </w:rPr>
              <w:t>10</w:t>
            </w:r>
            <w:r>
              <w:rPr>
                <w:spacing w:val="-2"/>
                <w:sz w:val="14"/>
              </w:rPr>
              <w:t> </w:t>
            </w:r>
            <w:r>
              <w:rPr>
                <w:sz w:val="14"/>
              </w:rPr>
              <w:t>pass</w:t>
            </w:r>
            <w:r>
              <w:rPr>
                <w:spacing w:val="-4"/>
                <w:sz w:val="14"/>
              </w:rPr>
              <w:t> </w:t>
            </w:r>
            <w:r>
              <w:rPr>
                <w:sz w:val="14"/>
              </w:rPr>
              <w:t>30</w:t>
            </w:r>
            <w:r>
              <w:rPr>
                <w:spacing w:val="-5"/>
                <w:sz w:val="14"/>
              </w:rPr>
              <w:t> </w:t>
            </w:r>
            <w:r>
              <w:rPr>
                <w:sz w:val="14"/>
              </w:rPr>
              <w:t>mins</w:t>
            </w:r>
            <w:r>
              <w:rPr>
                <w:spacing w:val="-1"/>
                <w:sz w:val="14"/>
              </w:rPr>
              <w:t> </w:t>
            </w:r>
            <w:r>
              <w:rPr>
                <w:sz w:val="14"/>
              </w:rPr>
              <w:t>-</w:t>
            </w:r>
            <w:r>
              <w:rPr>
                <w:spacing w:val="-4"/>
                <w:sz w:val="14"/>
              </w:rPr>
              <w:t> </w:t>
            </w:r>
            <w:r>
              <w:rPr>
                <w:spacing w:val="-5"/>
                <w:sz w:val="14"/>
              </w:rPr>
              <w:t>2:1</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732.00</w:t>
            </w:r>
          </w:p>
        </w:tc>
        <w:tc>
          <w:tcPr>
            <w:tcW w:w="995" w:type="dxa"/>
          </w:tcPr>
          <w:p>
            <w:pPr>
              <w:pStyle w:val="TableParagraph"/>
              <w:spacing w:line="140" w:lineRule="exact" w:before="17"/>
              <w:ind w:right="102"/>
              <w:jc w:val="right"/>
              <w:rPr>
                <w:sz w:val="14"/>
              </w:rPr>
            </w:pPr>
            <w:r>
              <w:rPr>
                <w:spacing w:val="-2"/>
                <w:sz w:val="14"/>
              </w:rPr>
              <w:t>750.60</w:t>
            </w:r>
          </w:p>
        </w:tc>
        <w:tc>
          <w:tcPr>
            <w:tcW w:w="861" w:type="dxa"/>
          </w:tcPr>
          <w:p>
            <w:pPr>
              <w:pStyle w:val="TableParagraph"/>
              <w:spacing w:line="140" w:lineRule="exact" w:before="17"/>
              <w:ind w:left="327"/>
              <w:rPr>
                <w:sz w:val="14"/>
              </w:rPr>
            </w:pPr>
            <w:r>
              <w:rPr>
                <w:spacing w:val="-5"/>
                <w:sz w:val="14"/>
              </w:rPr>
              <w:t>2.5</w:t>
            </w:r>
          </w:p>
        </w:tc>
      </w:tr>
      <w:tr>
        <w:trPr>
          <w:trHeight w:val="177" w:hRule="atLeast"/>
        </w:trPr>
        <w:tc>
          <w:tcPr>
            <w:tcW w:w="5794" w:type="dxa"/>
          </w:tcPr>
          <w:p>
            <w:pPr>
              <w:pStyle w:val="TableParagraph"/>
              <w:spacing w:line="142" w:lineRule="exact" w:before="15"/>
              <w:ind w:left="107"/>
              <w:rPr>
                <w:sz w:val="14"/>
              </w:rPr>
            </w:pPr>
            <w:r>
              <w:rPr>
                <w:sz w:val="14"/>
              </w:rPr>
              <w:t>Non</w:t>
            </w:r>
            <w:r>
              <w:rPr>
                <w:spacing w:val="-2"/>
                <w:sz w:val="14"/>
              </w:rPr>
              <w:t> </w:t>
            </w:r>
            <w:r>
              <w:rPr>
                <w:sz w:val="14"/>
              </w:rPr>
              <w:t>Membership</w:t>
            </w:r>
            <w:r>
              <w:rPr>
                <w:spacing w:val="-3"/>
                <w:sz w:val="14"/>
              </w:rPr>
              <w:t> </w:t>
            </w:r>
            <w:r>
              <w:rPr>
                <w:sz w:val="14"/>
              </w:rPr>
              <w:t>10</w:t>
            </w:r>
            <w:r>
              <w:rPr>
                <w:spacing w:val="-2"/>
                <w:sz w:val="14"/>
              </w:rPr>
              <w:t> </w:t>
            </w:r>
            <w:r>
              <w:rPr>
                <w:sz w:val="14"/>
              </w:rPr>
              <w:t>pass</w:t>
            </w:r>
            <w:r>
              <w:rPr>
                <w:spacing w:val="-4"/>
                <w:sz w:val="14"/>
              </w:rPr>
              <w:t> </w:t>
            </w:r>
            <w:r>
              <w:rPr>
                <w:sz w:val="14"/>
              </w:rPr>
              <w:t>60</w:t>
            </w:r>
            <w:r>
              <w:rPr>
                <w:spacing w:val="-5"/>
                <w:sz w:val="14"/>
              </w:rPr>
              <w:t> </w:t>
            </w:r>
            <w:r>
              <w:rPr>
                <w:sz w:val="14"/>
              </w:rPr>
              <w:t>mins</w:t>
            </w:r>
            <w:r>
              <w:rPr>
                <w:spacing w:val="-1"/>
                <w:sz w:val="14"/>
              </w:rPr>
              <w:t> </w:t>
            </w:r>
            <w:r>
              <w:rPr>
                <w:sz w:val="14"/>
              </w:rPr>
              <w:t>-</w:t>
            </w:r>
            <w:r>
              <w:rPr>
                <w:spacing w:val="-5"/>
                <w:sz w:val="14"/>
              </w:rPr>
              <w:t> 2:1</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983.00</w:t>
            </w:r>
          </w:p>
        </w:tc>
        <w:tc>
          <w:tcPr>
            <w:tcW w:w="995" w:type="dxa"/>
          </w:tcPr>
          <w:p>
            <w:pPr>
              <w:pStyle w:val="TableParagraph"/>
              <w:spacing w:line="142" w:lineRule="exact" w:before="15"/>
              <w:ind w:right="101"/>
              <w:jc w:val="right"/>
              <w:rPr>
                <w:sz w:val="14"/>
              </w:rPr>
            </w:pPr>
            <w:r>
              <w:rPr>
                <w:spacing w:val="-2"/>
                <w:sz w:val="14"/>
              </w:rPr>
              <w:t>1,010.70</w:t>
            </w:r>
          </w:p>
        </w:tc>
        <w:tc>
          <w:tcPr>
            <w:tcW w:w="861" w:type="dxa"/>
          </w:tcPr>
          <w:p>
            <w:pPr>
              <w:pStyle w:val="TableParagraph"/>
              <w:spacing w:line="142" w:lineRule="exact" w:before="15"/>
              <w:ind w:left="326"/>
              <w:rPr>
                <w:sz w:val="14"/>
              </w:rPr>
            </w:pPr>
            <w:r>
              <w:rPr>
                <w:spacing w:val="-5"/>
                <w:sz w:val="14"/>
              </w:rPr>
              <w:t>2.7</w:t>
            </w:r>
          </w:p>
        </w:tc>
      </w:tr>
      <w:tr>
        <w:trPr>
          <w:trHeight w:val="174" w:hRule="atLeast"/>
        </w:trPr>
        <w:tc>
          <w:tcPr>
            <w:tcW w:w="5794" w:type="dxa"/>
          </w:tcPr>
          <w:p>
            <w:pPr>
              <w:pStyle w:val="TableParagraph"/>
              <w:spacing w:line="140" w:lineRule="exact" w:before="15"/>
              <w:ind w:left="107"/>
              <w:rPr>
                <w:b/>
                <w:sz w:val="14"/>
              </w:rPr>
            </w:pPr>
            <w:r>
              <w:rPr>
                <w:b/>
                <w:sz w:val="14"/>
              </w:rPr>
              <w:t>Aquahub</w:t>
            </w:r>
            <w:r>
              <w:rPr>
                <w:b/>
                <w:spacing w:val="-5"/>
                <w:sz w:val="14"/>
              </w:rPr>
              <w:t> </w:t>
            </w:r>
            <w:r>
              <w:rPr>
                <w:b/>
                <w:sz w:val="14"/>
              </w:rPr>
              <w:t>-</w:t>
            </w:r>
            <w:r>
              <w:rPr>
                <w:b/>
                <w:spacing w:val="-2"/>
                <w:sz w:val="14"/>
              </w:rPr>
              <w:t> </w:t>
            </w:r>
            <w:r>
              <w:rPr>
                <w:b/>
                <w:sz w:val="14"/>
              </w:rPr>
              <w:t>Active</w:t>
            </w:r>
            <w:r>
              <w:rPr>
                <w:b/>
                <w:spacing w:val="-5"/>
                <w:sz w:val="14"/>
              </w:rPr>
              <w:t> </w:t>
            </w:r>
            <w:r>
              <w:rPr>
                <w:b/>
                <w:spacing w:val="-2"/>
                <w:sz w:val="14"/>
              </w:rPr>
              <w:t>Adults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Casual</w:t>
            </w:r>
            <w:r>
              <w:rPr>
                <w:spacing w:val="-6"/>
                <w:sz w:val="14"/>
              </w:rPr>
              <w:t> </w:t>
            </w:r>
            <w:r>
              <w:rPr>
                <w:sz w:val="14"/>
              </w:rPr>
              <w:t>Active</w:t>
            </w:r>
            <w:r>
              <w:rPr>
                <w:spacing w:val="-5"/>
                <w:sz w:val="14"/>
              </w:rPr>
              <w:t> </w:t>
            </w:r>
            <w:r>
              <w:rPr>
                <w:sz w:val="14"/>
              </w:rPr>
              <w:t>Adults</w:t>
            </w:r>
            <w:r>
              <w:rPr>
                <w:spacing w:val="-3"/>
                <w:sz w:val="14"/>
              </w:rPr>
              <w:t> </w:t>
            </w:r>
            <w:r>
              <w:rPr>
                <w:spacing w:val="-2"/>
                <w:sz w:val="14"/>
              </w:rPr>
              <w:t>programs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7.50</w:t>
            </w:r>
          </w:p>
        </w:tc>
        <w:tc>
          <w:tcPr>
            <w:tcW w:w="995" w:type="dxa"/>
          </w:tcPr>
          <w:p>
            <w:pPr>
              <w:pStyle w:val="TableParagraph"/>
              <w:spacing w:line="140" w:lineRule="exact" w:before="17"/>
              <w:ind w:right="101"/>
              <w:jc w:val="right"/>
              <w:rPr>
                <w:sz w:val="14"/>
              </w:rPr>
            </w:pPr>
            <w:r>
              <w:rPr>
                <w:spacing w:val="-4"/>
                <w:sz w:val="14"/>
              </w:rPr>
              <w:t>8.00</w:t>
            </w:r>
          </w:p>
        </w:tc>
        <w:tc>
          <w:tcPr>
            <w:tcW w:w="861" w:type="dxa"/>
          </w:tcPr>
          <w:p>
            <w:pPr>
              <w:pStyle w:val="TableParagraph"/>
              <w:spacing w:line="140" w:lineRule="exact" w:before="17"/>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sz w:val="14"/>
              </w:rPr>
            </w:pPr>
            <w:r>
              <w:rPr>
                <w:sz w:val="14"/>
              </w:rPr>
              <w:t>Active</w:t>
            </w:r>
            <w:r>
              <w:rPr>
                <w:spacing w:val="-5"/>
                <w:sz w:val="14"/>
              </w:rPr>
              <w:t> </w:t>
            </w:r>
            <w:r>
              <w:rPr>
                <w:sz w:val="14"/>
              </w:rPr>
              <w:t>Adults -</w:t>
            </w:r>
            <w:r>
              <w:rPr>
                <w:spacing w:val="-4"/>
                <w:sz w:val="14"/>
              </w:rPr>
              <w:t> </w:t>
            </w:r>
            <w:r>
              <w:rPr>
                <w:sz w:val="14"/>
              </w:rPr>
              <w:t>10</w:t>
            </w:r>
            <w:r>
              <w:rPr>
                <w:spacing w:val="-4"/>
                <w:sz w:val="14"/>
              </w:rPr>
              <w:t> </w:t>
            </w:r>
            <w:r>
              <w:rPr>
                <w:sz w:val="14"/>
              </w:rPr>
              <w:t>visit</w:t>
            </w:r>
            <w:r>
              <w:rPr>
                <w:spacing w:val="-3"/>
                <w:sz w:val="14"/>
              </w:rPr>
              <w:t> </w:t>
            </w:r>
            <w:r>
              <w:rPr>
                <w:spacing w:val="-4"/>
                <w:sz w:val="14"/>
              </w:rPr>
              <w:t>pass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67.50</w:t>
            </w:r>
          </w:p>
        </w:tc>
        <w:tc>
          <w:tcPr>
            <w:tcW w:w="995" w:type="dxa"/>
          </w:tcPr>
          <w:p>
            <w:pPr>
              <w:pStyle w:val="TableParagraph"/>
              <w:spacing w:line="140" w:lineRule="exact" w:before="17"/>
              <w:ind w:right="101"/>
              <w:jc w:val="right"/>
              <w:rPr>
                <w:sz w:val="14"/>
              </w:rPr>
            </w:pPr>
            <w:r>
              <w:rPr>
                <w:spacing w:val="-2"/>
                <w:sz w:val="14"/>
              </w:rPr>
              <w:t>72.00</w:t>
            </w:r>
          </w:p>
        </w:tc>
        <w:tc>
          <w:tcPr>
            <w:tcW w:w="861" w:type="dxa"/>
          </w:tcPr>
          <w:p>
            <w:pPr>
              <w:pStyle w:val="TableParagraph"/>
              <w:spacing w:line="140" w:lineRule="exact" w:before="17"/>
              <w:ind w:left="327"/>
              <w:rPr>
                <w:sz w:val="14"/>
              </w:rPr>
            </w:pPr>
            <w:r>
              <w:rPr>
                <w:spacing w:val="-5"/>
                <w:sz w:val="14"/>
              </w:rPr>
              <w:t>6.3</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2"/>
                <w:sz w:val="14"/>
              </w:rPr>
              <w:t> </w:t>
            </w:r>
            <w:r>
              <w:rPr>
                <w:b/>
                <w:sz w:val="14"/>
              </w:rPr>
              <w:t>Casual</w:t>
            </w:r>
            <w:r>
              <w:rPr>
                <w:b/>
                <w:spacing w:val="-3"/>
                <w:sz w:val="14"/>
              </w:rPr>
              <w:t> </w:t>
            </w:r>
            <w:r>
              <w:rPr>
                <w:b/>
                <w:sz w:val="14"/>
              </w:rPr>
              <w:t>Group</w:t>
            </w:r>
            <w:r>
              <w:rPr>
                <w:b/>
                <w:spacing w:val="-4"/>
                <w:sz w:val="14"/>
              </w:rPr>
              <w:t> </w:t>
            </w:r>
            <w:r>
              <w:rPr>
                <w:b/>
                <w:spacing w:val="-2"/>
                <w:sz w:val="14"/>
              </w:rPr>
              <w:t>Fitness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Water</w:t>
            </w:r>
            <w:r>
              <w:rPr>
                <w:spacing w:val="-7"/>
                <w:sz w:val="14"/>
              </w:rPr>
              <w:t> </w:t>
            </w:r>
            <w:r>
              <w:rPr>
                <w:spacing w:val="-2"/>
                <w:sz w:val="14"/>
              </w:rPr>
              <w:t>Aerobics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21.60</w:t>
            </w:r>
          </w:p>
        </w:tc>
        <w:tc>
          <w:tcPr>
            <w:tcW w:w="861" w:type="dxa"/>
          </w:tcPr>
          <w:p>
            <w:pPr>
              <w:pStyle w:val="TableParagraph"/>
              <w:spacing w:line="140" w:lineRule="exact" w:before="17"/>
              <w:ind w:left="327"/>
              <w:rPr>
                <w:sz w:val="14"/>
              </w:rPr>
            </w:pPr>
            <w:r>
              <w:rPr>
                <w:spacing w:val="-5"/>
                <w:sz w:val="14"/>
              </w:rPr>
              <w:t>7.4</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Gymnastics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Fee</w:t>
            </w:r>
            <w:r>
              <w:rPr>
                <w:spacing w:val="-6"/>
                <w:sz w:val="14"/>
              </w:rPr>
              <w:t> </w:t>
            </w:r>
            <w:r>
              <w:rPr>
                <w:spacing w:val="-2"/>
                <w:sz w:val="14"/>
              </w:rPr>
              <w:t>Registration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47.00</w:t>
            </w:r>
          </w:p>
        </w:tc>
        <w:tc>
          <w:tcPr>
            <w:tcW w:w="995" w:type="dxa"/>
          </w:tcPr>
          <w:p>
            <w:pPr>
              <w:pStyle w:val="TableParagraph"/>
              <w:spacing w:line="140" w:lineRule="exact" w:before="17"/>
              <w:ind w:right="101"/>
              <w:jc w:val="right"/>
              <w:rPr>
                <w:sz w:val="14"/>
              </w:rPr>
            </w:pPr>
            <w:r>
              <w:rPr>
                <w:spacing w:val="-2"/>
                <w:sz w:val="14"/>
              </w:rPr>
              <w:t>60.00</w:t>
            </w:r>
          </w:p>
        </w:tc>
        <w:tc>
          <w:tcPr>
            <w:tcW w:w="861" w:type="dxa"/>
          </w:tcPr>
          <w:p>
            <w:pPr>
              <w:pStyle w:val="TableParagraph"/>
              <w:spacing w:line="140" w:lineRule="exact" w:before="17"/>
              <w:ind w:left="288"/>
              <w:rPr>
                <w:sz w:val="14"/>
              </w:rPr>
            </w:pPr>
            <w:r>
              <w:rPr>
                <w:spacing w:val="-4"/>
                <w:sz w:val="14"/>
              </w:rPr>
              <w:t>21.7</w:t>
            </w:r>
          </w:p>
        </w:tc>
      </w:tr>
      <w:tr>
        <w:trPr>
          <w:trHeight w:val="177" w:hRule="atLeast"/>
        </w:trPr>
        <w:tc>
          <w:tcPr>
            <w:tcW w:w="5794" w:type="dxa"/>
          </w:tcPr>
          <w:p>
            <w:pPr>
              <w:pStyle w:val="TableParagraph"/>
              <w:spacing w:line="140" w:lineRule="exact" w:before="17"/>
              <w:ind w:left="107"/>
              <w:rPr>
                <w:sz w:val="14"/>
              </w:rPr>
            </w:pPr>
            <w:r>
              <w:rPr>
                <w:sz w:val="14"/>
              </w:rPr>
              <w:t>Fitness</w:t>
            </w:r>
            <w:r>
              <w:rPr>
                <w:spacing w:val="-5"/>
                <w:sz w:val="14"/>
              </w:rPr>
              <w:t> </w:t>
            </w:r>
            <w:r>
              <w:rPr>
                <w:sz w:val="14"/>
              </w:rPr>
              <w:t>plus</w:t>
            </w:r>
            <w:r>
              <w:rPr>
                <w:spacing w:val="-4"/>
                <w:sz w:val="14"/>
              </w:rPr>
              <w:t> teen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24.25</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288"/>
              <w:rPr>
                <w:sz w:val="14"/>
              </w:rPr>
            </w:pPr>
            <w:r>
              <w:rPr>
                <w:spacing w:val="-4"/>
                <w:sz w:val="14"/>
              </w:rPr>
              <w:t>19.2</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z w:val="14"/>
              </w:rPr>
              <w:t>Room</w:t>
            </w:r>
            <w:r>
              <w:rPr>
                <w:b/>
                <w:spacing w:val="-1"/>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Stadium</w:t>
            </w:r>
            <w:r>
              <w:rPr>
                <w:spacing w:val="-2"/>
                <w:sz w:val="14"/>
              </w:rPr>
              <w:t> </w:t>
            </w:r>
            <w:r>
              <w:rPr>
                <w:sz w:val="14"/>
              </w:rPr>
              <w:t>hire</w:t>
            </w:r>
            <w:r>
              <w:rPr>
                <w:spacing w:val="-4"/>
                <w:sz w:val="14"/>
              </w:rPr>
              <w:t> </w:t>
            </w:r>
            <w:r>
              <w:rPr>
                <w:sz w:val="14"/>
              </w:rPr>
              <w:t>per</w:t>
            </w:r>
            <w:r>
              <w:rPr>
                <w:spacing w:val="-3"/>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65.00</w:t>
            </w:r>
          </w:p>
        </w:tc>
        <w:tc>
          <w:tcPr>
            <w:tcW w:w="995" w:type="dxa"/>
          </w:tcPr>
          <w:p>
            <w:pPr>
              <w:pStyle w:val="TableParagraph"/>
              <w:spacing w:line="140" w:lineRule="exact" w:before="17"/>
              <w:ind w:right="101"/>
              <w:jc w:val="right"/>
              <w:rPr>
                <w:sz w:val="14"/>
              </w:rPr>
            </w:pPr>
            <w:r>
              <w:rPr>
                <w:spacing w:val="-2"/>
                <w:sz w:val="14"/>
              </w:rPr>
              <w:t>70.00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Stadium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Single</w:t>
            </w:r>
            <w:r>
              <w:rPr>
                <w:spacing w:val="-4"/>
                <w:sz w:val="14"/>
              </w:rPr>
              <w:t> </w:t>
            </w:r>
            <w:r>
              <w:rPr>
                <w:sz w:val="14"/>
              </w:rPr>
              <w:t>court</w:t>
            </w:r>
            <w:r>
              <w:rPr>
                <w:spacing w:val="-2"/>
                <w:sz w:val="14"/>
              </w:rPr>
              <w:t> </w:t>
            </w:r>
            <w:r>
              <w:rPr>
                <w:sz w:val="14"/>
              </w:rPr>
              <w:t>per</w:t>
            </w:r>
            <w:r>
              <w:rPr>
                <w:spacing w:val="-6"/>
                <w:sz w:val="14"/>
              </w:rPr>
              <w:t> </w:t>
            </w:r>
            <w:r>
              <w:rPr>
                <w:spacing w:val="-4"/>
                <w:sz w:val="14"/>
              </w:rPr>
              <w:t>hour</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47.00</w:t>
            </w:r>
          </w:p>
        </w:tc>
        <w:tc>
          <w:tcPr>
            <w:tcW w:w="995" w:type="dxa"/>
          </w:tcPr>
          <w:p>
            <w:pPr>
              <w:pStyle w:val="TableParagraph"/>
              <w:spacing w:line="142" w:lineRule="exact" w:before="15"/>
              <w:ind w:right="101"/>
              <w:jc w:val="right"/>
              <w:rPr>
                <w:sz w:val="14"/>
              </w:rPr>
            </w:pPr>
            <w:r>
              <w:rPr>
                <w:spacing w:val="-4"/>
                <w:sz w:val="14"/>
              </w:rPr>
              <w:t>0.00</w:t>
            </w:r>
          </w:p>
        </w:tc>
        <w:tc>
          <w:tcPr>
            <w:tcW w:w="861" w:type="dxa"/>
          </w:tcPr>
          <w:p>
            <w:pPr>
              <w:pStyle w:val="TableParagraph"/>
              <w:spacing w:line="142" w:lineRule="exact" w:before="15"/>
              <w:ind w:left="326"/>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Single</w:t>
            </w:r>
            <w:r>
              <w:rPr>
                <w:spacing w:val="-4"/>
                <w:sz w:val="14"/>
              </w:rPr>
              <w:t> </w:t>
            </w:r>
            <w:r>
              <w:rPr>
                <w:sz w:val="14"/>
              </w:rPr>
              <w:t>half</w:t>
            </w:r>
            <w:r>
              <w:rPr>
                <w:spacing w:val="-3"/>
                <w:sz w:val="14"/>
              </w:rPr>
              <w:t> </w:t>
            </w:r>
            <w:r>
              <w:rPr>
                <w:spacing w:val="-2"/>
                <w:sz w:val="14"/>
              </w:rPr>
              <w:t>court</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23.50</w:t>
            </w:r>
          </w:p>
        </w:tc>
        <w:tc>
          <w:tcPr>
            <w:tcW w:w="995" w:type="dxa"/>
          </w:tcPr>
          <w:p>
            <w:pPr>
              <w:pStyle w:val="TableParagraph"/>
              <w:spacing w:line="140" w:lineRule="exact" w:before="15"/>
              <w:ind w:right="101"/>
              <w:jc w:val="right"/>
              <w:rPr>
                <w:sz w:val="14"/>
              </w:rPr>
            </w:pPr>
            <w:r>
              <w:rPr>
                <w:spacing w:val="-4"/>
                <w:sz w:val="14"/>
              </w:rPr>
              <w:t>0.00</w:t>
            </w:r>
          </w:p>
        </w:tc>
        <w:tc>
          <w:tcPr>
            <w:tcW w:w="861" w:type="dxa"/>
          </w:tcPr>
          <w:p>
            <w:pPr>
              <w:pStyle w:val="TableParagraph"/>
              <w:spacing w:line="140" w:lineRule="exact" w:before="1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Stadium</w:t>
            </w:r>
            <w:r>
              <w:rPr>
                <w:spacing w:val="-2"/>
                <w:sz w:val="14"/>
              </w:rPr>
              <w:t> </w:t>
            </w:r>
            <w:r>
              <w:rPr>
                <w:sz w:val="14"/>
              </w:rPr>
              <w:t>hire</w:t>
            </w:r>
            <w:r>
              <w:rPr>
                <w:spacing w:val="-4"/>
                <w:sz w:val="14"/>
              </w:rPr>
              <w:t> </w:t>
            </w:r>
            <w:r>
              <w:rPr>
                <w:sz w:val="14"/>
              </w:rPr>
              <w:t>per</w:t>
            </w:r>
            <w:r>
              <w:rPr>
                <w:spacing w:val="-3"/>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144.00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6"/>
                <w:sz w:val="14"/>
              </w:rPr>
              <w:t> </w:t>
            </w:r>
            <w:r>
              <w:rPr>
                <w:b/>
                <w:sz w:val="14"/>
              </w:rPr>
              <w:t>-</w:t>
            </w:r>
            <w:r>
              <w:rPr>
                <w:b/>
                <w:spacing w:val="-3"/>
                <w:sz w:val="14"/>
              </w:rPr>
              <w:t> </w:t>
            </w:r>
            <w:r>
              <w:rPr>
                <w:b/>
                <w:sz w:val="14"/>
              </w:rPr>
              <w:t>Membership</w:t>
            </w:r>
            <w:r>
              <w:rPr>
                <w:b/>
                <w:spacing w:val="-3"/>
                <w:sz w:val="14"/>
              </w:rPr>
              <w:t> </w:t>
            </w:r>
            <w:r>
              <w:rPr>
                <w:b/>
                <w:sz w:val="14"/>
              </w:rPr>
              <w:t>Joining</w:t>
            </w:r>
            <w:r>
              <w:rPr>
                <w:b/>
                <w:spacing w:val="-3"/>
                <w:sz w:val="14"/>
              </w:rPr>
              <w:t> </w:t>
            </w:r>
            <w:r>
              <w:rPr>
                <w:b/>
                <w:spacing w:val="-5"/>
                <w:sz w:val="14"/>
              </w:rPr>
              <w:t>Fee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99.00</w:t>
            </w:r>
          </w:p>
        </w:tc>
        <w:tc>
          <w:tcPr>
            <w:tcW w:w="995" w:type="dxa"/>
          </w:tcPr>
          <w:p>
            <w:pPr>
              <w:pStyle w:val="TableParagraph"/>
              <w:spacing w:line="140" w:lineRule="exact" w:before="17"/>
              <w:ind w:right="101"/>
              <w:jc w:val="right"/>
              <w:rPr>
                <w:sz w:val="14"/>
              </w:rPr>
            </w:pPr>
            <w:r>
              <w:rPr>
                <w:spacing w:val="-2"/>
                <w:sz w:val="14"/>
              </w:rPr>
              <w:t>99.00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8"/>
                <w:sz w:val="14"/>
              </w:rPr>
              <w:t> </w:t>
            </w:r>
            <w:r>
              <w:rPr>
                <w:b/>
                <w:sz w:val="14"/>
              </w:rPr>
              <w:t>School</w:t>
            </w:r>
            <w:r>
              <w:rPr>
                <w:b/>
                <w:spacing w:val="-3"/>
                <w:sz w:val="14"/>
              </w:rPr>
              <w:t> </w:t>
            </w:r>
            <w:r>
              <w:rPr>
                <w:b/>
                <w:sz w:val="14"/>
              </w:rPr>
              <w:t>Lane</w:t>
            </w:r>
            <w:r>
              <w:rPr>
                <w:b/>
                <w:spacing w:val="-4"/>
                <w:sz w:val="14"/>
              </w:rPr>
              <w:t> 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32.00</w:t>
            </w:r>
          </w:p>
        </w:tc>
        <w:tc>
          <w:tcPr>
            <w:tcW w:w="995" w:type="dxa"/>
          </w:tcPr>
          <w:p>
            <w:pPr>
              <w:pStyle w:val="TableParagraph"/>
              <w:spacing w:line="140" w:lineRule="exact" w:before="17"/>
              <w:ind w:right="101"/>
              <w:jc w:val="right"/>
              <w:rPr>
                <w:sz w:val="14"/>
              </w:rPr>
            </w:pPr>
            <w:r>
              <w:rPr>
                <w:spacing w:val="-2"/>
                <w:sz w:val="14"/>
              </w:rPr>
              <w:t>35.00</w:t>
            </w:r>
          </w:p>
        </w:tc>
        <w:tc>
          <w:tcPr>
            <w:tcW w:w="861" w:type="dxa"/>
          </w:tcPr>
          <w:p>
            <w:pPr>
              <w:pStyle w:val="TableParagraph"/>
              <w:spacing w:line="140" w:lineRule="exact" w:before="17"/>
              <w:ind w:left="327"/>
              <w:rPr>
                <w:sz w:val="14"/>
              </w:rPr>
            </w:pPr>
            <w:r>
              <w:rPr>
                <w:spacing w:val="-5"/>
                <w:sz w:val="14"/>
              </w:rPr>
              <w:t>8.6</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6"/>
                <w:sz w:val="14"/>
              </w:rPr>
              <w:t> </w:t>
            </w:r>
            <w:r>
              <w:rPr>
                <w:b/>
                <w:sz w:val="14"/>
              </w:rPr>
              <w:t>Lane</w:t>
            </w:r>
            <w:r>
              <w:rPr>
                <w:b/>
                <w:spacing w:val="-6"/>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Club/Assoc</w:t>
            </w:r>
            <w:r>
              <w:rPr>
                <w:spacing w:val="-5"/>
                <w:sz w:val="14"/>
              </w:rPr>
              <w:t> </w:t>
            </w:r>
            <w:r>
              <w:rPr>
                <w:sz w:val="14"/>
              </w:rPr>
              <w:t>Lane</w:t>
            </w:r>
            <w:r>
              <w:rPr>
                <w:spacing w:val="-7"/>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61.00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Public</w:t>
            </w:r>
            <w:r>
              <w:rPr>
                <w:spacing w:val="-2"/>
                <w:sz w:val="14"/>
              </w:rPr>
              <w:t> </w:t>
            </w:r>
            <w:r>
              <w:rPr>
                <w:sz w:val="14"/>
              </w:rPr>
              <w:t>Lane</w:t>
            </w:r>
            <w:r>
              <w:rPr>
                <w:spacing w:val="-3"/>
                <w:sz w:val="14"/>
              </w:rPr>
              <w:t> </w:t>
            </w:r>
            <w:r>
              <w:rPr>
                <w:sz w:val="14"/>
              </w:rPr>
              <w:t>Hire</w:t>
            </w:r>
            <w:r>
              <w:rPr>
                <w:spacing w:val="-3"/>
                <w:sz w:val="14"/>
              </w:rPr>
              <w:t> </w:t>
            </w:r>
            <w:r>
              <w:rPr>
                <w:sz w:val="14"/>
              </w:rPr>
              <w:t>-</w:t>
            </w:r>
            <w:r>
              <w:rPr>
                <w:spacing w:val="-3"/>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38.00</w:t>
            </w:r>
          </w:p>
        </w:tc>
        <w:tc>
          <w:tcPr>
            <w:tcW w:w="995" w:type="dxa"/>
          </w:tcPr>
          <w:p>
            <w:pPr>
              <w:pStyle w:val="TableParagraph"/>
              <w:spacing w:line="140" w:lineRule="exact" w:before="17"/>
              <w:ind w:right="101"/>
              <w:jc w:val="right"/>
              <w:rPr>
                <w:sz w:val="14"/>
              </w:rPr>
            </w:pPr>
            <w:r>
              <w:rPr>
                <w:spacing w:val="-2"/>
                <w:sz w:val="14"/>
              </w:rPr>
              <w:t>45.00</w:t>
            </w:r>
          </w:p>
        </w:tc>
        <w:tc>
          <w:tcPr>
            <w:tcW w:w="861" w:type="dxa"/>
          </w:tcPr>
          <w:p>
            <w:pPr>
              <w:pStyle w:val="TableParagraph"/>
              <w:spacing w:line="140" w:lineRule="exact" w:before="17"/>
              <w:ind w:left="288"/>
              <w:rPr>
                <w:sz w:val="14"/>
              </w:rPr>
            </w:pPr>
            <w:r>
              <w:rPr>
                <w:spacing w:val="-4"/>
                <w:sz w:val="14"/>
              </w:rPr>
              <w:t>15.6</w:t>
            </w:r>
          </w:p>
        </w:tc>
      </w:tr>
    </w:tbl>
    <w:p>
      <w:pPr>
        <w:spacing w:after="0" w:line="140" w:lineRule="exact"/>
        <w:rPr>
          <w:sz w:val="14"/>
        </w:rPr>
        <w:sectPr>
          <w:type w:val="continuous"/>
          <w:pgSz w:w="11910" w:h="16840"/>
          <w:pgMar w:header="0" w:footer="687" w:top="920" w:bottom="1061"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Public</w:t>
            </w:r>
            <w:r>
              <w:rPr>
                <w:spacing w:val="-1"/>
                <w:sz w:val="14"/>
              </w:rPr>
              <w:t> </w:t>
            </w:r>
            <w:r>
              <w:rPr>
                <w:sz w:val="14"/>
              </w:rPr>
              <w:t>Lane</w:t>
            </w:r>
            <w:r>
              <w:rPr>
                <w:spacing w:val="-4"/>
                <w:sz w:val="14"/>
              </w:rPr>
              <w:t> </w:t>
            </w:r>
            <w:r>
              <w:rPr>
                <w:sz w:val="14"/>
              </w:rPr>
              <w:t>Hire</w:t>
            </w:r>
            <w:r>
              <w:rPr>
                <w:spacing w:val="-2"/>
                <w:sz w:val="14"/>
              </w:rPr>
              <w:t> </w:t>
            </w:r>
            <w:r>
              <w:rPr>
                <w:sz w:val="14"/>
              </w:rPr>
              <w:t>-</w:t>
            </w:r>
            <w:r>
              <w:rPr>
                <w:spacing w:val="-4"/>
                <w:sz w:val="14"/>
              </w:rPr>
              <w:t> </w:t>
            </w:r>
            <w:r>
              <w:rPr>
                <w:sz w:val="14"/>
              </w:rPr>
              <w:t>Off</w:t>
            </w:r>
            <w:r>
              <w:rPr>
                <w:spacing w:val="-2"/>
                <w:sz w:val="14"/>
              </w:rPr>
              <w:t> </w:t>
            </w:r>
            <w:r>
              <w:rPr>
                <w:spacing w:val="-4"/>
                <w:sz w:val="14"/>
              </w:rPr>
              <w:t>Peak</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32.00</w:t>
            </w:r>
          </w:p>
        </w:tc>
        <w:tc>
          <w:tcPr>
            <w:tcW w:w="995" w:type="dxa"/>
          </w:tcPr>
          <w:p>
            <w:pPr>
              <w:pStyle w:val="TableParagraph"/>
              <w:spacing w:line="140" w:lineRule="exact" w:before="15"/>
              <w:ind w:right="101"/>
              <w:jc w:val="right"/>
              <w:rPr>
                <w:sz w:val="14"/>
              </w:rPr>
            </w:pPr>
            <w:r>
              <w:rPr>
                <w:spacing w:val="-4"/>
                <w:sz w:val="14"/>
              </w:rPr>
              <w:t>0.00</w:t>
            </w:r>
          </w:p>
        </w:tc>
        <w:tc>
          <w:tcPr>
            <w:tcW w:w="861" w:type="dxa"/>
          </w:tcPr>
          <w:p>
            <w:pPr>
              <w:pStyle w:val="TableParagraph"/>
              <w:spacing w:line="140" w:lineRule="exact" w:before="1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3"/>
                <w:sz w:val="14"/>
              </w:rPr>
              <w:t> </w:t>
            </w:r>
            <w:r>
              <w:rPr>
                <w:sz w:val="14"/>
              </w:rPr>
              <w:t>Hire</w:t>
            </w:r>
            <w:r>
              <w:rPr>
                <w:spacing w:val="-3"/>
                <w:sz w:val="14"/>
              </w:rPr>
              <w:t> </w:t>
            </w:r>
            <w:r>
              <w:rPr>
                <w:sz w:val="14"/>
              </w:rPr>
              <w:t>-</w:t>
            </w:r>
            <w:r>
              <w:rPr>
                <w:spacing w:val="-6"/>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49.00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3"/>
                <w:sz w:val="14"/>
              </w:rPr>
              <w:t> </w:t>
            </w:r>
            <w:r>
              <w:rPr>
                <w:sz w:val="14"/>
              </w:rPr>
              <w:t>Hire</w:t>
            </w:r>
            <w:r>
              <w:rPr>
                <w:spacing w:val="-3"/>
                <w:sz w:val="14"/>
              </w:rPr>
              <w:t> </w:t>
            </w:r>
            <w:r>
              <w:rPr>
                <w:sz w:val="14"/>
              </w:rPr>
              <w:t>-</w:t>
            </w:r>
            <w:r>
              <w:rPr>
                <w:spacing w:val="-3"/>
                <w:sz w:val="14"/>
              </w:rPr>
              <w:t> </w:t>
            </w:r>
            <w:r>
              <w:rPr>
                <w:sz w:val="14"/>
              </w:rPr>
              <w:t>Off</w:t>
            </w:r>
            <w:r>
              <w:rPr>
                <w:spacing w:val="-5"/>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2" w:lineRule="exact" w:before="15"/>
              <w:ind w:left="107"/>
              <w:rPr>
                <w:b/>
                <w:sz w:val="14"/>
              </w:rPr>
            </w:pPr>
            <w:r>
              <w:rPr>
                <w:b/>
                <w:sz w:val="14"/>
              </w:rPr>
              <w:t>Aquahub</w:t>
            </w:r>
            <w:r>
              <w:rPr>
                <w:b/>
                <w:spacing w:val="-6"/>
                <w:sz w:val="14"/>
              </w:rPr>
              <w:t> </w:t>
            </w:r>
            <w:r>
              <w:rPr>
                <w:b/>
                <w:sz w:val="14"/>
              </w:rPr>
              <w:t>-</w:t>
            </w:r>
            <w:r>
              <w:rPr>
                <w:b/>
                <w:spacing w:val="-3"/>
                <w:sz w:val="14"/>
              </w:rPr>
              <w:t> </w:t>
            </w:r>
            <w:r>
              <w:rPr>
                <w:b/>
                <w:sz w:val="14"/>
              </w:rPr>
              <w:t>Family</w:t>
            </w:r>
            <w:r>
              <w:rPr>
                <w:b/>
                <w:spacing w:val="-3"/>
                <w:sz w:val="14"/>
              </w:rPr>
              <w:t> </w:t>
            </w:r>
            <w:r>
              <w:rPr>
                <w:b/>
                <w:sz w:val="14"/>
              </w:rPr>
              <w:t>Membership</w:t>
            </w:r>
            <w:r>
              <w:rPr>
                <w:b/>
                <w:spacing w:val="-3"/>
                <w:sz w:val="14"/>
              </w:rPr>
              <w:t> </w:t>
            </w:r>
            <w:r>
              <w:rPr>
                <w:b/>
                <w:sz w:val="14"/>
              </w:rPr>
              <w:t>-</w:t>
            </w:r>
            <w:r>
              <w:rPr>
                <w:b/>
                <w:spacing w:val="-5"/>
                <w:sz w:val="14"/>
              </w:rPr>
              <w:t> Wet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36.50</w:t>
            </w:r>
          </w:p>
        </w:tc>
        <w:tc>
          <w:tcPr>
            <w:tcW w:w="995" w:type="dxa"/>
          </w:tcPr>
          <w:p>
            <w:pPr>
              <w:pStyle w:val="TableParagraph"/>
              <w:spacing w:line="140" w:lineRule="exact" w:before="15"/>
              <w:ind w:right="101"/>
              <w:jc w:val="right"/>
              <w:rPr>
                <w:sz w:val="14"/>
              </w:rPr>
            </w:pPr>
            <w:r>
              <w:rPr>
                <w:spacing w:val="-2"/>
                <w:sz w:val="14"/>
              </w:rPr>
              <w:t>40.00</w:t>
            </w:r>
          </w:p>
        </w:tc>
        <w:tc>
          <w:tcPr>
            <w:tcW w:w="861" w:type="dxa"/>
          </w:tcPr>
          <w:p>
            <w:pPr>
              <w:pStyle w:val="TableParagraph"/>
              <w:spacing w:line="140" w:lineRule="exact" w:before="15"/>
              <w:ind w:left="327"/>
              <w:rPr>
                <w:sz w:val="14"/>
              </w:rPr>
            </w:pPr>
            <w:r>
              <w:rPr>
                <w:spacing w:val="-5"/>
                <w:sz w:val="14"/>
              </w:rPr>
              <w:t>8.8</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Adults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3"/>
                <w:sz w:val="14"/>
              </w:rPr>
              <w:t> </w:t>
            </w:r>
            <w:r>
              <w:rPr>
                <w:sz w:val="14"/>
              </w:rPr>
              <w:t>Swim</w:t>
            </w:r>
            <w:r>
              <w:rPr>
                <w:spacing w:val="-2"/>
                <w:sz w:val="14"/>
              </w:rPr>
              <w:t> </w:t>
            </w:r>
            <w:r>
              <w:rPr>
                <w:sz w:val="14"/>
              </w:rPr>
              <w:t>Spa</w:t>
            </w:r>
            <w:r>
              <w:rPr>
                <w:spacing w:val="-3"/>
                <w:sz w:val="14"/>
              </w:rPr>
              <w:t> </w:t>
            </w:r>
            <w:r>
              <w:rPr>
                <w:spacing w:val="-4"/>
                <w:sz w:val="14"/>
              </w:rPr>
              <w:t>Sauna</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117.00</w:t>
            </w:r>
          </w:p>
        </w:tc>
        <w:tc>
          <w:tcPr>
            <w:tcW w:w="995" w:type="dxa"/>
          </w:tcPr>
          <w:p>
            <w:pPr>
              <w:pStyle w:val="TableParagraph"/>
              <w:spacing w:line="140" w:lineRule="exact" w:before="17"/>
              <w:ind w:right="102"/>
              <w:jc w:val="right"/>
              <w:rPr>
                <w:sz w:val="14"/>
              </w:rPr>
            </w:pPr>
            <w:r>
              <w:rPr>
                <w:spacing w:val="-2"/>
                <w:sz w:val="14"/>
              </w:rPr>
              <w:t>126.00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w:t>
            </w:r>
            <w:r>
              <w:rPr>
                <w:spacing w:val="-2"/>
                <w:sz w:val="14"/>
              </w:rPr>
              <w:t> </w:t>
            </w:r>
            <w:r>
              <w:rPr>
                <w:sz w:val="14"/>
              </w:rPr>
              <w:t>Adult</w:t>
            </w:r>
            <w:r>
              <w:rPr>
                <w:spacing w:val="-2"/>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82.80</w:t>
            </w:r>
          </w:p>
        </w:tc>
        <w:tc>
          <w:tcPr>
            <w:tcW w:w="995" w:type="dxa"/>
          </w:tcPr>
          <w:p>
            <w:pPr>
              <w:pStyle w:val="TableParagraph"/>
              <w:spacing w:line="140" w:lineRule="exact" w:before="17"/>
              <w:ind w:right="101"/>
              <w:jc w:val="right"/>
              <w:rPr>
                <w:sz w:val="14"/>
              </w:rPr>
            </w:pPr>
            <w:r>
              <w:rPr>
                <w:spacing w:val="-2"/>
                <w:sz w:val="14"/>
              </w:rPr>
              <w:t>90.00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Adult</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9.20</w:t>
            </w:r>
          </w:p>
        </w:tc>
        <w:tc>
          <w:tcPr>
            <w:tcW w:w="995" w:type="dxa"/>
          </w:tcPr>
          <w:p>
            <w:pPr>
              <w:pStyle w:val="TableParagraph"/>
              <w:spacing w:line="140" w:lineRule="exact" w:before="17"/>
              <w:ind w:right="101"/>
              <w:jc w:val="right"/>
              <w:rPr>
                <w:sz w:val="14"/>
              </w:rPr>
            </w:pPr>
            <w:r>
              <w:rPr>
                <w:spacing w:val="-2"/>
                <w:sz w:val="14"/>
              </w:rPr>
              <w:t>10.00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Swim</w:t>
            </w:r>
            <w:r>
              <w:rPr>
                <w:spacing w:val="-2"/>
                <w:sz w:val="14"/>
              </w:rPr>
              <w:t> </w:t>
            </w:r>
            <w:r>
              <w:rPr>
                <w:sz w:val="14"/>
              </w:rPr>
              <w:t>Spa</w:t>
            </w:r>
            <w:r>
              <w:rPr>
                <w:spacing w:val="-3"/>
                <w:sz w:val="14"/>
              </w:rPr>
              <w:t> </w:t>
            </w:r>
            <w:r>
              <w:rPr>
                <w:sz w:val="14"/>
              </w:rPr>
              <w:t>Sauna</w:t>
            </w:r>
            <w:r>
              <w:rPr>
                <w:spacing w:val="-4"/>
                <w:sz w:val="14"/>
              </w:rPr>
              <w:t> 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13.00</w:t>
            </w:r>
          </w:p>
        </w:tc>
        <w:tc>
          <w:tcPr>
            <w:tcW w:w="995" w:type="dxa"/>
          </w:tcPr>
          <w:p>
            <w:pPr>
              <w:pStyle w:val="TableParagraph"/>
              <w:spacing w:line="140" w:lineRule="exact" w:before="17"/>
              <w:ind w:right="101"/>
              <w:jc w:val="right"/>
              <w:rPr>
                <w:sz w:val="14"/>
              </w:rPr>
            </w:pPr>
            <w:r>
              <w:rPr>
                <w:spacing w:val="-2"/>
                <w:sz w:val="14"/>
              </w:rPr>
              <w:t>14.00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Juniors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Child</w:t>
            </w:r>
            <w:r>
              <w:rPr>
                <w:spacing w:val="-6"/>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7.80</w:t>
            </w:r>
          </w:p>
        </w:tc>
        <w:tc>
          <w:tcPr>
            <w:tcW w:w="995" w:type="dxa"/>
          </w:tcPr>
          <w:p>
            <w:pPr>
              <w:pStyle w:val="TableParagraph"/>
              <w:spacing w:line="140" w:lineRule="exact" w:before="17"/>
              <w:ind w:right="101"/>
              <w:jc w:val="right"/>
              <w:rPr>
                <w:sz w:val="14"/>
              </w:rPr>
            </w:pPr>
            <w:r>
              <w:rPr>
                <w:spacing w:val="-4"/>
                <w:sz w:val="14"/>
              </w:rPr>
              <w:t>8.50</w:t>
            </w:r>
          </w:p>
        </w:tc>
        <w:tc>
          <w:tcPr>
            <w:tcW w:w="861" w:type="dxa"/>
          </w:tcPr>
          <w:p>
            <w:pPr>
              <w:pStyle w:val="TableParagraph"/>
              <w:spacing w:line="140" w:lineRule="exact" w:before="17"/>
              <w:ind w:left="327"/>
              <w:rPr>
                <w:sz w:val="14"/>
              </w:rPr>
            </w:pPr>
            <w:r>
              <w:rPr>
                <w:spacing w:val="-5"/>
                <w:sz w:val="14"/>
              </w:rPr>
              <w:t>8.2</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Concession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2"/>
                <w:sz w:val="14"/>
              </w:rPr>
              <w:t> </w:t>
            </w:r>
            <w:r>
              <w:rPr>
                <w:sz w:val="14"/>
              </w:rPr>
              <w:t>pass</w:t>
            </w:r>
            <w:r>
              <w:rPr>
                <w:spacing w:val="-3"/>
                <w:sz w:val="14"/>
              </w:rPr>
              <w:t> </w:t>
            </w:r>
            <w:r>
              <w:rPr>
                <w:sz w:val="14"/>
              </w:rPr>
              <w:t>Child</w:t>
            </w:r>
            <w:r>
              <w:rPr>
                <w:spacing w:val="-2"/>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66.60</w:t>
            </w:r>
          </w:p>
        </w:tc>
        <w:tc>
          <w:tcPr>
            <w:tcW w:w="995" w:type="dxa"/>
          </w:tcPr>
          <w:p>
            <w:pPr>
              <w:pStyle w:val="TableParagraph"/>
              <w:spacing w:line="140" w:lineRule="exact" w:before="17"/>
              <w:ind w:right="101"/>
              <w:jc w:val="right"/>
              <w:rPr>
                <w:sz w:val="14"/>
              </w:rPr>
            </w:pPr>
            <w:r>
              <w:rPr>
                <w:spacing w:val="-2"/>
                <w:sz w:val="14"/>
              </w:rPr>
              <w:t>76.50</w:t>
            </w:r>
          </w:p>
        </w:tc>
        <w:tc>
          <w:tcPr>
            <w:tcW w:w="861" w:type="dxa"/>
          </w:tcPr>
          <w:p>
            <w:pPr>
              <w:pStyle w:val="TableParagraph"/>
              <w:spacing w:line="140" w:lineRule="exact" w:before="17"/>
              <w:ind w:left="288"/>
              <w:rPr>
                <w:sz w:val="14"/>
              </w:rPr>
            </w:pPr>
            <w:r>
              <w:rPr>
                <w:spacing w:val="-4"/>
                <w:sz w:val="14"/>
              </w:rPr>
              <w:t>12.9</w:t>
            </w: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3"/>
                <w:sz w:val="14"/>
              </w:rPr>
              <w:t> </w:t>
            </w:r>
            <w:r>
              <w:rPr>
                <w:sz w:val="14"/>
              </w:rPr>
              <w:t>Swim</w:t>
            </w:r>
            <w:r>
              <w:rPr>
                <w:spacing w:val="-2"/>
                <w:sz w:val="14"/>
              </w:rPr>
              <w:t> </w:t>
            </w:r>
            <w:r>
              <w:rPr>
                <w:sz w:val="14"/>
              </w:rPr>
              <w:t>Spa</w:t>
            </w:r>
            <w:r>
              <w:rPr>
                <w:spacing w:val="-3"/>
                <w:sz w:val="14"/>
              </w:rPr>
              <w:t> </w:t>
            </w:r>
            <w:r>
              <w:rPr>
                <w:sz w:val="14"/>
              </w:rPr>
              <w:t>Sauna</w:t>
            </w:r>
            <w:r>
              <w:rPr>
                <w:spacing w:val="-4"/>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100.80</w:t>
            </w:r>
          </w:p>
        </w:tc>
        <w:tc>
          <w:tcPr>
            <w:tcW w:w="995" w:type="dxa"/>
          </w:tcPr>
          <w:p>
            <w:pPr>
              <w:pStyle w:val="TableParagraph"/>
              <w:spacing w:line="140" w:lineRule="exact" w:before="17"/>
              <w:ind w:right="102"/>
              <w:jc w:val="right"/>
              <w:rPr>
                <w:sz w:val="14"/>
              </w:rPr>
            </w:pPr>
            <w:r>
              <w:rPr>
                <w:spacing w:val="-2"/>
                <w:sz w:val="14"/>
              </w:rPr>
              <w:t>112.50</w:t>
            </w:r>
          </w:p>
        </w:tc>
        <w:tc>
          <w:tcPr>
            <w:tcW w:w="861" w:type="dxa"/>
          </w:tcPr>
          <w:p>
            <w:pPr>
              <w:pStyle w:val="TableParagraph"/>
              <w:spacing w:line="140" w:lineRule="exact" w:before="17"/>
              <w:ind w:left="288"/>
              <w:rPr>
                <w:sz w:val="14"/>
              </w:rPr>
            </w:pPr>
            <w:r>
              <w:rPr>
                <w:spacing w:val="-4"/>
                <w:sz w:val="14"/>
              </w:rPr>
              <w:t>10.4</w:t>
            </w:r>
          </w:p>
        </w:tc>
      </w:tr>
      <w:tr>
        <w:trPr>
          <w:trHeight w:val="177" w:hRule="atLeast"/>
        </w:trPr>
        <w:tc>
          <w:tcPr>
            <w:tcW w:w="5794" w:type="dxa"/>
          </w:tcPr>
          <w:p>
            <w:pPr>
              <w:pStyle w:val="TableParagraph"/>
              <w:spacing w:line="142" w:lineRule="exact" w:before="15"/>
              <w:ind w:left="107"/>
              <w:rPr>
                <w:sz w:val="14"/>
              </w:rPr>
            </w:pPr>
            <w:r>
              <w:rPr>
                <w:sz w:val="14"/>
              </w:rPr>
              <w:t>10</w:t>
            </w:r>
            <w:r>
              <w:rPr>
                <w:spacing w:val="-6"/>
                <w:sz w:val="14"/>
              </w:rPr>
              <w:t> </w:t>
            </w:r>
            <w:r>
              <w:rPr>
                <w:sz w:val="14"/>
              </w:rPr>
              <w:t>Visit</w:t>
            </w:r>
            <w:r>
              <w:rPr>
                <w:spacing w:val="-3"/>
                <w:sz w:val="14"/>
              </w:rPr>
              <w:t> </w:t>
            </w:r>
            <w:r>
              <w:rPr>
                <w:sz w:val="14"/>
              </w:rPr>
              <w:t>Concession</w:t>
            </w:r>
            <w:r>
              <w:rPr>
                <w:spacing w:val="-2"/>
                <w:sz w:val="14"/>
              </w:rPr>
              <w:t> </w:t>
            </w:r>
            <w:r>
              <w:rPr>
                <w:spacing w:val="-4"/>
                <w:sz w:val="14"/>
              </w:rPr>
              <w:t>Swim</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60"/>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64.80</w:t>
            </w:r>
          </w:p>
        </w:tc>
        <w:tc>
          <w:tcPr>
            <w:tcW w:w="995" w:type="dxa"/>
          </w:tcPr>
          <w:p>
            <w:pPr>
              <w:pStyle w:val="TableParagraph"/>
              <w:spacing w:line="142" w:lineRule="exact" w:before="15"/>
              <w:ind w:right="101"/>
              <w:jc w:val="right"/>
              <w:rPr>
                <w:sz w:val="14"/>
              </w:rPr>
            </w:pPr>
            <w:r>
              <w:rPr>
                <w:spacing w:val="-2"/>
                <w:sz w:val="14"/>
              </w:rPr>
              <w:t>76.50</w:t>
            </w:r>
          </w:p>
        </w:tc>
        <w:tc>
          <w:tcPr>
            <w:tcW w:w="861" w:type="dxa"/>
          </w:tcPr>
          <w:p>
            <w:pPr>
              <w:pStyle w:val="TableParagraph"/>
              <w:spacing w:line="142" w:lineRule="exact" w:before="15"/>
              <w:ind w:left="288"/>
              <w:rPr>
                <w:sz w:val="14"/>
              </w:rPr>
            </w:pPr>
            <w:r>
              <w:rPr>
                <w:spacing w:val="-4"/>
                <w:sz w:val="14"/>
              </w:rPr>
              <w:t>15.3</w:t>
            </w:r>
          </w:p>
        </w:tc>
      </w:tr>
      <w:tr>
        <w:trPr>
          <w:trHeight w:val="174" w:hRule="atLeast"/>
        </w:trPr>
        <w:tc>
          <w:tcPr>
            <w:tcW w:w="5794" w:type="dxa"/>
          </w:tcPr>
          <w:p>
            <w:pPr>
              <w:pStyle w:val="TableParagraph"/>
              <w:spacing w:line="140" w:lineRule="exact" w:before="15"/>
              <w:ind w:left="107"/>
              <w:rPr>
                <w:sz w:val="14"/>
              </w:rPr>
            </w:pPr>
            <w:r>
              <w:rPr>
                <w:sz w:val="14"/>
              </w:rPr>
              <w:t>Concession</w:t>
            </w:r>
            <w:r>
              <w:rPr>
                <w:spacing w:val="-9"/>
                <w:sz w:val="14"/>
              </w:rPr>
              <w:t> </w:t>
            </w:r>
            <w:r>
              <w:rPr>
                <w:spacing w:val="-4"/>
                <w:sz w:val="14"/>
              </w:rPr>
              <w:t>Swim</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4"/>
                <w:sz w:val="14"/>
              </w:rPr>
              <w:t>7.30</w:t>
            </w:r>
          </w:p>
        </w:tc>
        <w:tc>
          <w:tcPr>
            <w:tcW w:w="995" w:type="dxa"/>
          </w:tcPr>
          <w:p>
            <w:pPr>
              <w:pStyle w:val="TableParagraph"/>
              <w:spacing w:line="140" w:lineRule="exact" w:before="15"/>
              <w:ind w:right="101"/>
              <w:jc w:val="right"/>
              <w:rPr>
                <w:sz w:val="14"/>
              </w:rPr>
            </w:pPr>
            <w:r>
              <w:rPr>
                <w:spacing w:val="-4"/>
                <w:sz w:val="14"/>
              </w:rPr>
              <w:t>8.50</w:t>
            </w:r>
          </w:p>
        </w:tc>
        <w:tc>
          <w:tcPr>
            <w:tcW w:w="861" w:type="dxa"/>
          </w:tcPr>
          <w:p>
            <w:pPr>
              <w:pStyle w:val="TableParagraph"/>
              <w:spacing w:line="140" w:lineRule="exact" w:before="15"/>
              <w:ind w:left="288"/>
              <w:rPr>
                <w:sz w:val="14"/>
              </w:rPr>
            </w:pPr>
            <w:r>
              <w:rPr>
                <w:spacing w:val="-4"/>
                <w:sz w:val="14"/>
              </w:rPr>
              <w:t>14.1</w:t>
            </w:r>
          </w:p>
        </w:tc>
      </w:tr>
      <w:tr>
        <w:trPr>
          <w:trHeight w:val="177" w:hRule="atLeast"/>
        </w:trPr>
        <w:tc>
          <w:tcPr>
            <w:tcW w:w="5794" w:type="dxa"/>
          </w:tcPr>
          <w:p>
            <w:pPr>
              <w:pStyle w:val="TableParagraph"/>
              <w:spacing w:line="140" w:lineRule="exact" w:before="17"/>
              <w:ind w:left="107"/>
              <w:rPr>
                <w:sz w:val="14"/>
              </w:rPr>
            </w:pPr>
            <w:r>
              <w:rPr>
                <w:sz w:val="14"/>
              </w:rPr>
              <w:t>Swim</w:t>
            </w:r>
            <w:r>
              <w:rPr>
                <w:spacing w:val="-2"/>
                <w:sz w:val="14"/>
              </w:rPr>
              <w:t> </w:t>
            </w:r>
            <w:r>
              <w:rPr>
                <w:sz w:val="14"/>
              </w:rPr>
              <w:t>Spa</w:t>
            </w:r>
            <w:r>
              <w:rPr>
                <w:spacing w:val="-4"/>
                <w:sz w:val="14"/>
              </w:rPr>
              <w:t> </w:t>
            </w:r>
            <w:r>
              <w:rPr>
                <w:sz w:val="14"/>
              </w:rPr>
              <w:t>Sauna</w:t>
            </w:r>
            <w:r>
              <w:rPr>
                <w:spacing w:val="-4"/>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11.20</w:t>
            </w:r>
          </w:p>
        </w:tc>
        <w:tc>
          <w:tcPr>
            <w:tcW w:w="995" w:type="dxa"/>
          </w:tcPr>
          <w:p>
            <w:pPr>
              <w:pStyle w:val="TableParagraph"/>
              <w:spacing w:line="140" w:lineRule="exact" w:before="17"/>
              <w:ind w:right="101"/>
              <w:jc w:val="right"/>
              <w:rPr>
                <w:sz w:val="14"/>
              </w:rPr>
            </w:pPr>
            <w:r>
              <w:rPr>
                <w:spacing w:val="-2"/>
                <w:sz w:val="14"/>
              </w:rPr>
              <w:t>12.50</w:t>
            </w:r>
          </w:p>
        </w:tc>
        <w:tc>
          <w:tcPr>
            <w:tcW w:w="861" w:type="dxa"/>
          </w:tcPr>
          <w:p>
            <w:pPr>
              <w:pStyle w:val="TableParagraph"/>
              <w:spacing w:line="140" w:lineRule="exact" w:before="17"/>
              <w:ind w:left="288"/>
              <w:rPr>
                <w:sz w:val="14"/>
              </w:rPr>
            </w:pPr>
            <w:r>
              <w:rPr>
                <w:spacing w:val="-4"/>
                <w:sz w:val="14"/>
              </w:rPr>
              <w:t>10.4</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6"/>
                <w:sz w:val="14"/>
              </w:rPr>
              <w:t> </w:t>
            </w:r>
            <w:r>
              <w:rPr>
                <w:b/>
                <w:sz w:val="14"/>
              </w:rPr>
              <w:t>-</w:t>
            </w:r>
            <w:r>
              <w:rPr>
                <w:b/>
                <w:spacing w:val="-2"/>
                <w:sz w:val="14"/>
              </w:rPr>
              <w:t> </w:t>
            </w:r>
            <w:r>
              <w:rPr>
                <w:b/>
                <w:sz w:val="14"/>
              </w:rPr>
              <w:t>Senior</w:t>
            </w:r>
            <w:r>
              <w:rPr>
                <w:b/>
                <w:spacing w:val="-4"/>
                <w:sz w:val="14"/>
              </w:rPr>
              <w:t> Card</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w:t>
            </w:r>
            <w:r>
              <w:rPr>
                <w:spacing w:val="-3"/>
                <w:sz w:val="14"/>
              </w:rPr>
              <w:t> </w:t>
            </w:r>
            <w:r>
              <w:rPr>
                <w:sz w:val="14"/>
              </w:rPr>
              <w:t>Seniors</w:t>
            </w:r>
            <w:r>
              <w:rPr>
                <w:spacing w:val="-1"/>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74.70</w:t>
            </w:r>
          </w:p>
        </w:tc>
        <w:tc>
          <w:tcPr>
            <w:tcW w:w="995" w:type="dxa"/>
          </w:tcPr>
          <w:p>
            <w:pPr>
              <w:pStyle w:val="TableParagraph"/>
              <w:spacing w:line="140" w:lineRule="exact" w:before="17"/>
              <w:ind w:right="101"/>
              <w:jc w:val="right"/>
              <w:rPr>
                <w:sz w:val="14"/>
              </w:rPr>
            </w:pPr>
            <w:r>
              <w:rPr>
                <w:spacing w:val="-2"/>
                <w:sz w:val="14"/>
              </w:rPr>
              <w:t>81.00</w:t>
            </w:r>
          </w:p>
        </w:tc>
        <w:tc>
          <w:tcPr>
            <w:tcW w:w="861" w:type="dxa"/>
          </w:tcPr>
          <w:p>
            <w:pPr>
              <w:pStyle w:val="TableParagraph"/>
              <w:spacing w:line="140" w:lineRule="exact" w:before="17"/>
              <w:ind w:left="327"/>
              <w:rPr>
                <w:sz w:val="14"/>
              </w:rPr>
            </w:pPr>
            <w:r>
              <w:rPr>
                <w:spacing w:val="-5"/>
                <w:sz w:val="14"/>
              </w:rPr>
              <w:t>7.8</w:t>
            </w:r>
          </w:p>
        </w:tc>
      </w:tr>
      <w:tr>
        <w:trPr>
          <w:trHeight w:val="177" w:hRule="atLeast"/>
        </w:trPr>
        <w:tc>
          <w:tcPr>
            <w:tcW w:w="5794" w:type="dxa"/>
          </w:tcPr>
          <w:p>
            <w:pPr>
              <w:pStyle w:val="TableParagraph"/>
              <w:spacing w:line="140" w:lineRule="exact" w:before="17"/>
              <w:ind w:left="107"/>
              <w:rPr>
                <w:sz w:val="14"/>
              </w:rPr>
            </w:pPr>
            <w:r>
              <w:rPr>
                <w:sz w:val="14"/>
              </w:rPr>
              <w:t>Seniors</w:t>
            </w:r>
            <w:r>
              <w:rPr>
                <w:spacing w:val="-7"/>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8.30</w:t>
            </w:r>
          </w:p>
        </w:tc>
        <w:tc>
          <w:tcPr>
            <w:tcW w:w="995" w:type="dxa"/>
          </w:tcPr>
          <w:p>
            <w:pPr>
              <w:pStyle w:val="TableParagraph"/>
              <w:spacing w:line="140" w:lineRule="exact" w:before="17"/>
              <w:ind w:right="101"/>
              <w:jc w:val="right"/>
              <w:rPr>
                <w:sz w:val="14"/>
              </w:rPr>
            </w:pPr>
            <w:r>
              <w:rPr>
                <w:spacing w:val="-4"/>
                <w:sz w:val="14"/>
              </w:rPr>
              <w:t>9.00</w:t>
            </w:r>
          </w:p>
        </w:tc>
        <w:tc>
          <w:tcPr>
            <w:tcW w:w="861" w:type="dxa"/>
          </w:tcPr>
          <w:p>
            <w:pPr>
              <w:pStyle w:val="TableParagraph"/>
              <w:spacing w:line="140" w:lineRule="exact" w:before="17"/>
              <w:ind w:left="327"/>
              <w:rPr>
                <w:sz w:val="14"/>
              </w:rPr>
            </w:pPr>
            <w:r>
              <w:rPr>
                <w:spacing w:val="-5"/>
                <w:sz w:val="14"/>
              </w:rPr>
              <w:t>7.8</w:t>
            </w:r>
          </w:p>
        </w:tc>
      </w:tr>
      <w:tr>
        <w:trPr>
          <w:trHeight w:val="177" w:hRule="atLeast"/>
        </w:trPr>
        <w:tc>
          <w:tcPr>
            <w:tcW w:w="5794" w:type="dxa"/>
          </w:tcPr>
          <w:p>
            <w:pPr>
              <w:pStyle w:val="TableParagraph"/>
              <w:spacing w:line="140" w:lineRule="exact" w:before="17"/>
              <w:ind w:left="107"/>
              <w:rPr>
                <w:sz w:val="14"/>
              </w:rPr>
            </w:pPr>
            <w:r>
              <w:rPr>
                <w:sz w:val="14"/>
              </w:rPr>
              <w:t>Swim</w:t>
            </w:r>
            <w:r>
              <w:rPr>
                <w:spacing w:val="-2"/>
                <w:sz w:val="14"/>
              </w:rPr>
              <w:t> </w:t>
            </w:r>
            <w:r>
              <w:rPr>
                <w:sz w:val="14"/>
              </w:rPr>
              <w:t>Spa</w:t>
            </w:r>
            <w:r>
              <w:rPr>
                <w:spacing w:val="-3"/>
                <w:sz w:val="14"/>
              </w:rPr>
              <w:t> </w:t>
            </w:r>
            <w:r>
              <w:rPr>
                <w:sz w:val="14"/>
              </w:rPr>
              <w:t>Sauna</w:t>
            </w:r>
            <w:r>
              <w:rPr>
                <w:spacing w:val="-4"/>
                <w:sz w:val="14"/>
              </w:rPr>
              <w:t> </w:t>
            </w:r>
            <w:r>
              <w:rPr>
                <w:spacing w:val="-2"/>
                <w:sz w:val="14"/>
              </w:rPr>
              <w:t>Senior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11.70</w:t>
            </w:r>
          </w:p>
        </w:tc>
        <w:tc>
          <w:tcPr>
            <w:tcW w:w="995" w:type="dxa"/>
          </w:tcPr>
          <w:p>
            <w:pPr>
              <w:pStyle w:val="TableParagraph"/>
              <w:spacing w:line="140" w:lineRule="exact" w:before="17"/>
              <w:ind w:right="101"/>
              <w:jc w:val="right"/>
              <w:rPr>
                <w:sz w:val="14"/>
              </w:rPr>
            </w:pPr>
            <w:r>
              <w:rPr>
                <w:spacing w:val="-2"/>
                <w:sz w:val="14"/>
              </w:rPr>
              <w:t>13.00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Pass</w:t>
            </w:r>
            <w:r>
              <w:rPr>
                <w:spacing w:val="-3"/>
                <w:sz w:val="14"/>
              </w:rPr>
              <w:t> </w:t>
            </w:r>
            <w:r>
              <w:rPr>
                <w:sz w:val="14"/>
              </w:rPr>
              <w:t>Swim</w:t>
            </w:r>
            <w:r>
              <w:rPr>
                <w:spacing w:val="-2"/>
                <w:sz w:val="14"/>
              </w:rPr>
              <w:t> </w:t>
            </w:r>
            <w:r>
              <w:rPr>
                <w:sz w:val="14"/>
              </w:rPr>
              <w:t>Spa</w:t>
            </w:r>
            <w:r>
              <w:rPr>
                <w:spacing w:val="-3"/>
                <w:sz w:val="14"/>
              </w:rPr>
              <w:t> </w:t>
            </w:r>
            <w:r>
              <w:rPr>
                <w:sz w:val="14"/>
              </w:rPr>
              <w:t>Sauna</w:t>
            </w:r>
            <w:r>
              <w:rPr>
                <w:spacing w:val="-4"/>
                <w:sz w:val="14"/>
              </w:rPr>
              <w:t> </w:t>
            </w:r>
            <w:r>
              <w:rPr>
                <w:spacing w:val="-2"/>
                <w:sz w:val="14"/>
              </w:rPr>
              <w:t>Senior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105.30</w:t>
            </w:r>
          </w:p>
        </w:tc>
        <w:tc>
          <w:tcPr>
            <w:tcW w:w="995" w:type="dxa"/>
          </w:tcPr>
          <w:p>
            <w:pPr>
              <w:pStyle w:val="TableParagraph"/>
              <w:spacing w:line="140" w:lineRule="exact" w:before="17"/>
              <w:ind w:right="102"/>
              <w:jc w:val="right"/>
              <w:rPr>
                <w:sz w:val="14"/>
              </w:rPr>
            </w:pPr>
            <w:r>
              <w:rPr>
                <w:spacing w:val="-2"/>
                <w:sz w:val="14"/>
              </w:rPr>
              <w:t>117.00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Family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10</w:t>
            </w:r>
            <w:r>
              <w:rPr>
                <w:spacing w:val="-4"/>
                <w:sz w:val="14"/>
              </w:rPr>
              <w:t> </w:t>
            </w:r>
            <w:r>
              <w:rPr>
                <w:sz w:val="14"/>
              </w:rPr>
              <w:t>Visit</w:t>
            </w:r>
            <w:r>
              <w:rPr>
                <w:spacing w:val="-2"/>
                <w:sz w:val="14"/>
              </w:rPr>
              <w:t> Family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225.00</w:t>
            </w:r>
          </w:p>
        </w:tc>
        <w:tc>
          <w:tcPr>
            <w:tcW w:w="995" w:type="dxa"/>
          </w:tcPr>
          <w:p>
            <w:pPr>
              <w:pStyle w:val="TableParagraph"/>
              <w:spacing w:line="140" w:lineRule="exact" w:before="17"/>
              <w:ind w:right="102"/>
              <w:jc w:val="right"/>
              <w:rPr>
                <w:sz w:val="14"/>
              </w:rPr>
            </w:pPr>
            <w:r>
              <w:rPr>
                <w:spacing w:val="-2"/>
                <w:sz w:val="14"/>
              </w:rPr>
              <w:t>256.50</w:t>
            </w:r>
          </w:p>
        </w:tc>
        <w:tc>
          <w:tcPr>
            <w:tcW w:w="861" w:type="dxa"/>
          </w:tcPr>
          <w:p>
            <w:pPr>
              <w:pStyle w:val="TableParagraph"/>
              <w:spacing w:line="140" w:lineRule="exact" w:before="17"/>
              <w:ind w:left="288"/>
              <w:rPr>
                <w:sz w:val="14"/>
              </w:rPr>
            </w:pPr>
            <w:r>
              <w:rPr>
                <w:spacing w:val="-4"/>
                <w:sz w:val="14"/>
              </w:rPr>
              <w:t>12.3</w:t>
            </w:r>
          </w:p>
        </w:tc>
      </w:tr>
      <w:tr>
        <w:trPr>
          <w:trHeight w:val="177" w:hRule="atLeast"/>
        </w:trPr>
        <w:tc>
          <w:tcPr>
            <w:tcW w:w="5794" w:type="dxa"/>
          </w:tcPr>
          <w:p>
            <w:pPr>
              <w:pStyle w:val="TableParagraph"/>
              <w:spacing w:line="140" w:lineRule="exact" w:before="17"/>
              <w:ind w:left="107"/>
              <w:rPr>
                <w:sz w:val="14"/>
              </w:rPr>
            </w:pPr>
            <w:r>
              <w:rPr>
                <w:sz w:val="14"/>
              </w:rPr>
              <w:t>Family</w:t>
            </w:r>
            <w:r>
              <w:rPr>
                <w:spacing w:val="-3"/>
                <w:sz w:val="14"/>
              </w:rPr>
              <w:t> </w:t>
            </w:r>
            <w:r>
              <w:rPr>
                <w:sz w:val="14"/>
              </w:rPr>
              <w:t>Swim</w:t>
            </w:r>
            <w:r>
              <w:rPr>
                <w:spacing w:val="-3"/>
                <w:sz w:val="14"/>
              </w:rPr>
              <w:t> </w:t>
            </w:r>
            <w:r>
              <w:rPr>
                <w:sz w:val="14"/>
              </w:rPr>
              <w:t>(2</w:t>
            </w:r>
            <w:r>
              <w:rPr>
                <w:spacing w:val="-4"/>
                <w:sz w:val="14"/>
              </w:rPr>
              <w:t> </w:t>
            </w:r>
            <w:r>
              <w:rPr>
                <w:sz w:val="14"/>
              </w:rPr>
              <w:t>adults,</w:t>
            </w:r>
            <w:r>
              <w:rPr>
                <w:spacing w:val="-4"/>
                <w:sz w:val="14"/>
              </w:rPr>
              <w:t> </w:t>
            </w:r>
            <w:r>
              <w:rPr>
                <w:spacing w:val="-2"/>
                <w:sz w:val="14"/>
              </w:rPr>
              <w:t>1Child)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26.50</w:t>
            </w:r>
          </w:p>
        </w:tc>
        <w:tc>
          <w:tcPr>
            <w:tcW w:w="995" w:type="dxa"/>
          </w:tcPr>
          <w:p>
            <w:pPr>
              <w:pStyle w:val="TableParagraph"/>
              <w:spacing w:line="140" w:lineRule="exact" w:before="17"/>
              <w:ind w:right="101"/>
              <w:jc w:val="right"/>
              <w:rPr>
                <w:sz w:val="14"/>
              </w:rPr>
            </w:pPr>
            <w:r>
              <w:rPr>
                <w:spacing w:val="-2"/>
                <w:sz w:val="14"/>
              </w:rPr>
              <w:t>28.50</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Locker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pacing w:val="-5"/>
                <w:sz w:val="14"/>
              </w:rPr>
              <w:t>Fee</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4"/>
                <w:sz w:val="14"/>
              </w:rPr>
              <w:t>3.20</w:t>
            </w:r>
          </w:p>
        </w:tc>
        <w:tc>
          <w:tcPr>
            <w:tcW w:w="995" w:type="dxa"/>
          </w:tcPr>
          <w:p>
            <w:pPr>
              <w:pStyle w:val="TableParagraph"/>
              <w:spacing w:line="142" w:lineRule="exact" w:before="15"/>
              <w:ind w:right="102"/>
              <w:jc w:val="right"/>
              <w:rPr>
                <w:sz w:val="14"/>
              </w:rPr>
            </w:pPr>
            <w:r>
              <w:rPr>
                <w:spacing w:val="-4"/>
                <w:sz w:val="14"/>
              </w:rPr>
              <w:t>0.00</w:t>
            </w:r>
          </w:p>
        </w:tc>
        <w:tc>
          <w:tcPr>
            <w:tcW w:w="861" w:type="dxa"/>
          </w:tcPr>
          <w:p>
            <w:pPr>
              <w:pStyle w:val="TableParagraph"/>
              <w:spacing w:line="142" w:lineRule="exact" w:before="15"/>
              <w:ind w:left="327"/>
              <w:rPr>
                <w:sz w:val="14"/>
              </w:rPr>
            </w:pPr>
            <w:r>
              <w:rPr>
                <w:spacing w:val="-5"/>
                <w:sz w:val="14"/>
              </w:rPr>
              <w:t>0.0</w:t>
            </w:r>
          </w:p>
        </w:tc>
      </w:tr>
      <w:tr>
        <w:trPr>
          <w:trHeight w:val="174" w:hRule="atLeast"/>
        </w:trPr>
        <w:tc>
          <w:tcPr>
            <w:tcW w:w="5794" w:type="dxa"/>
          </w:tcPr>
          <w:p>
            <w:pPr>
              <w:pStyle w:val="TableParagraph"/>
              <w:spacing w:line="140" w:lineRule="exact" w:before="15"/>
              <w:ind w:left="107"/>
              <w:rPr>
                <w:b/>
                <w:sz w:val="14"/>
              </w:rPr>
            </w:pPr>
            <w:r>
              <w:rPr>
                <w:b/>
                <w:sz w:val="14"/>
              </w:rPr>
              <w:t>Aquahub</w:t>
            </w:r>
            <w:r>
              <w:rPr>
                <w:b/>
                <w:spacing w:val="-4"/>
                <w:sz w:val="14"/>
              </w:rPr>
              <w:t> </w:t>
            </w:r>
            <w:r>
              <w:rPr>
                <w:b/>
                <w:sz w:val="14"/>
              </w:rPr>
              <w:t>-</w:t>
            </w:r>
            <w:r>
              <w:rPr>
                <w:b/>
                <w:spacing w:val="-1"/>
                <w:sz w:val="14"/>
              </w:rPr>
              <w:t> </w:t>
            </w:r>
            <w:r>
              <w:rPr>
                <w:b/>
                <w:sz w:val="14"/>
              </w:rPr>
              <w:t>Sauna</w:t>
            </w:r>
            <w:r>
              <w:rPr>
                <w:b/>
                <w:spacing w:val="-4"/>
                <w:sz w:val="14"/>
              </w:rPr>
              <w:t> </w:t>
            </w:r>
            <w:r>
              <w:rPr>
                <w:b/>
                <w:sz w:val="14"/>
              </w:rPr>
              <w:t>&amp;</w:t>
            </w:r>
            <w:r>
              <w:rPr>
                <w:b/>
                <w:spacing w:val="-3"/>
                <w:sz w:val="14"/>
              </w:rPr>
              <w:t> </w:t>
            </w:r>
            <w:r>
              <w:rPr>
                <w:b/>
                <w:spacing w:val="-5"/>
                <w:sz w:val="14"/>
              </w:rPr>
              <w:t>Spa</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w w:val="95"/>
                <w:sz w:val="14"/>
              </w:rPr>
              <w:t>Spa/Sauna</w:t>
            </w:r>
            <w:r>
              <w:rPr>
                <w:spacing w:val="26"/>
                <w:sz w:val="14"/>
              </w:rPr>
              <w:t> </w:t>
            </w:r>
            <w:r>
              <w:rPr>
                <w:spacing w:val="-2"/>
                <w:sz w:val="14"/>
              </w:rPr>
              <w:t>Upgrade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3.80</w:t>
            </w:r>
          </w:p>
        </w:tc>
        <w:tc>
          <w:tcPr>
            <w:tcW w:w="995" w:type="dxa"/>
          </w:tcPr>
          <w:p>
            <w:pPr>
              <w:pStyle w:val="TableParagraph"/>
              <w:spacing w:line="140" w:lineRule="exact" w:before="17"/>
              <w:ind w:right="101"/>
              <w:jc w:val="right"/>
              <w:rPr>
                <w:sz w:val="14"/>
              </w:rPr>
            </w:pPr>
            <w:r>
              <w:rPr>
                <w:spacing w:val="-4"/>
                <w:sz w:val="14"/>
              </w:rPr>
              <w:t>4.00</w:t>
            </w:r>
          </w:p>
        </w:tc>
        <w:tc>
          <w:tcPr>
            <w:tcW w:w="861" w:type="dxa"/>
          </w:tcPr>
          <w:p>
            <w:pPr>
              <w:pStyle w:val="TableParagraph"/>
              <w:spacing w:line="140" w:lineRule="exact" w:before="17"/>
              <w:ind w:left="327"/>
              <w:rPr>
                <w:sz w:val="14"/>
              </w:rPr>
            </w:pPr>
            <w:r>
              <w:rPr>
                <w:spacing w:val="-5"/>
                <w:sz w:val="14"/>
              </w:rPr>
              <w:t>5.0</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z w:val="14"/>
              </w:rPr>
              <w:t>Learn</w:t>
            </w:r>
            <w:r>
              <w:rPr>
                <w:b/>
                <w:spacing w:val="-2"/>
                <w:sz w:val="14"/>
              </w:rPr>
              <w:t> </w:t>
            </w:r>
            <w:r>
              <w:rPr>
                <w:b/>
                <w:sz w:val="14"/>
              </w:rPr>
              <w:t>to</w:t>
            </w:r>
            <w:r>
              <w:rPr>
                <w:b/>
                <w:spacing w:val="-4"/>
                <w:sz w:val="14"/>
              </w:rPr>
              <w:t> Swim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Joining</w:t>
            </w:r>
            <w:r>
              <w:rPr>
                <w:spacing w:val="-7"/>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29.00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Per</w:t>
            </w:r>
            <w:r>
              <w:rPr>
                <w:spacing w:val="-5"/>
                <w:sz w:val="14"/>
              </w:rPr>
              <w:t> </w:t>
            </w:r>
            <w:r>
              <w:rPr>
                <w:sz w:val="14"/>
              </w:rPr>
              <w:t>fortnight</w:t>
            </w:r>
            <w:r>
              <w:rPr>
                <w:spacing w:val="-3"/>
                <w:sz w:val="14"/>
              </w:rPr>
              <w:t> </w:t>
            </w:r>
            <w:r>
              <w:rPr>
                <w:spacing w:val="-2"/>
                <w:sz w:val="14"/>
              </w:rPr>
              <w:t>Membership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43.20</w:t>
            </w:r>
          </w:p>
        </w:tc>
        <w:tc>
          <w:tcPr>
            <w:tcW w:w="995" w:type="dxa"/>
          </w:tcPr>
          <w:p>
            <w:pPr>
              <w:pStyle w:val="TableParagraph"/>
              <w:spacing w:line="140" w:lineRule="exact" w:before="17"/>
              <w:ind w:right="101"/>
              <w:jc w:val="right"/>
              <w:rPr>
                <w:sz w:val="14"/>
              </w:rPr>
            </w:pPr>
            <w:r>
              <w:rPr>
                <w:spacing w:val="-2"/>
                <w:sz w:val="14"/>
              </w:rPr>
              <w:t>46.60</w:t>
            </w:r>
          </w:p>
        </w:tc>
        <w:tc>
          <w:tcPr>
            <w:tcW w:w="861" w:type="dxa"/>
          </w:tcPr>
          <w:p>
            <w:pPr>
              <w:pStyle w:val="TableParagraph"/>
              <w:spacing w:line="140" w:lineRule="exact" w:before="17"/>
              <w:ind w:left="327"/>
              <w:rPr>
                <w:sz w:val="14"/>
              </w:rPr>
            </w:pPr>
            <w:r>
              <w:rPr>
                <w:spacing w:val="-5"/>
                <w:sz w:val="14"/>
              </w:rPr>
              <w:t>7.3</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pacing w:val="-2"/>
                <w:sz w:val="14"/>
              </w:rPr>
              <w:t>Schools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Per</w:t>
            </w:r>
            <w:r>
              <w:rPr>
                <w:spacing w:val="-5"/>
                <w:sz w:val="14"/>
              </w:rPr>
              <w:t> </w:t>
            </w:r>
            <w:r>
              <w:rPr>
                <w:sz w:val="14"/>
              </w:rPr>
              <w:t>fortnight</w:t>
            </w:r>
            <w:r>
              <w:rPr>
                <w:spacing w:val="-3"/>
                <w:sz w:val="14"/>
              </w:rPr>
              <w:t> </w:t>
            </w:r>
            <w:r>
              <w:rPr>
                <w:spacing w:val="-2"/>
                <w:sz w:val="14"/>
              </w:rPr>
              <w:t>Membership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10.00</w:t>
            </w:r>
          </w:p>
        </w:tc>
        <w:tc>
          <w:tcPr>
            <w:tcW w:w="995" w:type="dxa"/>
          </w:tcPr>
          <w:p>
            <w:pPr>
              <w:pStyle w:val="TableParagraph"/>
              <w:spacing w:line="140" w:lineRule="exact" w:before="17"/>
              <w:ind w:right="101"/>
              <w:jc w:val="right"/>
              <w:rPr>
                <w:sz w:val="14"/>
              </w:rPr>
            </w:pPr>
            <w:r>
              <w:rPr>
                <w:spacing w:val="-2"/>
                <w:sz w:val="14"/>
              </w:rPr>
              <w:t>10.90</w:t>
            </w:r>
          </w:p>
        </w:tc>
        <w:tc>
          <w:tcPr>
            <w:tcW w:w="861" w:type="dxa"/>
          </w:tcPr>
          <w:p>
            <w:pPr>
              <w:pStyle w:val="TableParagraph"/>
              <w:spacing w:line="140" w:lineRule="exact" w:before="17"/>
              <w:ind w:left="327"/>
              <w:rPr>
                <w:sz w:val="14"/>
              </w:rPr>
            </w:pPr>
            <w:r>
              <w:rPr>
                <w:spacing w:val="-5"/>
                <w:sz w:val="14"/>
              </w:rPr>
              <w:t>8.3</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5"/>
                <w:sz w:val="14"/>
              </w:rPr>
              <w:t> </w:t>
            </w:r>
            <w:r>
              <w:rPr>
                <w:b/>
                <w:sz w:val="14"/>
              </w:rPr>
              <w:t>-</w:t>
            </w:r>
            <w:r>
              <w:rPr>
                <w:b/>
                <w:spacing w:val="-1"/>
                <w:sz w:val="14"/>
              </w:rPr>
              <w:t> </w:t>
            </w:r>
            <w:r>
              <w:rPr>
                <w:b/>
                <w:sz w:val="14"/>
              </w:rPr>
              <w:t>Lane</w:t>
            </w:r>
            <w:r>
              <w:rPr>
                <w:b/>
                <w:spacing w:val="-4"/>
                <w:sz w:val="14"/>
              </w:rPr>
              <w:t> 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Lane</w:t>
            </w:r>
            <w:r>
              <w:rPr>
                <w:spacing w:val="-5"/>
                <w:sz w:val="14"/>
              </w:rPr>
              <w:t> </w:t>
            </w:r>
            <w:r>
              <w:rPr>
                <w:sz w:val="14"/>
              </w:rPr>
              <w:t>Hire</w:t>
            </w:r>
            <w:r>
              <w:rPr>
                <w:spacing w:val="-2"/>
                <w:sz w:val="14"/>
              </w:rPr>
              <w:t> </w:t>
            </w:r>
            <w:r>
              <w:rPr>
                <w:sz w:val="14"/>
              </w:rPr>
              <w:t>(per</w:t>
            </w:r>
            <w:r>
              <w:rPr>
                <w:spacing w:val="-2"/>
                <w:sz w:val="14"/>
              </w:rPr>
              <w:t> 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40.00</w:t>
            </w:r>
          </w:p>
        </w:tc>
        <w:tc>
          <w:tcPr>
            <w:tcW w:w="995" w:type="dxa"/>
          </w:tcPr>
          <w:p>
            <w:pPr>
              <w:pStyle w:val="TableParagraph"/>
              <w:spacing w:line="140" w:lineRule="exact" w:before="17"/>
              <w:ind w:right="101"/>
              <w:jc w:val="right"/>
              <w:rPr>
                <w:sz w:val="14"/>
              </w:rPr>
            </w:pPr>
            <w:r>
              <w:rPr>
                <w:spacing w:val="-2"/>
                <w:sz w:val="14"/>
              </w:rPr>
              <w:t>45.00</w:t>
            </w:r>
          </w:p>
        </w:tc>
        <w:tc>
          <w:tcPr>
            <w:tcW w:w="861" w:type="dxa"/>
          </w:tcPr>
          <w:p>
            <w:pPr>
              <w:pStyle w:val="TableParagraph"/>
              <w:spacing w:line="140" w:lineRule="exact" w:before="17"/>
              <w:ind w:left="288"/>
              <w:rPr>
                <w:sz w:val="14"/>
              </w:rPr>
            </w:pPr>
            <w:r>
              <w:rPr>
                <w:spacing w:val="-4"/>
                <w:sz w:val="14"/>
              </w:rPr>
              <w:t>11.1</w:t>
            </w:r>
          </w:p>
        </w:tc>
      </w:tr>
      <w:tr>
        <w:trPr>
          <w:trHeight w:val="177" w:hRule="atLeast"/>
        </w:trPr>
        <w:tc>
          <w:tcPr>
            <w:tcW w:w="5794" w:type="dxa"/>
          </w:tcPr>
          <w:p>
            <w:pPr>
              <w:pStyle w:val="TableParagraph"/>
              <w:spacing w:line="140" w:lineRule="exact" w:before="17"/>
              <w:ind w:left="107"/>
              <w:rPr>
                <w:b/>
                <w:sz w:val="14"/>
              </w:rPr>
            </w:pPr>
            <w:r>
              <w:rPr>
                <w:b/>
                <w:sz w:val="14"/>
              </w:rPr>
              <w:t>Aquahub</w:t>
            </w:r>
            <w:r>
              <w:rPr>
                <w:b/>
                <w:spacing w:val="-6"/>
                <w:sz w:val="14"/>
              </w:rPr>
              <w:t> </w:t>
            </w:r>
            <w:r>
              <w:rPr>
                <w:b/>
                <w:sz w:val="14"/>
              </w:rPr>
              <w:t>-</w:t>
            </w:r>
            <w:r>
              <w:rPr>
                <w:b/>
                <w:spacing w:val="-3"/>
                <w:sz w:val="14"/>
              </w:rPr>
              <w:t> </w:t>
            </w:r>
            <w:r>
              <w:rPr>
                <w:b/>
                <w:sz w:val="14"/>
              </w:rPr>
              <w:t>Hydrotherapy</w:t>
            </w:r>
            <w:r>
              <w:rPr>
                <w:b/>
                <w:spacing w:val="-7"/>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Hydrotherapy</w:t>
            </w:r>
            <w:r>
              <w:rPr>
                <w:spacing w:val="-3"/>
                <w:sz w:val="14"/>
              </w:rPr>
              <w:t> </w:t>
            </w:r>
            <w:r>
              <w:rPr>
                <w:sz w:val="14"/>
              </w:rPr>
              <w:t>Hire</w:t>
            </w:r>
            <w:r>
              <w:rPr>
                <w:spacing w:val="-5"/>
                <w:sz w:val="14"/>
              </w:rPr>
              <w:t> </w:t>
            </w:r>
            <w:r>
              <w:rPr>
                <w:sz w:val="14"/>
              </w:rPr>
              <w:t>Full</w:t>
            </w:r>
            <w:r>
              <w:rPr>
                <w:spacing w:val="-4"/>
                <w:sz w:val="14"/>
              </w:rPr>
              <w:t> </w:t>
            </w:r>
            <w:r>
              <w:rPr>
                <w:sz w:val="14"/>
              </w:rPr>
              <w:t>Pool</w:t>
            </w:r>
            <w:r>
              <w:rPr>
                <w:spacing w:val="-4"/>
                <w:sz w:val="14"/>
              </w:rPr>
              <w:t> </w:t>
            </w:r>
            <w:r>
              <w:rPr>
                <w:sz w:val="14"/>
              </w:rPr>
              <w:t>(per</w:t>
            </w:r>
            <w:r>
              <w:rPr>
                <w:spacing w:val="-3"/>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120.00</w:t>
            </w:r>
          </w:p>
        </w:tc>
        <w:tc>
          <w:tcPr>
            <w:tcW w:w="995" w:type="dxa"/>
          </w:tcPr>
          <w:p>
            <w:pPr>
              <w:pStyle w:val="TableParagraph"/>
              <w:spacing w:line="140" w:lineRule="exact" w:before="17"/>
              <w:ind w:right="102"/>
              <w:jc w:val="right"/>
              <w:rPr>
                <w:sz w:val="14"/>
              </w:rPr>
            </w:pPr>
            <w:r>
              <w:rPr>
                <w:spacing w:val="-2"/>
                <w:sz w:val="14"/>
              </w:rPr>
              <w:t>150.00</w:t>
            </w:r>
          </w:p>
        </w:tc>
        <w:tc>
          <w:tcPr>
            <w:tcW w:w="861" w:type="dxa"/>
          </w:tcPr>
          <w:p>
            <w:pPr>
              <w:pStyle w:val="TableParagraph"/>
              <w:spacing w:line="140" w:lineRule="exact" w:before="17"/>
              <w:ind w:left="288"/>
              <w:rPr>
                <w:sz w:val="14"/>
              </w:rPr>
            </w:pPr>
            <w:r>
              <w:rPr>
                <w:spacing w:val="-4"/>
                <w:sz w:val="14"/>
              </w:rPr>
              <w:t>20.0</w:t>
            </w:r>
          </w:p>
        </w:tc>
      </w:tr>
      <w:tr>
        <w:trPr>
          <w:trHeight w:val="177" w:hRule="atLeast"/>
        </w:trPr>
        <w:tc>
          <w:tcPr>
            <w:tcW w:w="5794" w:type="dxa"/>
          </w:tcPr>
          <w:p>
            <w:pPr>
              <w:pStyle w:val="TableParagraph"/>
              <w:spacing w:line="140" w:lineRule="exact" w:before="17"/>
              <w:ind w:left="107"/>
              <w:rPr>
                <w:sz w:val="14"/>
              </w:rPr>
            </w:pPr>
            <w:r>
              <w:rPr>
                <w:sz w:val="14"/>
              </w:rPr>
              <w:t>Hydrotherapy</w:t>
            </w:r>
            <w:r>
              <w:rPr>
                <w:spacing w:val="-3"/>
                <w:sz w:val="14"/>
              </w:rPr>
              <w:t> </w:t>
            </w:r>
            <w:r>
              <w:rPr>
                <w:sz w:val="14"/>
              </w:rPr>
              <w:t>Hire</w:t>
            </w:r>
            <w:r>
              <w:rPr>
                <w:spacing w:val="-5"/>
                <w:sz w:val="14"/>
              </w:rPr>
              <w:t> </w:t>
            </w:r>
            <w:r>
              <w:rPr>
                <w:sz w:val="14"/>
              </w:rPr>
              <w:t>Half</w:t>
            </w:r>
            <w:r>
              <w:rPr>
                <w:spacing w:val="-4"/>
                <w:sz w:val="14"/>
              </w:rPr>
              <w:t> </w:t>
            </w:r>
            <w:r>
              <w:rPr>
                <w:sz w:val="14"/>
              </w:rPr>
              <w:t>Pool</w:t>
            </w:r>
            <w:r>
              <w:rPr>
                <w:spacing w:val="-1"/>
                <w:sz w:val="14"/>
              </w:rPr>
              <w:t> </w:t>
            </w:r>
            <w:r>
              <w:rPr>
                <w:sz w:val="14"/>
              </w:rPr>
              <w:t>(per</w:t>
            </w:r>
            <w:r>
              <w:rPr>
                <w:spacing w:val="-3"/>
                <w:sz w:val="14"/>
              </w:rPr>
              <w:t> </w:t>
            </w:r>
            <w:r>
              <w:rPr>
                <w:spacing w:val="-4"/>
                <w:sz w:val="14"/>
              </w:rPr>
              <w:t>hour)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55.00</w:t>
            </w:r>
          </w:p>
        </w:tc>
        <w:tc>
          <w:tcPr>
            <w:tcW w:w="995" w:type="dxa"/>
          </w:tcPr>
          <w:p>
            <w:pPr>
              <w:pStyle w:val="TableParagraph"/>
              <w:spacing w:line="140" w:lineRule="exact" w:before="17"/>
              <w:ind w:right="101"/>
              <w:jc w:val="right"/>
              <w:rPr>
                <w:sz w:val="14"/>
              </w:rPr>
            </w:pPr>
            <w:r>
              <w:rPr>
                <w:spacing w:val="-2"/>
                <w:sz w:val="14"/>
              </w:rPr>
              <w:t>75.00</w:t>
            </w:r>
          </w:p>
        </w:tc>
        <w:tc>
          <w:tcPr>
            <w:tcW w:w="861" w:type="dxa"/>
          </w:tcPr>
          <w:p>
            <w:pPr>
              <w:pStyle w:val="TableParagraph"/>
              <w:spacing w:line="140" w:lineRule="exact" w:before="17"/>
              <w:ind w:left="288"/>
              <w:rPr>
                <w:sz w:val="14"/>
              </w:rPr>
            </w:pPr>
            <w:r>
              <w:rPr>
                <w:spacing w:val="-4"/>
                <w:sz w:val="14"/>
              </w:rPr>
              <w:t>26.7</w:t>
            </w:r>
          </w:p>
        </w:tc>
      </w:tr>
      <w:tr>
        <w:trPr>
          <w:trHeight w:val="177" w:hRule="atLeast"/>
        </w:trPr>
        <w:tc>
          <w:tcPr>
            <w:tcW w:w="5794" w:type="dxa"/>
          </w:tcPr>
          <w:p>
            <w:pPr>
              <w:pStyle w:val="TableParagraph"/>
              <w:spacing w:line="142" w:lineRule="exact" w:before="15"/>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3"/>
                <w:sz w:val="14"/>
              </w:rPr>
              <w:t> </w:t>
            </w:r>
            <w:r>
              <w:rPr>
                <w:b/>
                <w:sz w:val="14"/>
              </w:rPr>
              <w:t>Fitness</w:t>
            </w:r>
            <w:r>
              <w:rPr>
                <w:b/>
                <w:spacing w:val="-6"/>
                <w:sz w:val="14"/>
              </w:rPr>
              <w:t> </w:t>
            </w:r>
            <w:r>
              <w:rPr>
                <w:b/>
                <w:sz w:val="14"/>
              </w:rPr>
              <w:t>Plus</w:t>
            </w:r>
            <w:r>
              <w:rPr>
                <w:b/>
                <w:spacing w:val="-3"/>
                <w:sz w:val="14"/>
              </w:rPr>
              <w:t> </w:t>
            </w:r>
            <w:r>
              <w:rPr>
                <w:b/>
                <w:sz w:val="14"/>
              </w:rPr>
              <w:t>Family</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Fitness</w:t>
            </w:r>
            <w:r>
              <w:rPr>
                <w:spacing w:val="-6"/>
                <w:sz w:val="14"/>
              </w:rPr>
              <w:t> </w:t>
            </w:r>
            <w:r>
              <w:rPr>
                <w:sz w:val="14"/>
              </w:rPr>
              <w:t>Plus</w:t>
            </w:r>
            <w:r>
              <w:rPr>
                <w:spacing w:val="-3"/>
                <w:sz w:val="14"/>
              </w:rPr>
              <w:t> </w:t>
            </w:r>
            <w:r>
              <w:rPr>
                <w:spacing w:val="-2"/>
                <w:sz w:val="14"/>
              </w:rPr>
              <w:t>Family</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99.90</w:t>
            </w:r>
          </w:p>
        </w:tc>
        <w:tc>
          <w:tcPr>
            <w:tcW w:w="995" w:type="dxa"/>
          </w:tcPr>
          <w:p>
            <w:pPr>
              <w:pStyle w:val="TableParagraph"/>
              <w:spacing w:line="140" w:lineRule="exact" w:before="15"/>
              <w:ind w:right="102"/>
              <w:jc w:val="right"/>
              <w:rPr>
                <w:sz w:val="14"/>
              </w:rPr>
            </w:pPr>
            <w:r>
              <w:rPr>
                <w:spacing w:val="-2"/>
                <w:sz w:val="14"/>
              </w:rPr>
              <w:t>110.00</w:t>
            </w:r>
          </w:p>
        </w:tc>
        <w:tc>
          <w:tcPr>
            <w:tcW w:w="861" w:type="dxa"/>
          </w:tcPr>
          <w:p>
            <w:pPr>
              <w:pStyle w:val="TableParagraph"/>
              <w:spacing w:line="140" w:lineRule="exact" w:before="15"/>
              <w:ind w:left="327"/>
              <w:rPr>
                <w:sz w:val="14"/>
              </w:rPr>
            </w:pPr>
            <w:r>
              <w:rPr>
                <w:spacing w:val="-5"/>
                <w:sz w:val="14"/>
              </w:rPr>
              <w:t>9.2</w:t>
            </w:r>
          </w:p>
        </w:tc>
      </w:tr>
      <w:tr>
        <w:trPr>
          <w:trHeight w:val="177" w:hRule="atLeast"/>
        </w:trPr>
        <w:tc>
          <w:tcPr>
            <w:tcW w:w="5794" w:type="dxa"/>
          </w:tcPr>
          <w:p>
            <w:pPr>
              <w:pStyle w:val="TableParagraph"/>
              <w:spacing w:line="140" w:lineRule="exact" w:before="17"/>
              <w:ind w:left="107"/>
              <w:rPr>
                <w:sz w:val="14"/>
              </w:rPr>
            </w:pPr>
            <w:r>
              <w:rPr>
                <w:sz w:val="14"/>
              </w:rPr>
              <w:t>Fitness</w:t>
            </w:r>
            <w:r>
              <w:rPr>
                <w:spacing w:val="-6"/>
                <w:sz w:val="14"/>
              </w:rPr>
              <w:t> </w:t>
            </w:r>
            <w:r>
              <w:rPr>
                <w:sz w:val="14"/>
              </w:rPr>
              <w:t>Plus</w:t>
            </w:r>
            <w:r>
              <w:rPr>
                <w:spacing w:val="-3"/>
                <w:sz w:val="14"/>
              </w:rPr>
              <w:t> </w:t>
            </w:r>
            <w:r>
              <w:rPr>
                <w:sz w:val="14"/>
              </w:rPr>
              <w:t>Family</w:t>
            </w:r>
            <w:r>
              <w:rPr>
                <w:spacing w:val="-6"/>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81.60</w:t>
            </w:r>
          </w:p>
        </w:tc>
        <w:tc>
          <w:tcPr>
            <w:tcW w:w="995" w:type="dxa"/>
          </w:tcPr>
          <w:p>
            <w:pPr>
              <w:pStyle w:val="TableParagraph"/>
              <w:spacing w:line="140" w:lineRule="exact" w:before="17"/>
              <w:ind w:right="101"/>
              <w:jc w:val="right"/>
              <w:rPr>
                <w:sz w:val="14"/>
              </w:rPr>
            </w:pPr>
            <w:r>
              <w:rPr>
                <w:spacing w:val="-2"/>
                <w:sz w:val="14"/>
              </w:rPr>
              <w:t>93.50</w:t>
            </w:r>
          </w:p>
        </w:tc>
        <w:tc>
          <w:tcPr>
            <w:tcW w:w="861" w:type="dxa"/>
          </w:tcPr>
          <w:p>
            <w:pPr>
              <w:pStyle w:val="TableParagraph"/>
              <w:spacing w:line="140" w:lineRule="exact" w:before="17"/>
              <w:ind w:left="288"/>
              <w:rPr>
                <w:sz w:val="14"/>
              </w:rPr>
            </w:pPr>
            <w:r>
              <w:rPr>
                <w:spacing w:val="-4"/>
                <w:sz w:val="14"/>
              </w:rPr>
              <w:t>12.7</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3"/>
                <w:sz w:val="14"/>
              </w:rPr>
              <w:t> </w:t>
            </w:r>
            <w:r>
              <w:rPr>
                <w:b/>
                <w:sz w:val="14"/>
              </w:rPr>
              <w:t>Memorial</w:t>
            </w:r>
            <w:r>
              <w:rPr>
                <w:b/>
                <w:spacing w:val="-5"/>
                <w:sz w:val="14"/>
              </w:rPr>
              <w:t> </w:t>
            </w:r>
            <w:r>
              <w:rPr>
                <w:b/>
                <w:sz w:val="14"/>
              </w:rPr>
              <w:t>Pool</w:t>
            </w:r>
            <w:r>
              <w:rPr>
                <w:b/>
                <w:spacing w:val="-2"/>
                <w:sz w:val="14"/>
              </w:rPr>
              <w:t> </w:t>
            </w:r>
            <w:r>
              <w:rPr>
                <w:b/>
                <w:sz w:val="14"/>
              </w:rPr>
              <w:t>Fitness</w:t>
            </w:r>
            <w:r>
              <w:rPr>
                <w:b/>
                <w:spacing w:val="-6"/>
                <w:sz w:val="14"/>
              </w:rPr>
              <w:t> </w:t>
            </w:r>
            <w:r>
              <w:rPr>
                <w:b/>
                <w:sz w:val="14"/>
              </w:rPr>
              <w:t>Plus</w:t>
            </w:r>
            <w:r>
              <w:rPr>
                <w:b/>
                <w:spacing w:val="-2"/>
                <w:sz w:val="14"/>
              </w:rPr>
              <w:t> </w:t>
            </w:r>
            <w:r>
              <w:rPr>
                <w:b/>
                <w:sz w:val="14"/>
              </w:rPr>
              <w:t>Off</w:t>
            </w:r>
            <w:r>
              <w:rPr>
                <w:b/>
                <w:spacing w:val="-4"/>
                <w:sz w:val="14"/>
              </w:rPr>
              <w:t> </w:t>
            </w:r>
            <w:r>
              <w:rPr>
                <w:b/>
                <w:sz w:val="14"/>
              </w:rPr>
              <w:t>Peak</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Fitness</w:t>
            </w:r>
            <w:r>
              <w:rPr>
                <w:spacing w:val="-5"/>
                <w:sz w:val="14"/>
              </w:rPr>
              <w:t> </w:t>
            </w:r>
            <w:r>
              <w:rPr>
                <w:sz w:val="14"/>
              </w:rPr>
              <w:t>Plus</w:t>
            </w:r>
            <w:r>
              <w:rPr>
                <w:spacing w:val="-4"/>
                <w:sz w:val="14"/>
              </w:rPr>
              <w:t> </w:t>
            </w:r>
            <w:r>
              <w:rPr>
                <w:sz w:val="14"/>
              </w:rPr>
              <w:t>Off</w:t>
            </w:r>
            <w:r>
              <w:rPr>
                <w:spacing w:val="-5"/>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32.40</w:t>
            </w:r>
          </w:p>
        </w:tc>
        <w:tc>
          <w:tcPr>
            <w:tcW w:w="995" w:type="dxa"/>
          </w:tcPr>
          <w:p>
            <w:pPr>
              <w:pStyle w:val="TableParagraph"/>
              <w:spacing w:line="140" w:lineRule="exact" w:before="17"/>
              <w:ind w:right="101"/>
              <w:jc w:val="right"/>
              <w:rPr>
                <w:sz w:val="14"/>
              </w:rPr>
            </w:pPr>
            <w:r>
              <w:rPr>
                <w:spacing w:val="-2"/>
                <w:sz w:val="14"/>
              </w:rPr>
              <w:t>33.80</w:t>
            </w:r>
          </w:p>
        </w:tc>
        <w:tc>
          <w:tcPr>
            <w:tcW w:w="861" w:type="dxa"/>
          </w:tcPr>
          <w:p>
            <w:pPr>
              <w:pStyle w:val="TableParagraph"/>
              <w:spacing w:line="140" w:lineRule="exact" w:before="17"/>
              <w:ind w:left="327"/>
              <w:rPr>
                <w:sz w:val="14"/>
              </w:rPr>
            </w:pPr>
            <w:r>
              <w:rPr>
                <w:spacing w:val="-5"/>
                <w:sz w:val="14"/>
              </w:rPr>
              <w:t>4.1</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3"/>
                <w:sz w:val="14"/>
              </w:rPr>
              <w:t> </w:t>
            </w:r>
            <w:r>
              <w:rPr>
                <w:b/>
                <w:sz w:val="14"/>
              </w:rPr>
              <w:t>Memorial</w:t>
            </w:r>
            <w:r>
              <w:rPr>
                <w:b/>
                <w:spacing w:val="-6"/>
                <w:sz w:val="14"/>
              </w:rPr>
              <w:t> </w:t>
            </w:r>
            <w:r>
              <w:rPr>
                <w:b/>
                <w:sz w:val="14"/>
              </w:rPr>
              <w:t>Pool</w:t>
            </w:r>
            <w:r>
              <w:rPr>
                <w:b/>
                <w:spacing w:val="-3"/>
                <w:sz w:val="14"/>
              </w:rPr>
              <w:t> </w:t>
            </w:r>
            <w:r>
              <w:rPr>
                <w:b/>
                <w:sz w:val="14"/>
              </w:rPr>
              <w:t>Fitness</w:t>
            </w:r>
            <w:r>
              <w:rPr>
                <w:b/>
                <w:spacing w:val="-5"/>
                <w:sz w:val="14"/>
              </w:rPr>
              <w:t> </w:t>
            </w:r>
            <w:r>
              <w:rPr>
                <w:b/>
                <w:sz w:val="14"/>
              </w:rPr>
              <w:t>Plus</w:t>
            </w:r>
            <w:r>
              <w:rPr>
                <w:b/>
                <w:spacing w:val="-3"/>
                <w:sz w:val="14"/>
              </w:rPr>
              <w:t> </w:t>
            </w:r>
            <w:r>
              <w:rPr>
                <w:b/>
                <w:spacing w:val="-4"/>
                <w:sz w:val="14"/>
              </w:rPr>
              <w:t>Teen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Fitness</w:t>
            </w:r>
            <w:r>
              <w:rPr>
                <w:spacing w:val="-6"/>
                <w:sz w:val="14"/>
              </w:rPr>
              <w:t> </w:t>
            </w:r>
            <w:r>
              <w:rPr>
                <w:sz w:val="14"/>
              </w:rPr>
              <w:t>Plus</w:t>
            </w:r>
            <w:r>
              <w:rPr>
                <w:spacing w:val="-5"/>
                <w:sz w:val="14"/>
              </w:rPr>
              <w:t> </w:t>
            </w:r>
            <w:r>
              <w:rPr>
                <w:spacing w:val="-4"/>
                <w:sz w:val="14"/>
              </w:rPr>
              <w:t>Teen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288"/>
              <w:rPr>
                <w:sz w:val="14"/>
              </w:rPr>
            </w:pPr>
            <w:r>
              <w:rPr>
                <w:spacing w:val="-4"/>
                <w:sz w:val="14"/>
              </w:rPr>
              <w:t>16.7</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3"/>
                <w:sz w:val="14"/>
              </w:rPr>
              <w:t> </w:t>
            </w:r>
            <w:r>
              <w:rPr>
                <w:b/>
                <w:sz w:val="14"/>
              </w:rPr>
              <w:t>Memorial</w:t>
            </w:r>
            <w:r>
              <w:rPr>
                <w:b/>
                <w:spacing w:val="-5"/>
                <w:sz w:val="14"/>
              </w:rPr>
              <w:t> </w:t>
            </w:r>
            <w:r>
              <w:rPr>
                <w:b/>
                <w:sz w:val="14"/>
              </w:rPr>
              <w:t>Pool</w:t>
            </w:r>
            <w:r>
              <w:rPr>
                <w:b/>
                <w:spacing w:val="-5"/>
                <w:sz w:val="14"/>
              </w:rPr>
              <w:t> </w:t>
            </w:r>
            <w:r>
              <w:rPr>
                <w:b/>
                <w:sz w:val="14"/>
              </w:rPr>
              <w:t>-</w:t>
            </w:r>
            <w:r>
              <w:rPr>
                <w:b/>
                <w:spacing w:val="-2"/>
                <w:sz w:val="14"/>
              </w:rPr>
              <w:t> </w:t>
            </w:r>
            <w:r>
              <w:rPr>
                <w:b/>
                <w:sz w:val="14"/>
              </w:rPr>
              <w:t>Fitness</w:t>
            </w:r>
            <w:r>
              <w:rPr>
                <w:b/>
                <w:spacing w:val="-5"/>
                <w:sz w:val="14"/>
              </w:rPr>
              <w:t> </w:t>
            </w:r>
            <w:r>
              <w:rPr>
                <w:b/>
                <w:sz w:val="14"/>
              </w:rPr>
              <w:t>Plus</w:t>
            </w:r>
            <w:r>
              <w:rPr>
                <w:b/>
                <w:spacing w:val="-5"/>
                <w:sz w:val="14"/>
              </w:rPr>
              <w:t> </w:t>
            </w:r>
            <w:r>
              <w:rPr>
                <w:b/>
                <w:sz w:val="14"/>
              </w:rPr>
              <w:t>Individual</w:t>
            </w:r>
            <w:r>
              <w:rPr>
                <w:b/>
                <w:spacing w:val="-2"/>
                <w:sz w:val="14"/>
              </w:rPr>
              <w:t> 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Fitness</w:t>
            </w:r>
            <w:r>
              <w:rPr>
                <w:spacing w:val="-6"/>
                <w:sz w:val="14"/>
              </w:rPr>
              <w:t> </w:t>
            </w:r>
            <w:r>
              <w:rPr>
                <w:sz w:val="14"/>
              </w:rPr>
              <w:t>Plus</w:t>
            </w:r>
            <w:r>
              <w:rPr>
                <w:spacing w:val="-5"/>
                <w:sz w:val="14"/>
              </w:rPr>
              <w:t> </w:t>
            </w:r>
            <w:r>
              <w:rPr>
                <w:spacing w:val="-2"/>
                <w:sz w:val="14"/>
              </w:rPr>
              <w:t>Individual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49.90</w:t>
            </w:r>
          </w:p>
        </w:tc>
        <w:tc>
          <w:tcPr>
            <w:tcW w:w="995" w:type="dxa"/>
          </w:tcPr>
          <w:p>
            <w:pPr>
              <w:pStyle w:val="TableParagraph"/>
              <w:spacing w:line="140" w:lineRule="exact" w:before="17"/>
              <w:ind w:right="101"/>
              <w:jc w:val="right"/>
              <w:rPr>
                <w:sz w:val="14"/>
              </w:rPr>
            </w:pPr>
            <w:r>
              <w:rPr>
                <w:spacing w:val="-2"/>
                <w:sz w:val="14"/>
              </w:rPr>
              <w:t>52.00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Fitness</w:t>
            </w:r>
            <w:r>
              <w:rPr>
                <w:spacing w:val="-6"/>
                <w:sz w:val="14"/>
              </w:rPr>
              <w:t> </w:t>
            </w:r>
            <w:r>
              <w:rPr>
                <w:sz w:val="14"/>
              </w:rPr>
              <w:t>Plus</w:t>
            </w:r>
            <w:r>
              <w:rPr>
                <w:spacing w:val="-6"/>
                <w:sz w:val="14"/>
              </w:rPr>
              <w:t> </w:t>
            </w:r>
            <w:r>
              <w:rPr>
                <w:sz w:val="14"/>
              </w:rPr>
              <w:t>Individual</w:t>
            </w:r>
            <w:r>
              <w:rPr>
                <w:spacing w:val="-3"/>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41.20</w:t>
            </w:r>
          </w:p>
        </w:tc>
        <w:tc>
          <w:tcPr>
            <w:tcW w:w="995" w:type="dxa"/>
          </w:tcPr>
          <w:p>
            <w:pPr>
              <w:pStyle w:val="TableParagraph"/>
              <w:spacing w:line="140" w:lineRule="exact" w:before="17"/>
              <w:ind w:right="101"/>
              <w:jc w:val="right"/>
              <w:rPr>
                <w:sz w:val="14"/>
              </w:rPr>
            </w:pPr>
            <w:r>
              <w:rPr>
                <w:spacing w:val="-2"/>
                <w:sz w:val="14"/>
              </w:rPr>
              <w:t>44.20</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pacing w:val="-2"/>
                <w:sz w:val="14"/>
              </w:rPr>
              <w:t>Carnival</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Carnival</w:t>
            </w:r>
            <w:r>
              <w:rPr>
                <w:spacing w:val="-4"/>
                <w:sz w:val="14"/>
              </w:rPr>
              <w:t> </w:t>
            </w:r>
            <w:r>
              <w:rPr>
                <w:sz w:val="14"/>
              </w:rPr>
              <w:t>Hire</w:t>
            </w:r>
            <w:r>
              <w:rPr>
                <w:spacing w:val="-3"/>
                <w:sz w:val="14"/>
              </w:rPr>
              <w:t> </w:t>
            </w:r>
            <w:r>
              <w:rPr>
                <w:sz w:val="14"/>
              </w:rPr>
              <w:t>-</w:t>
            </w:r>
            <w:r>
              <w:rPr>
                <w:spacing w:val="-4"/>
                <w:sz w:val="14"/>
              </w:rPr>
              <w:t> </w:t>
            </w:r>
            <w:r>
              <w:rPr>
                <w:sz w:val="14"/>
              </w:rPr>
              <w:t>per</w:t>
            </w:r>
            <w:r>
              <w:rPr>
                <w:spacing w:val="-2"/>
                <w:sz w:val="14"/>
              </w:rPr>
              <w:t> </w:t>
            </w:r>
            <w:r>
              <w:rPr>
                <w:sz w:val="14"/>
              </w:rPr>
              <w:t>hour,</w:t>
            </w:r>
            <w:r>
              <w:rPr>
                <w:spacing w:val="-1"/>
                <w:sz w:val="14"/>
              </w:rPr>
              <w:t> </w:t>
            </w:r>
            <w:r>
              <w:rPr>
                <w:sz w:val="14"/>
              </w:rPr>
              <w:t>exclusive</w:t>
            </w:r>
            <w:r>
              <w:rPr>
                <w:spacing w:val="-6"/>
                <w:sz w:val="14"/>
              </w:rPr>
              <w:t> </w:t>
            </w:r>
            <w:r>
              <w:rPr>
                <w:spacing w:val="-5"/>
                <w:sz w:val="14"/>
              </w:rPr>
              <w:t>use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310.00</w:t>
            </w:r>
          </w:p>
        </w:tc>
        <w:tc>
          <w:tcPr>
            <w:tcW w:w="995" w:type="dxa"/>
          </w:tcPr>
          <w:p>
            <w:pPr>
              <w:pStyle w:val="TableParagraph"/>
              <w:spacing w:line="140" w:lineRule="exact" w:before="17"/>
              <w:ind w:right="102"/>
              <w:jc w:val="right"/>
              <w:rPr>
                <w:sz w:val="14"/>
              </w:rPr>
            </w:pPr>
            <w:r>
              <w:rPr>
                <w:spacing w:val="-2"/>
                <w:sz w:val="14"/>
              </w:rPr>
              <w:t>500.00</w:t>
            </w:r>
          </w:p>
        </w:tc>
        <w:tc>
          <w:tcPr>
            <w:tcW w:w="861" w:type="dxa"/>
          </w:tcPr>
          <w:p>
            <w:pPr>
              <w:pStyle w:val="TableParagraph"/>
              <w:spacing w:line="140" w:lineRule="exact" w:before="17"/>
              <w:ind w:left="288"/>
              <w:rPr>
                <w:sz w:val="14"/>
              </w:rPr>
            </w:pPr>
            <w:r>
              <w:rPr>
                <w:spacing w:val="-4"/>
                <w:sz w:val="14"/>
              </w:rPr>
              <w:t>38.0</w:t>
            </w:r>
          </w:p>
        </w:tc>
      </w:tr>
      <w:tr>
        <w:trPr>
          <w:trHeight w:val="177" w:hRule="atLeast"/>
        </w:trPr>
        <w:tc>
          <w:tcPr>
            <w:tcW w:w="5794" w:type="dxa"/>
          </w:tcPr>
          <w:p>
            <w:pPr>
              <w:pStyle w:val="TableParagraph"/>
              <w:spacing w:line="142" w:lineRule="exact" w:before="15"/>
              <w:ind w:left="107"/>
              <w:rPr>
                <w:sz w:val="14"/>
              </w:rPr>
            </w:pPr>
            <w:r>
              <w:rPr>
                <w:sz w:val="14"/>
              </w:rPr>
              <w:t>Lane</w:t>
            </w:r>
            <w:r>
              <w:rPr>
                <w:spacing w:val="-7"/>
                <w:sz w:val="14"/>
              </w:rPr>
              <w:t> </w:t>
            </w:r>
            <w:r>
              <w:rPr>
                <w:spacing w:val="-4"/>
                <w:sz w:val="14"/>
              </w:rPr>
              <w:t>Hire</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47.00</w:t>
            </w:r>
          </w:p>
        </w:tc>
        <w:tc>
          <w:tcPr>
            <w:tcW w:w="995" w:type="dxa"/>
          </w:tcPr>
          <w:p>
            <w:pPr>
              <w:pStyle w:val="TableParagraph"/>
              <w:spacing w:line="142" w:lineRule="exact" w:before="15"/>
              <w:ind w:right="101"/>
              <w:jc w:val="right"/>
              <w:rPr>
                <w:sz w:val="14"/>
              </w:rPr>
            </w:pPr>
            <w:r>
              <w:rPr>
                <w:spacing w:val="-2"/>
                <w:sz w:val="14"/>
              </w:rPr>
              <w:t>60.00</w:t>
            </w:r>
          </w:p>
        </w:tc>
        <w:tc>
          <w:tcPr>
            <w:tcW w:w="861" w:type="dxa"/>
          </w:tcPr>
          <w:p>
            <w:pPr>
              <w:pStyle w:val="TableParagraph"/>
              <w:spacing w:line="142" w:lineRule="exact" w:before="15"/>
              <w:ind w:left="288"/>
              <w:rPr>
                <w:sz w:val="14"/>
              </w:rPr>
            </w:pPr>
            <w:r>
              <w:rPr>
                <w:spacing w:val="-4"/>
                <w:sz w:val="14"/>
              </w:rPr>
              <w:t>21.7</w:t>
            </w:r>
          </w:p>
        </w:tc>
      </w:tr>
      <w:tr>
        <w:trPr>
          <w:trHeight w:val="174" w:hRule="atLeast"/>
        </w:trPr>
        <w:tc>
          <w:tcPr>
            <w:tcW w:w="5794" w:type="dxa"/>
          </w:tcPr>
          <w:p>
            <w:pPr>
              <w:pStyle w:val="TableParagraph"/>
              <w:spacing w:line="140" w:lineRule="exact" w:before="15"/>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pacing w:val="-2"/>
                <w:sz w:val="14"/>
              </w:rPr>
              <w:t>Concession</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Concession</w:t>
            </w:r>
            <w:r>
              <w:rPr>
                <w:spacing w:val="-7"/>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6.40</w:t>
            </w:r>
          </w:p>
        </w:tc>
        <w:tc>
          <w:tcPr>
            <w:tcW w:w="995" w:type="dxa"/>
          </w:tcPr>
          <w:p>
            <w:pPr>
              <w:pStyle w:val="TableParagraph"/>
              <w:spacing w:line="140" w:lineRule="exact" w:before="17"/>
              <w:ind w:right="101"/>
              <w:jc w:val="right"/>
              <w:rPr>
                <w:sz w:val="14"/>
              </w:rPr>
            </w:pPr>
            <w:r>
              <w:rPr>
                <w:spacing w:val="-4"/>
                <w:sz w:val="14"/>
              </w:rPr>
              <w:t>7.10</w:t>
            </w:r>
          </w:p>
        </w:tc>
        <w:tc>
          <w:tcPr>
            <w:tcW w:w="861" w:type="dxa"/>
          </w:tcPr>
          <w:p>
            <w:pPr>
              <w:pStyle w:val="TableParagraph"/>
              <w:spacing w:line="140" w:lineRule="exact" w:before="17"/>
              <w:ind w:left="327"/>
              <w:rPr>
                <w:sz w:val="14"/>
              </w:rPr>
            </w:pPr>
            <w:r>
              <w:rPr>
                <w:spacing w:val="-5"/>
                <w:sz w:val="14"/>
              </w:rPr>
              <w:t>9.9</w:t>
            </w:r>
          </w:p>
        </w:tc>
      </w:tr>
      <w:tr>
        <w:trPr>
          <w:trHeight w:val="177" w:hRule="atLeast"/>
        </w:trPr>
        <w:tc>
          <w:tcPr>
            <w:tcW w:w="5794" w:type="dxa"/>
          </w:tcPr>
          <w:p>
            <w:pPr>
              <w:pStyle w:val="TableParagraph"/>
              <w:spacing w:line="140" w:lineRule="exact" w:before="17"/>
              <w:ind w:left="107"/>
              <w:rPr>
                <w:sz w:val="14"/>
              </w:rPr>
            </w:pPr>
            <w:r>
              <w:rPr>
                <w:sz w:val="14"/>
              </w:rPr>
              <w:t>10</w:t>
            </w:r>
            <w:r>
              <w:rPr>
                <w:spacing w:val="-6"/>
                <w:sz w:val="14"/>
              </w:rPr>
              <w:t> </w:t>
            </w:r>
            <w:r>
              <w:rPr>
                <w:sz w:val="14"/>
              </w:rPr>
              <w:t>Visit</w:t>
            </w:r>
            <w:r>
              <w:rPr>
                <w:spacing w:val="-4"/>
                <w:sz w:val="14"/>
              </w:rPr>
              <w:t> </w:t>
            </w:r>
            <w:r>
              <w:rPr>
                <w:sz w:val="14"/>
              </w:rPr>
              <w:t>Child/Concession</w:t>
            </w:r>
            <w:r>
              <w:rPr>
                <w:spacing w:val="-4"/>
                <w:sz w:val="14"/>
              </w:rPr>
              <w:t> 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57.60</w:t>
            </w:r>
          </w:p>
        </w:tc>
        <w:tc>
          <w:tcPr>
            <w:tcW w:w="995" w:type="dxa"/>
          </w:tcPr>
          <w:p>
            <w:pPr>
              <w:pStyle w:val="TableParagraph"/>
              <w:spacing w:line="140" w:lineRule="exact" w:before="17"/>
              <w:ind w:right="101"/>
              <w:jc w:val="right"/>
              <w:rPr>
                <w:sz w:val="14"/>
              </w:rPr>
            </w:pPr>
            <w:r>
              <w:rPr>
                <w:spacing w:val="-2"/>
                <w:sz w:val="14"/>
              </w:rPr>
              <w:t>63.90</w:t>
            </w:r>
          </w:p>
        </w:tc>
        <w:tc>
          <w:tcPr>
            <w:tcW w:w="861" w:type="dxa"/>
          </w:tcPr>
          <w:p>
            <w:pPr>
              <w:pStyle w:val="TableParagraph"/>
              <w:spacing w:line="140" w:lineRule="exact" w:before="17"/>
              <w:ind w:left="327"/>
              <w:rPr>
                <w:sz w:val="14"/>
              </w:rPr>
            </w:pPr>
            <w:r>
              <w:rPr>
                <w:spacing w:val="-5"/>
                <w:sz w:val="14"/>
              </w:rPr>
              <w:t>9.9</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pacing w:val="-2"/>
                <w:sz w:val="14"/>
              </w:rPr>
              <w:t>Juniors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Juniors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6.80</w:t>
            </w:r>
          </w:p>
        </w:tc>
        <w:tc>
          <w:tcPr>
            <w:tcW w:w="995" w:type="dxa"/>
          </w:tcPr>
          <w:p>
            <w:pPr>
              <w:pStyle w:val="TableParagraph"/>
              <w:spacing w:line="140" w:lineRule="exact" w:before="17"/>
              <w:ind w:right="101"/>
              <w:jc w:val="right"/>
              <w:rPr>
                <w:sz w:val="14"/>
              </w:rPr>
            </w:pPr>
            <w:r>
              <w:rPr>
                <w:spacing w:val="-4"/>
                <w:sz w:val="14"/>
              </w:rPr>
              <w:t>7.10</w:t>
            </w:r>
          </w:p>
        </w:tc>
        <w:tc>
          <w:tcPr>
            <w:tcW w:w="861" w:type="dxa"/>
          </w:tcPr>
          <w:p>
            <w:pPr>
              <w:pStyle w:val="TableParagraph"/>
              <w:spacing w:line="140" w:lineRule="exact" w:before="17"/>
              <w:ind w:left="327"/>
              <w:rPr>
                <w:sz w:val="14"/>
              </w:rPr>
            </w:pPr>
            <w:r>
              <w:rPr>
                <w:spacing w:val="-5"/>
                <w:sz w:val="14"/>
              </w:rPr>
              <w:t>4.2</w:t>
            </w:r>
          </w:p>
        </w:tc>
      </w:tr>
      <w:tr>
        <w:trPr>
          <w:trHeight w:val="177" w:hRule="atLeast"/>
        </w:trPr>
        <w:tc>
          <w:tcPr>
            <w:tcW w:w="5794" w:type="dxa"/>
          </w:tcPr>
          <w:p>
            <w:pPr>
              <w:pStyle w:val="TableParagraph"/>
              <w:spacing w:line="140" w:lineRule="exact" w:before="17"/>
              <w:ind w:left="107"/>
              <w:rPr>
                <w:sz w:val="14"/>
              </w:rPr>
            </w:pPr>
            <w:r>
              <w:rPr>
                <w:sz w:val="14"/>
              </w:rPr>
              <w:t>10</w:t>
            </w:r>
            <w:r>
              <w:rPr>
                <w:spacing w:val="-2"/>
                <w:sz w:val="14"/>
              </w:rPr>
              <w:t> </w:t>
            </w:r>
            <w:r>
              <w:rPr>
                <w:sz w:val="14"/>
              </w:rPr>
              <w:t>pass</w:t>
            </w:r>
            <w:r>
              <w:rPr>
                <w:spacing w:val="-3"/>
                <w:sz w:val="14"/>
              </w:rPr>
              <w:t> </w:t>
            </w:r>
            <w:r>
              <w:rPr>
                <w:sz w:val="14"/>
              </w:rPr>
              <w:t>Junior</w:t>
            </w:r>
            <w:r>
              <w:rPr>
                <w:spacing w:val="-4"/>
                <w:sz w:val="14"/>
              </w:rPr>
              <w:t> 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61.20</w:t>
            </w:r>
          </w:p>
        </w:tc>
        <w:tc>
          <w:tcPr>
            <w:tcW w:w="995" w:type="dxa"/>
          </w:tcPr>
          <w:p>
            <w:pPr>
              <w:pStyle w:val="TableParagraph"/>
              <w:spacing w:line="140" w:lineRule="exact" w:before="17"/>
              <w:ind w:right="101"/>
              <w:jc w:val="right"/>
              <w:rPr>
                <w:sz w:val="14"/>
              </w:rPr>
            </w:pPr>
            <w:r>
              <w:rPr>
                <w:spacing w:val="-2"/>
                <w:sz w:val="14"/>
              </w:rPr>
              <w:t>63.90</w:t>
            </w:r>
          </w:p>
        </w:tc>
        <w:tc>
          <w:tcPr>
            <w:tcW w:w="861" w:type="dxa"/>
          </w:tcPr>
          <w:p>
            <w:pPr>
              <w:pStyle w:val="TableParagraph"/>
              <w:spacing w:line="140" w:lineRule="exact" w:before="17"/>
              <w:ind w:left="327"/>
              <w:rPr>
                <w:sz w:val="14"/>
              </w:rPr>
            </w:pPr>
            <w:r>
              <w:rPr>
                <w:spacing w:val="-5"/>
                <w:sz w:val="14"/>
              </w:rPr>
              <w:t>4.2</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7"/>
                <w:sz w:val="14"/>
              </w:rPr>
              <w:t> </w:t>
            </w:r>
            <w:r>
              <w:rPr>
                <w:b/>
                <w:sz w:val="14"/>
              </w:rPr>
              <w:t>Pool</w:t>
            </w:r>
            <w:r>
              <w:rPr>
                <w:b/>
                <w:spacing w:val="-4"/>
                <w:sz w:val="14"/>
              </w:rPr>
              <w:t> </w:t>
            </w:r>
            <w:r>
              <w:rPr>
                <w:b/>
                <w:sz w:val="14"/>
              </w:rPr>
              <w:t>Family</w:t>
            </w:r>
            <w:r>
              <w:rPr>
                <w:b/>
                <w:spacing w:val="-7"/>
                <w:sz w:val="14"/>
              </w:rPr>
              <w:t> </w:t>
            </w:r>
            <w:r>
              <w:rPr>
                <w:b/>
                <w:spacing w:val="-2"/>
                <w:sz w:val="14"/>
              </w:rPr>
              <w:t>Concessions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Family</w:t>
            </w:r>
            <w:r>
              <w:rPr>
                <w:spacing w:val="-7"/>
                <w:sz w:val="14"/>
              </w:rPr>
              <w:t> </w:t>
            </w:r>
            <w:r>
              <w:rPr>
                <w:spacing w:val="-2"/>
                <w:sz w:val="14"/>
              </w:rPr>
              <w:t>Concessions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22.80</w:t>
            </w:r>
          </w:p>
        </w:tc>
        <w:tc>
          <w:tcPr>
            <w:tcW w:w="995" w:type="dxa"/>
          </w:tcPr>
          <w:p>
            <w:pPr>
              <w:pStyle w:val="TableParagraph"/>
              <w:spacing w:line="140" w:lineRule="exact" w:before="17"/>
              <w:ind w:right="101"/>
              <w:jc w:val="right"/>
              <w:rPr>
                <w:sz w:val="14"/>
              </w:rPr>
            </w:pPr>
            <w:r>
              <w:rPr>
                <w:spacing w:val="-2"/>
                <w:sz w:val="14"/>
              </w:rPr>
              <w:t>23.70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pacing w:val="-2"/>
                <w:sz w:val="14"/>
              </w:rPr>
              <w:t>Adults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Adults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8.00</w:t>
            </w:r>
          </w:p>
        </w:tc>
        <w:tc>
          <w:tcPr>
            <w:tcW w:w="995" w:type="dxa"/>
          </w:tcPr>
          <w:p>
            <w:pPr>
              <w:pStyle w:val="TableParagraph"/>
              <w:spacing w:line="140" w:lineRule="exact" w:before="17"/>
              <w:ind w:right="101"/>
              <w:jc w:val="right"/>
              <w:rPr>
                <w:sz w:val="14"/>
              </w:rPr>
            </w:pPr>
            <w:r>
              <w:rPr>
                <w:spacing w:val="-4"/>
                <w:sz w:val="14"/>
              </w:rPr>
              <w:t>8.30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w:t>
            </w:r>
            <w:r>
              <w:rPr>
                <w:spacing w:val="-2"/>
                <w:sz w:val="14"/>
              </w:rPr>
              <w:t> </w:t>
            </w:r>
            <w:r>
              <w:rPr>
                <w:sz w:val="14"/>
              </w:rPr>
              <w:t>Adult</w:t>
            </w:r>
            <w:r>
              <w:rPr>
                <w:spacing w:val="-2"/>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72.00</w:t>
            </w:r>
          </w:p>
        </w:tc>
        <w:tc>
          <w:tcPr>
            <w:tcW w:w="995" w:type="dxa"/>
          </w:tcPr>
          <w:p>
            <w:pPr>
              <w:pStyle w:val="TableParagraph"/>
              <w:spacing w:line="140" w:lineRule="exact" w:before="17"/>
              <w:ind w:right="101"/>
              <w:jc w:val="right"/>
              <w:rPr>
                <w:sz w:val="14"/>
              </w:rPr>
            </w:pPr>
            <w:r>
              <w:rPr>
                <w:spacing w:val="-2"/>
                <w:sz w:val="14"/>
              </w:rPr>
              <w:t>74.70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2" w:lineRule="exact" w:before="15"/>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z w:val="14"/>
              </w:rPr>
              <w:t>Senior</w:t>
            </w:r>
            <w:r>
              <w:rPr>
                <w:b/>
                <w:spacing w:val="-4"/>
                <w:sz w:val="14"/>
              </w:rPr>
              <w:t> Card</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Senior</w:t>
            </w:r>
            <w:r>
              <w:rPr>
                <w:spacing w:val="-7"/>
                <w:sz w:val="14"/>
              </w:rPr>
              <w:t> </w:t>
            </w:r>
            <w:r>
              <w:rPr>
                <w:spacing w:val="-4"/>
                <w:sz w:val="14"/>
              </w:rPr>
              <w:t>Card</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4"/>
                <w:sz w:val="14"/>
              </w:rPr>
              <w:t>7.20</w:t>
            </w:r>
          </w:p>
        </w:tc>
        <w:tc>
          <w:tcPr>
            <w:tcW w:w="995" w:type="dxa"/>
          </w:tcPr>
          <w:p>
            <w:pPr>
              <w:pStyle w:val="TableParagraph"/>
              <w:spacing w:line="140" w:lineRule="exact" w:before="15"/>
              <w:ind w:right="101"/>
              <w:jc w:val="right"/>
              <w:rPr>
                <w:sz w:val="14"/>
              </w:rPr>
            </w:pPr>
            <w:r>
              <w:rPr>
                <w:spacing w:val="-4"/>
                <w:sz w:val="14"/>
              </w:rPr>
              <w:t>7.50</w:t>
            </w:r>
          </w:p>
        </w:tc>
        <w:tc>
          <w:tcPr>
            <w:tcW w:w="861" w:type="dxa"/>
          </w:tcPr>
          <w:p>
            <w:pPr>
              <w:pStyle w:val="TableParagraph"/>
              <w:spacing w:line="140" w:lineRule="exact" w:before="15"/>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10</w:t>
            </w:r>
            <w:r>
              <w:rPr>
                <w:spacing w:val="-5"/>
                <w:sz w:val="14"/>
              </w:rPr>
              <w:t> </w:t>
            </w:r>
            <w:r>
              <w:rPr>
                <w:sz w:val="14"/>
              </w:rPr>
              <w:t>Visit</w:t>
            </w:r>
            <w:r>
              <w:rPr>
                <w:spacing w:val="-3"/>
                <w:sz w:val="14"/>
              </w:rPr>
              <w:t> </w:t>
            </w:r>
            <w:r>
              <w:rPr>
                <w:sz w:val="14"/>
              </w:rPr>
              <w:t>Seniors</w:t>
            </w:r>
            <w:r>
              <w:rPr>
                <w:spacing w:val="-1"/>
                <w:sz w:val="14"/>
              </w:rPr>
              <w:t> </w:t>
            </w:r>
            <w:r>
              <w:rPr>
                <w:spacing w:val="-4"/>
                <w:sz w:val="14"/>
              </w:rPr>
              <w:t>Swim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64.80</w:t>
            </w:r>
          </w:p>
        </w:tc>
        <w:tc>
          <w:tcPr>
            <w:tcW w:w="995" w:type="dxa"/>
          </w:tcPr>
          <w:p>
            <w:pPr>
              <w:pStyle w:val="TableParagraph"/>
              <w:spacing w:line="140" w:lineRule="exact" w:before="17"/>
              <w:ind w:right="101"/>
              <w:jc w:val="right"/>
              <w:rPr>
                <w:sz w:val="14"/>
              </w:rPr>
            </w:pPr>
            <w:r>
              <w:rPr>
                <w:spacing w:val="-2"/>
                <w:sz w:val="14"/>
              </w:rPr>
              <w:t>67.50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7"/>
                <w:sz w:val="14"/>
              </w:rPr>
              <w:t> </w:t>
            </w:r>
            <w:r>
              <w:rPr>
                <w:b/>
                <w:sz w:val="14"/>
              </w:rPr>
              <w:t>Pool</w:t>
            </w:r>
            <w:r>
              <w:rPr>
                <w:b/>
                <w:spacing w:val="-3"/>
                <w:sz w:val="14"/>
              </w:rPr>
              <w:t> </w:t>
            </w:r>
            <w:r>
              <w:rPr>
                <w:b/>
                <w:sz w:val="14"/>
              </w:rPr>
              <w:t>Family</w:t>
            </w:r>
            <w:r>
              <w:rPr>
                <w:b/>
                <w:spacing w:val="-5"/>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127.50</w:t>
            </w:r>
          </w:p>
        </w:tc>
        <w:tc>
          <w:tcPr>
            <w:tcW w:w="995" w:type="dxa"/>
          </w:tcPr>
          <w:p>
            <w:pPr>
              <w:pStyle w:val="TableParagraph"/>
              <w:spacing w:line="140" w:lineRule="exact" w:before="17"/>
              <w:ind w:right="102"/>
              <w:jc w:val="right"/>
              <w:rPr>
                <w:sz w:val="14"/>
              </w:rPr>
            </w:pPr>
            <w:r>
              <w:rPr>
                <w:spacing w:val="-2"/>
                <w:sz w:val="14"/>
              </w:rPr>
              <w:t>110.00</w:t>
            </w:r>
          </w:p>
        </w:tc>
        <w:tc>
          <w:tcPr>
            <w:tcW w:w="861" w:type="dxa"/>
          </w:tcPr>
          <w:p>
            <w:pPr>
              <w:pStyle w:val="TableParagraph"/>
              <w:spacing w:line="140" w:lineRule="exact" w:before="17"/>
              <w:ind w:left="264"/>
              <w:rPr>
                <w:sz w:val="14"/>
              </w:rPr>
            </w:pPr>
            <w:r>
              <w:rPr>
                <w:w w:val="95"/>
                <w:sz w:val="14"/>
              </w:rPr>
              <w:t>-</w:t>
            </w:r>
            <w:r>
              <w:rPr>
                <w:spacing w:val="-4"/>
                <w:sz w:val="14"/>
              </w:rPr>
              <w:t>15.9</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5"/>
                <w:sz w:val="14"/>
              </w:rPr>
              <w:t> </w:t>
            </w:r>
            <w:r>
              <w:rPr>
                <w:b/>
                <w:sz w:val="14"/>
              </w:rPr>
              <w:t>Memorial</w:t>
            </w:r>
            <w:r>
              <w:rPr>
                <w:b/>
                <w:spacing w:val="-6"/>
                <w:sz w:val="14"/>
              </w:rPr>
              <w:t> </w:t>
            </w:r>
            <w:r>
              <w:rPr>
                <w:b/>
                <w:sz w:val="14"/>
              </w:rPr>
              <w:t>Pool</w:t>
            </w:r>
            <w:r>
              <w:rPr>
                <w:b/>
                <w:spacing w:val="-7"/>
                <w:sz w:val="14"/>
              </w:rPr>
              <w:t> </w:t>
            </w:r>
            <w:r>
              <w:rPr>
                <w:b/>
                <w:sz w:val="14"/>
              </w:rPr>
              <w:t>Individual</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75.00</w:t>
            </w:r>
          </w:p>
        </w:tc>
        <w:tc>
          <w:tcPr>
            <w:tcW w:w="995" w:type="dxa"/>
          </w:tcPr>
          <w:p>
            <w:pPr>
              <w:pStyle w:val="TableParagraph"/>
              <w:spacing w:line="140" w:lineRule="exact" w:before="17"/>
              <w:ind w:right="101"/>
              <w:jc w:val="right"/>
              <w:rPr>
                <w:sz w:val="14"/>
              </w:rPr>
            </w:pPr>
            <w:r>
              <w:rPr>
                <w:spacing w:val="-2"/>
                <w:sz w:val="14"/>
              </w:rPr>
              <w:t>78.00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3"/>
                <w:sz w:val="14"/>
              </w:rPr>
              <w:t> </w:t>
            </w:r>
            <w:r>
              <w:rPr>
                <w:b/>
                <w:sz w:val="14"/>
              </w:rPr>
              <w:t>Memorial</w:t>
            </w:r>
            <w:r>
              <w:rPr>
                <w:b/>
                <w:spacing w:val="-4"/>
                <w:sz w:val="14"/>
              </w:rPr>
              <w:t> </w:t>
            </w:r>
            <w:r>
              <w:rPr>
                <w:b/>
                <w:sz w:val="14"/>
              </w:rPr>
              <w:t>Pool</w:t>
            </w:r>
            <w:r>
              <w:rPr>
                <w:b/>
                <w:spacing w:val="-5"/>
                <w:sz w:val="14"/>
              </w:rPr>
              <w:t> </w:t>
            </w:r>
            <w:r>
              <w:rPr>
                <w:b/>
                <w:sz w:val="14"/>
              </w:rPr>
              <w:t>50's</w:t>
            </w:r>
            <w:r>
              <w:rPr>
                <w:b/>
                <w:spacing w:val="-4"/>
                <w:sz w:val="14"/>
              </w:rPr>
              <w:t> </w:t>
            </w:r>
            <w:r>
              <w:rPr>
                <w:b/>
                <w:sz w:val="14"/>
              </w:rPr>
              <w:t>Plus</w:t>
            </w:r>
            <w:r>
              <w:rPr>
                <w:b/>
                <w:spacing w:val="-5"/>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Croydon</w:t>
            </w:r>
            <w:r>
              <w:rPr>
                <w:spacing w:val="-6"/>
                <w:sz w:val="14"/>
              </w:rPr>
              <w:t> </w:t>
            </w:r>
            <w:r>
              <w:rPr>
                <w:sz w:val="14"/>
              </w:rPr>
              <w:t>Memorial</w:t>
            </w:r>
            <w:r>
              <w:rPr>
                <w:spacing w:val="-4"/>
                <w:sz w:val="14"/>
              </w:rPr>
              <w:t> </w:t>
            </w:r>
            <w:r>
              <w:rPr>
                <w:sz w:val="14"/>
              </w:rPr>
              <w:t>Pool</w:t>
            </w:r>
            <w:r>
              <w:rPr>
                <w:spacing w:val="-4"/>
                <w:sz w:val="14"/>
              </w:rPr>
              <w:t> </w:t>
            </w:r>
            <w:r>
              <w:rPr>
                <w:sz w:val="14"/>
              </w:rPr>
              <w:t>50's</w:t>
            </w:r>
            <w:r>
              <w:rPr>
                <w:spacing w:val="-4"/>
                <w:sz w:val="14"/>
              </w:rPr>
              <w:t> </w:t>
            </w:r>
            <w:r>
              <w:rPr>
                <w:sz w:val="14"/>
              </w:rPr>
              <w:t>Plus</w:t>
            </w:r>
            <w:r>
              <w:rPr>
                <w:spacing w:val="-4"/>
                <w:sz w:val="14"/>
              </w:rPr>
              <w:t> </w:t>
            </w:r>
            <w:r>
              <w:rPr>
                <w:spacing w:val="-2"/>
                <w:sz w:val="14"/>
              </w:rPr>
              <w:t>Membership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67.70</w:t>
            </w:r>
          </w:p>
        </w:tc>
        <w:tc>
          <w:tcPr>
            <w:tcW w:w="995" w:type="dxa"/>
          </w:tcPr>
          <w:p>
            <w:pPr>
              <w:pStyle w:val="TableParagraph"/>
              <w:spacing w:line="140" w:lineRule="exact" w:before="17"/>
              <w:ind w:right="101"/>
              <w:jc w:val="right"/>
              <w:rPr>
                <w:sz w:val="14"/>
              </w:rPr>
            </w:pPr>
            <w:r>
              <w:rPr>
                <w:spacing w:val="-2"/>
                <w:sz w:val="14"/>
              </w:rPr>
              <w:t>69.70</w:t>
            </w:r>
          </w:p>
        </w:tc>
        <w:tc>
          <w:tcPr>
            <w:tcW w:w="861" w:type="dxa"/>
          </w:tcPr>
          <w:p>
            <w:pPr>
              <w:pStyle w:val="TableParagraph"/>
              <w:spacing w:line="140" w:lineRule="exact" w:before="17"/>
              <w:ind w:left="327"/>
              <w:rPr>
                <w:sz w:val="14"/>
              </w:rPr>
            </w:pPr>
            <w:r>
              <w:rPr>
                <w:spacing w:val="-5"/>
                <w:sz w:val="14"/>
              </w:rPr>
              <w:t>2.9</w:t>
            </w:r>
          </w:p>
        </w:tc>
      </w:tr>
      <w:tr>
        <w:trPr>
          <w:trHeight w:val="177" w:hRule="atLeast"/>
        </w:trPr>
        <w:tc>
          <w:tcPr>
            <w:tcW w:w="5794" w:type="dxa"/>
          </w:tcPr>
          <w:p>
            <w:pPr>
              <w:pStyle w:val="TableParagraph"/>
              <w:spacing w:line="140" w:lineRule="exact" w:before="17"/>
              <w:ind w:left="107"/>
              <w:rPr>
                <w:b/>
                <w:sz w:val="14"/>
              </w:rPr>
            </w:pPr>
            <w:r>
              <w:rPr>
                <w:b/>
                <w:sz w:val="14"/>
              </w:rPr>
              <w:t>Croydon</w:t>
            </w:r>
            <w:r>
              <w:rPr>
                <w:b/>
                <w:spacing w:val="-4"/>
                <w:sz w:val="14"/>
              </w:rPr>
              <w:t> </w:t>
            </w:r>
            <w:r>
              <w:rPr>
                <w:b/>
                <w:sz w:val="14"/>
              </w:rPr>
              <w:t>Memorial</w:t>
            </w:r>
            <w:r>
              <w:rPr>
                <w:b/>
                <w:spacing w:val="-6"/>
                <w:sz w:val="14"/>
              </w:rPr>
              <w:t> </w:t>
            </w:r>
            <w:r>
              <w:rPr>
                <w:b/>
                <w:sz w:val="14"/>
              </w:rPr>
              <w:t>Pool</w:t>
            </w:r>
            <w:r>
              <w:rPr>
                <w:b/>
                <w:spacing w:val="-6"/>
                <w:sz w:val="14"/>
              </w:rPr>
              <w:t> </w:t>
            </w:r>
            <w:r>
              <w:rPr>
                <w:b/>
                <w:sz w:val="14"/>
              </w:rPr>
              <w:t>Aquatics</w:t>
            </w:r>
            <w:r>
              <w:rPr>
                <w:b/>
                <w:spacing w:val="-4"/>
                <w:sz w:val="14"/>
              </w:rPr>
              <w:t> </w:t>
            </w:r>
            <w:r>
              <w:rPr>
                <w:b/>
                <w:spacing w:val="-2"/>
                <w:sz w:val="14"/>
              </w:rPr>
              <w:t>Membership</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bl>
    <w:p>
      <w:pPr>
        <w:spacing w:after="0"/>
        <w:rPr>
          <w:rFonts w:ascii="Times New Roman"/>
          <w:sz w:val="10"/>
        </w:rPr>
        <w:sectPr>
          <w:type w:val="continuous"/>
          <w:pgSz w:w="11910" w:h="16840"/>
          <w:pgMar w:header="0" w:footer="687" w:top="920" w:bottom="1061"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38.70</w:t>
            </w:r>
          </w:p>
        </w:tc>
        <w:tc>
          <w:tcPr>
            <w:tcW w:w="995" w:type="dxa"/>
          </w:tcPr>
          <w:p>
            <w:pPr>
              <w:pStyle w:val="TableParagraph"/>
              <w:spacing w:line="140" w:lineRule="exact" w:before="15"/>
              <w:ind w:right="101"/>
              <w:jc w:val="right"/>
              <w:rPr>
                <w:sz w:val="14"/>
              </w:rPr>
            </w:pPr>
            <w:r>
              <w:rPr>
                <w:spacing w:val="-2"/>
                <w:sz w:val="14"/>
              </w:rPr>
              <w:t>40.00</w:t>
            </w:r>
          </w:p>
        </w:tc>
        <w:tc>
          <w:tcPr>
            <w:tcW w:w="861" w:type="dxa"/>
          </w:tcPr>
          <w:p>
            <w:pPr>
              <w:pStyle w:val="TableParagraph"/>
              <w:spacing w:line="140" w:lineRule="exact" w:before="15"/>
              <w:ind w:left="327"/>
              <w:rPr>
                <w:sz w:val="14"/>
              </w:rPr>
            </w:pPr>
            <w:r>
              <w:rPr>
                <w:spacing w:val="-5"/>
                <w:sz w:val="14"/>
              </w:rPr>
              <w:t>3.2</w:t>
            </w:r>
          </w:p>
        </w:tc>
      </w:tr>
      <w:tr>
        <w:trPr>
          <w:trHeight w:val="177" w:hRule="atLeast"/>
        </w:trPr>
        <w:tc>
          <w:tcPr>
            <w:tcW w:w="5794" w:type="dxa"/>
          </w:tcPr>
          <w:p>
            <w:pPr>
              <w:pStyle w:val="TableParagraph"/>
              <w:spacing w:line="140" w:lineRule="exact" w:before="17"/>
              <w:ind w:left="107"/>
              <w:rPr>
                <w:b/>
                <w:sz w:val="14"/>
              </w:rPr>
            </w:pPr>
            <w:r>
              <w:rPr>
                <w:b/>
                <w:sz w:val="14"/>
              </w:rPr>
              <w:t>Ringwood</w:t>
            </w:r>
            <w:r>
              <w:rPr>
                <w:b/>
                <w:spacing w:val="-6"/>
                <w:sz w:val="14"/>
              </w:rPr>
              <w:t> </w:t>
            </w:r>
            <w:r>
              <w:rPr>
                <w:b/>
                <w:sz w:val="14"/>
              </w:rPr>
              <w:t>Golf</w:t>
            </w:r>
            <w:r>
              <w:rPr>
                <w:b/>
                <w:spacing w:val="-5"/>
                <w:sz w:val="14"/>
              </w:rPr>
              <w:t> </w:t>
            </w:r>
            <w:r>
              <w:rPr>
                <w:b/>
                <w:sz w:val="14"/>
              </w:rPr>
              <w:t>Course</w:t>
            </w:r>
            <w:r>
              <w:rPr>
                <w:b/>
                <w:spacing w:val="-3"/>
                <w:sz w:val="14"/>
              </w:rPr>
              <w:t> </w:t>
            </w:r>
            <w:r>
              <w:rPr>
                <w:b/>
                <w:spacing w:val="-4"/>
                <w:sz w:val="14"/>
              </w:rPr>
              <w:t>Fees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2"/>
                <w:sz w:val="14"/>
              </w:rPr>
              <w:t> </w:t>
            </w:r>
            <w:r>
              <w:rPr>
                <w:sz w:val="14"/>
              </w:rPr>
              <w:t>Mid</w:t>
            </w:r>
            <w:r>
              <w:rPr>
                <w:spacing w:val="-2"/>
                <w:sz w:val="14"/>
              </w:rPr>
              <w:t> </w:t>
            </w:r>
            <w:r>
              <w:rPr>
                <w:sz w:val="14"/>
              </w:rPr>
              <w:t>Week</w:t>
            </w:r>
            <w:r>
              <w:rPr>
                <w:spacing w:val="-1"/>
                <w:sz w:val="14"/>
              </w:rPr>
              <w:t> </w:t>
            </w:r>
            <w:r>
              <w:rPr>
                <w:sz w:val="14"/>
              </w:rPr>
              <w:t>-</w:t>
            </w:r>
            <w:r>
              <w:rPr>
                <w:spacing w:val="35"/>
                <w:sz w:val="14"/>
              </w:rPr>
              <w:t> </w:t>
            </w:r>
            <w:r>
              <w:rPr>
                <w:sz w:val="14"/>
              </w:rPr>
              <w:t>Adult</w:t>
            </w:r>
            <w:r>
              <w:rPr>
                <w:spacing w:val="-3"/>
                <w:sz w:val="14"/>
              </w:rPr>
              <w:t> </w:t>
            </w:r>
            <w:r>
              <w:rPr>
                <w:sz w:val="14"/>
              </w:rPr>
              <w:t>M/W</w:t>
            </w:r>
            <w:r>
              <w:rPr>
                <w:spacing w:val="-1"/>
                <w:sz w:val="14"/>
              </w:rPr>
              <w:t> </w:t>
            </w:r>
            <w:r>
              <w:rPr>
                <w:sz w:val="14"/>
              </w:rPr>
              <w:t>18</w:t>
            </w:r>
            <w:r>
              <w:rPr>
                <w:spacing w:val="-4"/>
                <w:sz w:val="14"/>
              </w:rPr>
              <w:t> Holes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36.00</w:t>
            </w:r>
          </w:p>
        </w:tc>
        <w:tc>
          <w:tcPr>
            <w:tcW w:w="995" w:type="dxa"/>
          </w:tcPr>
          <w:p>
            <w:pPr>
              <w:pStyle w:val="TableParagraph"/>
              <w:spacing w:line="140" w:lineRule="exact" w:before="17"/>
              <w:ind w:right="101"/>
              <w:jc w:val="right"/>
              <w:rPr>
                <w:sz w:val="14"/>
              </w:rPr>
            </w:pPr>
            <w:r>
              <w:rPr>
                <w:spacing w:val="-2"/>
                <w:sz w:val="14"/>
              </w:rPr>
              <w:t>38.00</w:t>
            </w:r>
          </w:p>
        </w:tc>
        <w:tc>
          <w:tcPr>
            <w:tcW w:w="861" w:type="dxa"/>
          </w:tcPr>
          <w:p>
            <w:pPr>
              <w:pStyle w:val="TableParagraph"/>
              <w:spacing w:line="140" w:lineRule="exact" w:before="17"/>
              <w:ind w:left="327"/>
              <w:rPr>
                <w:sz w:val="14"/>
              </w:rPr>
            </w:pPr>
            <w:r>
              <w:rPr>
                <w:spacing w:val="-5"/>
                <w:sz w:val="14"/>
              </w:rPr>
              <w:t>5.3</w:t>
            </w:r>
          </w:p>
        </w:tc>
      </w:tr>
      <w:tr>
        <w:trPr>
          <w:trHeight w:val="177" w:hRule="atLeast"/>
        </w:trPr>
        <w:tc>
          <w:tcPr>
            <w:tcW w:w="5794" w:type="dxa"/>
          </w:tcPr>
          <w:p>
            <w:pPr>
              <w:pStyle w:val="TableParagraph"/>
              <w:spacing w:line="142" w:lineRule="exact" w:before="15"/>
              <w:ind w:left="107"/>
              <w:rPr>
                <w:sz w:val="14"/>
              </w:rPr>
            </w:pPr>
            <w:r>
              <w:rPr>
                <w:sz w:val="14"/>
              </w:rPr>
              <w:t>18</w:t>
            </w:r>
            <w:r>
              <w:rPr>
                <w:spacing w:val="-5"/>
                <w:sz w:val="14"/>
              </w:rPr>
              <w:t> </w:t>
            </w:r>
            <w:r>
              <w:rPr>
                <w:sz w:val="14"/>
              </w:rPr>
              <w:t>Hole</w:t>
            </w:r>
            <w:r>
              <w:rPr>
                <w:spacing w:val="-2"/>
                <w:sz w:val="14"/>
              </w:rPr>
              <w:t> </w:t>
            </w:r>
            <w:r>
              <w:rPr>
                <w:sz w:val="14"/>
              </w:rPr>
              <w:t>Mid</w:t>
            </w:r>
            <w:r>
              <w:rPr>
                <w:spacing w:val="-3"/>
                <w:sz w:val="14"/>
              </w:rPr>
              <w:t> </w:t>
            </w:r>
            <w:r>
              <w:rPr>
                <w:sz w:val="14"/>
              </w:rPr>
              <w:t>Week</w:t>
            </w:r>
            <w:r>
              <w:rPr>
                <w:spacing w:val="-3"/>
                <w:sz w:val="14"/>
              </w:rPr>
              <w:t> </w:t>
            </w:r>
            <w:r>
              <w:rPr>
                <w:sz w:val="14"/>
              </w:rPr>
              <w:t>-</w:t>
            </w:r>
            <w:r>
              <w:rPr>
                <w:spacing w:val="34"/>
                <w:sz w:val="14"/>
              </w:rPr>
              <w:t> </w:t>
            </w:r>
            <w:r>
              <w:rPr>
                <w:sz w:val="14"/>
              </w:rPr>
              <w:t>Concession</w:t>
            </w:r>
            <w:r>
              <w:rPr>
                <w:spacing w:val="-2"/>
                <w:sz w:val="14"/>
              </w:rPr>
              <w:t> </w:t>
            </w:r>
            <w:r>
              <w:rPr>
                <w:sz w:val="14"/>
              </w:rPr>
              <w:t>m/w</w:t>
            </w:r>
            <w:r>
              <w:rPr>
                <w:spacing w:val="-3"/>
                <w:sz w:val="14"/>
              </w:rPr>
              <w:t> </w:t>
            </w:r>
            <w:r>
              <w:rPr>
                <w:spacing w:val="-5"/>
                <w:sz w:val="14"/>
              </w:rPr>
              <w:t>18</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29.00</w:t>
            </w:r>
          </w:p>
        </w:tc>
        <w:tc>
          <w:tcPr>
            <w:tcW w:w="995" w:type="dxa"/>
          </w:tcPr>
          <w:p>
            <w:pPr>
              <w:pStyle w:val="TableParagraph"/>
              <w:spacing w:line="142" w:lineRule="exact" w:before="15"/>
              <w:ind w:right="101"/>
              <w:jc w:val="right"/>
              <w:rPr>
                <w:sz w:val="14"/>
              </w:rPr>
            </w:pPr>
            <w:r>
              <w:rPr>
                <w:spacing w:val="-2"/>
                <w:sz w:val="14"/>
              </w:rPr>
              <w:t>31.00</w:t>
            </w:r>
          </w:p>
        </w:tc>
        <w:tc>
          <w:tcPr>
            <w:tcW w:w="861" w:type="dxa"/>
          </w:tcPr>
          <w:p>
            <w:pPr>
              <w:pStyle w:val="TableParagraph"/>
              <w:spacing w:line="142" w:lineRule="exact" w:before="15"/>
              <w:ind w:left="326"/>
              <w:rPr>
                <w:sz w:val="14"/>
              </w:rPr>
            </w:pPr>
            <w:r>
              <w:rPr>
                <w:spacing w:val="-5"/>
                <w:sz w:val="14"/>
              </w:rPr>
              <w:t>6.5</w:t>
            </w:r>
          </w:p>
        </w:tc>
      </w:tr>
      <w:tr>
        <w:trPr>
          <w:trHeight w:val="174" w:hRule="atLeast"/>
        </w:trPr>
        <w:tc>
          <w:tcPr>
            <w:tcW w:w="5794" w:type="dxa"/>
          </w:tcPr>
          <w:p>
            <w:pPr>
              <w:pStyle w:val="TableParagraph"/>
              <w:spacing w:line="140" w:lineRule="exact" w:before="15"/>
              <w:ind w:left="107"/>
              <w:rPr>
                <w:sz w:val="14"/>
              </w:rPr>
            </w:pPr>
            <w:r>
              <w:rPr>
                <w:sz w:val="14"/>
              </w:rPr>
              <w:t>18</w:t>
            </w:r>
            <w:r>
              <w:rPr>
                <w:spacing w:val="-4"/>
                <w:sz w:val="14"/>
              </w:rPr>
              <w:t> </w:t>
            </w:r>
            <w:r>
              <w:rPr>
                <w:sz w:val="14"/>
              </w:rPr>
              <w:t>Hole</w:t>
            </w:r>
            <w:r>
              <w:rPr>
                <w:spacing w:val="-2"/>
                <w:sz w:val="14"/>
              </w:rPr>
              <w:t> </w:t>
            </w:r>
            <w:r>
              <w:rPr>
                <w:sz w:val="14"/>
              </w:rPr>
              <w:t>Mid</w:t>
            </w:r>
            <w:r>
              <w:rPr>
                <w:spacing w:val="-3"/>
                <w:sz w:val="14"/>
              </w:rPr>
              <w:t> </w:t>
            </w:r>
            <w:r>
              <w:rPr>
                <w:sz w:val="14"/>
              </w:rPr>
              <w:t>Week</w:t>
            </w:r>
            <w:r>
              <w:rPr>
                <w:spacing w:val="-2"/>
                <w:sz w:val="14"/>
              </w:rPr>
              <w:t> </w:t>
            </w:r>
            <w:r>
              <w:rPr>
                <w:sz w:val="14"/>
              </w:rPr>
              <w:t>-</w:t>
            </w:r>
            <w:r>
              <w:rPr>
                <w:spacing w:val="35"/>
                <w:sz w:val="14"/>
              </w:rPr>
              <w:t> </w:t>
            </w:r>
            <w:r>
              <w:rPr>
                <w:sz w:val="14"/>
              </w:rPr>
              <w:t>Senior</w:t>
            </w:r>
            <w:r>
              <w:rPr>
                <w:spacing w:val="-2"/>
                <w:sz w:val="14"/>
              </w:rPr>
              <w:t> </w:t>
            </w:r>
            <w:r>
              <w:rPr>
                <w:sz w:val="14"/>
              </w:rPr>
              <w:t>Card</w:t>
            </w:r>
            <w:r>
              <w:rPr>
                <w:spacing w:val="-4"/>
                <w:sz w:val="14"/>
              </w:rPr>
              <w:t> </w:t>
            </w:r>
            <w:r>
              <w:rPr>
                <w:sz w:val="14"/>
              </w:rPr>
              <w:t>m/w </w:t>
            </w:r>
            <w:r>
              <w:rPr>
                <w:spacing w:val="-5"/>
                <w:sz w:val="14"/>
              </w:rPr>
              <w:t>18</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32.00</w:t>
            </w:r>
          </w:p>
        </w:tc>
        <w:tc>
          <w:tcPr>
            <w:tcW w:w="995" w:type="dxa"/>
          </w:tcPr>
          <w:p>
            <w:pPr>
              <w:pStyle w:val="TableParagraph"/>
              <w:spacing w:line="140" w:lineRule="exact" w:before="15"/>
              <w:ind w:right="101"/>
              <w:jc w:val="right"/>
              <w:rPr>
                <w:sz w:val="14"/>
              </w:rPr>
            </w:pPr>
            <w:r>
              <w:rPr>
                <w:spacing w:val="-2"/>
                <w:sz w:val="14"/>
              </w:rPr>
              <w:t>34.00</w:t>
            </w:r>
          </w:p>
        </w:tc>
        <w:tc>
          <w:tcPr>
            <w:tcW w:w="861" w:type="dxa"/>
          </w:tcPr>
          <w:p>
            <w:pPr>
              <w:pStyle w:val="TableParagraph"/>
              <w:spacing w:line="140" w:lineRule="exact" w:before="15"/>
              <w:ind w:left="327"/>
              <w:rPr>
                <w:sz w:val="14"/>
              </w:rPr>
            </w:pPr>
            <w:r>
              <w:rPr>
                <w:spacing w:val="-5"/>
                <w:sz w:val="14"/>
              </w:rPr>
              <w:t>5.9</w:t>
            </w:r>
          </w:p>
        </w:tc>
      </w:tr>
      <w:tr>
        <w:trPr>
          <w:trHeight w:val="177" w:hRule="atLeast"/>
        </w:trPr>
        <w:tc>
          <w:tcPr>
            <w:tcW w:w="5794" w:type="dxa"/>
          </w:tcPr>
          <w:p>
            <w:pPr>
              <w:pStyle w:val="TableParagraph"/>
              <w:spacing w:line="140" w:lineRule="exact" w:before="17"/>
              <w:ind w:left="107"/>
              <w:rPr>
                <w:sz w:val="14"/>
              </w:rPr>
            </w:pPr>
            <w:r>
              <w:rPr>
                <w:sz w:val="14"/>
              </w:rPr>
              <w:t>18</w:t>
            </w:r>
            <w:r>
              <w:rPr>
                <w:spacing w:val="-5"/>
                <w:sz w:val="14"/>
              </w:rPr>
              <w:t> </w:t>
            </w:r>
            <w:r>
              <w:rPr>
                <w:sz w:val="14"/>
              </w:rPr>
              <w:t>Hole</w:t>
            </w:r>
            <w:r>
              <w:rPr>
                <w:spacing w:val="-2"/>
                <w:sz w:val="14"/>
              </w:rPr>
              <w:t> </w:t>
            </w:r>
            <w:r>
              <w:rPr>
                <w:sz w:val="14"/>
              </w:rPr>
              <w:t>Mid</w:t>
            </w:r>
            <w:r>
              <w:rPr>
                <w:spacing w:val="-2"/>
                <w:sz w:val="14"/>
              </w:rPr>
              <w:t> </w:t>
            </w:r>
            <w:r>
              <w:rPr>
                <w:sz w:val="14"/>
              </w:rPr>
              <w:t>Week</w:t>
            </w:r>
            <w:r>
              <w:rPr>
                <w:spacing w:val="-2"/>
                <w:sz w:val="14"/>
              </w:rPr>
              <w:t> </w:t>
            </w:r>
            <w:r>
              <w:rPr>
                <w:sz w:val="14"/>
              </w:rPr>
              <w:t>-</w:t>
            </w:r>
            <w:r>
              <w:rPr>
                <w:spacing w:val="-1"/>
                <w:sz w:val="14"/>
              </w:rPr>
              <w:t> </w:t>
            </w:r>
            <w:r>
              <w:rPr>
                <w:sz w:val="14"/>
              </w:rPr>
              <w:t>Junior</w:t>
            </w:r>
            <w:r>
              <w:rPr>
                <w:spacing w:val="-1"/>
                <w:sz w:val="14"/>
              </w:rPr>
              <w:t> </w:t>
            </w:r>
            <w:r>
              <w:rPr>
                <w:sz w:val="14"/>
              </w:rPr>
              <w:t>m/w</w:t>
            </w:r>
            <w:r>
              <w:rPr>
                <w:spacing w:val="-4"/>
                <w:sz w:val="14"/>
              </w:rPr>
              <w:t> </w:t>
            </w:r>
            <w:r>
              <w:rPr>
                <w:spacing w:val="-5"/>
                <w:sz w:val="14"/>
              </w:rPr>
              <w:t>18</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22.00</w:t>
            </w:r>
          </w:p>
        </w:tc>
        <w:tc>
          <w:tcPr>
            <w:tcW w:w="861" w:type="dxa"/>
          </w:tcPr>
          <w:p>
            <w:pPr>
              <w:pStyle w:val="TableParagraph"/>
              <w:spacing w:line="140" w:lineRule="exact" w:before="17"/>
              <w:ind w:left="327"/>
              <w:rPr>
                <w:sz w:val="14"/>
              </w:rPr>
            </w:pPr>
            <w:r>
              <w:rPr>
                <w:spacing w:val="-5"/>
                <w:sz w:val="14"/>
              </w:rPr>
              <w:t>9.1</w:t>
            </w: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4"/>
                <w:sz w:val="14"/>
              </w:rPr>
              <w:t> </w:t>
            </w:r>
            <w:r>
              <w:rPr>
                <w:sz w:val="14"/>
              </w:rPr>
              <w:t>Weekend</w:t>
            </w:r>
            <w:r>
              <w:rPr>
                <w:spacing w:val="-4"/>
                <w:sz w:val="14"/>
              </w:rPr>
              <w:t> </w:t>
            </w:r>
            <w:r>
              <w:rPr>
                <w:sz w:val="14"/>
              </w:rPr>
              <w:t>-</w:t>
            </w:r>
            <w:r>
              <w:rPr>
                <w:spacing w:val="34"/>
                <w:sz w:val="14"/>
              </w:rPr>
              <w:t> </w:t>
            </w:r>
            <w:r>
              <w:rPr>
                <w:sz w:val="14"/>
              </w:rPr>
              <w:t>Adult</w:t>
            </w:r>
            <w:r>
              <w:rPr>
                <w:spacing w:val="-3"/>
                <w:sz w:val="14"/>
              </w:rPr>
              <w:t> </w:t>
            </w:r>
            <w:r>
              <w:rPr>
                <w:sz w:val="14"/>
              </w:rPr>
              <w:t>W/E 18 </w:t>
            </w:r>
            <w:r>
              <w:rPr>
                <w:spacing w:val="-4"/>
                <w:sz w:val="14"/>
              </w:rPr>
              <w:t>Holes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41.00</w:t>
            </w:r>
          </w:p>
        </w:tc>
        <w:tc>
          <w:tcPr>
            <w:tcW w:w="995" w:type="dxa"/>
          </w:tcPr>
          <w:p>
            <w:pPr>
              <w:pStyle w:val="TableParagraph"/>
              <w:spacing w:line="140" w:lineRule="exact" w:before="17"/>
              <w:ind w:right="101"/>
              <w:jc w:val="right"/>
              <w:rPr>
                <w:sz w:val="14"/>
              </w:rPr>
            </w:pPr>
            <w:r>
              <w:rPr>
                <w:spacing w:val="-2"/>
                <w:sz w:val="14"/>
              </w:rPr>
              <w:t>44.00</w:t>
            </w:r>
          </w:p>
        </w:tc>
        <w:tc>
          <w:tcPr>
            <w:tcW w:w="861" w:type="dxa"/>
          </w:tcPr>
          <w:p>
            <w:pPr>
              <w:pStyle w:val="TableParagraph"/>
              <w:spacing w:line="140" w:lineRule="exact" w:before="17"/>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3"/>
                <w:sz w:val="14"/>
              </w:rPr>
              <w:t> </w:t>
            </w:r>
            <w:r>
              <w:rPr>
                <w:sz w:val="14"/>
              </w:rPr>
              <w:t>Weekend</w:t>
            </w:r>
            <w:r>
              <w:rPr>
                <w:spacing w:val="-4"/>
                <w:sz w:val="14"/>
              </w:rPr>
              <w:t> </w:t>
            </w:r>
            <w:r>
              <w:rPr>
                <w:sz w:val="14"/>
              </w:rPr>
              <w:t>-</w:t>
            </w:r>
            <w:r>
              <w:rPr>
                <w:spacing w:val="36"/>
                <w:sz w:val="14"/>
              </w:rPr>
              <w:t> </w:t>
            </w:r>
            <w:r>
              <w:rPr>
                <w:sz w:val="14"/>
              </w:rPr>
              <w:t>Junior</w:t>
            </w:r>
            <w:r>
              <w:rPr>
                <w:spacing w:val="-3"/>
                <w:sz w:val="14"/>
              </w:rPr>
              <w:t> </w:t>
            </w:r>
            <w:r>
              <w:rPr>
                <w:sz w:val="14"/>
              </w:rPr>
              <w:t>w/e</w:t>
            </w:r>
            <w:r>
              <w:rPr>
                <w:spacing w:val="-3"/>
                <w:sz w:val="14"/>
              </w:rPr>
              <w:t> </w:t>
            </w:r>
            <w:r>
              <w:rPr>
                <w:spacing w:val="-5"/>
                <w:sz w:val="14"/>
              </w:rPr>
              <w:t>18</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22.00</w:t>
            </w:r>
          </w:p>
        </w:tc>
        <w:tc>
          <w:tcPr>
            <w:tcW w:w="995" w:type="dxa"/>
          </w:tcPr>
          <w:p>
            <w:pPr>
              <w:pStyle w:val="TableParagraph"/>
              <w:spacing w:line="140" w:lineRule="exact" w:before="17"/>
              <w:ind w:right="101"/>
              <w:jc w:val="right"/>
              <w:rPr>
                <w:sz w:val="14"/>
              </w:rPr>
            </w:pPr>
            <w:r>
              <w:rPr>
                <w:spacing w:val="-2"/>
                <w:sz w:val="14"/>
              </w:rPr>
              <w:t>24.00</w:t>
            </w:r>
          </w:p>
        </w:tc>
        <w:tc>
          <w:tcPr>
            <w:tcW w:w="861" w:type="dxa"/>
          </w:tcPr>
          <w:p>
            <w:pPr>
              <w:pStyle w:val="TableParagraph"/>
              <w:spacing w:line="140" w:lineRule="exact" w:before="17"/>
              <w:ind w:left="327"/>
              <w:rPr>
                <w:sz w:val="14"/>
              </w:rPr>
            </w:pPr>
            <w:r>
              <w:rPr>
                <w:spacing w:val="-5"/>
                <w:sz w:val="14"/>
              </w:rPr>
              <w:t>8.3</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 Mid</w:t>
            </w:r>
            <w:r>
              <w:rPr>
                <w:spacing w:val="-4"/>
                <w:sz w:val="14"/>
              </w:rPr>
              <w:t> </w:t>
            </w:r>
            <w:r>
              <w:rPr>
                <w:sz w:val="14"/>
              </w:rPr>
              <w:t>Week -</w:t>
            </w:r>
            <w:r>
              <w:rPr>
                <w:spacing w:val="33"/>
                <w:sz w:val="14"/>
              </w:rPr>
              <w:t> </w:t>
            </w: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28.00</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327"/>
              <w:rPr>
                <w:sz w:val="14"/>
              </w:rPr>
            </w:pPr>
            <w:r>
              <w:rPr>
                <w:spacing w:val="-5"/>
                <w:sz w:val="14"/>
              </w:rPr>
              <w:t>6.7</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1"/>
                <w:sz w:val="14"/>
              </w:rPr>
              <w:t> </w:t>
            </w:r>
            <w:r>
              <w:rPr>
                <w:sz w:val="14"/>
              </w:rPr>
              <w:t>Mid</w:t>
            </w:r>
            <w:r>
              <w:rPr>
                <w:spacing w:val="-4"/>
                <w:sz w:val="14"/>
              </w:rPr>
              <w:t> </w:t>
            </w:r>
            <w:r>
              <w:rPr>
                <w:sz w:val="14"/>
              </w:rPr>
              <w:t>Week -</w:t>
            </w:r>
            <w:r>
              <w:rPr>
                <w:spacing w:val="-4"/>
                <w:sz w:val="14"/>
              </w:rPr>
              <w:t> </w:t>
            </w:r>
            <w:r>
              <w:rPr>
                <w:spacing w:val="-2"/>
                <w:sz w:val="14"/>
              </w:rPr>
              <w:t>Junior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16.00</w:t>
            </w:r>
          </w:p>
        </w:tc>
        <w:tc>
          <w:tcPr>
            <w:tcW w:w="995" w:type="dxa"/>
          </w:tcPr>
          <w:p>
            <w:pPr>
              <w:pStyle w:val="TableParagraph"/>
              <w:spacing w:line="140" w:lineRule="exact" w:before="17"/>
              <w:ind w:right="101"/>
              <w:jc w:val="right"/>
              <w:rPr>
                <w:sz w:val="14"/>
              </w:rPr>
            </w:pPr>
            <w:r>
              <w:rPr>
                <w:spacing w:val="-2"/>
                <w:sz w:val="14"/>
              </w:rPr>
              <w:t>17.00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1"/>
                <w:sz w:val="14"/>
              </w:rPr>
              <w:t> </w:t>
            </w:r>
            <w:r>
              <w:rPr>
                <w:sz w:val="14"/>
              </w:rPr>
              <w:t>Mid</w:t>
            </w:r>
            <w:r>
              <w:rPr>
                <w:spacing w:val="-4"/>
                <w:sz w:val="14"/>
              </w:rPr>
              <w:t> </w:t>
            </w:r>
            <w:r>
              <w:rPr>
                <w:sz w:val="14"/>
              </w:rPr>
              <w:t>Week -</w:t>
            </w:r>
            <w:r>
              <w:rPr>
                <w:spacing w:val="-4"/>
                <w:sz w:val="14"/>
              </w:rPr>
              <w:t> </w:t>
            </w:r>
            <w:r>
              <w:rPr>
                <w:spacing w:val="-2"/>
                <w:sz w:val="14"/>
              </w:rPr>
              <w:t>Pension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23.00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1"/>
                <w:sz w:val="14"/>
              </w:rPr>
              <w:t> </w:t>
            </w:r>
            <w:r>
              <w:rPr>
                <w:sz w:val="14"/>
              </w:rPr>
              <w:t>Mid</w:t>
            </w:r>
            <w:r>
              <w:rPr>
                <w:spacing w:val="-4"/>
                <w:sz w:val="14"/>
              </w:rPr>
              <w:t> </w:t>
            </w:r>
            <w:r>
              <w:rPr>
                <w:sz w:val="14"/>
              </w:rPr>
              <w:t>Week-</w:t>
            </w:r>
            <w:r>
              <w:rPr>
                <w:spacing w:val="-3"/>
                <w:sz w:val="14"/>
              </w:rPr>
              <w:t> </w:t>
            </w:r>
            <w:r>
              <w:rPr>
                <w:sz w:val="14"/>
              </w:rPr>
              <w:t>Senior</w:t>
            </w:r>
            <w:r>
              <w:rPr>
                <w:spacing w:val="-4"/>
                <w:sz w:val="14"/>
              </w:rPr>
              <w:t> Card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28.00</w:t>
            </w:r>
          </w:p>
        </w:tc>
        <w:tc>
          <w:tcPr>
            <w:tcW w:w="861" w:type="dxa"/>
          </w:tcPr>
          <w:p>
            <w:pPr>
              <w:pStyle w:val="TableParagraph"/>
              <w:spacing w:line="140" w:lineRule="exact" w:before="17"/>
              <w:ind w:left="288"/>
              <w:rPr>
                <w:sz w:val="14"/>
              </w:rPr>
            </w:pPr>
            <w:r>
              <w:rPr>
                <w:spacing w:val="-4"/>
                <w:sz w:val="14"/>
              </w:rPr>
              <w:t>10.7</w:t>
            </w:r>
          </w:p>
        </w:tc>
      </w:tr>
      <w:tr>
        <w:trPr>
          <w:trHeight w:val="177" w:hRule="atLeast"/>
        </w:trPr>
        <w:tc>
          <w:tcPr>
            <w:tcW w:w="5794" w:type="dxa"/>
          </w:tcPr>
          <w:p>
            <w:pPr>
              <w:pStyle w:val="TableParagraph"/>
              <w:spacing w:line="140" w:lineRule="exact" w:before="17"/>
              <w:ind w:left="107"/>
              <w:rPr>
                <w:sz w:val="14"/>
              </w:rPr>
            </w:pPr>
            <w:r>
              <w:rPr>
                <w:sz w:val="14"/>
              </w:rPr>
              <w:t>9</w:t>
            </w:r>
            <w:r>
              <w:rPr>
                <w:spacing w:val="-5"/>
                <w:sz w:val="14"/>
              </w:rPr>
              <w:t> </w:t>
            </w:r>
            <w:r>
              <w:rPr>
                <w:sz w:val="14"/>
              </w:rPr>
              <w:t>Holes</w:t>
            </w:r>
            <w:r>
              <w:rPr>
                <w:spacing w:val="-3"/>
                <w:sz w:val="14"/>
              </w:rPr>
              <w:t> </w:t>
            </w:r>
            <w:r>
              <w:rPr>
                <w:sz w:val="14"/>
              </w:rPr>
              <w:t>Weekend</w:t>
            </w:r>
            <w:r>
              <w:rPr>
                <w:spacing w:val="-1"/>
                <w:sz w:val="14"/>
              </w:rPr>
              <w:t> </w:t>
            </w:r>
            <w:r>
              <w:rPr>
                <w:sz w:val="14"/>
              </w:rPr>
              <w:t>-</w:t>
            </w:r>
            <w:r>
              <w:rPr>
                <w:spacing w:val="-4"/>
                <w:sz w:val="14"/>
              </w:rPr>
              <w:t> 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31.00</w:t>
            </w:r>
          </w:p>
        </w:tc>
        <w:tc>
          <w:tcPr>
            <w:tcW w:w="995" w:type="dxa"/>
          </w:tcPr>
          <w:p>
            <w:pPr>
              <w:pStyle w:val="TableParagraph"/>
              <w:spacing w:line="140" w:lineRule="exact" w:before="17"/>
              <w:ind w:right="101"/>
              <w:jc w:val="right"/>
              <w:rPr>
                <w:sz w:val="14"/>
              </w:rPr>
            </w:pPr>
            <w:r>
              <w:rPr>
                <w:spacing w:val="-2"/>
                <w:sz w:val="14"/>
              </w:rPr>
              <w:t>33.00</w:t>
            </w:r>
          </w:p>
        </w:tc>
        <w:tc>
          <w:tcPr>
            <w:tcW w:w="861" w:type="dxa"/>
          </w:tcPr>
          <w:p>
            <w:pPr>
              <w:pStyle w:val="TableParagraph"/>
              <w:spacing w:line="140" w:lineRule="exact" w:before="17"/>
              <w:ind w:left="327"/>
              <w:rPr>
                <w:sz w:val="14"/>
              </w:rPr>
            </w:pPr>
            <w:r>
              <w:rPr>
                <w:spacing w:val="-5"/>
                <w:sz w:val="14"/>
              </w:rPr>
              <w:t>6.1</w:t>
            </w:r>
          </w:p>
        </w:tc>
      </w:tr>
      <w:tr>
        <w:trPr>
          <w:trHeight w:val="177" w:hRule="atLeast"/>
        </w:trPr>
        <w:tc>
          <w:tcPr>
            <w:tcW w:w="5794" w:type="dxa"/>
          </w:tcPr>
          <w:p>
            <w:pPr>
              <w:pStyle w:val="TableParagraph"/>
              <w:spacing w:line="140" w:lineRule="exact" w:before="17"/>
              <w:ind w:left="107"/>
              <w:rPr>
                <w:sz w:val="14"/>
              </w:rPr>
            </w:pPr>
            <w:r>
              <w:rPr>
                <w:sz w:val="14"/>
              </w:rPr>
              <w:t>9</w:t>
            </w:r>
            <w:r>
              <w:rPr>
                <w:spacing w:val="-5"/>
                <w:sz w:val="14"/>
              </w:rPr>
              <w:t> </w:t>
            </w:r>
            <w:r>
              <w:rPr>
                <w:sz w:val="14"/>
              </w:rPr>
              <w:t>Holes</w:t>
            </w:r>
            <w:r>
              <w:rPr>
                <w:spacing w:val="-3"/>
                <w:sz w:val="14"/>
              </w:rPr>
              <w:t> </w:t>
            </w:r>
            <w:r>
              <w:rPr>
                <w:sz w:val="14"/>
              </w:rPr>
              <w:t>Weekend</w:t>
            </w:r>
            <w:r>
              <w:rPr>
                <w:spacing w:val="-1"/>
                <w:sz w:val="14"/>
              </w:rPr>
              <w:t> </w:t>
            </w:r>
            <w:r>
              <w:rPr>
                <w:sz w:val="14"/>
              </w:rPr>
              <w:t>-</w:t>
            </w:r>
            <w:r>
              <w:rPr>
                <w:spacing w:val="-4"/>
                <w:sz w:val="14"/>
              </w:rPr>
              <w:t> </w:t>
            </w:r>
            <w:r>
              <w:rPr>
                <w:spacing w:val="-2"/>
                <w:sz w:val="14"/>
              </w:rPr>
              <w:t>Junior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18.00</w:t>
            </w:r>
          </w:p>
        </w:tc>
        <w:tc>
          <w:tcPr>
            <w:tcW w:w="995" w:type="dxa"/>
          </w:tcPr>
          <w:p>
            <w:pPr>
              <w:pStyle w:val="TableParagraph"/>
              <w:spacing w:line="140" w:lineRule="exact" w:before="17"/>
              <w:ind w:right="101"/>
              <w:jc w:val="right"/>
              <w:rPr>
                <w:sz w:val="14"/>
              </w:rPr>
            </w:pPr>
            <w:r>
              <w:rPr>
                <w:spacing w:val="-2"/>
                <w:sz w:val="14"/>
              </w:rPr>
              <w:t>19.50</w:t>
            </w:r>
          </w:p>
        </w:tc>
        <w:tc>
          <w:tcPr>
            <w:tcW w:w="861" w:type="dxa"/>
          </w:tcPr>
          <w:p>
            <w:pPr>
              <w:pStyle w:val="TableParagraph"/>
              <w:spacing w:line="140" w:lineRule="exact" w:before="17"/>
              <w:ind w:left="327"/>
              <w:rPr>
                <w:sz w:val="14"/>
              </w:rPr>
            </w:pPr>
            <w:r>
              <w:rPr>
                <w:spacing w:val="-5"/>
                <w:sz w:val="14"/>
              </w:rPr>
              <w:t>7.7</w:t>
            </w:r>
          </w:p>
        </w:tc>
      </w:tr>
      <w:tr>
        <w:trPr>
          <w:trHeight w:val="177" w:hRule="atLeast"/>
        </w:trPr>
        <w:tc>
          <w:tcPr>
            <w:tcW w:w="5794" w:type="dxa"/>
          </w:tcPr>
          <w:p>
            <w:pPr>
              <w:pStyle w:val="TableParagraph"/>
              <w:spacing w:line="140" w:lineRule="exact" w:before="17"/>
              <w:ind w:left="107"/>
              <w:rPr>
                <w:b/>
                <w:sz w:val="14"/>
              </w:rPr>
            </w:pPr>
            <w:r>
              <w:rPr>
                <w:b/>
                <w:sz w:val="14"/>
              </w:rPr>
              <w:t>Ringwood</w:t>
            </w:r>
            <w:r>
              <w:rPr>
                <w:b/>
                <w:spacing w:val="-7"/>
                <w:sz w:val="14"/>
              </w:rPr>
              <w:t> </w:t>
            </w:r>
            <w:r>
              <w:rPr>
                <w:b/>
                <w:sz w:val="14"/>
              </w:rPr>
              <w:t>Golf</w:t>
            </w:r>
            <w:r>
              <w:rPr>
                <w:b/>
                <w:spacing w:val="-6"/>
                <w:sz w:val="14"/>
              </w:rPr>
              <w:t> </w:t>
            </w:r>
            <w:r>
              <w:rPr>
                <w:b/>
                <w:sz w:val="14"/>
              </w:rPr>
              <w:t>Equipment</w:t>
            </w:r>
            <w:r>
              <w:rPr>
                <w:b/>
                <w:spacing w:val="-4"/>
                <w:sz w:val="14"/>
              </w:rPr>
              <w:t> 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Buggy</w:t>
            </w:r>
            <w:r>
              <w:rPr>
                <w:spacing w:val="-4"/>
                <w:sz w:val="14"/>
              </w:rPr>
              <w:t> Hire</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4"/>
                <w:sz w:val="14"/>
              </w:rPr>
              <w:t>6.00</w:t>
            </w:r>
          </w:p>
        </w:tc>
        <w:tc>
          <w:tcPr>
            <w:tcW w:w="995" w:type="dxa"/>
          </w:tcPr>
          <w:p>
            <w:pPr>
              <w:pStyle w:val="TableParagraph"/>
              <w:spacing w:line="142" w:lineRule="exact" w:before="15"/>
              <w:ind w:right="101"/>
              <w:jc w:val="right"/>
              <w:rPr>
                <w:sz w:val="14"/>
              </w:rPr>
            </w:pPr>
            <w:r>
              <w:rPr>
                <w:spacing w:val="-4"/>
                <w:sz w:val="14"/>
              </w:rPr>
              <w:t>6.00</w:t>
            </w:r>
          </w:p>
        </w:tc>
        <w:tc>
          <w:tcPr>
            <w:tcW w:w="861" w:type="dxa"/>
          </w:tcPr>
          <w:p>
            <w:pPr>
              <w:pStyle w:val="TableParagraph"/>
              <w:spacing w:line="142" w:lineRule="exact" w:before="15"/>
              <w:ind w:left="326"/>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Cart</w:t>
            </w:r>
            <w:r>
              <w:rPr>
                <w:spacing w:val="-3"/>
                <w:sz w:val="14"/>
              </w:rPr>
              <w:t> </w:t>
            </w:r>
            <w:r>
              <w:rPr>
                <w:spacing w:val="-5"/>
                <w:sz w:val="14"/>
              </w:rPr>
              <w:t>18</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43.00</w:t>
            </w:r>
          </w:p>
        </w:tc>
        <w:tc>
          <w:tcPr>
            <w:tcW w:w="995" w:type="dxa"/>
          </w:tcPr>
          <w:p>
            <w:pPr>
              <w:pStyle w:val="TableParagraph"/>
              <w:spacing w:line="140" w:lineRule="exact" w:before="15"/>
              <w:ind w:right="101"/>
              <w:jc w:val="right"/>
              <w:rPr>
                <w:sz w:val="14"/>
              </w:rPr>
            </w:pPr>
            <w:r>
              <w:rPr>
                <w:spacing w:val="-2"/>
                <w:sz w:val="14"/>
              </w:rPr>
              <w:t>47.00</w:t>
            </w:r>
          </w:p>
        </w:tc>
        <w:tc>
          <w:tcPr>
            <w:tcW w:w="861" w:type="dxa"/>
          </w:tcPr>
          <w:p>
            <w:pPr>
              <w:pStyle w:val="TableParagraph"/>
              <w:spacing w:line="140" w:lineRule="exact" w:before="15"/>
              <w:ind w:left="327"/>
              <w:rPr>
                <w:sz w:val="14"/>
              </w:rPr>
            </w:pPr>
            <w:r>
              <w:rPr>
                <w:spacing w:val="-5"/>
                <w:sz w:val="14"/>
              </w:rPr>
              <w:t>8.5</w:t>
            </w:r>
          </w:p>
        </w:tc>
      </w:tr>
      <w:tr>
        <w:trPr>
          <w:trHeight w:val="177" w:hRule="atLeast"/>
        </w:trPr>
        <w:tc>
          <w:tcPr>
            <w:tcW w:w="5794" w:type="dxa"/>
          </w:tcPr>
          <w:p>
            <w:pPr>
              <w:pStyle w:val="TableParagraph"/>
              <w:spacing w:line="140" w:lineRule="exact" w:before="17"/>
              <w:ind w:left="107"/>
              <w:rPr>
                <w:sz w:val="14"/>
              </w:rPr>
            </w:pPr>
            <w:r>
              <w:rPr>
                <w:sz w:val="14"/>
              </w:rPr>
              <w:t>Cart</w:t>
            </w:r>
            <w:r>
              <w:rPr>
                <w:spacing w:val="-3"/>
                <w:sz w:val="14"/>
              </w:rPr>
              <w:t> </w:t>
            </w:r>
            <w:r>
              <w:rPr>
                <w:spacing w:val="-10"/>
                <w:sz w:val="14"/>
              </w:rPr>
              <w:t>9</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34.00</w:t>
            </w:r>
          </w:p>
        </w:tc>
        <w:tc>
          <w:tcPr>
            <w:tcW w:w="861" w:type="dxa"/>
          </w:tcPr>
          <w:p>
            <w:pPr>
              <w:pStyle w:val="TableParagraph"/>
              <w:spacing w:line="140" w:lineRule="exact" w:before="17"/>
              <w:ind w:left="288"/>
              <w:rPr>
                <w:sz w:val="14"/>
              </w:rPr>
            </w:pPr>
            <w:r>
              <w:rPr>
                <w:spacing w:val="-4"/>
                <w:sz w:val="14"/>
              </w:rPr>
              <w:t>41.2</w:t>
            </w:r>
          </w:p>
        </w:tc>
      </w:tr>
      <w:tr>
        <w:trPr>
          <w:trHeight w:val="177" w:hRule="atLeast"/>
        </w:trPr>
        <w:tc>
          <w:tcPr>
            <w:tcW w:w="5794" w:type="dxa"/>
          </w:tcPr>
          <w:p>
            <w:pPr>
              <w:pStyle w:val="TableParagraph"/>
              <w:spacing w:line="140" w:lineRule="exact" w:before="17"/>
              <w:ind w:left="107"/>
              <w:rPr>
                <w:sz w:val="14"/>
              </w:rPr>
            </w:pPr>
            <w:r>
              <w:rPr>
                <w:sz w:val="14"/>
              </w:rPr>
              <w:t>BYO</w:t>
            </w:r>
            <w:r>
              <w:rPr>
                <w:spacing w:val="-5"/>
                <w:sz w:val="14"/>
              </w:rPr>
              <w:t> </w:t>
            </w:r>
            <w:r>
              <w:rPr>
                <w:sz w:val="14"/>
              </w:rPr>
              <w:t>Cart</w:t>
            </w:r>
            <w:r>
              <w:rPr>
                <w:spacing w:val="-3"/>
                <w:sz w:val="14"/>
              </w:rPr>
              <w:t> </w:t>
            </w:r>
            <w:r>
              <w:rPr>
                <w:spacing w:val="-10"/>
                <w:sz w:val="14"/>
              </w:rPr>
              <w:t>9</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15.00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BYO</w:t>
            </w:r>
            <w:r>
              <w:rPr>
                <w:spacing w:val="-5"/>
                <w:sz w:val="14"/>
              </w:rPr>
              <w:t> </w:t>
            </w:r>
            <w:r>
              <w:rPr>
                <w:sz w:val="14"/>
              </w:rPr>
              <w:t>Cart</w:t>
            </w:r>
            <w:r>
              <w:rPr>
                <w:spacing w:val="-3"/>
                <w:sz w:val="14"/>
              </w:rPr>
              <w:t> </w:t>
            </w:r>
            <w:r>
              <w:rPr>
                <w:spacing w:val="-5"/>
                <w:sz w:val="14"/>
              </w:rPr>
              <w:t>18</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BYO</w:t>
            </w:r>
            <w:r>
              <w:rPr>
                <w:spacing w:val="-5"/>
                <w:sz w:val="14"/>
              </w:rPr>
              <w:t> </w:t>
            </w:r>
            <w:r>
              <w:rPr>
                <w:sz w:val="14"/>
              </w:rPr>
              <w:t>Cart</w:t>
            </w:r>
            <w:r>
              <w:rPr>
                <w:spacing w:val="-3"/>
                <w:sz w:val="14"/>
              </w:rPr>
              <w:t> </w:t>
            </w:r>
            <w:r>
              <w:rPr>
                <w:spacing w:val="-2"/>
                <w:sz w:val="14"/>
              </w:rPr>
              <w:t>Annual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2"/>
              <w:jc w:val="right"/>
              <w:rPr>
                <w:sz w:val="14"/>
              </w:rPr>
            </w:pPr>
            <w:r>
              <w:rPr>
                <w:spacing w:val="-2"/>
                <w:sz w:val="14"/>
              </w:rPr>
              <w:t>250.00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Club</w:t>
            </w:r>
            <w:r>
              <w:rPr>
                <w:spacing w:val="-2"/>
                <w:sz w:val="14"/>
              </w:rPr>
              <w:t> </w:t>
            </w:r>
            <w:r>
              <w:rPr>
                <w:sz w:val="14"/>
              </w:rPr>
              <w:t>hire</w:t>
            </w:r>
            <w:r>
              <w:rPr>
                <w:spacing w:val="-3"/>
                <w:sz w:val="14"/>
              </w:rPr>
              <w:t> </w:t>
            </w:r>
            <w:r>
              <w:rPr>
                <w:sz w:val="14"/>
              </w:rPr>
              <w:t>9</w:t>
            </w:r>
            <w:r>
              <w:rPr>
                <w:spacing w:val="-1"/>
                <w:sz w:val="14"/>
              </w:rPr>
              <w:t> </w:t>
            </w:r>
            <w:r>
              <w:rPr>
                <w:spacing w:val="-2"/>
                <w:sz w:val="14"/>
              </w:rPr>
              <w:t>holes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15.00</w:t>
            </w:r>
          </w:p>
        </w:tc>
        <w:tc>
          <w:tcPr>
            <w:tcW w:w="995" w:type="dxa"/>
          </w:tcPr>
          <w:p>
            <w:pPr>
              <w:pStyle w:val="TableParagraph"/>
              <w:spacing w:line="140" w:lineRule="exact" w:before="17"/>
              <w:ind w:right="101"/>
              <w:jc w:val="right"/>
              <w:rPr>
                <w:sz w:val="14"/>
              </w:rPr>
            </w:pPr>
            <w:r>
              <w:rPr>
                <w:spacing w:val="-2"/>
                <w:sz w:val="14"/>
              </w:rPr>
              <w:t>17.50</w:t>
            </w:r>
          </w:p>
        </w:tc>
        <w:tc>
          <w:tcPr>
            <w:tcW w:w="861" w:type="dxa"/>
          </w:tcPr>
          <w:p>
            <w:pPr>
              <w:pStyle w:val="TableParagraph"/>
              <w:spacing w:line="140" w:lineRule="exact" w:before="17"/>
              <w:ind w:left="288"/>
              <w:rPr>
                <w:sz w:val="14"/>
              </w:rPr>
            </w:pPr>
            <w:r>
              <w:rPr>
                <w:spacing w:val="-4"/>
                <w:sz w:val="14"/>
              </w:rPr>
              <w:t>14.3</w:t>
            </w:r>
          </w:p>
        </w:tc>
      </w:tr>
      <w:tr>
        <w:trPr>
          <w:trHeight w:val="177" w:hRule="atLeast"/>
        </w:trPr>
        <w:tc>
          <w:tcPr>
            <w:tcW w:w="5794" w:type="dxa"/>
          </w:tcPr>
          <w:p>
            <w:pPr>
              <w:pStyle w:val="TableParagraph"/>
              <w:spacing w:line="140" w:lineRule="exact" w:before="17"/>
              <w:ind w:left="107"/>
              <w:rPr>
                <w:sz w:val="14"/>
              </w:rPr>
            </w:pPr>
            <w:r>
              <w:rPr>
                <w:sz w:val="14"/>
              </w:rPr>
              <w:t>Club</w:t>
            </w:r>
            <w:r>
              <w:rPr>
                <w:spacing w:val="-2"/>
                <w:sz w:val="14"/>
              </w:rPr>
              <w:t> </w:t>
            </w:r>
            <w:r>
              <w:rPr>
                <w:sz w:val="14"/>
              </w:rPr>
              <w:t>hire</w:t>
            </w:r>
            <w:r>
              <w:rPr>
                <w:spacing w:val="-3"/>
                <w:sz w:val="14"/>
              </w:rPr>
              <w:t> </w:t>
            </w:r>
            <w:r>
              <w:rPr>
                <w:sz w:val="14"/>
              </w:rPr>
              <w:t>18</w:t>
            </w:r>
            <w:r>
              <w:rPr>
                <w:spacing w:val="-4"/>
                <w:sz w:val="14"/>
              </w:rPr>
              <w:t> </w:t>
            </w:r>
            <w:r>
              <w:rPr>
                <w:spacing w:val="-2"/>
                <w:sz w:val="14"/>
              </w:rPr>
              <w:t>holes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288"/>
              <w:rPr>
                <w:sz w:val="14"/>
              </w:rPr>
            </w:pPr>
            <w:r>
              <w:rPr>
                <w:spacing w:val="-4"/>
                <w:sz w:val="14"/>
              </w:rPr>
              <w:t>20.0</w:t>
            </w:r>
          </w:p>
        </w:tc>
      </w:tr>
      <w:tr>
        <w:trPr>
          <w:trHeight w:val="177" w:hRule="atLeast"/>
        </w:trPr>
        <w:tc>
          <w:tcPr>
            <w:tcW w:w="5794" w:type="dxa"/>
          </w:tcPr>
          <w:p>
            <w:pPr>
              <w:pStyle w:val="TableParagraph"/>
              <w:spacing w:line="140" w:lineRule="exact" w:before="17"/>
              <w:ind w:left="107"/>
              <w:rPr>
                <w:b/>
                <w:sz w:val="14"/>
              </w:rPr>
            </w:pPr>
            <w:r>
              <w:rPr>
                <w:b/>
                <w:sz w:val="14"/>
              </w:rPr>
              <w:t>Dorset</w:t>
            </w:r>
            <w:r>
              <w:rPr>
                <w:b/>
                <w:spacing w:val="-4"/>
                <w:sz w:val="14"/>
              </w:rPr>
              <w:t> </w:t>
            </w:r>
            <w:r>
              <w:rPr>
                <w:b/>
                <w:sz w:val="14"/>
              </w:rPr>
              <w:t>Golf</w:t>
            </w:r>
            <w:r>
              <w:rPr>
                <w:b/>
                <w:spacing w:val="-5"/>
                <w:sz w:val="14"/>
              </w:rPr>
              <w:t> </w:t>
            </w:r>
            <w:r>
              <w:rPr>
                <w:b/>
                <w:sz w:val="14"/>
              </w:rPr>
              <w:t>Course</w:t>
            </w:r>
            <w:r>
              <w:rPr>
                <w:b/>
                <w:spacing w:val="-2"/>
                <w:sz w:val="14"/>
              </w:rPr>
              <w:t> </w:t>
            </w:r>
            <w:r>
              <w:rPr>
                <w:b/>
                <w:spacing w:val="-4"/>
                <w:sz w:val="14"/>
              </w:rPr>
              <w:t>Fees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2"/>
                <w:sz w:val="14"/>
              </w:rPr>
              <w:t> </w:t>
            </w:r>
            <w:r>
              <w:rPr>
                <w:sz w:val="14"/>
              </w:rPr>
              <w:t>Mid</w:t>
            </w:r>
            <w:r>
              <w:rPr>
                <w:spacing w:val="-1"/>
                <w:sz w:val="14"/>
              </w:rPr>
              <w:t> </w:t>
            </w:r>
            <w:r>
              <w:rPr>
                <w:sz w:val="14"/>
              </w:rPr>
              <w:t>Week</w:t>
            </w:r>
            <w:r>
              <w:rPr>
                <w:spacing w:val="-2"/>
                <w:sz w:val="14"/>
              </w:rPr>
              <w:t> </w:t>
            </w:r>
            <w:r>
              <w:rPr>
                <w:sz w:val="14"/>
              </w:rPr>
              <w:t>-</w:t>
            </w:r>
            <w:r>
              <w:rPr>
                <w:spacing w:val="36"/>
                <w:sz w:val="14"/>
              </w:rPr>
              <w:t> </w:t>
            </w: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36.00</w:t>
            </w:r>
          </w:p>
        </w:tc>
        <w:tc>
          <w:tcPr>
            <w:tcW w:w="995" w:type="dxa"/>
          </w:tcPr>
          <w:p>
            <w:pPr>
              <w:pStyle w:val="TableParagraph"/>
              <w:spacing w:line="140" w:lineRule="exact" w:before="17"/>
              <w:ind w:right="101"/>
              <w:jc w:val="right"/>
              <w:rPr>
                <w:sz w:val="14"/>
              </w:rPr>
            </w:pPr>
            <w:r>
              <w:rPr>
                <w:spacing w:val="-2"/>
                <w:sz w:val="14"/>
              </w:rPr>
              <w:t>38.00</w:t>
            </w:r>
          </w:p>
        </w:tc>
        <w:tc>
          <w:tcPr>
            <w:tcW w:w="861" w:type="dxa"/>
          </w:tcPr>
          <w:p>
            <w:pPr>
              <w:pStyle w:val="TableParagraph"/>
              <w:spacing w:line="140" w:lineRule="exact" w:before="17"/>
              <w:ind w:left="327"/>
              <w:rPr>
                <w:sz w:val="14"/>
              </w:rPr>
            </w:pPr>
            <w:r>
              <w:rPr>
                <w:spacing w:val="-5"/>
                <w:sz w:val="14"/>
              </w:rPr>
              <w:t>5.3</w:t>
            </w: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2"/>
                <w:sz w:val="14"/>
              </w:rPr>
              <w:t> </w:t>
            </w:r>
            <w:r>
              <w:rPr>
                <w:sz w:val="14"/>
              </w:rPr>
              <w:t>Mid</w:t>
            </w:r>
            <w:r>
              <w:rPr>
                <w:spacing w:val="-1"/>
                <w:sz w:val="14"/>
              </w:rPr>
              <w:t> </w:t>
            </w:r>
            <w:r>
              <w:rPr>
                <w:sz w:val="14"/>
              </w:rPr>
              <w:t>Week</w:t>
            </w:r>
            <w:r>
              <w:rPr>
                <w:spacing w:val="-2"/>
                <w:sz w:val="14"/>
              </w:rPr>
              <w:t> </w:t>
            </w:r>
            <w:r>
              <w:rPr>
                <w:sz w:val="14"/>
              </w:rPr>
              <w:t>-</w:t>
            </w:r>
            <w:r>
              <w:rPr>
                <w:spacing w:val="36"/>
                <w:sz w:val="14"/>
              </w:rPr>
              <w:t> </w:t>
            </w:r>
            <w:r>
              <w:rPr>
                <w:spacing w:val="-2"/>
                <w:sz w:val="14"/>
              </w:rPr>
              <w:t>Concession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29.00</w:t>
            </w:r>
          </w:p>
        </w:tc>
        <w:tc>
          <w:tcPr>
            <w:tcW w:w="995" w:type="dxa"/>
          </w:tcPr>
          <w:p>
            <w:pPr>
              <w:pStyle w:val="TableParagraph"/>
              <w:spacing w:line="140" w:lineRule="exact" w:before="17"/>
              <w:ind w:right="101"/>
              <w:jc w:val="right"/>
              <w:rPr>
                <w:sz w:val="14"/>
              </w:rPr>
            </w:pPr>
            <w:r>
              <w:rPr>
                <w:spacing w:val="-2"/>
                <w:sz w:val="14"/>
              </w:rPr>
              <w:t>31.00</w:t>
            </w:r>
          </w:p>
        </w:tc>
        <w:tc>
          <w:tcPr>
            <w:tcW w:w="861" w:type="dxa"/>
          </w:tcPr>
          <w:p>
            <w:pPr>
              <w:pStyle w:val="TableParagraph"/>
              <w:spacing w:line="140" w:lineRule="exact" w:before="17"/>
              <w:ind w:left="327"/>
              <w:rPr>
                <w:sz w:val="14"/>
              </w:rPr>
            </w:pPr>
            <w:r>
              <w:rPr>
                <w:spacing w:val="-5"/>
                <w:sz w:val="14"/>
              </w:rPr>
              <w:t>6.5</w:t>
            </w: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2"/>
                <w:sz w:val="14"/>
              </w:rPr>
              <w:t> </w:t>
            </w:r>
            <w:r>
              <w:rPr>
                <w:sz w:val="14"/>
              </w:rPr>
              <w:t>Mid</w:t>
            </w:r>
            <w:r>
              <w:rPr>
                <w:spacing w:val="-2"/>
                <w:sz w:val="14"/>
              </w:rPr>
              <w:t> </w:t>
            </w:r>
            <w:r>
              <w:rPr>
                <w:sz w:val="14"/>
              </w:rPr>
              <w:t>Week</w:t>
            </w:r>
            <w:r>
              <w:rPr>
                <w:spacing w:val="-2"/>
                <w:sz w:val="14"/>
              </w:rPr>
              <w:t> </w:t>
            </w:r>
            <w:r>
              <w:rPr>
                <w:sz w:val="14"/>
              </w:rPr>
              <w:t>-</w:t>
            </w:r>
            <w:r>
              <w:rPr>
                <w:spacing w:val="35"/>
                <w:sz w:val="14"/>
              </w:rPr>
              <w:t> </w:t>
            </w:r>
            <w:r>
              <w:rPr>
                <w:sz w:val="14"/>
              </w:rPr>
              <w:t>Senior</w:t>
            </w:r>
            <w:r>
              <w:rPr>
                <w:spacing w:val="-1"/>
                <w:sz w:val="14"/>
              </w:rPr>
              <w:t> </w:t>
            </w:r>
            <w:r>
              <w:rPr>
                <w:spacing w:val="-4"/>
                <w:sz w:val="14"/>
              </w:rPr>
              <w:t>Card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32.00</w:t>
            </w:r>
          </w:p>
        </w:tc>
        <w:tc>
          <w:tcPr>
            <w:tcW w:w="995" w:type="dxa"/>
          </w:tcPr>
          <w:p>
            <w:pPr>
              <w:pStyle w:val="TableParagraph"/>
              <w:spacing w:line="140" w:lineRule="exact" w:before="17"/>
              <w:ind w:right="101"/>
              <w:jc w:val="right"/>
              <w:rPr>
                <w:sz w:val="14"/>
              </w:rPr>
            </w:pPr>
            <w:r>
              <w:rPr>
                <w:spacing w:val="-2"/>
                <w:sz w:val="14"/>
              </w:rPr>
              <w:t>34.00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2" w:lineRule="exact" w:before="15"/>
              <w:ind w:left="107"/>
              <w:rPr>
                <w:sz w:val="14"/>
              </w:rPr>
            </w:pPr>
            <w:r>
              <w:rPr>
                <w:sz w:val="14"/>
              </w:rPr>
              <w:t>18</w:t>
            </w:r>
            <w:r>
              <w:rPr>
                <w:spacing w:val="-4"/>
                <w:sz w:val="14"/>
              </w:rPr>
              <w:t> </w:t>
            </w:r>
            <w:r>
              <w:rPr>
                <w:sz w:val="14"/>
              </w:rPr>
              <w:t>Hole</w:t>
            </w:r>
            <w:r>
              <w:rPr>
                <w:spacing w:val="-2"/>
                <w:sz w:val="14"/>
              </w:rPr>
              <w:t> </w:t>
            </w:r>
            <w:r>
              <w:rPr>
                <w:sz w:val="14"/>
              </w:rPr>
              <w:t>Mid</w:t>
            </w:r>
            <w:r>
              <w:rPr>
                <w:spacing w:val="-2"/>
                <w:sz w:val="14"/>
              </w:rPr>
              <w:t> </w:t>
            </w:r>
            <w:r>
              <w:rPr>
                <w:sz w:val="14"/>
              </w:rPr>
              <w:t>Week</w:t>
            </w:r>
            <w:r>
              <w:rPr>
                <w:spacing w:val="-3"/>
                <w:sz w:val="14"/>
              </w:rPr>
              <w:t> </w:t>
            </w:r>
            <w:r>
              <w:rPr>
                <w:sz w:val="14"/>
              </w:rPr>
              <w:t>-</w:t>
            </w:r>
            <w:r>
              <w:rPr>
                <w:spacing w:val="-1"/>
                <w:sz w:val="14"/>
              </w:rPr>
              <w:t> </w:t>
            </w:r>
            <w:r>
              <w:rPr>
                <w:spacing w:val="-2"/>
                <w:sz w:val="14"/>
              </w:rPr>
              <w:t>Junior</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20.00</w:t>
            </w:r>
          </w:p>
        </w:tc>
        <w:tc>
          <w:tcPr>
            <w:tcW w:w="995" w:type="dxa"/>
          </w:tcPr>
          <w:p>
            <w:pPr>
              <w:pStyle w:val="TableParagraph"/>
              <w:spacing w:line="142" w:lineRule="exact" w:before="15"/>
              <w:ind w:right="101"/>
              <w:jc w:val="right"/>
              <w:rPr>
                <w:sz w:val="14"/>
              </w:rPr>
            </w:pPr>
            <w:r>
              <w:rPr>
                <w:spacing w:val="-2"/>
                <w:sz w:val="14"/>
              </w:rPr>
              <w:t>22.00</w:t>
            </w:r>
          </w:p>
        </w:tc>
        <w:tc>
          <w:tcPr>
            <w:tcW w:w="861" w:type="dxa"/>
          </w:tcPr>
          <w:p>
            <w:pPr>
              <w:pStyle w:val="TableParagraph"/>
              <w:spacing w:line="142" w:lineRule="exact" w:before="15"/>
              <w:ind w:left="326"/>
              <w:rPr>
                <w:sz w:val="14"/>
              </w:rPr>
            </w:pPr>
            <w:r>
              <w:rPr>
                <w:spacing w:val="-5"/>
                <w:sz w:val="14"/>
              </w:rPr>
              <w:t>9.1</w:t>
            </w:r>
          </w:p>
        </w:tc>
      </w:tr>
      <w:tr>
        <w:trPr>
          <w:trHeight w:val="174" w:hRule="atLeast"/>
        </w:trPr>
        <w:tc>
          <w:tcPr>
            <w:tcW w:w="5794" w:type="dxa"/>
          </w:tcPr>
          <w:p>
            <w:pPr>
              <w:pStyle w:val="TableParagraph"/>
              <w:spacing w:line="140" w:lineRule="exact" w:before="15"/>
              <w:ind w:left="107"/>
              <w:rPr>
                <w:sz w:val="14"/>
              </w:rPr>
            </w:pPr>
            <w:r>
              <w:rPr>
                <w:sz w:val="14"/>
              </w:rPr>
              <w:t>18</w:t>
            </w:r>
            <w:r>
              <w:rPr>
                <w:spacing w:val="-4"/>
                <w:sz w:val="14"/>
              </w:rPr>
              <w:t> </w:t>
            </w:r>
            <w:r>
              <w:rPr>
                <w:sz w:val="14"/>
              </w:rPr>
              <w:t>Hole</w:t>
            </w:r>
            <w:r>
              <w:rPr>
                <w:spacing w:val="-3"/>
                <w:sz w:val="14"/>
              </w:rPr>
              <w:t> </w:t>
            </w:r>
            <w:r>
              <w:rPr>
                <w:sz w:val="14"/>
              </w:rPr>
              <w:t>Weekend</w:t>
            </w:r>
            <w:r>
              <w:rPr>
                <w:spacing w:val="-3"/>
                <w:sz w:val="14"/>
              </w:rPr>
              <w:t> </w:t>
            </w:r>
            <w:r>
              <w:rPr>
                <w:sz w:val="14"/>
              </w:rPr>
              <w:t>-</w:t>
            </w:r>
            <w:r>
              <w:rPr>
                <w:spacing w:val="36"/>
                <w:sz w:val="14"/>
              </w:rPr>
              <w:t> </w:t>
            </w:r>
            <w:r>
              <w:rPr>
                <w:spacing w:val="-4"/>
                <w:sz w:val="14"/>
              </w:rPr>
              <w:t>Adult</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41.00</w:t>
            </w:r>
          </w:p>
        </w:tc>
        <w:tc>
          <w:tcPr>
            <w:tcW w:w="995" w:type="dxa"/>
          </w:tcPr>
          <w:p>
            <w:pPr>
              <w:pStyle w:val="TableParagraph"/>
              <w:spacing w:line="140" w:lineRule="exact" w:before="15"/>
              <w:ind w:right="101"/>
              <w:jc w:val="right"/>
              <w:rPr>
                <w:sz w:val="14"/>
              </w:rPr>
            </w:pPr>
            <w:r>
              <w:rPr>
                <w:spacing w:val="-2"/>
                <w:sz w:val="14"/>
              </w:rPr>
              <w:t>44.00</w:t>
            </w:r>
          </w:p>
        </w:tc>
        <w:tc>
          <w:tcPr>
            <w:tcW w:w="861" w:type="dxa"/>
          </w:tcPr>
          <w:p>
            <w:pPr>
              <w:pStyle w:val="TableParagraph"/>
              <w:spacing w:line="140" w:lineRule="exact" w:before="15"/>
              <w:ind w:left="327"/>
              <w:rPr>
                <w:sz w:val="14"/>
              </w:rPr>
            </w:pPr>
            <w:r>
              <w:rPr>
                <w:spacing w:val="-5"/>
                <w:sz w:val="14"/>
              </w:rPr>
              <w:t>6.8</w:t>
            </w:r>
          </w:p>
        </w:tc>
      </w:tr>
      <w:tr>
        <w:trPr>
          <w:trHeight w:val="177" w:hRule="atLeast"/>
        </w:trPr>
        <w:tc>
          <w:tcPr>
            <w:tcW w:w="5794" w:type="dxa"/>
          </w:tcPr>
          <w:p>
            <w:pPr>
              <w:pStyle w:val="TableParagraph"/>
              <w:spacing w:line="140" w:lineRule="exact" w:before="17"/>
              <w:ind w:left="107"/>
              <w:rPr>
                <w:sz w:val="14"/>
              </w:rPr>
            </w:pPr>
            <w:r>
              <w:rPr>
                <w:sz w:val="14"/>
              </w:rPr>
              <w:t>18</w:t>
            </w:r>
            <w:r>
              <w:rPr>
                <w:spacing w:val="-4"/>
                <w:sz w:val="14"/>
              </w:rPr>
              <w:t> </w:t>
            </w:r>
            <w:r>
              <w:rPr>
                <w:sz w:val="14"/>
              </w:rPr>
              <w:t>Hole</w:t>
            </w:r>
            <w:r>
              <w:rPr>
                <w:spacing w:val="-3"/>
                <w:sz w:val="14"/>
              </w:rPr>
              <w:t> </w:t>
            </w:r>
            <w:r>
              <w:rPr>
                <w:sz w:val="14"/>
              </w:rPr>
              <w:t>Weekend</w:t>
            </w:r>
            <w:r>
              <w:rPr>
                <w:spacing w:val="-3"/>
                <w:sz w:val="14"/>
              </w:rPr>
              <w:t> </w:t>
            </w:r>
            <w:r>
              <w:rPr>
                <w:sz w:val="14"/>
              </w:rPr>
              <w:t>-</w:t>
            </w:r>
            <w:r>
              <w:rPr>
                <w:spacing w:val="36"/>
                <w:sz w:val="14"/>
              </w:rPr>
              <w:t> </w:t>
            </w:r>
            <w:r>
              <w:rPr>
                <w:spacing w:val="-2"/>
                <w:sz w:val="14"/>
              </w:rPr>
              <w:t>Junior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22.00</w:t>
            </w:r>
          </w:p>
        </w:tc>
        <w:tc>
          <w:tcPr>
            <w:tcW w:w="995" w:type="dxa"/>
          </w:tcPr>
          <w:p>
            <w:pPr>
              <w:pStyle w:val="TableParagraph"/>
              <w:spacing w:line="140" w:lineRule="exact" w:before="17"/>
              <w:ind w:right="101"/>
              <w:jc w:val="right"/>
              <w:rPr>
                <w:sz w:val="14"/>
              </w:rPr>
            </w:pPr>
            <w:r>
              <w:rPr>
                <w:spacing w:val="-2"/>
                <w:sz w:val="14"/>
              </w:rPr>
              <w:t>24.00</w:t>
            </w:r>
          </w:p>
        </w:tc>
        <w:tc>
          <w:tcPr>
            <w:tcW w:w="861" w:type="dxa"/>
          </w:tcPr>
          <w:p>
            <w:pPr>
              <w:pStyle w:val="TableParagraph"/>
              <w:spacing w:line="140" w:lineRule="exact" w:before="17"/>
              <w:ind w:left="327"/>
              <w:rPr>
                <w:sz w:val="14"/>
              </w:rPr>
            </w:pPr>
            <w:r>
              <w:rPr>
                <w:spacing w:val="-5"/>
                <w:sz w:val="14"/>
              </w:rPr>
              <w:t>8.3</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37"/>
                <w:sz w:val="14"/>
              </w:rPr>
              <w:t> </w:t>
            </w:r>
            <w:r>
              <w:rPr>
                <w:sz w:val="14"/>
              </w:rPr>
              <w:t>Mid</w:t>
            </w:r>
            <w:r>
              <w:rPr>
                <w:spacing w:val="-3"/>
                <w:sz w:val="14"/>
              </w:rPr>
              <w:t> </w:t>
            </w:r>
            <w:r>
              <w:rPr>
                <w:sz w:val="14"/>
              </w:rPr>
              <w:t>Week</w:t>
            </w:r>
            <w:r>
              <w:rPr>
                <w:spacing w:val="35"/>
                <w:sz w:val="14"/>
              </w:rPr>
              <w:t> </w:t>
            </w:r>
            <w:r>
              <w:rPr>
                <w:sz w:val="14"/>
              </w:rPr>
              <w:t>- </w:t>
            </w:r>
            <w:r>
              <w:rPr>
                <w:spacing w:val="-4"/>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28.00</w:t>
            </w:r>
          </w:p>
        </w:tc>
        <w:tc>
          <w:tcPr>
            <w:tcW w:w="995" w:type="dxa"/>
          </w:tcPr>
          <w:p>
            <w:pPr>
              <w:pStyle w:val="TableParagraph"/>
              <w:spacing w:line="140" w:lineRule="exact" w:before="17"/>
              <w:ind w:right="101"/>
              <w:jc w:val="right"/>
              <w:rPr>
                <w:sz w:val="14"/>
              </w:rPr>
            </w:pPr>
            <w:r>
              <w:rPr>
                <w:spacing w:val="-2"/>
                <w:sz w:val="14"/>
              </w:rPr>
              <w:t>30.00</w:t>
            </w:r>
          </w:p>
        </w:tc>
        <w:tc>
          <w:tcPr>
            <w:tcW w:w="861" w:type="dxa"/>
          </w:tcPr>
          <w:p>
            <w:pPr>
              <w:pStyle w:val="TableParagraph"/>
              <w:spacing w:line="140" w:lineRule="exact" w:before="17"/>
              <w:ind w:left="327"/>
              <w:rPr>
                <w:sz w:val="14"/>
              </w:rPr>
            </w:pPr>
            <w:r>
              <w:rPr>
                <w:spacing w:val="-5"/>
                <w:sz w:val="14"/>
              </w:rPr>
              <w:t>6.7</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1"/>
                <w:sz w:val="14"/>
              </w:rPr>
              <w:t> </w:t>
            </w:r>
            <w:r>
              <w:rPr>
                <w:sz w:val="14"/>
              </w:rPr>
              <w:t>Mid</w:t>
            </w:r>
            <w:r>
              <w:rPr>
                <w:spacing w:val="-4"/>
                <w:sz w:val="14"/>
              </w:rPr>
              <w:t> </w:t>
            </w:r>
            <w:r>
              <w:rPr>
                <w:sz w:val="14"/>
              </w:rPr>
              <w:t>Week -</w:t>
            </w:r>
            <w:r>
              <w:rPr>
                <w:spacing w:val="-4"/>
                <w:sz w:val="14"/>
              </w:rPr>
              <w:t> </w:t>
            </w:r>
            <w:r>
              <w:rPr>
                <w:spacing w:val="-2"/>
                <w:sz w:val="14"/>
              </w:rPr>
              <w:t>Junior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16.00</w:t>
            </w:r>
          </w:p>
        </w:tc>
        <w:tc>
          <w:tcPr>
            <w:tcW w:w="995" w:type="dxa"/>
          </w:tcPr>
          <w:p>
            <w:pPr>
              <w:pStyle w:val="TableParagraph"/>
              <w:spacing w:line="140" w:lineRule="exact" w:before="17"/>
              <w:ind w:right="101"/>
              <w:jc w:val="right"/>
              <w:rPr>
                <w:sz w:val="14"/>
              </w:rPr>
            </w:pPr>
            <w:r>
              <w:rPr>
                <w:spacing w:val="-2"/>
                <w:sz w:val="14"/>
              </w:rPr>
              <w:t>17.00</w:t>
            </w:r>
          </w:p>
        </w:tc>
        <w:tc>
          <w:tcPr>
            <w:tcW w:w="861" w:type="dxa"/>
          </w:tcPr>
          <w:p>
            <w:pPr>
              <w:pStyle w:val="TableParagraph"/>
              <w:spacing w:line="140" w:lineRule="exact" w:before="17"/>
              <w:ind w:left="327"/>
              <w:rPr>
                <w:sz w:val="14"/>
              </w:rPr>
            </w:pPr>
            <w:r>
              <w:rPr>
                <w:spacing w:val="-5"/>
                <w:sz w:val="14"/>
              </w:rPr>
              <w:t>5.9</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2"/>
                <w:sz w:val="14"/>
              </w:rPr>
              <w:t> </w:t>
            </w:r>
            <w:r>
              <w:rPr>
                <w:sz w:val="14"/>
              </w:rPr>
              <w:t>Mid</w:t>
            </w:r>
            <w:r>
              <w:rPr>
                <w:spacing w:val="-4"/>
                <w:sz w:val="14"/>
              </w:rPr>
              <w:t> </w:t>
            </w:r>
            <w:r>
              <w:rPr>
                <w:sz w:val="14"/>
              </w:rPr>
              <w:t>Week</w:t>
            </w:r>
            <w:r>
              <w:rPr>
                <w:spacing w:val="-1"/>
                <w:sz w:val="14"/>
              </w:rPr>
              <w:t> </w:t>
            </w:r>
            <w:r>
              <w:rPr>
                <w:spacing w:val="-2"/>
                <w:sz w:val="14"/>
              </w:rPr>
              <w:t>Pension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23.00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327"/>
              <w:rPr>
                <w:sz w:val="14"/>
              </w:rPr>
            </w:pPr>
            <w:r>
              <w:rPr>
                <w:spacing w:val="-5"/>
                <w:sz w:val="14"/>
              </w:rPr>
              <w:t>8.0</w:t>
            </w:r>
          </w:p>
        </w:tc>
      </w:tr>
      <w:tr>
        <w:trPr>
          <w:trHeight w:val="177" w:hRule="atLeast"/>
        </w:trPr>
        <w:tc>
          <w:tcPr>
            <w:tcW w:w="5794" w:type="dxa"/>
          </w:tcPr>
          <w:p>
            <w:pPr>
              <w:pStyle w:val="TableParagraph"/>
              <w:spacing w:line="140" w:lineRule="exact" w:before="17"/>
              <w:ind w:left="107"/>
              <w:rPr>
                <w:sz w:val="14"/>
              </w:rPr>
            </w:pPr>
            <w:r>
              <w:rPr>
                <w:sz w:val="14"/>
              </w:rPr>
              <w:t>9</w:t>
            </w:r>
            <w:r>
              <w:rPr>
                <w:spacing w:val="-5"/>
                <w:sz w:val="14"/>
              </w:rPr>
              <w:t> </w:t>
            </w:r>
            <w:r>
              <w:rPr>
                <w:sz w:val="14"/>
              </w:rPr>
              <w:t>Holes</w:t>
            </w:r>
            <w:r>
              <w:rPr>
                <w:spacing w:val="-1"/>
                <w:sz w:val="14"/>
              </w:rPr>
              <w:t> </w:t>
            </w:r>
            <w:r>
              <w:rPr>
                <w:sz w:val="14"/>
              </w:rPr>
              <w:t>Mid</w:t>
            </w:r>
            <w:r>
              <w:rPr>
                <w:spacing w:val="-4"/>
                <w:sz w:val="14"/>
              </w:rPr>
              <w:t> </w:t>
            </w:r>
            <w:r>
              <w:rPr>
                <w:sz w:val="14"/>
              </w:rPr>
              <w:t>Week</w:t>
            </w:r>
            <w:r>
              <w:rPr>
                <w:spacing w:val="-1"/>
                <w:sz w:val="14"/>
              </w:rPr>
              <w:t> </w:t>
            </w:r>
            <w:r>
              <w:rPr>
                <w:sz w:val="14"/>
              </w:rPr>
              <w:t>Senior</w:t>
            </w:r>
            <w:r>
              <w:rPr>
                <w:spacing w:val="-2"/>
                <w:sz w:val="14"/>
              </w:rPr>
              <w:t> </w:t>
            </w:r>
            <w:r>
              <w:rPr>
                <w:spacing w:val="-4"/>
                <w:sz w:val="14"/>
              </w:rPr>
              <w:t>Card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25.00</w:t>
            </w:r>
          </w:p>
        </w:tc>
        <w:tc>
          <w:tcPr>
            <w:tcW w:w="995" w:type="dxa"/>
          </w:tcPr>
          <w:p>
            <w:pPr>
              <w:pStyle w:val="TableParagraph"/>
              <w:spacing w:line="140" w:lineRule="exact" w:before="17"/>
              <w:ind w:right="101"/>
              <w:jc w:val="right"/>
              <w:rPr>
                <w:sz w:val="14"/>
              </w:rPr>
            </w:pPr>
            <w:r>
              <w:rPr>
                <w:spacing w:val="-2"/>
                <w:sz w:val="14"/>
              </w:rPr>
              <w:t>28.00</w:t>
            </w:r>
          </w:p>
        </w:tc>
        <w:tc>
          <w:tcPr>
            <w:tcW w:w="861" w:type="dxa"/>
          </w:tcPr>
          <w:p>
            <w:pPr>
              <w:pStyle w:val="TableParagraph"/>
              <w:spacing w:line="140" w:lineRule="exact" w:before="17"/>
              <w:ind w:left="288"/>
              <w:rPr>
                <w:sz w:val="14"/>
              </w:rPr>
            </w:pPr>
            <w:r>
              <w:rPr>
                <w:spacing w:val="-4"/>
                <w:sz w:val="14"/>
              </w:rPr>
              <w:t>10.7</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3"/>
                <w:sz w:val="14"/>
              </w:rPr>
              <w:t> </w:t>
            </w:r>
            <w:r>
              <w:rPr>
                <w:sz w:val="14"/>
              </w:rPr>
              <w:t>Weekend</w:t>
            </w:r>
            <w:r>
              <w:rPr>
                <w:spacing w:val="-1"/>
                <w:sz w:val="14"/>
              </w:rPr>
              <w:t> </w:t>
            </w:r>
            <w:r>
              <w:rPr>
                <w:sz w:val="14"/>
              </w:rPr>
              <w:t>-</w:t>
            </w:r>
            <w:r>
              <w:rPr>
                <w:spacing w:val="36"/>
                <w:sz w:val="14"/>
              </w:rPr>
              <w:t> </w:t>
            </w:r>
            <w:r>
              <w:rPr>
                <w:spacing w:val="-2"/>
                <w:sz w:val="14"/>
              </w:rPr>
              <w:t>Adult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41.00</w:t>
            </w:r>
          </w:p>
        </w:tc>
        <w:tc>
          <w:tcPr>
            <w:tcW w:w="995" w:type="dxa"/>
          </w:tcPr>
          <w:p>
            <w:pPr>
              <w:pStyle w:val="TableParagraph"/>
              <w:spacing w:line="140" w:lineRule="exact" w:before="17"/>
              <w:ind w:right="101"/>
              <w:jc w:val="right"/>
              <w:rPr>
                <w:sz w:val="14"/>
              </w:rPr>
            </w:pPr>
            <w:r>
              <w:rPr>
                <w:spacing w:val="-2"/>
                <w:sz w:val="14"/>
              </w:rPr>
              <w:t>33.00</w:t>
            </w:r>
          </w:p>
        </w:tc>
        <w:tc>
          <w:tcPr>
            <w:tcW w:w="861" w:type="dxa"/>
          </w:tcPr>
          <w:p>
            <w:pPr>
              <w:pStyle w:val="TableParagraph"/>
              <w:spacing w:line="140" w:lineRule="exact" w:before="17"/>
              <w:ind w:left="264"/>
              <w:rPr>
                <w:sz w:val="14"/>
              </w:rPr>
            </w:pPr>
            <w:r>
              <w:rPr>
                <w:w w:val="95"/>
                <w:sz w:val="14"/>
              </w:rPr>
              <w:t>-</w:t>
            </w:r>
            <w:r>
              <w:rPr>
                <w:spacing w:val="-4"/>
                <w:sz w:val="14"/>
              </w:rPr>
              <w:t>24.2</w:t>
            </w:r>
          </w:p>
        </w:tc>
      </w:tr>
      <w:tr>
        <w:trPr>
          <w:trHeight w:val="177" w:hRule="atLeast"/>
        </w:trPr>
        <w:tc>
          <w:tcPr>
            <w:tcW w:w="5794" w:type="dxa"/>
          </w:tcPr>
          <w:p>
            <w:pPr>
              <w:pStyle w:val="TableParagraph"/>
              <w:spacing w:line="140" w:lineRule="exact" w:before="17"/>
              <w:ind w:left="107"/>
              <w:rPr>
                <w:sz w:val="14"/>
              </w:rPr>
            </w:pPr>
            <w:r>
              <w:rPr>
                <w:sz w:val="14"/>
              </w:rPr>
              <w:t>9</w:t>
            </w:r>
            <w:r>
              <w:rPr>
                <w:spacing w:val="-4"/>
                <w:sz w:val="14"/>
              </w:rPr>
              <w:t> </w:t>
            </w:r>
            <w:r>
              <w:rPr>
                <w:sz w:val="14"/>
              </w:rPr>
              <w:t>Holes</w:t>
            </w:r>
            <w:r>
              <w:rPr>
                <w:spacing w:val="-3"/>
                <w:sz w:val="14"/>
              </w:rPr>
              <w:t> </w:t>
            </w:r>
            <w:r>
              <w:rPr>
                <w:sz w:val="14"/>
              </w:rPr>
              <w:t>Weekend</w:t>
            </w:r>
            <w:r>
              <w:rPr>
                <w:spacing w:val="-1"/>
                <w:sz w:val="14"/>
              </w:rPr>
              <w:t> </w:t>
            </w:r>
            <w:r>
              <w:rPr>
                <w:sz w:val="14"/>
              </w:rPr>
              <w:t>-</w:t>
            </w:r>
            <w:r>
              <w:rPr>
                <w:spacing w:val="36"/>
                <w:sz w:val="14"/>
              </w:rPr>
              <w:t> </w:t>
            </w:r>
            <w:r>
              <w:rPr>
                <w:spacing w:val="-2"/>
                <w:sz w:val="14"/>
              </w:rPr>
              <w:t>Junior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18.00</w:t>
            </w:r>
          </w:p>
        </w:tc>
        <w:tc>
          <w:tcPr>
            <w:tcW w:w="995" w:type="dxa"/>
          </w:tcPr>
          <w:p>
            <w:pPr>
              <w:pStyle w:val="TableParagraph"/>
              <w:spacing w:line="140" w:lineRule="exact" w:before="17"/>
              <w:ind w:right="101"/>
              <w:jc w:val="right"/>
              <w:rPr>
                <w:sz w:val="14"/>
              </w:rPr>
            </w:pPr>
            <w:r>
              <w:rPr>
                <w:spacing w:val="-2"/>
                <w:sz w:val="14"/>
              </w:rPr>
              <w:t>19.50</w:t>
            </w:r>
          </w:p>
        </w:tc>
        <w:tc>
          <w:tcPr>
            <w:tcW w:w="861" w:type="dxa"/>
          </w:tcPr>
          <w:p>
            <w:pPr>
              <w:pStyle w:val="TableParagraph"/>
              <w:spacing w:line="140" w:lineRule="exact" w:before="17"/>
              <w:ind w:left="327"/>
              <w:rPr>
                <w:sz w:val="14"/>
              </w:rPr>
            </w:pPr>
            <w:r>
              <w:rPr>
                <w:spacing w:val="-5"/>
                <w:sz w:val="14"/>
              </w:rPr>
              <w:t>7.7</w:t>
            </w:r>
          </w:p>
        </w:tc>
      </w:tr>
      <w:tr>
        <w:trPr>
          <w:trHeight w:val="177" w:hRule="atLeast"/>
        </w:trPr>
        <w:tc>
          <w:tcPr>
            <w:tcW w:w="5794" w:type="dxa"/>
          </w:tcPr>
          <w:p>
            <w:pPr>
              <w:pStyle w:val="TableParagraph"/>
              <w:spacing w:line="140" w:lineRule="exact" w:before="17"/>
              <w:ind w:left="107"/>
              <w:rPr>
                <w:b/>
                <w:sz w:val="14"/>
              </w:rPr>
            </w:pPr>
            <w:r>
              <w:rPr>
                <w:b/>
                <w:sz w:val="14"/>
              </w:rPr>
              <w:t>Dorset</w:t>
            </w:r>
            <w:r>
              <w:rPr>
                <w:b/>
                <w:spacing w:val="-6"/>
                <w:sz w:val="14"/>
              </w:rPr>
              <w:t> </w:t>
            </w:r>
            <w:r>
              <w:rPr>
                <w:b/>
                <w:sz w:val="14"/>
              </w:rPr>
              <w:t>Golf</w:t>
            </w:r>
            <w:r>
              <w:rPr>
                <w:b/>
                <w:spacing w:val="-5"/>
                <w:sz w:val="14"/>
              </w:rPr>
              <w:t> </w:t>
            </w:r>
            <w:r>
              <w:rPr>
                <w:b/>
                <w:sz w:val="14"/>
              </w:rPr>
              <w:t>Equipment</w:t>
            </w:r>
            <w:r>
              <w:rPr>
                <w:b/>
                <w:spacing w:val="-5"/>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Buggy</w:t>
            </w:r>
            <w:r>
              <w:rPr>
                <w:spacing w:val="-4"/>
                <w:sz w:val="14"/>
              </w:rPr>
              <w:t> 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6.00</w:t>
            </w:r>
          </w:p>
        </w:tc>
        <w:tc>
          <w:tcPr>
            <w:tcW w:w="995" w:type="dxa"/>
          </w:tcPr>
          <w:p>
            <w:pPr>
              <w:pStyle w:val="TableParagraph"/>
              <w:spacing w:line="140" w:lineRule="exact" w:before="17"/>
              <w:ind w:right="101"/>
              <w:jc w:val="right"/>
              <w:rPr>
                <w:sz w:val="14"/>
              </w:rPr>
            </w:pPr>
            <w:r>
              <w:rPr>
                <w:spacing w:val="-4"/>
                <w:sz w:val="14"/>
              </w:rPr>
              <w:t>6.00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Cart</w:t>
            </w:r>
            <w:r>
              <w:rPr>
                <w:spacing w:val="-3"/>
                <w:sz w:val="14"/>
              </w:rPr>
              <w:t> </w:t>
            </w:r>
            <w:r>
              <w:rPr>
                <w:spacing w:val="-5"/>
                <w:sz w:val="14"/>
              </w:rPr>
              <w:t>18</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43.00</w:t>
            </w:r>
          </w:p>
        </w:tc>
        <w:tc>
          <w:tcPr>
            <w:tcW w:w="995" w:type="dxa"/>
          </w:tcPr>
          <w:p>
            <w:pPr>
              <w:pStyle w:val="TableParagraph"/>
              <w:spacing w:line="140" w:lineRule="exact" w:before="17"/>
              <w:ind w:right="101"/>
              <w:jc w:val="right"/>
              <w:rPr>
                <w:sz w:val="14"/>
              </w:rPr>
            </w:pPr>
            <w:r>
              <w:rPr>
                <w:spacing w:val="-2"/>
                <w:sz w:val="14"/>
              </w:rPr>
              <w:t>43.00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Cart</w:t>
            </w:r>
            <w:r>
              <w:rPr>
                <w:spacing w:val="-3"/>
                <w:sz w:val="14"/>
              </w:rPr>
              <w:t> </w:t>
            </w:r>
            <w:r>
              <w:rPr>
                <w:spacing w:val="-10"/>
                <w:sz w:val="14"/>
              </w:rPr>
              <w:t>9</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32.00</w:t>
            </w:r>
          </w:p>
        </w:tc>
        <w:tc>
          <w:tcPr>
            <w:tcW w:w="861" w:type="dxa"/>
          </w:tcPr>
          <w:p>
            <w:pPr>
              <w:pStyle w:val="TableParagraph"/>
              <w:spacing w:line="140" w:lineRule="exact" w:before="17"/>
              <w:ind w:left="288"/>
              <w:rPr>
                <w:sz w:val="14"/>
              </w:rPr>
            </w:pPr>
            <w:r>
              <w:rPr>
                <w:spacing w:val="-4"/>
                <w:sz w:val="14"/>
              </w:rPr>
              <w:t>37.5</w:t>
            </w:r>
          </w:p>
        </w:tc>
      </w:tr>
      <w:tr>
        <w:trPr>
          <w:trHeight w:val="177" w:hRule="atLeast"/>
        </w:trPr>
        <w:tc>
          <w:tcPr>
            <w:tcW w:w="5794" w:type="dxa"/>
          </w:tcPr>
          <w:p>
            <w:pPr>
              <w:pStyle w:val="TableParagraph"/>
              <w:spacing w:line="142" w:lineRule="exact" w:before="15"/>
              <w:ind w:left="107"/>
              <w:rPr>
                <w:sz w:val="14"/>
              </w:rPr>
            </w:pPr>
            <w:r>
              <w:rPr>
                <w:sz w:val="14"/>
              </w:rPr>
              <w:t>Club</w:t>
            </w:r>
            <w:r>
              <w:rPr>
                <w:spacing w:val="-2"/>
                <w:sz w:val="14"/>
              </w:rPr>
              <w:t> </w:t>
            </w:r>
            <w:r>
              <w:rPr>
                <w:sz w:val="14"/>
              </w:rPr>
              <w:t>hire</w:t>
            </w:r>
            <w:r>
              <w:rPr>
                <w:spacing w:val="-3"/>
                <w:sz w:val="14"/>
              </w:rPr>
              <w:t> </w:t>
            </w:r>
            <w:r>
              <w:rPr>
                <w:sz w:val="14"/>
              </w:rPr>
              <w:t>18</w:t>
            </w:r>
            <w:r>
              <w:rPr>
                <w:spacing w:val="-4"/>
                <w:sz w:val="14"/>
              </w:rPr>
              <w:t> </w:t>
            </w:r>
            <w:r>
              <w:rPr>
                <w:spacing w:val="-2"/>
                <w:sz w:val="14"/>
              </w:rPr>
              <w:t>holes</w:t>
            </w:r>
          </w:p>
        </w:tc>
        <w:tc>
          <w:tcPr>
            <w:tcW w:w="1131" w:type="dxa"/>
          </w:tcPr>
          <w:p>
            <w:pPr>
              <w:pStyle w:val="TableParagraph"/>
              <w:spacing w:line="142" w:lineRule="exact" w:before="15"/>
              <w:ind w:left="6"/>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20.00</w:t>
            </w:r>
          </w:p>
        </w:tc>
        <w:tc>
          <w:tcPr>
            <w:tcW w:w="995" w:type="dxa"/>
          </w:tcPr>
          <w:p>
            <w:pPr>
              <w:pStyle w:val="TableParagraph"/>
              <w:spacing w:line="142" w:lineRule="exact" w:before="15"/>
              <w:ind w:right="101"/>
              <w:jc w:val="right"/>
              <w:rPr>
                <w:sz w:val="14"/>
              </w:rPr>
            </w:pPr>
            <w:r>
              <w:rPr>
                <w:spacing w:val="-2"/>
                <w:sz w:val="14"/>
              </w:rPr>
              <w:t>23.00</w:t>
            </w:r>
          </w:p>
        </w:tc>
        <w:tc>
          <w:tcPr>
            <w:tcW w:w="861" w:type="dxa"/>
          </w:tcPr>
          <w:p>
            <w:pPr>
              <w:pStyle w:val="TableParagraph"/>
              <w:spacing w:line="142" w:lineRule="exact" w:before="15"/>
              <w:ind w:left="288"/>
              <w:rPr>
                <w:sz w:val="14"/>
              </w:rPr>
            </w:pPr>
            <w:r>
              <w:rPr>
                <w:spacing w:val="-4"/>
                <w:sz w:val="14"/>
              </w:rPr>
              <w:t>13.0</w:t>
            </w:r>
          </w:p>
        </w:tc>
      </w:tr>
      <w:tr>
        <w:trPr>
          <w:trHeight w:val="174" w:hRule="atLeast"/>
        </w:trPr>
        <w:tc>
          <w:tcPr>
            <w:tcW w:w="5794" w:type="dxa"/>
          </w:tcPr>
          <w:p>
            <w:pPr>
              <w:pStyle w:val="TableParagraph"/>
              <w:spacing w:line="140" w:lineRule="exact" w:before="15"/>
              <w:ind w:left="107"/>
              <w:rPr>
                <w:sz w:val="14"/>
              </w:rPr>
            </w:pPr>
            <w:r>
              <w:rPr>
                <w:sz w:val="14"/>
              </w:rPr>
              <w:t>Club</w:t>
            </w:r>
            <w:r>
              <w:rPr>
                <w:spacing w:val="-2"/>
                <w:sz w:val="14"/>
              </w:rPr>
              <w:t> </w:t>
            </w:r>
            <w:r>
              <w:rPr>
                <w:sz w:val="14"/>
              </w:rPr>
              <w:t>hire</w:t>
            </w:r>
            <w:r>
              <w:rPr>
                <w:spacing w:val="-3"/>
                <w:sz w:val="14"/>
              </w:rPr>
              <w:t> </w:t>
            </w:r>
            <w:r>
              <w:rPr>
                <w:sz w:val="14"/>
              </w:rPr>
              <w:t>9</w:t>
            </w:r>
            <w:r>
              <w:rPr>
                <w:spacing w:val="-1"/>
                <w:sz w:val="14"/>
              </w:rPr>
              <w:t> </w:t>
            </w:r>
            <w:r>
              <w:rPr>
                <w:spacing w:val="-2"/>
                <w:sz w:val="14"/>
              </w:rPr>
              <w:t>holes</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45" w:right="143"/>
              <w:jc w:val="center"/>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15.00</w:t>
            </w:r>
          </w:p>
        </w:tc>
        <w:tc>
          <w:tcPr>
            <w:tcW w:w="995" w:type="dxa"/>
          </w:tcPr>
          <w:p>
            <w:pPr>
              <w:pStyle w:val="TableParagraph"/>
              <w:spacing w:line="140" w:lineRule="exact" w:before="15"/>
              <w:ind w:right="101"/>
              <w:jc w:val="right"/>
              <w:rPr>
                <w:sz w:val="14"/>
              </w:rPr>
            </w:pPr>
            <w:r>
              <w:rPr>
                <w:spacing w:val="-2"/>
                <w:sz w:val="14"/>
              </w:rPr>
              <w:t>17.50</w:t>
            </w:r>
          </w:p>
        </w:tc>
        <w:tc>
          <w:tcPr>
            <w:tcW w:w="861" w:type="dxa"/>
          </w:tcPr>
          <w:p>
            <w:pPr>
              <w:pStyle w:val="TableParagraph"/>
              <w:spacing w:line="140" w:lineRule="exact" w:before="15"/>
              <w:ind w:left="288"/>
              <w:rPr>
                <w:sz w:val="14"/>
              </w:rPr>
            </w:pPr>
            <w:r>
              <w:rPr>
                <w:spacing w:val="-4"/>
                <w:sz w:val="14"/>
              </w:rPr>
              <w:t>14.3</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6"/>
                <w:sz w:val="14"/>
              </w:rPr>
              <w:t> </w:t>
            </w:r>
            <w:r>
              <w:rPr>
                <w:b/>
                <w:sz w:val="14"/>
              </w:rPr>
              <w:t>Thursday</w:t>
            </w:r>
            <w:r>
              <w:rPr>
                <w:b/>
                <w:spacing w:val="-2"/>
                <w:sz w:val="14"/>
              </w:rPr>
              <w:t> Ladies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Scoresheet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79.00</w:t>
            </w:r>
          </w:p>
        </w:tc>
        <w:tc>
          <w:tcPr>
            <w:tcW w:w="995" w:type="dxa"/>
          </w:tcPr>
          <w:p>
            <w:pPr>
              <w:pStyle w:val="TableParagraph"/>
              <w:spacing w:line="140" w:lineRule="exact" w:before="17"/>
              <w:ind w:right="101"/>
              <w:jc w:val="right"/>
              <w:rPr>
                <w:sz w:val="14"/>
              </w:rPr>
            </w:pPr>
            <w:r>
              <w:rPr>
                <w:spacing w:val="-2"/>
                <w:sz w:val="14"/>
              </w:rPr>
              <w:t>78.50</w:t>
            </w:r>
          </w:p>
        </w:tc>
        <w:tc>
          <w:tcPr>
            <w:tcW w:w="861" w:type="dxa"/>
          </w:tcPr>
          <w:p>
            <w:pPr>
              <w:pStyle w:val="TableParagraph"/>
              <w:spacing w:line="140" w:lineRule="exact" w:before="17"/>
              <w:ind w:left="302"/>
              <w:rPr>
                <w:sz w:val="14"/>
              </w:rPr>
            </w:pPr>
            <w:r>
              <w:rPr>
                <w:w w:val="95"/>
                <w:sz w:val="14"/>
              </w:rPr>
              <w:t>-</w:t>
            </w:r>
            <w:r>
              <w:rPr>
                <w:spacing w:val="-5"/>
                <w:sz w:val="14"/>
              </w:rPr>
              <w:t>0.6</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5"/>
                <w:sz w:val="14"/>
              </w:rPr>
              <w:t> </w:t>
            </w:r>
            <w:r>
              <w:rPr>
                <w:b/>
                <w:sz w:val="14"/>
              </w:rPr>
              <w:t>Sunday</w:t>
            </w:r>
            <w:r>
              <w:rPr>
                <w:b/>
                <w:spacing w:val="-3"/>
                <w:sz w:val="14"/>
              </w:rPr>
              <w:t> </w:t>
            </w:r>
            <w:r>
              <w:rPr>
                <w:b/>
                <w:spacing w:val="-4"/>
                <w:sz w:val="14"/>
              </w:rPr>
              <w:t>Mixed</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pacing w:val="-2"/>
                <w:sz w:val="14"/>
              </w:rPr>
              <w:t>Scoresheet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79.00</w:t>
            </w:r>
          </w:p>
        </w:tc>
        <w:tc>
          <w:tcPr>
            <w:tcW w:w="995" w:type="dxa"/>
          </w:tcPr>
          <w:p>
            <w:pPr>
              <w:pStyle w:val="TableParagraph"/>
              <w:spacing w:line="140" w:lineRule="exact" w:before="17"/>
              <w:ind w:right="101"/>
              <w:jc w:val="right"/>
              <w:rPr>
                <w:sz w:val="14"/>
              </w:rPr>
            </w:pPr>
            <w:r>
              <w:rPr>
                <w:spacing w:val="-2"/>
                <w:sz w:val="14"/>
              </w:rPr>
              <w:t>78.50</w:t>
            </w:r>
          </w:p>
        </w:tc>
        <w:tc>
          <w:tcPr>
            <w:tcW w:w="861" w:type="dxa"/>
          </w:tcPr>
          <w:p>
            <w:pPr>
              <w:pStyle w:val="TableParagraph"/>
              <w:spacing w:line="140" w:lineRule="exact" w:before="17"/>
              <w:ind w:left="302"/>
              <w:rPr>
                <w:sz w:val="14"/>
              </w:rPr>
            </w:pPr>
            <w:r>
              <w:rPr>
                <w:w w:val="95"/>
                <w:sz w:val="14"/>
              </w:rPr>
              <w:t>-</w:t>
            </w:r>
            <w:r>
              <w:rPr>
                <w:spacing w:val="-5"/>
                <w:sz w:val="14"/>
              </w:rPr>
              <w:t>0.6</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5"/>
                <w:sz w:val="14"/>
              </w:rPr>
              <w:t> </w:t>
            </w:r>
            <w:r>
              <w:rPr>
                <w:b/>
                <w:sz w:val="14"/>
              </w:rPr>
              <w:t>BB</w:t>
            </w:r>
            <w:r>
              <w:rPr>
                <w:b/>
                <w:spacing w:val="-2"/>
                <w:sz w:val="14"/>
              </w:rPr>
              <w:t> </w:t>
            </w:r>
            <w:r>
              <w:rPr>
                <w:b/>
                <w:sz w:val="14"/>
              </w:rPr>
              <w:t>Monday</w:t>
            </w:r>
            <w:r>
              <w:rPr>
                <w:b/>
                <w:spacing w:val="-4"/>
                <w:sz w:val="14"/>
              </w:rPr>
              <w:t> </w:t>
            </w:r>
            <w:r>
              <w:rPr>
                <w:b/>
                <w:spacing w:val="-2"/>
                <w:sz w:val="14"/>
              </w:rPr>
              <w:t>Senior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Scoresheet</w:t>
            </w:r>
            <w:r>
              <w:rPr>
                <w:spacing w:val="-3"/>
                <w:sz w:val="14"/>
              </w:rPr>
              <w:t> </w:t>
            </w:r>
            <w:r>
              <w:rPr>
                <w:sz w:val="14"/>
              </w:rPr>
              <w:t>-</w:t>
            </w:r>
            <w:r>
              <w:rPr>
                <w:spacing w:val="-6"/>
                <w:sz w:val="14"/>
              </w:rPr>
              <w:t> </w:t>
            </w:r>
            <w:r>
              <w:rPr>
                <w:sz w:val="14"/>
              </w:rPr>
              <w:t>Winter</w:t>
            </w:r>
            <w:r>
              <w:rPr>
                <w:spacing w:val="-3"/>
                <w:sz w:val="14"/>
              </w:rPr>
              <w:t> </w:t>
            </w:r>
            <w:r>
              <w:rPr>
                <w:sz w:val="14"/>
              </w:rPr>
              <w:t>Season</w:t>
            </w:r>
            <w:r>
              <w:rPr>
                <w:spacing w:val="-7"/>
                <w:sz w:val="14"/>
              </w:rPr>
              <w:t> </w:t>
            </w:r>
            <w:r>
              <w:rPr>
                <w:spacing w:val="-4"/>
                <w:sz w:val="14"/>
              </w:rPr>
              <w:t>Fees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74.00</w:t>
            </w:r>
          </w:p>
        </w:tc>
        <w:tc>
          <w:tcPr>
            <w:tcW w:w="995" w:type="dxa"/>
          </w:tcPr>
          <w:p>
            <w:pPr>
              <w:pStyle w:val="TableParagraph"/>
              <w:spacing w:line="140" w:lineRule="exact" w:before="17"/>
              <w:ind w:right="101"/>
              <w:jc w:val="right"/>
              <w:rPr>
                <w:sz w:val="14"/>
              </w:rPr>
            </w:pPr>
            <w:r>
              <w:rPr>
                <w:spacing w:val="-2"/>
                <w:sz w:val="14"/>
              </w:rPr>
              <w:t>76.50</w:t>
            </w:r>
          </w:p>
        </w:tc>
        <w:tc>
          <w:tcPr>
            <w:tcW w:w="861" w:type="dxa"/>
          </w:tcPr>
          <w:p>
            <w:pPr>
              <w:pStyle w:val="TableParagraph"/>
              <w:spacing w:line="140" w:lineRule="exact" w:before="17"/>
              <w:ind w:left="327"/>
              <w:rPr>
                <w:sz w:val="14"/>
              </w:rPr>
            </w:pPr>
            <w:r>
              <w:rPr>
                <w:spacing w:val="-5"/>
                <w:sz w:val="14"/>
              </w:rPr>
              <w:t>3.3</w:t>
            </w:r>
          </w:p>
        </w:tc>
      </w:tr>
      <w:tr>
        <w:trPr>
          <w:trHeight w:val="177" w:hRule="atLeast"/>
        </w:trPr>
        <w:tc>
          <w:tcPr>
            <w:tcW w:w="5794" w:type="dxa"/>
          </w:tcPr>
          <w:p>
            <w:pPr>
              <w:pStyle w:val="TableParagraph"/>
              <w:spacing w:line="140" w:lineRule="exact" w:before="17"/>
              <w:ind w:left="107"/>
              <w:rPr>
                <w:sz w:val="14"/>
              </w:rPr>
            </w:pPr>
            <w:r>
              <w:rPr>
                <w:sz w:val="14"/>
              </w:rPr>
              <w:t>Scoresheet</w:t>
            </w:r>
            <w:r>
              <w:rPr>
                <w:spacing w:val="-4"/>
                <w:sz w:val="14"/>
              </w:rPr>
              <w:t> </w:t>
            </w:r>
            <w:r>
              <w:rPr>
                <w:sz w:val="14"/>
              </w:rPr>
              <w:t>-</w:t>
            </w:r>
            <w:r>
              <w:rPr>
                <w:spacing w:val="-6"/>
                <w:sz w:val="14"/>
              </w:rPr>
              <w:t> </w:t>
            </w:r>
            <w:r>
              <w:rPr>
                <w:sz w:val="14"/>
              </w:rPr>
              <w:t>Summer</w:t>
            </w:r>
            <w:r>
              <w:rPr>
                <w:spacing w:val="-4"/>
                <w:sz w:val="14"/>
              </w:rPr>
              <w:t> </w:t>
            </w:r>
            <w:r>
              <w:rPr>
                <w:sz w:val="14"/>
              </w:rPr>
              <w:t>Season</w:t>
            </w:r>
            <w:r>
              <w:rPr>
                <w:spacing w:val="-4"/>
                <w:sz w:val="14"/>
              </w:rPr>
              <w:t> Fees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76.00</w:t>
            </w:r>
          </w:p>
        </w:tc>
        <w:tc>
          <w:tcPr>
            <w:tcW w:w="995" w:type="dxa"/>
          </w:tcPr>
          <w:p>
            <w:pPr>
              <w:pStyle w:val="TableParagraph"/>
              <w:spacing w:line="140" w:lineRule="exact" w:before="17"/>
              <w:ind w:right="101"/>
              <w:jc w:val="right"/>
              <w:rPr>
                <w:sz w:val="14"/>
              </w:rPr>
            </w:pPr>
            <w:r>
              <w:rPr>
                <w:spacing w:val="-2"/>
                <w:sz w:val="14"/>
              </w:rPr>
              <w:t>78.50</w:t>
            </w:r>
          </w:p>
        </w:tc>
        <w:tc>
          <w:tcPr>
            <w:tcW w:w="861" w:type="dxa"/>
          </w:tcPr>
          <w:p>
            <w:pPr>
              <w:pStyle w:val="TableParagraph"/>
              <w:spacing w:line="140" w:lineRule="exact" w:before="17"/>
              <w:ind w:left="327"/>
              <w:rPr>
                <w:sz w:val="14"/>
              </w:rPr>
            </w:pPr>
            <w:r>
              <w:rPr>
                <w:spacing w:val="-5"/>
                <w:sz w:val="14"/>
              </w:rPr>
              <w:t>3.2</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6"/>
                <w:sz w:val="14"/>
              </w:rPr>
              <w:t> </w:t>
            </w:r>
            <w:r>
              <w:rPr>
                <w:b/>
                <w:sz w:val="14"/>
              </w:rPr>
              <w:t>Biddy</w:t>
            </w:r>
            <w:r>
              <w:rPr>
                <w:b/>
                <w:spacing w:val="-2"/>
                <w:sz w:val="14"/>
              </w:rPr>
              <w:t> </w:t>
            </w:r>
            <w:r>
              <w:rPr>
                <w:b/>
                <w:sz w:val="14"/>
              </w:rPr>
              <w:t>Ball</w:t>
            </w:r>
            <w:r>
              <w:rPr>
                <w:b/>
                <w:spacing w:val="-2"/>
                <w:sz w:val="14"/>
              </w:rPr>
              <w:t> Skills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New</w:t>
            </w:r>
            <w:r>
              <w:rPr>
                <w:spacing w:val="-6"/>
                <w:sz w:val="14"/>
              </w:rPr>
              <w:t> </w:t>
            </w:r>
            <w:r>
              <w:rPr>
                <w:sz w:val="14"/>
              </w:rPr>
              <w:t>Enrolment</w:t>
            </w:r>
            <w:r>
              <w:rPr>
                <w:spacing w:val="-4"/>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12.20</w:t>
            </w:r>
          </w:p>
        </w:tc>
        <w:tc>
          <w:tcPr>
            <w:tcW w:w="995" w:type="dxa"/>
          </w:tcPr>
          <w:p>
            <w:pPr>
              <w:pStyle w:val="TableParagraph"/>
              <w:spacing w:line="140" w:lineRule="exact" w:before="17"/>
              <w:ind w:right="101"/>
              <w:jc w:val="right"/>
              <w:rPr>
                <w:sz w:val="14"/>
              </w:rPr>
            </w:pPr>
            <w:r>
              <w:rPr>
                <w:spacing w:val="-2"/>
                <w:sz w:val="14"/>
              </w:rPr>
              <w:t>12.80</w:t>
            </w:r>
          </w:p>
        </w:tc>
        <w:tc>
          <w:tcPr>
            <w:tcW w:w="861" w:type="dxa"/>
          </w:tcPr>
          <w:p>
            <w:pPr>
              <w:pStyle w:val="TableParagraph"/>
              <w:spacing w:line="140" w:lineRule="exact" w:before="17"/>
              <w:ind w:left="327"/>
              <w:rPr>
                <w:sz w:val="14"/>
              </w:rPr>
            </w:pPr>
            <w:r>
              <w:rPr>
                <w:spacing w:val="-5"/>
                <w:sz w:val="14"/>
              </w:rPr>
              <w:t>4.7</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5"/>
                <w:sz w:val="14"/>
              </w:rPr>
              <w:t> </w:t>
            </w:r>
            <w:r>
              <w:rPr>
                <w:b/>
                <w:sz w:val="14"/>
              </w:rPr>
              <w:t>Biddy</w:t>
            </w:r>
            <w:r>
              <w:rPr>
                <w:b/>
                <w:spacing w:val="-3"/>
                <w:sz w:val="14"/>
              </w:rPr>
              <w:t> </w:t>
            </w:r>
            <w:r>
              <w:rPr>
                <w:b/>
                <w:sz w:val="14"/>
              </w:rPr>
              <w:t>Ball</w:t>
            </w:r>
            <w:r>
              <w:rPr>
                <w:b/>
                <w:spacing w:val="-1"/>
                <w:sz w:val="14"/>
              </w:rPr>
              <w:t> </w:t>
            </w:r>
            <w:r>
              <w:rPr>
                <w:b/>
                <w:spacing w:val="-4"/>
                <w:sz w:val="14"/>
              </w:rPr>
              <w:t>Play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Weekly</w:t>
            </w:r>
            <w:r>
              <w:rPr>
                <w:spacing w:val="-5"/>
                <w:sz w:val="14"/>
              </w:rPr>
              <w:t> Fee</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45" w:right="143"/>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12.20</w:t>
            </w:r>
          </w:p>
        </w:tc>
        <w:tc>
          <w:tcPr>
            <w:tcW w:w="995" w:type="dxa"/>
          </w:tcPr>
          <w:p>
            <w:pPr>
              <w:pStyle w:val="TableParagraph"/>
              <w:spacing w:line="142" w:lineRule="exact" w:before="15"/>
              <w:ind w:right="101"/>
              <w:jc w:val="right"/>
              <w:rPr>
                <w:sz w:val="14"/>
              </w:rPr>
            </w:pPr>
            <w:r>
              <w:rPr>
                <w:spacing w:val="-2"/>
                <w:sz w:val="14"/>
              </w:rPr>
              <w:t>12.80</w:t>
            </w:r>
          </w:p>
        </w:tc>
        <w:tc>
          <w:tcPr>
            <w:tcW w:w="861" w:type="dxa"/>
          </w:tcPr>
          <w:p>
            <w:pPr>
              <w:pStyle w:val="TableParagraph"/>
              <w:spacing w:line="142" w:lineRule="exact" w:before="15"/>
              <w:ind w:left="326"/>
              <w:rPr>
                <w:sz w:val="14"/>
              </w:rPr>
            </w:pPr>
            <w:r>
              <w:rPr>
                <w:spacing w:val="-5"/>
                <w:sz w:val="14"/>
              </w:rPr>
              <w:t>4.7</w:t>
            </w:r>
          </w:p>
        </w:tc>
      </w:tr>
      <w:tr>
        <w:trPr>
          <w:trHeight w:val="174" w:hRule="atLeast"/>
        </w:trPr>
        <w:tc>
          <w:tcPr>
            <w:tcW w:w="5794" w:type="dxa"/>
          </w:tcPr>
          <w:p>
            <w:pPr>
              <w:pStyle w:val="TableParagraph"/>
              <w:spacing w:line="140" w:lineRule="exact" w:before="15"/>
              <w:ind w:left="107"/>
              <w:rPr>
                <w:b/>
                <w:sz w:val="14"/>
              </w:rPr>
            </w:pPr>
            <w:r>
              <w:rPr>
                <w:b/>
                <w:sz w:val="14"/>
              </w:rPr>
              <w:t>The</w:t>
            </w:r>
            <w:r>
              <w:rPr>
                <w:b/>
                <w:spacing w:val="-4"/>
                <w:sz w:val="14"/>
              </w:rPr>
              <w:t> </w:t>
            </w:r>
            <w:r>
              <w:rPr>
                <w:b/>
                <w:sz w:val="14"/>
              </w:rPr>
              <w:t>Rings</w:t>
            </w:r>
            <w:r>
              <w:rPr>
                <w:b/>
                <w:spacing w:val="-6"/>
                <w:sz w:val="14"/>
              </w:rPr>
              <w:t> </w:t>
            </w:r>
            <w:r>
              <w:rPr>
                <w:b/>
                <w:sz w:val="14"/>
              </w:rPr>
              <w:t>Biddy</w:t>
            </w:r>
            <w:r>
              <w:rPr>
                <w:b/>
                <w:spacing w:val="-2"/>
                <w:sz w:val="14"/>
              </w:rPr>
              <w:t> </w:t>
            </w:r>
            <w:r>
              <w:rPr>
                <w:b/>
                <w:sz w:val="14"/>
              </w:rPr>
              <w:t>Ball</w:t>
            </w:r>
            <w:r>
              <w:rPr>
                <w:b/>
                <w:spacing w:val="-2"/>
                <w:sz w:val="14"/>
              </w:rPr>
              <w:t> </w:t>
            </w:r>
            <w:r>
              <w:rPr>
                <w:b/>
                <w:spacing w:val="-4"/>
                <w:sz w:val="14"/>
              </w:rPr>
              <w:t>Intro</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Weekly</w:t>
            </w:r>
            <w:r>
              <w:rPr>
                <w:spacing w:val="-5"/>
                <w:sz w:val="14"/>
              </w:rPr>
              <w:t> 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12.20</w:t>
            </w:r>
          </w:p>
        </w:tc>
        <w:tc>
          <w:tcPr>
            <w:tcW w:w="995" w:type="dxa"/>
          </w:tcPr>
          <w:p>
            <w:pPr>
              <w:pStyle w:val="TableParagraph"/>
              <w:spacing w:line="140" w:lineRule="exact" w:before="17"/>
              <w:ind w:right="101"/>
              <w:jc w:val="right"/>
              <w:rPr>
                <w:sz w:val="14"/>
              </w:rPr>
            </w:pPr>
            <w:r>
              <w:rPr>
                <w:spacing w:val="-2"/>
                <w:sz w:val="14"/>
              </w:rPr>
              <w:t>12.80</w:t>
            </w:r>
          </w:p>
        </w:tc>
        <w:tc>
          <w:tcPr>
            <w:tcW w:w="861" w:type="dxa"/>
          </w:tcPr>
          <w:p>
            <w:pPr>
              <w:pStyle w:val="TableParagraph"/>
              <w:spacing w:line="140" w:lineRule="exact" w:before="17"/>
              <w:ind w:left="327"/>
              <w:rPr>
                <w:sz w:val="14"/>
              </w:rPr>
            </w:pPr>
            <w:r>
              <w:rPr>
                <w:spacing w:val="-5"/>
                <w:sz w:val="14"/>
              </w:rPr>
              <w:t>4.7</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5"/>
                <w:sz w:val="14"/>
              </w:rPr>
              <w:t> </w:t>
            </w:r>
            <w:r>
              <w:rPr>
                <w:b/>
                <w:sz w:val="14"/>
              </w:rPr>
              <w:t>Rings</w:t>
            </w:r>
            <w:r>
              <w:rPr>
                <w:b/>
                <w:spacing w:val="-7"/>
                <w:sz w:val="14"/>
              </w:rPr>
              <w:t> </w:t>
            </w:r>
            <w:r>
              <w:rPr>
                <w:b/>
                <w:sz w:val="14"/>
              </w:rPr>
              <w:t>Basketball</w:t>
            </w:r>
            <w:r>
              <w:rPr>
                <w:b/>
                <w:spacing w:val="-4"/>
                <w:sz w:val="14"/>
              </w:rPr>
              <w:t> </w:t>
            </w:r>
            <w:r>
              <w:rPr>
                <w:b/>
                <w:sz w:val="14"/>
              </w:rPr>
              <w:t>Holiday</w:t>
            </w:r>
            <w:r>
              <w:rPr>
                <w:b/>
                <w:spacing w:val="-7"/>
                <w:sz w:val="14"/>
              </w:rPr>
              <w:t> </w:t>
            </w:r>
            <w:r>
              <w:rPr>
                <w:b/>
                <w:spacing w:val="-4"/>
                <w:sz w:val="14"/>
              </w:rPr>
              <w:t>Prog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Daily</w:t>
            </w:r>
            <w:r>
              <w:rPr>
                <w:spacing w:val="-5"/>
                <w:sz w:val="14"/>
              </w:rPr>
              <w:t> </w:t>
            </w:r>
            <w:r>
              <w:rPr>
                <w:spacing w:val="-4"/>
                <w:sz w:val="14"/>
              </w:rPr>
              <w:t>Rate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58.50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6"/>
                <w:sz w:val="14"/>
              </w:rPr>
              <w:t> </w:t>
            </w:r>
            <w:r>
              <w:rPr>
                <w:b/>
                <w:sz w:val="14"/>
              </w:rPr>
              <w:t>Netball</w:t>
            </w:r>
            <w:r>
              <w:rPr>
                <w:b/>
                <w:spacing w:val="-4"/>
                <w:sz w:val="14"/>
              </w:rPr>
              <w:t> </w:t>
            </w:r>
            <w:r>
              <w:rPr>
                <w:b/>
                <w:sz w:val="14"/>
              </w:rPr>
              <w:t>Holiday</w:t>
            </w:r>
            <w:r>
              <w:rPr>
                <w:b/>
                <w:spacing w:val="-5"/>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Holiday</w:t>
            </w:r>
            <w:r>
              <w:rPr>
                <w:spacing w:val="-6"/>
                <w:sz w:val="14"/>
              </w:rPr>
              <w:t> </w:t>
            </w:r>
            <w:r>
              <w:rPr>
                <w:spacing w:val="-2"/>
                <w:sz w:val="14"/>
              </w:rPr>
              <w:t>Program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58.50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5"/>
                <w:sz w:val="14"/>
              </w:rPr>
              <w:t> </w:t>
            </w:r>
            <w:r>
              <w:rPr>
                <w:b/>
                <w:sz w:val="14"/>
              </w:rPr>
              <w:t>Rings</w:t>
            </w:r>
            <w:r>
              <w:rPr>
                <w:b/>
                <w:spacing w:val="-3"/>
                <w:sz w:val="14"/>
              </w:rPr>
              <w:t> </w:t>
            </w:r>
            <w:r>
              <w:rPr>
                <w:b/>
                <w:sz w:val="14"/>
              </w:rPr>
              <w:t>Multi</w:t>
            </w:r>
            <w:r>
              <w:rPr>
                <w:b/>
                <w:spacing w:val="-5"/>
                <w:sz w:val="14"/>
              </w:rPr>
              <w:t> </w:t>
            </w:r>
            <w:r>
              <w:rPr>
                <w:b/>
                <w:sz w:val="14"/>
              </w:rPr>
              <w:t>Sports</w:t>
            </w:r>
            <w:r>
              <w:rPr>
                <w:b/>
                <w:spacing w:val="-3"/>
                <w:sz w:val="14"/>
              </w:rPr>
              <w:t> </w:t>
            </w:r>
            <w:r>
              <w:rPr>
                <w:b/>
                <w:sz w:val="14"/>
              </w:rPr>
              <w:t>Holiday</w:t>
            </w:r>
            <w:r>
              <w:rPr>
                <w:b/>
                <w:spacing w:val="-6"/>
                <w:sz w:val="14"/>
              </w:rPr>
              <w:t> </w:t>
            </w:r>
            <w:r>
              <w:rPr>
                <w:b/>
                <w:spacing w:val="-4"/>
                <w:sz w:val="14"/>
              </w:rPr>
              <w:t>Prog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Participation</w:t>
            </w:r>
            <w:r>
              <w:rPr>
                <w:spacing w:val="-6"/>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58.00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5"/>
                <w:sz w:val="14"/>
              </w:rPr>
              <w:t> </w:t>
            </w:r>
            <w:r>
              <w:rPr>
                <w:b/>
                <w:sz w:val="14"/>
              </w:rPr>
              <w:t>Soccer</w:t>
            </w:r>
            <w:r>
              <w:rPr>
                <w:b/>
                <w:spacing w:val="-3"/>
                <w:sz w:val="14"/>
              </w:rPr>
              <w:t> </w:t>
            </w:r>
            <w:r>
              <w:rPr>
                <w:b/>
                <w:spacing w:val="-2"/>
                <w:sz w:val="14"/>
              </w:rPr>
              <w:t>Holiday</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Participation</w:t>
            </w:r>
            <w:r>
              <w:rPr>
                <w:spacing w:val="-6"/>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52.00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5"/>
                <w:sz w:val="14"/>
              </w:rPr>
              <w:t> </w:t>
            </w:r>
            <w:r>
              <w:rPr>
                <w:b/>
                <w:sz w:val="14"/>
              </w:rPr>
              <w:t>Schools</w:t>
            </w:r>
            <w:r>
              <w:rPr>
                <w:b/>
                <w:spacing w:val="-5"/>
                <w:sz w:val="14"/>
              </w:rPr>
              <w:t> </w:t>
            </w:r>
            <w:r>
              <w:rPr>
                <w:b/>
                <w:sz w:val="14"/>
              </w:rPr>
              <w:t>Court</w:t>
            </w:r>
            <w:r>
              <w:rPr>
                <w:b/>
                <w:spacing w:val="-4"/>
                <w:sz w:val="14"/>
              </w:rPr>
              <w:t> 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2" w:lineRule="exact" w:before="15"/>
              <w:ind w:left="107"/>
              <w:rPr>
                <w:sz w:val="14"/>
              </w:rPr>
            </w:pPr>
            <w:r>
              <w:rPr>
                <w:sz w:val="14"/>
              </w:rPr>
              <w:t>Per</w:t>
            </w:r>
            <w:r>
              <w:rPr>
                <w:spacing w:val="-5"/>
                <w:sz w:val="14"/>
              </w:rPr>
              <w:t> </w:t>
            </w:r>
            <w:r>
              <w:rPr>
                <w:spacing w:val="-4"/>
                <w:sz w:val="14"/>
              </w:rPr>
              <w:t>Hour</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45" w:right="144"/>
              <w:jc w:val="center"/>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50.60</w:t>
            </w:r>
          </w:p>
        </w:tc>
        <w:tc>
          <w:tcPr>
            <w:tcW w:w="995" w:type="dxa"/>
          </w:tcPr>
          <w:p>
            <w:pPr>
              <w:pStyle w:val="TableParagraph"/>
              <w:spacing w:line="142" w:lineRule="exact" w:before="15"/>
              <w:ind w:right="101"/>
              <w:jc w:val="right"/>
              <w:rPr>
                <w:sz w:val="14"/>
              </w:rPr>
            </w:pPr>
            <w:r>
              <w:rPr>
                <w:spacing w:val="-2"/>
                <w:sz w:val="14"/>
              </w:rPr>
              <w:t>52.60</w:t>
            </w:r>
          </w:p>
        </w:tc>
        <w:tc>
          <w:tcPr>
            <w:tcW w:w="861" w:type="dxa"/>
          </w:tcPr>
          <w:p>
            <w:pPr>
              <w:pStyle w:val="TableParagraph"/>
              <w:spacing w:line="142" w:lineRule="exact" w:before="15"/>
              <w:ind w:left="326"/>
              <w:rPr>
                <w:sz w:val="14"/>
              </w:rPr>
            </w:pPr>
            <w:r>
              <w:rPr>
                <w:spacing w:val="-5"/>
                <w:sz w:val="14"/>
              </w:rPr>
              <w:t>3.8</w:t>
            </w:r>
          </w:p>
        </w:tc>
      </w:tr>
      <w:tr>
        <w:trPr>
          <w:trHeight w:val="174" w:hRule="atLeast"/>
        </w:trPr>
        <w:tc>
          <w:tcPr>
            <w:tcW w:w="5794" w:type="dxa"/>
          </w:tcPr>
          <w:p>
            <w:pPr>
              <w:pStyle w:val="TableParagraph"/>
              <w:spacing w:line="140" w:lineRule="exact" w:before="15"/>
              <w:ind w:left="107"/>
              <w:rPr>
                <w:b/>
                <w:sz w:val="14"/>
              </w:rPr>
            </w:pPr>
            <w:r>
              <w:rPr>
                <w:b/>
                <w:sz w:val="14"/>
              </w:rPr>
              <w:t>The</w:t>
            </w:r>
            <w:r>
              <w:rPr>
                <w:b/>
                <w:spacing w:val="-5"/>
                <w:sz w:val="14"/>
              </w:rPr>
              <w:t> </w:t>
            </w:r>
            <w:r>
              <w:rPr>
                <w:b/>
                <w:sz w:val="14"/>
              </w:rPr>
              <w:t>Rings</w:t>
            </w:r>
            <w:r>
              <w:rPr>
                <w:b/>
                <w:spacing w:val="-4"/>
                <w:sz w:val="14"/>
              </w:rPr>
              <w:t> </w:t>
            </w:r>
            <w:r>
              <w:rPr>
                <w:b/>
                <w:sz w:val="14"/>
              </w:rPr>
              <w:t>General</w:t>
            </w:r>
            <w:r>
              <w:rPr>
                <w:b/>
                <w:spacing w:val="-3"/>
                <w:sz w:val="14"/>
              </w:rPr>
              <w:t> </w:t>
            </w:r>
            <w:r>
              <w:rPr>
                <w:b/>
                <w:sz w:val="14"/>
              </w:rPr>
              <w:t>Court</w:t>
            </w:r>
            <w:r>
              <w:rPr>
                <w:b/>
                <w:spacing w:val="-3"/>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Casual</w:t>
            </w:r>
            <w:r>
              <w:rPr>
                <w:spacing w:val="-7"/>
                <w:sz w:val="14"/>
              </w:rPr>
              <w:t> </w:t>
            </w:r>
            <w:r>
              <w:rPr>
                <w:spacing w:val="-2"/>
                <w:sz w:val="14"/>
              </w:rPr>
              <w:t>Shooting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4.50</w:t>
            </w:r>
          </w:p>
        </w:tc>
        <w:tc>
          <w:tcPr>
            <w:tcW w:w="995" w:type="dxa"/>
          </w:tcPr>
          <w:p>
            <w:pPr>
              <w:pStyle w:val="TableParagraph"/>
              <w:spacing w:line="140" w:lineRule="exact" w:before="17"/>
              <w:ind w:right="101"/>
              <w:jc w:val="right"/>
              <w:rPr>
                <w:sz w:val="14"/>
              </w:rPr>
            </w:pPr>
            <w:r>
              <w:rPr>
                <w:spacing w:val="-4"/>
                <w:sz w:val="14"/>
              </w:rPr>
              <w:t>5.00</w:t>
            </w:r>
          </w:p>
        </w:tc>
        <w:tc>
          <w:tcPr>
            <w:tcW w:w="861" w:type="dxa"/>
          </w:tcPr>
          <w:p>
            <w:pPr>
              <w:pStyle w:val="TableParagraph"/>
              <w:spacing w:line="140" w:lineRule="exact" w:before="17"/>
              <w:ind w:left="288"/>
              <w:rPr>
                <w:sz w:val="14"/>
              </w:rPr>
            </w:pPr>
            <w:r>
              <w:rPr>
                <w:spacing w:val="-4"/>
                <w:sz w:val="14"/>
              </w:rPr>
              <w:t>10.0</w:t>
            </w:r>
          </w:p>
        </w:tc>
      </w:tr>
      <w:tr>
        <w:trPr>
          <w:trHeight w:val="177" w:hRule="atLeast"/>
        </w:trPr>
        <w:tc>
          <w:tcPr>
            <w:tcW w:w="5794" w:type="dxa"/>
          </w:tcPr>
          <w:p>
            <w:pPr>
              <w:pStyle w:val="TableParagraph"/>
              <w:spacing w:line="140" w:lineRule="exact" w:before="17"/>
              <w:ind w:left="107"/>
              <w:rPr>
                <w:sz w:val="14"/>
              </w:rPr>
            </w:pPr>
            <w:r>
              <w:rPr>
                <w:sz w:val="14"/>
              </w:rPr>
              <w:t>Off</w:t>
            </w:r>
            <w:r>
              <w:rPr>
                <w:spacing w:val="-5"/>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48.60</w:t>
            </w:r>
          </w:p>
        </w:tc>
        <w:tc>
          <w:tcPr>
            <w:tcW w:w="995" w:type="dxa"/>
          </w:tcPr>
          <w:p>
            <w:pPr>
              <w:pStyle w:val="TableParagraph"/>
              <w:spacing w:line="140" w:lineRule="exact" w:before="17"/>
              <w:ind w:right="101"/>
              <w:jc w:val="right"/>
              <w:rPr>
                <w:sz w:val="14"/>
              </w:rPr>
            </w:pPr>
            <w:r>
              <w:rPr>
                <w:spacing w:val="-2"/>
                <w:sz w:val="14"/>
              </w:rPr>
              <w:t>50.60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66.80</w:t>
            </w:r>
          </w:p>
        </w:tc>
        <w:tc>
          <w:tcPr>
            <w:tcW w:w="995" w:type="dxa"/>
          </w:tcPr>
          <w:p>
            <w:pPr>
              <w:pStyle w:val="TableParagraph"/>
              <w:spacing w:line="140" w:lineRule="exact" w:before="17"/>
              <w:ind w:right="101"/>
              <w:jc w:val="right"/>
              <w:rPr>
                <w:sz w:val="14"/>
              </w:rPr>
            </w:pPr>
            <w:r>
              <w:rPr>
                <w:spacing w:val="-2"/>
                <w:sz w:val="14"/>
              </w:rPr>
              <w:t>69.60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All</w:t>
            </w:r>
            <w:r>
              <w:rPr>
                <w:spacing w:val="-5"/>
                <w:sz w:val="14"/>
              </w:rPr>
              <w:t> </w:t>
            </w:r>
            <w:r>
              <w:rPr>
                <w:sz w:val="14"/>
              </w:rPr>
              <w:t>Abilities</w:t>
            </w:r>
            <w:r>
              <w:rPr>
                <w:spacing w:val="-4"/>
                <w:sz w:val="14"/>
              </w:rPr>
              <w:t> </w:t>
            </w:r>
            <w:r>
              <w:rPr>
                <w:spacing w:val="-2"/>
                <w:sz w:val="14"/>
              </w:rPr>
              <w:t>Program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3.00</w:t>
            </w:r>
          </w:p>
        </w:tc>
        <w:tc>
          <w:tcPr>
            <w:tcW w:w="995" w:type="dxa"/>
          </w:tcPr>
          <w:p>
            <w:pPr>
              <w:pStyle w:val="TableParagraph"/>
              <w:spacing w:line="140" w:lineRule="exact" w:before="17"/>
              <w:ind w:right="101"/>
              <w:jc w:val="right"/>
              <w:rPr>
                <w:sz w:val="14"/>
              </w:rPr>
            </w:pPr>
            <w:r>
              <w:rPr>
                <w:spacing w:val="-4"/>
                <w:sz w:val="14"/>
              </w:rPr>
              <w:t>3.50</w:t>
            </w:r>
          </w:p>
        </w:tc>
        <w:tc>
          <w:tcPr>
            <w:tcW w:w="861" w:type="dxa"/>
          </w:tcPr>
          <w:p>
            <w:pPr>
              <w:pStyle w:val="TableParagraph"/>
              <w:spacing w:line="140" w:lineRule="exact" w:before="17"/>
              <w:ind w:left="288"/>
              <w:rPr>
                <w:sz w:val="14"/>
              </w:rPr>
            </w:pPr>
            <w:r>
              <w:rPr>
                <w:spacing w:val="-4"/>
                <w:sz w:val="14"/>
              </w:rPr>
              <w:t>14.3</w:t>
            </w:r>
          </w:p>
        </w:tc>
      </w:tr>
      <w:tr>
        <w:trPr>
          <w:trHeight w:val="177" w:hRule="atLeast"/>
        </w:trPr>
        <w:tc>
          <w:tcPr>
            <w:tcW w:w="5794" w:type="dxa"/>
          </w:tcPr>
          <w:p>
            <w:pPr>
              <w:pStyle w:val="TableParagraph"/>
              <w:spacing w:line="140" w:lineRule="exact" w:before="17"/>
              <w:ind w:left="107"/>
              <w:rPr>
                <w:sz w:val="14"/>
              </w:rPr>
            </w:pPr>
            <w:r>
              <w:rPr>
                <w:sz w:val="14"/>
              </w:rPr>
              <w:t>Function</w:t>
            </w:r>
            <w:r>
              <w:rPr>
                <w:spacing w:val="-7"/>
                <w:sz w:val="14"/>
              </w:rPr>
              <w:t> </w:t>
            </w:r>
            <w:r>
              <w:rPr>
                <w:sz w:val="14"/>
              </w:rPr>
              <w:t>Room</w:t>
            </w:r>
            <w:r>
              <w:rPr>
                <w:spacing w:val="-4"/>
                <w:sz w:val="14"/>
              </w:rPr>
              <w:t> 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34.20</w:t>
            </w:r>
          </w:p>
        </w:tc>
        <w:tc>
          <w:tcPr>
            <w:tcW w:w="995" w:type="dxa"/>
          </w:tcPr>
          <w:p>
            <w:pPr>
              <w:pStyle w:val="TableParagraph"/>
              <w:spacing w:line="140" w:lineRule="exact" w:before="17"/>
              <w:ind w:right="101"/>
              <w:jc w:val="right"/>
              <w:rPr>
                <w:sz w:val="14"/>
              </w:rPr>
            </w:pPr>
            <w:r>
              <w:rPr>
                <w:spacing w:val="-2"/>
                <w:sz w:val="14"/>
              </w:rPr>
              <w:t>35.60</w:t>
            </w:r>
          </w:p>
        </w:tc>
        <w:tc>
          <w:tcPr>
            <w:tcW w:w="861" w:type="dxa"/>
          </w:tcPr>
          <w:p>
            <w:pPr>
              <w:pStyle w:val="TableParagraph"/>
              <w:spacing w:line="140" w:lineRule="exact" w:before="17"/>
              <w:ind w:left="327"/>
              <w:rPr>
                <w:sz w:val="14"/>
              </w:rPr>
            </w:pPr>
            <w:r>
              <w:rPr>
                <w:spacing w:val="-5"/>
                <w:sz w:val="14"/>
              </w:rPr>
              <w:t>3.9</w:t>
            </w:r>
          </w:p>
        </w:tc>
      </w:tr>
      <w:tr>
        <w:trPr>
          <w:trHeight w:val="177" w:hRule="atLeast"/>
        </w:trPr>
        <w:tc>
          <w:tcPr>
            <w:tcW w:w="5794" w:type="dxa"/>
          </w:tcPr>
          <w:p>
            <w:pPr>
              <w:pStyle w:val="TableParagraph"/>
              <w:spacing w:line="140" w:lineRule="exact" w:before="17"/>
              <w:ind w:left="107"/>
              <w:rPr>
                <w:b/>
                <w:sz w:val="14"/>
              </w:rPr>
            </w:pPr>
            <w:r>
              <w:rPr>
                <w:b/>
                <w:sz w:val="14"/>
              </w:rPr>
              <w:t>The</w:t>
            </w:r>
            <w:r>
              <w:rPr>
                <w:b/>
                <w:spacing w:val="-4"/>
                <w:sz w:val="14"/>
              </w:rPr>
              <w:t> </w:t>
            </w:r>
            <w:r>
              <w:rPr>
                <w:b/>
                <w:sz w:val="14"/>
              </w:rPr>
              <w:t>Rings</w:t>
            </w:r>
            <w:r>
              <w:rPr>
                <w:b/>
                <w:spacing w:val="-3"/>
                <w:sz w:val="14"/>
              </w:rPr>
              <w:t> </w:t>
            </w:r>
            <w:r>
              <w:rPr>
                <w:b/>
                <w:sz w:val="14"/>
              </w:rPr>
              <w:t>Open</w:t>
            </w:r>
            <w:r>
              <w:rPr>
                <w:b/>
                <w:spacing w:val="-2"/>
                <w:sz w:val="14"/>
              </w:rPr>
              <w:t> </w:t>
            </w:r>
            <w:r>
              <w:rPr>
                <w:b/>
                <w:spacing w:val="-4"/>
                <w:sz w:val="14"/>
              </w:rPr>
              <w:t>Days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Open</w:t>
            </w:r>
            <w:r>
              <w:rPr>
                <w:spacing w:val="-6"/>
                <w:sz w:val="14"/>
              </w:rPr>
              <w:t> </w:t>
            </w:r>
            <w:r>
              <w:rPr>
                <w:spacing w:val="-5"/>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45" w:right="143"/>
              <w:jc w:val="center"/>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10.50</w:t>
            </w:r>
          </w:p>
        </w:tc>
        <w:tc>
          <w:tcPr>
            <w:tcW w:w="995" w:type="dxa"/>
          </w:tcPr>
          <w:p>
            <w:pPr>
              <w:pStyle w:val="TableParagraph"/>
              <w:spacing w:line="140" w:lineRule="exact" w:before="17"/>
              <w:ind w:right="101"/>
              <w:jc w:val="right"/>
              <w:rPr>
                <w:sz w:val="14"/>
              </w:rPr>
            </w:pPr>
            <w:r>
              <w:rPr>
                <w:spacing w:val="-2"/>
                <w:sz w:val="14"/>
              </w:rPr>
              <w:t>10.50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5"/>
                <w:sz w:val="14"/>
              </w:rPr>
              <w:t> </w:t>
            </w:r>
            <w:r>
              <w:rPr>
                <w:b/>
                <w:sz w:val="14"/>
              </w:rPr>
              <w:t>Nets</w:t>
            </w:r>
            <w:r>
              <w:rPr>
                <w:b/>
                <w:spacing w:val="-7"/>
                <w:sz w:val="14"/>
              </w:rPr>
              <w:t> </w:t>
            </w:r>
            <w:r>
              <w:rPr>
                <w:b/>
                <w:sz w:val="14"/>
              </w:rPr>
              <w:t>Volleyball</w:t>
            </w:r>
            <w:r>
              <w:rPr>
                <w:b/>
                <w:spacing w:val="-7"/>
                <w:sz w:val="14"/>
              </w:rPr>
              <w:t> </w:t>
            </w:r>
            <w:r>
              <w:rPr>
                <w:b/>
                <w:sz w:val="14"/>
              </w:rPr>
              <w:t>Badminton</w:t>
            </w:r>
            <w:r>
              <w:rPr>
                <w:b/>
                <w:spacing w:val="-6"/>
                <w:sz w:val="14"/>
              </w:rPr>
              <w:t> </w:t>
            </w:r>
            <w:r>
              <w:rPr>
                <w:b/>
                <w:sz w:val="14"/>
              </w:rPr>
              <w:t>Holiday</w:t>
            </w:r>
            <w:r>
              <w:rPr>
                <w:b/>
                <w:spacing w:val="-8"/>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bl>
    <w:p>
      <w:pPr>
        <w:spacing w:after="0"/>
        <w:rPr>
          <w:rFonts w:ascii="Times New Roman"/>
          <w:sz w:val="10"/>
        </w:rPr>
        <w:sectPr>
          <w:type w:val="continuous"/>
          <w:pgSz w:w="11910" w:h="16840"/>
          <w:pgMar w:header="0" w:footer="687" w:top="920" w:bottom="1061"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175" w:hRule="atLeast"/>
        </w:trPr>
        <w:tc>
          <w:tcPr>
            <w:tcW w:w="5794" w:type="dxa"/>
          </w:tcPr>
          <w:p>
            <w:pPr>
              <w:pStyle w:val="TableParagraph"/>
              <w:spacing w:line="140" w:lineRule="exact" w:before="15"/>
              <w:ind w:left="107"/>
              <w:rPr>
                <w:sz w:val="14"/>
              </w:rPr>
            </w:pPr>
            <w:r>
              <w:rPr>
                <w:sz w:val="14"/>
              </w:rPr>
              <w:t>Holiday</w:t>
            </w:r>
            <w:r>
              <w:rPr>
                <w:spacing w:val="-6"/>
                <w:sz w:val="14"/>
              </w:rPr>
              <w:t> </w:t>
            </w:r>
            <w:r>
              <w:rPr>
                <w:spacing w:val="-2"/>
                <w:sz w:val="14"/>
              </w:rPr>
              <w:t>Program</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58.50</w:t>
            </w:r>
          </w:p>
        </w:tc>
        <w:tc>
          <w:tcPr>
            <w:tcW w:w="995" w:type="dxa"/>
          </w:tcPr>
          <w:p>
            <w:pPr>
              <w:pStyle w:val="TableParagraph"/>
              <w:spacing w:line="140" w:lineRule="exact" w:before="15"/>
              <w:ind w:right="101"/>
              <w:jc w:val="right"/>
              <w:rPr>
                <w:sz w:val="14"/>
              </w:rPr>
            </w:pPr>
            <w:r>
              <w:rPr>
                <w:spacing w:val="-2"/>
                <w:sz w:val="14"/>
              </w:rPr>
              <w:t>62.00</w:t>
            </w:r>
          </w:p>
        </w:tc>
        <w:tc>
          <w:tcPr>
            <w:tcW w:w="861" w:type="dxa"/>
          </w:tcPr>
          <w:p>
            <w:pPr>
              <w:pStyle w:val="TableParagraph"/>
              <w:spacing w:line="140" w:lineRule="exact" w:before="15"/>
              <w:ind w:left="327"/>
              <w:rPr>
                <w:sz w:val="14"/>
              </w:rPr>
            </w:pPr>
            <w:r>
              <w:rPr>
                <w:spacing w:val="-5"/>
                <w:sz w:val="14"/>
              </w:rPr>
              <w:t>5.6</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3"/>
                <w:sz w:val="14"/>
              </w:rPr>
              <w:t> </w:t>
            </w:r>
            <w:r>
              <w:rPr>
                <w:b/>
                <w:sz w:val="14"/>
              </w:rPr>
              <w:t>Nets</w:t>
            </w:r>
            <w:r>
              <w:rPr>
                <w:b/>
                <w:spacing w:val="-7"/>
                <w:sz w:val="14"/>
              </w:rPr>
              <w:t> </w:t>
            </w:r>
            <w:r>
              <w:rPr>
                <w:b/>
                <w:sz w:val="14"/>
              </w:rPr>
              <w:t>Soccer</w:t>
            </w:r>
            <w:r>
              <w:rPr>
                <w:b/>
                <w:spacing w:val="-3"/>
                <w:sz w:val="14"/>
              </w:rPr>
              <w:t> </w:t>
            </w:r>
            <w:r>
              <w:rPr>
                <w:b/>
                <w:sz w:val="14"/>
              </w:rPr>
              <w:t>Holiday</w:t>
            </w:r>
            <w:r>
              <w:rPr>
                <w:b/>
                <w:spacing w:val="-6"/>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Participation</w:t>
            </w:r>
            <w:r>
              <w:rPr>
                <w:spacing w:val="-6"/>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58.50</w:t>
            </w:r>
          </w:p>
        </w:tc>
        <w:tc>
          <w:tcPr>
            <w:tcW w:w="995" w:type="dxa"/>
          </w:tcPr>
          <w:p>
            <w:pPr>
              <w:pStyle w:val="TableParagraph"/>
              <w:spacing w:line="140" w:lineRule="exact" w:before="17"/>
              <w:ind w:right="101"/>
              <w:jc w:val="right"/>
              <w:rPr>
                <w:sz w:val="14"/>
              </w:rPr>
            </w:pPr>
            <w:r>
              <w:rPr>
                <w:spacing w:val="-2"/>
                <w:sz w:val="14"/>
              </w:rPr>
              <w:t>62.00</w:t>
            </w:r>
          </w:p>
        </w:tc>
        <w:tc>
          <w:tcPr>
            <w:tcW w:w="861" w:type="dxa"/>
          </w:tcPr>
          <w:p>
            <w:pPr>
              <w:pStyle w:val="TableParagraph"/>
              <w:spacing w:line="140" w:lineRule="exact" w:before="17"/>
              <w:ind w:left="327"/>
              <w:rPr>
                <w:sz w:val="14"/>
              </w:rPr>
            </w:pPr>
            <w:r>
              <w:rPr>
                <w:spacing w:val="-5"/>
                <w:sz w:val="14"/>
              </w:rPr>
              <w:t>5.6</w:t>
            </w:r>
          </w:p>
        </w:tc>
      </w:tr>
      <w:tr>
        <w:trPr>
          <w:trHeight w:val="177" w:hRule="atLeast"/>
        </w:trPr>
        <w:tc>
          <w:tcPr>
            <w:tcW w:w="5794" w:type="dxa"/>
          </w:tcPr>
          <w:p>
            <w:pPr>
              <w:pStyle w:val="TableParagraph"/>
              <w:spacing w:line="142" w:lineRule="exact" w:before="15"/>
              <w:ind w:left="107"/>
              <w:rPr>
                <w:b/>
                <w:sz w:val="14"/>
              </w:rPr>
            </w:pPr>
            <w:r>
              <w:rPr>
                <w:b/>
                <w:sz w:val="14"/>
              </w:rPr>
              <w:t>Maroondah</w:t>
            </w:r>
            <w:r>
              <w:rPr>
                <w:b/>
                <w:spacing w:val="-4"/>
                <w:sz w:val="14"/>
              </w:rPr>
              <w:t> </w:t>
            </w:r>
            <w:r>
              <w:rPr>
                <w:b/>
                <w:sz w:val="14"/>
              </w:rPr>
              <w:t>Nets</w:t>
            </w:r>
            <w:r>
              <w:rPr>
                <w:b/>
                <w:spacing w:val="-7"/>
                <w:sz w:val="14"/>
              </w:rPr>
              <w:t> </w:t>
            </w:r>
            <w:r>
              <w:rPr>
                <w:b/>
                <w:sz w:val="14"/>
              </w:rPr>
              <w:t>Netball</w:t>
            </w:r>
            <w:r>
              <w:rPr>
                <w:b/>
                <w:spacing w:val="-5"/>
                <w:sz w:val="14"/>
              </w:rPr>
              <w:t> </w:t>
            </w:r>
            <w:r>
              <w:rPr>
                <w:b/>
                <w:sz w:val="14"/>
              </w:rPr>
              <w:t>Holiday</w:t>
            </w:r>
            <w:r>
              <w:rPr>
                <w:b/>
                <w:spacing w:val="-7"/>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Holiday</w:t>
            </w:r>
            <w:r>
              <w:rPr>
                <w:spacing w:val="-6"/>
                <w:sz w:val="14"/>
              </w:rPr>
              <w:t> </w:t>
            </w:r>
            <w:r>
              <w:rPr>
                <w:spacing w:val="-2"/>
                <w:sz w:val="14"/>
              </w:rPr>
              <w:t>Program</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4"/>
                <w:sz w:val="14"/>
              </w:rPr>
              <w:t>0.00</w:t>
            </w:r>
          </w:p>
        </w:tc>
        <w:tc>
          <w:tcPr>
            <w:tcW w:w="995" w:type="dxa"/>
          </w:tcPr>
          <w:p>
            <w:pPr>
              <w:pStyle w:val="TableParagraph"/>
              <w:spacing w:line="140" w:lineRule="exact" w:before="15"/>
              <w:ind w:right="101"/>
              <w:jc w:val="right"/>
              <w:rPr>
                <w:sz w:val="14"/>
              </w:rPr>
            </w:pPr>
            <w:r>
              <w:rPr>
                <w:spacing w:val="-2"/>
                <w:sz w:val="14"/>
              </w:rPr>
              <w:t>62.00</w:t>
            </w:r>
          </w:p>
        </w:tc>
        <w:tc>
          <w:tcPr>
            <w:tcW w:w="861" w:type="dxa"/>
          </w:tcPr>
          <w:p>
            <w:pPr>
              <w:pStyle w:val="TableParagraph"/>
              <w:spacing w:line="140" w:lineRule="exact" w:before="1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Nets</w:t>
            </w:r>
            <w:r>
              <w:rPr>
                <w:b/>
                <w:spacing w:val="-5"/>
                <w:sz w:val="14"/>
              </w:rPr>
              <w:t> </w:t>
            </w:r>
            <w:r>
              <w:rPr>
                <w:b/>
                <w:sz w:val="14"/>
              </w:rPr>
              <w:t>Multi</w:t>
            </w:r>
            <w:r>
              <w:rPr>
                <w:b/>
                <w:spacing w:val="-4"/>
                <w:sz w:val="14"/>
              </w:rPr>
              <w:t> </w:t>
            </w:r>
            <w:r>
              <w:rPr>
                <w:b/>
                <w:sz w:val="14"/>
              </w:rPr>
              <w:t>Sports</w:t>
            </w:r>
            <w:r>
              <w:rPr>
                <w:b/>
                <w:spacing w:val="-4"/>
                <w:sz w:val="14"/>
              </w:rPr>
              <w:t> </w:t>
            </w:r>
            <w:r>
              <w:rPr>
                <w:b/>
                <w:sz w:val="14"/>
              </w:rPr>
              <w:t>Holiday</w:t>
            </w:r>
            <w:r>
              <w:rPr>
                <w:b/>
                <w:spacing w:val="-6"/>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Holiday</w:t>
            </w:r>
            <w:r>
              <w:rPr>
                <w:spacing w:val="-6"/>
                <w:sz w:val="14"/>
              </w:rPr>
              <w:t> </w:t>
            </w:r>
            <w:r>
              <w:rPr>
                <w:spacing w:val="-2"/>
                <w:sz w:val="14"/>
              </w:rPr>
              <w:t>Program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65.25</w:t>
            </w:r>
          </w:p>
        </w:tc>
        <w:tc>
          <w:tcPr>
            <w:tcW w:w="995" w:type="dxa"/>
          </w:tcPr>
          <w:p>
            <w:pPr>
              <w:pStyle w:val="TableParagraph"/>
              <w:spacing w:line="140" w:lineRule="exact" w:before="17"/>
              <w:ind w:right="101"/>
              <w:jc w:val="right"/>
              <w:rPr>
                <w:sz w:val="14"/>
              </w:rPr>
            </w:pPr>
            <w:r>
              <w:rPr>
                <w:spacing w:val="-2"/>
                <w:sz w:val="14"/>
              </w:rPr>
              <w:t>69.20</w:t>
            </w:r>
          </w:p>
        </w:tc>
        <w:tc>
          <w:tcPr>
            <w:tcW w:w="861" w:type="dxa"/>
          </w:tcPr>
          <w:p>
            <w:pPr>
              <w:pStyle w:val="TableParagraph"/>
              <w:spacing w:line="140" w:lineRule="exact" w:before="17"/>
              <w:ind w:left="327"/>
              <w:rPr>
                <w:sz w:val="14"/>
              </w:rPr>
            </w:pPr>
            <w:r>
              <w:rPr>
                <w:spacing w:val="-5"/>
                <w:sz w:val="14"/>
              </w:rPr>
              <w:t>5.7</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Nets</w:t>
            </w:r>
            <w:r>
              <w:rPr>
                <w:b/>
                <w:spacing w:val="-8"/>
                <w:sz w:val="14"/>
              </w:rPr>
              <w:t> </w:t>
            </w:r>
            <w:r>
              <w:rPr>
                <w:b/>
                <w:sz w:val="14"/>
              </w:rPr>
              <w:t>Tennis</w:t>
            </w:r>
            <w:r>
              <w:rPr>
                <w:b/>
                <w:spacing w:val="-3"/>
                <w:sz w:val="14"/>
              </w:rPr>
              <w:t> </w:t>
            </w:r>
            <w:r>
              <w:rPr>
                <w:b/>
                <w:sz w:val="14"/>
              </w:rPr>
              <w:t>Holiday</w:t>
            </w:r>
            <w:r>
              <w:rPr>
                <w:b/>
                <w:spacing w:val="-6"/>
                <w:sz w:val="14"/>
              </w:rPr>
              <w:t> </w:t>
            </w:r>
            <w:r>
              <w:rPr>
                <w:b/>
                <w:spacing w:val="-2"/>
                <w:sz w:val="14"/>
              </w:rPr>
              <w:t>Program</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Tennis</w:t>
            </w:r>
            <w:r>
              <w:rPr>
                <w:spacing w:val="-5"/>
                <w:sz w:val="14"/>
              </w:rPr>
              <w:t> </w:t>
            </w:r>
            <w:r>
              <w:rPr>
                <w:sz w:val="14"/>
              </w:rPr>
              <w:t>Holiday</w:t>
            </w:r>
            <w:r>
              <w:rPr>
                <w:spacing w:val="-5"/>
                <w:sz w:val="14"/>
              </w:rPr>
              <w:t> </w:t>
            </w:r>
            <w:r>
              <w:rPr>
                <w:sz w:val="14"/>
              </w:rPr>
              <w:t>Program</w:t>
            </w:r>
            <w:r>
              <w:rPr>
                <w:spacing w:val="32"/>
                <w:sz w:val="14"/>
              </w:rPr>
              <w:t> </w:t>
            </w:r>
            <w:r>
              <w:rPr>
                <w:sz w:val="14"/>
              </w:rPr>
              <w:t>Participation</w:t>
            </w:r>
            <w:r>
              <w:rPr>
                <w:spacing w:val="-4"/>
                <w:sz w:val="14"/>
              </w:rPr>
              <w:t> </w:t>
            </w:r>
            <w:r>
              <w:rPr>
                <w:sz w:val="14"/>
              </w:rPr>
              <w:t>fee</w:t>
            </w:r>
            <w:r>
              <w:rPr>
                <w:spacing w:val="-4"/>
                <w:sz w:val="14"/>
              </w:rPr>
              <w:t> </w:t>
            </w:r>
            <w:r>
              <w:rPr>
                <w:sz w:val="14"/>
              </w:rPr>
              <w:t>Maroondah</w:t>
            </w:r>
            <w:r>
              <w:rPr>
                <w:spacing w:val="-2"/>
                <w:sz w:val="14"/>
              </w:rPr>
              <w:t> </w:t>
            </w:r>
            <w:r>
              <w:rPr>
                <w:spacing w:val="-4"/>
                <w:sz w:val="14"/>
              </w:rPr>
              <w:t>Nets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65.25</w:t>
            </w:r>
          </w:p>
        </w:tc>
        <w:tc>
          <w:tcPr>
            <w:tcW w:w="995" w:type="dxa"/>
          </w:tcPr>
          <w:p>
            <w:pPr>
              <w:pStyle w:val="TableParagraph"/>
              <w:spacing w:line="140" w:lineRule="exact" w:before="17"/>
              <w:ind w:right="101"/>
              <w:jc w:val="right"/>
              <w:rPr>
                <w:sz w:val="14"/>
              </w:rPr>
            </w:pPr>
            <w:r>
              <w:rPr>
                <w:spacing w:val="-2"/>
                <w:sz w:val="14"/>
              </w:rPr>
              <w:t>69.20</w:t>
            </w:r>
          </w:p>
        </w:tc>
        <w:tc>
          <w:tcPr>
            <w:tcW w:w="861" w:type="dxa"/>
          </w:tcPr>
          <w:p>
            <w:pPr>
              <w:pStyle w:val="TableParagraph"/>
              <w:spacing w:line="140" w:lineRule="exact" w:before="17"/>
              <w:ind w:left="327"/>
              <w:rPr>
                <w:sz w:val="14"/>
              </w:rPr>
            </w:pPr>
            <w:r>
              <w:rPr>
                <w:spacing w:val="-5"/>
                <w:sz w:val="14"/>
              </w:rPr>
              <w:t>5.7</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3"/>
                <w:sz w:val="14"/>
              </w:rPr>
              <w:t> </w:t>
            </w:r>
            <w:r>
              <w:rPr>
                <w:b/>
                <w:sz w:val="14"/>
              </w:rPr>
              <w:t>Nets</w:t>
            </w:r>
            <w:r>
              <w:rPr>
                <w:b/>
                <w:spacing w:val="-6"/>
                <w:sz w:val="14"/>
              </w:rPr>
              <w:t> </w:t>
            </w:r>
            <w:r>
              <w:rPr>
                <w:b/>
                <w:sz w:val="14"/>
              </w:rPr>
              <w:t>School</w:t>
            </w:r>
            <w:r>
              <w:rPr>
                <w:b/>
                <w:spacing w:val="-5"/>
                <w:sz w:val="14"/>
              </w:rPr>
              <w:t> </w:t>
            </w:r>
            <w:r>
              <w:rPr>
                <w:b/>
                <w:sz w:val="14"/>
              </w:rPr>
              <w:t>Court</w:t>
            </w:r>
            <w:r>
              <w:rPr>
                <w:b/>
                <w:spacing w:val="-3"/>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Court</w:t>
            </w:r>
            <w:r>
              <w:rPr>
                <w:spacing w:val="-4"/>
                <w:sz w:val="14"/>
              </w:rPr>
              <w:t> </w:t>
            </w:r>
            <w:r>
              <w:rPr>
                <w:sz w:val="14"/>
              </w:rPr>
              <w:t>Hire</w:t>
            </w:r>
            <w:r>
              <w:rPr>
                <w:spacing w:val="-3"/>
                <w:sz w:val="14"/>
              </w:rPr>
              <w:t> </w:t>
            </w:r>
            <w:r>
              <w:rPr>
                <w:sz w:val="14"/>
              </w:rPr>
              <w:t>-</w:t>
            </w:r>
            <w:r>
              <w:rPr>
                <w:spacing w:val="-1"/>
                <w:sz w:val="14"/>
              </w:rPr>
              <w:t> </w:t>
            </w:r>
            <w:r>
              <w:rPr>
                <w:spacing w:val="-2"/>
                <w:sz w:val="14"/>
              </w:rPr>
              <w:t>Schools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50.60</w:t>
            </w:r>
          </w:p>
        </w:tc>
        <w:tc>
          <w:tcPr>
            <w:tcW w:w="995" w:type="dxa"/>
          </w:tcPr>
          <w:p>
            <w:pPr>
              <w:pStyle w:val="TableParagraph"/>
              <w:spacing w:line="140" w:lineRule="exact" w:before="17"/>
              <w:ind w:right="101"/>
              <w:jc w:val="right"/>
              <w:rPr>
                <w:sz w:val="14"/>
              </w:rPr>
            </w:pPr>
            <w:r>
              <w:rPr>
                <w:spacing w:val="-2"/>
                <w:sz w:val="14"/>
              </w:rPr>
              <w:t>52.60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sz w:val="14"/>
              </w:rPr>
            </w:pPr>
            <w:r>
              <w:rPr>
                <w:sz w:val="14"/>
              </w:rPr>
              <w:t>Per</w:t>
            </w:r>
            <w:r>
              <w:rPr>
                <w:spacing w:val="-6"/>
                <w:sz w:val="14"/>
              </w:rPr>
              <w:t> </w:t>
            </w:r>
            <w:r>
              <w:rPr>
                <w:sz w:val="14"/>
              </w:rPr>
              <w:t>outdoor</w:t>
            </w:r>
            <w:r>
              <w:rPr>
                <w:spacing w:val="-3"/>
                <w:sz w:val="14"/>
              </w:rPr>
              <w:t> </w:t>
            </w:r>
            <w:r>
              <w:rPr>
                <w:sz w:val="14"/>
              </w:rPr>
              <w:t>netball</w:t>
            </w:r>
            <w:r>
              <w:rPr>
                <w:spacing w:val="-5"/>
                <w:sz w:val="14"/>
              </w:rPr>
              <w:t> </w:t>
            </w:r>
            <w:r>
              <w:rPr>
                <w:spacing w:val="-2"/>
                <w:sz w:val="14"/>
              </w:rPr>
              <w:t>court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16.20</w:t>
            </w:r>
          </w:p>
        </w:tc>
        <w:tc>
          <w:tcPr>
            <w:tcW w:w="995" w:type="dxa"/>
          </w:tcPr>
          <w:p>
            <w:pPr>
              <w:pStyle w:val="TableParagraph"/>
              <w:spacing w:line="140" w:lineRule="exact" w:before="17"/>
              <w:ind w:right="101"/>
              <w:jc w:val="right"/>
              <w:rPr>
                <w:sz w:val="14"/>
              </w:rPr>
            </w:pPr>
            <w:r>
              <w:rPr>
                <w:spacing w:val="-2"/>
                <w:sz w:val="14"/>
              </w:rPr>
              <w:t>16.80</w:t>
            </w:r>
          </w:p>
        </w:tc>
        <w:tc>
          <w:tcPr>
            <w:tcW w:w="861" w:type="dxa"/>
          </w:tcPr>
          <w:p>
            <w:pPr>
              <w:pStyle w:val="TableParagraph"/>
              <w:spacing w:line="140" w:lineRule="exact" w:before="17"/>
              <w:ind w:left="327"/>
              <w:rPr>
                <w:sz w:val="14"/>
              </w:rPr>
            </w:pPr>
            <w:r>
              <w:rPr>
                <w:spacing w:val="-5"/>
                <w:sz w:val="14"/>
              </w:rPr>
              <w:t>3.6</w:t>
            </w:r>
          </w:p>
        </w:tc>
      </w:tr>
      <w:tr>
        <w:trPr>
          <w:trHeight w:val="177" w:hRule="atLeast"/>
        </w:trPr>
        <w:tc>
          <w:tcPr>
            <w:tcW w:w="5794" w:type="dxa"/>
          </w:tcPr>
          <w:p>
            <w:pPr>
              <w:pStyle w:val="TableParagraph"/>
              <w:spacing w:line="140" w:lineRule="exact" w:before="17"/>
              <w:ind w:left="107"/>
              <w:rPr>
                <w:sz w:val="14"/>
              </w:rPr>
            </w:pPr>
            <w:r>
              <w:rPr>
                <w:sz w:val="14"/>
              </w:rPr>
              <w:t>Per</w:t>
            </w:r>
            <w:r>
              <w:rPr>
                <w:spacing w:val="-6"/>
                <w:sz w:val="14"/>
              </w:rPr>
              <w:t> </w:t>
            </w:r>
            <w:r>
              <w:rPr>
                <w:sz w:val="14"/>
              </w:rPr>
              <w:t>volleyball</w:t>
            </w:r>
            <w:r>
              <w:rPr>
                <w:spacing w:val="-4"/>
                <w:sz w:val="14"/>
              </w:rPr>
              <w:t> </w:t>
            </w:r>
            <w:r>
              <w:rPr>
                <w:spacing w:val="-2"/>
                <w:sz w:val="14"/>
              </w:rPr>
              <w:t>court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37.20</w:t>
            </w:r>
          </w:p>
        </w:tc>
        <w:tc>
          <w:tcPr>
            <w:tcW w:w="995" w:type="dxa"/>
          </w:tcPr>
          <w:p>
            <w:pPr>
              <w:pStyle w:val="TableParagraph"/>
              <w:spacing w:line="140" w:lineRule="exact" w:before="17"/>
              <w:ind w:right="101"/>
              <w:jc w:val="right"/>
              <w:rPr>
                <w:sz w:val="14"/>
              </w:rPr>
            </w:pPr>
            <w:r>
              <w:rPr>
                <w:spacing w:val="-2"/>
                <w:sz w:val="14"/>
              </w:rPr>
              <w:t>38.80</w:t>
            </w:r>
          </w:p>
        </w:tc>
        <w:tc>
          <w:tcPr>
            <w:tcW w:w="861" w:type="dxa"/>
          </w:tcPr>
          <w:p>
            <w:pPr>
              <w:pStyle w:val="TableParagraph"/>
              <w:spacing w:line="140" w:lineRule="exact" w:before="17"/>
              <w:ind w:left="327"/>
              <w:rPr>
                <w:sz w:val="14"/>
              </w:rPr>
            </w:pPr>
            <w:r>
              <w:rPr>
                <w:spacing w:val="-5"/>
                <w:sz w:val="14"/>
              </w:rPr>
              <w:t>4.1</w:t>
            </w:r>
          </w:p>
        </w:tc>
      </w:tr>
      <w:tr>
        <w:trPr>
          <w:trHeight w:val="177" w:hRule="atLeast"/>
        </w:trPr>
        <w:tc>
          <w:tcPr>
            <w:tcW w:w="5794" w:type="dxa"/>
          </w:tcPr>
          <w:p>
            <w:pPr>
              <w:pStyle w:val="TableParagraph"/>
              <w:spacing w:line="140" w:lineRule="exact" w:before="17"/>
              <w:ind w:left="107"/>
              <w:rPr>
                <w:sz w:val="14"/>
              </w:rPr>
            </w:pPr>
            <w:r>
              <w:rPr>
                <w:sz w:val="14"/>
              </w:rPr>
              <w:t>Per</w:t>
            </w:r>
            <w:r>
              <w:rPr>
                <w:spacing w:val="-5"/>
                <w:sz w:val="14"/>
              </w:rPr>
              <w:t> </w:t>
            </w:r>
            <w:r>
              <w:rPr>
                <w:sz w:val="14"/>
              </w:rPr>
              <w:t>table</w:t>
            </w:r>
            <w:r>
              <w:rPr>
                <w:spacing w:val="-3"/>
                <w:sz w:val="14"/>
              </w:rPr>
              <w:t> </w:t>
            </w:r>
            <w:r>
              <w:rPr>
                <w:sz w:val="14"/>
              </w:rPr>
              <w:t>tennis</w:t>
            </w:r>
            <w:r>
              <w:rPr>
                <w:spacing w:val="-1"/>
                <w:sz w:val="14"/>
              </w:rPr>
              <w:t> </w:t>
            </w:r>
            <w:r>
              <w:rPr>
                <w:spacing w:val="-2"/>
                <w:sz w:val="14"/>
              </w:rPr>
              <w:t>court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18.20</w:t>
            </w:r>
          </w:p>
        </w:tc>
        <w:tc>
          <w:tcPr>
            <w:tcW w:w="995" w:type="dxa"/>
          </w:tcPr>
          <w:p>
            <w:pPr>
              <w:pStyle w:val="TableParagraph"/>
              <w:spacing w:line="140" w:lineRule="exact" w:before="17"/>
              <w:ind w:right="101"/>
              <w:jc w:val="right"/>
              <w:rPr>
                <w:sz w:val="14"/>
              </w:rPr>
            </w:pPr>
            <w:r>
              <w:rPr>
                <w:spacing w:val="-2"/>
                <w:sz w:val="14"/>
              </w:rPr>
              <w:t>19.00</w:t>
            </w:r>
          </w:p>
        </w:tc>
        <w:tc>
          <w:tcPr>
            <w:tcW w:w="861" w:type="dxa"/>
          </w:tcPr>
          <w:p>
            <w:pPr>
              <w:pStyle w:val="TableParagraph"/>
              <w:spacing w:line="140" w:lineRule="exact" w:before="17"/>
              <w:ind w:left="327"/>
              <w:rPr>
                <w:sz w:val="14"/>
              </w:rPr>
            </w:pPr>
            <w:r>
              <w:rPr>
                <w:spacing w:val="-5"/>
                <w:sz w:val="14"/>
              </w:rPr>
              <w:t>4.2</w:t>
            </w:r>
          </w:p>
        </w:tc>
      </w:tr>
      <w:tr>
        <w:trPr>
          <w:trHeight w:val="177" w:hRule="atLeast"/>
        </w:trPr>
        <w:tc>
          <w:tcPr>
            <w:tcW w:w="5794" w:type="dxa"/>
          </w:tcPr>
          <w:p>
            <w:pPr>
              <w:pStyle w:val="TableParagraph"/>
              <w:spacing w:line="140" w:lineRule="exact" w:before="17"/>
              <w:ind w:left="107"/>
              <w:rPr>
                <w:sz w:val="14"/>
              </w:rPr>
            </w:pPr>
            <w:r>
              <w:rPr>
                <w:sz w:val="14"/>
              </w:rPr>
              <w:t>Per</w:t>
            </w:r>
            <w:r>
              <w:rPr>
                <w:spacing w:val="-6"/>
                <w:sz w:val="14"/>
              </w:rPr>
              <w:t> </w:t>
            </w:r>
            <w:r>
              <w:rPr>
                <w:sz w:val="14"/>
              </w:rPr>
              <w:t>badminton</w:t>
            </w:r>
            <w:r>
              <w:rPr>
                <w:spacing w:val="-4"/>
                <w:sz w:val="14"/>
              </w:rPr>
              <w:t> </w:t>
            </w:r>
            <w:r>
              <w:rPr>
                <w:spacing w:val="-2"/>
                <w:sz w:val="14"/>
              </w:rPr>
              <w:t>court</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19.80</w:t>
            </w:r>
          </w:p>
        </w:tc>
        <w:tc>
          <w:tcPr>
            <w:tcW w:w="995" w:type="dxa"/>
          </w:tcPr>
          <w:p>
            <w:pPr>
              <w:pStyle w:val="TableParagraph"/>
              <w:spacing w:line="140" w:lineRule="exact" w:before="17"/>
              <w:ind w:right="101"/>
              <w:jc w:val="right"/>
              <w:rPr>
                <w:sz w:val="14"/>
              </w:rPr>
            </w:pPr>
            <w:r>
              <w:rPr>
                <w:spacing w:val="-2"/>
                <w:sz w:val="14"/>
              </w:rPr>
              <w:t>20.60</w:t>
            </w:r>
          </w:p>
        </w:tc>
        <w:tc>
          <w:tcPr>
            <w:tcW w:w="861" w:type="dxa"/>
          </w:tcPr>
          <w:p>
            <w:pPr>
              <w:pStyle w:val="TableParagraph"/>
              <w:spacing w:line="140" w:lineRule="exact" w:before="17"/>
              <w:ind w:left="327"/>
              <w:rPr>
                <w:sz w:val="14"/>
              </w:rPr>
            </w:pPr>
            <w:r>
              <w:rPr>
                <w:spacing w:val="-5"/>
                <w:sz w:val="14"/>
              </w:rPr>
              <w:t>3.9</w:t>
            </w:r>
          </w:p>
        </w:tc>
      </w:tr>
      <w:tr>
        <w:trPr>
          <w:trHeight w:val="177" w:hRule="atLeast"/>
        </w:trPr>
        <w:tc>
          <w:tcPr>
            <w:tcW w:w="5794" w:type="dxa"/>
          </w:tcPr>
          <w:p>
            <w:pPr>
              <w:pStyle w:val="TableParagraph"/>
              <w:spacing w:line="142" w:lineRule="exact" w:before="15"/>
              <w:ind w:left="107"/>
              <w:rPr>
                <w:sz w:val="14"/>
              </w:rPr>
            </w:pPr>
            <w:r>
              <w:rPr>
                <w:sz w:val="14"/>
              </w:rPr>
              <w:t>Per</w:t>
            </w:r>
            <w:r>
              <w:rPr>
                <w:spacing w:val="-5"/>
                <w:sz w:val="14"/>
              </w:rPr>
              <w:t> </w:t>
            </w:r>
            <w:r>
              <w:rPr>
                <w:sz w:val="14"/>
              </w:rPr>
              <w:t>pickleball</w:t>
            </w:r>
            <w:r>
              <w:rPr>
                <w:spacing w:val="-5"/>
                <w:sz w:val="14"/>
              </w:rPr>
              <w:t> </w:t>
            </w:r>
            <w:r>
              <w:rPr>
                <w:spacing w:val="-2"/>
                <w:sz w:val="14"/>
              </w:rPr>
              <w:t>court</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1"/>
              <w:jc w:val="right"/>
              <w:rPr>
                <w:sz w:val="14"/>
              </w:rPr>
            </w:pPr>
            <w:r>
              <w:rPr>
                <w:spacing w:val="-2"/>
                <w:sz w:val="14"/>
              </w:rPr>
              <w:t>19.80</w:t>
            </w:r>
          </w:p>
        </w:tc>
        <w:tc>
          <w:tcPr>
            <w:tcW w:w="995" w:type="dxa"/>
          </w:tcPr>
          <w:p>
            <w:pPr>
              <w:pStyle w:val="TableParagraph"/>
              <w:spacing w:line="142" w:lineRule="exact" w:before="15"/>
              <w:ind w:right="101"/>
              <w:jc w:val="right"/>
              <w:rPr>
                <w:sz w:val="14"/>
              </w:rPr>
            </w:pPr>
            <w:r>
              <w:rPr>
                <w:spacing w:val="-2"/>
                <w:sz w:val="14"/>
              </w:rPr>
              <w:t>20.60</w:t>
            </w:r>
          </w:p>
        </w:tc>
        <w:tc>
          <w:tcPr>
            <w:tcW w:w="861" w:type="dxa"/>
          </w:tcPr>
          <w:p>
            <w:pPr>
              <w:pStyle w:val="TableParagraph"/>
              <w:spacing w:line="142" w:lineRule="exact" w:before="15"/>
              <w:ind w:left="326"/>
              <w:rPr>
                <w:sz w:val="14"/>
              </w:rPr>
            </w:pPr>
            <w:r>
              <w:rPr>
                <w:spacing w:val="-5"/>
                <w:sz w:val="14"/>
              </w:rPr>
              <w:t>3.9</w:t>
            </w:r>
          </w:p>
        </w:tc>
      </w:tr>
      <w:tr>
        <w:trPr>
          <w:trHeight w:val="174" w:hRule="atLeast"/>
        </w:trPr>
        <w:tc>
          <w:tcPr>
            <w:tcW w:w="5794" w:type="dxa"/>
          </w:tcPr>
          <w:p>
            <w:pPr>
              <w:pStyle w:val="TableParagraph"/>
              <w:spacing w:line="140" w:lineRule="exact" w:before="15"/>
              <w:ind w:left="107"/>
              <w:rPr>
                <w:b/>
                <w:sz w:val="14"/>
              </w:rPr>
            </w:pPr>
            <w:r>
              <w:rPr>
                <w:b/>
                <w:sz w:val="14"/>
              </w:rPr>
              <w:t>Maroondah</w:t>
            </w:r>
            <w:r>
              <w:rPr>
                <w:b/>
                <w:spacing w:val="-4"/>
                <w:sz w:val="14"/>
              </w:rPr>
              <w:t> </w:t>
            </w:r>
            <w:r>
              <w:rPr>
                <w:b/>
                <w:sz w:val="14"/>
              </w:rPr>
              <w:t>Nets</w:t>
            </w:r>
            <w:r>
              <w:rPr>
                <w:b/>
                <w:spacing w:val="-5"/>
                <w:sz w:val="14"/>
              </w:rPr>
              <w:t> </w:t>
            </w:r>
            <w:r>
              <w:rPr>
                <w:b/>
                <w:sz w:val="14"/>
              </w:rPr>
              <w:t>General</w:t>
            </w:r>
            <w:r>
              <w:rPr>
                <w:b/>
                <w:spacing w:val="-4"/>
                <w:sz w:val="14"/>
              </w:rPr>
              <w:t> </w:t>
            </w:r>
            <w:r>
              <w:rPr>
                <w:b/>
                <w:sz w:val="14"/>
              </w:rPr>
              <w:t>Court</w:t>
            </w:r>
            <w:r>
              <w:rPr>
                <w:b/>
                <w:spacing w:val="-4"/>
                <w:sz w:val="14"/>
              </w:rPr>
              <w:t> 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Off</w:t>
            </w:r>
            <w:r>
              <w:rPr>
                <w:spacing w:val="-3"/>
                <w:sz w:val="14"/>
              </w:rPr>
              <w:t> </w:t>
            </w:r>
            <w:r>
              <w:rPr>
                <w:sz w:val="14"/>
              </w:rPr>
              <w:t>Peak</w:t>
            </w:r>
            <w:r>
              <w:rPr>
                <w:spacing w:val="-3"/>
                <w:sz w:val="14"/>
              </w:rPr>
              <w:t> </w:t>
            </w:r>
            <w:r>
              <w:rPr>
                <w:spacing w:val="-2"/>
                <w:sz w:val="14"/>
              </w:rPr>
              <w:t>Badminton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19.00</w:t>
            </w:r>
          </w:p>
        </w:tc>
        <w:tc>
          <w:tcPr>
            <w:tcW w:w="995" w:type="dxa"/>
          </w:tcPr>
          <w:p>
            <w:pPr>
              <w:pStyle w:val="TableParagraph"/>
              <w:spacing w:line="140" w:lineRule="exact" w:before="17"/>
              <w:ind w:right="101"/>
              <w:jc w:val="right"/>
              <w:rPr>
                <w:sz w:val="14"/>
              </w:rPr>
            </w:pPr>
            <w:r>
              <w:rPr>
                <w:spacing w:val="-2"/>
                <w:sz w:val="14"/>
              </w:rPr>
              <w:t>19.80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Off</w:t>
            </w:r>
            <w:r>
              <w:rPr>
                <w:spacing w:val="-3"/>
                <w:sz w:val="14"/>
              </w:rPr>
              <w:t> </w:t>
            </w:r>
            <w:r>
              <w:rPr>
                <w:sz w:val="14"/>
              </w:rPr>
              <w:t>Peak</w:t>
            </w:r>
            <w:r>
              <w:rPr>
                <w:spacing w:val="-4"/>
                <w:sz w:val="14"/>
              </w:rPr>
              <w:t> </w:t>
            </w:r>
            <w:r>
              <w:rPr>
                <w:sz w:val="14"/>
              </w:rPr>
              <w:t>Netball</w:t>
            </w:r>
            <w:r>
              <w:rPr>
                <w:spacing w:val="-3"/>
                <w:sz w:val="14"/>
              </w:rPr>
              <w:t> </w:t>
            </w:r>
            <w:r>
              <w:rPr>
                <w:spacing w:val="-2"/>
                <w:sz w:val="14"/>
              </w:rPr>
              <w:t>Indoor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48.60</w:t>
            </w:r>
          </w:p>
        </w:tc>
        <w:tc>
          <w:tcPr>
            <w:tcW w:w="995" w:type="dxa"/>
          </w:tcPr>
          <w:p>
            <w:pPr>
              <w:pStyle w:val="TableParagraph"/>
              <w:spacing w:line="140" w:lineRule="exact" w:before="17"/>
              <w:ind w:right="101"/>
              <w:jc w:val="right"/>
              <w:rPr>
                <w:sz w:val="14"/>
              </w:rPr>
            </w:pPr>
            <w:r>
              <w:rPr>
                <w:spacing w:val="-2"/>
                <w:sz w:val="14"/>
              </w:rPr>
              <w:t>50.60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Off</w:t>
            </w:r>
            <w:r>
              <w:rPr>
                <w:spacing w:val="-4"/>
                <w:sz w:val="14"/>
              </w:rPr>
              <w:t> </w:t>
            </w:r>
            <w:r>
              <w:rPr>
                <w:sz w:val="14"/>
              </w:rPr>
              <w:t>Peak</w:t>
            </w:r>
            <w:r>
              <w:rPr>
                <w:spacing w:val="-4"/>
                <w:sz w:val="14"/>
              </w:rPr>
              <w:t> </w:t>
            </w:r>
            <w:r>
              <w:rPr>
                <w:sz w:val="14"/>
              </w:rPr>
              <w:t>Netball</w:t>
            </w:r>
            <w:r>
              <w:rPr>
                <w:spacing w:val="-3"/>
                <w:sz w:val="14"/>
              </w:rPr>
              <w:t> </w:t>
            </w:r>
            <w:r>
              <w:rPr>
                <w:spacing w:val="-2"/>
                <w:sz w:val="14"/>
              </w:rPr>
              <w:t>Outdoor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15.60</w:t>
            </w:r>
          </w:p>
        </w:tc>
        <w:tc>
          <w:tcPr>
            <w:tcW w:w="995" w:type="dxa"/>
          </w:tcPr>
          <w:p>
            <w:pPr>
              <w:pStyle w:val="TableParagraph"/>
              <w:spacing w:line="140" w:lineRule="exact" w:before="17"/>
              <w:ind w:right="101"/>
              <w:jc w:val="right"/>
              <w:rPr>
                <w:sz w:val="14"/>
              </w:rPr>
            </w:pPr>
            <w:r>
              <w:rPr>
                <w:spacing w:val="-2"/>
                <w:sz w:val="14"/>
              </w:rPr>
              <w:t>16.20</w:t>
            </w:r>
          </w:p>
        </w:tc>
        <w:tc>
          <w:tcPr>
            <w:tcW w:w="861" w:type="dxa"/>
          </w:tcPr>
          <w:p>
            <w:pPr>
              <w:pStyle w:val="TableParagraph"/>
              <w:spacing w:line="140" w:lineRule="exact" w:before="17"/>
              <w:ind w:left="327"/>
              <w:rPr>
                <w:sz w:val="14"/>
              </w:rPr>
            </w:pPr>
            <w:r>
              <w:rPr>
                <w:spacing w:val="-5"/>
                <w:sz w:val="14"/>
              </w:rPr>
              <w:t>3.7</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Off</w:t>
            </w:r>
            <w:r>
              <w:rPr>
                <w:spacing w:val="-3"/>
                <w:sz w:val="14"/>
              </w:rPr>
              <w:t> </w:t>
            </w:r>
            <w:r>
              <w:rPr>
                <w:sz w:val="14"/>
              </w:rPr>
              <w:t>Peak</w:t>
            </w:r>
            <w:r>
              <w:rPr>
                <w:spacing w:val="-3"/>
                <w:sz w:val="14"/>
              </w:rPr>
              <w:t> </w:t>
            </w:r>
            <w:r>
              <w:rPr>
                <w:sz w:val="14"/>
              </w:rPr>
              <w:t>Table</w:t>
            </w:r>
            <w:r>
              <w:rPr>
                <w:spacing w:val="-4"/>
                <w:sz w:val="14"/>
              </w:rPr>
              <w:t> </w:t>
            </w:r>
            <w:r>
              <w:rPr>
                <w:spacing w:val="-2"/>
                <w:sz w:val="14"/>
              </w:rPr>
              <w:t>Tennis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17.40</w:t>
            </w:r>
          </w:p>
        </w:tc>
        <w:tc>
          <w:tcPr>
            <w:tcW w:w="995" w:type="dxa"/>
          </w:tcPr>
          <w:p>
            <w:pPr>
              <w:pStyle w:val="TableParagraph"/>
              <w:spacing w:line="140" w:lineRule="exact" w:before="17"/>
              <w:ind w:right="101"/>
              <w:jc w:val="right"/>
              <w:rPr>
                <w:sz w:val="14"/>
              </w:rPr>
            </w:pPr>
            <w:r>
              <w:rPr>
                <w:spacing w:val="-2"/>
                <w:sz w:val="14"/>
              </w:rPr>
              <w:t>18.20</w:t>
            </w:r>
          </w:p>
        </w:tc>
        <w:tc>
          <w:tcPr>
            <w:tcW w:w="861" w:type="dxa"/>
          </w:tcPr>
          <w:p>
            <w:pPr>
              <w:pStyle w:val="TableParagraph"/>
              <w:spacing w:line="140" w:lineRule="exact" w:before="17"/>
              <w:ind w:left="327"/>
              <w:rPr>
                <w:sz w:val="14"/>
              </w:rPr>
            </w:pPr>
            <w:r>
              <w:rPr>
                <w:spacing w:val="-5"/>
                <w:sz w:val="14"/>
              </w:rPr>
              <w:t>4.4</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Off</w:t>
            </w:r>
            <w:r>
              <w:rPr>
                <w:spacing w:val="-3"/>
                <w:sz w:val="14"/>
              </w:rPr>
              <w:t> </w:t>
            </w:r>
            <w:r>
              <w:rPr>
                <w:sz w:val="14"/>
              </w:rPr>
              <w:t>Peak</w:t>
            </w:r>
            <w:r>
              <w:rPr>
                <w:spacing w:val="-3"/>
                <w:sz w:val="14"/>
              </w:rPr>
              <w:t> </w:t>
            </w:r>
            <w:r>
              <w:rPr>
                <w:spacing w:val="-2"/>
                <w:sz w:val="14"/>
              </w:rPr>
              <w:t>Volleyball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35.80</w:t>
            </w:r>
          </w:p>
        </w:tc>
        <w:tc>
          <w:tcPr>
            <w:tcW w:w="995" w:type="dxa"/>
          </w:tcPr>
          <w:p>
            <w:pPr>
              <w:pStyle w:val="TableParagraph"/>
              <w:spacing w:line="140" w:lineRule="exact" w:before="17"/>
              <w:ind w:right="101"/>
              <w:jc w:val="right"/>
              <w:rPr>
                <w:sz w:val="14"/>
              </w:rPr>
            </w:pPr>
            <w:r>
              <w:rPr>
                <w:spacing w:val="-2"/>
                <w:sz w:val="14"/>
              </w:rPr>
              <w:t>37.20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Peak</w:t>
            </w:r>
            <w:r>
              <w:rPr>
                <w:spacing w:val="-4"/>
                <w:sz w:val="14"/>
              </w:rPr>
              <w:t> </w:t>
            </w:r>
            <w:r>
              <w:rPr>
                <w:spacing w:val="-2"/>
                <w:sz w:val="14"/>
              </w:rPr>
              <w:t>Badminton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23.80</w:t>
            </w:r>
          </w:p>
        </w:tc>
        <w:tc>
          <w:tcPr>
            <w:tcW w:w="995" w:type="dxa"/>
          </w:tcPr>
          <w:p>
            <w:pPr>
              <w:pStyle w:val="TableParagraph"/>
              <w:spacing w:line="140" w:lineRule="exact" w:before="17"/>
              <w:ind w:right="101"/>
              <w:jc w:val="right"/>
              <w:rPr>
                <w:sz w:val="14"/>
              </w:rPr>
            </w:pPr>
            <w:r>
              <w:rPr>
                <w:spacing w:val="-2"/>
                <w:sz w:val="14"/>
              </w:rPr>
              <w:t>24.80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Peak</w:t>
            </w:r>
            <w:r>
              <w:rPr>
                <w:spacing w:val="-5"/>
                <w:sz w:val="14"/>
              </w:rPr>
              <w:t> </w:t>
            </w:r>
            <w:r>
              <w:rPr>
                <w:sz w:val="14"/>
              </w:rPr>
              <w:t>Netball</w:t>
            </w:r>
            <w:r>
              <w:rPr>
                <w:spacing w:val="-3"/>
                <w:sz w:val="14"/>
              </w:rPr>
              <w:t> </w:t>
            </w:r>
            <w:r>
              <w:rPr>
                <w:spacing w:val="-2"/>
                <w:sz w:val="14"/>
              </w:rPr>
              <w:t>Indoor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66.80</w:t>
            </w:r>
          </w:p>
        </w:tc>
        <w:tc>
          <w:tcPr>
            <w:tcW w:w="995" w:type="dxa"/>
          </w:tcPr>
          <w:p>
            <w:pPr>
              <w:pStyle w:val="TableParagraph"/>
              <w:spacing w:line="140" w:lineRule="exact" w:before="17"/>
              <w:ind w:right="101"/>
              <w:jc w:val="right"/>
              <w:rPr>
                <w:sz w:val="14"/>
              </w:rPr>
            </w:pPr>
            <w:r>
              <w:rPr>
                <w:spacing w:val="-2"/>
                <w:sz w:val="14"/>
              </w:rPr>
              <w:t>69.60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Peak</w:t>
            </w:r>
            <w:r>
              <w:rPr>
                <w:spacing w:val="-5"/>
                <w:sz w:val="14"/>
              </w:rPr>
              <w:t> </w:t>
            </w:r>
            <w:r>
              <w:rPr>
                <w:sz w:val="14"/>
              </w:rPr>
              <w:t>Netball</w:t>
            </w:r>
            <w:r>
              <w:rPr>
                <w:spacing w:val="-3"/>
                <w:sz w:val="14"/>
              </w:rPr>
              <w:t> </w:t>
            </w:r>
            <w:r>
              <w:rPr>
                <w:spacing w:val="-2"/>
                <w:sz w:val="14"/>
              </w:rPr>
              <w:t>Outdoor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19.00</w:t>
            </w:r>
          </w:p>
        </w:tc>
        <w:tc>
          <w:tcPr>
            <w:tcW w:w="995" w:type="dxa"/>
          </w:tcPr>
          <w:p>
            <w:pPr>
              <w:pStyle w:val="TableParagraph"/>
              <w:spacing w:line="140" w:lineRule="exact" w:before="17"/>
              <w:ind w:right="101"/>
              <w:jc w:val="right"/>
              <w:rPr>
                <w:sz w:val="14"/>
              </w:rPr>
            </w:pPr>
            <w:r>
              <w:rPr>
                <w:spacing w:val="-2"/>
                <w:sz w:val="14"/>
              </w:rPr>
              <w:t>19.80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Peak</w:t>
            </w:r>
            <w:r>
              <w:rPr>
                <w:spacing w:val="-4"/>
                <w:sz w:val="14"/>
              </w:rPr>
              <w:t> </w:t>
            </w:r>
            <w:r>
              <w:rPr>
                <w:sz w:val="14"/>
              </w:rPr>
              <w:t>Table</w:t>
            </w:r>
            <w:r>
              <w:rPr>
                <w:spacing w:val="-4"/>
                <w:sz w:val="14"/>
              </w:rPr>
              <w:t> </w:t>
            </w:r>
            <w:r>
              <w:rPr>
                <w:spacing w:val="-2"/>
                <w:sz w:val="14"/>
              </w:rPr>
              <w:t>Tennis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19.00</w:t>
            </w:r>
          </w:p>
        </w:tc>
        <w:tc>
          <w:tcPr>
            <w:tcW w:w="995" w:type="dxa"/>
          </w:tcPr>
          <w:p>
            <w:pPr>
              <w:pStyle w:val="TableParagraph"/>
              <w:spacing w:line="140" w:lineRule="exact" w:before="17"/>
              <w:ind w:right="101"/>
              <w:jc w:val="right"/>
              <w:rPr>
                <w:sz w:val="14"/>
              </w:rPr>
            </w:pPr>
            <w:r>
              <w:rPr>
                <w:spacing w:val="-2"/>
                <w:sz w:val="14"/>
              </w:rPr>
              <w:t>23.20</w:t>
            </w:r>
          </w:p>
        </w:tc>
        <w:tc>
          <w:tcPr>
            <w:tcW w:w="861" w:type="dxa"/>
          </w:tcPr>
          <w:p>
            <w:pPr>
              <w:pStyle w:val="TableParagraph"/>
              <w:spacing w:line="140" w:lineRule="exact" w:before="17"/>
              <w:ind w:left="288"/>
              <w:rPr>
                <w:sz w:val="14"/>
              </w:rPr>
            </w:pPr>
            <w:r>
              <w:rPr>
                <w:spacing w:val="-4"/>
                <w:sz w:val="14"/>
              </w:rPr>
              <w:t>18.1</w:t>
            </w:r>
          </w:p>
        </w:tc>
      </w:tr>
      <w:tr>
        <w:trPr>
          <w:trHeight w:val="177" w:hRule="atLeast"/>
        </w:trPr>
        <w:tc>
          <w:tcPr>
            <w:tcW w:w="5794" w:type="dxa"/>
          </w:tcPr>
          <w:p>
            <w:pPr>
              <w:pStyle w:val="TableParagraph"/>
              <w:spacing w:line="140" w:lineRule="exact" w:before="17"/>
              <w:ind w:left="107"/>
              <w:rPr>
                <w:sz w:val="14"/>
              </w:rPr>
            </w:pPr>
            <w:r>
              <w:rPr>
                <w:sz w:val="14"/>
              </w:rPr>
              <w:t>Fee</w:t>
            </w:r>
            <w:r>
              <w:rPr>
                <w:spacing w:val="-5"/>
                <w:sz w:val="14"/>
              </w:rPr>
              <w:t> </w:t>
            </w:r>
            <w:r>
              <w:rPr>
                <w:sz w:val="14"/>
              </w:rPr>
              <w:t>Peak</w:t>
            </w:r>
            <w:r>
              <w:rPr>
                <w:spacing w:val="-4"/>
                <w:sz w:val="14"/>
              </w:rPr>
              <w:t> </w:t>
            </w:r>
            <w:r>
              <w:rPr>
                <w:spacing w:val="-2"/>
                <w:sz w:val="14"/>
              </w:rPr>
              <w:t>Volleyball</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44.80</w:t>
            </w:r>
          </w:p>
        </w:tc>
        <w:tc>
          <w:tcPr>
            <w:tcW w:w="995" w:type="dxa"/>
          </w:tcPr>
          <w:p>
            <w:pPr>
              <w:pStyle w:val="TableParagraph"/>
              <w:spacing w:line="140" w:lineRule="exact" w:before="17"/>
              <w:ind w:right="101"/>
              <w:jc w:val="right"/>
              <w:rPr>
                <w:sz w:val="14"/>
              </w:rPr>
            </w:pPr>
            <w:r>
              <w:rPr>
                <w:spacing w:val="-2"/>
                <w:sz w:val="14"/>
              </w:rPr>
              <w:t>46.80</w:t>
            </w:r>
          </w:p>
        </w:tc>
        <w:tc>
          <w:tcPr>
            <w:tcW w:w="861" w:type="dxa"/>
          </w:tcPr>
          <w:p>
            <w:pPr>
              <w:pStyle w:val="TableParagraph"/>
              <w:spacing w:line="140" w:lineRule="exact" w:before="17"/>
              <w:ind w:left="327"/>
              <w:rPr>
                <w:sz w:val="14"/>
              </w:rPr>
            </w:pPr>
            <w:r>
              <w:rPr>
                <w:spacing w:val="-5"/>
                <w:sz w:val="14"/>
              </w:rPr>
              <w:t>4.3</w:t>
            </w:r>
          </w:p>
        </w:tc>
      </w:tr>
      <w:tr>
        <w:trPr>
          <w:trHeight w:val="177" w:hRule="atLeast"/>
        </w:trPr>
        <w:tc>
          <w:tcPr>
            <w:tcW w:w="5794" w:type="dxa"/>
          </w:tcPr>
          <w:p>
            <w:pPr>
              <w:pStyle w:val="TableParagraph"/>
              <w:spacing w:line="142" w:lineRule="exact" w:before="15"/>
              <w:ind w:left="107"/>
              <w:rPr>
                <w:sz w:val="14"/>
              </w:rPr>
            </w:pPr>
            <w:r>
              <w:rPr>
                <w:sz w:val="14"/>
              </w:rPr>
              <w:t>All</w:t>
            </w:r>
            <w:r>
              <w:rPr>
                <w:spacing w:val="-5"/>
                <w:sz w:val="14"/>
              </w:rPr>
              <w:t> </w:t>
            </w:r>
            <w:r>
              <w:rPr>
                <w:sz w:val="14"/>
              </w:rPr>
              <w:t>Abilities</w:t>
            </w:r>
            <w:r>
              <w:rPr>
                <w:spacing w:val="-4"/>
                <w:sz w:val="14"/>
              </w:rPr>
              <w:t> </w:t>
            </w:r>
            <w:r>
              <w:rPr>
                <w:spacing w:val="-2"/>
                <w:sz w:val="14"/>
              </w:rPr>
              <w:t>Program</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4"/>
                <w:sz w:val="14"/>
              </w:rPr>
              <w:t>3.00</w:t>
            </w:r>
          </w:p>
        </w:tc>
        <w:tc>
          <w:tcPr>
            <w:tcW w:w="995" w:type="dxa"/>
          </w:tcPr>
          <w:p>
            <w:pPr>
              <w:pStyle w:val="TableParagraph"/>
              <w:spacing w:line="142" w:lineRule="exact" w:before="15"/>
              <w:ind w:right="101"/>
              <w:jc w:val="right"/>
              <w:rPr>
                <w:sz w:val="14"/>
              </w:rPr>
            </w:pPr>
            <w:r>
              <w:rPr>
                <w:spacing w:val="-4"/>
                <w:sz w:val="14"/>
              </w:rPr>
              <w:t>3.50</w:t>
            </w:r>
          </w:p>
        </w:tc>
        <w:tc>
          <w:tcPr>
            <w:tcW w:w="861" w:type="dxa"/>
          </w:tcPr>
          <w:p>
            <w:pPr>
              <w:pStyle w:val="TableParagraph"/>
              <w:spacing w:line="142" w:lineRule="exact" w:before="15"/>
              <w:ind w:left="289"/>
              <w:rPr>
                <w:sz w:val="14"/>
              </w:rPr>
            </w:pPr>
            <w:r>
              <w:rPr>
                <w:spacing w:val="-4"/>
                <w:sz w:val="14"/>
              </w:rPr>
              <w:t>14.3</w:t>
            </w:r>
          </w:p>
        </w:tc>
      </w:tr>
      <w:tr>
        <w:trPr>
          <w:trHeight w:val="174" w:hRule="atLeast"/>
        </w:trPr>
        <w:tc>
          <w:tcPr>
            <w:tcW w:w="5794" w:type="dxa"/>
          </w:tcPr>
          <w:p>
            <w:pPr>
              <w:pStyle w:val="TableParagraph"/>
              <w:spacing w:line="140" w:lineRule="exact" w:before="15"/>
              <w:ind w:left="107"/>
              <w:rPr>
                <w:sz w:val="14"/>
              </w:rPr>
            </w:pPr>
            <w:r>
              <w:rPr>
                <w:sz w:val="14"/>
              </w:rPr>
              <w:t>Off</w:t>
            </w:r>
            <w:r>
              <w:rPr>
                <w:spacing w:val="-5"/>
                <w:sz w:val="14"/>
              </w:rPr>
              <w:t> </w:t>
            </w:r>
            <w:r>
              <w:rPr>
                <w:sz w:val="14"/>
              </w:rPr>
              <w:t>Peak</w:t>
            </w:r>
            <w:r>
              <w:rPr>
                <w:spacing w:val="-4"/>
                <w:sz w:val="14"/>
              </w:rPr>
              <w:t> </w:t>
            </w:r>
            <w:r>
              <w:rPr>
                <w:sz w:val="14"/>
              </w:rPr>
              <w:t>Pickleball</w:t>
            </w:r>
            <w:r>
              <w:rPr>
                <w:spacing w:val="-4"/>
                <w:sz w:val="14"/>
              </w:rPr>
              <w:t> </w:t>
            </w:r>
            <w:r>
              <w:rPr>
                <w:spacing w:val="-2"/>
                <w:sz w:val="14"/>
              </w:rPr>
              <w:t>Indoor</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2"/>
                <w:sz w:val="14"/>
              </w:rPr>
              <w:t>19.00</w:t>
            </w:r>
          </w:p>
        </w:tc>
        <w:tc>
          <w:tcPr>
            <w:tcW w:w="995" w:type="dxa"/>
          </w:tcPr>
          <w:p>
            <w:pPr>
              <w:pStyle w:val="TableParagraph"/>
              <w:spacing w:line="140" w:lineRule="exact" w:before="15"/>
              <w:ind w:right="101"/>
              <w:jc w:val="right"/>
              <w:rPr>
                <w:sz w:val="14"/>
              </w:rPr>
            </w:pPr>
            <w:r>
              <w:rPr>
                <w:spacing w:val="-2"/>
                <w:sz w:val="14"/>
              </w:rPr>
              <w:t>19.80</w:t>
            </w:r>
          </w:p>
        </w:tc>
        <w:tc>
          <w:tcPr>
            <w:tcW w:w="861" w:type="dxa"/>
          </w:tcPr>
          <w:p>
            <w:pPr>
              <w:pStyle w:val="TableParagraph"/>
              <w:spacing w:line="140" w:lineRule="exact" w:before="15"/>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Off</w:t>
            </w:r>
            <w:r>
              <w:rPr>
                <w:spacing w:val="-5"/>
                <w:sz w:val="14"/>
              </w:rPr>
              <w:t> </w:t>
            </w:r>
            <w:r>
              <w:rPr>
                <w:sz w:val="14"/>
              </w:rPr>
              <w:t>Peak</w:t>
            </w:r>
            <w:r>
              <w:rPr>
                <w:spacing w:val="-4"/>
                <w:sz w:val="14"/>
              </w:rPr>
              <w:t> </w:t>
            </w:r>
            <w:r>
              <w:rPr>
                <w:sz w:val="14"/>
              </w:rPr>
              <w:t>Pickleball</w:t>
            </w:r>
            <w:r>
              <w:rPr>
                <w:spacing w:val="-4"/>
                <w:sz w:val="14"/>
              </w:rPr>
              <w:t> </w:t>
            </w:r>
            <w:r>
              <w:rPr>
                <w:spacing w:val="-2"/>
                <w:sz w:val="14"/>
              </w:rPr>
              <w:t>Outdoor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11.80</w:t>
            </w:r>
          </w:p>
        </w:tc>
        <w:tc>
          <w:tcPr>
            <w:tcW w:w="995" w:type="dxa"/>
          </w:tcPr>
          <w:p>
            <w:pPr>
              <w:pStyle w:val="TableParagraph"/>
              <w:spacing w:line="140" w:lineRule="exact" w:before="17"/>
              <w:ind w:right="101"/>
              <w:jc w:val="right"/>
              <w:rPr>
                <w:sz w:val="14"/>
              </w:rPr>
            </w:pPr>
            <w:r>
              <w:rPr>
                <w:spacing w:val="-2"/>
                <w:sz w:val="14"/>
              </w:rPr>
              <w:t>12.40</w:t>
            </w:r>
          </w:p>
        </w:tc>
        <w:tc>
          <w:tcPr>
            <w:tcW w:w="861" w:type="dxa"/>
          </w:tcPr>
          <w:p>
            <w:pPr>
              <w:pStyle w:val="TableParagraph"/>
              <w:spacing w:line="140" w:lineRule="exact" w:before="17"/>
              <w:ind w:left="327"/>
              <w:rPr>
                <w:sz w:val="14"/>
              </w:rPr>
            </w:pPr>
            <w:r>
              <w:rPr>
                <w:spacing w:val="-5"/>
                <w:sz w:val="14"/>
              </w:rPr>
              <w:t>4.8</w:t>
            </w:r>
          </w:p>
        </w:tc>
      </w:tr>
      <w:tr>
        <w:trPr>
          <w:trHeight w:val="177" w:hRule="atLeast"/>
        </w:trPr>
        <w:tc>
          <w:tcPr>
            <w:tcW w:w="5794" w:type="dxa"/>
          </w:tcPr>
          <w:p>
            <w:pPr>
              <w:pStyle w:val="TableParagraph"/>
              <w:spacing w:line="140" w:lineRule="exact" w:before="17"/>
              <w:ind w:left="107"/>
              <w:rPr>
                <w:sz w:val="14"/>
              </w:rPr>
            </w:pPr>
            <w:r>
              <w:rPr>
                <w:sz w:val="14"/>
              </w:rPr>
              <w:t>Peak</w:t>
            </w:r>
            <w:r>
              <w:rPr>
                <w:spacing w:val="-5"/>
                <w:sz w:val="14"/>
              </w:rPr>
              <w:t> </w:t>
            </w:r>
            <w:r>
              <w:rPr>
                <w:sz w:val="14"/>
              </w:rPr>
              <w:t>Pickleball</w:t>
            </w:r>
            <w:r>
              <w:rPr>
                <w:spacing w:val="-5"/>
                <w:sz w:val="14"/>
              </w:rPr>
              <w:t> </w:t>
            </w:r>
            <w:r>
              <w:rPr>
                <w:spacing w:val="-2"/>
                <w:sz w:val="14"/>
              </w:rPr>
              <w:t>Indoor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23.80</w:t>
            </w:r>
          </w:p>
        </w:tc>
        <w:tc>
          <w:tcPr>
            <w:tcW w:w="995" w:type="dxa"/>
          </w:tcPr>
          <w:p>
            <w:pPr>
              <w:pStyle w:val="TableParagraph"/>
              <w:spacing w:line="140" w:lineRule="exact" w:before="17"/>
              <w:ind w:right="101"/>
              <w:jc w:val="right"/>
              <w:rPr>
                <w:sz w:val="14"/>
              </w:rPr>
            </w:pPr>
            <w:r>
              <w:rPr>
                <w:spacing w:val="-2"/>
                <w:sz w:val="14"/>
              </w:rPr>
              <w:t>24.80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Peak</w:t>
            </w:r>
            <w:r>
              <w:rPr>
                <w:spacing w:val="-5"/>
                <w:sz w:val="14"/>
              </w:rPr>
              <w:t> </w:t>
            </w:r>
            <w:r>
              <w:rPr>
                <w:sz w:val="14"/>
              </w:rPr>
              <w:t>Pickleball</w:t>
            </w:r>
            <w:r>
              <w:rPr>
                <w:spacing w:val="-5"/>
                <w:sz w:val="14"/>
              </w:rPr>
              <w:t> </w:t>
            </w:r>
            <w:r>
              <w:rPr>
                <w:spacing w:val="-2"/>
                <w:sz w:val="14"/>
              </w:rPr>
              <w:t>Outdoor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11.80</w:t>
            </w:r>
          </w:p>
        </w:tc>
        <w:tc>
          <w:tcPr>
            <w:tcW w:w="995" w:type="dxa"/>
          </w:tcPr>
          <w:p>
            <w:pPr>
              <w:pStyle w:val="TableParagraph"/>
              <w:spacing w:line="140" w:lineRule="exact" w:before="17"/>
              <w:ind w:right="101"/>
              <w:jc w:val="right"/>
              <w:rPr>
                <w:sz w:val="14"/>
              </w:rPr>
            </w:pPr>
            <w:r>
              <w:rPr>
                <w:spacing w:val="-2"/>
                <w:sz w:val="14"/>
              </w:rPr>
              <w:t>12.40</w:t>
            </w:r>
          </w:p>
        </w:tc>
        <w:tc>
          <w:tcPr>
            <w:tcW w:w="861" w:type="dxa"/>
          </w:tcPr>
          <w:p>
            <w:pPr>
              <w:pStyle w:val="TableParagraph"/>
              <w:spacing w:line="140" w:lineRule="exact" w:before="17"/>
              <w:ind w:left="327"/>
              <w:rPr>
                <w:sz w:val="14"/>
              </w:rPr>
            </w:pPr>
            <w:r>
              <w:rPr>
                <w:spacing w:val="-5"/>
                <w:sz w:val="14"/>
              </w:rPr>
              <w:t>4.8</w:t>
            </w:r>
          </w:p>
        </w:tc>
      </w:tr>
      <w:tr>
        <w:trPr>
          <w:trHeight w:val="177" w:hRule="atLeast"/>
        </w:trPr>
        <w:tc>
          <w:tcPr>
            <w:tcW w:w="5794" w:type="dxa"/>
          </w:tcPr>
          <w:p>
            <w:pPr>
              <w:pStyle w:val="TableParagraph"/>
              <w:spacing w:line="140" w:lineRule="exact" w:before="17"/>
              <w:ind w:left="107"/>
              <w:rPr>
                <w:sz w:val="14"/>
              </w:rPr>
            </w:pPr>
            <w:r>
              <w:rPr>
                <w:sz w:val="14"/>
              </w:rPr>
              <w:t>Casual</w:t>
            </w:r>
            <w:r>
              <w:rPr>
                <w:spacing w:val="-7"/>
                <w:sz w:val="14"/>
              </w:rPr>
              <w:t> </w:t>
            </w:r>
            <w:r>
              <w:rPr>
                <w:spacing w:val="-2"/>
                <w:sz w:val="14"/>
              </w:rPr>
              <w:t>Shooting</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5.00</w:t>
            </w:r>
          </w:p>
        </w:tc>
        <w:tc>
          <w:tcPr>
            <w:tcW w:w="995" w:type="dxa"/>
          </w:tcPr>
          <w:p>
            <w:pPr>
              <w:pStyle w:val="TableParagraph"/>
              <w:spacing w:line="140" w:lineRule="exact" w:before="17"/>
              <w:ind w:right="101"/>
              <w:jc w:val="right"/>
              <w:rPr>
                <w:sz w:val="14"/>
              </w:rPr>
            </w:pPr>
            <w:r>
              <w:rPr>
                <w:spacing w:val="-4"/>
                <w:sz w:val="14"/>
              </w:rPr>
              <w:t>5.00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Open</w:t>
            </w:r>
            <w:r>
              <w:rPr>
                <w:spacing w:val="-6"/>
                <w:sz w:val="14"/>
              </w:rPr>
              <w:t> </w:t>
            </w:r>
            <w:r>
              <w:rPr>
                <w:spacing w:val="-2"/>
                <w:sz w:val="14"/>
              </w:rPr>
              <w:t>Days/Fees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10.50</w:t>
            </w:r>
          </w:p>
        </w:tc>
        <w:tc>
          <w:tcPr>
            <w:tcW w:w="995" w:type="dxa"/>
          </w:tcPr>
          <w:p>
            <w:pPr>
              <w:pStyle w:val="TableParagraph"/>
              <w:spacing w:line="140" w:lineRule="exact" w:before="17"/>
              <w:ind w:right="101"/>
              <w:jc w:val="right"/>
              <w:rPr>
                <w:sz w:val="14"/>
              </w:rPr>
            </w:pPr>
            <w:r>
              <w:rPr>
                <w:spacing w:val="-2"/>
                <w:sz w:val="14"/>
              </w:rPr>
              <w:t>10.50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Pickleball</w:t>
            </w:r>
            <w:r>
              <w:rPr>
                <w:spacing w:val="-6"/>
                <w:sz w:val="14"/>
              </w:rPr>
              <w:t> </w:t>
            </w:r>
            <w:r>
              <w:rPr>
                <w:sz w:val="14"/>
              </w:rPr>
              <w:t>Hourly</w:t>
            </w:r>
            <w:r>
              <w:rPr>
                <w:spacing w:val="-4"/>
                <w:sz w:val="14"/>
              </w:rPr>
              <w:t> </w:t>
            </w:r>
            <w:r>
              <w:rPr>
                <w:sz w:val="14"/>
              </w:rPr>
              <w:t>session</w:t>
            </w:r>
            <w:r>
              <w:rPr>
                <w:spacing w:val="-5"/>
                <w:sz w:val="14"/>
              </w:rPr>
              <w:t> </w:t>
            </w:r>
            <w:r>
              <w:rPr>
                <w:spacing w:val="-2"/>
                <w:sz w:val="14"/>
              </w:rPr>
              <w:t>indoor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6.00</w:t>
            </w:r>
          </w:p>
        </w:tc>
        <w:tc>
          <w:tcPr>
            <w:tcW w:w="995" w:type="dxa"/>
          </w:tcPr>
          <w:p>
            <w:pPr>
              <w:pStyle w:val="TableParagraph"/>
              <w:spacing w:line="140" w:lineRule="exact" w:before="17"/>
              <w:ind w:right="101"/>
              <w:jc w:val="right"/>
              <w:rPr>
                <w:sz w:val="14"/>
              </w:rPr>
            </w:pPr>
            <w:r>
              <w:rPr>
                <w:spacing w:val="-4"/>
                <w:sz w:val="14"/>
              </w:rPr>
              <w:t>6.50</w:t>
            </w:r>
          </w:p>
        </w:tc>
        <w:tc>
          <w:tcPr>
            <w:tcW w:w="861" w:type="dxa"/>
          </w:tcPr>
          <w:p>
            <w:pPr>
              <w:pStyle w:val="TableParagraph"/>
              <w:spacing w:line="140" w:lineRule="exact" w:before="17"/>
              <w:ind w:left="327"/>
              <w:rPr>
                <w:sz w:val="14"/>
              </w:rPr>
            </w:pPr>
            <w:r>
              <w:rPr>
                <w:spacing w:val="-5"/>
                <w:sz w:val="14"/>
              </w:rPr>
              <w:t>7.7</w:t>
            </w:r>
          </w:p>
        </w:tc>
      </w:tr>
      <w:tr>
        <w:trPr>
          <w:trHeight w:val="177" w:hRule="atLeast"/>
        </w:trPr>
        <w:tc>
          <w:tcPr>
            <w:tcW w:w="5794" w:type="dxa"/>
          </w:tcPr>
          <w:p>
            <w:pPr>
              <w:pStyle w:val="TableParagraph"/>
              <w:spacing w:line="140" w:lineRule="exact" w:before="17"/>
              <w:ind w:left="107"/>
              <w:rPr>
                <w:sz w:val="14"/>
              </w:rPr>
            </w:pPr>
            <w:r>
              <w:rPr>
                <w:sz w:val="14"/>
              </w:rPr>
              <w:t>Pickleball</w:t>
            </w:r>
            <w:r>
              <w:rPr>
                <w:spacing w:val="-6"/>
                <w:sz w:val="14"/>
              </w:rPr>
              <w:t> </w:t>
            </w:r>
            <w:r>
              <w:rPr>
                <w:sz w:val="14"/>
              </w:rPr>
              <w:t>session</w:t>
            </w:r>
            <w:r>
              <w:rPr>
                <w:spacing w:val="-4"/>
                <w:sz w:val="14"/>
              </w:rPr>
              <w:t> </w:t>
            </w:r>
            <w:r>
              <w:rPr>
                <w:spacing w:val="-2"/>
                <w:sz w:val="14"/>
              </w:rPr>
              <w:t>outdoor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6.50</w:t>
            </w:r>
          </w:p>
        </w:tc>
        <w:tc>
          <w:tcPr>
            <w:tcW w:w="995" w:type="dxa"/>
          </w:tcPr>
          <w:p>
            <w:pPr>
              <w:pStyle w:val="TableParagraph"/>
              <w:spacing w:line="140" w:lineRule="exact" w:before="17"/>
              <w:ind w:right="101"/>
              <w:jc w:val="right"/>
              <w:rPr>
                <w:sz w:val="14"/>
              </w:rPr>
            </w:pPr>
            <w:r>
              <w:rPr>
                <w:spacing w:val="-4"/>
                <w:sz w:val="14"/>
              </w:rPr>
              <w:t>7.00</w:t>
            </w:r>
          </w:p>
        </w:tc>
        <w:tc>
          <w:tcPr>
            <w:tcW w:w="861" w:type="dxa"/>
          </w:tcPr>
          <w:p>
            <w:pPr>
              <w:pStyle w:val="TableParagraph"/>
              <w:spacing w:line="140" w:lineRule="exact" w:before="17"/>
              <w:ind w:left="327"/>
              <w:rPr>
                <w:sz w:val="14"/>
              </w:rPr>
            </w:pPr>
            <w:r>
              <w:rPr>
                <w:spacing w:val="-5"/>
                <w:sz w:val="14"/>
              </w:rPr>
              <w:t>7.1</w:t>
            </w:r>
          </w:p>
        </w:tc>
      </w:tr>
      <w:tr>
        <w:trPr>
          <w:trHeight w:val="177" w:hRule="atLeast"/>
        </w:trPr>
        <w:tc>
          <w:tcPr>
            <w:tcW w:w="5794" w:type="dxa"/>
          </w:tcPr>
          <w:p>
            <w:pPr>
              <w:pStyle w:val="TableParagraph"/>
              <w:spacing w:line="140" w:lineRule="exact" w:before="17"/>
              <w:ind w:left="107"/>
              <w:rPr>
                <w:sz w:val="14"/>
              </w:rPr>
            </w:pPr>
            <w:r>
              <w:rPr>
                <w:sz w:val="14"/>
              </w:rPr>
              <w:t>Badminton</w:t>
            </w:r>
            <w:r>
              <w:rPr>
                <w:spacing w:val="-8"/>
                <w:sz w:val="14"/>
              </w:rPr>
              <w:t> </w:t>
            </w:r>
            <w:r>
              <w:rPr>
                <w:spacing w:val="-2"/>
                <w:sz w:val="14"/>
              </w:rPr>
              <w:t>Session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4"/>
                <w:sz w:val="14"/>
              </w:rPr>
              <w:t>8.50</w:t>
            </w:r>
          </w:p>
        </w:tc>
        <w:tc>
          <w:tcPr>
            <w:tcW w:w="995" w:type="dxa"/>
          </w:tcPr>
          <w:p>
            <w:pPr>
              <w:pStyle w:val="TableParagraph"/>
              <w:spacing w:line="140" w:lineRule="exact" w:before="17"/>
              <w:ind w:right="101"/>
              <w:jc w:val="right"/>
              <w:rPr>
                <w:sz w:val="14"/>
              </w:rPr>
            </w:pPr>
            <w:r>
              <w:rPr>
                <w:spacing w:val="-4"/>
                <w:sz w:val="14"/>
              </w:rPr>
              <w:t>9.00</w:t>
            </w:r>
          </w:p>
        </w:tc>
        <w:tc>
          <w:tcPr>
            <w:tcW w:w="861" w:type="dxa"/>
          </w:tcPr>
          <w:p>
            <w:pPr>
              <w:pStyle w:val="TableParagraph"/>
              <w:spacing w:line="140" w:lineRule="exact" w:before="17"/>
              <w:ind w:left="327"/>
              <w:rPr>
                <w:sz w:val="14"/>
              </w:rPr>
            </w:pPr>
            <w:r>
              <w:rPr>
                <w:spacing w:val="-5"/>
                <w:sz w:val="14"/>
              </w:rPr>
              <w:t>5.6</w:t>
            </w:r>
          </w:p>
        </w:tc>
      </w:tr>
      <w:tr>
        <w:trPr>
          <w:trHeight w:val="177" w:hRule="atLeast"/>
        </w:trPr>
        <w:tc>
          <w:tcPr>
            <w:tcW w:w="5794" w:type="dxa"/>
          </w:tcPr>
          <w:p>
            <w:pPr>
              <w:pStyle w:val="TableParagraph"/>
              <w:spacing w:line="140" w:lineRule="exact" w:before="17"/>
              <w:ind w:left="107"/>
              <w:rPr>
                <w:b/>
                <w:sz w:val="14"/>
              </w:rPr>
            </w:pPr>
            <w:r>
              <w:rPr>
                <w:b/>
                <w:sz w:val="14"/>
              </w:rPr>
              <w:t>Maroondah</w:t>
            </w:r>
            <w:r>
              <w:rPr>
                <w:b/>
                <w:spacing w:val="-4"/>
                <w:sz w:val="14"/>
              </w:rPr>
              <w:t> </w:t>
            </w:r>
            <w:r>
              <w:rPr>
                <w:b/>
                <w:sz w:val="14"/>
              </w:rPr>
              <w:t>Nets</w:t>
            </w:r>
            <w:r>
              <w:rPr>
                <w:b/>
                <w:spacing w:val="-5"/>
                <w:sz w:val="14"/>
              </w:rPr>
              <w:t> </w:t>
            </w:r>
            <w:r>
              <w:rPr>
                <w:b/>
                <w:sz w:val="14"/>
              </w:rPr>
              <w:t>Function</w:t>
            </w:r>
            <w:r>
              <w:rPr>
                <w:b/>
                <w:spacing w:val="-4"/>
                <w:sz w:val="14"/>
              </w:rPr>
              <w:t> </w:t>
            </w:r>
            <w:r>
              <w:rPr>
                <w:b/>
                <w:sz w:val="14"/>
              </w:rPr>
              <w:t>Room</w:t>
            </w:r>
            <w:r>
              <w:rPr>
                <w:b/>
                <w:spacing w:val="-6"/>
                <w:sz w:val="14"/>
              </w:rPr>
              <w:t> </w:t>
            </w:r>
            <w:r>
              <w:rPr>
                <w:b/>
                <w:spacing w:val="-4"/>
                <w:sz w:val="14"/>
              </w:rPr>
              <w:t>Hire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Room</w:t>
            </w:r>
            <w:r>
              <w:rPr>
                <w:spacing w:val="-3"/>
                <w:sz w:val="14"/>
              </w:rPr>
              <w:t> </w:t>
            </w:r>
            <w:r>
              <w:rPr>
                <w:sz w:val="14"/>
              </w:rPr>
              <w:t>Hire</w:t>
            </w:r>
            <w:r>
              <w:rPr>
                <w:spacing w:val="-3"/>
                <w:sz w:val="14"/>
              </w:rPr>
              <w:t> </w:t>
            </w:r>
            <w:r>
              <w:rPr>
                <w:sz w:val="14"/>
              </w:rPr>
              <w:t>-</w:t>
            </w:r>
            <w:r>
              <w:rPr>
                <w:spacing w:val="-1"/>
                <w:sz w:val="14"/>
              </w:rPr>
              <w:t> </w:t>
            </w:r>
            <w:r>
              <w:rPr>
                <w:spacing w:val="-2"/>
                <w:sz w:val="14"/>
              </w:rPr>
              <w:t>Combined</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46.60</w:t>
            </w:r>
          </w:p>
        </w:tc>
        <w:tc>
          <w:tcPr>
            <w:tcW w:w="995" w:type="dxa"/>
          </w:tcPr>
          <w:p>
            <w:pPr>
              <w:pStyle w:val="TableParagraph"/>
              <w:spacing w:line="140" w:lineRule="exact" w:before="17"/>
              <w:ind w:right="101"/>
              <w:jc w:val="right"/>
              <w:rPr>
                <w:sz w:val="14"/>
              </w:rPr>
            </w:pPr>
            <w:r>
              <w:rPr>
                <w:spacing w:val="-2"/>
                <w:sz w:val="14"/>
              </w:rPr>
              <w:t>48.60</w:t>
            </w:r>
          </w:p>
        </w:tc>
        <w:tc>
          <w:tcPr>
            <w:tcW w:w="861" w:type="dxa"/>
          </w:tcPr>
          <w:p>
            <w:pPr>
              <w:pStyle w:val="TableParagraph"/>
              <w:spacing w:line="140" w:lineRule="exact" w:before="17"/>
              <w:ind w:left="327"/>
              <w:rPr>
                <w:sz w:val="14"/>
              </w:rPr>
            </w:pPr>
            <w:r>
              <w:rPr>
                <w:spacing w:val="-5"/>
                <w:sz w:val="14"/>
              </w:rPr>
              <w:t>4.1</w:t>
            </w:r>
          </w:p>
        </w:tc>
      </w:tr>
      <w:tr>
        <w:trPr>
          <w:trHeight w:val="177" w:hRule="atLeast"/>
        </w:trPr>
        <w:tc>
          <w:tcPr>
            <w:tcW w:w="5794" w:type="dxa"/>
          </w:tcPr>
          <w:p>
            <w:pPr>
              <w:pStyle w:val="TableParagraph"/>
              <w:spacing w:line="140" w:lineRule="exact" w:before="17"/>
              <w:ind w:left="107"/>
              <w:rPr>
                <w:sz w:val="14"/>
              </w:rPr>
            </w:pPr>
            <w:r>
              <w:rPr>
                <w:sz w:val="14"/>
              </w:rPr>
              <w:t>Room</w:t>
            </w:r>
            <w:r>
              <w:rPr>
                <w:spacing w:val="-3"/>
                <w:sz w:val="14"/>
              </w:rPr>
              <w:t> </w:t>
            </w:r>
            <w:r>
              <w:rPr>
                <w:sz w:val="14"/>
              </w:rPr>
              <w:t>Hire</w:t>
            </w:r>
            <w:r>
              <w:rPr>
                <w:spacing w:val="-4"/>
                <w:sz w:val="14"/>
              </w:rPr>
              <w:t> </w:t>
            </w:r>
            <w:r>
              <w:rPr>
                <w:sz w:val="14"/>
              </w:rPr>
              <w:t>-</w:t>
            </w:r>
            <w:r>
              <w:rPr>
                <w:spacing w:val="-1"/>
                <w:sz w:val="14"/>
              </w:rPr>
              <w:t> </w:t>
            </w:r>
            <w:r>
              <w:rPr>
                <w:sz w:val="14"/>
              </w:rPr>
              <w:t>Room</w:t>
            </w:r>
            <w:r>
              <w:rPr>
                <w:spacing w:val="-2"/>
                <w:sz w:val="14"/>
              </w:rPr>
              <w:t> </w:t>
            </w:r>
            <w:r>
              <w:rPr>
                <w:spacing w:val="-10"/>
                <w:sz w:val="14"/>
              </w:rPr>
              <w:t>A</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25.80</w:t>
            </w:r>
          </w:p>
        </w:tc>
        <w:tc>
          <w:tcPr>
            <w:tcW w:w="995" w:type="dxa"/>
          </w:tcPr>
          <w:p>
            <w:pPr>
              <w:pStyle w:val="TableParagraph"/>
              <w:spacing w:line="140" w:lineRule="exact" w:before="17"/>
              <w:ind w:right="101"/>
              <w:jc w:val="right"/>
              <w:rPr>
                <w:sz w:val="14"/>
              </w:rPr>
            </w:pPr>
            <w:r>
              <w:rPr>
                <w:spacing w:val="-2"/>
                <w:sz w:val="14"/>
              </w:rPr>
              <w:t>26.80</w:t>
            </w:r>
          </w:p>
        </w:tc>
        <w:tc>
          <w:tcPr>
            <w:tcW w:w="861" w:type="dxa"/>
          </w:tcPr>
          <w:p>
            <w:pPr>
              <w:pStyle w:val="TableParagraph"/>
              <w:spacing w:line="140" w:lineRule="exact" w:before="17"/>
              <w:ind w:left="327"/>
              <w:rPr>
                <w:sz w:val="14"/>
              </w:rPr>
            </w:pPr>
            <w:r>
              <w:rPr>
                <w:spacing w:val="-5"/>
                <w:sz w:val="14"/>
              </w:rPr>
              <w:t>3.7</w:t>
            </w:r>
          </w:p>
        </w:tc>
      </w:tr>
      <w:tr>
        <w:trPr>
          <w:trHeight w:val="177" w:hRule="atLeast"/>
        </w:trPr>
        <w:tc>
          <w:tcPr>
            <w:tcW w:w="5794" w:type="dxa"/>
          </w:tcPr>
          <w:p>
            <w:pPr>
              <w:pStyle w:val="TableParagraph"/>
              <w:spacing w:line="142" w:lineRule="exact" w:before="15"/>
              <w:ind w:left="107"/>
              <w:rPr>
                <w:sz w:val="14"/>
              </w:rPr>
            </w:pPr>
            <w:r>
              <w:rPr>
                <w:sz w:val="14"/>
              </w:rPr>
              <w:t>Room</w:t>
            </w:r>
            <w:r>
              <w:rPr>
                <w:spacing w:val="-3"/>
                <w:sz w:val="14"/>
              </w:rPr>
              <w:t> </w:t>
            </w:r>
            <w:r>
              <w:rPr>
                <w:sz w:val="14"/>
              </w:rPr>
              <w:t>Hire</w:t>
            </w:r>
            <w:r>
              <w:rPr>
                <w:spacing w:val="-4"/>
                <w:sz w:val="14"/>
              </w:rPr>
              <w:t> </w:t>
            </w:r>
            <w:r>
              <w:rPr>
                <w:sz w:val="14"/>
              </w:rPr>
              <w:t>-</w:t>
            </w:r>
            <w:r>
              <w:rPr>
                <w:spacing w:val="-2"/>
                <w:sz w:val="14"/>
              </w:rPr>
              <w:t> </w:t>
            </w:r>
            <w:r>
              <w:rPr>
                <w:sz w:val="14"/>
              </w:rPr>
              <w:t>Room</w:t>
            </w:r>
            <w:r>
              <w:rPr>
                <w:spacing w:val="-2"/>
                <w:sz w:val="14"/>
              </w:rPr>
              <w:t> </w:t>
            </w:r>
            <w:r>
              <w:rPr>
                <w:spacing w:val="-12"/>
                <w:sz w:val="14"/>
              </w:rPr>
              <w:t>B</w:t>
            </w:r>
          </w:p>
        </w:tc>
        <w:tc>
          <w:tcPr>
            <w:tcW w:w="1131" w:type="dxa"/>
          </w:tcPr>
          <w:p>
            <w:pPr>
              <w:pStyle w:val="TableParagraph"/>
              <w:spacing w:line="142" w:lineRule="exact" w:before="15"/>
              <w:ind w:left="5"/>
              <w:jc w:val="center"/>
              <w:rPr>
                <w:sz w:val="14"/>
              </w:rPr>
            </w:pPr>
            <w:r>
              <w:rPr>
                <w:w w:val="99"/>
                <w:sz w:val="14"/>
              </w:rPr>
              <w:t>N</w:t>
            </w:r>
          </w:p>
        </w:tc>
        <w:tc>
          <w:tcPr>
            <w:tcW w:w="567" w:type="dxa"/>
          </w:tcPr>
          <w:p>
            <w:pPr>
              <w:pStyle w:val="TableParagraph"/>
              <w:spacing w:line="142" w:lineRule="exact" w:before="15"/>
              <w:ind w:left="159"/>
              <w:rPr>
                <w:sz w:val="14"/>
              </w:rPr>
            </w:pPr>
            <w:r>
              <w:rPr>
                <w:spacing w:val="-5"/>
                <w:sz w:val="14"/>
              </w:rPr>
              <w:t>Yes</w:t>
            </w:r>
          </w:p>
        </w:tc>
        <w:tc>
          <w:tcPr>
            <w:tcW w:w="997" w:type="dxa"/>
          </w:tcPr>
          <w:p>
            <w:pPr>
              <w:pStyle w:val="TableParagraph"/>
              <w:spacing w:line="142" w:lineRule="exact" w:before="15"/>
              <w:ind w:right="100"/>
              <w:jc w:val="right"/>
              <w:rPr>
                <w:sz w:val="14"/>
              </w:rPr>
            </w:pPr>
            <w:r>
              <w:rPr>
                <w:spacing w:val="-2"/>
                <w:sz w:val="14"/>
              </w:rPr>
              <w:t>25.80</w:t>
            </w:r>
          </w:p>
        </w:tc>
        <w:tc>
          <w:tcPr>
            <w:tcW w:w="995" w:type="dxa"/>
          </w:tcPr>
          <w:p>
            <w:pPr>
              <w:pStyle w:val="TableParagraph"/>
              <w:spacing w:line="142" w:lineRule="exact" w:before="15"/>
              <w:ind w:right="101"/>
              <w:jc w:val="right"/>
              <w:rPr>
                <w:sz w:val="14"/>
              </w:rPr>
            </w:pPr>
            <w:r>
              <w:rPr>
                <w:spacing w:val="-2"/>
                <w:sz w:val="14"/>
              </w:rPr>
              <w:t>26.80</w:t>
            </w:r>
          </w:p>
        </w:tc>
        <w:tc>
          <w:tcPr>
            <w:tcW w:w="861" w:type="dxa"/>
          </w:tcPr>
          <w:p>
            <w:pPr>
              <w:pStyle w:val="TableParagraph"/>
              <w:spacing w:line="142" w:lineRule="exact" w:before="15"/>
              <w:ind w:left="326"/>
              <w:rPr>
                <w:sz w:val="14"/>
              </w:rPr>
            </w:pPr>
            <w:r>
              <w:rPr>
                <w:spacing w:val="-5"/>
                <w:sz w:val="14"/>
              </w:rPr>
              <w:t>3.7</w:t>
            </w:r>
          </w:p>
        </w:tc>
      </w:tr>
      <w:tr>
        <w:trPr>
          <w:trHeight w:val="174" w:hRule="atLeast"/>
        </w:trPr>
        <w:tc>
          <w:tcPr>
            <w:tcW w:w="5794" w:type="dxa"/>
          </w:tcPr>
          <w:p>
            <w:pPr>
              <w:pStyle w:val="TableParagraph"/>
              <w:spacing w:line="140" w:lineRule="exact" w:before="15"/>
              <w:ind w:left="107"/>
              <w:rPr>
                <w:b/>
                <w:sz w:val="14"/>
              </w:rPr>
            </w:pPr>
            <w:r>
              <w:rPr>
                <w:b/>
                <w:sz w:val="14"/>
              </w:rPr>
              <w:t>Maroondah</w:t>
            </w:r>
            <w:r>
              <w:rPr>
                <w:b/>
                <w:spacing w:val="-7"/>
                <w:sz w:val="14"/>
              </w:rPr>
              <w:t> </w:t>
            </w:r>
            <w:r>
              <w:rPr>
                <w:b/>
                <w:spacing w:val="-4"/>
                <w:sz w:val="14"/>
              </w:rPr>
              <w:t>Edge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Club/Assoc</w:t>
            </w:r>
            <w:r>
              <w:rPr>
                <w:spacing w:val="-5"/>
                <w:sz w:val="14"/>
              </w:rPr>
              <w:t> </w:t>
            </w:r>
            <w:r>
              <w:rPr>
                <w:sz w:val="14"/>
              </w:rPr>
              <w:t>Lane</w:t>
            </w:r>
            <w:r>
              <w:rPr>
                <w:spacing w:val="-7"/>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61.00</w:t>
            </w:r>
          </w:p>
        </w:tc>
        <w:tc>
          <w:tcPr>
            <w:tcW w:w="995" w:type="dxa"/>
          </w:tcPr>
          <w:p>
            <w:pPr>
              <w:pStyle w:val="TableParagraph"/>
              <w:spacing w:line="140" w:lineRule="exact" w:before="17"/>
              <w:ind w:right="101"/>
              <w:jc w:val="right"/>
              <w:rPr>
                <w:sz w:val="14"/>
              </w:rPr>
            </w:pPr>
            <w:r>
              <w:rPr>
                <w:spacing w:val="-2"/>
                <w:sz w:val="14"/>
              </w:rPr>
              <w:t>63.40</w:t>
            </w:r>
          </w:p>
        </w:tc>
        <w:tc>
          <w:tcPr>
            <w:tcW w:w="861" w:type="dxa"/>
          </w:tcPr>
          <w:p>
            <w:pPr>
              <w:pStyle w:val="TableParagraph"/>
              <w:spacing w:line="140" w:lineRule="exact" w:before="17"/>
              <w:ind w:left="327"/>
              <w:rPr>
                <w:sz w:val="14"/>
              </w:rPr>
            </w:pPr>
            <w:r>
              <w:rPr>
                <w:spacing w:val="-5"/>
                <w:sz w:val="14"/>
              </w:rPr>
              <w:t>3.8</w:t>
            </w:r>
          </w:p>
        </w:tc>
      </w:tr>
      <w:tr>
        <w:trPr>
          <w:trHeight w:val="177" w:hRule="atLeast"/>
        </w:trPr>
        <w:tc>
          <w:tcPr>
            <w:tcW w:w="5794" w:type="dxa"/>
          </w:tcPr>
          <w:p>
            <w:pPr>
              <w:pStyle w:val="TableParagraph"/>
              <w:spacing w:line="140" w:lineRule="exact" w:before="17"/>
              <w:ind w:left="107"/>
              <w:rPr>
                <w:sz w:val="14"/>
              </w:rPr>
            </w:pPr>
            <w:r>
              <w:rPr>
                <w:sz w:val="14"/>
              </w:rPr>
              <w:t>Public</w:t>
            </w:r>
            <w:r>
              <w:rPr>
                <w:spacing w:val="-1"/>
                <w:sz w:val="14"/>
              </w:rPr>
              <w:t> </w:t>
            </w:r>
            <w:r>
              <w:rPr>
                <w:sz w:val="14"/>
              </w:rPr>
              <w:t>Lane</w:t>
            </w:r>
            <w:r>
              <w:rPr>
                <w:spacing w:val="-4"/>
                <w:sz w:val="14"/>
              </w:rPr>
              <w:t> </w:t>
            </w:r>
            <w:r>
              <w:rPr>
                <w:sz w:val="14"/>
              </w:rPr>
              <w:t>Hire</w:t>
            </w:r>
            <w:r>
              <w:rPr>
                <w:spacing w:val="31"/>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38.00</w:t>
            </w:r>
          </w:p>
        </w:tc>
        <w:tc>
          <w:tcPr>
            <w:tcW w:w="995" w:type="dxa"/>
          </w:tcPr>
          <w:p>
            <w:pPr>
              <w:pStyle w:val="TableParagraph"/>
              <w:spacing w:line="140" w:lineRule="exact" w:before="17"/>
              <w:ind w:right="101"/>
              <w:jc w:val="right"/>
              <w:rPr>
                <w:sz w:val="14"/>
              </w:rPr>
            </w:pPr>
            <w:r>
              <w:rPr>
                <w:spacing w:val="-2"/>
                <w:sz w:val="14"/>
              </w:rPr>
              <w:t>39.60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Public</w:t>
            </w:r>
            <w:r>
              <w:rPr>
                <w:spacing w:val="-2"/>
                <w:sz w:val="14"/>
              </w:rPr>
              <w:t> </w:t>
            </w:r>
            <w:r>
              <w:rPr>
                <w:sz w:val="14"/>
              </w:rPr>
              <w:t>Lane</w:t>
            </w:r>
            <w:r>
              <w:rPr>
                <w:spacing w:val="-5"/>
                <w:sz w:val="14"/>
              </w:rPr>
              <w:t> </w:t>
            </w:r>
            <w:r>
              <w:rPr>
                <w:sz w:val="14"/>
              </w:rPr>
              <w:t>Hire</w:t>
            </w:r>
            <w:r>
              <w:rPr>
                <w:spacing w:val="-3"/>
                <w:sz w:val="14"/>
              </w:rPr>
              <w:t> </w:t>
            </w:r>
            <w:r>
              <w:rPr>
                <w:sz w:val="14"/>
              </w:rPr>
              <w:t>Off</w:t>
            </w:r>
            <w:r>
              <w:rPr>
                <w:spacing w:val="-4"/>
                <w:sz w:val="14"/>
              </w:rPr>
              <w:t> 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32.00</w:t>
            </w:r>
          </w:p>
        </w:tc>
        <w:tc>
          <w:tcPr>
            <w:tcW w:w="995" w:type="dxa"/>
          </w:tcPr>
          <w:p>
            <w:pPr>
              <w:pStyle w:val="TableParagraph"/>
              <w:spacing w:line="140" w:lineRule="exact" w:before="17"/>
              <w:ind w:right="101"/>
              <w:jc w:val="right"/>
              <w:rPr>
                <w:sz w:val="14"/>
              </w:rPr>
            </w:pPr>
            <w:r>
              <w:rPr>
                <w:spacing w:val="-2"/>
                <w:sz w:val="14"/>
              </w:rPr>
              <w:t>33.40</w:t>
            </w:r>
          </w:p>
        </w:tc>
        <w:tc>
          <w:tcPr>
            <w:tcW w:w="861" w:type="dxa"/>
          </w:tcPr>
          <w:p>
            <w:pPr>
              <w:pStyle w:val="TableParagraph"/>
              <w:spacing w:line="140" w:lineRule="exact" w:before="17"/>
              <w:ind w:left="327"/>
              <w:rPr>
                <w:sz w:val="14"/>
              </w:rPr>
            </w:pPr>
            <w:r>
              <w:rPr>
                <w:spacing w:val="-5"/>
                <w:sz w:val="14"/>
              </w:rPr>
              <w:t>4.2</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3"/>
                <w:sz w:val="14"/>
              </w:rPr>
              <w:t> </w:t>
            </w:r>
            <w:r>
              <w:rPr>
                <w:sz w:val="14"/>
              </w:rPr>
              <w:t>Lane</w:t>
            </w:r>
            <w:r>
              <w:rPr>
                <w:spacing w:val="-6"/>
                <w:sz w:val="14"/>
              </w:rPr>
              <w:t> </w:t>
            </w:r>
            <w:r>
              <w:rPr>
                <w:sz w:val="14"/>
              </w:rPr>
              <w:t>Hire</w:t>
            </w:r>
            <w:r>
              <w:rPr>
                <w:spacing w:val="-5"/>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49.00</w:t>
            </w:r>
          </w:p>
        </w:tc>
        <w:tc>
          <w:tcPr>
            <w:tcW w:w="995" w:type="dxa"/>
          </w:tcPr>
          <w:p>
            <w:pPr>
              <w:pStyle w:val="TableParagraph"/>
              <w:spacing w:line="140" w:lineRule="exact" w:before="17"/>
              <w:ind w:right="101"/>
              <w:jc w:val="right"/>
              <w:rPr>
                <w:sz w:val="14"/>
              </w:rPr>
            </w:pPr>
            <w:r>
              <w:rPr>
                <w:spacing w:val="-2"/>
                <w:sz w:val="14"/>
              </w:rPr>
              <w:t>51.00</w:t>
            </w:r>
          </w:p>
        </w:tc>
        <w:tc>
          <w:tcPr>
            <w:tcW w:w="861" w:type="dxa"/>
          </w:tcPr>
          <w:p>
            <w:pPr>
              <w:pStyle w:val="TableParagraph"/>
              <w:spacing w:line="140" w:lineRule="exact" w:before="17"/>
              <w:ind w:left="327"/>
              <w:rPr>
                <w:sz w:val="14"/>
              </w:rPr>
            </w:pPr>
            <w:r>
              <w:rPr>
                <w:spacing w:val="-5"/>
                <w:sz w:val="14"/>
              </w:rPr>
              <w:t>3.9</w:t>
            </w:r>
          </w:p>
        </w:tc>
      </w:tr>
      <w:tr>
        <w:trPr>
          <w:trHeight w:val="177" w:hRule="atLeast"/>
        </w:trPr>
        <w:tc>
          <w:tcPr>
            <w:tcW w:w="5794" w:type="dxa"/>
          </w:tcPr>
          <w:p>
            <w:pPr>
              <w:pStyle w:val="TableParagraph"/>
              <w:spacing w:line="140" w:lineRule="exact" w:before="17"/>
              <w:ind w:left="107"/>
              <w:rPr>
                <w:sz w:val="14"/>
              </w:rPr>
            </w:pPr>
            <w:r>
              <w:rPr>
                <w:sz w:val="14"/>
              </w:rPr>
              <w:t>Commercial</w:t>
            </w:r>
            <w:r>
              <w:rPr>
                <w:spacing w:val="-2"/>
                <w:sz w:val="14"/>
              </w:rPr>
              <w:t> </w:t>
            </w:r>
            <w:r>
              <w:rPr>
                <w:sz w:val="14"/>
              </w:rPr>
              <w:t>Lane</w:t>
            </w:r>
            <w:r>
              <w:rPr>
                <w:spacing w:val="-5"/>
                <w:sz w:val="14"/>
              </w:rPr>
              <w:t> </w:t>
            </w:r>
            <w:r>
              <w:rPr>
                <w:sz w:val="14"/>
              </w:rPr>
              <w:t>Hire</w:t>
            </w:r>
            <w:r>
              <w:rPr>
                <w:spacing w:val="-5"/>
                <w:sz w:val="14"/>
              </w:rPr>
              <w:t> </w:t>
            </w:r>
            <w:r>
              <w:rPr>
                <w:sz w:val="14"/>
              </w:rPr>
              <w:t>Off</w:t>
            </w:r>
            <w:r>
              <w:rPr>
                <w:spacing w:val="-3"/>
                <w:sz w:val="14"/>
              </w:rPr>
              <w:t> </w:t>
            </w:r>
            <w:r>
              <w:rPr>
                <w:spacing w:val="-4"/>
                <w:sz w:val="14"/>
              </w:rPr>
              <w:t>Peak</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38.00</w:t>
            </w:r>
          </w:p>
        </w:tc>
        <w:tc>
          <w:tcPr>
            <w:tcW w:w="995" w:type="dxa"/>
          </w:tcPr>
          <w:p>
            <w:pPr>
              <w:pStyle w:val="TableParagraph"/>
              <w:spacing w:line="140" w:lineRule="exact" w:before="17"/>
              <w:ind w:right="101"/>
              <w:jc w:val="right"/>
              <w:rPr>
                <w:sz w:val="14"/>
              </w:rPr>
            </w:pPr>
            <w:r>
              <w:rPr>
                <w:spacing w:val="-2"/>
                <w:sz w:val="14"/>
              </w:rPr>
              <w:t>39.60</w:t>
            </w:r>
          </w:p>
        </w:tc>
        <w:tc>
          <w:tcPr>
            <w:tcW w:w="861" w:type="dxa"/>
          </w:tcPr>
          <w:p>
            <w:pPr>
              <w:pStyle w:val="TableParagraph"/>
              <w:spacing w:line="140" w:lineRule="exact" w:before="17"/>
              <w:ind w:left="327"/>
              <w:rPr>
                <w:sz w:val="14"/>
              </w:rPr>
            </w:pPr>
            <w:r>
              <w:rPr>
                <w:spacing w:val="-5"/>
                <w:sz w:val="14"/>
              </w:rPr>
              <w:t>4.0</w:t>
            </w:r>
          </w:p>
        </w:tc>
      </w:tr>
      <w:tr>
        <w:trPr>
          <w:trHeight w:val="177" w:hRule="atLeast"/>
        </w:trPr>
        <w:tc>
          <w:tcPr>
            <w:tcW w:w="5794" w:type="dxa"/>
          </w:tcPr>
          <w:p>
            <w:pPr>
              <w:pStyle w:val="TableParagraph"/>
              <w:spacing w:line="140" w:lineRule="exact" w:before="17"/>
              <w:ind w:left="107"/>
              <w:rPr>
                <w:sz w:val="14"/>
              </w:rPr>
            </w:pPr>
            <w:r>
              <w:rPr>
                <w:sz w:val="14"/>
              </w:rPr>
              <w:t>Bowling</w:t>
            </w:r>
            <w:r>
              <w:rPr>
                <w:spacing w:val="-5"/>
                <w:sz w:val="14"/>
              </w:rPr>
              <w:t> </w:t>
            </w:r>
            <w:r>
              <w:rPr>
                <w:sz w:val="14"/>
              </w:rPr>
              <w:t>Machine</w:t>
            </w:r>
            <w:r>
              <w:rPr>
                <w:spacing w:val="-7"/>
                <w:sz w:val="14"/>
              </w:rPr>
              <w:t> </w:t>
            </w:r>
            <w:r>
              <w:rPr>
                <w:spacing w:val="-4"/>
                <w:sz w:val="14"/>
              </w:rPr>
              <w:t>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10.00</w:t>
            </w:r>
          </w:p>
        </w:tc>
        <w:tc>
          <w:tcPr>
            <w:tcW w:w="995" w:type="dxa"/>
          </w:tcPr>
          <w:p>
            <w:pPr>
              <w:pStyle w:val="TableParagraph"/>
              <w:spacing w:line="140" w:lineRule="exact" w:before="17"/>
              <w:ind w:right="101"/>
              <w:jc w:val="right"/>
              <w:rPr>
                <w:sz w:val="14"/>
              </w:rPr>
            </w:pPr>
            <w:r>
              <w:rPr>
                <w:spacing w:val="-2"/>
                <w:sz w:val="14"/>
              </w:rPr>
              <w:t>10.50</w:t>
            </w:r>
          </w:p>
        </w:tc>
        <w:tc>
          <w:tcPr>
            <w:tcW w:w="861" w:type="dxa"/>
          </w:tcPr>
          <w:p>
            <w:pPr>
              <w:pStyle w:val="TableParagraph"/>
              <w:spacing w:line="140" w:lineRule="exact" w:before="17"/>
              <w:ind w:left="327"/>
              <w:rPr>
                <w:sz w:val="14"/>
              </w:rPr>
            </w:pPr>
            <w:r>
              <w:rPr>
                <w:spacing w:val="-5"/>
                <w:sz w:val="14"/>
              </w:rPr>
              <w:t>4.8</w:t>
            </w:r>
          </w:p>
        </w:tc>
      </w:tr>
      <w:tr>
        <w:trPr>
          <w:trHeight w:val="217" w:hRule="atLeast"/>
        </w:trPr>
        <w:tc>
          <w:tcPr>
            <w:tcW w:w="5794" w:type="dxa"/>
          </w:tcPr>
          <w:p>
            <w:pPr>
              <w:pStyle w:val="TableParagraph"/>
              <w:spacing w:line="140" w:lineRule="exact" w:before="58"/>
              <w:ind w:left="107"/>
              <w:rPr>
                <w:b/>
                <w:sz w:val="14"/>
              </w:rPr>
            </w:pPr>
            <w:r>
              <w:rPr>
                <w:b/>
                <w:sz w:val="14"/>
              </w:rPr>
              <w:t>Maroondah</w:t>
            </w:r>
            <w:r>
              <w:rPr>
                <w:b/>
                <w:spacing w:val="-7"/>
                <w:sz w:val="14"/>
              </w:rPr>
              <w:t> </w:t>
            </w:r>
            <w:r>
              <w:rPr>
                <w:b/>
                <w:spacing w:val="-4"/>
                <w:sz w:val="14"/>
              </w:rPr>
              <w:t>Edge</w:t>
            </w:r>
          </w:p>
        </w:tc>
        <w:tc>
          <w:tcPr>
            <w:tcW w:w="1131" w:type="dxa"/>
          </w:tcPr>
          <w:p>
            <w:pPr>
              <w:pStyle w:val="TableParagraph"/>
              <w:rPr>
                <w:rFonts w:ascii="Times New Roman"/>
                <w:sz w:val="14"/>
              </w:rPr>
            </w:pPr>
          </w:p>
        </w:tc>
        <w:tc>
          <w:tcPr>
            <w:tcW w:w="567" w:type="dxa"/>
          </w:tcPr>
          <w:p>
            <w:pPr>
              <w:pStyle w:val="TableParagraph"/>
              <w:rPr>
                <w:rFonts w:ascii="Times New Roman"/>
                <w:sz w:val="14"/>
              </w:rPr>
            </w:pPr>
          </w:p>
        </w:tc>
        <w:tc>
          <w:tcPr>
            <w:tcW w:w="997" w:type="dxa"/>
          </w:tcPr>
          <w:p>
            <w:pPr>
              <w:pStyle w:val="TableParagraph"/>
              <w:rPr>
                <w:rFonts w:ascii="Times New Roman"/>
                <w:sz w:val="14"/>
              </w:rPr>
            </w:pPr>
          </w:p>
        </w:tc>
        <w:tc>
          <w:tcPr>
            <w:tcW w:w="995" w:type="dxa"/>
          </w:tcPr>
          <w:p>
            <w:pPr>
              <w:pStyle w:val="TableParagraph"/>
              <w:rPr>
                <w:rFonts w:ascii="Times New Roman"/>
                <w:sz w:val="14"/>
              </w:rPr>
            </w:pPr>
          </w:p>
        </w:tc>
        <w:tc>
          <w:tcPr>
            <w:tcW w:w="861" w:type="dxa"/>
          </w:tcPr>
          <w:p>
            <w:pPr>
              <w:pStyle w:val="TableParagraph"/>
              <w:rPr>
                <w:rFonts w:ascii="Times New Roman"/>
                <w:sz w:val="14"/>
              </w:rPr>
            </w:pPr>
          </w:p>
        </w:tc>
      </w:tr>
      <w:tr>
        <w:trPr>
          <w:trHeight w:val="177" w:hRule="atLeast"/>
        </w:trPr>
        <w:tc>
          <w:tcPr>
            <w:tcW w:w="5794" w:type="dxa"/>
          </w:tcPr>
          <w:p>
            <w:pPr>
              <w:pStyle w:val="TableParagraph"/>
              <w:spacing w:line="140" w:lineRule="exact" w:before="17"/>
              <w:ind w:left="107"/>
              <w:rPr>
                <w:sz w:val="14"/>
              </w:rPr>
            </w:pPr>
            <w:r>
              <w:rPr>
                <w:sz w:val="14"/>
              </w:rPr>
              <w:t>School</w:t>
            </w:r>
            <w:r>
              <w:rPr>
                <w:spacing w:val="-4"/>
                <w:sz w:val="14"/>
              </w:rPr>
              <w:t> </w:t>
            </w:r>
            <w:r>
              <w:rPr>
                <w:sz w:val="14"/>
              </w:rPr>
              <w:t>Lane</w:t>
            </w:r>
            <w:r>
              <w:rPr>
                <w:spacing w:val="-4"/>
                <w:sz w:val="14"/>
              </w:rPr>
              <w:t> Hire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32.00</w:t>
            </w:r>
          </w:p>
        </w:tc>
        <w:tc>
          <w:tcPr>
            <w:tcW w:w="995" w:type="dxa"/>
          </w:tcPr>
          <w:p>
            <w:pPr>
              <w:pStyle w:val="TableParagraph"/>
              <w:spacing w:line="140" w:lineRule="exact" w:before="17"/>
              <w:ind w:right="101"/>
              <w:jc w:val="right"/>
              <w:rPr>
                <w:sz w:val="14"/>
              </w:rPr>
            </w:pPr>
            <w:r>
              <w:rPr>
                <w:spacing w:val="-2"/>
                <w:sz w:val="14"/>
              </w:rPr>
              <w:t>33.40</w:t>
            </w:r>
          </w:p>
        </w:tc>
        <w:tc>
          <w:tcPr>
            <w:tcW w:w="861" w:type="dxa"/>
          </w:tcPr>
          <w:p>
            <w:pPr>
              <w:pStyle w:val="TableParagraph"/>
              <w:spacing w:line="140" w:lineRule="exact" w:before="17"/>
              <w:ind w:left="327"/>
              <w:rPr>
                <w:sz w:val="14"/>
              </w:rPr>
            </w:pPr>
            <w:r>
              <w:rPr>
                <w:spacing w:val="-5"/>
                <w:sz w:val="14"/>
              </w:rPr>
              <w:t>4.2</w:t>
            </w:r>
          </w:p>
        </w:tc>
      </w:tr>
      <w:tr>
        <w:trPr>
          <w:trHeight w:val="267" w:hRule="atLeast"/>
        </w:trPr>
        <w:tc>
          <w:tcPr>
            <w:tcW w:w="5794" w:type="dxa"/>
            <w:tcBorders>
              <w:bottom w:val="single" w:sz="18" w:space="0" w:color="000000"/>
            </w:tcBorders>
            <w:shd w:val="clear" w:color="auto" w:fill="D8D8D8"/>
          </w:tcPr>
          <w:p>
            <w:pPr>
              <w:pStyle w:val="TableParagraph"/>
              <w:spacing w:line="214" w:lineRule="exact" w:before="33"/>
              <w:ind w:left="170"/>
              <w:rPr>
                <w:b/>
                <w:sz w:val="22"/>
              </w:rPr>
            </w:pPr>
            <w:r>
              <w:rPr>
                <w:b/>
                <w:sz w:val="22"/>
              </w:rPr>
              <w:t>Community</w:t>
            </w:r>
            <w:r>
              <w:rPr>
                <w:b/>
                <w:spacing w:val="-5"/>
                <w:sz w:val="22"/>
              </w:rPr>
              <w:t> </w:t>
            </w:r>
            <w:r>
              <w:rPr>
                <w:b/>
                <w:spacing w:val="-2"/>
                <w:sz w:val="22"/>
              </w:rPr>
              <w:t>Services</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Vacation</w:t>
            </w:r>
            <w:r>
              <w:rPr>
                <w:b/>
                <w:spacing w:val="-9"/>
                <w:sz w:val="14"/>
              </w:rPr>
              <w:t> </w:t>
            </w:r>
            <w:r>
              <w:rPr>
                <w:b/>
                <w:spacing w:val="-4"/>
                <w:sz w:val="14"/>
              </w:rPr>
              <w:t>Care</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Inhouse</w:t>
            </w:r>
            <w:r>
              <w:rPr>
                <w:spacing w:val="-7"/>
                <w:sz w:val="14"/>
              </w:rPr>
              <w:t> </w:t>
            </w:r>
            <w:r>
              <w:rPr>
                <w:spacing w:val="-5"/>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74.00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Excursion</w:t>
            </w:r>
            <w:r>
              <w:rPr>
                <w:spacing w:val="-9"/>
                <w:sz w:val="14"/>
              </w:rPr>
              <w:t> </w:t>
            </w:r>
            <w:r>
              <w:rPr>
                <w:spacing w:val="-5"/>
                <w:sz w:val="14"/>
              </w:rPr>
              <w:t>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87.00</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Positive</w:t>
            </w:r>
            <w:r>
              <w:rPr>
                <w:b/>
                <w:spacing w:val="-9"/>
                <w:sz w:val="14"/>
              </w:rPr>
              <w:t> </w:t>
            </w:r>
            <w:r>
              <w:rPr>
                <w:b/>
                <w:spacing w:val="-2"/>
                <w:sz w:val="14"/>
              </w:rPr>
              <w:t>Ageing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Seniors</w:t>
            </w:r>
            <w:r>
              <w:rPr>
                <w:spacing w:val="-6"/>
                <w:sz w:val="14"/>
              </w:rPr>
              <w:t> </w:t>
            </w:r>
            <w:r>
              <w:rPr>
                <w:sz w:val="14"/>
              </w:rPr>
              <w:t>Community</w:t>
            </w:r>
            <w:r>
              <w:rPr>
                <w:spacing w:val="-4"/>
                <w:sz w:val="14"/>
              </w:rPr>
              <w:t> </w:t>
            </w:r>
            <w:r>
              <w:rPr>
                <w:sz w:val="14"/>
              </w:rPr>
              <w:t>Outings</w:t>
            </w:r>
            <w:r>
              <w:rPr>
                <w:spacing w:val="-3"/>
                <w:sz w:val="14"/>
              </w:rPr>
              <w:t> </w:t>
            </w:r>
            <w:r>
              <w:rPr>
                <w:sz w:val="14"/>
              </w:rPr>
              <w:t>and</w:t>
            </w:r>
            <w:r>
              <w:rPr>
                <w:spacing w:val="-6"/>
                <w:sz w:val="14"/>
              </w:rPr>
              <w:t> </w:t>
            </w:r>
            <w:r>
              <w:rPr>
                <w:spacing w:val="-2"/>
                <w:sz w:val="14"/>
              </w:rPr>
              <w:t>Events</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5.91</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Positive</w:t>
            </w:r>
            <w:r>
              <w:rPr>
                <w:spacing w:val="-6"/>
                <w:sz w:val="14"/>
              </w:rPr>
              <w:t> </w:t>
            </w:r>
            <w:r>
              <w:rPr>
                <w:sz w:val="14"/>
              </w:rPr>
              <w:t>Ageing</w:t>
            </w:r>
            <w:r>
              <w:rPr>
                <w:spacing w:val="-2"/>
                <w:sz w:val="14"/>
              </w:rPr>
              <w:t> </w:t>
            </w:r>
            <w:r>
              <w:rPr>
                <w:sz w:val="14"/>
              </w:rPr>
              <w:t>-</w:t>
            </w:r>
            <w:r>
              <w:rPr>
                <w:spacing w:val="-5"/>
                <w:sz w:val="14"/>
              </w:rPr>
              <w:t> </w:t>
            </w:r>
            <w:r>
              <w:rPr>
                <w:sz w:val="14"/>
              </w:rPr>
              <w:t>Entertainment</w:t>
            </w:r>
            <w:r>
              <w:rPr>
                <w:spacing w:val="-2"/>
                <w:sz w:val="14"/>
              </w:rPr>
              <w:t> </w:t>
            </w:r>
            <w:r>
              <w:rPr>
                <w:sz w:val="14"/>
              </w:rPr>
              <w:t>-</w:t>
            </w:r>
            <w:r>
              <w:rPr>
                <w:spacing w:val="-2"/>
                <w:sz w:val="14"/>
              </w:rPr>
              <w:t> </w:t>
            </w:r>
            <w:r>
              <w:rPr>
                <w:sz w:val="14"/>
              </w:rPr>
              <w:t>First hour</w:t>
            </w:r>
            <w:r>
              <w:rPr>
                <w:spacing w:val="-4"/>
                <w:sz w:val="14"/>
              </w:rPr>
              <w:t> </w:t>
            </w:r>
            <w:r>
              <w:rPr>
                <w:sz w:val="14"/>
              </w:rPr>
              <w:t>-</w:t>
            </w:r>
            <w:r>
              <w:rPr>
                <w:spacing w:val="-2"/>
                <w:sz w:val="14"/>
              </w:rPr>
              <w:t> Private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4"/>
                <w:sz w:val="14"/>
              </w:rPr>
              <w:t>5.00</w:t>
            </w:r>
          </w:p>
        </w:tc>
        <w:tc>
          <w:tcPr>
            <w:tcW w:w="861" w:type="dxa"/>
          </w:tcPr>
          <w:p>
            <w:pPr>
              <w:pStyle w:val="TableParagraph"/>
              <w:spacing w:line="140" w:lineRule="exact" w:before="17"/>
              <w:ind w:left="327"/>
              <w:rPr>
                <w:sz w:val="14"/>
              </w:rPr>
            </w:pPr>
            <w:r>
              <w:rPr>
                <w:spacing w:val="-5"/>
                <w:sz w:val="14"/>
              </w:rPr>
              <w:t>0.0</w:t>
            </w:r>
          </w:p>
        </w:tc>
      </w:tr>
      <w:tr>
        <w:trPr>
          <w:trHeight w:val="352" w:hRule="atLeast"/>
        </w:trPr>
        <w:tc>
          <w:tcPr>
            <w:tcW w:w="5794" w:type="dxa"/>
          </w:tcPr>
          <w:p>
            <w:pPr>
              <w:pStyle w:val="TableParagraph"/>
              <w:spacing w:line="160" w:lineRule="atLeast" w:before="11"/>
              <w:ind w:left="107" w:right="110"/>
              <w:rPr>
                <w:sz w:val="14"/>
              </w:rPr>
            </w:pPr>
            <w:r>
              <w:rPr>
                <w:sz w:val="14"/>
              </w:rPr>
              <w:t>Positive</w:t>
            </w:r>
            <w:r>
              <w:rPr>
                <w:spacing w:val="-5"/>
                <w:sz w:val="14"/>
              </w:rPr>
              <w:t> </w:t>
            </w:r>
            <w:r>
              <w:rPr>
                <w:sz w:val="14"/>
              </w:rPr>
              <w:t>Ageing -</w:t>
            </w:r>
            <w:r>
              <w:rPr>
                <w:spacing w:val="-4"/>
                <w:sz w:val="14"/>
              </w:rPr>
              <w:t> </w:t>
            </w:r>
            <w:r>
              <w:rPr>
                <w:sz w:val="14"/>
              </w:rPr>
              <w:t>Entertainment</w:t>
            </w:r>
            <w:r>
              <w:rPr>
                <w:spacing w:val="-1"/>
                <w:sz w:val="14"/>
              </w:rPr>
              <w:t> </w:t>
            </w:r>
            <w:r>
              <w:rPr>
                <w:sz w:val="14"/>
              </w:rPr>
              <w:t>-</w:t>
            </w:r>
            <w:r>
              <w:rPr>
                <w:spacing w:val="-4"/>
                <w:sz w:val="14"/>
              </w:rPr>
              <w:t> </w:t>
            </w:r>
            <w:r>
              <w:rPr>
                <w:sz w:val="14"/>
              </w:rPr>
              <w:t>Each</w:t>
            </w:r>
            <w:r>
              <w:rPr>
                <w:spacing w:val="-2"/>
                <w:sz w:val="14"/>
              </w:rPr>
              <w:t> </w:t>
            </w:r>
            <w:r>
              <w:rPr>
                <w:sz w:val="14"/>
              </w:rPr>
              <w:t>Additional</w:t>
            </w:r>
            <w:r>
              <w:rPr>
                <w:spacing w:val="-1"/>
                <w:sz w:val="14"/>
              </w:rPr>
              <w:t> </w:t>
            </w:r>
            <w:r>
              <w:rPr>
                <w:sz w:val="14"/>
              </w:rPr>
              <w:t>Hour</w:t>
            </w:r>
            <w:r>
              <w:rPr>
                <w:spacing w:val="35"/>
                <w:sz w:val="14"/>
              </w:rPr>
              <w:t> </w:t>
            </w:r>
            <w:r>
              <w:rPr>
                <w:sz w:val="14"/>
              </w:rPr>
              <w:t>(75%</w:t>
            </w:r>
            <w:r>
              <w:rPr>
                <w:spacing w:val="-3"/>
                <w:sz w:val="14"/>
              </w:rPr>
              <w:t> </w:t>
            </w:r>
            <w:r>
              <w:rPr>
                <w:sz w:val="14"/>
              </w:rPr>
              <w:t>of</w:t>
            </w:r>
            <w:r>
              <w:rPr>
                <w:spacing w:val="-1"/>
                <w:sz w:val="14"/>
              </w:rPr>
              <w:t> </w:t>
            </w:r>
            <w:r>
              <w:rPr>
                <w:sz w:val="14"/>
              </w:rPr>
              <w:t>the</w:t>
            </w:r>
            <w:r>
              <w:rPr>
                <w:spacing w:val="-5"/>
                <w:sz w:val="14"/>
              </w:rPr>
              <w:t> </w:t>
            </w:r>
            <w:r>
              <w:rPr>
                <w:sz w:val="14"/>
              </w:rPr>
              <w:t>first</w:t>
            </w:r>
            <w:r>
              <w:rPr>
                <w:spacing w:val="-3"/>
                <w:sz w:val="14"/>
              </w:rPr>
              <w:t> </w:t>
            </w:r>
            <w:r>
              <w:rPr>
                <w:sz w:val="14"/>
              </w:rPr>
              <w:t>hour</w:t>
            </w:r>
            <w:r>
              <w:rPr>
                <w:spacing w:val="-5"/>
                <w:sz w:val="14"/>
              </w:rPr>
              <w:t> </w:t>
            </w:r>
            <w:r>
              <w:rPr>
                <w:sz w:val="14"/>
              </w:rPr>
              <w:t>up</w:t>
            </w:r>
            <w:r>
              <w:rPr>
                <w:spacing w:val="-4"/>
                <w:sz w:val="14"/>
              </w:rPr>
              <w:t> </w:t>
            </w:r>
            <w:r>
              <w:rPr>
                <w:sz w:val="14"/>
              </w:rPr>
              <w:t>to</w:t>
            </w:r>
            <w:r>
              <w:rPr>
                <w:spacing w:val="-2"/>
                <w:sz w:val="14"/>
              </w:rPr>
              <w:t> </w:t>
            </w:r>
            <w:r>
              <w:rPr>
                <w:sz w:val="14"/>
              </w:rPr>
              <w:t>a</w:t>
            </w:r>
            <w:r>
              <w:rPr>
                <w:spacing w:val="-3"/>
                <w:sz w:val="14"/>
              </w:rPr>
              <w:t> </w:t>
            </w:r>
            <w:r>
              <w:rPr>
                <w:sz w:val="14"/>
              </w:rPr>
              <w:t>total</w:t>
            </w:r>
            <w:r>
              <w:rPr>
                <w:spacing w:val="40"/>
                <w:sz w:val="14"/>
              </w:rPr>
              <w:t> </w:t>
            </w:r>
            <w:r>
              <w:rPr>
                <w:sz w:val="14"/>
              </w:rPr>
              <w:t>of 4 hours)</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4"/>
                <w:sz w:val="14"/>
              </w:rPr>
              <w:t>0.00</w:t>
            </w:r>
          </w:p>
        </w:tc>
        <w:tc>
          <w:tcPr>
            <w:tcW w:w="995" w:type="dxa"/>
          </w:tcPr>
          <w:p>
            <w:pPr>
              <w:pStyle w:val="TableParagraph"/>
              <w:spacing w:before="8"/>
              <w:rPr>
                <w:sz w:val="16"/>
              </w:rPr>
            </w:pPr>
          </w:p>
          <w:p>
            <w:pPr>
              <w:pStyle w:val="TableParagraph"/>
              <w:spacing w:line="140" w:lineRule="exact"/>
              <w:ind w:right="101"/>
              <w:jc w:val="right"/>
              <w:rPr>
                <w:sz w:val="14"/>
              </w:rPr>
            </w:pPr>
            <w:r>
              <w:rPr>
                <w:spacing w:val="-4"/>
                <w:sz w:val="14"/>
              </w:rPr>
              <w:t>3.75</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Positive</w:t>
            </w:r>
            <w:r>
              <w:rPr>
                <w:spacing w:val="-6"/>
                <w:sz w:val="14"/>
              </w:rPr>
              <w:t> </w:t>
            </w:r>
            <w:r>
              <w:rPr>
                <w:sz w:val="14"/>
              </w:rPr>
              <w:t>Ageing</w:t>
            </w:r>
            <w:r>
              <w:rPr>
                <w:spacing w:val="-2"/>
                <w:sz w:val="14"/>
              </w:rPr>
              <w:t> </w:t>
            </w:r>
            <w:r>
              <w:rPr>
                <w:sz w:val="14"/>
              </w:rPr>
              <w:t>-</w:t>
            </w:r>
            <w:r>
              <w:rPr>
                <w:spacing w:val="-5"/>
                <w:sz w:val="14"/>
              </w:rPr>
              <w:t> </w:t>
            </w:r>
            <w:r>
              <w:rPr>
                <w:sz w:val="14"/>
              </w:rPr>
              <w:t>Health/Information</w:t>
            </w:r>
            <w:r>
              <w:rPr>
                <w:spacing w:val="-5"/>
                <w:sz w:val="14"/>
              </w:rPr>
              <w:t> </w:t>
            </w:r>
            <w:r>
              <w:rPr>
                <w:sz w:val="14"/>
              </w:rPr>
              <w:t>-</w:t>
            </w:r>
            <w:r>
              <w:rPr>
                <w:spacing w:val="-2"/>
                <w:sz w:val="14"/>
              </w:rPr>
              <w:t> </w:t>
            </w:r>
            <w:r>
              <w:rPr>
                <w:sz w:val="14"/>
              </w:rPr>
              <w:t>First</w:t>
            </w:r>
            <w:r>
              <w:rPr>
                <w:spacing w:val="-5"/>
                <w:sz w:val="14"/>
              </w:rPr>
              <w:t> </w:t>
            </w:r>
            <w:r>
              <w:rPr>
                <w:sz w:val="14"/>
              </w:rPr>
              <w:t>hour</w:t>
            </w:r>
            <w:r>
              <w:rPr>
                <w:spacing w:val="-5"/>
                <w:sz w:val="14"/>
              </w:rPr>
              <w:t> </w:t>
            </w:r>
            <w:r>
              <w:rPr>
                <w:spacing w:val="-4"/>
                <w:sz w:val="14"/>
              </w:rPr>
              <w:t>only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4"/>
                <w:sz w:val="14"/>
              </w:rPr>
              <w:t>4.00</w:t>
            </w:r>
          </w:p>
        </w:tc>
        <w:tc>
          <w:tcPr>
            <w:tcW w:w="861" w:type="dxa"/>
          </w:tcPr>
          <w:p>
            <w:pPr>
              <w:pStyle w:val="TableParagraph"/>
              <w:spacing w:line="140" w:lineRule="exact" w:before="17"/>
              <w:ind w:left="327"/>
              <w:rPr>
                <w:sz w:val="14"/>
              </w:rPr>
            </w:pPr>
            <w:r>
              <w:rPr>
                <w:spacing w:val="-5"/>
                <w:sz w:val="14"/>
              </w:rPr>
              <w:t>0.0</w:t>
            </w:r>
          </w:p>
        </w:tc>
      </w:tr>
      <w:tr>
        <w:trPr>
          <w:trHeight w:val="354" w:hRule="atLeast"/>
        </w:trPr>
        <w:tc>
          <w:tcPr>
            <w:tcW w:w="5794" w:type="dxa"/>
          </w:tcPr>
          <w:p>
            <w:pPr>
              <w:pStyle w:val="TableParagraph"/>
              <w:spacing w:line="160" w:lineRule="atLeast" w:before="14"/>
              <w:ind w:left="107"/>
              <w:rPr>
                <w:sz w:val="14"/>
              </w:rPr>
            </w:pPr>
            <w:r>
              <w:rPr>
                <w:sz w:val="14"/>
              </w:rPr>
              <w:t>Positive</w:t>
            </w:r>
            <w:r>
              <w:rPr>
                <w:spacing w:val="-5"/>
                <w:sz w:val="14"/>
              </w:rPr>
              <w:t> </w:t>
            </w:r>
            <w:r>
              <w:rPr>
                <w:sz w:val="14"/>
              </w:rPr>
              <w:t>Ageing -</w:t>
            </w:r>
            <w:r>
              <w:rPr>
                <w:spacing w:val="-4"/>
                <w:sz w:val="14"/>
              </w:rPr>
              <w:t> </w:t>
            </w:r>
            <w:r>
              <w:rPr>
                <w:sz w:val="14"/>
              </w:rPr>
              <w:t>Health/Information</w:t>
            </w:r>
            <w:r>
              <w:rPr>
                <w:spacing w:val="-4"/>
                <w:sz w:val="14"/>
              </w:rPr>
              <w:t> </w:t>
            </w:r>
            <w:r>
              <w:rPr>
                <w:sz w:val="14"/>
              </w:rPr>
              <w:t>-</w:t>
            </w:r>
            <w:r>
              <w:rPr>
                <w:spacing w:val="-4"/>
                <w:sz w:val="14"/>
              </w:rPr>
              <w:t> </w:t>
            </w:r>
            <w:r>
              <w:rPr>
                <w:sz w:val="14"/>
              </w:rPr>
              <w:t>Each</w:t>
            </w:r>
            <w:r>
              <w:rPr>
                <w:spacing w:val="-4"/>
                <w:sz w:val="14"/>
              </w:rPr>
              <w:t> </w:t>
            </w:r>
            <w:r>
              <w:rPr>
                <w:sz w:val="14"/>
              </w:rPr>
              <w:t>Additional</w:t>
            </w:r>
            <w:r>
              <w:rPr>
                <w:spacing w:val="-3"/>
                <w:sz w:val="14"/>
              </w:rPr>
              <w:t> </w:t>
            </w:r>
            <w:r>
              <w:rPr>
                <w:sz w:val="14"/>
              </w:rPr>
              <w:t>Hour</w:t>
            </w:r>
            <w:r>
              <w:rPr>
                <w:spacing w:val="35"/>
                <w:sz w:val="14"/>
              </w:rPr>
              <w:t> </w:t>
            </w:r>
            <w:r>
              <w:rPr>
                <w:sz w:val="14"/>
              </w:rPr>
              <w:t>(50%</w:t>
            </w:r>
            <w:r>
              <w:rPr>
                <w:spacing w:val="-1"/>
                <w:sz w:val="14"/>
              </w:rPr>
              <w:t> </w:t>
            </w:r>
            <w:r>
              <w:rPr>
                <w:sz w:val="14"/>
              </w:rPr>
              <w:t>of</w:t>
            </w:r>
            <w:r>
              <w:rPr>
                <w:spacing w:val="-4"/>
                <w:sz w:val="14"/>
              </w:rPr>
              <w:t> </w:t>
            </w:r>
            <w:r>
              <w:rPr>
                <w:sz w:val="14"/>
              </w:rPr>
              <w:t>the</w:t>
            </w:r>
            <w:r>
              <w:rPr>
                <w:spacing w:val="-4"/>
                <w:sz w:val="14"/>
              </w:rPr>
              <w:t> </w:t>
            </w:r>
            <w:r>
              <w:rPr>
                <w:sz w:val="14"/>
              </w:rPr>
              <w:t>first</w:t>
            </w:r>
            <w:r>
              <w:rPr>
                <w:spacing w:val="-1"/>
                <w:sz w:val="14"/>
              </w:rPr>
              <w:t> </w:t>
            </w:r>
            <w:r>
              <w:rPr>
                <w:sz w:val="14"/>
              </w:rPr>
              <w:t>hour</w:t>
            </w:r>
            <w:r>
              <w:rPr>
                <w:spacing w:val="-1"/>
                <w:sz w:val="14"/>
              </w:rPr>
              <w:t> </w:t>
            </w:r>
            <w:r>
              <w:rPr>
                <w:sz w:val="14"/>
              </w:rPr>
              <w:t>up</w:t>
            </w:r>
            <w:r>
              <w:rPr>
                <w:spacing w:val="-1"/>
                <w:sz w:val="14"/>
              </w:rPr>
              <w:t> </w:t>
            </w:r>
            <w:r>
              <w:rPr>
                <w:sz w:val="14"/>
              </w:rPr>
              <w:t>to</w:t>
            </w:r>
            <w:r>
              <w:rPr>
                <w:spacing w:val="-2"/>
                <w:sz w:val="14"/>
              </w:rPr>
              <w:t> </w:t>
            </w:r>
            <w:r>
              <w:rPr>
                <w:sz w:val="14"/>
              </w:rPr>
              <w:t>a</w:t>
            </w:r>
            <w:r>
              <w:rPr>
                <w:spacing w:val="40"/>
                <w:sz w:val="14"/>
              </w:rPr>
              <w:t> </w:t>
            </w:r>
            <w:r>
              <w:rPr>
                <w:sz w:val="14"/>
              </w:rPr>
              <w:t>total of 4 hours)</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0.00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2.00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Seniors</w:t>
            </w:r>
            <w:r>
              <w:rPr>
                <w:spacing w:val="-5"/>
                <w:sz w:val="14"/>
              </w:rPr>
              <w:t> </w:t>
            </w:r>
            <w:r>
              <w:rPr>
                <w:sz w:val="14"/>
              </w:rPr>
              <w:t>Festival</w:t>
            </w:r>
            <w:r>
              <w:rPr>
                <w:spacing w:val="-4"/>
                <w:sz w:val="14"/>
              </w:rPr>
              <w:t> </w:t>
            </w:r>
            <w:r>
              <w:rPr>
                <w:spacing w:val="-2"/>
                <w:sz w:val="14"/>
              </w:rPr>
              <w:t>Luncheon</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20.00</w:t>
            </w:r>
          </w:p>
        </w:tc>
        <w:tc>
          <w:tcPr>
            <w:tcW w:w="995" w:type="dxa"/>
          </w:tcPr>
          <w:p>
            <w:pPr>
              <w:pStyle w:val="TableParagraph"/>
              <w:spacing w:line="140" w:lineRule="exact" w:before="17"/>
              <w:ind w:right="101"/>
              <w:jc w:val="right"/>
              <w:rPr>
                <w:sz w:val="14"/>
              </w:rPr>
            </w:pPr>
            <w:r>
              <w:rPr>
                <w:spacing w:val="-2"/>
                <w:sz w:val="14"/>
              </w:rPr>
              <w:t>25.00</w:t>
            </w:r>
          </w:p>
        </w:tc>
        <w:tc>
          <w:tcPr>
            <w:tcW w:w="861" w:type="dxa"/>
          </w:tcPr>
          <w:p>
            <w:pPr>
              <w:pStyle w:val="TableParagraph"/>
              <w:spacing w:line="140" w:lineRule="exact" w:before="17"/>
              <w:ind w:left="288"/>
              <w:rPr>
                <w:sz w:val="14"/>
              </w:rPr>
            </w:pPr>
            <w:r>
              <w:rPr>
                <w:spacing w:val="-4"/>
                <w:sz w:val="14"/>
              </w:rPr>
              <w:t>20.0</w:t>
            </w:r>
          </w:p>
        </w:tc>
      </w:tr>
      <w:tr>
        <w:trPr>
          <w:trHeight w:val="177" w:hRule="atLeast"/>
        </w:trPr>
        <w:tc>
          <w:tcPr>
            <w:tcW w:w="5794" w:type="dxa"/>
          </w:tcPr>
          <w:p>
            <w:pPr>
              <w:pStyle w:val="TableParagraph"/>
              <w:spacing w:line="140" w:lineRule="exact" w:before="17"/>
              <w:ind w:left="107"/>
              <w:rPr>
                <w:sz w:val="14"/>
              </w:rPr>
            </w:pPr>
            <w:r>
              <w:rPr>
                <w:sz w:val="14"/>
              </w:rPr>
              <w:t>Shopping</w:t>
            </w:r>
            <w:r>
              <w:rPr>
                <w:spacing w:val="-6"/>
                <w:sz w:val="14"/>
              </w:rPr>
              <w:t> </w:t>
            </w:r>
            <w:r>
              <w:rPr>
                <w:sz w:val="14"/>
              </w:rPr>
              <w:t>Bus</w:t>
            </w:r>
            <w:r>
              <w:rPr>
                <w:spacing w:val="-4"/>
                <w:sz w:val="14"/>
              </w:rPr>
              <w:t> </w:t>
            </w:r>
            <w:r>
              <w:rPr>
                <w:sz w:val="14"/>
              </w:rPr>
              <w:t>Program</w:t>
            </w:r>
            <w:r>
              <w:rPr>
                <w:spacing w:val="-2"/>
                <w:sz w:val="14"/>
              </w:rPr>
              <w:t> </w:t>
            </w:r>
            <w:r>
              <w:rPr>
                <w:sz w:val="14"/>
              </w:rPr>
              <w:t>-</w:t>
            </w:r>
            <w:r>
              <w:rPr>
                <w:spacing w:val="-4"/>
                <w:sz w:val="14"/>
              </w:rPr>
              <w:t> </w:t>
            </w:r>
            <w:r>
              <w:rPr>
                <w:sz w:val="14"/>
              </w:rPr>
              <w:t>Return</w:t>
            </w:r>
            <w:r>
              <w:rPr>
                <w:spacing w:val="-6"/>
                <w:sz w:val="14"/>
              </w:rPr>
              <w:t> </w:t>
            </w:r>
            <w:r>
              <w:rPr>
                <w:spacing w:val="-4"/>
                <w:sz w:val="14"/>
              </w:rPr>
              <w:t>Trip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5.91</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sz w:val="14"/>
              </w:rPr>
            </w:pPr>
            <w:r>
              <w:rPr>
                <w:sz w:val="14"/>
              </w:rPr>
              <w:t>Library</w:t>
            </w:r>
            <w:r>
              <w:rPr>
                <w:spacing w:val="-3"/>
                <w:sz w:val="14"/>
              </w:rPr>
              <w:t> </w:t>
            </w:r>
            <w:r>
              <w:rPr>
                <w:sz w:val="14"/>
              </w:rPr>
              <w:t>Program</w:t>
            </w:r>
            <w:r>
              <w:rPr>
                <w:spacing w:val="-3"/>
                <w:sz w:val="14"/>
              </w:rPr>
              <w:t> </w:t>
            </w:r>
            <w:r>
              <w:rPr>
                <w:sz w:val="14"/>
              </w:rPr>
              <w:t>-</w:t>
            </w:r>
            <w:r>
              <w:rPr>
                <w:spacing w:val="-6"/>
                <w:sz w:val="14"/>
              </w:rPr>
              <w:t> </w:t>
            </w:r>
            <w:r>
              <w:rPr>
                <w:sz w:val="14"/>
              </w:rPr>
              <w:t>Return</w:t>
            </w:r>
            <w:r>
              <w:rPr>
                <w:spacing w:val="-6"/>
                <w:sz w:val="14"/>
              </w:rPr>
              <w:t> </w:t>
            </w:r>
            <w:r>
              <w:rPr>
                <w:spacing w:val="-4"/>
                <w:sz w:val="14"/>
              </w:rPr>
              <w:t>Trip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5.91</w:t>
            </w:r>
          </w:p>
        </w:tc>
        <w:tc>
          <w:tcPr>
            <w:tcW w:w="861" w:type="dxa"/>
          </w:tcPr>
          <w:p>
            <w:pPr>
              <w:pStyle w:val="TableParagraph"/>
              <w:spacing w:line="140" w:lineRule="exact" w:before="17"/>
              <w:ind w:left="327"/>
              <w:rPr>
                <w:sz w:val="14"/>
              </w:rPr>
            </w:pPr>
            <w:r>
              <w:rPr>
                <w:spacing w:val="-5"/>
                <w:sz w:val="14"/>
              </w:rPr>
              <w:t>6.9</w:t>
            </w:r>
          </w:p>
        </w:tc>
      </w:tr>
      <w:tr>
        <w:trPr>
          <w:trHeight w:val="177" w:hRule="atLeast"/>
        </w:trPr>
        <w:tc>
          <w:tcPr>
            <w:tcW w:w="5794" w:type="dxa"/>
          </w:tcPr>
          <w:p>
            <w:pPr>
              <w:pStyle w:val="TableParagraph"/>
              <w:spacing w:line="140" w:lineRule="exact" w:before="17"/>
              <w:ind w:left="107"/>
              <w:rPr>
                <w:b/>
                <w:sz w:val="14"/>
              </w:rPr>
            </w:pPr>
            <w:r>
              <w:rPr>
                <w:b/>
                <w:sz w:val="14"/>
              </w:rPr>
              <w:t>HACC</w:t>
            </w:r>
            <w:r>
              <w:rPr>
                <w:b/>
                <w:spacing w:val="-4"/>
                <w:sz w:val="14"/>
              </w:rPr>
              <w:t> </w:t>
            </w:r>
            <w:r>
              <w:rPr>
                <w:b/>
                <w:sz w:val="14"/>
              </w:rPr>
              <w:t>Allied</w:t>
            </w:r>
            <w:r>
              <w:rPr>
                <w:b/>
                <w:spacing w:val="-4"/>
                <w:sz w:val="14"/>
              </w:rPr>
              <w:t> </w:t>
            </w:r>
            <w:r>
              <w:rPr>
                <w:b/>
                <w:spacing w:val="-2"/>
                <w:sz w:val="14"/>
              </w:rPr>
              <w:t>Health</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2" w:hRule="atLeast"/>
        </w:trPr>
        <w:tc>
          <w:tcPr>
            <w:tcW w:w="5794" w:type="dxa"/>
          </w:tcPr>
          <w:p>
            <w:pPr>
              <w:pStyle w:val="TableParagraph"/>
              <w:spacing w:line="160" w:lineRule="atLeast" w:before="11"/>
              <w:ind w:left="107"/>
              <w:rPr>
                <w:sz w:val="14"/>
              </w:rPr>
            </w:pPr>
            <w:r>
              <w:rPr>
                <w:sz w:val="14"/>
              </w:rPr>
              <w:t>Occupational</w:t>
            </w:r>
            <w:r>
              <w:rPr>
                <w:spacing w:val="-4"/>
                <w:sz w:val="14"/>
              </w:rPr>
              <w:t> </w:t>
            </w:r>
            <w:r>
              <w:rPr>
                <w:sz w:val="14"/>
              </w:rPr>
              <w:t>Therapy</w:t>
            </w:r>
            <w:r>
              <w:rPr>
                <w:spacing w:val="-5"/>
                <w:sz w:val="14"/>
              </w:rPr>
              <w:t> </w:t>
            </w:r>
            <w:r>
              <w:rPr>
                <w:sz w:val="14"/>
              </w:rPr>
              <w:t>-</w:t>
            </w:r>
            <w:r>
              <w:rPr>
                <w:spacing w:val="-1"/>
                <w:sz w:val="14"/>
              </w:rPr>
              <w:t> </w:t>
            </w:r>
            <w:r>
              <w:rPr>
                <w:sz w:val="14"/>
              </w:rPr>
              <w:t>Fee</w:t>
            </w:r>
            <w:r>
              <w:rPr>
                <w:spacing w:val="-5"/>
                <w:sz w:val="14"/>
              </w:rPr>
              <w:t> </w:t>
            </w:r>
            <w:r>
              <w:rPr>
                <w:sz w:val="14"/>
              </w:rPr>
              <w:t>Per</w:t>
            </w:r>
            <w:r>
              <w:rPr>
                <w:spacing w:val="-5"/>
                <w:sz w:val="14"/>
              </w:rPr>
              <w:t> </w:t>
            </w:r>
            <w:r>
              <w:rPr>
                <w:sz w:val="14"/>
              </w:rPr>
              <w:t>Episode</w:t>
            </w:r>
            <w:r>
              <w:rPr>
                <w:spacing w:val="-3"/>
                <w:sz w:val="14"/>
              </w:rPr>
              <w:t> </w:t>
            </w:r>
            <w:r>
              <w:rPr>
                <w:sz w:val="14"/>
              </w:rPr>
              <w:t>-</w:t>
            </w:r>
            <w:r>
              <w:rPr>
                <w:spacing w:val="-5"/>
                <w:sz w:val="14"/>
              </w:rPr>
              <w:t> </w:t>
            </w:r>
            <w:r>
              <w:rPr>
                <w:sz w:val="14"/>
              </w:rPr>
              <w:t>First</w:t>
            </w:r>
            <w:r>
              <w:rPr>
                <w:spacing w:val="-4"/>
                <w:sz w:val="14"/>
              </w:rPr>
              <w:t> </w:t>
            </w:r>
            <w:r>
              <w:rPr>
                <w:sz w:val="14"/>
              </w:rPr>
              <w:t>Visit</w:t>
            </w:r>
            <w:r>
              <w:rPr>
                <w:spacing w:val="-5"/>
                <w:sz w:val="14"/>
              </w:rPr>
              <w:t> </w:t>
            </w:r>
            <w:r>
              <w:rPr>
                <w:sz w:val="14"/>
              </w:rPr>
              <w:t>Only-</w:t>
            </w:r>
            <w:r>
              <w:rPr>
                <w:spacing w:val="-5"/>
                <w:sz w:val="14"/>
              </w:rPr>
              <w:t> </w:t>
            </w:r>
            <w:r>
              <w:rPr>
                <w:sz w:val="14"/>
              </w:rPr>
              <w:t>Home</w:t>
            </w:r>
            <w:r>
              <w:rPr>
                <w:spacing w:val="-4"/>
                <w:sz w:val="14"/>
              </w:rPr>
              <w:t> </w:t>
            </w:r>
            <w:r>
              <w:rPr>
                <w:sz w:val="14"/>
              </w:rPr>
              <w:t>Care</w:t>
            </w:r>
            <w:r>
              <w:rPr>
                <w:spacing w:val="40"/>
                <w:sz w:val="14"/>
              </w:rPr>
              <w:t> </w:t>
            </w:r>
            <w:r>
              <w:rPr>
                <w:sz w:val="14"/>
              </w:rPr>
              <w:t>Packages/NDIS/Private - High 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117.85</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126.69</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Occupational</w:t>
            </w:r>
            <w:r>
              <w:rPr>
                <w:spacing w:val="-4"/>
                <w:sz w:val="14"/>
              </w:rPr>
              <w:t> </w:t>
            </w:r>
            <w:r>
              <w:rPr>
                <w:sz w:val="14"/>
              </w:rPr>
              <w:t>Therapy</w:t>
            </w:r>
            <w:r>
              <w:rPr>
                <w:spacing w:val="-3"/>
                <w:sz w:val="14"/>
              </w:rPr>
              <w:t> </w:t>
            </w:r>
            <w:r>
              <w:rPr>
                <w:sz w:val="14"/>
              </w:rPr>
              <w:t>-</w:t>
            </w:r>
            <w:r>
              <w:rPr>
                <w:spacing w:val="-1"/>
                <w:sz w:val="14"/>
              </w:rPr>
              <w:t> </w:t>
            </w:r>
            <w:r>
              <w:rPr>
                <w:sz w:val="14"/>
              </w:rPr>
              <w:t>Fee</w:t>
            </w:r>
            <w:r>
              <w:rPr>
                <w:spacing w:val="-4"/>
                <w:sz w:val="14"/>
              </w:rPr>
              <w:t> </w:t>
            </w:r>
            <w:r>
              <w:rPr>
                <w:sz w:val="14"/>
              </w:rPr>
              <w:t>Per</w:t>
            </w:r>
            <w:r>
              <w:rPr>
                <w:spacing w:val="-4"/>
                <w:sz w:val="14"/>
              </w:rPr>
              <w:t> </w:t>
            </w:r>
            <w:r>
              <w:rPr>
                <w:sz w:val="14"/>
              </w:rPr>
              <w:t>Episode</w:t>
            </w:r>
            <w:r>
              <w:rPr>
                <w:spacing w:val="-1"/>
                <w:sz w:val="14"/>
              </w:rPr>
              <w:t> </w:t>
            </w:r>
            <w:r>
              <w:rPr>
                <w:sz w:val="14"/>
              </w:rPr>
              <w:t>-</w:t>
            </w:r>
            <w:r>
              <w:rPr>
                <w:spacing w:val="-5"/>
                <w:sz w:val="14"/>
              </w:rPr>
              <w:t> </w:t>
            </w:r>
            <w:r>
              <w:rPr>
                <w:sz w:val="14"/>
              </w:rPr>
              <w:t>First</w:t>
            </w:r>
            <w:r>
              <w:rPr>
                <w:spacing w:val="-4"/>
                <w:sz w:val="14"/>
              </w:rPr>
              <w:t> </w:t>
            </w:r>
            <w:r>
              <w:rPr>
                <w:sz w:val="14"/>
              </w:rPr>
              <w:t>Visit</w:t>
            </w:r>
            <w:r>
              <w:rPr>
                <w:spacing w:val="-3"/>
                <w:sz w:val="14"/>
              </w:rPr>
              <w:t> </w:t>
            </w:r>
            <w:r>
              <w:rPr>
                <w:sz w:val="14"/>
              </w:rPr>
              <w:t>Only</w:t>
            </w:r>
            <w:r>
              <w:rPr>
                <w:spacing w:val="-3"/>
                <w:sz w:val="14"/>
              </w:rPr>
              <w:t> </w:t>
            </w:r>
            <w:r>
              <w:rPr>
                <w:sz w:val="14"/>
              </w:rPr>
              <w:t>-</w:t>
            </w:r>
            <w:r>
              <w:rPr>
                <w:spacing w:val="-1"/>
                <w:sz w:val="14"/>
              </w:rPr>
              <w:t> </w:t>
            </w:r>
            <w:r>
              <w:rPr>
                <w:sz w:val="14"/>
              </w:rPr>
              <w:t>CHSP</w:t>
            </w:r>
            <w:r>
              <w:rPr>
                <w:spacing w:val="-2"/>
                <w:sz w:val="14"/>
              </w:rPr>
              <w:t> </w:t>
            </w:r>
            <w:r>
              <w:rPr>
                <w:sz w:val="14"/>
              </w:rPr>
              <w:t>-</w:t>
            </w:r>
            <w:r>
              <w:rPr>
                <w:spacing w:val="-2"/>
                <w:sz w:val="14"/>
              </w:rPr>
              <w:t> </w:t>
            </w:r>
            <w:r>
              <w:rPr>
                <w:sz w:val="14"/>
              </w:rPr>
              <w:t>Low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11.65</w:t>
            </w:r>
          </w:p>
        </w:tc>
        <w:tc>
          <w:tcPr>
            <w:tcW w:w="995" w:type="dxa"/>
          </w:tcPr>
          <w:p>
            <w:pPr>
              <w:pStyle w:val="TableParagraph"/>
              <w:spacing w:line="140" w:lineRule="exact" w:before="17"/>
              <w:ind w:right="101"/>
              <w:jc w:val="right"/>
              <w:rPr>
                <w:sz w:val="14"/>
              </w:rPr>
            </w:pPr>
            <w:r>
              <w:rPr>
                <w:spacing w:val="-2"/>
                <w:sz w:val="14"/>
              </w:rPr>
              <w:t>15.00</w:t>
            </w:r>
          </w:p>
        </w:tc>
        <w:tc>
          <w:tcPr>
            <w:tcW w:w="861" w:type="dxa"/>
          </w:tcPr>
          <w:p>
            <w:pPr>
              <w:pStyle w:val="TableParagraph"/>
              <w:spacing w:line="140" w:lineRule="exact" w:before="17"/>
              <w:ind w:left="288"/>
              <w:rPr>
                <w:sz w:val="14"/>
              </w:rPr>
            </w:pPr>
            <w:r>
              <w:rPr>
                <w:spacing w:val="-4"/>
                <w:sz w:val="14"/>
              </w:rPr>
              <w:t>22.3</w:t>
            </w:r>
          </w:p>
        </w:tc>
      </w:tr>
      <w:tr>
        <w:trPr>
          <w:trHeight w:val="177" w:hRule="atLeast"/>
        </w:trPr>
        <w:tc>
          <w:tcPr>
            <w:tcW w:w="5794" w:type="dxa"/>
          </w:tcPr>
          <w:p>
            <w:pPr>
              <w:pStyle w:val="TableParagraph"/>
              <w:spacing w:line="140" w:lineRule="exact" w:before="17"/>
              <w:ind w:left="107"/>
              <w:rPr>
                <w:sz w:val="14"/>
              </w:rPr>
            </w:pPr>
            <w:r>
              <w:rPr>
                <w:sz w:val="14"/>
              </w:rPr>
              <w:t>Occupational</w:t>
            </w:r>
            <w:r>
              <w:rPr>
                <w:spacing w:val="-4"/>
                <w:sz w:val="14"/>
              </w:rPr>
              <w:t> </w:t>
            </w:r>
            <w:r>
              <w:rPr>
                <w:sz w:val="14"/>
              </w:rPr>
              <w:t>Therapy</w:t>
            </w:r>
            <w:r>
              <w:rPr>
                <w:spacing w:val="-3"/>
                <w:sz w:val="14"/>
              </w:rPr>
              <w:t> </w:t>
            </w:r>
            <w:r>
              <w:rPr>
                <w:sz w:val="14"/>
              </w:rPr>
              <w:t>-</w:t>
            </w:r>
            <w:r>
              <w:rPr>
                <w:spacing w:val="-1"/>
                <w:sz w:val="14"/>
              </w:rPr>
              <w:t> </w:t>
            </w:r>
            <w:r>
              <w:rPr>
                <w:sz w:val="14"/>
              </w:rPr>
              <w:t>Fee</w:t>
            </w:r>
            <w:r>
              <w:rPr>
                <w:spacing w:val="-4"/>
                <w:sz w:val="14"/>
              </w:rPr>
              <w:t> </w:t>
            </w:r>
            <w:r>
              <w:rPr>
                <w:sz w:val="14"/>
              </w:rPr>
              <w:t>Per</w:t>
            </w:r>
            <w:r>
              <w:rPr>
                <w:spacing w:val="-4"/>
                <w:sz w:val="14"/>
              </w:rPr>
              <w:t> </w:t>
            </w:r>
            <w:r>
              <w:rPr>
                <w:sz w:val="14"/>
              </w:rPr>
              <w:t>Episode</w:t>
            </w:r>
            <w:r>
              <w:rPr>
                <w:spacing w:val="-2"/>
                <w:sz w:val="14"/>
              </w:rPr>
              <w:t> </w:t>
            </w:r>
            <w:r>
              <w:rPr>
                <w:sz w:val="14"/>
              </w:rPr>
              <w:t>-</w:t>
            </w:r>
            <w:r>
              <w:rPr>
                <w:spacing w:val="-4"/>
                <w:sz w:val="14"/>
              </w:rPr>
              <w:t> </w:t>
            </w:r>
            <w:r>
              <w:rPr>
                <w:sz w:val="14"/>
              </w:rPr>
              <w:t>First</w:t>
            </w:r>
            <w:r>
              <w:rPr>
                <w:spacing w:val="-4"/>
                <w:sz w:val="14"/>
              </w:rPr>
              <w:t> </w:t>
            </w:r>
            <w:r>
              <w:rPr>
                <w:sz w:val="14"/>
              </w:rPr>
              <w:t>Visit</w:t>
            </w:r>
            <w:r>
              <w:rPr>
                <w:spacing w:val="-4"/>
                <w:sz w:val="14"/>
              </w:rPr>
              <w:t> </w:t>
            </w:r>
            <w:r>
              <w:rPr>
                <w:sz w:val="14"/>
              </w:rPr>
              <w:t>Only</w:t>
            </w:r>
            <w:r>
              <w:rPr>
                <w:spacing w:val="-3"/>
                <w:sz w:val="14"/>
              </w:rPr>
              <w:t> </w:t>
            </w:r>
            <w:r>
              <w:rPr>
                <w:sz w:val="14"/>
              </w:rPr>
              <w:t>-</w:t>
            </w:r>
            <w:r>
              <w:rPr>
                <w:spacing w:val="-1"/>
                <w:sz w:val="14"/>
              </w:rPr>
              <w:t> </w:t>
            </w:r>
            <w:r>
              <w:rPr>
                <w:sz w:val="14"/>
              </w:rPr>
              <w:t>CHSP</w:t>
            </w:r>
            <w:r>
              <w:rPr>
                <w:spacing w:val="-3"/>
                <w:sz w:val="14"/>
              </w:rPr>
              <w:t> </w:t>
            </w:r>
            <w:r>
              <w:rPr>
                <w:sz w:val="14"/>
              </w:rPr>
              <w:t>-</w:t>
            </w:r>
            <w:r>
              <w:rPr>
                <w:spacing w:val="-1"/>
                <w:sz w:val="14"/>
              </w:rPr>
              <w:t> </w:t>
            </w:r>
            <w:r>
              <w:rPr>
                <w:sz w:val="14"/>
              </w:rPr>
              <w:t>Medium</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17.90</w:t>
            </w:r>
          </w:p>
        </w:tc>
        <w:tc>
          <w:tcPr>
            <w:tcW w:w="995" w:type="dxa"/>
          </w:tcPr>
          <w:p>
            <w:pPr>
              <w:pStyle w:val="TableParagraph"/>
              <w:spacing w:line="140" w:lineRule="exact" w:before="17"/>
              <w:ind w:right="101"/>
              <w:jc w:val="right"/>
              <w:rPr>
                <w:sz w:val="14"/>
              </w:rPr>
            </w:pPr>
            <w:r>
              <w:rPr>
                <w:spacing w:val="-2"/>
                <w:sz w:val="14"/>
              </w:rPr>
              <w:t>23.00</w:t>
            </w:r>
          </w:p>
        </w:tc>
        <w:tc>
          <w:tcPr>
            <w:tcW w:w="861" w:type="dxa"/>
          </w:tcPr>
          <w:p>
            <w:pPr>
              <w:pStyle w:val="TableParagraph"/>
              <w:spacing w:line="140" w:lineRule="exact" w:before="17"/>
              <w:ind w:left="288"/>
              <w:rPr>
                <w:sz w:val="14"/>
              </w:rPr>
            </w:pPr>
            <w:r>
              <w:rPr>
                <w:spacing w:val="-4"/>
                <w:sz w:val="14"/>
              </w:rPr>
              <w:t>22.2</w:t>
            </w:r>
          </w:p>
        </w:tc>
      </w:tr>
      <w:tr>
        <w:trPr>
          <w:trHeight w:val="354" w:hRule="atLeast"/>
        </w:trPr>
        <w:tc>
          <w:tcPr>
            <w:tcW w:w="5794" w:type="dxa"/>
          </w:tcPr>
          <w:p>
            <w:pPr>
              <w:pStyle w:val="TableParagraph"/>
              <w:spacing w:line="160" w:lineRule="atLeast" w:before="14"/>
              <w:ind w:left="107"/>
              <w:rPr>
                <w:sz w:val="14"/>
              </w:rPr>
            </w:pPr>
            <w:r>
              <w:rPr>
                <w:sz w:val="14"/>
              </w:rPr>
              <w:t>Occupational</w:t>
            </w:r>
            <w:r>
              <w:rPr>
                <w:spacing w:val="-4"/>
                <w:sz w:val="14"/>
              </w:rPr>
              <w:t> </w:t>
            </w:r>
            <w:r>
              <w:rPr>
                <w:sz w:val="14"/>
              </w:rPr>
              <w:t>Therapy</w:t>
            </w:r>
            <w:r>
              <w:rPr>
                <w:spacing w:val="-5"/>
                <w:sz w:val="14"/>
              </w:rPr>
              <w:t> </w:t>
            </w:r>
            <w:r>
              <w:rPr>
                <w:sz w:val="14"/>
              </w:rPr>
              <w:t>-</w:t>
            </w:r>
            <w:r>
              <w:rPr>
                <w:spacing w:val="-1"/>
                <w:sz w:val="14"/>
              </w:rPr>
              <w:t> </w:t>
            </w:r>
            <w:r>
              <w:rPr>
                <w:sz w:val="14"/>
              </w:rPr>
              <w:t>Fee</w:t>
            </w:r>
            <w:r>
              <w:rPr>
                <w:spacing w:val="-5"/>
                <w:sz w:val="14"/>
              </w:rPr>
              <w:t> </w:t>
            </w:r>
            <w:r>
              <w:rPr>
                <w:sz w:val="14"/>
              </w:rPr>
              <w:t>Per</w:t>
            </w:r>
            <w:r>
              <w:rPr>
                <w:spacing w:val="-5"/>
                <w:sz w:val="14"/>
              </w:rPr>
              <w:t> </w:t>
            </w:r>
            <w:r>
              <w:rPr>
                <w:sz w:val="14"/>
              </w:rPr>
              <w:t>Episode</w:t>
            </w:r>
            <w:r>
              <w:rPr>
                <w:spacing w:val="-3"/>
                <w:sz w:val="14"/>
              </w:rPr>
              <w:t> </w:t>
            </w:r>
            <w:r>
              <w:rPr>
                <w:sz w:val="14"/>
              </w:rPr>
              <w:t>-</w:t>
            </w:r>
            <w:r>
              <w:rPr>
                <w:spacing w:val="-5"/>
                <w:sz w:val="14"/>
              </w:rPr>
              <w:t> </w:t>
            </w:r>
            <w:r>
              <w:rPr>
                <w:sz w:val="14"/>
              </w:rPr>
              <w:t>Follow</w:t>
            </w:r>
            <w:r>
              <w:rPr>
                <w:spacing w:val="-1"/>
                <w:sz w:val="14"/>
              </w:rPr>
              <w:t> </w:t>
            </w:r>
            <w:r>
              <w:rPr>
                <w:sz w:val="14"/>
              </w:rPr>
              <w:t>Up</w:t>
            </w:r>
            <w:r>
              <w:rPr>
                <w:spacing w:val="-6"/>
                <w:sz w:val="14"/>
              </w:rPr>
              <w:t> </w:t>
            </w:r>
            <w:r>
              <w:rPr>
                <w:sz w:val="14"/>
              </w:rPr>
              <w:t>Visits</w:t>
            </w:r>
            <w:r>
              <w:rPr>
                <w:spacing w:val="-5"/>
                <w:sz w:val="14"/>
              </w:rPr>
              <w:t> </w:t>
            </w:r>
            <w:r>
              <w:rPr>
                <w:sz w:val="14"/>
              </w:rPr>
              <w:t>-</w:t>
            </w:r>
            <w:r>
              <w:rPr>
                <w:spacing w:val="34"/>
                <w:sz w:val="14"/>
              </w:rPr>
              <w:t> </w:t>
            </w:r>
            <w:r>
              <w:rPr>
                <w:sz w:val="14"/>
              </w:rPr>
              <w:t>CHSP/HomeCare</w:t>
            </w:r>
            <w:r>
              <w:rPr>
                <w:spacing w:val="40"/>
                <w:sz w:val="14"/>
              </w:rPr>
              <w:t> </w:t>
            </w:r>
            <w:r>
              <w:rPr>
                <w:sz w:val="14"/>
              </w:rPr>
              <w:t>Package/NDIS/Private - Low, Medium &amp; High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0.00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5.91</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bl>
    <w:p>
      <w:pPr>
        <w:spacing w:after="0" w:line="140" w:lineRule="exact"/>
        <w:rPr>
          <w:sz w:val="14"/>
        </w:rPr>
        <w:sectPr>
          <w:type w:val="continuous"/>
          <w:pgSz w:w="11910" w:h="16840"/>
          <w:pgMar w:header="0" w:footer="687" w:top="920" w:bottom="1326" w:left="620" w:right="40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94"/>
        <w:gridCol w:w="1131"/>
        <w:gridCol w:w="567"/>
        <w:gridCol w:w="997"/>
        <w:gridCol w:w="995"/>
        <w:gridCol w:w="861"/>
      </w:tblGrid>
      <w:tr>
        <w:trPr>
          <w:trHeight w:val="242" w:hRule="atLeast"/>
        </w:trPr>
        <w:tc>
          <w:tcPr>
            <w:tcW w:w="10345" w:type="dxa"/>
            <w:gridSpan w:val="6"/>
            <w:shd w:val="clear" w:color="auto" w:fill="3399FF"/>
          </w:tcPr>
          <w:p>
            <w:pPr>
              <w:pStyle w:val="TableParagraph"/>
              <w:spacing w:before="41"/>
              <w:ind w:left="4164" w:right="4162"/>
              <w:jc w:val="center"/>
              <w:rPr>
                <w:b/>
                <w:sz w:val="14"/>
              </w:rPr>
            </w:pPr>
            <w:r>
              <w:rPr>
                <w:b/>
                <w:color w:val="FFFFFF"/>
                <w:sz w:val="14"/>
              </w:rPr>
              <w:t>FEES</w:t>
            </w:r>
            <w:r>
              <w:rPr>
                <w:b/>
                <w:color w:val="FFFFFF"/>
                <w:spacing w:val="-5"/>
                <w:sz w:val="14"/>
              </w:rPr>
              <w:t> </w:t>
            </w:r>
            <w:r>
              <w:rPr>
                <w:b/>
                <w:color w:val="FFFFFF"/>
                <w:sz w:val="14"/>
              </w:rPr>
              <w:t>AND</w:t>
            </w:r>
            <w:r>
              <w:rPr>
                <w:b/>
                <w:color w:val="FFFFFF"/>
                <w:spacing w:val="-4"/>
                <w:sz w:val="14"/>
              </w:rPr>
              <w:t> </w:t>
            </w:r>
            <w:r>
              <w:rPr>
                <w:b/>
                <w:color w:val="FFFFFF"/>
                <w:sz w:val="14"/>
              </w:rPr>
              <w:t>CHARGES</w:t>
            </w:r>
            <w:r>
              <w:rPr>
                <w:b/>
                <w:color w:val="FFFFFF"/>
                <w:spacing w:val="-1"/>
                <w:sz w:val="14"/>
              </w:rPr>
              <w:t> </w:t>
            </w:r>
            <w:r>
              <w:rPr>
                <w:b/>
                <w:color w:val="FFFFFF"/>
                <w:spacing w:val="-2"/>
                <w:sz w:val="14"/>
              </w:rPr>
              <w:t>2024/25</w:t>
            </w:r>
          </w:p>
        </w:tc>
      </w:tr>
      <w:tr>
        <w:trPr>
          <w:trHeight w:val="645" w:hRule="atLeast"/>
        </w:trPr>
        <w:tc>
          <w:tcPr>
            <w:tcW w:w="5794" w:type="dxa"/>
            <w:shd w:val="clear" w:color="auto" w:fill="3399FF"/>
          </w:tcPr>
          <w:p>
            <w:pPr>
              <w:pStyle w:val="TableParagraph"/>
              <w:spacing w:before="1"/>
              <w:rPr>
                <w:sz w:val="21"/>
              </w:rPr>
            </w:pPr>
          </w:p>
          <w:p>
            <w:pPr>
              <w:pStyle w:val="TableParagraph"/>
              <w:ind w:left="107"/>
              <w:rPr>
                <w:b/>
                <w:sz w:val="14"/>
              </w:rPr>
            </w:pPr>
            <w:r>
              <w:rPr>
                <w:b/>
                <w:color w:val="FFFFFF"/>
                <w:sz w:val="14"/>
              </w:rPr>
              <w:t>Account</w:t>
            </w:r>
            <w:r>
              <w:rPr>
                <w:b/>
                <w:color w:val="FFFFFF"/>
                <w:spacing w:val="-7"/>
                <w:sz w:val="14"/>
              </w:rPr>
              <w:t> </w:t>
            </w:r>
            <w:r>
              <w:rPr>
                <w:b/>
                <w:color w:val="FFFFFF"/>
                <w:spacing w:val="-2"/>
                <w:sz w:val="14"/>
              </w:rPr>
              <w:t>Description</w:t>
            </w:r>
          </w:p>
        </w:tc>
        <w:tc>
          <w:tcPr>
            <w:tcW w:w="1131" w:type="dxa"/>
            <w:shd w:val="clear" w:color="auto" w:fill="3399FF"/>
          </w:tcPr>
          <w:p>
            <w:pPr>
              <w:pStyle w:val="TableParagraph"/>
              <w:spacing w:line="160" w:lineRule="atLeast"/>
              <w:ind w:left="169" w:right="160"/>
              <w:jc w:val="center"/>
              <w:rPr>
                <w:b/>
                <w:sz w:val="14"/>
              </w:rPr>
            </w:pPr>
            <w:r>
              <w:rPr>
                <w:b/>
                <w:color w:val="FFFFFF"/>
                <w:sz w:val="14"/>
              </w:rPr>
              <w:t>Fee</w:t>
            </w:r>
            <w:r>
              <w:rPr>
                <w:b/>
                <w:color w:val="FFFFFF"/>
                <w:spacing w:val="-6"/>
                <w:sz w:val="14"/>
              </w:rPr>
              <w:t> </w:t>
            </w:r>
            <w:r>
              <w:rPr>
                <w:b/>
                <w:color w:val="FFFFFF"/>
                <w:sz w:val="14"/>
              </w:rPr>
              <w:t>Type</w:t>
            </w:r>
            <w:r>
              <w:rPr>
                <w:b/>
                <w:color w:val="FFFFFF"/>
                <w:spacing w:val="40"/>
                <w:sz w:val="14"/>
              </w:rPr>
              <w:t> </w:t>
            </w:r>
            <w:r>
              <w:rPr>
                <w:b/>
                <w:color w:val="FFFFFF"/>
                <w:spacing w:val="-2"/>
                <w:sz w:val="14"/>
              </w:rPr>
              <w:t>N=Non</w:t>
            </w:r>
            <w:r>
              <w:rPr>
                <w:b/>
                <w:color w:val="FFFFFF"/>
                <w:spacing w:val="40"/>
                <w:sz w:val="14"/>
              </w:rPr>
              <w:t> </w:t>
            </w:r>
            <w:r>
              <w:rPr>
                <w:b/>
                <w:color w:val="FFFFFF"/>
                <w:spacing w:val="-2"/>
                <w:sz w:val="14"/>
              </w:rPr>
              <w:t>Statutory</w:t>
            </w:r>
            <w:r>
              <w:rPr>
                <w:b/>
                <w:color w:val="FFFFFF"/>
                <w:spacing w:val="40"/>
                <w:sz w:val="14"/>
              </w:rPr>
              <w:t> </w:t>
            </w:r>
            <w:r>
              <w:rPr>
                <w:b/>
                <w:color w:val="FFFFFF"/>
                <w:spacing w:val="-2"/>
                <w:sz w:val="14"/>
              </w:rPr>
              <w:t>S=Statutory</w:t>
            </w:r>
          </w:p>
        </w:tc>
        <w:tc>
          <w:tcPr>
            <w:tcW w:w="567" w:type="dxa"/>
            <w:shd w:val="clear" w:color="auto" w:fill="3399FF"/>
          </w:tcPr>
          <w:p>
            <w:pPr>
              <w:pStyle w:val="TableParagraph"/>
              <w:spacing w:before="2"/>
              <w:rPr>
                <w:sz w:val="14"/>
              </w:rPr>
            </w:pPr>
          </w:p>
          <w:p>
            <w:pPr>
              <w:pStyle w:val="TableParagraph"/>
              <w:ind w:left="138"/>
              <w:rPr>
                <w:b/>
                <w:sz w:val="14"/>
              </w:rPr>
            </w:pPr>
            <w:r>
              <w:rPr>
                <w:b/>
                <w:color w:val="FFFFFF"/>
                <w:spacing w:val="-5"/>
                <w:sz w:val="14"/>
              </w:rPr>
              <w:t>GST</w:t>
            </w:r>
          </w:p>
          <w:p>
            <w:pPr>
              <w:pStyle w:val="TableParagraph"/>
              <w:spacing w:line="160" w:lineRule="atLeast"/>
              <w:ind w:left="188" w:right="128" w:hanging="51"/>
              <w:rPr>
                <w:b/>
                <w:sz w:val="14"/>
              </w:rPr>
            </w:pPr>
            <w:r>
              <w:rPr>
                <w:b/>
                <w:color w:val="FFFFFF"/>
                <w:spacing w:val="-4"/>
                <w:sz w:val="14"/>
              </w:rPr>
              <w:t>Yes/</w:t>
            </w:r>
            <w:r>
              <w:rPr>
                <w:b/>
                <w:color w:val="FFFFFF"/>
                <w:spacing w:val="40"/>
                <w:sz w:val="14"/>
              </w:rPr>
              <w:t> </w:t>
            </w:r>
            <w:r>
              <w:rPr>
                <w:b/>
                <w:color w:val="FFFFFF"/>
                <w:spacing w:val="-6"/>
                <w:sz w:val="14"/>
              </w:rPr>
              <w:t>No</w:t>
            </w:r>
          </w:p>
        </w:tc>
        <w:tc>
          <w:tcPr>
            <w:tcW w:w="997" w:type="dxa"/>
            <w:shd w:val="clear" w:color="auto" w:fill="3399FF"/>
          </w:tcPr>
          <w:p>
            <w:pPr>
              <w:pStyle w:val="TableParagraph"/>
              <w:spacing w:before="3"/>
              <w:ind w:left="110" w:right="107"/>
              <w:jc w:val="center"/>
              <w:rPr>
                <w:b/>
                <w:sz w:val="14"/>
              </w:rPr>
            </w:pPr>
            <w:r>
              <w:rPr>
                <w:b/>
                <w:color w:val="FFFFFF"/>
                <w:spacing w:val="-2"/>
                <w:sz w:val="14"/>
              </w:rPr>
              <w:t>2023/24</w:t>
            </w:r>
          </w:p>
          <w:p>
            <w:pPr>
              <w:pStyle w:val="TableParagraph"/>
              <w:spacing w:line="160" w:lineRule="atLeast"/>
              <w:ind w:left="192" w:right="189"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995" w:type="dxa"/>
            <w:shd w:val="clear" w:color="auto" w:fill="3399FF"/>
          </w:tcPr>
          <w:p>
            <w:pPr>
              <w:pStyle w:val="TableParagraph"/>
              <w:spacing w:before="3"/>
              <w:ind w:left="109" w:right="106"/>
              <w:jc w:val="center"/>
              <w:rPr>
                <w:b/>
                <w:sz w:val="14"/>
              </w:rPr>
            </w:pPr>
            <w:r>
              <w:rPr>
                <w:b/>
                <w:color w:val="FFFFFF"/>
                <w:spacing w:val="-2"/>
                <w:sz w:val="14"/>
              </w:rPr>
              <w:t>2024/25</w:t>
            </w:r>
          </w:p>
          <w:p>
            <w:pPr>
              <w:pStyle w:val="TableParagraph"/>
              <w:spacing w:line="160" w:lineRule="atLeast"/>
              <w:ind w:left="189" w:right="190" w:firstLine="1"/>
              <w:jc w:val="center"/>
              <w:rPr>
                <w:b/>
                <w:sz w:val="14"/>
              </w:rPr>
            </w:pPr>
            <w:r>
              <w:rPr>
                <w:b/>
                <w:color w:val="FFFFFF"/>
                <w:sz w:val="14"/>
              </w:rPr>
              <w:t>Fees</w:t>
            </w:r>
            <w:r>
              <w:rPr>
                <w:b/>
                <w:color w:val="FFFFFF"/>
                <w:spacing w:val="-4"/>
                <w:sz w:val="14"/>
              </w:rPr>
              <w:t> </w:t>
            </w:r>
            <w:r>
              <w:rPr>
                <w:b/>
                <w:color w:val="FFFFFF"/>
                <w:sz w:val="14"/>
              </w:rPr>
              <w:t>&amp;</w:t>
            </w:r>
            <w:r>
              <w:rPr>
                <w:b/>
                <w:color w:val="FFFFFF"/>
                <w:spacing w:val="40"/>
                <w:sz w:val="14"/>
              </w:rPr>
              <w:t> </w:t>
            </w:r>
            <w:r>
              <w:rPr>
                <w:b/>
                <w:color w:val="FFFFFF"/>
                <w:spacing w:val="-2"/>
                <w:sz w:val="14"/>
              </w:rPr>
              <w:t>Charges</w:t>
            </w:r>
            <w:r>
              <w:rPr>
                <w:b/>
                <w:color w:val="FFFFFF"/>
                <w:spacing w:val="40"/>
                <w:sz w:val="14"/>
              </w:rPr>
              <w:t> </w:t>
            </w:r>
            <w:r>
              <w:rPr>
                <w:b/>
                <w:color w:val="FFFFFF"/>
                <w:sz w:val="14"/>
              </w:rPr>
              <w:t>Incl.</w:t>
            </w:r>
            <w:r>
              <w:rPr>
                <w:b/>
                <w:color w:val="FFFFFF"/>
                <w:spacing w:val="-5"/>
                <w:sz w:val="14"/>
              </w:rPr>
              <w:t> </w:t>
            </w:r>
            <w:r>
              <w:rPr>
                <w:b/>
                <w:color w:val="FFFFFF"/>
                <w:spacing w:val="-5"/>
                <w:sz w:val="14"/>
              </w:rPr>
              <w:t>GST</w:t>
            </w:r>
          </w:p>
        </w:tc>
        <w:tc>
          <w:tcPr>
            <w:tcW w:w="861" w:type="dxa"/>
            <w:shd w:val="clear" w:color="auto" w:fill="3399FF"/>
          </w:tcPr>
          <w:p>
            <w:pPr>
              <w:pStyle w:val="TableParagraph"/>
              <w:rPr>
                <w:sz w:val="16"/>
              </w:rPr>
            </w:pPr>
          </w:p>
          <w:p>
            <w:pPr>
              <w:pStyle w:val="TableParagraph"/>
              <w:spacing w:before="140"/>
              <w:ind w:right="1"/>
              <w:jc w:val="center"/>
              <w:rPr>
                <w:b/>
                <w:sz w:val="14"/>
              </w:rPr>
            </w:pPr>
            <w:r>
              <w:rPr>
                <w:b/>
                <w:color w:val="FFFFFF"/>
                <w:w w:val="99"/>
                <w:sz w:val="14"/>
              </w:rPr>
              <w:t>%</w:t>
            </w:r>
          </w:p>
          <w:p>
            <w:pPr>
              <w:pStyle w:val="TableParagraph"/>
              <w:spacing w:line="140" w:lineRule="exact"/>
              <w:ind w:left="154" w:right="154"/>
              <w:jc w:val="center"/>
              <w:rPr>
                <w:b/>
                <w:sz w:val="14"/>
              </w:rPr>
            </w:pPr>
            <w:r>
              <w:rPr>
                <w:b/>
                <w:color w:val="FFFFFF"/>
                <w:spacing w:val="-2"/>
                <w:sz w:val="14"/>
              </w:rPr>
              <w:t>Change</w:t>
            </w:r>
          </w:p>
        </w:tc>
      </w:tr>
      <w:tr>
        <w:trPr>
          <w:trHeight w:val="352" w:hRule="atLeast"/>
        </w:trPr>
        <w:tc>
          <w:tcPr>
            <w:tcW w:w="5794" w:type="dxa"/>
          </w:tcPr>
          <w:p>
            <w:pPr>
              <w:pStyle w:val="TableParagraph"/>
              <w:spacing w:line="160" w:lineRule="atLeast" w:before="11"/>
              <w:ind w:left="107"/>
              <w:rPr>
                <w:sz w:val="14"/>
              </w:rPr>
            </w:pPr>
            <w:r>
              <w:rPr>
                <w:sz w:val="14"/>
              </w:rPr>
              <w:t>Occupational</w:t>
            </w:r>
            <w:r>
              <w:rPr>
                <w:spacing w:val="-4"/>
                <w:sz w:val="14"/>
              </w:rPr>
              <w:t> </w:t>
            </w:r>
            <w:r>
              <w:rPr>
                <w:sz w:val="14"/>
              </w:rPr>
              <w:t>Therapy</w:t>
            </w:r>
            <w:r>
              <w:rPr>
                <w:spacing w:val="-5"/>
                <w:sz w:val="14"/>
              </w:rPr>
              <w:t> </w:t>
            </w:r>
            <w:r>
              <w:rPr>
                <w:sz w:val="14"/>
              </w:rPr>
              <w:t>-</w:t>
            </w:r>
            <w:r>
              <w:rPr>
                <w:spacing w:val="-1"/>
                <w:sz w:val="14"/>
              </w:rPr>
              <w:t> </w:t>
            </w:r>
            <w:r>
              <w:rPr>
                <w:sz w:val="14"/>
              </w:rPr>
              <w:t>Fee</w:t>
            </w:r>
            <w:r>
              <w:rPr>
                <w:spacing w:val="-5"/>
                <w:sz w:val="14"/>
              </w:rPr>
              <w:t> </w:t>
            </w:r>
            <w:r>
              <w:rPr>
                <w:sz w:val="14"/>
              </w:rPr>
              <w:t>Per</w:t>
            </w:r>
            <w:r>
              <w:rPr>
                <w:spacing w:val="-5"/>
                <w:sz w:val="14"/>
              </w:rPr>
              <w:t> </w:t>
            </w:r>
            <w:r>
              <w:rPr>
                <w:sz w:val="14"/>
              </w:rPr>
              <w:t>Session</w:t>
            </w:r>
            <w:r>
              <w:rPr>
                <w:spacing w:val="-6"/>
                <w:sz w:val="14"/>
              </w:rPr>
              <w:t> </w:t>
            </w:r>
            <w:r>
              <w:rPr>
                <w:sz w:val="14"/>
              </w:rPr>
              <w:t>(Short</w:t>
            </w:r>
            <w:r>
              <w:rPr>
                <w:spacing w:val="-5"/>
                <w:sz w:val="14"/>
              </w:rPr>
              <w:t> </w:t>
            </w:r>
            <w:r>
              <w:rPr>
                <w:sz w:val="14"/>
              </w:rPr>
              <w:t>Courses</w:t>
            </w:r>
            <w:r>
              <w:rPr>
                <w:spacing w:val="-4"/>
                <w:sz w:val="14"/>
              </w:rPr>
              <w:t> </w:t>
            </w:r>
            <w:r>
              <w:rPr>
                <w:sz w:val="14"/>
              </w:rPr>
              <w:t>&amp;</w:t>
            </w:r>
            <w:r>
              <w:rPr>
                <w:spacing w:val="-4"/>
                <w:sz w:val="14"/>
              </w:rPr>
              <w:t> </w:t>
            </w:r>
            <w:r>
              <w:rPr>
                <w:sz w:val="14"/>
              </w:rPr>
              <w:t>Information</w:t>
            </w:r>
            <w:r>
              <w:rPr>
                <w:spacing w:val="-5"/>
                <w:sz w:val="14"/>
              </w:rPr>
              <w:t> </w:t>
            </w:r>
            <w:r>
              <w:rPr>
                <w:sz w:val="14"/>
              </w:rPr>
              <w:t>Sessions)</w:t>
            </w:r>
            <w:r>
              <w:rPr>
                <w:spacing w:val="-2"/>
                <w:sz w:val="14"/>
              </w:rPr>
              <w:t> </w:t>
            </w:r>
            <w:r>
              <w:rPr>
                <w:sz w:val="14"/>
              </w:rPr>
              <w:t>-</w:t>
            </w:r>
            <w:r>
              <w:rPr>
                <w:spacing w:val="40"/>
                <w:sz w:val="14"/>
              </w:rPr>
              <w:t> </w:t>
            </w:r>
            <w:r>
              <w:rPr>
                <w:sz w:val="14"/>
              </w:rPr>
              <w:t>CHSP/Private - Low Fee</w:t>
            </w:r>
          </w:p>
        </w:tc>
        <w:tc>
          <w:tcPr>
            <w:tcW w:w="1131" w:type="dxa"/>
          </w:tcPr>
          <w:p>
            <w:pPr>
              <w:pStyle w:val="TableParagraph"/>
              <w:spacing w:before="6"/>
              <w:rPr>
                <w:sz w:val="16"/>
              </w:rPr>
            </w:pPr>
          </w:p>
          <w:p>
            <w:pPr>
              <w:pStyle w:val="TableParagraph"/>
              <w:spacing w:line="142" w:lineRule="exact"/>
              <w:ind w:left="6"/>
              <w:jc w:val="center"/>
              <w:rPr>
                <w:sz w:val="14"/>
              </w:rPr>
            </w:pPr>
            <w:r>
              <w:rPr>
                <w:w w:val="99"/>
                <w:sz w:val="14"/>
              </w:rPr>
              <w:t>N</w:t>
            </w:r>
          </w:p>
        </w:tc>
        <w:tc>
          <w:tcPr>
            <w:tcW w:w="567" w:type="dxa"/>
          </w:tcPr>
          <w:p>
            <w:pPr>
              <w:pStyle w:val="TableParagraph"/>
              <w:spacing w:before="6"/>
              <w:rPr>
                <w:sz w:val="16"/>
              </w:rPr>
            </w:pPr>
          </w:p>
          <w:p>
            <w:pPr>
              <w:pStyle w:val="TableParagraph"/>
              <w:spacing w:line="142" w:lineRule="exact"/>
              <w:ind w:left="191"/>
              <w:rPr>
                <w:sz w:val="14"/>
              </w:rPr>
            </w:pPr>
            <w:r>
              <w:rPr>
                <w:spacing w:val="-5"/>
                <w:sz w:val="14"/>
              </w:rPr>
              <w:t>No</w:t>
            </w:r>
          </w:p>
        </w:tc>
        <w:tc>
          <w:tcPr>
            <w:tcW w:w="997" w:type="dxa"/>
          </w:tcPr>
          <w:p>
            <w:pPr>
              <w:pStyle w:val="TableParagraph"/>
              <w:spacing w:before="6"/>
              <w:rPr>
                <w:sz w:val="16"/>
              </w:rPr>
            </w:pPr>
          </w:p>
          <w:p>
            <w:pPr>
              <w:pStyle w:val="TableParagraph"/>
              <w:spacing w:line="142" w:lineRule="exact"/>
              <w:ind w:right="100"/>
              <w:jc w:val="right"/>
              <w:rPr>
                <w:sz w:val="14"/>
              </w:rPr>
            </w:pPr>
            <w:r>
              <w:rPr>
                <w:spacing w:val="-4"/>
                <w:sz w:val="14"/>
              </w:rPr>
              <w:t>5.50</w:t>
            </w:r>
          </w:p>
        </w:tc>
        <w:tc>
          <w:tcPr>
            <w:tcW w:w="995" w:type="dxa"/>
          </w:tcPr>
          <w:p>
            <w:pPr>
              <w:pStyle w:val="TableParagraph"/>
              <w:spacing w:before="6"/>
              <w:rPr>
                <w:sz w:val="16"/>
              </w:rPr>
            </w:pPr>
          </w:p>
          <w:p>
            <w:pPr>
              <w:pStyle w:val="TableParagraph"/>
              <w:spacing w:line="142" w:lineRule="exact"/>
              <w:ind w:right="101"/>
              <w:jc w:val="right"/>
              <w:rPr>
                <w:sz w:val="14"/>
              </w:rPr>
            </w:pPr>
            <w:r>
              <w:rPr>
                <w:spacing w:val="-4"/>
                <w:sz w:val="14"/>
              </w:rPr>
              <w:t>5.91</w:t>
            </w:r>
          </w:p>
        </w:tc>
        <w:tc>
          <w:tcPr>
            <w:tcW w:w="861" w:type="dxa"/>
          </w:tcPr>
          <w:p>
            <w:pPr>
              <w:pStyle w:val="TableParagraph"/>
              <w:spacing w:before="6"/>
              <w:rPr>
                <w:sz w:val="16"/>
              </w:rPr>
            </w:pPr>
          </w:p>
          <w:p>
            <w:pPr>
              <w:pStyle w:val="TableParagraph"/>
              <w:spacing w:line="142" w:lineRule="exact"/>
              <w:ind w:left="326"/>
              <w:rPr>
                <w:sz w:val="14"/>
              </w:rPr>
            </w:pPr>
            <w:r>
              <w:rPr>
                <w:spacing w:val="-5"/>
                <w:sz w:val="14"/>
              </w:rPr>
              <w:t>7.0</w:t>
            </w:r>
          </w:p>
        </w:tc>
      </w:tr>
      <w:tr>
        <w:trPr>
          <w:trHeight w:val="352" w:hRule="atLeast"/>
        </w:trPr>
        <w:tc>
          <w:tcPr>
            <w:tcW w:w="5794" w:type="dxa"/>
          </w:tcPr>
          <w:p>
            <w:pPr>
              <w:pStyle w:val="TableParagraph"/>
              <w:spacing w:line="160" w:lineRule="atLeast" w:before="11"/>
              <w:ind w:left="107"/>
              <w:rPr>
                <w:sz w:val="14"/>
              </w:rPr>
            </w:pPr>
            <w:r>
              <w:rPr>
                <w:sz w:val="14"/>
              </w:rPr>
              <w:t>Occupational</w:t>
            </w:r>
            <w:r>
              <w:rPr>
                <w:spacing w:val="-4"/>
                <w:sz w:val="14"/>
              </w:rPr>
              <w:t> </w:t>
            </w:r>
            <w:r>
              <w:rPr>
                <w:sz w:val="14"/>
              </w:rPr>
              <w:t>Therapy</w:t>
            </w:r>
            <w:r>
              <w:rPr>
                <w:spacing w:val="-5"/>
                <w:sz w:val="14"/>
              </w:rPr>
              <w:t> </w:t>
            </w:r>
            <w:r>
              <w:rPr>
                <w:sz w:val="14"/>
              </w:rPr>
              <w:t>-</w:t>
            </w:r>
            <w:r>
              <w:rPr>
                <w:spacing w:val="-1"/>
                <w:sz w:val="14"/>
              </w:rPr>
              <w:t> </w:t>
            </w:r>
            <w:r>
              <w:rPr>
                <w:sz w:val="14"/>
              </w:rPr>
              <w:t>Fee</w:t>
            </w:r>
            <w:r>
              <w:rPr>
                <w:spacing w:val="-5"/>
                <w:sz w:val="14"/>
              </w:rPr>
              <w:t> </w:t>
            </w:r>
            <w:r>
              <w:rPr>
                <w:sz w:val="14"/>
              </w:rPr>
              <w:t>Per</w:t>
            </w:r>
            <w:r>
              <w:rPr>
                <w:spacing w:val="-5"/>
                <w:sz w:val="14"/>
              </w:rPr>
              <w:t> </w:t>
            </w:r>
            <w:r>
              <w:rPr>
                <w:sz w:val="14"/>
              </w:rPr>
              <w:t>Session</w:t>
            </w:r>
            <w:r>
              <w:rPr>
                <w:spacing w:val="-6"/>
                <w:sz w:val="14"/>
              </w:rPr>
              <w:t> </w:t>
            </w:r>
            <w:r>
              <w:rPr>
                <w:sz w:val="14"/>
              </w:rPr>
              <w:t>(Short</w:t>
            </w:r>
            <w:r>
              <w:rPr>
                <w:spacing w:val="-5"/>
                <w:sz w:val="14"/>
              </w:rPr>
              <w:t> </w:t>
            </w:r>
            <w:r>
              <w:rPr>
                <w:sz w:val="14"/>
              </w:rPr>
              <w:t>Courses</w:t>
            </w:r>
            <w:r>
              <w:rPr>
                <w:spacing w:val="-4"/>
                <w:sz w:val="14"/>
              </w:rPr>
              <w:t> </w:t>
            </w:r>
            <w:r>
              <w:rPr>
                <w:sz w:val="14"/>
              </w:rPr>
              <w:t>&amp;</w:t>
            </w:r>
            <w:r>
              <w:rPr>
                <w:spacing w:val="-4"/>
                <w:sz w:val="14"/>
              </w:rPr>
              <w:t> </w:t>
            </w:r>
            <w:r>
              <w:rPr>
                <w:sz w:val="14"/>
              </w:rPr>
              <w:t>Information</w:t>
            </w:r>
            <w:r>
              <w:rPr>
                <w:spacing w:val="-5"/>
                <w:sz w:val="14"/>
              </w:rPr>
              <w:t> </w:t>
            </w:r>
            <w:r>
              <w:rPr>
                <w:sz w:val="14"/>
              </w:rPr>
              <w:t>Sessions)</w:t>
            </w:r>
            <w:r>
              <w:rPr>
                <w:spacing w:val="-2"/>
                <w:sz w:val="14"/>
              </w:rPr>
              <w:t> </w:t>
            </w:r>
            <w:r>
              <w:rPr>
                <w:sz w:val="14"/>
              </w:rPr>
              <w:t>-</w:t>
            </w:r>
            <w:r>
              <w:rPr>
                <w:spacing w:val="-6"/>
                <w:sz w:val="14"/>
              </w:rPr>
              <w:t> </w:t>
            </w:r>
            <w:r>
              <w:rPr>
                <w:sz w:val="14"/>
              </w:rPr>
              <w:t>Home</w:t>
            </w:r>
            <w:r>
              <w:rPr>
                <w:spacing w:val="40"/>
                <w:sz w:val="14"/>
              </w:rPr>
              <w:t> </w:t>
            </w:r>
            <w:r>
              <w:rPr>
                <w:sz w:val="14"/>
              </w:rPr>
              <w:t>Care Package/NDIS - High 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30.20</w:t>
            </w:r>
          </w:p>
        </w:tc>
        <w:tc>
          <w:tcPr>
            <w:tcW w:w="995" w:type="dxa"/>
          </w:tcPr>
          <w:p>
            <w:pPr>
              <w:pStyle w:val="TableParagraph"/>
              <w:spacing w:before="8"/>
              <w:rPr>
                <w:sz w:val="16"/>
              </w:rPr>
            </w:pPr>
          </w:p>
          <w:p>
            <w:pPr>
              <w:pStyle w:val="TableParagraph"/>
              <w:spacing w:line="140" w:lineRule="exact"/>
              <w:ind w:right="101"/>
              <w:jc w:val="right"/>
              <w:rPr>
                <w:sz w:val="14"/>
              </w:rPr>
            </w:pPr>
            <w:r>
              <w:rPr>
                <w:spacing w:val="-2"/>
                <w:sz w:val="14"/>
              </w:rPr>
              <w:t>32.47</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b/>
                <w:sz w:val="14"/>
              </w:rPr>
            </w:pPr>
            <w:r>
              <w:rPr>
                <w:b/>
                <w:sz w:val="14"/>
              </w:rPr>
              <w:t>Social</w:t>
            </w:r>
            <w:r>
              <w:rPr>
                <w:b/>
                <w:spacing w:val="-5"/>
                <w:sz w:val="14"/>
              </w:rPr>
              <w:t> </w:t>
            </w:r>
            <w:r>
              <w:rPr>
                <w:b/>
                <w:sz w:val="14"/>
              </w:rPr>
              <w:t>Inclusion</w:t>
            </w:r>
            <w:r>
              <w:rPr>
                <w:b/>
                <w:spacing w:val="-5"/>
                <w:sz w:val="14"/>
              </w:rPr>
              <w:t> </w:t>
            </w:r>
            <w:r>
              <w:rPr>
                <w:b/>
                <w:sz w:val="14"/>
              </w:rPr>
              <w:t>&amp;</w:t>
            </w:r>
            <w:r>
              <w:rPr>
                <w:b/>
                <w:spacing w:val="-2"/>
                <w:sz w:val="14"/>
              </w:rPr>
              <w:t> </w:t>
            </w:r>
            <w:r>
              <w:rPr>
                <w:b/>
                <w:sz w:val="14"/>
              </w:rPr>
              <w:t>Well</w:t>
            </w:r>
            <w:r>
              <w:rPr>
                <w:b/>
                <w:spacing w:val="-5"/>
                <w:sz w:val="14"/>
              </w:rPr>
              <w:t> </w:t>
            </w:r>
            <w:r>
              <w:rPr>
                <w:b/>
                <w:spacing w:val="-4"/>
                <w:sz w:val="14"/>
              </w:rPr>
              <w:t>Being</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4"/>
                <w:sz w:val="14"/>
              </w:rPr>
              <w:t> </w:t>
            </w:r>
            <w:r>
              <w:rPr>
                <w:sz w:val="14"/>
              </w:rPr>
              <w:t>Day</w:t>
            </w:r>
            <w:r>
              <w:rPr>
                <w:spacing w:val="-3"/>
                <w:sz w:val="14"/>
              </w:rPr>
              <w:t> </w:t>
            </w:r>
            <w:r>
              <w:rPr>
                <w:sz w:val="14"/>
              </w:rPr>
              <w:t>-</w:t>
            </w:r>
            <w:r>
              <w:rPr>
                <w:spacing w:val="-5"/>
                <w:sz w:val="14"/>
              </w:rPr>
              <w:t> </w:t>
            </w:r>
            <w:r>
              <w:rPr>
                <w:sz w:val="14"/>
              </w:rPr>
              <w:t>Without</w:t>
            </w:r>
            <w:r>
              <w:rPr>
                <w:spacing w:val="-1"/>
                <w:sz w:val="14"/>
              </w:rPr>
              <w:t> </w:t>
            </w:r>
            <w:r>
              <w:rPr>
                <w:sz w:val="14"/>
              </w:rPr>
              <w:t>Meal</w:t>
            </w:r>
            <w:r>
              <w:rPr>
                <w:spacing w:val="-3"/>
                <w:sz w:val="14"/>
              </w:rPr>
              <w:t> </w:t>
            </w:r>
            <w:r>
              <w:rPr>
                <w:sz w:val="14"/>
              </w:rPr>
              <w:t>-</w:t>
            </w:r>
            <w:r>
              <w:rPr>
                <w:spacing w:val="-1"/>
                <w:sz w:val="14"/>
              </w:rPr>
              <w:t> </w:t>
            </w:r>
            <w:r>
              <w:rPr>
                <w:sz w:val="14"/>
              </w:rPr>
              <w:t>CHSP-</w:t>
            </w:r>
            <w:r>
              <w:rPr>
                <w:spacing w:val="-1"/>
                <w:sz w:val="14"/>
              </w:rPr>
              <w:t> </w:t>
            </w:r>
            <w:r>
              <w:rPr>
                <w:sz w:val="14"/>
              </w:rPr>
              <w:t>Low</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8.95</w:t>
            </w:r>
          </w:p>
        </w:tc>
        <w:tc>
          <w:tcPr>
            <w:tcW w:w="995" w:type="dxa"/>
          </w:tcPr>
          <w:p>
            <w:pPr>
              <w:pStyle w:val="TableParagraph"/>
              <w:spacing w:line="140" w:lineRule="exact" w:before="17"/>
              <w:ind w:right="101"/>
              <w:jc w:val="right"/>
              <w:rPr>
                <w:sz w:val="14"/>
              </w:rPr>
            </w:pPr>
            <w:r>
              <w:rPr>
                <w:spacing w:val="-4"/>
                <w:sz w:val="14"/>
              </w:rPr>
              <w:t>9.62</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4"/>
                <w:sz w:val="14"/>
              </w:rPr>
              <w:t> </w:t>
            </w:r>
            <w:r>
              <w:rPr>
                <w:sz w:val="14"/>
              </w:rPr>
              <w:t>Day</w:t>
            </w:r>
            <w:r>
              <w:rPr>
                <w:spacing w:val="-3"/>
                <w:sz w:val="14"/>
              </w:rPr>
              <w:t> </w:t>
            </w:r>
            <w:r>
              <w:rPr>
                <w:sz w:val="14"/>
              </w:rPr>
              <w:t>-With</w:t>
            </w:r>
            <w:r>
              <w:rPr>
                <w:spacing w:val="-1"/>
                <w:sz w:val="14"/>
              </w:rPr>
              <w:t> </w:t>
            </w:r>
            <w:r>
              <w:rPr>
                <w:sz w:val="14"/>
              </w:rPr>
              <w:t>Meal</w:t>
            </w:r>
            <w:r>
              <w:rPr>
                <w:spacing w:val="-1"/>
                <w:sz w:val="14"/>
              </w:rPr>
              <w:t> </w:t>
            </w:r>
            <w:r>
              <w:rPr>
                <w:sz w:val="14"/>
              </w:rPr>
              <w:t>-</w:t>
            </w:r>
            <w:r>
              <w:rPr>
                <w:spacing w:val="-4"/>
                <w:sz w:val="14"/>
              </w:rPr>
              <w:t> </w:t>
            </w:r>
            <w:r>
              <w:rPr>
                <w:sz w:val="14"/>
              </w:rPr>
              <w:t>CHSP</w:t>
            </w:r>
            <w:r>
              <w:rPr>
                <w:spacing w:val="-2"/>
                <w:sz w:val="14"/>
              </w:rPr>
              <w:t> </w:t>
            </w:r>
            <w:r>
              <w:rPr>
                <w:sz w:val="14"/>
              </w:rPr>
              <w:t>-</w:t>
            </w:r>
            <w:r>
              <w:rPr>
                <w:spacing w:val="-2"/>
                <w:sz w:val="14"/>
              </w:rPr>
              <w:t> </w:t>
            </w:r>
            <w:r>
              <w:rPr>
                <w:sz w:val="14"/>
              </w:rPr>
              <w:t>Low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20.15</w:t>
            </w:r>
          </w:p>
        </w:tc>
        <w:tc>
          <w:tcPr>
            <w:tcW w:w="995" w:type="dxa"/>
          </w:tcPr>
          <w:p>
            <w:pPr>
              <w:pStyle w:val="TableParagraph"/>
              <w:spacing w:line="140" w:lineRule="exact" w:before="17"/>
              <w:ind w:right="101"/>
              <w:jc w:val="right"/>
              <w:rPr>
                <w:sz w:val="14"/>
              </w:rPr>
            </w:pPr>
            <w:r>
              <w:rPr>
                <w:spacing w:val="-2"/>
                <w:sz w:val="14"/>
              </w:rPr>
              <w:t>22.42</w:t>
            </w:r>
          </w:p>
        </w:tc>
        <w:tc>
          <w:tcPr>
            <w:tcW w:w="861" w:type="dxa"/>
          </w:tcPr>
          <w:p>
            <w:pPr>
              <w:pStyle w:val="TableParagraph"/>
              <w:spacing w:line="140" w:lineRule="exact" w:before="17"/>
              <w:ind w:left="288"/>
              <w:rPr>
                <w:sz w:val="14"/>
              </w:rPr>
            </w:pPr>
            <w:r>
              <w:rPr>
                <w:spacing w:val="-4"/>
                <w:sz w:val="14"/>
              </w:rPr>
              <w:t>10.1</w:t>
            </w:r>
          </w:p>
        </w:tc>
      </w:tr>
      <w:tr>
        <w:trPr>
          <w:trHeight w:val="354" w:hRule="atLeast"/>
        </w:trPr>
        <w:tc>
          <w:tcPr>
            <w:tcW w:w="5794" w:type="dxa"/>
          </w:tcPr>
          <w:p>
            <w:pPr>
              <w:pStyle w:val="TableParagraph"/>
              <w:spacing w:line="160" w:lineRule="atLeast" w:before="13"/>
              <w:ind w:left="107" w:right="174"/>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3"/>
                <w:sz w:val="14"/>
              </w:rPr>
              <w:t> </w:t>
            </w:r>
            <w:r>
              <w:rPr>
                <w:sz w:val="14"/>
              </w:rPr>
              <w:t>Full</w:t>
            </w:r>
            <w:r>
              <w:rPr>
                <w:spacing w:val="-4"/>
                <w:sz w:val="14"/>
              </w:rPr>
              <w:t> </w:t>
            </w:r>
            <w:r>
              <w:rPr>
                <w:sz w:val="14"/>
              </w:rPr>
              <w:t>Day</w:t>
            </w:r>
            <w:r>
              <w:rPr>
                <w:spacing w:val="-4"/>
                <w:sz w:val="14"/>
              </w:rPr>
              <w:t> </w:t>
            </w:r>
            <w:r>
              <w:rPr>
                <w:sz w:val="14"/>
              </w:rPr>
              <w:t>-</w:t>
            </w:r>
            <w:r>
              <w:rPr>
                <w:spacing w:val="-5"/>
                <w:sz w:val="14"/>
              </w:rPr>
              <w:t> </w:t>
            </w:r>
            <w:r>
              <w:rPr>
                <w:sz w:val="14"/>
              </w:rPr>
              <w:t>Without</w:t>
            </w:r>
            <w:r>
              <w:rPr>
                <w:spacing w:val="-2"/>
                <w:sz w:val="14"/>
              </w:rPr>
              <w:t> </w:t>
            </w:r>
            <w:r>
              <w:rPr>
                <w:sz w:val="14"/>
              </w:rPr>
              <w:t>Meal</w:t>
            </w:r>
            <w:r>
              <w:rPr>
                <w:spacing w:val="-4"/>
                <w:sz w:val="14"/>
              </w:rPr>
              <w:t> </w:t>
            </w:r>
            <w:r>
              <w:rPr>
                <w:sz w:val="14"/>
              </w:rPr>
              <w:t>-</w:t>
            </w:r>
            <w:r>
              <w:rPr>
                <w:spacing w:val="-3"/>
                <w:sz w:val="14"/>
              </w:rPr>
              <w:t> </w:t>
            </w:r>
            <w:r>
              <w:rPr>
                <w:sz w:val="14"/>
              </w:rPr>
              <w:t>Home</w:t>
            </w:r>
            <w:r>
              <w:rPr>
                <w:spacing w:val="-1"/>
                <w:sz w:val="14"/>
              </w:rPr>
              <w:t> </w:t>
            </w:r>
            <w:r>
              <w:rPr>
                <w:sz w:val="14"/>
              </w:rPr>
              <w:t>Care</w:t>
            </w:r>
            <w:r>
              <w:rPr>
                <w:spacing w:val="-5"/>
                <w:sz w:val="14"/>
              </w:rPr>
              <w:t> </w:t>
            </w:r>
            <w:r>
              <w:rPr>
                <w:sz w:val="14"/>
              </w:rPr>
              <w:t>Packages/NDIS/Private</w:t>
            </w:r>
            <w:r>
              <w:rPr>
                <w:spacing w:val="-5"/>
                <w:sz w:val="14"/>
              </w:rPr>
              <w:t> </w:t>
            </w:r>
            <w:r>
              <w:rPr>
                <w:sz w:val="14"/>
              </w:rPr>
              <w:t>-</w:t>
            </w:r>
            <w:r>
              <w:rPr>
                <w:spacing w:val="40"/>
                <w:sz w:val="14"/>
              </w:rPr>
              <w:t> </w:t>
            </w:r>
            <w:r>
              <w:rPr>
                <w:sz w:val="14"/>
              </w:rPr>
              <w:t>High</w:t>
            </w:r>
            <w:r>
              <w:rPr>
                <w:spacing w:val="-2"/>
                <w:sz w:val="14"/>
              </w:rPr>
              <w:t> </w:t>
            </w:r>
            <w:r>
              <w:rPr>
                <w:sz w:val="14"/>
              </w:rPr>
              <w:t>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135.95</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123.65</w:t>
            </w:r>
          </w:p>
        </w:tc>
        <w:tc>
          <w:tcPr>
            <w:tcW w:w="861" w:type="dxa"/>
          </w:tcPr>
          <w:p>
            <w:pPr>
              <w:pStyle w:val="TableParagraph"/>
              <w:spacing w:before="10"/>
              <w:rPr>
                <w:sz w:val="16"/>
              </w:rPr>
            </w:pPr>
          </w:p>
          <w:p>
            <w:pPr>
              <w:pStyle w:val="TableParagraph"/>
              <w:spacing w:line="140" w:lineRule="exact" w:before="1"/>
              <w:ind w:left="264"/>
              <w:rPr>
                <w:sz w:val="14"/>
              </w:rPr>
            </w:pPr>
            <w:r>
              <w:rPr>
                <w:w w:val="95"/>
                <w:sz w:val="14"/>
              </w:rPr>
              <w:t>-</w:t>
            </w:r>
            <w:r>
              <w:rPr>
                <w:spacing w:val="-4"/>
                <w:sz w:val="14"/>
              </w:rPr>
              <w:t>10.0</w:t>
            </w:r>
          </w:p>
        </w:tc>
      </w:tr>
      <w:tr>
        <w:trPr>
          <w:trHeight w:val="352" w:hRule="atLeast"/>
        </w:trPr>
        <w:tc>
          <w:tcPr>
            <w:tcW w:w="5794" w:type="dxa"/>
          </w:tcPr>
          <w:p>
            <w:pPr>
              <w:pStyle w:val="TableParagraph"/>
              <w:spacing w:line="160" w:lineRule="atLeast" w:before="11"/>
              <w:ind w:left="107" w:right="174"/>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 Meal -</w:t>
            </w:r>
            <w:r>
              <w:rPr>
                <w:spacing w:val="-4"/>
                <w:sz w:val="14"/>
              </w:rPr>
              <w:t> </w:t>
            </w:r>
            <w:r>
              <w:rPr>
                <w:sz w:val="14"/>
              </w:rPr>
              <w:t>Home</w:t>
            </w:r>
            <w:r>
              <w:rPr>
                <w:spacing w:val="-4"/>
                <w:sz w:val="14"/>
              </w:rPr>
              <w:t> </w:t>
            </w:r>
            <w:r>
              <w:rPr>
                <w:sz w:val="14"/>
              </w:rPr>
              <w:t>Care</w:t>
            </w:r>
            <w:r>
              <w:rPr>
                <w:spacing w:val="-5"/>
                <w:sz w:val="14"/>
              </w:rPr>
              <w:t> </w:t>
            </w:r>
            <w:r>
              <w:rPr>
                <w:sz w:val="14"/>
              </w:rPr>
              <w:t>Packages/NDIS/Private</w:t>
            </w:r>
            <w:r>
              <w:rPr>
                <w:spacing w:val="-2"/>
                <w:sz w:val="14"/>
              </w:rPr>
              <w:t> </w:t>
            </w:r>
            <w:r>
              <w:rPr>
                <w:sz w:val="14"/>
              </w:rPr>
              <w:t>-</w:t>
            </w:r>
            <w:r>
              <w:rPr>
                <w:spacing w:val="-4"/>
                <w:sz w:val="14"/>
              </w:rPr>
              <w:t> </w:t>
            </w:r>
            <w:r>
              <w:rPr>
                <w:sz w:val="14"/>
              </w:rPr>
              <w:t>High</w:t>
            </w:r>
            <w:r>
              <w:rPr>
                <w:spacing w:val="40"/>
                <w:sz w:val="14"/>
              </w:rPr>
              <w:t> </w:t>
            </w:r>
            <w:r>
              <w:rPr>
                <w:spacing w:val="-4"/>
                <w:sz w:val="14"/>
              </w:rPr>
              <w:t>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156.45</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138.58</w:t>
            </w:r>
          </w:p>
        </w:tc>
        <w:tc>
          <w:tcPr>
            <w:tcW w:w="861" w:type="dxa"/>
          </w:tcPr>
          <w:p>
            <w:pPr>
              <w:pStyle w:val="TableParagraph"/>
              <w:spacing w:before="8"/>
              <w:rPr>
                <w:sz w:val="16"/>
              </w:rPr>
            </w:pPr>
          </w:p>
          <w:p>
            <w:pPr>
              <w:pStyle w:val="TableParagraph"/>
              <w:spacing w:line="140" w:lineRule="exact"/>
              <w:ind w:left="264"/>
              <w:rPr>
                <w:sz w:val="14"/>
              </w:rPr>
            </w:pPr>
            <w:r>
              <w:rPr>
                <w:w w:val="95"/>
                <w:sz w:val="14"/>
              </w:rPr>
              <w:t>-</w:t>
            </w:r>
            <w:r>
              <w:rPr>
                <w:spacing w:val="-4"/>
                <w:sz w:val="14"/>
              </w:rPr>
              <w:t>12.9</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5"/>
                <w:sz w:val="14"/>
              </w:rPr>
              <w:t> </w:t>
            </w:r>
            <w:r>
              <w:rPr>
                <w:sz w:val="14"/>
              </w:rPr>
              <w:t>-</w:t>
            </w:r>
            <w:r>
              <w:rPr>
                <w:spacing w:val="-2"/>
                <w:sz w:val="14"/>
              </w:rPr>
              <w:t> </w:t>
            </w:r>
            <w:r>
              <w:rPr>
                <w:sz w:val="14"/>
              </w:rPr>
              <w:t>Half</w:t>
            </w:r>
            <w:r>
              <w:rPr>
                <w:spacing w:val="-1"/>
                <w:sz w:val="14"/>
              </w:rPr>
              <w:t> </w:t>
            </w:r>
            <w:r>
              <w:rPr>
                <w:sz w:val="14"/>
              </w:rPr>
              <w:t>Day-</w:t>
            </w:r>
            <w:r>
              <w:rPr>
                <w:spacing w:val="-5"/>
                <w:sz w:val="14"/>
              </w:rPr>
              <w:t> </w:t>
            </w:r>
            <w:r>
              <w:rPr>
                <w:sz w:val="14"/>
              </w:rPr>
              <w:t>Without</w:t>
            </w:r>
            <w:r>
              <w:rPr>
                <w:spacing w:val="-4"/>
                <w:sz w:val="14"/>
              </w:rPr>
              <w:t> </w:t>
            </w:r>
            <w:r>
              <w:rPr>
                <w:sz w:val="14"/>
              </w:rPr>
              <w:t>Meal</w:t>
            </w:r>
            <w:r>
              <w:rPr>
                <w:spacing w:val="-1"/>
                <w:sz w:val="14"/>
              </w:rPr>
              <w:t> </w:t>
            </w:r>
            <w:r>
              <w:rPr>
                <w:sz w:val="14"/>
              </w:rPr>
              <w:t>-</w:t>
            </w:r>
            <w:r>
              <w:rPr>
                <w:spacing w:val="-4"/>
                <w:sz w:val="14"/>
              </w:rPr>
              <w:t> </w:t>
            </w:r>
            <w:r>
              <w:rPr>
                <w:sz w:val="14"/>
              </w:rPr>
              <w:t>CHSP</w:t>
            </w:r>
            <w:r>
              <w:rPr>
                <w:spacing w:val="-1"/>
                <w:sz w:val="14"/>
              </w:rPr>
              <w:t> </w:t>
            </w:r>
            <w:r>
              <w:rPr>
                <w:sz w:val="14"/>
              </w:rPr>
              <w:t>-</w:t>
            </w:r>
            <w:r>
              <w:rPr>
                <w:spacing w:val="-1"/>
                <w:sz w:val="14"/>
              </w:rPr>
              <w:t> </w:t>
            </w:r>
            <w:r>
              <w:rPr>
                <w:sz w:val="14"/>
              </w:rPr>
              <w:t>Low</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7.22</w:t>
            </w:r>
          </w:p>
        </w:tc>
        <w:tc>
          <w:tcPr>
            <w:tcW w:w="861" w:type="dxa"/>
          </w:tcPr>
          <w:p>
            <w:pPr>
              <w:pStyle w:val="TableParagraph"/>
              <w:spacing w:line="140" w:lineRule="exact" w:before="17"/>
              <w:ind w:left="288"/>
              <w:rPr>
                <w:sz w:val="14"/>
              </w:rPr>
            </w:pPr>
            <w:r>
              <w:rPr>
                <w:spacing w:val="-4"/>
                <w:sz w:val="14"/>
              </w:rPr>
              <w:t>23.8</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Half</w:t>
            </w:r>
            <w:r>
              <w:rPr>
                <w:spacing w:val="-1"/>
                <w:sz w:val="14"/>
              </w:rPr>
              <w:t> </w:t>
            </w:r>
            <w:r>
              <w:rPr>
                <w:sz w:val="14"/>
              </w:rPr>
              <w:t>Day</w:t>
            </w:r>
            <w:r>
              <w:rPr>
                <w:spacing w:val="-1"/>
                <w:sz w:val="14"/>
              </w:rPr>
              <w:t> </w:t>
            </w:r>
            <w:r>
              <w:rPr>
                <w:sz w:val="14"/>
              </w:rPr>
              <w:t>-</w:t>
            </w:r>
            <w:r>
              <w:rPr>
                <w:spacing w:val="-4"/>
                <w:sz w:val="14"/>
              </w:rPr>
              <w:t> </w:t>
            </w:r>
            <w:r>
              <w:rPr>
                <w:sz w:val="14"/>
              </w:rPr>
              <w:t>With</w:t>
            </w:r>
            <w:r>
              <w:rPr>
                <w:spacing w:val="-1"/>
                <w:sz w:val="14"/>
              </w:rPr>
              <w:t> </w:t>
            </w:r>
            <w:r>
              <w:rPr>
                <w:sz w:val="14"/>
              </w:rPr>
              <w:t>Meal</w:t>
            </w:r>
            <w:r>
              <w:rPr>
                <w:spacing w:val="-1"/>
                <w:sz w:val="14"/>
              </w:rPr>
              <w:t> </w:t>
            </w:r>
            <w:r>
              <w:rPr>
                <w:sz w:val="14"/>
              </w:rPr>
              <w:t>-</w:t>
            </w:r>
            <w:r>
              <w:rPr>
                <w:spacing w:val="-4"/>
                <w:sz w:val="14"/>
              </w:rPr>
              <w:t> </w:t>
            </w:r>
            <w:r>
              <w:rPr>
                <w:sz w:val="14"/>
              </w:rPr>
              <w:t>CHSP</w:t>
            </w:r>
            <w:r>
              <w:rPr>
                <w:spacing w:val="-2"/>
                <w:sz w:val="14"/>
              </w:rPr>
              <w:t> </w:t>
            </w:r>
            <w:r>
              <w:rPr>
                <w:sz w:val="14"/>
              </w:rPr>
              <w:t>-</w:t>
            </w:r>
            <w:r>
              <w:rPr>
                <w:spacing w:val="-2"/>
                <w:sz w:val="14"/>
              </w:rPr>
              <w:t> </w:t>
            </w:r>
            <w:r>
              <w:rPr>
                <w:sz w:val="14"/>
              </w:rPr>
              <w:t>Low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16.70</w:t>
            </w:r>
          </w:p>
        </w:tc>
        <w:tc>
          <w:tcPr>
            <w:tcW w:w="995" w:type="dxa"/>
          </w:tcPr>
          <w:p>
            <w:pPr>
              <w:pStyle w:val="TableParagraph"/>
              <w:spacing w:line="140" w:lineRule="exact" w:before="17"/>
              <w:ind w:right="101"/>
              <w:jc w:val="right"/>
              <w:rPr>
                <w:sz w:val="14"/>
              </w:rPr>
            </w:pPr>
            <w:r>
              <w:rPr>
                <w:spacing w:val="-2"/>
                <w:sz w:val="14"/>
              </w:rPr>
              <w:t>20.02</w:t>
            </w:r>
          </w:p>
        </w:tc>
        <w:tc>
          <w:tcPr>
            <w:tcW w:w="861" w:type="dxa"/>
          </w:tcPr>
          <w:p>
            <w:pPr>
              <w:pStyle w:val="TableParagraph"/>
              <w:spacing w:line="140" w:lineRule="exact" w:before="17"/>
              <w:ind w:left="288"/>
              <w:rPr>
                <w:sz w:val="14"/>
              </w:rPr>
            </w:pPr>
            <w:r>
              <w:rPr>
                <w:spacing w:val="-4"/>
                <w:sz w:val="14"/>
              </w:rPr>
              <w:t>16.6</w:t>
            </w:r>
          </w:p>
        </w:tc>
      </w:tr>
      <w:tr>
        <w:trPr>
          <w:trHeight w:val="354" w:hRule="atLeast"/>
        </w:trPr>
        <w:tc>
          <w:tcPr>
            <w:tcW w:w="5794" w:type="dxa"/>
          </w:tcPr>
          <w:p>
            <w:pPr>
              <w:pStyle w:val="TableParagraph"/>
              <w:spacing w:line="160" w:lineRule="atLeast" w:before="14"/>
              <w:ind w:left="107" w:right="174"/>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3"/>
                <w:sz w:val="14"/>
              </w:rPr>
              <w:t> </w:t>
            </w:r>
            <w:r>
              <w:rPr>
                <w:sz w:val="14"/>
              </w:rPr>
              <w:t>Half</w:t>
            </w:r>
            <w:r>
              <w:rPr>
                <w:spacing w:val="-2"/>
                <w:sz w:val="14"/>
              </w:rPr>
              <w:t> </w:t>
            </w:r>
            <w:r>
              <w:rPr>
                <w:sz w:val="14"/>
              </w:rPr>
              <w:t>Day</w:t>
            </w:r>
            <w:r>
              <w:rPr>
                <w:spacing w:val="-1"/>
                <w:sz w:val="14"/>
              </w:rPr>
              <w:t> </w:t>
            </w:r>
            <w:r>
              <w:rPr>
                <w:sz w:val="14"/>
              </w:rPr>
              <w:t>-</w:t>
            </w:r>
            <w:r>
              <w:rPr>
                <w:spacing w:val="-5"/>
                <w:sz w:val="14"/>
              </w:rPr>
              <w:t> </w:t>
            </w:r>
            <w:r>
              <w:rPr>
                <w:sz w:val="14"/>
              </w:rPr>
              <w:t>Without</w:t>
            </w:r>
            <w:r>
              <w:rPr>
                <w:spacing w:val="-2"/>
                <w:sz w:val="14"/>
              </w:rPr>
              <w:t> </w:t>
            </w:r>
            <w:r>
              <w:rPr>
                <w:sz w:val="14"/>
              </w:rPr>
              <w:t>Meal</w:t>
            </w:r>
            <w:r>
              <w:rPr>
                <w:spacing w:val="-4"/>
                <w:sz w:val="14"/>
              </w:rPr>
              <w:t> </w:t>
            </w:r>
            <w:r>
              <w:rPr>
                <w:sz w:val="14"/>
              </w:rPr>
              <w:t>-</w:t>
            </w:r>
            <w:r>
              <w:rPr>
                <w:spacing w:val="-2"/>
                <w:sz w:val="14"/>
              </w:rPr>
              <w:t> </w:t>
            </w:r>
            <w:r>
              <w:rPr>
                <w:sz w:val="14"/>
              </w:rPr>
              <w:t>Home</w:t>
            </w:r>
            <w:r>
              <w:rPr>
                <w:spacing w:val="-2"/>
                <w:sz w:val="14"/>
              </w:rPr>
              <w:t> </w:t>
            </w:r>
            <w:r>
              <w:rPr>
                <w:sz w:val="14"/>
              </w:rPr>
              <w:t>Care</w:t>
            </w:r>
            <w:r>
              <w:rPr>
                <w:spacing w:val="-4"/>
                <w:sz w:val="14"/>
              </w:rPr>
              <w:t> </w:t>
            </w:r>
            <w:r>
              <w:rPr>
                <w:sz w:val="14"/>
              </w:rPr>
              <w:t>Packages/NDIS/Private</w:t>
            </w:r>
            <w:r>
              <w:rPr>
                <w:spacing w:val="-4"/>
                <w:sz w:val="14"/>
              </w:rPr>
              <w:t> </w:t>
            </w:r>
            <w:r>
              <w:rPr>
                <w:sz w:val="14"/>
              </w:rPr>
              <w:t>-</w:t>
            </w:r>
            <w:r>
              <w:rPr>
                <w:spacing w:val="40"/>
                <w:sz w:val="14"/>
              </w:rPr>
              <w:t> </w:t>
            </w:r>
            <w:r>
              <w:rPr>
                <w:sz w:val="14"/>
              </w:rPr>
              <w:t>High</w:t>
            </w:r>
            <w:r>
              <w:rPr>
                <w:spacing w:val="-2"/>
                <w:sz w:val="14"/>
              </w:rPr>
              <w:t> </w:t>
            </w:r>
            <w:r>
              <w:rPr>
                <w:sz w:val="14"/>
              </w:rPr>
              <w:t>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84.30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92.73</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9.1</w:t>
            </w:r>
          </w:p>
        </w:tc>
      </w:tr>
      <w:tr>
        <w:trPr>
          <w:trHeight w:val="352" w:hRule="atLeast"/>
        </w:trPr>
        <w:tc>
          <w:tcPr>
            <w:tcW w:w="5794" w:type="dxa"/>
          </w:tcPr>
          <w:p>
            <w:pPr>
              <w:pStyle w:val="TableParagraph"/>
              <w:spacing w:line="160" w:lineRule="atLeast" w:before="11"/>
              <w:ind w:left="107" w:right="174"/>
              <w:rPr>
                <w:sz w:val="14"/>
              </w:rPr>
            </w:pPr>
            <w:r>
              <w:rPr>
                <w:sz w:val="14"/>
              </w:rPr>
              <w:t>Social</w:t>
            </w:r>
            <w:r>
              <w:rPr>
                <w:spacing w:val="-4"/>
                <w:sz w:val="14"/>
              </w:rPr>
              <w:t> </w:t>
            </w:r>
            <w:r>
              <w:rPr>
                <w:sz w:val="14"/>
              </w:rPr>
              <w:t>Support</w:t>
            </w:r>
            <w:r>
              <w:rPr>
                <w:spacing w:val="-3"/>
                <w:sz w:val="14"/>
              </w:rPr>
              <w:t> </w:t>
            </w:r>
            <w:r>
              <w:rPr>
                <w:sz w:val="14"/>
              </w:rPr>
              <w:t>Group</w:t>
            </w:r>
            <w:r>
              <w:rPr>
                <w:spacing w:val="-4"/>
                <w:sz w:val="14"/>
              </w:rPr>
              <w:t> </w:t>
            </w:r>
            <w:r>
              <w:rPr>
                <w:sz w:val="14"/>
              </w:rPr>
              <w:t>-</w:t>
            </w:r>
            <w:r>
              <w:rPr>
                <w:spacing w:val="-3"/>
                <w:sz w:val="14"/>
              </w:rPr>
              <w:t> </w:t>
            </w:r>
            <w:r>
              <w:rPr>
                <w:sz w:val="14"/>
              </w:rPr>
              <w:t>Half</w:t>
            </w:r>
            <w:r>
              <w:rPr>
                <w:spacing w:val="-2"/>
                <w:sz w:val="14"/>
              </w:rPr>
              <w:t> </w:t>
            </w:r>
            <w:r>
              <w:rPr>
                <w:sz w:val="14"/>
              </w:rPr>
              <w:t>Day</w:t>
            </w:r>
            <w:r>
              <w:rPr>
                <w:spacing w:val="-1"/>
                <w:sz w:val="14"/>
              </w:rPr>
              <w:t> </w:t>
            </w:r>
            <w:r>
              <w:rPr>
                <w:sz w:val="14"/>
              </w:rPr>
              <w:t>-</w:t>
            </w:r>
            <w:r>
              <w:rPr>
                <w:spacing w:val="-4"/>
                <w:sz w:val="14"/>
              </w:rPr>
              <w:t> </w:t>
            </w:r>
            <w:r>
              <w:rPr>
                <w:sz w:val="14"/>
              </w:rPr>
              <w:t>With</w:t>
            </w:r>
            <w:r>
              <w:rPr>
                <w:spacing w:val="-2"/>
                <w:sz w:val="14"/>
              </w:rPr>
              <w:t> </w:t>
            </w:r>
            <w:r>
              <w:rPr>
                <w:sz w:val="14"/>
              </w:rPr>
              <w:t>Meal</w:t>
            </w:r>
            <w:r>
              <w:rPr>
                <w:spacing w:val="-1"/>
                <w:sz w:val="14"/>
              </w:rPr>
              <w:t> </w:t>
            </w:r>
            <w:r>
              <w:rPr>
                <w:sz w:val="14"/>
              </w:rPr>
              <w:t>-</w:t>
            </w:r>
            <w:r>
              <w:rPr>
                <w:spacing w:val="-4"/>
                <w:sz w:val="14"/>
              </w:rPr>
              <w:t> </w:t>
            </w:r>
            <w:r>
              <w:rPr>
                <w:sz w:val="14"/>
              </w:rPr>
              <w:t>Home</w:t>
            </w:r>
            <w:r>
              <w:rPr>
                <w:spacing w:val="-4"/>
                <w:sz w:val="14"/>
              </w:rPr>
              <w:t> </w:t>
            </w:r>
            <w:r>
              <w:rPr>
                <w:sz w:val="14"/>
              </w:rPr>
              <w:t>Care</w:t>
            </w:r>
            <w:r>
              <w:rPr>
                <w:spacing w:val="-5"/>
                <w:sz w:val="14"/>
              </w:rPr>
              <w:t> </w:t>
            </w:r>
            <w:r>
              <w:rPr>
                <w:sz w:val="14"/>
              </w:rPr>
              <w:t>Packages/NDIS/Private</w:t>
            </w:r>
            <w:r>
              <w:rPr>
                <w:spacing w:val="-3"/>
                <w:sz w:val="14"/>
              </w:rPr>
              <w:t> </w:t>
            </w:r>
            <w:r>
              <w:rPr>
                <w:sz w:val="14"/>
              </w:rPr>
              <w:t>-</w:t>
            </w:r>
            <w:r>
              <w:rPr>
                <w:spacing w:val="-4"/>
                <w:sz w:val="14"/>
              </w:rPr>
              <w:t> </w:t>
            </w:r>
            <w:r>
              <w:rPr>
                <w:sz w:val="14"/>
              </w:rPr>
              <w:t>High</w:t>
            </w:r>
            <w:r>
              <w:rPr>
                <w:spacing w:val="40"/>
                <w:sz w:val="14"/>
              </w:rPr>
              <w:t> </w:t>
            </w:r>
            <w:r>
              <w:rPr>
                <w:spacing w:val="-4"/>
                <w:sz w:val="14"/>
              </w:rPr>
              <w:t>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103.25</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103.93</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0.7</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3"/>
                <w:sz w:val="14"/>
              </w:rPr>
              <w:t> </w:t>
            </w:r>
            <w:r>
              <w:rPr>
                <w:sz w:val="14"/>
              </w:rPr>
              <w:t>Group</w:t>
            </w:r>
            <w:r>
              <w:rPr>
                <w:spacing w:val="-4"/>
                <w:sz w:val="14"/>
              </w:rPr>
              <w:t> </w:t>
            </w:r>
            <w:r>
              <w:rPr>
                <w:sz w:val="14"/>
              </w:rPr>
              <w:t>-</w:t>
            </w:r>
            <w:r>
              <w:rPr>
                <w:spacing w:val="-2"/>
                <w:sz w:val="14"/>
              </w:rPr>
              <w:t> </w:t>
            </w:r>
            <w:r>
              <w:rPr>
                <w:sz w:val="14"/>
              </w:rPr>
              <w:t>Entertainment</w:t>
            </w:r>
            <w:r>
              <w:rPr>
                <w:spacing w:val="-4"/>
                <w:sz w:val="14"/>
              </w:rPr>
              <w:t> </w:t>
            </w:r>
            <w:r>
              <w:rPr>
                <w:sz w:val="14"/>
              </w:rPr>
              <w:t>-</w:t>
            </w:r>
            <w:r>
              <w:rPr>
                <w:spacing w:val="-2"/>
                <w:sz w:val="14"/>
              </w:rPr>
              <w:t> </w:t>
            </w:r>
            <w:r>
              <w:rPr>
                <w:sz w:val="14"/>
              </w:rPr>
              <w:t>First</w:t>
            </w:r>
            <w:r>
              <w:rPr>
                <w:spacing w:val="-5"/>
                <w:sz w:val="14"/>
              </w:rPr>
              <w:t> </w:t>
            </w:r>
            <w:r>
              <w:rPr>
                <w:sz w:val="14"/>
              </w:rPr>
              <w:t>Hour</w:t>
            </w:r>
            <w:r>
              <w:rPr>
                <w:spacing w:val="-1"/>
                <w:sz w:val="14"/>
              </w:rPr>
              <w:t> </w:t>
            </w:r>
            <w:r>
              <w:rPr>
                <w:sz w:val="14"/>
              </w:rPr>
              <w:t>Only</w:t>
            </w:r>
            <w:r>
              <w:rPr>
                <w:spacing w:val="-2"/>
                <w:sz w:val="14"/>
              </w:rPr>
              <w:t> </w:t>
            </w:r>
            <w:r>
              <w:rPr>
                <w:sz w:val="14"/>
              </w:rPr>
              <w:t>-</w:t>
            </w:r>
            <w:r>
              <w:rPr>
                <w:spacing w:val="-5"/>
                <w:sz w:val="14"/>
              </w:rPr>
              <w:t> </w:t>
            </w:r>
            <w:r>
              <w:rPr>
                <w:sz w:val="14"/>
              </w:rPr>
              <w:t>CHSP</w:t>
            </w:r>
            <w:r>
              <w:rPr>
                <w:spacing w:val="-2"/>
                <w:sz w:val="14"/>
              </w:rPr>
              <w:t> </w:t>
            </w:r>
            <w:r>
              <w:rPr>
                <w:sz w:val="14"/>
              </w:rPr>
              <w:t>-</w:t>
            </w:r>
            <w:r>
              <w:rPr>
                <w:spacing w:val="-2"/>
                <w:sz w:val="14"/>
              </w:rPr>
              <w:t> </w:t>
            </w:r>
            <w:r>
              <w:rPr>
                <w:sz w:val="14"/>
              </w:rPr>
              <w:t>Low</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4"/>
                <w:sz w:val="14"/>
              </w:rPr>
              <w:t>4.00</w:t>
            </w:r>
          </w:p>
        </w:tc>
        <w:tc>
          <w:tcPr>
            <w:tcW w:w="861" w:type="dxa"/>
          </w:tcPr>
          <w:p>
            <w:pPr>
              <w:pStyle w:val="TableParagraph"/>
              <w:spacing w:line="140" w:lineRule="exact" w:before="17"/>
              <w:ind w:left="327"/>
              <w:rPr>
                <w:sz w:val="14"/>
              </w:rPr>
            </w:pPr>
            <w:r>
              <w:rPr>
                <w:spacing w:val="-5"/>
                <w:sz w:val="14"/>
              </w:rPr>
              <w:t>0.0</w:t>
            </w:r>
          </w:p>
        </w:tc>
      </w:tr>
      <w:tr>
        <w:trPr>
          <w:trHeight w:val="354" w:hRule="atLeast"/>
        </w:trPr>
        <w:tc>
          <w:tcPr>
            <w:tcW w:w="5794" w:type="dxa"/>
          </w:tcPr>
          <w:p>
            <w:pPr>
              <w:pStyle w:val="TableParagraph"/>
              <w:spacing w:line="160" w:lineRule="atLeast" w:before="14"/>
              <w:ind w:left="107" w:right="174"/>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Entertainment</w:t>
            </w:r>
            <w:r>
              <w:rPr>
                <w:spacing w:val="-3"/>
                <w:sz w:val="14"/>
              </w:rPr>
              <w:t> </w:t>
            </w:r>
            <w:r>
              <w:rPr>
                <w:sz w:val="14"/>
              </w:rPr>
              <w:t>-</w:t>
            </w:r>
            <w:r>
              <w:rPr>
                <w:spacing w:val="-2"/>
                <w:sz w:val="14"/>
              </w:rPr>
              <w:t> </w:t>
            </w:r>
            <w:r>
              <w:rPr>
                <w:sz w:val="14"/>
              </w:rPr>
              <w:t>Each</w:t>
            </w:r>
            <w:r>
              <w:rPr>
                <w:spacing w:val="-5"/>
                <w:sz w:val="14"/>
              </w:rPr>
              <w:t> </w:t>
            </w:r>
            <w:r>
              <w:rPr>
                <w:sz w:val="14"/>
              </w:rPr>
              <w:t>Additional</w:t>
            </w:r>
            <w:r>
              <w:rPr>
                <w:spacing w:val="-3"/>
                <w:sz w:val="14"/>
              </w:rPr>
              <w:t> </w:t>
            </w:r>
            <w:r>
              <w:rPr>
                <w:sz w:val="14"/>
              </w:rPr>
              <w:t>Hour</w:t>
            </w:r>
            <w:r>
              <w:rPr>
                <w:spacing w:val="35"/>
                <w:sz w:val="14"/>
              </w:rPr>
              <w:t> </w:t>
            </w:r>
            <w:r>
              <w:rPr>
                <w:sz w:val="14"/>
              </w:rPr>
              <w:t>(75% of</w:t>
            </w:r>
            <w:r>
              <w:rPr>
                <w:spacing w:val="-3"/>
                <w:sz w:val="14"/>
              </w:rPr>
              <w:t> </w:t>
            </w:r>
            <w:r>
              <w:rPr>
                <w:sz w:val="14"/>
              </w:rPr>
              <w:t>the</w:t>
            </w:r>
            <w:r>
              <w:rPr>
                <w:spacing w:val="-3"/>
                <w:sz w:val="14"/>
              </w:rPr>
              <w:t> </w:t>
            </w:r>
            <w:r>
              <w:rPr>
                <w:sz w:val="14"/>
              </w:rPr>
              <w:t>first</w:t>
            </w:r>
            <w:r>
              <w:rPr>
                <w:spacing w:val="-1"/>
                <w:sz w:val="14"/>
              </w:rPr>
              <w:t> </w:t>
            </w:r>
            <w:r>
              <w:rPr>
                <w:sz w:val="14"/>
              </w:rPr>
              <w:t>hour</w:t>
            </w:r>
            <w:r>
              <w:rPr>
                <w:spacing w:val="-4"/>
                <w:sz w:val="14"/>
              </w:rPr>
              <w:t> </w:t>
            </w:r>
            <w:r>
              <w:rPr>
                <w:sz w:val="14"/>
              </w:rPr>
              <w:t>up</w:t>
            </w:r>
            <w:r>
              <w:rPr>
                <w:spacing w:val="-4"/>
                <w:sz w:val="14"/>
              </w:rPr>
              <w:t> </w:t>
            </w:r>
            <w:r>
              <w:rPr>
                <w:sz w:val="14"/>
              </w:rPr>
              <w:t>to</w:t>
            </w:r>
            <w:r>
              <w:rPr>
                <w:spacing w:val="40"/>
                <w:sz w:val="14"/>
              </w:rPr>
              <w:t> </w:t>
            </w:r>
            <w:r>
              <w:rPr>
                <w:sz w:val="14"/>
              </w:rPr>
              <w:t>a total of 4 hours) - CHSP - Low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0.00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3.00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r>
        <w:trPr>
          <w:trHeight w:val="354" w:hRule="atLeast"/>
        </w:trPr>
        <w:tc>
          <w:tcPr>
            <w:tcW w:w="5794" w:type="dxa"/>
          </w:tcPr>
          <w:p>
            <w:pPr>
              <w:pStyle w:val="TableParagraph"/>
              <w:spacing w:line="160" w:lineRule="atLeast" w:before="14"/>
              <w:ind w:left="107" w:right="174"/>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3"/>
                <w:sz w:val="14"/>
              </w:rPr>
              <w:t> </w:t>
            </w:r>
            <w:r>
              <w:rPr>
                <w:sz w:val="14"/>
              </w:rPr>
              <w:t>Entertainment</w:t>
            </w:r>
            <w:r>
              <w:rPr>
                <w:spacing w:val="-4"/>
                <w:sz w:val="14"/>
              </w:rPr>
              <w:t> </w:t>
            </w:r>
            <w:r>
              <w:rPr>
                <w:sz w:val="14"/>
              </w:rPr>
              <w:t>-</w:t>
            </w:r>
            <w:r>
              <w:rPr>
                <w:spacing w:val="-3"/>
                <w:sz w:val="14"/>
              </w:rPr>
              <w:t> </w:t>
            </w:r>
            <w:r>
              <w:rPr>
                <w:sz w:val="14"/>
              </w:rPr>
              <w:t>First</w:t>
            </w:r>
            <w:r>
              <w:rPr>
                <w:spacing w:val="-4"/>
                <w:sz w:val="14"/>
              </w:rPr>
              <w:t> </w:t>
            </w:r>
            <w:r>
              <w:rPr>
                <w:sz w:val="14"/>
              </w:rPr>
              <w:t>Hour</w:t>
            </w:r>
            <w:r>
              <w:rPr>
                <w:spacing w:val="-2"/>
                <w:sz w:val="14"/>
              </w:rPr>
              <w:t> </w:t>
            </w:r>
            <w:r>
              <w:rPr>
                <w:sz w:val="14"/>
              </w:rPr>
              <w:t>Only</w:t>
            </w:r>
            <w:r>
              <w:rPr>
                <w:spacing w:val="-2"/>
                <w:sz w:val="14"/>
              </w:rPr>
              <w:t> </w:t>
            </w:r>
            <w:r>
              <w:rPr>
                <w:sz w:val="14"/>
              </w:rPr>
              <w:t>-</w:t>
            </w:r>
            <w:r>
              <w:rPr>
                <w:spacing w:val="-4"/>
                <w:sz w:val="14"/>
              </w:rPr>
              <w:t> </w:t>
            </w:r>
            <w:r>
              <w:rPr>
                <w:sz w:val="14"/>
              </w:rPr>
              <w:t>Home</w:t>
            </w:r>
            <w:r>
              <w:rPr>
                <w:spacing w:val="-6"/>
                <w:sz w:val="14"/>
              </w:rPr>
              <w:t> </w:t>
            </w:r>
            <w:r>
              <w:rPr>
                <w:sz w:val="14"/>
              </w:rPr>
              <w:t>Care</w:t>
            </w:r>
            <w:r>
              <w:rPr>
                <w:spacing w:val="-4"/>
                <w:sz w:val="14"/>
              </w:rPr>
              <w:t> </w:t>
            </w:r>
            <w:r>
              <w:rPr>
                <w:sz w:val="14"/>
              </w:rPr>
              <w:t>Package/NDIS</w:t>
            </w:r>
            <w:r>
              <w:rPr>
                <w:spacing w:val="-3"/>
                <w:sz w:val="14"/>
              </w:rPr>
              <w:t> </w:t>
            </w:r>
            <w:r>
              <w:rPr>
                <w:sz w:val="14"/>
              </w:rPr>
              <w:t>-</w:t>
            </w:r>
            <w:r>
              <w:rPr>
                <w:spacing w:val="40"/>
                <w:sz w:val="14"/>
              </w:rPr>
              <w:t> </w:t>
            </w:r>
            <w:r>
              <w:rPr>
                <w:sz w:val="14"/>
              </w:rPr>
              <w:t>High</w:t>
            </w:r>
            <w:r>
              <w:rPr>
                <w:spacing w:val="-2"/>
                <w:sz w:val="14"/>
              </w:rPr>
              <w:t> </w:t>
            </w:r>
            <w:r>
              <w:rPr>
                <w:sz w:val="14"/>
              </w:rPr>
              <w:t>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0.00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2"/>
                <w:sz w:val="14"/>
              </w:rPr>
              <w:t>25.29</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r>
        <w:trPr>
          <w:trHeight w:val="352" w:hRule="atLeast"/>
        </w:trPr>
        <w:tc>
          <w:tcPr>
            <w:tcW w:w="5794" w:type="dxa"/>
          </w:tcPr>
          <w:p>
            <w:pPr>
              <w:pStyle w:val="TableParagraph"/>
              <w:spacing w:line="160" w:lineRule="atLeast" w:before="11"/>
              <w:ind w:left="107" w:right="174"/>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Entertainment</w:t>
            </w:r>
            <w:r>
              <w:rPr>
                <w:spacing w:val="-3"/>
                <w:sz w:val="14"/>
              </w:rPr>
              <w:t> </w:t>
            </w:r>
            <w:r>
              <w:rPr>
                <w:sz w:val="14"/>
              </w:rPr>
              <w:t>-</w:t>
            </w:r>
            <w:r>
              <w:rPr>
                <w:spacing w:val="-2"/>
                <w:sz w:val="14"/>
              </w:rPr>
              <w:t> </w:t>
            </w:r>
            <w:r>
              <w:rPr>
                <w:sz w:val="14"/>
              </w:rPr>
              <w:t>Each</w:t>
            </w:r>
            <w:r>
              <w:rPr>
                <w:spacing w:val="-5"/>
                <w:sz w:val="14"/>
              </w:rPr>
              <w:t> </w:t>
            </w:r>
            <w:r>
              <w:rPr>
                <w:sz w:val="14"/>
              </w:rPr>
              <w:t>Additional</w:t>
            </w:r>
            <w:r>
              <w:rPr>
                <w:spacing w:val="-3"/>
                <w:sz w:val="14"/>
              </w:rPr>
              <w:t> </w:t>
            </w:r>
            <w:r>
              <w:rPr>
                <w:sz w:val="14"/>
              </w:rPr>
              <w:t>Hour</w:t>
            </w:r>
            <w:r>
              <w:rPr>
                <w:spacing w:val="35"/>
                <w:sz w:val="14"/>
              </w:rPr>
              <w:t> </w:t>
            </w:r>
            <w:r>
              <w:rPr>
                <w:sz w:val="14"/>
              </w:rPr>
              <w:t>(10% of</w:t>
            </w:r>
            <w:r>
              <w:rPr>
                <w:spacing w:val="-3"/>
                <w:sz w:val="14"/>
              </w:rPr>
              <w:t> </w:t>
            </w:r>
            <w:r>
              <w:rPr>
                <w:sz w:val="14"/>
              </w:rPr>
              <w:t>the</w:t>
            </w:r>
            <w:r>
              <w:rPr>
                <w:spacing w:val="-3"/>
                <w:sz w:val="14"/>
              </w:rPr>
              <w:t> </w:t>
            </w:r>
            <w:r>
              <w:rPr>
                <w:sz w:val="14"/>
              </w:rPr>
              <w:t>first</w:t>
            </w:r>
            <w:r>
              <w:rPr>
                <w:spacing w:val="-1"/>
                <w:sz w:val="14"/>
              </w:rPr>
              <w:t> </w:t>
            </w:r>
            <w:r>
              <w:rPr>
                <w:sz w:val="14"/>
              </w:rPr>
              <w:t>hour</w:t>
            </w:r>
            <w:r>
              <w:rPr>
                <w:spacing w:val="-4"/>
                <w:sz w:val="14"/>
              </w:rPr>
              <w:t> </w:t>
            </w:r>
            <w:r>
              <w:rPr>
                <w:sz w:val="14"/>
              </w:rPr>
              <w:t>up</w:t>
            </w:r>
            <w:r>
              <w:rPr>
                <w:spacing w:val="-4"/>
                <w:sz w:val="14"/>
              </w:rPr>
              <w:t> </w:t>
            </w:r>
            <w:r>
              <w:rPr>
                <w:sz w:val="14"/>
              </w:rPr>
              <w:t>to</w:t>
            </w:r>
            <w:r>
              <w:rPr>
                <w:spacing w:val="40"/>
                <w:sz w:val="14"/>
              </w:rPr>
              <w:t> </w:t>
            </w:r>
            <w:r>
              <w:rPr>
                <w:sz w:val="14"/>
              </w:rPr>
              <w:t>a total of 4 hours) - Home Care Package/NDIS - High 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4"/>
                <w:sz w:val="14"/>
              </w:rPr>
              <w:t>0.00</w:t>
            </w:r>
          </w:p>
        </w:tc>
        <w:tc>
          <w:tcPr>
            <w:tcW w:w="995" w:type="dxa"/>
          </w:tcPr>
          <w:p>
            <w:pPr>
              <w:pStyle w:val="TableParagraph"/>
              <w:spacing w:before="8"/>
              <w:rPr>
                <w:sz w:val="16"/>
              </w:rPr>
            </w:pPr>
          </w:p>
          <w:p>
            <w:pPr>
              <w:pStyle w:val="TableParagraph"/>
              <w:spacing w:line="140" w:lineRule="exact"/>
              <w:ind w:right="101"/>
              <w:jc w:val="right"/>
              <w:rPr>
                <w:sz w:val="14"/>
              </w:rPr>
            </w:pPr>
            <w:r>
              <w:rPr>
                <w:spacing w:val="-4"/>
                <w:sz w:val="14"/>
              </w:rPr>
              <w:t>2.53</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7"/>
                <w:sz w:val="14"/>
              </w:rPr>
              <w:t> </w:t>
            </w:r>
            <w:r>
              <w:rPr>
                <w:sz w:val="14"/>
              </w:rPr>
              <w:t>Support</w:t>
            </w:r>
            <w:r>
              <w:rPr>
                <w:spacing w:val="-3"/>
                <w:sz w:val="14"/>
              </w:rPr>
              <w:t> </w:t>
            </w:r>
            <w:r>
              <w:rPr>
                <w:sz w:val="14"/>
              </w:rPr>
              <w:t>Group</w:t>
            </w:r>
            <w:r>
              <w:rPr>
                <w:spacing w:val="-4"/>
                <w:sz w:val="14"/>
              </w:rPr>
              <w:t> </w:t>
            </w:r>
            <w:r>
              <w:rPr>
                <w:sz w:val="14"/>
              </w:rPr>
              <w:t>-</w:t>
            </w:r>
            <w:r>
              <w:rPr>
                <w:spacing w:val="-2"/>
                <w:sz w:val="14"/>
              </w:rPr>
              <w:t> </w:t>
            </w:r>
            <w:r>
              <w:rPr>
                <w:sz w:val="14"/>
              </w:rPr>
              <w:t>Health/Information</w:t>
            </w:r>
            <w:r>
              <w:rPr>
                <w:spacing w:val="-2"/>
                <w:sz w:val="14"/>
              </w:rPr>
              <w:t> </w:t>
            </w:r>
            <w:r>
              <w:rPr>
                <w:sz w:val="14"/>
              </w:rPr>
              <w:t>-</w:t>
            </w:r>
            <w:r>
              <w:rPr>
                <w:spacing w:val="-4"/>
                <w:sz w:val="14"/>
              </w:rPr>
              <w:t> </w:t>
            </w:r>
            <w:r>
              <w:rPr>
                <w:sz w:val="14"/>
              </w:rPr>
              <w:t>First</w:t>
            </w:r>
            <w:r>
              <w:rPr>
                <w:spacing w:val="-5"/>
                <w:sz w:val="14"/>
              </w:rPr>
              <w:t> </w:t>
            </w:r>
            <w:r>
              <w:rPr>
                <w:sz w:val="14"/>
              </w:rPr>
              <w:t>Hour</w:t>
            </w:r>
            <w:r>
              <w:rPr>
                <w:spacing w:val="-4"/>
                <w:sz w:val="14"/>
              </w:rPr>
              <w:t> </w:t>
            </w:r>
            <w:r>
              <w:rPr>
                <w:sz w:val="14"/>
              </w:rPr>
              <w:t>Only</w:t>
            </w:r>
            <w:r>
              <w:rPr>
                <w:spacing w:val="-2"/>
                <w:sz w:val="14"/>
              </w:rPr>
              <w:t> </w:t>
            </w:r>
            <w:r>
              <w:rPr>
                <w:sz w:val="14"/>
              </w:rPr>
              <w:t>-</w:t>
            </w:r>
            <w:r>
              <w:rPr>
                <w:spacing w:val="-4"/>
                <w:sz w:val="14"/>
              </w:rPr>
              <w:t> </w:t>
            </w:r>
            <w:r>
              <w:rPr>
                <w:sz w:val="14"/>
              </w:rPr>
              <w:t>CHSP</w:t>
            </w:r>
            <w:r>
              <w:rPr>
                <w:spacing w:val="-1"/>
                <w:sz w:val="14"/>
              </w:rPr>
              <w:t> </w:t>
            </w:r>
            <w:r>
              <w:rPr>
                <w:sz w:val="14"/>
              </w:rPr>
              <w:t>-</w:t>
            </w:r>
            <w:r>
              <w:rPr>
                <w:spacing w:val="-5"/>
                <w:sz w:val="14"/>
              </w:rPr>
              <w:t> </w:t>
            </w:r>
            <w:r>
              <w:rPr>
                <w:sz w:val="14"/>
              </w:rPr>
              <w:t>Low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4"/>
                <w:sz w:val="14"/>
              </w:rPr>
              <w:t>2.00</w:t>
            </w:r>
          </w:p>
        </w:tc>
        <w:tc>
          <w:tcPr>
            <w:tcW w:w="861" w:type="dxa"/>
          </w:tcPr>
          <w:p>
            <w:pPr>
              <w:pStyle w:val="TableParagraph"/>
              <w:spacing w:line="140" w:lineRule="exact" w:before="17"/>
              <w:ind w:left="327"/>
              <w:rPr>
                <w:sz w:val="14"/>
              </w:rPr>
            </w:pPr>
            <w:r>
              <w:rPr>
                <w:spacing w:val="-5"/>
                <w:sz w:val="14"/>
              </w:rPr>
              <w:t>0.0</w:t>
            </w:r>
          </w:p>
        </w:tc>
      </w:tr>
      <w:tr>
        <w:trPr>
          <w:trHeight w:val="354" w:hRule="atLeast"/>
        </w:trPr>
        <w:tc>
          <w:tcPr>
            <w:tcW w:w="5794" w:type="dxa"/>
          </w:tcPr>
          <w:p>
            <w:pPr>
              <w:pStyle w:val="TableParagraph"/>
              <w:spacing w:line="160" w:lineRule="atLeast" w:before="14"/>
              <w:ind w:left="107" w:right="174"/>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3"/>
                <w:sz w:val="14"/>
              </w:rPr>
              <w:t> </w:t>
            </w:r>
            <w:r>
              <w:rPr>
                <w:sz w:val="14"/>
              </w:rPr>
              <w:t>Health/Information</w:t>
            </w:r>
            <w:r>
              <w:rPr>
                <w:spacing w:val="-3"/>
                <w:sz w:val="14"/>
              </w:rPr>
              <w:t> </w:t>
            </w:r>
            <w:r>
              <w:rPr>
                <w:sz w:val="14"/>
              </w:rPr>
              <w:t>-</w:t>
            </w:r>
            <w:r>
              <w:rPr>
                <w:spacing w:val="-5"/>
                <w:sz w:val="14"/>
              </w:rPr>
              <w:t> </w:t>
            </w:r>
            <w:r>
              <w:rPr>
                <w:sz w:val="14"/>
              </w:rPr>
              <w:t>Each</w:t>
            </w:r>
            <w:r>
              <w:rPr>
                <w:spacing w:val="-4"/>
                <w:sz w:val="14"/>
              </w:rPr>
              <w:t> </w:t>
            </w:r>
            <w:r>
              <w:rPr>
                <w:sz w:val="14"/>
              </w:rPr>
              <w:t>Additional</w:t>
            </w:r>
            <w:r>
              <w:rPr>
                <w:spacing w:val="-4"/>
                <w:sz w:val="14"/>
              </w:rPr>
              <w:t> </w:t>
            </w:r>
            <w:r>
              <w:rPr>
                <w:sz w:val="14"/>
              </w:rPr>
              <w:t>Hour</w:t>
            </w:r>
            <w:r>
              <w:rPr>
                <w:spacing w:val="34"/>
                <w:sz w:val="14"/>
              </w:rPr>
              <w:t> </w:t>
            </w:r>
            <w:r>
              <w:rPr>
                <w:sz w:val="14"/>
              </w:rPr>
              <w:t>(50%</w:t>
            </w:r>
            <w:r>
              <w:rPr>
                <w:spacing w:val="-2"/>
                <w:sz w:val="14"/>
              </w:rPr>
              <w:t> </w:t>
            </w:r>
            <w:r>
              <w:rPr>
                <w:sz w:val="14"/>
              </w:rPr>
              <w:t>of</w:t>
            </w:r>
            <w:r>
              <w:rPr>
                <w:spacing w:val="-2"/>
                <w:sz w:val="14"/>
              </w:rPr>
              <w:t> </w:t>
            </w:r>
            <w:r>
              <w:rPr>
                <w:sz w:val="14"/>
              </w:rPr>
              <w:t>the</w:t>
            </w:r>
            <w:r>
              <w:rPr>
                <w:spacing w:val="-3"/>
                <w:sz w:val="14"/>
              </w:rPr>
              <w:t> </w:t>
            </w:r>
            <w:r>
              <w:rPr>
                <w:sz w:val="14"/>
              </w:rPr>
              <w:t>first</w:t>
            </w:r>
            <w:r>
              <w:rPr>
                <w:spacing w:val="-2"/>
                <w:sz w:val="14"/>
              </w:rPr>
              <w:t> </w:t>
            </w:r>
            <w:r>
              <w:rPr>
                <w:sz w:val="14"/>
              </w:rPr>
              <w:t>hour</w:t>
            </w:r>
            <w:r>
              <w:rPr>
                <w:spacing w:val="40"/>
                <w:sz w:val="14"/>
              </w:rPr>
              <w:t> </w:t>
            </w:r>
            <w:r>
              <w:rPr>
                <w:sz w:val="14"/>
              </w:rPr>
              <w:t>up to a total of 4 hours) - CHSP - Low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0.00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1.00</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0.0</w:t>
            </w:r>
          </w:p>
        </w:tc>
      </w:tr>
      <w:tr>
        <w:trPr>
          <w:trHeight w:val="354" w:hRule="atLeast"/>
        </w:trPr>
        <w:tc>
          <w:tcPr>
            <w:tcW w:w="5794" w:type="dxa"/>
          </w:tcPr>
          <w:p>
            <w:pPr>
              <w:pStyle w:val="TableParagraph"/>
              <w:spacing w:line="160" w:lineRule="atLeast" w:before="13"/>
              <w:ind w:left="107"/>
              <w:rPr>
                <w:sz w:val="14"/>
              </w:rPr>
            </w:pPr>
            <w:r>
              <w:rPr>
                <w:sz w:val="14"/>
              </w:rPr>
              <w:t>Social</w:t>
            </w:r>
            <w:r>
              <w:rPr>
                <w:spacing w:val="-4"/>
                <w:sz w:val="14"/>
              </w:rPr>
              <w:t> </w:t>
            </w:r>
            <w:r>
              <w:rPr>
                <w:sz w:val="14"/>
              </w:rPr>
              <w:t>Support</w:t>
            </w:r>
            <w:r>
              <w:rPr>
                <w:spacing w:val="-3"/>
                <w:sz w:val="14"/>
              </w:rPr>
              <w:t> </w:t>
            </w:r>
            <w:r>
              <w:rPr>
                <w:sz w:val="14"/>
              </w:rPr>
              <w:t>Group</w:t>
            </w:r>
            <w:r>
              <w:rPr>
                <w:spacing w:val="-4"/>
                <w:sz w:val="14"/>
              </w:rPr>
              <w:t> </w:t>
            </w:r>
            <w:r>
              <w:rPr>
                <w:sz w:val="14"/>
              </w:rPr>
              <w:t>-</w:t>
            </w:r>
            <w:r>
              <w:rPr>
                <w:spacing w:val="-3"/>
                <w:sz w:val="14"/>
              </w:rPr>
              <w:t> </w:t>
            </w:r>
            <w:r>
              <w:rPr>
                <w:sz w:val="14"/>
              </w:rPr>
              <w:t>Virtual/Online</w:t>
            </w:r>
            <w:r>
              <w:rPr>
                <w:spacing w:val="-3"/>
                <w:sz w:val="14"/>
              </w:rPr>
              <w:t> </w:t>
            </w:r>
            <w:r>
              <w:rPr>
                <w:sz w:val="14"/>
              </w:rPr>
              <w:t>Session</w:t>
            </w:r>
            <w:r>
              <w:rPr>
                <w:spacing w:val="-5"/>
                <w:sz w:val="14"/>
              </w:rPr>
              <w:t> </w:t>
            </w:r>
            <w:r>
              <w:rPr>
                <w:sz w:val="14"/>
              </w:rPr>
              <w:t>-</w:t>
            </w:r>
            <w:r>
              <w:rPr>
                <w:spacing w:val="-4"/>
                <w:sz w:val="14"/>
              </w:rPr>
              <w:t> </w:t>
            </w:r>
            <w:r>
              <w:rPr>
                <w:sz w:val="14"/>
              </w:rPr>
              <w:t>Per</w:t>
            </w:r>
            <w:r>
              <w:rPr>
                <w:spacing w:val="-4"/>
                <w:sz w:val="14"/>
              </w:rPr>
              <w:t> </w:t>
            </w:r>
            <w:r>
              <w:rPr>
                <w:sz w:val="14"/>
              </w:rPr>
              <w:t>Session</w:t>
            </w:r>
            <w:r>
              <w:rPr>
                <w:spacing w:val="-2"/>
                <w:sz w:val="14"/>
              </w:rPr>
              <w:t> </w:t>
            </w:r>
            <w:r>
              <w:rPr>
                <w:sz w:val="14"/>
              </w:rPr>
              <w:t>-</w:t>
            </w:r>
            <w:r>
              <w:rPr>
                <w:spacing w:val="-4"/>
                <w:sz w:val="14"/>
              </w:rPr>
              <w:t> </w:t>
            </w:r>
            <w:r>
              <w:rPr>
                <w:sz w:val="14"/>
              </w:rPr>
              <w:t>CHSP/Home</w:t>
            </w:r>
            <w:r>
              <w:rPr>
                <w:spacing w:val="-3"/>
                <w:sz w:val="14"/>
              </w:rPr>
              <w:t> </w:t>
            </w:r>
            <w:r>
              <w:rPr>
                <w:sz w:val="14"/>
              </w:rPr>
              <w:t>Care</w:t>
            </w:r>
            <w:r>
              <w:rPr>
                <w:spacing w:val="40"/>
                <w:sz w:val="14"/>
              </w:rPr>
              <w:t> </w:t>
            </w:r>
            <w:r>
              <w:rPr>
                <w:sz w:val="14"/>
              </w:rPr>
              <w:t>Package/NDIS/Private - Low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4"/>
                <w:sz w:val="14"/>
              </w:rPr>
              <w:t>5.50</w:t>
            </w:r>
          </w:p>
        </w:tc>
        <w:tc>
          <w:tcPr>
            <w:tcW w:w="995" w:type="dxa"/>
          </w:tcPr>
          <w:p>
            <w:pPr>
              <w:pStyle w:val="TableParagraph"/>
              <w:spacing w:before="10"/>
              <w:rPr>
                <w:sz w:val="16"/>
              </w:rPr>
            </w:pPr>
          </w:p>
          <w:p>
            <w:pPr>
              <w:pStyle w:val="TableParagraph"/>
              <w:spacing w:line="140" w:lineRule="exact" w:before="1"/>
              <w:ind w:right="101"/>
              <w:jc w:val="right"/>
              <w:rPr>
                <w:sz w:val="14"/>
              </w:rPr>
            </w:pPr>
            <w:r>
              <w:rPr>
                <w:spacing w:val="-4"/>
                <w:sz w:val="14"/>
              </w:rPr>
              <w:t>5.91</w:t>
            </w:r>
          </w:p>
        </w:tc>
        <w:tc>
          <w:tcPr>
            <w:tcW w:w="861" w:type="dxa"/>
          </w:tcPr>
          <w:p>
            <w:pPr>
              <w:pStyle w:val="TableParagraph"/>
              <w:spacing w:before="10"/>
              <w:rPr>
                <w:sz w:val="16"/>
              </w:rPr>
            </w:pPr>
          </w:p>
          <w:p>
            <w:pPr>
              <w:pStyle w:val="TableParagraph"/>
              <w:spacing w:line="140" w:lineRule="exact" w:before="1"/>
              <w:ind w:left="327"/>
              <w:rPr>
                <w:sz w:val="14"/>
              </w:rPr>
            </w:pPr>
            <w:r>
              <w:rPr>
                <w:spacing w:val="-5"/>
                <w:sz w:val="14"/>
              </w:rPr>
              <w:t>7.0</w:t>
            </w:r>
          </w:p>
        </w:tc>
      </w:tr>
      <w:tr>
        <w:trPr>
          <w:trHeight w:val="177" w:hRule="atLeast"/>
        </w:trPr>
        <w:tc>
          <w:tcPr>
            <w:tcW w:w="5794" w:type="dxa"/>
          </w:tcPr>
          <w:p>
            <w:pPr>
              <w:pStyle w:val="TableParagraph"/>
              <w:spacing w:line="142" w:lineRule="exact" w:before="15"/>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Without</w:t>
            </w:r>
            <w:r>
              <w:rPr>
                <w:spacing w:val="-2"/>
                <w:sz w:val="14"/>
              </w:rPr>
              <w:t> </w:t>
            </w:r>
            <w:r>
              <w:rPr>
                <w:sz w:val="14"/>
              </w:rPr>
              <w:t>Meal</w:t>
            </w:r>
            <w:r>
              <w:rPr>
                <w:spacing w:val="-3"/>
                <w:sz w:val="14"/>
              </w:rPr>
              <w:t> </w:t>
            </w:r>
            <w:r>
              <w:rPr>
                <w:sz w:val="14"/>
              </w:rPr>
              <w:t>-</w:t>
            </w:r>
            <w:r>
              <w:rPr>
                <w:spacing w:val="-2"/>
                <w:sz w:val="14"/>
              </w:rPr>
              <w:t> </w:t>
            </w:r>
            <w:r>
              <w:rPr>
                <w:sz w:val="14"/>
              </w:rPr>
              <w:t>Fun</w:t>
            </w:r>
            <w:r>
              <w:rPr>
                <w:spacing w:val="-3"/>
                <w:sz w:val="14"/>
              </w:rPr>
              <w:t> </w:t>
            </w:r>
            <w:r>
              <w:rPr>
                <w:sz w:val="14"/>
              </w:rPr>
              <w:t>Bus</w:t>
            </w:r>
            <w:r>
              <w:rPr>
                <w:spacing w:val="-3"/>
                <w:sz w:val="14"/>
              </w:rPr>
              <w:t> </w:t>
            </w:r>
            <w:r>
              <w:rPr>
                <w:sz w:val="14"/>
              </w:rPr>
              <w:t>One</w:t>
            </w:r>
            <w:r>
              <w:rPr>
                <w:spacing w:val="-1"/>
                <w:sz w:val="14"/>
              </w:rPr>
              <w:t> </w:t>
            </w:r>
            <w:r>
              <w:rPr>
                <w:sz w:val="14"/>
              </w:rPr>
              <w:t>Way</w:t>
            </w:r>
            <w:r>
              <w:rPr>
                <w:spacing w:val="-2"/>
                <w:sz w:val="14"/>
              </w:rPr>
              <w:t> </w:t>
            </w:r>
            <w:r>
              <w:rPr>
                <w:sz w:val="14"/>
              </w:rPr>
              <w:t>-</w:t>
            </w:r>
            <w:r>
              <w:rPr>
                <w:spacing w:val="-4"/>
                <w:sz w:val="14"/>
              </w:rPr>
              <w:t> </w:t>
            </w:r>
            <w:r>
              <w:rPr>
                <w:sz w:val="14"/>
              </w:rPr>
              <w:t>CHSP</w:t>
            </w:r>
            <w:r>
              <w:rPr>
                <w:spacing w:val="1"/>
                <w:sz w:val="14"/>
              </w:rPr>
              <w:t> </w:t>
            </w:r>
            <w:r>
              <w:rPr>
                <w:sz w:val="14"/>
              </w:rPr>
              <w:t>-</w:t>
            </w:r>
            <w:r>
              <w:rPr>
                <w:spacing w:val="-1"/>
                <w:sz w:val="14"/>
              </w:rPr>
              <w:t> </w:t>
            </w:r>
            <w:r>
              <w:rPr>
                <w:sz w:val="14"/>
              </w:rPr>
              <w:t>Low</w:t>
            </w:r>
            <w:r>
              <w:rPr>
                <w:spacing w:val="-1"/>
                <w:sz w:val="14"/>
              </w:rPr>
              <w:t> </w:t>
            </w:r>
            <w:r>
              <w:rPr>
                <w:spacing w:val="-5"/>
                <w:sz w:val="14"/>
              </w:rPr>
              <w:t>Fee</w:t>
            </w:r>
          </w:p>
        </w:tc>
        <w:tc>
          <w:tcPr>
            <w:tcW w:w="1131" w:type="dxa"/>
          </w:tcPr>
          <w:p>
            <w:pPr>
              <w:pStyle w:val="TableParagraph"/>
              <w:spacing w:line="142" w:lineRule="exact" w:before="15"/>
              <w:ind w:left="4"/>
              <w:jc w:val="center"/>
              <w:rPr>
                <w:sz w:val="14"/>
              </w:rPr>
            </w:pPr>
            <w:r>
              <w:rPr>
                <w:w w:val="99"/>
                <w:sz w:val="14"/>
              </w:rPr>
              <w:t>N</w:t>
            </w:r>
          </w:p>
        </w:tc>
        <w:tc>
          <w:tcPr>
            <w:tcW w:w="567" w:type="dxa"/>
          </w:tcPr>
          <w:p>
            <w:pPr>
              <w:pStyle w:val="TableParagraph"/>
              <w:spacing w:line="142" w:lineRule="exact" w:before="15"/>
              <w:ind w:left="190"/>
              <w:rPr>
                <w:sz w:val="14"/>
              </w:rPr>
            </w:pPr>
            <w:r>
              <w:rPr>
                <w:spacing w:val="-5"/>
                <w:sz w:val="14"/>
              </w:rPr>
              <w:t>No</w:t>
            </w:r>
          </w:p>
        </w:tc>
        <w:tc>
          <w:tcPr>
            <w:tcW w:w="997" w:type="dxa"/>
          </w:tcPr>
          <w:p>
            <w:pPr>
              <w:pStyle w:val="TableParagraph"/>
              <w:spacing w:line="142" w:lineRule="exact" w:before="15"/>
              <w:ind w:right="101"/>
              <w:jc w:val="right"/>
              <w:rPr>
                <w:sz w:val="14"/>
              </w:rPr>
            </w:pPr>
            <w:r>
              <w:rPr>
                <w:spacing w:val="-4"/>
                <w:sz w:val="14"/>
              </w:rPr>
              <w:t>0.00</w:t>
            </w:r>
          </w:p>
        </w:tc>
        <w:tc>
          <w:tcPr>
            <w:tcW w:w="995" w:type="dxa"/>
          </w:tcPr>
          <w:p>
            <w:pPr>
              <w:pStyle w:val="TableParagraph"/>
              <w:spacing w:line="142" w:lineRule="exact" w:before="15"/>
              <w:ind w:right="101"/>
              <w:jc w:val="right"/>
              <w:rPr>
                <w:sz w:val="14"/>
              </w:rPr>
            </w:pPr>
            <w:r>
              <w:rPr>
                <w:spacing w:val="-2"/>
                <w:sz w:val="14"/>
              </w:rPr>
              <w:t>15.53</w:t>
            </w:r>
          </w:p>
        </w:tc>
        <w:tc>
          <w:tcPr>
            <w:tcW w:w="861" w:type="dxa"/>
          </w:tcPr>
          <w:p>
            <w:pPr>
              <w:pStyle w:val="TableParagraph"/>
              <w:spacing w:line="142" w:lineRule="exact" w:before="15"/>
              <w:ind w:left="326"/>
              <w:rPr>
                <w:sz w:val="14"/>
              </w:rPr>
            </w:pPr>
            <w:r>
              <w:rPr>
                <w:spacing w:val="-5"/>
                <w:sz w:val="14"/>
              </w:rPr>
              <w:t>0.0</w:t>
            </w:r>
          </w:p>
        </w:tc>
      </w:tr>
      <w:tr>
        <w:trPr>
          <w:trHeight w:val="174" w:hRule="atLeast"/>
        </w:trPr>
        <w:tc>
          <w:tcPr>
            <w:tcW w:w="5794" w:type="dxa"/>
          </w:tcPr>
          <w:p>
            <w:pPr>
              <w:pStyle w:val="TableParagraph"/>
              <w:spacing w:line="140" w:lineRule="exact" w:before="15"/>
              <w:ind w:left="107"/>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1"/>
                <w:sz w:val="14"/>
              </w:rPr>
              <w:t> </w:t>
            </w:r>
            <w:r>
              <w:rPr>
                <w:sz w:val="14"/>
              </w:rPr>
              <w:t>Full</w:t>
            </w:r>
            <w:r>
              <w:rPr>
                <w:spacing w:val="-3"/>
                <w:sz w:val="14"/>
              </w:rPr>
              <w:t> </w:t>
            </w:r>
            <w:r>
              <w:rPr>
                <w:sz w:val="14"/>
              </w:rPr>
              <w:t>Day</w:t>
            </w:r>
            <w:r>
              <w:rPr>
                <w:spacing w:val="-3"/>
                <w:sz w:val="14"/>
              </w:rPr>
              <w:t> </w:t>
            </w:r>
            <w:r>
              <w:rPr>
                <w:sz w:val="14"/>
              </w:rPr>
              <w:t>-</w:t>
            </w:r>
            <w:r>
              <w:rPr>
                <w:spacing w:val="-4"/>
                <w:sz w:val="14"/>
              </w:rPr>
              <w:t> </w:t>
            </w:r>
            <w:r>
              <w:rPr>
                <w:sz w:val="14"/>
              </w:rPr>
              <w:t>Without</w:t>
            </w:r>
            <w:r>
              <w:rPr>
                <w:spacing w:val="-1"/>
                <w:sz w:val="14"/>
              </w:rPr>
              <w:t> </w:t>
            </w:r>
            <w:r>
              <w:rPr>
                <w:sz w:val="14"/>
              </w:rPr>
              <w:t>Meal</w:t>
            </w:r>
            <w:r>
              <w:rPr>
                <w:spacing w:val="-1"/>
                <w:sz w:val="14"/>
              </w:rPr>
              <w:t> </w:t>
            </w:r>
            <w:r>
              <w:rPr>
                <w:sz w:val="14"/>
              </w:rPr>
              <w:t>-</w:t>
            </w:r>
            <w:r>
              <w:rPr>
                <w:spacing w:val="-1"/>
                <w:sz w:val="14"/>
              </w:rPr>
              <w:t> </w:t>
            </w:r>
            <w:r>
              <w:rPr>
                <w:sz w:val="14"/>
              </w:rPr>
              <w:t>Fun</w:t>
            </w:r>
            <w:r>
              <w:rPr>
                <w:spacing w:val="-4"/>
                <w:sz w:val="14"/>
              </w:rPr>
              <w:t> </w:t>
            </w:r>
            <w:r>
              <w:rPr>
                <w:sz w:val="14"/>
              </w:rPr>
              <w:t>Bus</w:t>
            </w:r>
            <w:r>
              <w:rPr>
                <w:spacing w:val="-3"/>
                <w:sz w:val="14"/>
              </w:rPr>
              <w:t> </w:t>
            </w:r>
            <w:r>
              <w:rPr>
                <w:sz w:val="14"/>
              </w:rPr>
              <w:t>Return</w:t>
            </w:r>
            <w:r>
              <w:rPr>
                <w:spacing w:val="-1"/>
                <w:sz w:val="14"/>
              </w:rPr>
              <w:t> </w:t>
            </w:r>
            <w:r>
              <w:rPr>
                <w:sz w:val="14"/>
              </w:rPr>
              <w:t>-</w:t>
            </w:r>
            <w:r>
              <w:rPr>
                <w:spacing w:val="-4"/>
                <w:sz w:val="14"/>
              </w:rPr>
              <w:t> </w:t>
            </w:r>
            <w:r>
              <w:rPr>
                <w:sz w:val="14"/>
              </w:rPr>
              <w:t>CHSP -</w:t>
            </w:r>
            <w:r>
              <w:rPr>
                <w:spacing w:val="-4"/>
                <w:sz w:val="14"/>
              </w:rPr>
              <w:t> </w:t>
            </w:r>
            <w:r>
              <w:rPr>
                <w:sz w:val="14"/>
              </w:rPr>
              <w:t>Low</w:t>
            </w:r>
            <w:r>
              <w:rPr>
                <w:spacing w:val="-2"/>
                <w:sz w:val="14"/>
              </w:rPr>
              <w:t> </w:t>
            </w:r>
            <w:r>
              <w:rPr>
                <w:spacing w:val="-5"/>
                <w:sz w:val="14"/>
              </w:rPr>
              <w:t>Fee</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4"/>
                <w:sz w:val="14"/>
              </w:rPr>
              <w:t>0.00</w:t>
            </w:r>
          </w:p>
        </w:tc>
        <w:tc>
          <w:tcPr>
            <w:tcW w:w="995" w:type="dxa"/>
          </w:tcPr>
          <w:p>
            <w:pPr>
              <w:pStyle w:val="TableParagraph"/>
              <w:spacing w:line="140" w:lineRule="exact" w:before="15"/>
              <w:ind w:right="101"/>
              <w:jc w:val="right"/>
              <w:rPr>
                <w:sz w:val="14"/>
              </w:rPr>
            </w:pPr>
            <w:r>
              <w:rPr>
                <w:spacing w:val="-2"/>
                <w:sz w:val="14"/>
              </w:rPr>
              <w:t>21.45</w:t>
            </w:r>
          </w:p>
        </w:tc>
        <w:tc>
          <w:tcPr>
            <w:tcW w:w="861" w:type="dxa"/>
          </w:tcPr>
          <w:p>
            <w:pPr>
              <w:pStyle w:val="TableParagraph"/>
              <w:spacing w:line="140" w:lineRule="exact" w:before="15"/>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4"/>
                <w:sz w:val="14"/>
              </w:rPr>
              <w:t> </w:t>
            </w:r>
            <w:r>
              <w:rPr>
                <w:sz w:val="14"/>
              </w:rPr>
              <w:t>Support</w:t>
            </w:r>
            <w:r>
              <w:rPr>
                <w:spacing w:val="-2"/>
                <w:sz w:val="14"/>
              </w:rPr>
              <w:t> </w:t>
            </w:r>
            <w:r>
              <w:rPr>
                <w:sz w:val="14"/>
              </w:rPr>
              <w:t>Group</w:t>
            </w:r>
            <w:r>
              <w:rPr>
                <w:spacing w:val="-3"/>
                <w:sz w:val="14"/>
              </w:rPr>
              <w:t> </w:t>
            </w:r>
            <w:r>
              <w:rPr>
                <w:sz w:val="14"/>
              </w:rPr>
              <w:t>-</w:t>
            </w:r>
            <w:r>
              <w:rPr>
                <w:spacing w:val="-1"/>
                <w:sz w:val="14"/>
              </w:rPr>
              <w:t> </w:t>
            </w:r>
            <w:r>
              <w:rPr>
                <w:sz w:val="14"/>
              </w:rPr>
              <w:t>Full</w:t>
            </w:r>
            <w:r>
              <w:rPr>
                <w:spacing w:val="-3"/>
                <w:sz w:val="14"/>
              </w:rPr>
              <w:t> </w:t>
            </w:r>
            <w:r>
              <w:rPr>
                <w:sz w:val="14"/>
              </w:rPr>
              <w:t>Day</w:t>
            </w:r>
            <w:r>
              <w:rPr>
                <w:spacing w:val="-3"/>
                <w:sz w:val="14"/>
              </w:rPr>
              <w:t> </w:t>
            </w:r>
            <w:r>
              <w:rPr>
                <w:sz w:val="14"/>
              </w:rPr>
              <w:t>-</w:t>
            </w:r>
            <w:r>
              <w:rPr>
                <w:spacing w:val="-3"/>
                <w:sz w:val="14"/>
              </w:rPr>
              <w:t> </w:t>
            </w:r>
            <w:r>
              <w:rPr>
                <w:sz w:val="14"/>
              </w:rPr>
              <w:t>With</w:t>
            </w:r>
            <w:r>
              <w:rPr>
                <w:spacing w:val="-2"/>
                <w:sz w:val="14"/>
              </w:rPr>
              <w:t> </w:t>
            </w:r>
            <w:r>
              <w:rPr>
                <w:sz w:val="14"/>
              </w:rPr>
              <w:t>Meal - Fun</w:t>
            </w:r>
            <w:r>
              <w:rPr>
                <w:spacing w:val="-4"/>
                <w:sz w:val="14"/>
              </w:rPr>
              <w:t> </w:t>
            </w:r>
            <w:r>
              <w:rPr>
                <w:sz w:val="14"/>
              </w:rPr>
              <w:t>Bus</w:t>
            </w:r>
            <w:r>
              <w:rPr>
                <w:spacing w:val="-3"/>
                <w:sz w:val="14"/>
              </w:rPr>
              <w:t> </w:t>
            </w:r>
            <w:r>
              <w:rPr>
                <w:sz w:val="14"/>
              </w:rPr>
              <w:t>One</w:t>
            </w:r>
            <w:r>
              <w:rPr>
                <w:spacing w:val="-5"/>
                <w:sz w:val="14"/>
              </w:rPr>
              <w:t> </w:t>
            </w:r>
            <w:r>
              <w:rPr>
                <w:sz w:val="14"/>
              </w:rPr>
              <w:t>Way</w:t>
            </w:r>
            <w:r>
              <w:rPr>
                <w:spacing w:val="1"/>
                <w:sz w:val="14"/>
              </w:rPr>
              <w:t> </w:t>
            </w:r>
            <w:r>
              <w:rPr>
                <w:sz w:val="14"/>
              </w:rPr>
              <w:t>-</w:t>
            </w:r>
            <w:r>
              <w:rPr>
                <w:spacing w:val="-4"/>
                <w:sz w:val="14"/>
              </w:rPr>
              <w:t> </w:t>
            </w:r>
            <w:r>
              <w:rPr>
                <w:sz w:val="14"/>
              </w:rPr>
              <w:t>CHSP</w:t>
            </w:r>
            <w:r>
              <w:rPr>
                <w:spacing w:val="-2"/>
                <w:sz w:val="14"/>
              </w:rPr>
              <w:t> </w:t>
            </w:r>
            <w:r>
              <w:rPr>
                <w:sz w:val="14"/>
              </w:rPr>
              <w:t>- Low</w:t>
            </w:r>
            <w:r>
              <w:rPr>
                <w:spacing w:val="-3"/>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25.65</w:t>
            </w:r>
          </w:p>
        </w:tc>
        <w:tc>
          <w:tcPr>
            <w:tcW w:w="995" w:type="dxa"/>
          </w:tcPr>
          <w:p>
            <w:pPr>
              <w:pStyle w:val="TableParagraph"/>
              <w:spacing w:line="140" w:lineRule="exact" w:before="17"/>
              <w:ind w:right="101"/>
              <w:jc w:val="right"/>
              <w:rPr>
                <w:sz w:val="14"/>
              </w:rPr>
            </w:pPr>
            <w:r>
              <w:rPr>
                <w:spacing w:val="-2"/>
                <w:sz w:val="14"/>
              </w:rPr>
              <w:t>28.33</w:t>
            </w:r>
          </w:p>
        </w:tc>
        <w:tc>
          <w:tcPr>
            <w:tcW w:w="861" w:type="dxa"/>
          </w:tcPr>
          <w:p>
            <w:pPr>
              <w:pStyle w:val="TableParagraph"/>
              <w:spacing w:line="140" w:lineRule="exact" w:before="17"/>
              <w:ind w:left="327"/>
              <w:rPr>
                <w:sz w:val="14"/>
              </w:rPr>
            </w:pPr>
            <w:r>
              <w:rPr>
                <w:spacing w:val="-5"/>
                <w:sz w:val="14"/>
              </w:rPr>
              <w:t>9.5</w:t>
            </w:r>
          </w:p>
        </w:tc>
      </w:tr>
      <w:tr>
        <w:trPr>
          <w:trHeight w:val="177" w:hRule="atLeast"/>
        </w:trPr>
        <w:tc>
          <w:tcPr>
            <w:tcW w:w="5794" w:type="dxa"/>
          </w:tcPr>
          <w:p>
            <w:pPr>
              <w:pStyle w:val="TableParagraph"/>
              <w:spacing w:line="140" w:lineRule="exact" w:before="17"/>
              <w:ind w:left="107"/>
              <w:rPr>
                <w:sz w:val="14"/>
              </w:rPr>
            </w:pPr>
            <w:r>
              <w:rPr>
                <w:sz w:val="14"/>
              </w:rPr>
              <w:t>Social</w:t>
            </w:r>
            <w:r>
              <w:rPr>
                <w:spacing w:val="-6"/>
                <w:sz w:val="14"/>
              </w:rPr>
              <w:t> </w:t>
            </w:r>
            <w:r>
              <w:rPr>
                <w:sz w:val="14"/>
              </w:rPr>
              <w:t>Support</w:t>
            </w:r>
            <w:r>
              <w:rPr>
                <w:spacing w:val="-2"/>
                <w:sz w:val="14"/>
              </w:rPr>
              <w:t> </w:t>
            </w:r>
            <w:r>
              <w:rPr>
                <w:sz w:val="14"/>
              </w:rPr>
              <w:t>Group</w:t>
            </w:r>
            <w:r>
              <w:rPr>
                <w:spacing w:val="-4"/>
                <w:sz w:val="14"/>
              </w:rPr>
              <w:t> </w:t>
            </w:r>
            <w:r>
              <w:rPr>
                <w:sz w:val="14"/>
              </w:rPr>
              <w:t>-</w:t>
            </w:r>
            <w:r>
              <w:rPr>
                <w:spacing w:val="-1"/>
                <w:sz w:val="14"/>
              </w:rPr>
              <w:t> </w:t>
            </w:r>
            <w:r>
              <w:rPr>
                <w:sz w:val="14"/>
              </w:rPr>
              <w:t>Full</w:t>
            </w:r>
            <w:r>
              <w:rPr>
                <w:spacing w:val="-4"/>
                <w:sz w:val="14"/>
              </w:rPr>
              <w:t> </w:t>
            </w:r>
            <w:r>
              <w:rPr>
                <w:sz w:val="14"/>
              </w:rPr>
              <w:t>Day</w:t>
            </w:r>
            <w:r>
              <w:rPr>
                <w:spacing w:val="-3"/>
                <w:sz w:val="14"/>
              </w:rPr>
              <w:t> </w:t>
            </w:r>
            <w:r>
              <w:rPr>
                <w:sz w:val="14"/>
              </w:rPr>
              <w:t>-</w:t>
            </w:r>
            <w:r>
              <w:rPr>
                <w:spacing w:val="-3"/>
                <w:sz w:val="14"/>
              </w:rPr>
              <w:t> </w:t>
            </w:r>
            <w:r>
              <w:rPr>
                <w:sz w:val="14"/>
              </w:rPr>
              <w:t>With</w:t>
            </w:r>
            <w:r>
              <w:rPr>
                <w:spacing w:val="-2"/>
                <w:sz w:val="14"/>
              </w:rPr>
              <w:t> </w:t>
            </w:r>
            <w:r>
              <w:rPr>
                <w:sz w:val="14"/>
              </w:rPr>
              <w:t>Meal -</w:t>
            </w:r>
            <w:r>
              <w:rPr>
                <w:spacing w:val="-1"/>
                <w:sz w:val="14"/>
              </w:rPr>
              <w:t> </w:t>
            </w:r>
            <w:r>
              <w:rPr>
                <w:sz w:val="14"/>
              </w:rPr>
              <w:t>Fun</w:t>
            </w:r>
            <w:r>
              <w:rPr>
                <w:spacing w:val="-4"/>
                <w:sz w:val="14"/>
              </w:rPr>
              <w:t> </w:t>
            </w:r>
            <w:r>
              <w:rPr>
                <w:sz w:val="14"/>
              </w:rPr>
              <w:t>Bus</w:t>
            </w:r>
            <w:r>
              <w:rPr>
                <w:spacing w:val="-4"/>
                <w:sz w:val="14"/>
              </w:rPr>
              <w:t> </w:t>
            </w:r>
            <w:r>
              <w:rPr>
                <w:sz w:val="14"/>
              </w:rPr>
              <w:t>Return</w:t>
            </w:r>
            <w:r>
              <w:rPr>
                <w:spacing w:val="-4"/>
                <w:sz w:val="14"/>
              </w:rPr>
              <w:t> </w:t>
            </w:r>
            <w:r>
              <w:rPr>
                <w:sz w:val="14"/>
              </w:rPr>
              <w:t>-</w:t>
            </w:r>
            <w:r>
              <w:rPr>
                <w:spacing w:val="-1"/>
                <w:sz w:val="14"/>
              </w:rPr>
              <w:t> </w:t>
            </w:r>
            <w:r>
              <w:rPr>
                <w:sz w:val="14"/>
              </w:rPr>
              <w:t>CHSP</w:t>
            </w:r>
            <w:r>
              <w:rPr>
                <w:spacing w:val="-2"/>
                <w:sz w:val="14"/>
              </w:rPr>
              <w:t> </w:t>
            </w:r>
            <w:r>
              <w:rPr>
                <w:sz w:val="14"/>
              </w:rPr>
              <w:t>-</w:t>
            </w:r>
            <w:r>
              <w:rPr>
                <w:spacing w:val="-1"/>
                <w:sz w:val="14"/>
              </w:rPr>
              <w:t> </w:t>
            </w:r>
            <w:r>
              <w:rPr>
                <w:sz w:val="14"/>
              </w:rPr>
              <w:t>Low</w:t>
            </w:r>
            <w:r>
              <w:rPr>
                <w:spacing w:val="-2"/>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31.15</w:t>
            </w:r>
          </w:p>
        </w:tc>
        <w:tc>
          <w:tcPr>
            <w:tcW w:w="995" w:type="dxa"/>
          </w:tcPr>
          <w:p>
            <w:pPr>
              <w:pStyle w:val="TableParagraph"/>
              <w:spacing w:line="140" w:lineRule="exact" w:before="17"/>
              <w:ind w:right="101"/>
              <w:jc w:val="right"/>
              <w:rPr>
                <w:sz w:val="14"/>
              </w:rPr>
            </w:pPr>
            <w:r>
              <w:rPr>
                <w:spacing w:val="-2"/>
                <w:sz w:val="14"/>
              </w:rPr>
              <w:t>33.42</w:t>
            </w:r>
          </w:p>
        </w:tc>
        <w:tc>
          <w:tcPr>
            <w:tcW w:w="861" w:type="dxa"/>
          </w:tcPr>
          <w:p>
            <w:pPr>
              <w:pStyle w:val="TableParagraph"/>
              <w:spacing w:line="140" w:lineRule="exact" w:before="17"/>
              <w:ind w:left="327"/>
              <w:rPr>
                <w:sz w:val="14"/>
              </w:rPr>
            </w:pPr>
            <w:r>
              <w:rPr>
                <w:spacing w:val="-5"/>
                <w:sz w:val="14"/>
              </w:rPr>
              <w:t>6.8</w:t>
            </w:r>
          </w:p>
        </w:tc>
      </w:tr>
      <w:tr>
        <w:trPr>
          <w:trHeight w:val="354" w:hRule="atLeast"/>
        </w:trPr>
        <w:tc>
          <w:tcPr>
            <w:tcW w:w="5794" w:type="dxa"/>
          </w:tcPr>
          <w:p>
            <w:pPr>
              <w:pStyle w:val="TableParagraph"/>
              <w:spacing w:line="160" w:lineRule="atLeast" w:before="14"/>
              <w:ind w:left="107"/>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 Meal -</w:t>
            </w:r>
            <w:r>
              <w:rPr>
                <w:spacing w:val="-1"/>
                <w:sz w:val="14"/>
              </w:rPr>
              <w:t> </w:t>
            </w:r>
            <w:r>
              <w:rPr>
                <w:sz w:val="14"/>
              </w:rPr>
              <w:t>Fun</w:t>
            </w:r>
            <w:r>
              <w:rPr>
                <w:spacing w:val="-4"/>
                <w:sz w:val="14"/>
              </w:rPr>
              <w:t> </w:t>
            </w:r>
            <w:r>
              <w:rPr>
                <w:sz w:val="14"/>
              </w:rPr>
              <w:t>Bus</w:t>
            </w:r>
            <w:r>
              <w:rPr>
                <w:spacing w:val="-3"/>
                <w:sz w:val="14"/>
              </w:rPr>
              <w:t> </w:t>
            </w:r>
            <w:r>
              <w:rPr>
                <w:sz w:val="14"/>
              </w:rPr>
              <w:t>One</w:t>
            </w:r>
            <w:r>
              <w:rPr>
                <w:spacing w:val="-4"/>
                <w:sz w:val="14"/>
              </w:rPr>
              <w:t> </w:t>
            </w:r>
            <w:r>
              <w:rPr>
                <w:sz w:val="14"/>
              </w:rPr>
              <w:t>Way</w:t>
            </w:r>
            <w:r>
              <w:rPr>
                <w:spacing w:val="-1"/>
                <w:sz w:val="14"/>
              </w:rPr>
              <w:t> </w:t>
            </w:r>
            <w:r>
              <w:rPr>
                <w:sz w:val="14"/>
              </w:rPr>
              <w:t>-</w:t>
            </w:r>
            <w:r>
              <w:rPr>
                <w:spacing w:val="-4"/>
                <w:sz w:val="14"/>
              </w:rPr>
              <w:t> </w:t>
            </w:r>
            <w:r>
              <w:rPr>
                <w:sz w:val="14"/>
              </w:rPr>
              <w:t>Home</w:t>
            </w:r>
            <w:r>
              <w:rPr>
                <w:spacing w:val="-2"/>
                <w:sz w:val="14"/>
              </w:rPr>
              <w:t> </w:t>
            </w:r>
            <w:r>
              <w:rPr>
                <w:sz w:val="14"/>
              </w:rPr>
              <w:t>Care</w:t>
            </w:r>
            <w:r>
              <w:rPr>
                <w:spacing w:val="40"/>
                <w:sz w:val="14"/>
              </w:rPr>
              <w:t> </w:t>
            </w:r>
            <w:r>
              <w:rPr>
                <w:sz w:val="14"/>
              </w:rPr>
              <w:t>Package/NDIS/Private - Full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161.95</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158.09</w:t>
            </w:r>
          </w:p>
        </w:tc>
        <w:tc>
          <w:tcPr>
            <w:tcW w:w="861" w:type="dxa"/>
          </w:tcPr>
          <w:p>
            <w:pPr>
              <w:pStyle w:val="TableParagraph"/>
              <w:spacing w:before="10"/>
              <w:rPr>
                <w:sz w:val="16"/>
              </w:rPr>
            </w:pPr>
          </w:p>
          <w:p>
            <w:pPr>
              <w:pStyle w:val="TableParagraph"/>
              <w:spacing w:line="140" w:lineRule="exact" w:before="1"/>
              <w:ind w:left="302"/>
              <w:rPr>
                <w:sz w:val="14"/>
              </w:rPr>
            </w:pPr>
            <w:r>
              <w:rPr>
                <w:w w:val="95"/>
                <w:sz w:val="14"/>
              </w:rPr>
              <w:t>-</w:t>
            </w:r>
            <w:r>
              <w:rPr>
                <w:spacing w:val="-5"/>
                <w:sz w:val="14"/>
              </w:rPr>
              <w:t>2.4</w:t>
            </w:r>
          </w:p>
        </w:tc>
      </w:tr>
      <w:tr>
        <w:trPr>
          <w:trHeight w:val="354" w:hRule="atLeast"/>
        </w:trPr>
        <w:tc>
          <w:tcPr>
            <w:tcW w:w="5794" w:type="dxa"/>
          </w:tcPr>
          <w:p>
            <w:pPr>
              <w:pStyle w:val="TableParagraph"/>
              <w:spacing w:line="160" w:lineRule="atLeast" w:before="13"/>
              <w:ind w:left="107"/>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w:t>
            </w:r>
            <w:r>
              <w:rPr>
                <w:spacing w:val="-1"/>
                <w:sz w:val="14"/>
              </w:rPr>
              <w:t> </w:t>
            </w:r>
            <w:r>
              <w:rPr>
                <w:sz w:val="14"/>
              </w:rPr>
              <w:t>Meal</w:t>
            </w:r>
            <w:r>
              <w:rPr>
                <w:spacing w:val="-1"/>
                <w:sz w:val="14"/>
              </w:rPr>
              <w:t> </w:t>
            </w:r>
            <w:r>
              <w:rPr>
                <w:sz w:val="14"/>
              </w:rPr>
              <w:t>-</w:t>
            </w:r>
            <w:r>
              <w:rPr>
                <w:spacing w:val="-2"/>
                <w:sz w:val="14"/>
              </w:rPr>
              <w:t> </w:t>
            </w:r>
            <w:r>
              <w:rPr>
                <w:sz w:val="14"/>
              </w:rPr>
              <w:t>Fun</w:t>
            </w:r>
            <w:r>
              <w:rPr>
                <w:spacing w:val="-4"/>
                <w:sz w:val="14"/>
              </w:rPr>
              <w:t> </w:t>
            </w:r>
            <w:r>
              <w:rPr>
                <w:sz w:val="14"/>
              </w:rPr>
              <w:t>Bus</w:t>
            </w:r>
            <w:r>
              <w:rPr>
                <w:spacing w:val="-3"/>
                <w:sz w:val="14"/>
              </w:rPr>
              <w:t> </w:t>
            </w:r>
            <w:r>
              <w:rPr>
                <w:sz w:val="14"/>
              </w:rPr>
              <w:t>Return</w:t>
            </w:r>
            <w:r>
              <w:rPr>
                <w:spacing w:val="-5"/>
                <w:sz w:val="14"/>
              </w:rPr>
              <w:t> </w:t>
            </w:r>
            <w:r>
              <w:rPr>
                <w:sz w:val="14"/>
              </w:rPr>
              <w:t>-</w:t>
            </w:r>
            <w:r>
              <w:rPr>
                <w:spacing w:val="-1"/>
                <w:sz w:val="14"/>
              </w:rPr>
              <w:t> </w:t>
            </w:r>
            <w:r>
              <w:rPr>
                <w:sz w:val="14"/>
              </w:rPr>
              <w:t>Home</w:t>
            </w:r>
            <w:r>
              <w:rPr>
                <w:spacing w:val="-3"/>
                <w:sz w:val="14"/>
              </w:rPr>
              <w:t> </w:t>
            </w:r>
            <w:r>
              <w:rPr>
                <w:sz w:val="14"/>
              </w:rPr>
              <w:t>Care</w:t>
            </w:r>
            <w:r>
              <w:rPr>
                <w:spacing w:val="40"/>
                <w:sz w:val="14"/>
              </w:rPr>
              <w:t> </w:t>
            </w:r>
            <w:r>
              <w:rPr>
                <w:sz w:val="14"/>
              </w:rPr>
              <w:t>Package/NDIS/Private - Full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167.45</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164.00</w:t>
            </w:r>
          </w:p>
        </w:tc>
        <w:tc>
          <w:tcPr>
            <w:tcW w:w="861" w:type="dxa"/>
          </w:tcPr>
          <w:p>
            <w:pPr>
              <w:pStyle w:val="TableParagraph"/>
              <w:spacing w:before="10"/>
              <w:rPr>
                <w:sz w:val="16"/>
              </w:rPr>
            </w:pPr>
          </w:p>
          <w:p>
            <w:pPr>
              <w:pStyle w:val="TableParagraph"/>
              <w:spacing w:line="140" w:lineRule="exact" w:before="1"/>
              <w:ind w:left="302"/>
              <w:rPr>
                <w:sz w:val="14"/>
              </w:rPr>
            </w:pPr>
            <w:r>
              <w:rPr>
                <w:w w:val="95"/>
                <w:sz w:val="14"/>
              </w:rPr>
              <w:t>-</w:t>
            </w:r>
            <w:r>
              <w:rPr>
                <w:spacing w:val="-5"/>
                <w:sz w:val="14"/>
              </w:rPr>
              <w:t>2.1</w:t>
            </w:r>
          </w:p>
        </w:tc>
      </w:tr>
      <w:tr>
        <w:trPr>
          <w:trHeight w:val="352" w:hRule="atLeast"/>
        </w:trPr>
        <w:tc>
          <w:tcPr>
            <w:tcW w:w="5794" w:type="dxa"/>
          </w:tcPr>
          <w:p>
            <w:pPr>
              <w:pStyle w:val="TableParagraph"/>
              <w:spacing w:line="160" w:lineRule="atLeast" w:before="11"/>
              <w:ind w:left="107"/>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Without</w:t>
            </w:r>
            <w:r>
              <w:rPr>
                <w:spacing w:val="-1"/>
                <w:sz w:val="14"/>
              </w:rPr>
              <w:t> </w:t>
            </w:r>
            <w:r>
              <w:rPr>
                <w:sz w:val="14"/>
              </w:rPr>
              <w:t>Meal</w:t>
            </w:r>
            <w:r>
              <w:rPr>
                <w:spacing w:val="-3"/>
                <w:sz w:val="14"/>
              </w:rPr>
              <w:t> </w:t>
            </w:r>
            <w:r>
              <w:rPr>
                <w:sz w:val="14"/>
              </w:rPr>
              <w:t>-</w:t>
            </w:r>
            <w:r>
              <w:rPr>
                <w:spacing w:val="-2"/>
                <w:sz w:val="14"/>
              </w:rPr>
              <w:t> </w:t>
            </w:r>
            <w:r>
              <w:rPr>
                <w:sz w:val="14"/>
              </w:rPr>
              <w:t>Fun</w:t>
            </w:r>
            <w:r>
              <w:rPr>
                <w:spacing w:val="-3"/>
                <w:sz w:val="14"/>
              </w:rPr>
              <w:t> </w:t>
            </w:r>
            <w:r>
              <w:rPr>
                <w:sz w:val="14"/>
              </w:rPr>
              <w:t>Bus</w:t>
            </w:r>
            <w:r>
              <w:rPr>
                <w:spacing w:val="-3"/>
                <w:sz w:val="14"/>
              </w:rPr>
              <w:t> </w:t>
            </w:r>
            <w:r>
              <w:rPr>
                <w:sz w:val="14"/>
              </w:rPr>
              <w:t>One</w:t>
            </w:r>
            <w:r>
              <w:rPr>
                <w:spacing w:val="-1"/>
                <w:sz w:val="14"/>
              </w:rPr>
              <w:t> </w:t>
            </w:r>
            <w:r>
              <w:rPr>
                <w:sz w:val="14"/>
              </w:rPr>
              <w:t>Way</w:t>
            </w:r>
            <w:r>
              <w:rPr>
                <w:spacing w:val="-1"/>
                <w:sz w:val="14"/>
              </w:rPr>
              <w:t> </w:t>
            </w:r>
            <w:r>
              <w:rPr>
                <w:sz w:val="14"/>
              </w:rPr>
              <w:t>-</w:t>
            </w:r>
            <w:r>
              <w:rPr>
                <w:spacing w:val="-4"/>
                <w:sz w:val="14"/>
              </w:rPr>
              <w:t> </w:t>
            </w:r>
            <w:r>
              <w:rPr>
                <w:sz w:val="14"/>
              </w:rPr>
              <w:t>Home</w:t>
            </w:r>
            <w:r>
              <w:rPr>
                <w:spacing w:val="-3"/>
                <w:sz w:val="14"/>
              </w:rPr>
              <w:t> </w:t>
            </w:r>
            <w:r>
              <w:rPr>
                <w:sz w:val="14"/>
              </w:rPr>
              <w:t>Care</w:t>
            </w:r>
            <w:r>
              <w:rPr>
                <w:spacing w:val="40"/>
                <w:sz w:val="14"/>
              </w:rPr>
              <w:t> </w:t>
            </w:r>
            <w:r>
              <w:rPr>
                <w:sz w:val="14"/>
              </w:rPr>
              <w:t>Package/NDIS/Private - Full Fee</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2"/>
                <w:sz w:val="14"/>
              </w:rPr>
              <w:t>142.45</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129.56</w:t>
            </w:r>
          </w:p>
        </w:tc>
        <w:tc>
          <w:tcPr>
            <w:tcW w:w="861" w:type="dxa"/>
          </w:tcPr>
          <w:p>
            <w:pPr>
              <w:pStyle w:val="TableParagraph"/>
              <w:spacing w:before="8"/>
              <w:rPr>
                <w:sz w:val="16"/>
              </w:rPr>
            </w:pPr>
          </w:p>
          <w:p>
            <w:pPr>
              <w:pStyle w:val="TableParagraph"/>
              <w:spacing w:line="140" w:lineRule="exact"/>
              <w:ind w:left="264"/>
              <w:rPr>
                <w:sz w:val="14"/>
              </w:rPr>
            </w:pPr>
            <w:r>
              <w:rPr>
                <w:w w:val="95"/>
                <w:sz w:val="14"/>
              </w:rPr>
              <w:t>-</w:t>
            </w:r>
            <w:r>
              <w:rPr>
                <w:spacing w:val="-4"/>
                <w:sz w:val="14"/>
              </w:rPr>
              <w:t>10.0</w:t>
            </w:r>
          </w:p>
        </w:tc>
      </w:tr>
      <w:tr>
        <w:trPr>
          <w:trHeight w:val="354" w:hRule="atLeast"/>
        </w:trPr>
        <w:tc>
          <w:tcPr>
            <w:tcW w:w="5794" w:type="dxa"/>
          </w:tcPr>
          <w:p>
            <w:pPr>
              <w:pStyle w:val="TableParagraph"/>
              <w:spacing w:line="160" w:lineRule="atLeast" w:before="14"/>
              <w:ind w:left="107"/>
              <w:rPr>
                <w:sz w:val="14"/>
              </w:rPr>
            </w:pPr>
            <w:r>
              <w:rPr>
                <w:sz w:val="14"/>
              </w:rPr>
              <w:t>Social</w:t>
            </w:r>
            <w:r>
              <w:rPr>
                <w:spacing w:val="-4"/>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Full</w:t>
            </w:r>
            <w:r>
              <w:rPr>
                <w:spacing w:val="-3"/>
                <w:sz w:val="14"/>
              </w:rPr>
              <w:t> </w:t>
            </w:r>
            <w:r>
              <w:rPr>
                <w:sz w:val="14"/>
              </w:rPr>
              <w:t>Day</w:t>
            </w:r>
            <w:r>
              <w:rPr>
                <w:spacing w:val="-3"/>
                <w:sz w:val="14"/>
              </w:rPr>
              <w:t> </w:t>
            </w:r>
            <w:r>
              <w:rPr>
                <w:sz w:val="14"/>
              </w:rPr>
              <w:t>-</w:t>
            </w:r>
            <w:r>
              <w:rPr>
                <w:spacing w:val="-5"/>
                <w:sz w:val="14"/>
              </w:rPr>
              <w:t> </w:t>
            </w:r>
            <w:r>
              <w:rPr>
                <w:sz w:val="14"/>
              </w:rPr>
              <w:t>Without</w:t>
            </w:r>
            <w:r>
              <w:rPr>
                <w:spacing w:val="-1"/>
                <w:sz w:val="14"/>
              </w:rPr>
              <w:t> </w:t>
            </w:r>
            <w:r>
              <w:rPr>
                <w:sz w:val="14"/>
              </w:rPr>
              <w:t>Meal</w:t>
            </w:r>
            <w:r>
              <w:rPr>
                <w:spacing w:val="-3"/>
                <w:sz w:val="14"/>
              </w:rPr>
              <w:t> </w:t>
            </w:r>
            <w:r>
              <w:rPr>
                <w:sz w:val="14"/>
              </w:rPr>
              <w:t>-</w:t>
            </w:r>
            <w:r>
              <w:rPr>
                <w:spacing w:val="-2"/>
                <w:sz w:val="14"/>
              </w:rPr>
              <w:t> </w:t>
            </w:r>
            <w:r>
              <w:rPr>
                <w:sz w:val="14"/>
              </w:rPr>
              <w:t>Fun</w:t>
            </w:r>
            <w:r>
              <w:rPr>
                <w:spacing w:val="-3"/>
                <w:sz w:val="14"/>
              </w:rPr>
              <w:t> </w:t>
            </w:r>
            <w:r>
              <w:rPr>
                <w:sz w:val="14"/>
              </w:rPr>
              <w:t>Bus</w:t>
            </w:r>
            <w:r>
              <w:rPr>
                <w:spacing w:val="-3"/>
                <w:sz w:val="14"/>
              </w:rPr>
              <w:t> </w:t>
            </w:r>
            <w:r>
              <w:rPr>
                <w:sz w:val="14"/>
              </w:rPr>
              <w:t>Return</w:t>
            </w:r>
            <w:r>
              <w:rPr>
                <w:spacing w:val="-1"/>
                <w:sz w:val="14"/>
              </w:rPr>
              <w:t> </w:t>
            </w:r>
            <w:r>
              <w:rPr>
                <w:sz w:val="14"/>
              </w:rPr>
              <w:t>-</w:t>
            </w:r>
            <w:r>
              <w:rPr>
                <w:spacing w:val="-4"/>
                <w:sz w:val="14"/>
              </w:rPr>
              <w:t> </w:t>
            </w:r>
            <w:r>
              <w:rPr>
                <w:sz w:val="14"/>
              </w:rPr>
              <w:t>Home</w:t>
            </w:r>
            <w:r>
              <w:rPr>
                <w:spacing w:val="-4"/>
                <w:sz w:val="14"/>
              </w:rPr>
              <w:t> </w:t>
            </w:r>
            <w:r>
              <w:rPr>
                <w:sz w:val="14"/>
              </w:rPr>
              <w:t>Care</w:t>
            </w:r>
            <w:r>
              <w:rPr>
                <w:spacing w:val="40"/>
                <w:sz w:val="14"/>
              </w:rPr>
              <w:t> </w:t>
            </w:r>
            <w:r>
              <w:rPr>
                <w:sz w:val="14"/>
              </w:rPr>
              <w:t>Package/NDIS/Private - Full Fee</w:t>
            </w:r>
          </w:p>
        </w:tc>
        <w:tc>
          <w:tcPr>
            <w:tcW w:w="1131" w:type="dxa"/>
          </w:tcPr>
          <w:p>
            <w:pPr>
              <w:pStyle w:val="TableParagraph"/>
              <w:spacing w:before="10"/>
              <w:rPr>
                <w:sz w:val="16"/>
              </w:rPr>
            </w:pPr>
          </w:p>
          <w:p>
            <w:pPr>
              <w:pStyle w:val="TableParagraph"/>
              <w:spacing w:line="140" w:lineRule="exact" w:before="1"/>
              <w:ind w:left="5"/>
              <w:jc w:val="center"/>
              <w:rPr>
                <w:sz w:val="14"/>
              </w:rPr>
            </w:pPr>
            <w:r>
              <w:rPr>
                <w:w w:val="99"/>
                <w:sz w:val="14"/>
              </w:rPr>
              <w:t>N</w:t>
            </w:r>
          </w:p>
        </w:tc>
        <w:tc>
          <w:tcPr>
            <w:tcW w:w="567" w:type="dxa"/>
          </w:tcPr>
          <w:p>
            <w:pPr>
              <w:pStyle w:val="TableParagraph"/>
              <w:spacing w:before="10"/>
              <w:rPr>
                <w:sz w:val="16"/>
              </w:rPr>
            </w:pPr>
          </w:p>
          <w:p>
            <w:pPr>
              <w:pStyle w:val="TableParagraph"/>
              <w:spacing w:line="140" w:lineRule="exact" w:before="1"/>
              <w:ind w:left="190"/>
              <w:rPr>
                <w:sz w:val="14"/>
              </w:rPr>
            </w:pPr>
            <w:r>
              <w:rPr>
                <w:spacing w:val="-5"/>
                <w:sz w:val="14"/>
              </w:rPr>
              <w:t>No</w:t>
            </w:r>
          </w:p>
        </w:tc>
        <w:tc>
          <w:tcPr>
            <w:tcW w:w="997" w:type="dxa"/>
          </w:tcPr>
          <w:p>
            <w:pPr>
              <w:pStyle w:val="TableParagraph"/>
              <w:spacing w:before="10"/>
              <w:rPr>
                <w:sz w:val="16"/>
              </w:rPr>
            </w:pPr>
          </w:p>
          <w:p>
            <w:pPr>
              <w:pStyle w:val="TableParagraph"/>
              <w:spacing w:line="140" w:lineRule="exact" w:before="1"/>
              <w:ind w:right="100"/>
              <w:jc w:val="right"/>
              <w:rPr>
                <w:sz w:val="14"/>
              </w:rPr>
            </w:pPr>
            <w:r>
              <w:rPr>
                <w:spacing w:val="-2"/>
                <w:sz w:val="14"/>
              </w:rPr>
              <w:t>146.95</w:t>
            </w:r>
          </w:p>
        </w:tc>
        <w:tc>
          <w:tcPr>
            <w:tcW w:w="995" w:type="dxa"/>
          </w:tcPr>
          <w:p>
            <w:pPr>
              <w:pStyle w:val="TableParagraph"/>
              <w:spacing w:before="10"/>
              <w:rPr>
                <w:sz w:val="16"/>
              </w:rPr>
            </w:pPr>
          </w:p>
          <w:p>
            <w:pPr>
              <w:pStyle w:val="TableParagraph"/>
              <w:spacing w:line="140" w:lineRule="exact" w:before="1"/>
              <w:ind w:right="102"/>
              <w:jc w:val="right"/>
              <w:rPr>
                <w:sz w:val="14"/>
              </w:rPr>
            </w:pPr>
            <w:r>
              <w:rPr>
                <w:spacing w:val="-2"/>
                <w:sz w:val="14"/>
              </w:rPr>
              <w:t>135.47</w:t>
            </w:r>
          </w:p>
        </w:tc>
        <w:tc>
          <w:tcPr>
            <w:tcW w:w="861" w:type="dxa"/>
          </w:tcPr>
          <w:p>
            <w:pPr>
              <w:pStyle w:val="TableParagraph"/>
              <w:spacing w:before="10"/>
              <w:rPr>
                <w:sz w:val="16"/>
              </w:rPr>
            </w:pPr>
          </w:p>
          <w:p>
            <w:pPr>
              <w:pStyle w:val="TableParagraph"/>
              <w:spacing w:line="140" w:lineRule="exact" w:before="1"/>
              <w:ind w:left="302"/>
              <w:rPr>
                <w:sz w:val="14"/>
              </w:rPr>
            </w:pPr>
            <w:r>
              <w:rPr>
                <w:w w:val="95"/>
                <w:sz w:val="14"/>
              </w:rPr>
              <w:t>-</w:t>
            </w:r>
            <w:r>
              <w:rPr>
                <w:spacing w:val="-5"/>
                <w:sz w:val="14"/>
              </w:rPr>
              <w:t>8.5</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3"/>
                <w:sz w:val="14"/>
              </w:rPr>
              <w:t> </w:t>
            </w:r>
            <w:r>
              <w:rPr>
                <w:sz w:val="14"/>
              </w:rPr>
              <w:t>Group</w:t>
            </w:r>
            <w:r>
              <w:rPr>
                <w:spacing w:val="-4"/>
                <w:sz w:val="14"/>
              </w:rPr>
              <w:t> </w:t>
            </w:r>
            <w:r>
              <w:rPr>
                <w:sz w:val="14"/>
              </w:rPr>
              <w:t>-</w:t>
            </w:r>
            <w:r>
              <w:rPr>
                <w:spacing w:val="-2"/>
                <w:sz w:val="14"/>
              </w:rPr>
              <w:t> </w:t>
            </w:r>
            <w:r>
              <w:rPr>
                <w:sz w:val="14"/>
              </w:rPr>
              <w:t>Meal</w:t>
            </w:r>
            <w:r>
              <w:rPr>
                <w:spacing w:val="-1"/>
                <w:sz w:val="14"/>
              </w:rPr>
              <w:t> </w:t>
            </w:r>
            <w:r>
              <w:rPr>
                <w:sz w:val="14"/>
              </w:rPr>
              <w:t>Only</w:t>
            </w:r>
            <w:r>
              <w:rPr>
                <w:spacing w:val="-2"/>
                <w:sz w:val="14"/>
              </w:rPr>
              <w:t> </w:t>
            </w:r>
            <w:r>
              <w:rPr>
                <w:sz w:val="14"/>
              </w:rPr>
              <w:t>(No Group</w:t>
            </w:r>
            <w:r>
              <w:rPr>
                <w:spacing w:val="-2"/>
                <w:sz w:val="14"/>
              </w:rPr>
              <w:t> </w:t>
            </w:r>
            <w:r>
              <w:rPr>
                <w:sz w:val="14"/>
              </w:rPr>
              <w:t>Fee)</w:t>
            </w:r>
            <w:r>
              <w:rPr>
                <w:spacing w:val="-2"/>
                <w:sz w:val="14"/>
              </w:rPr>
              <w:t> </w:t>
            </w:r>
            <w:r>
              <w:rPr>
                <w:sz w:val="14"/>
              </w:rPr>
              <w:t>-</w:t>
            </w:r>
            <w:r>
              <w:rPr>
                <w:spacing w:val="-4"/>
                <w:sz w:val="14"/>
              </w:rPr>
              <w:t> </w:t>
            </w:r>
            <w:r>
              <w:rPr>
                <w:sz w:val="14"/>
              </w:rPr>
              <w:t>CHSP</w:t>
            </w:r>
            <w:r>
              <w:rPr>
                <w:spacing w:val="-1"/>
                <w:sz w:val="14"/>
              </w:rPr>
              <w:t> </w:t>
            </w:r>
            <w:r>
              <w:rPr>
                <w:sz w:val="14"/>
              </w:rPr>
              <w:t>-</w:t>
            </w:r>
            <w:r>
              <w:rPr>
                <w:spacing w:val="-2"/>
                <w:sz w:val="14"/>
              </w:rPr>
              <w:t> </w:t>
            </w:r>
            <w:r>
              <w:rPr>
                <w:sz w:val="14"/>
              </w:rPr>
              <w:t>Low</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11.20</w:t>
            </w:r>
          </w:p>
        </w:tc>
        <w:tc>
          <w:tcPr>
            <w:tcW w:w="995" w:type="dxa"/>
          </w:tcPr>
          <w:p>
            <w:pPr>
              <w:pStyle w:val="TableParagraph"/>
              <w:spacing w:line="140" w:lineRule="exact" w:before="17"/>
              <w:ind w:right="101"/>
              <w:jc w:val="right"/>
              <w:rPr>
                <w:sz w:val="14"/>
              </w:rPr>
            </w:pPr>
            <w:r>
              <w:rPr>
                <w:spacing w:val="-2"/>
                <w:sz w:val="14"/>
              </w:rPr>
              <w:t>12.80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2"/>
                <w:sz w:val="14"/>
              </w:rPr>
              <w:t> </w:t>
            </w:r>
            <w:r>
              <w:rPr>
                <w:sz w:val="14"/>
              </w:rPr>
              <w:t>Fun</w:t>
            </w:r>
            <w:r>
              <w:rPr>
                <w:spacing w:val="-4"/>
                <w:sz w:val="14"/>
              </w:rPr>
              <w:t> </w:t>
            </w:r>
            <w:r>
              <w:rPr>
                <w:sz w:val="14"/>
              </w:rPr>
              <w:t>Bus</w:t>
            </w:r>
            <w:r>
              <w:rPr>
                <w:spacing w:val="-3"/>
                <w:sz w:val="14"/>
              </w:rPr>
              <w:t> </w:t>
            </w:r>
            <w:r>
              <w:rPr>
                <w:sz w:val="14"/>
              </w:rPr>
              <w:t>Return</w:t>
            </w:r>
            <w:r>
              <w:rPr>
                <w:spacing w:val="-4"/>
                <w:sz w:val="14"/>
              </w:rPr>
              <w:t> Trip</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11.00</w:t>
            </w:r>
          </w:p>
        </w:tc>
        <w:tc>
          <w:tcPr>
            <w:tcW w:w="995" w:type="dxa"/>
          </w:tcPr>
          <w:p>
            <w:pPr>
              <w:pStyle w:val="TableParagraph"/>
              <w:spacing w:line="140" w:lineRule="exact" w:before="17"/>
              <w:ind w:right="101"/>
              <w:jc w:val="right"/>
              <w:rPr>
                <w:sz w:val="14"/>
              </w:rPr>
            </w:pPr>
            <w:r>
              <w:rPr>
                <w:spacing w:val="-2"/>
                <w:sz w:val="14"/>
              </w:rPr>
              <w:t>11.83</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2"/>
                <w:sz w:val="14"/>
              </w:rPr>
              <w:t> </w:t>
            </w:r>
            <w:r>
              <w:rPr>
                <w:sz w:val="14"/>
              </w:rPr>
              <w:t>Group</w:t>
            </w:r>
            <w:r>
              <w:rPr>
                <w:spacing w:val="-4"/>
                <w:sz w:val="14"/>
              </w:rPr>
              <w:t> </w:t>
            </w:r>
            <w:r>
              <w:rPr>
                <w:sz w:val="14"/>
              </w:rPr>
              <w:t>-</w:t>
            </w:r>
            <w:r>
              <w:rPr>
                <w:spacing w:val="-1"/>
                <w:sz w:val="14"/>
              </w:rPr>
              <w:t> </w:t>
            </w:r>
            <w:r>
              <w:rPr>
                <w:sz w:val="14"/>
              </w:rPr>
              <w:t>Fun</w:t>
            </w:r>
            <w:r>
              <w:rPr>
                <w:spacing w:val="-4"/>
                <w:sz w:val="14"/>
              </w:rPr>
              <w:t> </w:t>
            </w:r>
            <w:r>
              <w:rPr>
                <w:sz w:val="14"/>
              </w:rPr>
              <w:t>Bus</w:t>
            </w:r>
            <w:r>
              <w:rPr>
                <w:spacing w:val="-4"/>
                <w:sz w:val="14"/>
              </w:rPr>
              <w:t> </w:t>
            </w:r>
            <w:r>
              <w:rPr>
                <w:sz w:val="14"/>
              </w:rPr>
              <w:t>One</w:t>
            </w:r>
            <w:r>
              <w:rPr>
                <w:spacing w:val="1"/>
                <w:sz w:val="14"/>
              </w:rPr>
              <w:t> </w:t>
            </w:r>
            <w:r>
              <w:rPr>
                <w:spacing w:val="-5"/>
                <w:sz w:val="14"/>
              </w:rPr>
              <w:t>Way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5.91</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2"/>
                <w:sz w:val="14"/>
              </w:rPr>
              <w:t> </w:t>
            </w:r>
            <w:r>
              <w:rPr>
                <w:sz w:val="14"/>
              </w:rPr>
              <w:t>Special</w:t>
            </w:r>
            <w:r>
              <w:rPr>
                <w:spacing w:val="-4"/>
                <w:sz w:val="14"/>
              </w:rPr>
              <w:t> </w:t>
            </w:r>
            <w:r>
              <w:rPr>
                <w:sz w:val="14"/>
              </w:rPr>
              <w:t>Events/Outings</w:t>
            </w:r>
            <w:r>
              <w:rPr>
                <w:spacing w:val="-2"/>
                <w:sz w:val="14"/>
              </w:rPr>
              <w:t> </w:t>
            </w:r>
            <w:r>
              <w:rPr>
                <w:sz w:val="14"/>
              </w:rPr>
              <w:t>-</w:t>
            </w:r>
            <w:r>
              <w:rPr>
                <w:spacing w:val="-4"/>
                <w:sz w:val="14"/>
              </w:rPr>
              <w:t> </w:t>
            </w:r>
            <w:r>
              <w:rPr>
                <w:sz w:val="14"/>
              </w:rPr>
              <w:t>CHSP</w:t>
            </w:r>
            <w:r>
              <w:rPr>
                <w:spacing w:val="-1"/>
                <w:sz w:val="14"/>
              </w:rPr>
              <w:t> </w:t>
            </w:r>
            <w:r>
              <w:rPr>
                <w:sz w:val="14"/>
              </w:rPr>
              <w:t>-</w:t>
            </w:r>
            <w:r>
              <w:rPr>
                <w:spacing w:val="-5"/>
                <w:sz w:val="14"/>
              </w:rPr>
              <w:t> </w:t>
            </w:r>
            <w:r>
              <w:rPr>
                <w:sz w:val="14"/>
              </w:rPr>
              <w:t>Low</w:t>
            </w:r>
            <w:r>
              <w:rPr>
                <w:spacing w:val="-1"/>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16.70</w:t>
            </w:r>
          </w:p>
        </w:tc>
        <w:tc>
          <w:tcPr>
            <w:tcW w:w="995" w:type="dxa"/>
          </w:tcPr>
          <w:p>
            <w:pPr>
              <w:pStyle w:val="TableParagraph"/>
              <w:spacing w:line="140" w:lineRule="exact" w:before="17"/>
              <w:ind w:right="101"/>
              <w:jc w:val="right"/>
              <w:rPr>
                <w:sz w:val="14"/>
              </w:rPr>
            </w:pPr>
            <w:r>
              <w:rPr>
                <w:spacing w:val="-2"/>
                <w:sz w:val="14"/>
              </w:rPr>
              <w:t>17.95</w:t>
            </w:r>
          </w:p>
        </w:tc>
        <w:tc>
          <w:tcPr>
            <w:tcW w:w="861" w:type="dxa"/>
          </w:tcPr>
          <w:p>
            <w:pPr>
              <w:pStyle w:val="TableParagraph"/>
              <w:spacing w:line="140" w:lineRule="exact" w:before="17"/>
              <w:ind w:left="327"/>
              <w:rPr>
                <w:sz w:val="14"/>
              </w:rPr>
            </w:pPr>
            <w:r>
              <w:rPr>
                <w:spacing w:val="-5"/>
                <w:sz w:val="14"/>
              </w:rPr>
              <w:t>7.0</w:t>
            </w:r>
          </w:p>
        </w:tc>
      </w:tr>
      <w:tr>
        <w:trPr>
          <w:trHeight w:val="321" w:hRule="atLeast"/>
        </w:trPr>
        <w:tc>
          <w:tcPr>
            <w:tcW w:w="5794" w:type="dxa"/>
          </w:tcPr>
          <w:p>
            <w:pPr>
              <w:pStyle w:val="TableParagraph"/>
              <w:spacing w:line="160" w:lineRule="atLeast"/>
              <w:ind w:left="107"/>
              <w:rPr>
                <w:sz w:val="14"/>
              </w:rPr>
            </w:pPr>
            <w:r>
              <w:rPr>
                <w:sz w:val="14"/>
              </w:rPr>
              <w:t>Social</w:t>
            </w:r>
            <w:r>
              <w:rPr>
                <w:spacing w:val="-5"/>
                <w:sz w:val="14"/>
              </w:rPr>
              <w:t> </w:t>
            </w:r>
            <w:r>
              <w:rPr>
                <w:sz w:val="14"/>
              </w:rPr>
              <w:t>Support</w:t>
            </w:r>
            <w:r>
              <w:rPr>
                <w:spacing w:val="-3"/>
                <w:sz w:val="14"/>
              </w:rPr>
              <w:t> </w:t>
            </w:r>
            <w:r>
              <w:rPr>
                <w:sz w:val="14"/>
              </w:rPr>
              <w:t>Group</w:t>
            </w:r>
            <w:r>
              <w:rPr>
                <w:spacing w:val="-5"/>
                <w:sz w:val="14"/>
              </w:rPr>
              <w:t> </w:t>
            </w:r>
            <w:r>
              <w:rPr>
                <w:sz w:val="14"/>
              </w:rPr>
              <w:t>-</w:t>
            </w:r>
            <w:r>
              <w:rPr>
                <w:spacing w:val="-3"/>
                <w:sz w:val="14"/>
              </w:rPr>
              <w:t> </w:t>
            </w:r>
            <w:r>
              <w:rPr>
                <w:sz w:val="14"/>
              </w:rPr>
              <w:t>Special</w:t>
            </w:r>
            <w:r>
              <w:rPr>
                <w:spacing w:val="-4"/>
                <w:sz w:val="14"/>
              </w:rPr>
              <w:t> </w:t>
            </w:r>
            <w:r>
              <w:rPr>
                <w:sz w:val="14"/>
              </w:rPr>
              <w:t>Events/Outings</w:t>
            </w:r>
            <w:r>
              <w:rPr>
                <w:spacing w:val="34"/>
                <w:sz w:val="14"/>
              </w:rPr>
              <w:t> </w:t>
            </w:r>
            <w:r>
              <w:rPr>
                <w:sz w:val="14"/>
              </w:rPr>
              <w:t>-</w:t>
            </w:r>
            <w:r>
              <w:rPr>
                <w:spacing w:val="-5"/>
                <w:sz w:val="14"/>
              </w:rPr>
              <w:t> </w:t>
            </w:r>
            <w:r>
              <w:rPr>
                <w:sz w:val="14"/>
              </w:rPr>
              <w:t>Home</w:t>
            </w:r>
            <w:r>
              <w:rPr>
                <w:spacing w:val="-5"/>
                <w:sz w:val="14"/>
              </w:rPr>
              <w:t> </w:t>
            </w:r>
            <w:r>
              <w:rPr>
                <w:sz w:val="14"/>
              </w:rPr>
              <w:t>Care</w:t>
            </w:r>
            <w:r>
              <w:rPr>
                <w:spacing w:val="-4"/>
                <w:sz w:val="14"/>
              </w:rPr>
              <w:t> </w:t>
            </w:r>
            <w:r>
              <w:rPr>
                <w:sz w:val="14"/>
              </w:rPr>
              <w:t>Package/NDIS/Private</w:t>
            </w:r>
            <w:r>
              <w:rPr>
                <w:spacing w:val="-4"/>
                <w:sz w:val="14"/>
              </w:rPr>
              <w:t> </w:t>
            </w:r>
            <w:r>
              <w:rPr>
                <w:sz w:val="14"/>
              </w:rPr>
              <w:t>-</w:t>
            </w:r>
            <w:r>
              <w:rPr>
                <w:spacing w:val="-2"/>
                <w:sz w:val="14"/>
              </w:rPr>
              <w:t> </w:t>
            </w:r>
            <w:r>
              <w:rPr>
                <w:sz w:val="14"/>
              </w:rPr>
              <w:t>Full</w:t>
            </w:r>
            <w:r>
              <w:rPr>
                <w:spacing w:val="40"/>
                <w:sz w:val="14"/>
              </w:rPr>
              <w:t> </w:t>
            </w:r>
            <w:r>
              <w:rPr>
                <w:spacing w:val="-4"/>
                <w:sz w:val="14"/>
              </w:rPr>
              <w:t>Fee</w:t>
            </w:r>
          </w:p>
        </w:tc>
        <w:tc>
          <w:tcPr>
            <w:tcW w:w="1131" w:type="dxa"/>
          </w:tcPr>
          <w:p>
            <w:pPr>
              <w:pStyle w:val="TableParagraph"/>
              <w:rPr>
                <w:sz w:val="14"/>
              </w:rPr>
            </w:pPr>
          </w:p>
          <w:p>
            <w:pPr>
              <w:pStyle w:val="TableParagraph"/>
              <w:spacing w:line="140" w:lineRule="exact"/>
              <w:ind w:left="5"/>
              <w:jc w:val="center"/>
              <w:rPr>
                <w:sz w:val="14"/>
              </w:rPr>
            </w:pPr>
            <w:r>
              <w:rPr>
                <w:w w:val="99"/>
                <w:sz w:val="14"/>
              </w:rPr>
              <w:t>N</w:t>
            </w:r>
          </w:p>
        </w:tc>
        <w:tc>
          <w:tcPr>
            <w:tcW w:w="567" w:type="dxa"/>
          </w:tcPr>
          <w:p>
            <w:pPr>
              <w:pStyle w:val="TableParagraph"/>
              <w:rPr>
                <w:sz w:val="14"/>
              </w:rPr>
            </w:pPr>
          </w:p>
          <w:p>
            <w:pPr>
              <w:pStyle w:val="TableParagraph"/>
              <w:spacing w:line="140" w:lineRule="exact"/>
              <w:ind w:left="190"/>
              <w:rPr>
                <w:sz w:val="14"/>
              </w:rPr>
            </w:pPr>
            <w:r>
              <w:rPr>
                <w:spacing w:val="-5"/>
                <w:sz w:val="14"/>
              </w:rPr>
              <w:t>No</w:t>
            </w:r>
          </w:p>
        </w:tc>
        <w:tc>
          <w:tcPr>
            <w:tcW w:w="997" w:type="dxa"/>
          </w:tcPr>
          <w:p>
            <w:pPr>
              <w:pStyle w:val="TableParagraph"/>
              <w:rPr>
                <w:sz w:val="14"/>
              </w:rPr>
            </w:pPr>
          </w:p>
          <w:p>
            <w:pPr>
              <w:pStyle w:val="TableParagraph"/>
              <w:spacing w:line="140" w:lineRule="exact"/>
              <w:ind w:right="100"/>
              <w:jc w:val="right"/>
              <w:rPr>
                <w:sz w:val="14"/>
              </w:rPr>
            </w:pPr>
            <w:r>
              <w:rPr>
                <w:spacing w:val="-4"/>
                <w:sz w:val="14"/>
              </w:rPr>
              <w:t>0.00</w:t>
            </w:r>
          </w:p>
        </w:tc>
        <w:tc>
          <w:tcPr>
            <w:tcW w:w="995" w:type="dxa"/>
          </w:tcPr>
          <w:p>
            <w:pPr>
              <w:pStyle w:val="TableParagraph"/>
              <w:rPr>
                <w:sz w:val="14"/>
              </w:rPr>
            </w:pPr>
          </w:p>
          <w:p>
            <w:pPr>
              <w:pStyle w:val="TableParagraph"/>
              <w:spacing w:line="140" w:lineRule="exact"/>
              <w:ind w:right="101"/>
              <w:jc w:val="right"/>
              <w:rPr>
                <w:sz w:val="14"/>
              </w:rPr>
            </w:pPr>
            <w:r>
              <w:rPr>
                <w:spacing w:val="-2"/>
                <w:sz w:val="14"/>
              </w:rPr>
              <w:t>39.24</w:t>
            </w:r>
          </w:p>
        </w:tc>
        <w:tc>
          <w:tcPr>
            <w:tcW w:w="861" w:type="dxa"/>
          </w:tcPr>
          <w:p>
            <w:pPr>
              <w:pStyle w:val="TableParagraph"/>
              <w:rPr>
                <w:sz w:val="14"/>
              </w:rPr>
            </w:pPr>
          </w:p>
          <w:p>
            <w:pPr>
              <w:pStyle w:val="TableParagraph"/>
              <w:spacing w:line="140" w:lineRule="exact"/>
              <w:ind w:left="327"/>
              <w:rPr>
                <w:sz w:val="14"/>
              </w:rPr>
            </w:pPr>
            <w:r>
              <w:rPr>
                <w:spacing w:val="-5"/>
                <w:sz w:val="14"/>
              </w:rPr>
              <w:t>0.0</w:t>
            </w:r>
          </w:p>
        </w:tc>
      </w:tr>
      <w:tr>
        <w:trPr>
          <w:trHeight w:val="176" w:hRule="atLeast"/>
        </w:trPr>
        <w:tc>
          <w:tcPr>
            <w:tcW w:w="5794" w:type="dxa"/>
          </w:tcPr>
          <w:p>
            <w:pPr>
              <w:pStyle w:val="TableParagraph"/>
              <w:spacing w:line="140" w:lineRule="exact" w:before="16"/>
              <w:ind w:left="107"/>
              <w:rPr>
                <w:b/>
                <w:sz w:val="14"/>
              </w:rPr>
            </w:pPr>
            <w:r>
              <w:rPr>
                <w:b/>
                <w:sz w:val="14"/>
              </w:rPr>
              <w:t>Maroondah</w:t>
            </w:r>
            <w:r>
              <w:rPr>
                <w:b/>
                <w:spacing w:val="-5"/>
                <w:sz w:val="14"/>
              </w:rPr>
              <w:t> </w:t>
            </w:r>
            <w:r>
              <w:rPr>
                <w:b/>
                <w:sz w:val="14"/>
              </w:rPr>
              <w:t>Police</w:t>
            </w:r>
            <w:r>
              <w:rPr>
                <w:b/>
                <w:spacing w:val="-4"/>
                <w:sz w:val="14"/>
              </w:rPr>
              <w:t> </w:t>
            </w:r>
            <w:r>
              <w:rPr>
                <w:b/>
                <w:sz w:val="14"/>
              </w:rPr>
              <w:t>Seniors</w:t>
            </w:r>
            <w:r>
              <w:rPr>
                <w:b/>
                <w:spacing w:val="-8"/>
                <w:sz w:val="14"/>
              </w:rPr>
              <w:t> </w:t>
            </w:r>
            <w:r>
              <w:rPr>
                <w:b/>
                <w:spacing w:val="-2"/>
                <w:sz w:val="14"/>
              </w:rPr>
              <w:t>Register</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Seniors</w:t>
            </w:r>
            <w:r>
              <w:rPr>
                <w:spacing w:val="-7"/>
                <w:sz w:val="14"/>
              </w:rPr>
              <w:t> </w:t>
            </w:r>
            <w:r>
              <w:rPr>
                <w:spacing w:val="-2"/>
                <w:sz w:val="14"/>
              </w:rPr>
              <w:t>Register</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5.50</w:t>
            </w:r>
          </w:p>
        </w:tc>
        <w:tc>
          <w:tcPr>
            <w:tcW w:w="995" w:type="dxa"/>
          </w:tcPr>
          <w:p>
            <w:pPr>
              <w:pStyle w:val="TableParagraph"/>
              <w:spacing w:line="140" w:lineRule="exact" w:before="17"/>
              <w:ind w:right="101"/>
              <w:jc w:val="right"/>
              <w:rPr>
                <w:sz w:val="14"/>
              </w:rPr>
            </w:pPr>
            <w:r>
              <w:rPr>
                <w:spacing w:val="-4"/>
                <w:sz w:val="14"/>
              </w:rPr>
              <w:t>5.91</w:t>
            </w:r>
          </w:p>
        </w:tc>
        <w:tc>
          <w:tcPr>
            <w:tcW w:w="861" w:type="dxa"/>
          </w:tcPr>
          <w:p>
            <w:pPr>
              <w:pStyle w:val="TableParagraph"/>
              <w:spacing w:line="140" w:lineRule="exact" w:before="17"/>
              <w:ind w:left="327"/>
              <w:rPr>
                <w:sz w:val="14"/>
              </w:rPr>
            </w:pPr>
            <w:r>
              <w:rPr>
                <w:spacing w:val="-5"/>
                <w:sz w:val="14"/>
              </w:rPr>
              <w:t>6.9</w:t>
            </w:r>
          </w:p>
        </w:tc>
      </w:tr>
      <w:tr>
        <w:trPr>
          <w:trHeight w:val="193" w:hRule="atLeast"/>
        </w:trPr>
        <w:tc>
          <w:tcPr>
            <w:tcW w:w="5794" w:type="dxa"/>
          </w:tcPr>
          <w:p>
            <w:pPr>
              <w:pStyle w:val="TableParagraph"/>
              <w:spacing w:line="140" w:lineRule="exact" w:before="34"/>
              <w:ind w:left="107"/>
              <w:rPr>
                <w:b/>
                <w:sz w:val="14"/>
              </w:rPr>
            </w:pPr>
            <w:r>
              <w:rPr>
                <w:b/>
                <w:sz w:val="14"/>
              </w:rPr>
              <w:t>Family</w:t>
            </w:r>
            <w:r>
              <w:rPr>
                <w:b/>
                <w:spacing w:val="-4"/>
                <w:sz w:val="14"/>
              </w:rPr>
              <w:t> </w:t>
            </w:r>
            <w:r>
              <w:rPr>
                <w:b/>
                <w:sz w:val="14"/>
              </w:rPr>
              <w:t>Day</w:t>
            </w:r>
            <w:r>
              <w:rPr>
                <w:b/>
                <w:spacing w:val="-5"/>
                <w:sz w:val="14"/>
              </w:rPr>
              <w:t> </w:t>
            </w:r>
            <w:r>
              <w:rPr>
                <w:b/>
                <w:sz w:val="14"/>
              </w:rPr>
              <w:t>Care</w:t>
            </w:r>
            <w:r>
              <w:rPr>
                <w:b/>
                <w:spacing w:val="-2"/>
                <w:sz w:val="14"/>
              </w:rPr>
              <w:t> </w:t>
            </w:r>
            <w:r>
              <w:rPr>
                <w:b/>
                <w:spacing w:val="-4"/>
                <w:sz w:val="14"/>
              </w:rPr>
              <w:t>(FDC)</w:t>
            </w:r>
          </w:p>
        </w:tc>
        <w:tc>
          <w:tcPr>
            <w:tcW w:w="1131" w:type="dxa"/>
          </w:tcPr>
          <w:p>
            <w:pPr>
              <w:pStyle w:val="TableParagraph"/>
              <w:rPr>
                <w:rFonts w:ascii="Times New Roman"/>
                <w:sz w:val="12"/>
              </w:rPr>
            </w:pPr>
          </w:p>
        </w:tc>
        <w:tc>
          <w:tcPr>
            <w:tcW w:w="567" w:type="dxa"/>
          </w:tcPr>
          <w:p>
            <w:pPr>
              <w:pStyle w:val="TableParagraph"/>
              <w:rPr>
                <w:rFonts w:ascii="Times New Roman"/>
                <w:sz w:val="12"/>
              </w:rPr>
            </w:pPr>
          </w:p>
        </w:tc>
        <w:tc>
          <w:tcPr>
            <w:tcW w:w="997" w:type="dxa"/>
          </w:tcPr>
          <w:p>
            <w:pPr>
              <w:pStyle w:val="TableParagraph"/>
              <w:rPr>
                <w:rFonts w:ascii="Times New Roman"/>
                <w:sz w:val="12"/>
              </w:rPr>
            </w:pPr>
          </w:p>
        </w:tc>
        <w:tc>
          <w:tcPr>
            <w:tcW w:w="995" w:type="dxa"/>
          </w:tcPr>
          <w:p>
            <w:pPr>
              <w:pStyle w:val="TableParagraph"/>
              <w:rPr>
                <w:rFonts w:ascii="Times New Roman"/>
                <w:sz w:val="12"/>
              </w:rPr>
            </w:pPr>
          </w:p>
        </w:tc>
        <w:tc>
          <w:tcPr>
            <w:tcW w:w="861" w:type="dxa"/>
          </w:tcPr>
          <w:p>
            <w:pPr>
              <w:pStyle w:val="TableParagraph"/>
              <w:rPr>
                <w:rFonts w:ascii="Times New Roman"/>
                <w:sz w:val="12"/>
              </w:rPr>
            </w:pPr>
          </w:p>
        </w:tc>
      </w:tr>
      <w:tr>
        <w:trPr>
          <w:trHeight w:val="177" w:hRule="atLeast"/>
        </w:trPr>
        <w:tc>
          <w:tcPr>
            <w:tcW w:w="5794" w:type="dxa"/>
          </w:tcPr>
          <w:p>
            <w:pPr>
              <w:pStyle w:val="TableParagraph"/>
              <w:spacing w:line="140" w:lineRule="exact" w:before="17"/>
              <w:ind w:left="107"/>
              <w:rPr>
                <w:sz w:val="14"/>
              </w:rPr>
            </w:pPr>
            <w:r>
              <w:rPr>
                <w:sz w:val="14"/>
              </w:rPr>
              <w:t>Family</w:t>
            </w:r>
            <w:r>
              <w:rPr>
                <w:spacing w:val="-4"/>
                <w:sz w:val="14"/>
              </w:rPr>
              <w:t> </w:t>
            </w:r>
            <w:r>
              <w:rPr>
                <w:sz w:val="14"/>
              </w:rPr>
              <w:t>Day</w:t>
            </w:r>
            <w:r>
              <w:rPr>
                <w:spacing w:val="-3"/>
                <w:sz w:val="14"/>
              </w:rPr>
              <w:t> </w:t>
            </w:r>
            <w:r>
              <w:rPr>
                <w:sz w:val="14"/>
              </w:rPr>
              <w:t>Care</w:t>
            </w:r>
            <w:r>
              <w:rPr>
                <w:spacing w:val="-2"/>
                <w:sz w:val="14"/>
              </w:rPr>
              <w:t> </w:t>
            </w:r>
            <w:r>
              <w:rPr>
                <w:sz w:val="14"/>
              </w:rPr>
              <w:t>-</w:t>
            </w:r>
            <w:r>
              <w:rPr>
                <w:spacing w:val="-2"/>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12.58</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Family</w:t>
            </w:r>
            <w:r>
              <w:rPr>
                <w:spacing w:val="-4"/>
                <w:sz w:val="14"/>
              </w:rPr>
              <w:t> </w:t>
            </w:r>
            <w:r>
              <w:rPr>
                <w:sz w:val="14"/>
              </w:rPr>
              <w:t>Day</w:t>
            </w:r>
            <w:r>
              <w:rPr>
                <w:spacing w:val="-3"/>
                <w:sz w:val="14"/>
              </w:rPr>
              <w:t> </w:t>
            </w:r>
            <w:r>
              <w:rPr>
                <w:sz w:val="14"/>
              </w:rPr>
              <w:t>Care</w:t>
            </w:r>
            <w:r>
              <w:rPr>
                <w:spacing w:val="-2"/>
                <w:sz w:val="14"/>
              </w:rPr>
              <w:t> </w:t>
            </w:r>
            <w:r>
              <w:rPr>
                <w:sz w:val="14"/>
              </w:rPr>
              <w:t>-</w:t>
            </w:r>
            <w:r>
              <w:rPr>
                <w:spacing w:val="-2"/>
                <w:sz w:val="14"/>
              </w:rPr>
              <w:t> </w:t>
            </w:r>
            <w:r>
              <w:rPr>
                <w:spacing w:val="-4"/>
                <w:sz w:val="14"/>
              </w:rPr>
              <w:t>Levy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5.22</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2" w:lineRule="exact" w:before="15"/>
              <w:ind w:left="107"/>
              <w:rPr>
                <w:b/>
                <w:sz w:val="14"/>
              </w:rPr>
            </w:pPr>
            <w:r>
              <w:rPr>
                <w:b/>
                <w:sz w:val="14"/>
              </w:rPr>
              <w:t>Occasional</w:t>
            </w:r>
            <w:r>
              <w:rPr>
                <w:b/>
                <w:spacing w:val="-3"/>
                <w:sz w:val="14"/>
              </w:rPr>
              <w:t> </w:t>
            </w:r>
            <w:r>
              <w:rPr>
                <w:b/>
                <w:sz w:val="14"/>
              </w:rPr>
              <w:t>Day</w:t>
            </w:r>
            <w:r>
              <w:rPr>
                <w:b/>
                <w:spacing w:val="-7"/>
                <w:sz w:val="14"/>
              </w:rPr>
              <w:t> </w:t>
            </w:r>
            <w:r>
              <w:rPr>
                <w:b/>
                <w:sz w:val="14"/>
              </w:rPr>
              <w:t>Care</w:t>
            </w:r>
            <w:r>
              <w:rPr>
                <w:b/>
                <w:spacing w:val="-5"/>
                <w:sz w:val="14"/>
              </w:rPr>
              <w:t> </w:t>
            </w:r>
            <w:r>
              <w:rPr>
                <w:b/>
                <w:spacing w:val="-2"/>
                <w:sz w:val="14"/>
              </w:rPr>
              <w:t>(ODC)</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Occasional</w:t>
            </w:r>
            <w:r>
              <w:rPr>
                <w:spacing w:val="-4"/>
                <w:sz w:val="14"/>
              </w:rPr>
              <w:t> </w:t>
            </w:r>
            <w:r>
              <w:rPr>
                <w:sz w:val="14"/>
              </w:rPr>
              <w:t>Day</w:t>
            </w:r>
            <w:r>
              <w:rPr>
                <w:spacing w:val="-4"/>
                <w:sz w:val="14"/>
              </w:rPr>
              <w:t> </w:t>
            </w:r>
            <w:r>
              <w:rPr>
                <w:sz w:val="14"/>
              </w:rPr>
              <w:t>Care</w:t>
            </w:r>
            <w:r>
              <w:rPr>
                <w:spacing w:val="-1"/>
                <w:sz w:val="14"/>
              </w:rPr>
              <w:t> </w:t>
            </w:r>
            <w:r>
              <w:rPr>
                <w:sz w:val="14"/>
              </w:rPr>
              <w:t>-</w:t>
            </w:r>
            <w:r>
              <w:rPr>
                <w:spacing w:val="-5"/>
                <w:sz w:val="14"/>
              </w:rPr>
              <w:t> </w:t>
            </w:r>
            <w:r>
              <w:rPr>
                <w:sz w:val="14"/>
              </w:rPr>
              <w:t>Parents</w:t>
            </w:r>
            <w:r>
              <w:rPr>
                <w:spacing w:val="-4"/>
                <w:sz w:val="14"/>
              </w:rPr>
              <w:t> </w:t>
            </w:r>
            <w:r>
              <w:rPr>
                <w:sz w:val="14"/>
              </w:rPr>
              <w:t>fee</w:t>
            </w:r>
            <w:r>
              <w:rPr>
                <w:spacing w:val="-2"/>
                <w:sz w:val="14"/>
              </w:rPr>
              <w:t> </w:t>
            </w:r>
            <w:r>
              <w:rPr>
                <w:sz w:val="14"/>
              </w:rPr>
              <w:t>(full</w:t>
            </w:r>
            <w:r>
              <w:rPr>
                <w:spacing w:val="-1"/>
                <w:sz w:val="14"/>
              </w:rPr>
              <w:t> </w:t>
            </w:r>
            <w:r>
              <w:rPr>
                <w:spacing w:val="-4"/>
                <w:sz w:val="14"/>
              </w:rPr>
              <w:t>day)</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90"/>
              <w:rPr>
                <w:sz w:val="14"/>
              </w:rPr>
            </w:pPr>
            <w:r>
              <w:rPr>
                <w:spacing w:val="-5"/>
                <w:sz w:val="14"/>
              </w:rPr>
              <w:t>No</w:t>
            </w:r>
          </w:p>
        </w:tc>
        <w:tc>
          <w:tcPr>
            <w:tcW w:w="997" w:type="dxa"/>
          </w:tcPr>
          <w:p>
            <w:pPr>
              <w:pStyle w:val="TableParagraph"/>
              <w:spacing w:line="140" w:lineRule="exact" w:before="15"/>
              <w:ind w:right="100"/>
              <w:jc w:val="right"/>
              <w:rPr>
                <w:sz w:val="14"/>
              </w:rPr>
            </w:pPr>
            <w:r>
              <w:rPr>
                <w:spacing w:val="-2"/>
                <w:sz w:val="14"/>
              </w:rPr>
              <w:t>86.00</w:t>
            </w:r>
          </w:p>
        </w:tc>
        <w:tc>
          <w:tcPr>
            <w:tcW w:w="995" w:type="dxa"/>
          </w:tcPr>
          <w:p>
            <w:pPr>
              <w:pStyle w:val="TableParagraph"/>
              <w:spacing w:line="140" w:lineRule="exact" w:before="15"/>
              <w:ind w:right="101"/>
              <w:jc w:val="right"/>
              <w:rPr>
                <w:sz w:val="14"/>
              </w:rPr>
            </w:pPr>
            <w:r>
              <w:rPr>
                <w:spacing w:val="-2"/>
                <w:sz w:val="14"/>
              </w:rPr>
              <w:t>92.00</w:t>
            </w:r>
          </w:p>
        </w:tc>
        <w:tc>
          <w:tcPr>
            <w:tcW w:w="861" w:type="dxa"/>
          </w:tcPr>
          <w:p>
            <w:pPr>
              <w:pStyle w:val="TableParagraph"/>
              <w:spacing w:line="140" w:lineRule="exact" w:before="15"/>
              <w:ind w:left="327"/>
              <w:rPr>
                <w:sz w:val="14"/>
              </w:rPr>
            </w:pPr>
            <w:r>
              <w:rPr>
                <w:spacing w:val="-5"/>
                <w:sz w:val="14"/>
              </w:rPr>
              <w:t>6.5</w:t>
            </w:r>
          </w:p>
        </w:tc>
      </w:tr>
      <w:tr>
        <w:trPr>
          <w:trHeight w:val="177" w:hRule="atLeast"/>
        </w:trPr>
        <w:tc>
          <w:tcPr>
            <w:tcW w:w="5794" w:type="dxa"/>
          </w:tcPr>
          <w:p>
            <w:pPr>
              <w:pStyle w:val="TableParagraph"/>
              <w:spacing w:line="140" w:lineRule="exact" w:before="17"/>
              <w:ind w:left="107"/>
              <w:rPr>
                <w:sz w:val="14"/>
              </w:rPr>
            </w:pPr>
            <w:r>
              <w:rPr>
                <w:sz w:val="14"/>
              </w:rPr>
              <w:t>Occasional</w:t>
            </w:r>
            <w:r>
              <w:rPr>
                <w:spacing w:val="-4"/>
                <w:sz w:val="14"/>
              </w:rPr>
              <w:t> </w:t>
            </w:r>
            <w:r>
              <w:rPr>
                <w:sz w:val="14"/>
              </w:rPr>
              <w:t>Day</w:t>
            </w:r>
            <w:r>
              <w:rPr>
                <w:spacing w:val="-4"/>
                <w:sz w:val="14"/>
              </w:rPr>
              <w:t> </w:t>
            </w:r>
            <w:r>
              <w:rPr>
                <w:sz w:val="14"/>
              </w:rPr>
              <w:t>Care</w:t>
            </w:r>
            <w:r>
              <w:rPr>
                <w:spacing w:val="-1"/>
                <w:sz w:val="14"/>
              </w:rPr>
              <w:t> </w:t>
            </w:r>
            <w:r>
              <w:rPr>
                <w:sz w:val="14"/>
              </w:rPr>
              <w:t>-</w:t>
            </w:r>
            <w:r>
              <w:rPr>
                <w:spacing w:val="-4"/>
                <w:sz w:val="14"/>
              </w:rPr>
              <w:t> </w:t>
            </w:r>
            <w:r>
              <w:rPr>
                <w:sz w:val="14"/>
              </w:rPr>
              <w:t>Parents</w:t>
            </w:r>
            <w:r>
              <w:rPr>
                <w:spacing w:val="-4"/>
                <w:sz w:val="14"/>
              </w:rPr>
              <w:t> </w:t>
            </w:r>
            <w:r>
              <w:rPr>
                <w:sz w:val="14"/>
              </w:rPr>
              <w:t>fee</w:t>
            </w:r>
            <w:r>
              <w:rPr>
                <w:spacing w:val="-3"/>
                <w:sz w:val="14"/>
              </w:rPr>
              <w:t> </w:t>
            </w:r>
            <w:r>
              <w:rPr>
                <w:sz w:val="14"/>
              </w:rPr>
              <w:t>(half</w:t>
            </w:r>
            <w:r>
              <w:rPr>
                <w:spacing w:val="-4"/>
                <w:sz w:val="14"/>
              </w:rPr>
              <w:t> day)</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49.00</w:t>
            </w:r>
          </w:p>
        </w:tc>
        <w:tc>
          <w:tcPr>
            <w:tcW w:w="995" w:type="dxa"/>
          </w:tcPr>
          <w:p>
            <w:pPr>
              <w:pStyle w:val="TableParagraph"/>
              <w:spacing w:line="140" w:lineRule="exact" w:before="17"/>
              <w:ind w:right="101"/>
              <w:jc w:val="right"/>
              <w:rPr>
                <w:sz w:val="14"/>
              </w:rPr>
            </w:pPr>
            <w:r>
              <w:rPr>
                <w:spacing w:val="-2"/>
                <w:sz w:val="14"/>
              </w:rPr>
              <w:t>52.00</w:t>
            </w:r>
          </w:p>
        </w:tc>
        <w:tc>
          <w:tcPr>
            <w:tcW w:w="861" w:type="dxa"/>
          </w:tcPr>
          <w:p>
            <w:pPr>
              <w:pStyle w:val="TableParagraph"/>
              <w:spacing w:line="140" w:lineRule="exact" w:before="17"/>
              <w:ind w:left="327"/>
              <w:rPr>
                <w:sz w:val="14"/>
              </w:rPr>
            </w:pPr>
            <w:r>
              <w:rPr>
                <w:spacing w:val="-5"/>
                <w:sz w:val="14"/>
              </w:rPr>
              <w:t>5.8</w:t>
            </w:r>
          </w:p>
        </w:tc>
      </w:tr>
      <w:tr>
        <w:trPr>
          <w:trHeight w:val="177" w:hRule="atLeast"/>
        </w:trPr>
        <w:tc>
          <w:tcPr>
            <w:tcW w:w="5794" w:type="dxa"/>
          </w:tcPr>
          <w:p>
            <w:pPr>
              <w:pStyle w:val="TableParagraph"/>
              <w:spacing w:line="140" w:lineRule="exact" w:before="17"/>
              <w:ind w:left="107"/>
              <w:rPr>
                <w:b/>
                <w:sz w:val="14"/>
              </w:rPr>
            </w:pPr>
            <w:r>
              <w:rPr>
                <w:b/>
                <w:sz w:val="14"/>
              </w:rPr>
              <w:t>Maternal</w:t>
            </w:r>
            <w:r>
              <w:rPr>
                <w:b/>
                <w:spacing w:val="-5"/>
                <w:sz w:val="14"/>
              </w:rPr>
              <w:t> </w:t>
            </w:r>
            <w:r>
              <w:rPr>
                <w:b/>
                <w:sz w:val="14"/>
              </w:rPr>
              <w:t>Child</w:t>
            </w:r>
            <w:r>
              <w:rPr>
                <w:b/>
                <w:spacing w:val="-6"/>
                <w:sz w:val="14"/>
              </w:rPr>
              <w:t> </w:t>
            </w:r>
            <w:r>
              <w:rPr>
                <w:b/>
                <w:sz w:val="14"/>
              </w:rPr>
              <w:t>Health</w:t>
            </w:r>
            <w:r>
              <w:rPr>
                <w:b/>
                <w:spacing w:val="-5"/>
                <w:sz w:val="14"/>
              </w:rPr>
              <w:t> </w:t>
            </w:r>
            <w:r>
              <w:rPr>
                <w:b/>
                <w:spacing w:val="-2"/>
                <w:sz w:val="14"/>
              </w:rPr>
              <w:t>(MCH)</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MCH</w:t>
            </w:r>
            <w:r>
              <w:rPr>
                <w:spacing w:val="-6"/>
                <w:sz w:val="14"/>
              </w:rPr>
              <w:t> </w:t>
            </w:r>
            <w:r>
              <w:rPr>
                <w:sz w:val="14"/>
              </w:rPr>
              <w:t>meeting</w:t>
            </w:r>
            <w:r>
              <w:rPr>
                <w:spacing w:val="-6"/>
                <w:sz w:val="14"/>
              </w:rPr>
              <w:t> </w:t>
            </w:r>
            <w:r>
              <w:rPr>
                <w:sz w:val="14"/>
              </w:rPr>
              <w:t>room</w:t>
            </w:r>
            <w:r>
              <w:rPr>
                <w:spacing w:val="-3"/>
                <w:sz w:val="14"/>
              </w:rPr>
              <w:t> </w:t>
            </w:r>
            <w:r>
              <w:rPr>
                <w:sz w:val="14"/>
              </w:rPr>
              <w:t>community</w:t>
            </w:r>
            <w:r>
              <w:rPr>
                <w:spacing w:val="-3"/>
                <w:sz w:val="14"/>
              </w:rPr>
              <w:t> </w:t>
            </w:r>
            <w:r>
              <w:rPr>
                <w:sz w:val="14"/>
              </w:rPr>
              <w:t>hourly</w:t>
            </w:r>
            <w:r>
              <w:rPr>
                <w:spacing w:val="-3"/>
                <w:sz w:val="14"/>
              </w:rPr>
              <w:t> </w:t>
            </w:r>
            <w:r>
              <w:rPr>
                <w:spacing w:val="-4"/>
                <w:sz w:val="14"/>
              </w:rPr>
              <w:t>rate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24.25</w:t>
            </w:r>
          </w:p>
        </w:tc>
        <w:tc>
          <w:tcPr>
            <w:tcW w:w="995" w:type="dxa"/>
          </w:tcPr>
          <w:p>
            <w:pPr>
              <w:pStyle w:val="TableParagraph"/>
              <w:spacing w:line="140" w:lineRule="exact" w:before="17"/>
              <w:ind w:right="101"/>
              <w:jc w:val="right"/>
              <w:rPr>
                <w:sz w:val="14"/>
              </w:rPr>
            </w:pPr>
            <w:r>
              <w:rPr>
                <w:spacing w:val="-2"/>
                <w:sz w:val="14"/>
              </w:rPr>
              <w:t>26.07</w:t>
            </w:r>
          </w:p>
        </w:tc>
        <w:tc>
          <w:tcPr>
            <w:tcW w:w="861" w:type="dxa"/>
          </w:tcPr>
          <w:p>
            <w:pPr>
              <w:pStyle w:val="TableParagraph"/>
              <w:spacing w:line="140" w:lineRule="exact" w:before="17"/>
              <w:ind w:left="327"/>
              <w:rPr>
                <w:sz w:val="14"/>
              </w:rPr>
            </w:pPr>
            <w:r>
              <w:rPr>
                <w:spacing w:val="-5"/>
                <w:sz w:val="14"/>
              </w:rPr>
              <w:t>7.0</w:t>
            </w:r>
          </w:p>
        </w:tc>
      </w:tr>
      <w:tr>
        <w:trPr>
          <w:trHeight w:val="177" w:hRule="atLeast"/>
        </w:trPr>
        <w:tc>
          <w:tcPr>
            <w:tcW w:w="5794" w:type="dxa"/>
          </w:tcPr>
          <w:p>
            <w:pPr>
              <w:pStyle w:val="TableParagraph"/>
              <w:spacing w:line="140" w:lineRule="exact" w:before="17"/>
              <w:ind w:left="107"/>
              <w:rPr>
                <w:sz w:val="14"/>
              </w:rPr>
            </w:pPr>
            <w:r>
              <w:rPr>
                <w:sz w:val="14"/>
              </w:rPr>
              <w:t>Others</w:t>
            </w:r>
            <w:r>
              <w:rPr>
                <w:spacing w:val="-3"/>
                <w:sz w:val="14"/>
              </w:rPr>
              <w:t> </w:t>
            </w:r>
            <w:r>
              <w:rPr>
                <w:sz w:val="14"/>
              </w:rPr>
              <w:t>-</w:t>
            </w:r>
            <w:r>
              <w:rPr>
                <w:spacing w:val="-5"/>
                <w:sz w:val="14"/>
              </w:rPr>
              <w:t> </w:t>
            </w:r>
            <w:r>
              <w:rPr>
                <w:sz w:val="14"/>
              </w:rPr>
              <w:t>hourly</w:t>
            </w:r>
            <w:r>
              <w:rPr>
                <w:spacing w:val="-5"/>
                <w:sz w:val="14"/>
              </w:rPr>
              <w:t> </w:t>
            </w:r>
            <w:r>
              <w:rPr>
                <w:spacing w:val="-4"/>
                <w:sz w:val="14"/>
              </w:rPr>
              <w:t>rate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59"/>
              <w:rPr>
                <w:sz w:val="14"/>
              </w:rPr>
            </w:pPr>
            <w:r>
              <w:rPr>
                <w:spacing w:val="-5"/>
                <w:sz w:val="14"/>
              </w:rPr>
              <w:t>Yes</w:t>
            </w:r>
          </w:p>
        </w:tc>
        <w:tc>
          <w:tcPr>
            <w:tcW w:w="997" w:type="dxa"/>
          </w:tcPr>
          <w:p>
            <w:pPr>
              <w:pStyle w:val="TableParagraph"/>
              <w:spacing w:line="140" w:lineRule="exact" w:before="17"/>
              <w:ind w:right="100"/>
              <w:jc w:val="right"/>
              <w:rPr>
                <w:sz w:val="14"/>
              </w:rPr>
            </w:pPr>
            <w:r>
              <w:rPr>
                <w:spacing w:val="-2"/>
                <w:sz w:val="14"/>
              </w:rPr>
              <w:t>24.25</w:t>
            </w:r>
          </w:p>
        </w:tc>
        <w:tc>
          <w:tcPr>
            <w:tcW w:w="995" w:type="dxa"/>
          </w:tcPr>
          <w:p>
            <w:pPr>
              <w:pStyle w:val="TableParagraph"/>
              <w:spacing w:line="140" w:lineRule="exact" w:before="17"/>
              <w:ind w:right="101"/>
              <w:jc w:val="right"/>
              <w:rPr>
                <w:sz w:val="14"/>
              </w:rPr>
            </w:pPr>
            <w:r>
              <w:rPr>
                <w:spacing w:val="-4"/>
                <w:sz w:val="14"/>
              </w:rPr>
              <w:t>0.00</w:t>
            </w:r>
          </w:p>
        </w:tc>
        <w:tc>
          <w:tcPr>
            <w:tcW w:w="861" w:type="dxa"/>
          </w:tcPr>
          <w:p>
            <w:pPr>
              <w:pStyle w:val="TableParagraph"/>
              <w:spacing w:line="140" w:lineRule="exact" w:before="17"/>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b/>
                <w:sz w:val="14"/>
              </w:rPr>
            </w:pPr>
            <w:r>
              <w:rPr>
                <w:b/>
                <w:sz w:val="14"/>
              </w:rPr>
              <w:t>Meals</w:t>
            </w:r>
            <w:r>
              <w:rPr>
                <w:b/>
                <w:spacing w:val="-3"/>
                <w:sz w:val="14"/>
              </w:rPr>
              <w:t> </w:t>
            </w:r>
            <w:r>
              <w:rPr>
                <w:b/>
                <w:sz w:val="14"/>
              </w:rPr>
              <w:t>On</w:t>
            </w:r>
            <w:r>
              <w:rPr>
                <w:b/>
                <w:spacing w:val="-4"/>
                <w:sz w:val="14"/>
              </w:rPr>
              <w:t> </w:t>
            </w:r>
            <w:r>
              <w:rPr>
                <w:b/>
                <w:spacing w:val="-2"/>
                <w:sz w:val="14"/>
              </w:rPr>
              <w:t>Wheels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7" w:hRule="atLeast"/>
        </w:trPr>
        <w:tc>
          <w:tcPr>
            <w:tcW w:w="5794" w:type="dxa"/>
          </w:tcPr>
          <w:p>
            <w:pPr>
              <w:pStyle w:val="TableParagraph"/>
              <w:spacing w:line="140" w:lineRule="exact" w:before="17"/>
              <w:ind w:left="107"/>
              <w:rPr>
                <w:sz w:val="14"/>
              </w:rPr>
            </w:pPr>
            <w:r>
              <w:rPr>
                <w:sz w:val="14"/>
              </w:rPr>
              <w:t>Commonwealth</w:t>
            </w:r>
            <w:r>
              <w:rPr>
                <w:spacing w:val="-3"/>
                <w:sz w:val="14"/>
              </w:rPr>
              <w:t> </w:t>
            </w:r>
            <w:r>
              <w:rPr>
                <w:sz w:val="14"/>
              </w:rPr>
              <w:t>Home</w:t>
            </w:r>
            <w:r>
              <w:rPr>
                <w:spacing w:val="-7"/>
                <w:sz w:val="14"/>
              </w:rPr>
              <w:t> </w:t>
            </w:r>
            <w:r>
              <w:rPr>
                <w:sz w:val="14"/>
              </w:rPr>
              <w:t>Support</w:t>
            </w:r>
            <w:r>
              <w:rPr>
                <w:spacing w:val="-6"/>
                <w:sz w:val="14"/>
              </w:rPr>
              <w:t> </w:t>
            </w:r>
            <w:r>
              <w:rPr>
                <w:sz w:val="14"/>
              </w:rPr>
              <w:t>Program</w:t>
            </w:r>
            <w:r>
              <w:rPr>
                <w:spacing w:val="-2"/>
                <w:sz w:val="14"/>
              </w:rPr>
              <w:t> </w:t>
            </w:r>
            <w:r>
              <w:rPr>
                <w:sz w:val="14"/>
              </w:rPr>
              <w:t>High</w:t>
            </w:r>
            <w:r>
              <w:rPr>
                <w:spacing w:val="-4"/>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18.95</w:t>
            </w:r>
          </w:p>
        </w:tc>
        <w:tc>
          <w:tcPr>
            <w:tcW w:w="995" w:type="dxa"/>
          </w:tcPr>
          <w:p>
            <w:pPr>
              <w:pStyle w:val="TableParagraph"/>
              <w:spacing w:line="140" w:lineRule="exact" w:before="17"/>
              <w:ind w:right="101"/>
              <w:jc w:val="right"/>
              <w:rPr>
                <w:sz w:val="14"/>
              </w:rPr>
            </w:pPr>
            <w:r>
              <w:rPr>
                <w:spacing w:val="-2"/>
                <w:sz w:val="14"/>
              </w:rPr>
              <w:t>14.93</w:t>
            </w:r>
          </w:p>
        </w:tc>
        <w:tc>
          <w:tcPr>
            <w:tcW w:w="861" w:type="dxa"/>
          </w:tcPr>
          <w:p>
            <w:pPr>
              <w:pStyle w:val="TableParagraph"/>
              <w:spacing w:line="140" w:lineRule="exact" w:before="17"/>
              <w:ind w:left="264"/>
              <w:rPr>
                <w:sz w:val="14"/>
              </w:rPr>
            </w:pPr>
            <w:r>
              <w:rPr>
                <w:w w:val="95"/>
                <w:sz w:val="14"/>
              </w:rPr>
              <w:t>-</w:t>
            </w:r>
            <w:r>
              <w:rPr>
                <w:spacing w:val="-4"/>
                <w:sz w:val="14"/>
              </w:rPr>
              <w:t>26.9</w:t>
            </w:r>
          </w:p>
        </w:tc>
      </w:tr>
      <w:tr>
        <w:trPr>
          <w:trHeight w:val="177" w:hRule="atLeast"/>
        </w:trPr>
        <w:tc>
          <w:tcPr>
            <w:tcW w:w="5794" w:type="dxa"/>
          </w:tcPr>
          <w:p>
            <w:pPr>
              <w:pStyle w:val="TableParagraph"/>
              <w:spacing w:line="140" w:lineRule="exact" w:before="17"/>
              <w:ind w:left="107"/>
              <w:rPr>
                <w:sz w:val="14"/>
              </w:rPr>
            </w:pPr>
            <w:r>
              <w:rPr>
                <w:sz w:val="14"/>
              </w:rPr>
              <w:t>Commonwealth</w:t>
            </w:r>
            <w:r>
              <w:rPr>
                <w:spacing w:val="-3"/>
                <w:sz w:val="14"/>
              </w:rPr>
              <w:t> </w:t>
            </w:r>
            <w:r>
              <w:rPr>
                <w:sz w:val="14"/>
              </w:rPr>
              <w:t>Home</w:t>
            </w:r>
            <w:r>
              <w:rPr>
                <w:spacing w:val="-7"/>
                <w:sz w:val="14"/>
              </w:rPr>
              <w:t> </w:t>
            </w:r>
            <w:r>
              <w:rPr>
                <w:sz w:val="14"/>
              </w:rPr>
              <w:t>Support</w:t>
            </w:r>
            <w:r>
              <w:rPr>
                <w:spacing w:val="-6"/>
                <w:sz w:val="14"/>
              </w:rPr>
              <w:t> </w:t>
            </w:r>
            <w:r>
              <w:rPr>
                <w:sz w:val="14"/>
              </w:rPr>
              <w:t>Program</w:t>
            </w:r>
            <w:r>
              <w:rPr>
                <w:spacing w:val="-3"/>
                <w:sz w:val="14"/>
              </w:rPr>
              <w:t> </w:t>
            </w:r>
            <w:r>
              <w:rPr>
                <w:sz w:val="14"/>
              </w:rPr>
              <w:t>Low</w:t>
            </w:r>
            <w:r>
              <w:rPr>
                <w:spacing w:val="-3"/>
                <w:sz w:val="14"/>
              </w:rPr>
              <w:t>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11.20</w:t>
            </w:r>
          </w:p>
        </w:tc>
        <w:tc>
          <w:tcPr>
            <w:tcW w:w="995" w:type="dxa"/>
          </w:tcPr>
          <w:p>
            <w:pPr>
              <w:pStyle w:val="TableParagraph"/>
              <w:spacing w:line="140" w:lineRule="exact" w:before="17"/>
              <w:ind w:right="101"/>
              <w:jc w:val="right"/>
              <w:rPr>
                <w:sz w:val="14"/>
              </w:rPr>
            </w:pPr>
            <w:r>
              <w:rPr>
                <w:spacing w:val="-2"/>
                <w:sz w:val="14"/>
              </w:rPr>
              <w:t>12.80</w:t>
            </w:r>
          </w:p>
        </w:tc>
        <w:tc>
          <w:tcPr>
            <w:tcW w:w="861" w:type="dxa"/>
          </w:tcPr>
          <w:p>
            <w:pPr>
              <w:pStyle w:val="TableParagraph"/>
              <w:spacing w:line="140" w:lineRule="exact" w:before="17"/>
              <w:ind w:left="288"/>
              <w:rPr>
                <w:sz w:val="14"/>
              </w:rPr>
            </w:pPr>
            <w:r>
              <w:rPr>
                <w:spacing w:val="-4"/>
                <w:sz w:val="14"/>
              </w:rPr>
              <w:t>12.5</w:t>
            </w:r>
          </w:p>
        </w:tc>
      </w:tr>
      <w:tr>
        <w:trPr>
          <w:trHeight w:val="177" w:hRule="atLeast"/>
        </w:trPr>
        <w:tc>
          <w:tcPr>
            <w:tcW w:w="5794" w:type="dxa"/>
          </w:tcPr>
          <w:p>
            <w:pPr>
              <w:pStyle w:val="TableParagraph"/>
              <w:spacing w:line="140" w:lineRule="exact" w:before="17"/>
              <w:ind w:left="107"/>
              <w:rPr>
                <w:sz w:val="14"/>
              </w:rPr>
            </w:pPr>
            <w:r>
              <w:rPr>
                <w:sz w:val="14"/>
              </w:rPr>
              <w:t>Home</w:t>
            </w:r>
            <w:r>
              <w:rPr>
                <w:spacing w:val="-5"/>
                <w:sz w:val="14"/>
              </w:rPr>
              <w:t> </w:t>
            </w:r>
            <w:r>
              <w:rPr>
                <w:sz w:val="14"/>
              </w:rPr>
              <w:t>Care</w:t>
            </w:r>
            <w:r>
              <w:rPr>
                <w:spacing w:val="-5"/>
                <w:sz w:val="14"/>
              </w:rPr>
              <w:t> </w:t>
            </w:r>
            <w:r>
              <w:rPr>
                <w:sz w:val="14"/>
              </w:rPr>
              <w:t>Packages</w:t>
            </w:r>
            <w:r>
              <w:rPr>
                <w:spacing w:val="-3"/>
                <w:sz w:val="14"/>
              </w:rPr>
              <w:t> </w:t>
            </w:r>
            <w:r>
              <w:rPr>
                <w:sz w:val="14"/>
              </w:rPr>
              <w:t>/</w:t>
            </w:r>
            <w:r>
              <w:rPr>
                <w:spacing w:val="-3"/>
                <w:sz w:val="14"/>
              </w:rPr>
              <w:t> </w:t>
            </w:r>
            <w:r>
              <w:rPr>
                <w:sz w:val="14"/>
              </w:rPr>
              <w:t>Private </w:t>
            </w:r>
            <w:r>
              <w:rPr>
                <w:spacing w:val="-5"/>
                <w:sz w:val="14"/>
              </w:rPr>
              <w:t>Fee</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2"/>
                <w:sz w:val="14"/>
              </w:rPr>
              <w:t>20.50</w:t>
            </w:r>
          </w:p>
        </w:tc>
        <w:tc>
          <w:tcPr>
            <w:tcW w:w="995" w:type="dxa"/>
          </w:tcPr>
          <w:p>
            <w:pPr>
              <w:pStyle w:val="TableParagraph"/>
              <w:spacing w:line="140" w:lineRule="exact" w:before="17"/>
              <w:ind w:right="101"/>
              <w:jc w:val="right"/>
              <w:rPr>
                <w:sz w:val="14"/>
              </w:rPr>
            </w:pPr>
            <w:r>
              <w:rPr>
                <w:spacing w:val="-2"/>
                <w:sz w:val="14"/>
              </w:rPr>
              <w:t>28.53</w:t>
            </w:r>
          </w:p>
        </w:tc>
        <w:tc>
          <w:tcPr>
            <w:tcW w:w="861" w:type="dxa"/>
          </w:tcPr>
          <w:p>
            <w:pPr>
              <w:pStyle w:val="TableParagraph"/>
              <w:spacing w:line="140" w:lineRule="exact" w:before="17"/>
              <w:ind w:left="288"/>
              <w:rPr>
                <w:sz w:val="14"/>
              </w:rPr>
            </w:pPr>
            <w:r>
              <w:rPr>
                <w:spacing w:val="-4"/>
                <w:sz w:val="14"/>
              </w:rPr>
              <w:t>28.1</w:t>
            </w:r>
          </w:p>
        </w:tc>
      </w:tr>
      <w:tr>
        <w:trPr>
          <w:trHeight w:val="177" w:hRule="atLeast"/>
        </w:trPr>
        <w:tc>
          <w:tcPr>
            <w:tcW w:w="5794" w:type="dxa"/>
          </w:tcPr>
          <w:p>
            <w:pPr>
              <w:pStyle w:val="TableParagraph"/>
              <w:spacing w:line="140" w:lineRule="exact" w:before="17"/>
              <w:ind w:left="107"/>
              <w:rPr>
                <w:b/>
                <w:sz w:val="14"/>
              </w:rPr>
            </w:pPr>
            <w:r>
              <w:rPr>
                <w:b/>
                <w:sz w:val="14"/>
              </w:rPr>
              <w:t>Aged</w:t>
            </w:r>
            <w:r>
              <w:rPr>
                <w:b/>
                <w:spacing w:val="-5"/>
                <w:sz w:val="14"/>
              </w:rPr>
              <w:t> </w:t>
            </w:r>
            <w:r>
              <w:rPr>
                <w:b/>
                <w:sz w:val="14"/>
              </w:rPr>
              <w:t>and</w:t>
            </w:r>
            <w:r>
              <w:rPr>
                <w:b/>
                <w:spacing w:val="-5"/>
                <w:sz w:val="14"/>
              </w:rPr>
              <w:t> </w:t>
            </w:r>
            <w:r>
              <w:rPr>
                <w:b/>
                <w:sz w:val="14"/>
              </w:rPr>
              <w:t>Disability</w:t>
            </w:r>
            <w:r>
              <w:rPr>
                <w:b/>
                <w:spacing w:val="-4"/>
                <w:sz w:val="14"/>
              </w:rPr>
              <w:t> </w:t>
            </w:r>
            <w:r>
              <w:rPr>
                <w:b/>
                <w:spacing w:val="-2"/>
                <w:sz w:val="14"/>
              </w:rPr>
              <w:t>Services</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352" w:hRule="atLeast"/>
        </w:trPr>
        <w:tc>
          <w:tcPr>
            <w:tcW w:w="5794" w:type="dxa"/>
          </w:tcPr>
          <w:p>
            <w:pPr>
              <w:pStyle w:val="TableParagraph"/>
              <w:spacing w:line="160" w:lineRule="atLeast" w:before="11"/>
              <w:ind w:left="107" w:right="174"/>
              <w:rPr>
                <w:sz w:val="14"/>
              </w:rPr>
            </w:pPr>
            <w:r>
              <w:rPr>
                <w:sz w:val="14"/>
              </w:rPr>
              <w:t>Guest</w:t>
            </w:r>
            <w:r>
              <w:rPr>
                <w:spacing w:val="-5"/>
                <w:sz w:val="14"/>
              </w:rPr>
              <w:t> </w:t>
            </w:r>
            <w:r>
              <w:rPr>
                <w:sz w:val="14"/>
              </w:rPr>
              <w:t>Speaking</w:t>
            </w:r>
            <w:r>
              <w:rPr>
                <w:spacing w:val="-5"/>
                <w:sz w:val="14"/>
              </w:rPr>
              <w:t> </w:t>
            </w:r>
            <w:r>
              <w:rPr>
                <w:sz w:val="14"/>
              </w:rPr>
              <w:t>Presentation</w:t>
            </w:r>
            <w:r>
              <w:rPr>
                <w:spacing w:val="-5"/>
                <w:sz w:val="14"/>
              </w:rPr>
              <w:t> </w:t>
            </w:r>
            <w:r>
              <w:rPr>
                <w:sz w:val="14"/>
              </w:rPr>
              <w:t>fee</w:t>
            </w:r>
            <w:r>
              <w:rPr>
                <w:spacing w:val="-2"/>
                <w:sz w:val="14"/>
              </w:rPr>
              <w:t> </w:t>
            </w:r>
            <w:r>
              <w:rPr>
                <w:sz w:val="14"/>
              </w:rPr>
              <w:t>(hour)</w:t>
            </w:r>
            <w:r>
              <w:rPr>
                <w:spacing w:val="-5"/>
                <w:sz w:val="14"/>
              </w:rPr>
              <w:t> </w:t>
            </w:r>
            <w:r>
              <w:rPr>
                <w:sz w:val="14"/>
              </w:rPr>
              <w:t>(provision</w:t>
            </w:r>
            <w:r>
              <w:rPr>
                <w:spacing w:val="-5"/>
                <w:sz w:val="14"/>
              </w:rPr>
              <w:t> </w:t>
            </w:r>
            <w:r>
              <w:rPr>
                <w:sz w:val="14"/>
              </w:rPr>
              <w:t>to</w:t>
            </w:r>
            <w:r>
              <w:rPr>
                <w:spacing w:val="-2"/>
                <w:sz w:val="14"/>
              </w:rPr>
              <w:t> </w:t>
            </w:r>
            <w:r>
              <w:rPr>
                <w:sz w:val="14"/>
              </w:rPr>
              <w:t>reduce</w:t>
            </w:r>
            <w:r>
              <w:rPr>
                <w:spacing w:val="-5"/>
                <w:sz w:val="14"/>
              </w:rPr>
              <w:t> </w:t>
            </w:r>
            <w:r>
              <w:rPr>
                <w:sz w:val="14"/>
              </w:rPr>
              <w:t>to</w:t>
            </w:r>
            <w:r>
              <w:rPr>
                <w:spacing w:val="-6"/>
                <w:sz w:val="14"/>
              </w:rPr>
              <w:t> </w:t>
            </w:r>
            <w:r>
              <w:rPr>
                <w:sz w:val="14"/>
              </w:rPr>
              <w:t>75%/50%/waiver</w:t>
            </w:r>
            <w:r>
              <w:rPr>
                <w:spacing w:val="40"/>
                <w:sz w:val="14"/>
              </w:rPr>
              <w:t> </w:t>
            </w:r>
            <w:r>
              <w:rPr>
                <w:sz w:val="14"/>
              </w:rPr>
              <w:t>considering nature of group)</w:t>
            </w:r>
          </w:p>
        </w:tc>
        <w:tc>
          <w:tcPr>
            <w:tcW w:w="1131" w:type="dxa"/>
          </w:tcPr>
          <w:p>
            <w:pPr>
              <w:pStyle w:val="TableParagraph"/>
              <w:spacing w:before="8"/>
              <w:rPr>
                <w:sz w:val="16"/>
              </w:rPr>
            </w:pPr>
          </w:p>
          <w:p>
            <w:pPr>
              <w:pStyle w:val="TableParagraph"/>
              <w:spacing w:line="140" w:lineRule="exact"/>
              <w:ind w:left="5"/>
              <w:jc w:val="center"/>
              <w:rPr>
                <w:sz w:val="14"/>
              </w:rPr>
            </w:pPr>
            <w:r>
              <w:rPr>
                <w:w w:val="99"/>
                <w:sz w:val="14"/>
              </w:rPr>
              <w:t>N</w:t>
            </w:r>
          </w:p>
        </w:tc>
        <w:tc>
          <w:tcPr>
            <w:tcW w:w="567" w:type="dxa"/>
          </w:tcPr>
          <w:p>
            <w:pPr>
              <w:pStyle w:val="TableParagraph"/>
              <w:spacing w:before="8"/>
              <w:rPr>
                <w:sz w:val="16"/>
              </w:rPr>
            </w:pPr>
          </w:p>
          <w:p>
            <w:pPr>
              <w:pStyle w:val="TableParagraph"/>
              <w:spacing w:line="140" w:lineRule="exact"/>
              <w:ind w:left="190"/>
              <w:rPr>
                <w:sz w:val="14"/>
              </w:rPr>
            </w:pPr>
            <w:r>
              <w:rPr>
                <w:spacing w:val="-5"/>
                <w:sz w:val="14"/>
              </w:rPr>
              <w:t>No</w:t>
            </w:r>
          </w:p>
        </w:tc>
        <w:tc>
          <w:tcPr>
            <w:tcW w:w="997" w:type="dxa"/>
          </w:tcPr>
          <w:p>
            <w:pPr>
              <w:pStyle w:val="TableParagraph"/>
              <w:spacing w:before="8"/>
              <w:rPr>
                <w:sz w:val="16"/>
              </w:rPr>
            </w:pPr>
          </w:p>
          <w:p>
            <w:pPr>
              <w:pStyle w:val="TableParagraph"/>
              <w:spacing w:line="140" w:lineRule="exact"/>
              <w:ind w:right="100"/>
              <w:jc w:val="right"/>
              <w:rPr>
                <w:sz w:val="14"/>
              </w:rPr>
            </w:pPr>
            <w:r>
              <w:rPr>
                <w:spacing w:val="-4"/>
                <w:sz w:val="14"/>
              </w:rPr>
              <w:t>0.00</w:t>
            </w:r>
          </w:p>
        </w:tc>
        <w:tc>
          <w:tcPr>
            <w:tcW w:w="995" w:type="dxa"/>
          </w:tcPr>
          <w:p>
            <w:pPr>
              <w:pStyle w:val="TableParagraph"/>
              <w:spacing w:before="8"/>
              <w:rPr>
                <w:sz w:val="16"/>
              </w:rPr>
            </w:pPr>
          </w:p>
          <w:p>
            <w:pPr>
              <w:pStyle w:val="TableParagraph"/>
              <w:spacing w:line="140" w:lineRule="exact"/>
              <w:ind w:right="102"/>
              <w:jc w:val="right"/>
              <w:rPr>
                <w:sz w:val="14"/>
              </w:rPr>
            </w:pPr>
            <w:r>
              <w:rPr>
                <w:spacing w:val="-2"/>
                <w:sz w:val="14"/>
              </w:rPr>
              <w:t>100.00</w:t>
            </w:r>
          </w:p>
        </w:tc>
        <w:tc>
          <w:tcPr>
            <w:tcW w:w="861" w:type="dxa"/>
          </w:tcPr>
          <w:p>
            <w:pPr>
              <w:pStyle w:val="TableParagraph"/>
              <w:spacing w:before="8"/>
              <w:rPr>
                <w:sz w:val="16"/>
              </w:rPr>
            </w:pPr>
          </w:p>
          <w:p>
            <w:pPr>
              <w:pStyle w:val="TableParagraph"/>
              <w:spacing w:line="140" w:lineRule="exact"/>
              <w:ind w:left="327"/>
              <w:rPr>
                <w:sz w:val="14"/>
              </w:rPr>
            </w:pPr>
            <w:r>
              <w:rPr>
                <w:spacing w:val="-5"/>
                <w:sz w:val="14"/>
              </w:rPr>
              <w:t>0.0</w:t>
            </w:r>
          </w:p>
        </w:tc>
      </w:tr>
      <w:tr>
        <w:trPr>
          <w:trHeight w:val="177" w:hRule="atLeast"/>
        </w:trPr>
        <w:tc>
          <w:tcPr>
            <w:tcW w:w="5794" w:type="dxa"/>
          </w:tcPr>
          <w:p>
            <w:pPr>
              <w:pStyle w:val="TableParagraph"/>
              <w:spacing w:line="140" w:lineRule="exact" w:before="17"/>
              <w:ind w:left="107"/>
              <w:rPr>
                <w:sz w:val="14"/>
              </w:rPr>
            </w:pPr>
            <w:r>
              <w:rPr>
                <w:sz w:val="14"/>
              </w:rPr>
              <w:t>Guest</w:t>
            </w:r>
            <w:r>
              <w:rPr>
                <w:spacing w:val="-7"/>
                <w:sz w:val="14"/>
              </w:rPr>
              <w:t> </w:t>
            </w:r>
            <w:r>
              <w:rPr>
                <w:sz w:val="14"/>
              </w:rPr>
              <w:t>Speaking</w:t>
            </w:r>
            <w:r>
              <w:rPr>
                <w:spacing w:val="-4"/>
                <w:sz w:val="14"/>
              </w:rPr>
              <w:t> </w:t>
            </w:r>
            <w:r>
              <w:rPr>
                <w:sz w:val="14"/>
              </w:rPr>
              <w:t>travel</w:t>
            </w:r>
            <w:r>
              <w:rPr>
                <w:spacing w:val="-4"/>
                <w:sz w:val="14"/>
              </w:rPr>
              <w:t> </w:t>
            </w:r>
            <w:r>
              <w:rPr>
                <w:sz w:val="14"/>
              </w:rPr>
              <w:t>reimbursement</w:t>
            </w:r>
            <w:r>
              <w:rPr>
                <w:spacing w:val="-4"/>
                <w:sz w:val="14"/>
              </w:rPr>
              <w:t> </w:t>
            </w:r>
            <w:r>
              <w:rPr>
                <w:sz w:val="14"/>
              </w:rPr>
              <w:t>per</w:t>
            </w:r>
            <w:r>
              <w:rPr>
                <w:spacing w:val="-4"/>
                <w:sz w:val="14"/>
              </w:rPr>
              <w:t> </w:t>
            </w:r>
            <w:r>
              <w:rPr>
                <w:spacing w:val="-5"/>
                <w:sz w:val="14"/>
              </w:rPr>
              <w:t>km</w:t>
            </w:r>
          </w:p>
        </w:tc>
        <w:tc>
          <w:tcPr>
            <w:tcW w:w="1131" w:type="dxa"/>
          </w:tcPr>
          <w:p>
            <w:pPr>
              <w:pStyle w:val="TableParagraph"/>
              <w:spacing w:line="140" w:lineRule="exact" w:before="17"/>
              <w:ind w:left="5"/>
              <w:jc w:val="center"/>
              <w:rPr>
                <w:sz w:val="14"/>
              </w:rPr>
            </w:pPr>
            <w:r>
              <w:rPr>
                <w:w w:val="99"/>
                <w:sz w:val="14"/>
              </w:rPr>
              <w:t>N</w:t>
            </w:r>
          </w:p>
        </w:tc>
        <w:tc>
          <w:tcPr>
            <w:tcW w:w="567" w:type="dxa"/>
          </w:tcPr>
          <w:p>
            <w:pPr>
              <w:pStyle w:val="TableParagraph"/>
              <w:spacing w:line="140" w:lineRule="exact" w:before="17"/>
              <w:ind w:left="190"/>
              <w:rPr>
                <w:sz w:val="14"/>
              </w:rPr>
            </w:pPr>
            <w:r>
              <w:rPr>
                <w:spacing w:val="-5"/>
                <w:sz w:val="14"/>
              </w:rPr>
              <w:t>No</w:t>
            </w:r>
          </w:p>
        </w:tc>
        <w:tc>
          <w:tcPr>
            <w:tcW w:w="997" w:type="dxa"/>
          </w:tcPr>
          <w:p>
            <w:pPr>
              <w:pStyle w:val="TableParagraph"/>
              <w:spacing w:line="140" w:lineRule="exact" w:before="17"/>
              <w:ind w:right="100"/>
              <w:jc w:val="right"/>
              <w:rPr>
                <w:sz w:val="14"/>
              </w:rPr>
            </w:pPr>
            <w:r>
              <w:rPr>
                <w:spacing w:val="-4"/>
                <w:sz w:val="14"/>
              </w:rPr>
              <w:t>0.00</w:t>
            </w:r>
          </w:p>
        </w:tc>
        <w:tc>
          <w:tcPr>
            <w:tcW w:w="995" w:type="dxa"/>
          </w:tcPr>
          <w:p>
            <w:pPr>
              <w:pStyle w:val="TableParagraph"/>
              <w:spacing w:line="140" w:lineRule="exact" w:before="17"/>
              <w:ind w:right="101"/>
              <w:jc w:val="right"/>
              <w:rPr>
                <w:sz w:val="14"/>
              </w:rPr>
            </w:pPr>
            <w:r>
              <w:rPr>
                <w:spacing w:val="-4"/>
                <w:sz w:val="14"/>
              </w:rPr>
              <w:t>0.90</w:t>
            </w:r>
          </w:p>
        </w:tc>
        <w:tc>
          <w:tcPr>
            <w:tcW w:w="861" w:type="dxa"/>
          </w:tcPr>
          <w:p>
            <w:pPr>
              <w:pStyle w:val="TableParagraph"/>
              <w:spacing w:line="140" w:lineRule="exact" w:before="17"/>
              <w:ind w:left="327"/>
              <w:rPr>
                <w:sz w:val="14"/>
              </w:rPr>
            </w:pPr>
            <w:r>
              <w:rPr>
                <w:spacing w:val="-5"/>
                <w:sz w:val="14"/>
              </w:rPr>
              <w:t>0.0</w:t>
            </w:r>
          </w:p>
        </w:tc>
      </w:tr>
      <w:tr>
        <w:trPr>
          <w:trHeight w:val="270" w:hRule="atLeast"/>
        </w:trPr>
        <w:tc>
          <w:tcPr>
            <w:tcW w:w="5794" w:type="dxa"/>
            <w:tcBorders>
              <w:bottom w:val="single" w:sz="18" w:space="0" w:color="000000"/>
            </w:tcBorders>
            <w:shd w:val="clear" w:color="auto" w:fill="D8D8D8"/>
          </w:tcPr>
          <w:p>
            <w:pPr>
              <w:pStyle w:val="TableParagraph"/>
              <w:spacing w:line="217" w:lineRule="exact" w:before="33"/>
              <w:ind w:left="107"/>
              <w:rPr>
                <w:b/>
                <w:sz w:val="22"/>
              </w:rPr>
            </w:pPr>
            <w:r>
              <w:rPr>
                <w:b/>
                <w:sz w:val="22"/>
              </w:rPr>
              <w:t>Communications</w:t>
            </w:r>
            <w:r>
              <w:rPr>
                <w:b/>
                <w:spacing w:val="-7"/>
                <w:sz w:val="22"/>
              </w:rPr>
              <w:t> </w:t>
            </w:r>
            <w:r>
              <w:rPr>
                <w:b/>
                <w:sz w:val="22"/>
              </w:rPr>
              <w:t>&amp;</w:t>
            </w:r>
            <w:r>
              <w:rPr>
                <w:b/>
                <w:spacing w:val="-5"/>
                <w:sz w:val="22"/>
              </w:rPr>
              <w:t> </w:t>
            </w:r>
            <w:r>
              <w:rPr>
                <w:b/>
                <w:sz w:val="22"/>
              </w:rPr>
              <w:t>Citizen</w:t>
            </w:r>
            <w:r>
              <w:rPr>
                <w:b/>
                <w:spacing w:val="-4"/>
                <w:sz w:val="22"/>
              </w:rPr>
              <w:t> </w:t>
            </w:r>
            <w:r>
              <w:rPr>
                <w:b/>
                <w:spacing w:val="-2"/>
                <w:sz w:val="22"/>
              </w:rPr>
              <w:t>Experience</w:t>
            </w:r>
          </w:p>
        </w:tc>
        <w:tc>
          <w:tcPr>
            <w:tcW w:w="1131" w:type="dxa"/>
            <w:shd w:val="clear" w:color="auto" w:fill="D8D8D8"/>
          </w:tcPr>
          <w:p>
            <w:pPr>
              <w:pStyle w:val="TableParagraph"/>
              <w:rPr>
                <w:rFonts w:ascii="Times New Roman"/>
                <w:sz w:val="14"/>
              </w:rPr>
            </w:pPr>
          </w:p>
        </w:tc>
        <w:tc>
          <w:tcPr>
            <w:tcW w:w="567" w:type="dxa"/>
            <w:shd w:val="clear" w:color="auto" w:fill="D8D8D8"/>
          </w:tcPr>
          <w:p>
            <w:pPr>
              <w:pStyle w:val="TableParagraph"/>
              <w:rPr>
                <w:rFonts w:ascii="Times New Roman"/>
                <w:sz w:val="14"/>
              </w:rPr>
            </w:pPr>
          </w:p>
        </w:tc>
        <w:tc>
          <w:tcPr>
            <w:tcW w:w="997" w:type="dxa"/>
            <w:shd w:val="clear" w:color="auto" w:fill="D8D8D8"/>
          </w:tcPr>
          <w:p>
            <w:pPr>
              <w:pStyle w:val="TableParagraph"/>
              <w:rPr>
                <w:rFonts w:ascii="Times New Roman"/>
                <w:sz w:val="14"/>
              </w:rPr>
            </w:pPr>
          </w:p>
        </w:tc>
        <w:tc>
          <w:tcPr>
            <w:tcW w:w="995" w:type="dxa"/>
            <w:shd w:val="clear" w:color="auto" w:fill="D8D8D8"/>
          </w:tcPr>
          <w:p>
            <w:pPr>
              <w:pStyle w:val="TableParagraph"/>
              <w:rPr>
                <w:rFonts w:ascii="Times New Roman"/>
                <w:sz w:val="14"/>
              </w:rPr>
            </w:pPr>
          </w:p>
        </w:tc>
        <w:tc>
          <w:tcPr>
            <w:tcW w:w="861" w:type="dxa"/>
            <w:shd w:val="clear" w:color="auto" w:fill="D8D8D8"/>
          </w:tcPr>
          <w:p>
            <w:pPr>
              <w:pStyle w:val="TableParagraph"/>
              <w:rPr>
                <w:rFonts w:ascii="Times New Roman"/>
                <w:sz w:val="14"/>
              </w:rPr>
            </w:pPr>
          </w:p>
        </w:tc>
      </w:tr>
      <w:tr>
        <w:trPr>
          <w:trHeight w:val="159" w:hRule="atLeast"/>
        </w:trPr>
        <w:tc>
          <w:tcPr>
            <w:tcW w:w="5794" w:type="dxa"/>
            <w:tcBorders>
              <w:top w:val="single" w:sz="18" w:space="0" w:color="000000"/>
            </w:tcBorders>
          </w:tcPr>
          <w:p>
            <w:pPr>
              <w:pStyle w:val="TableParagraph"/>
              <w:spacing w:line="140" w:lineRule="exact"/>
              <w:ind w:left="107"/>
              <w:rPr>
                <w:b/>
                <w:sz w:val="14"/>
              </w:rPr>
            </w:pPr>
            <w:r>
              <w:rPr>
                <w:b/>
                <w:sz w:val="14"/>
              </w:rPr>
              <w:t>CCE</w:t>
            </w:r>
            <w:r>
              <w:rPr>
                <w:b/>
                <w:spacing w:val="-5"/>
                <w:sz w:val="14"/>
              </w:rPr>
              <w:t> </w:t>
            </w:r>
            <w:r>
              <w:rPr>
                <w:b/>
                <w:sz w:val="14"/>
              </w:rPr>
              <w:t>Film</w:t>
            </w:r>
            <w:r>
              <w:rPr>
                <w:b/>
                <w:spacing w:val="-1"/>
                <w:sz w:val="14"/>
              </w:rPr>
              <w:t> </w:t>
            </w:r>
            <w:r>
              <w:rPr>
                <w:b/>
                <w:spacing w:val="-2"/>
                <w:sz w:val="14"/>
              </w:rPr>
              <w:t>Permit</w:t>
            </w:r>
          </w:p>
        </w:tc>
        <w:tc>
          <w:tcPr>
            <w:tcW w:w="1131" w:type="dxa"/>
          </w:tcPr>
          <w:p>
            <w:pPr>
              <w:pStyle w:val="TableParagraph"/>
              <w:rPr>
                <w:rFonts w:ascii="Times New Roman"/>
                <w:sz w:val="10"/>
              </w:rPr>
            </w:pPr>
          </w:p>
        </w:tc>
        <w:tc>
          <w:tcPr>
            <w:tcW w:w="567" w:type="dxa"/>
          </w:tcPr>
          <w:p>
            <w:pPr>
              <w:pStyle w:val="TableParagraph"/>
              <w:rPr>
                <w:rFonts w:ascii="Times New Roman"/>
                <w:sz w:val="10"/>
              </w:rPr>
            </w:pPr>
          </w:p>
        </w:tc>
        <w:tc>
          <w:tcPr>
            <w:tcW w:w="997" w:type="dxa"/>
          </w:tcPr>
          <w:p>
            <w:pPr>
              <w:pStyle w:val="TableParagraph"/>
              <w:rPr>
                <w:rFonts w:ascii="Times New Roman"/>
                <w:sz w:val="10"/>
              </w:rPr>
            </w:pPr>
          </w:p>
        </w:tc>
        <w:tc>
          <w:tcPr>
            <w:tcW w:w="995" w:type="dxa"/>
          </w:tcPr>
          <w:p>
            <w:pPr>
              <w:pStyle w:val="TableParagraph"/>
              <w:rPr>
                <w:rFonts w:ascii="Times New Roman"/>
                <w:sz w:val="10"/>
              </w:rPr>
            </w:pPr>
          </w:p>
        </w:tc>
        <w:tc>
          <w:tcPr>
            <w:tcW w:w="861" w:type="dxa"/>
          </w:tcPr>
          <w:p>
            <w:pPr>
              <w:pStyle w:val="TableParagraph"/>
              <w:rPr>
                <w:rFonts w:ascii="Times New Roman"/>
                <w:sz w:val="10"/>
              </w:rPr>
            </w:pPr>
          </w:p>
        </w:tc>
      </w:tr>
      <w:tr>
        <w:trPr>
          <w:trHeight w:val="174" w:hRule="atLeast"/>
        </w:trPr>
        <w:tc>
          <w:tcPr>
            <w:tcW w:w="5794" w:type="dxa"/>
          </w:tcPr>
          <w:p>
            <w:pPr>
              <w:pStyle w:val="TableParagraph"/>
              <w:spacing w:line="140" w:lineRule="exact" w:before="15"/>
              <w:ind w:left="107"/>
              <w:rPr>
                <w:sz w:val="14"/>
              </w:rPr>
            </w:pPr>
            <w:r>
              <w:rPr>
                <w:sz w:val="14"/>
              </w:rPr>
              <w:t>Low</w:t>
            </w:r>
            <w:r>
              <w:rPr>
                <w:spacing w:val="-5"/>
                <w:sz w:val="14"/>
              </w:rPr>
              <w:t> </w:t>
            </w:r>
            <w:r>
              <w:rPr>
                <w:sz w:val="14"/>
              </w:rPr>
              <w:t>Impact</w:t>
            </w:r>
            <w:r>
              <w:rPr>
                <w:spacing w:val="-3"/>
                <w:sz w:val="14"/>
              </w:rPr>
              <w:t> </w:t>
            </w:r>
            <w:r>
              <w:rPr>
                <w:sz w:val="14"/>
              </w:rPr>
              <w:t>Filming</w:t>
            </w:r>
            <w:r>
              <w:rPr>
                <w:spacing w:val="-6"/>
                <w:sz w:val="14"/>
              </w:rPr>
              <w:t> </w:t>
            </w:r>
            <w:r>
              <w:rPr>
                <w:sz w:val="14"/>
              </w:rPr>
              <w:t>Permit</w:t>
            </w:r>
            <w:r>
              <w:rPr>
                <w:spacing w:val="-3"/>
                <w:sz w:val="14"/>
              </w:rPr>
              <w:t> </w:t>
            </w:r>
            <w:r>
              <w:rPr>
                <w:spacing w:val="-2"/>
                <w:sz w:val="14"/>
              </w:rPr>
              <w:t>application</w:t>
            </w:r>
          </w:p>
        </w:tc>
        <w:tc>
          <w:tcPr>
            <w:tcW w:w="1131" w:type="dxa"/>
          </w:tcPr>
          <w:p>
            <w:pPr>
              <w:pStyle w:val="TableParagraph"/>
              <w:spacing w:line="140" w:lineRule="exact" w:before="15"/>
              <w:ind w:left="5"/>
              <w:jc w:val="center"/>
              <w:rPr>
                <w:sz w:val="14"/>
              </w:rPr>
            </w:pPr>
            <w:r>
              <w:rPr>
                <w:w w:val="99"/>
                <w:sz w:val="14"/>
              </w:rPr>
              <w:t>N</w:t>
            </w:r>
          </w:p>
        </w:tc>
        <w:tc>
          <w:tcPr>
            <w:tcW w:w="567" w:type="dxa"/>
          </w:tcPr>
          <w:p>
            <w:pPr>
              <w:pStyle w:val="TableParagraph"/>
              <w:spacing w:line="140" w:lineRule="exact" w:before="15"/>
              <w:ind w:left="159"/>
              <w:rPr>
                <w:sz w:val="14"/>
              </w:rPr>
            </w:pPr>
            <w:r>
              <w:rPr>
                <w:spacing w:val="-5"/>
                <w:sz w:val="14"/>
              </w:rPr>
              <w:t>Yes</w:t>
            </w:r>
          </w:p>
        </w:tc>
        <w:tc>
          <w:tcPr>
            <w:tcW w:w="997" w:type="dxa"/>
          </w:tcPr>
          <w:p>
            <w:pPr>
              <w:pStyle w:val="TableParagraph"/>
              <w:spacing w:line="140" w:lineRule="exact" w:before="15"/>
              <w:ind w:right="100"/>
              <w:jc w:val="right"/>
              <w:rPr>
                <w:sz w:val="14"/>
              </w:rPr>
            </w:pPr>
            <w:r>
              <w:rPr>
                <w:spacing w:val="-4"/>
                <w:sz w:val="14"/>
              </w:rPr>
              <w:t>0.00</w:t>
            </w:r>
          </w:p>
        </w:tc>
        <w:tc>
          <w:tcPr>
            <w:tcW w:w="995" w:type="dxa"/>
          </w:tcPr>
          <w:p>
            <w:pPr>
              <w:pStyle w:val="TableParagraph"/>
              <w:spacing w:line="140" w:lineRule="exact" w:before="15"/>
              <w:ind w:right="101"/>
              <w:jc w:val="right"/>
              <w:rPr>
                <w:sz w:val="14"/>
              </w:rPr>
            </w:pPr>
            <w:r>
              <w:rPr>
                <w:spacing w:val="-2"/>
                <w:sz w:val="14"/>
              </w:rPr>
              <w:t>75.00</w:t>
            </w:r>
          </w:p>
        </w:tc>
        <w:tc>
          <w:tcPr>
            <w:tcW w:w="861" w:type="dxa"/>
          </w:tcPr>
          <w:p>
            <w:pPr>
              <w:pStyle w:val="TableParagraph"/>
              <w:spacing w:line="140" w:lineRule="exact" w:before="15"/>
              <w:ind w:left="327"/>
              <w:rPr>
                <w:sz w:val="14"/>
              </w:rPr>
            </w:pPr>
            <w:r>
              <w:rPr>
                <w:spacing w:val="-5"/>
                <w:sz w:val="14"/>
              </w:rPr>
              <w:t>0.0</w:t>
            </w:r>
          </w:p>
        </w:tc>
      </w:tr>
      <w:tr>
        <w:trPr>
          <w:trHeight w:val="179" w:hRule="atLeast"/>
        </w:trPr>
        <w:tc>
          <w:tcPr>
            <w:tcW w:w="5794" w:type="dxa"/>
          </w:tcPr>
          <w:p>
            <w:pPr>
              <w:pStyle w:val="TableParagraph"/>
              <w:spacing w:line="142" w:lineRule="exact" w:before="17"/>
              <w:ind w:left="107"/>
              <w:rPr>
                <w:sz w:val="14"/>
              </w:rPr>
            </w:pPr>
            <w:r>
              <w:rPr>
                <w:sz w:val="14"/>
              </w:rPr>
              <w:t>High</w:t>
            </w:r>
            <w:r>
              <w:rPr>
                <w:spacing w:val="-6"/>
                <w:sz w:val="14"/>
              </w:rPr>
              <w:t> </w:t>
            </w:r>
            <w:r>
              <w:rPr>
                <w:sz w:val="14"/>
              </w:rPr>
              <w:t>Impact</w:t>
            </w:r>
            <w:r>
              <w:rPr>
                <w:spacing w:val="-4"/>
                <w:sz w:val="14"/>
              </w:rPr>
              <w:t> </w:t>
            </w:r>
            <w:r>
              <w:rPr>
                <w:sz w:val="14"/>
              </w:rPr>
              <w:t>Filming</w:t>
            </w:r>
            <w:r>
              <w:rPr>
                <w:spacing w:val="-4"/>
                <w:sz w:val="14"/>
              </w:rPr>
              <w:t> </w:t>
            </w:r>
            <w:r>
              <w:rPr>
                <w:sz w:val="14"/>
              </w:rPr>
              <w:t>Permit</w:t>
            </w:r>
            <w:r>
              <w:rPr>
                <w:spacing w:val="-3"/>
                <w:sz w:val="14"/>
              </w:rPr>
              <w:t> </w:t>
            </w:r>
            <w:r>
              <w:rPr>
                <w:spacing w:val="-2"/>
                <w:sz w:val="14"/>
              </w:rPr>
              <w:t>application</w:t>
            </w:r>
          </w:p>
        </w:tc>
        <w:tc>
          <w:tcPr>
            <w:tcW w:w="1131" w:type="dxa"/>
          </w:tcPr>
          <w:p>
            <w:pPr>
              <w:pStyle w:val="TableParagraph"/>
              <w:spacing w:line="142" w:lineRule="exact" w:before="17"/>
              <w:ind w:left="5"/>
              <w:jc w:val="center"/>
              <w:rPr>
                <w:sz w:val="14"/>
              </w:rPr>
            </w:pPr>
            <w:r>
              <w:rPr>
                <w:w w:val="99"/>
                <w:sz w:val="14"/>
              </w:rPr>
              <w:t>N</w:t>
            </w:r>
          </w:p>
        </w:tc>
        <w:tc>
          <w:tcPr>
            <w:tcW w:w="567" w:type="dxa"/>
          </w:tcPr>
          <w:p>
            <w:pPr>
              <w:pStyle w:val="TableParagraph"/>
              <w:spacing w:line="142" w:lineRule="exact" w:before="17"/>
              <w:ind w:left="159"/>
              <w:rPr>
                <w:sz w:val="14"/>
              </w:rPr>
            </w:pPr>
            <w:r>
              <w:rPr>
                <w:spacing w:val="-5"/>
                <w:sz w:val="14"/>
              </w:rPr>
              <w:t>Yes</w:t>
            </w:r>
          </w:p>
        </w:tc>
        <w:tc>
          <w:tcPr>
            <w:tcW w:w="997" w:type="dxa"/>
          </w:tcPr>
          <w:p>
            <w:pPr>
              <w:pStyle w:val="TableParagraph"/>
              <w:spacing w:line="142" w:lineRule="exact" w:before="17"/>
              <w:ind w:right="100"/>
              <w:jc w:val="right"/>
              <w:rPr>
                <w:sz w:val="14"/>
              </w:rPr>
            </w:pPr>
            <w:r>
              <w:rPr>
                <w:spacing w:val="-4"/>
                <w:sz w:val="14"/>
              </w:rPr>
              <w:t>0.00</w:t>
            </w:r>
          </w:p>
        </w:tc>
        <w:tc>
          <w:tcPr>
            <w:tcW w:w="995" w:type="dxa"/>
          </w:tcPr>
          <w:p>
            <w:pPr>
              <w:pStyle w:val="TableParagraph"/>
              <w:spacing w:line="142" w:lineRule="exact" w:before="17"/>
              <w:ind w:right="102"/>
              <w:jc w:val="right"/>
              <w:rPr>
                <w:sz w:val="14"/>
              </w:rPr>
            </w:pPr>
            <w:r>
              <w:rPr>
                <w:spacing w:val="-2"/>
                <w:sz w:val="14"/>
              </w:rPr>
              <w:t>490.00</w:t>
            </w:r>
          </w:p>
        </w:tc>
        <w:tc>
          <w:tcPr>
            <w:tcW w:w="861" w:type="dxa"/>
          </w:tcPr>
          <w:p>
            <w:pPr>
              <w:pStyle w:val="TableParagraph"/>
              <w:spacing w:line="142" w:lineRule="exact" w:before="17"/>
              <w:ind w:left="327"/>
              <w:rPr>
                <w:sz w:val="14"/>
              </w:rPr>
            </w:pPr>
            <w:r>
              <w:rPr>
                <w:spacing w:val="-5"/>
                <w:sz w:val="14"/>
              </w:rPr>
              <w:t>0.0</w:t>
            </w:r>
          </w:p>
        </w:tc>
      </w:tr>
    </w:tbl>
    <w:p>
      <w:pPr>
        <w:spacing w:after="0" w:line="142" w:lineRule="exact"/>
        <w:rPr>
          <w:sz w:val="14"/>
        </w:rPr>
        <w:sectPr>
          <w:type w:val="continuous"/>
          <w:pgSz w:w="11910" w:h="16840"/>
          <w:pgMar w:header="0" w:footer="687" w:top="920" w:bottom="880" w:left="620" w:right="400"/>
        </w:sectPr>
      </w:pPr>
    </w:p>
    <w:p>
      <w:pPr>
        <w:pStyle w:val="BodyText"/>
        <w:ind w:left="100"/>
        <w:rPr>
          <w:sz w:val="20"/>
        </w:rPr>
      </w:pPr>
      <w:r>
        <w:rPr>
          <w:sz w:val="20"/>
        </w:rPr>
        <w:drawing>
          <wp:inline distT="0" distB="0" distL="0" distR="0">
            <wp:extent cx="6694475" cy="8842724"/>
            <wp:effectExtent l="0" t="0" r="0" b="0"/>
            <wp:docPr id="27" name="image27.png"/>
            <wp:cNvGraphicFramePr>
              <a:graphicFrameLocks noChangeAspect="1"/>
            </wp:cNvGraphicFramePr>
            <a:graphic>
              <a:graphicData uri="http://schemas.openxmlformats.org/drawingml/2006/picture">
                <pic:pic>
                  <pic:nvPicPr>
                    <pic:cNvPr id="28" name="image27.png"/>
                    <pic:cNvPicPr/>
                  </pic:nvPicPr>
                  <pic:blipFill>
                    <a:blip r:embed="rId42" cstate="print"/>
                    <a:stretch>
                      <a:fillRect/>
                    </a:stretch>
                  </pic:blipFill>
                  <pic:spPr>
                    <a:xfrm>
                      <a:off x="0" y="0"/>
                      <a:ext cx="6694475" cy="8842724"/>
                    </a:xfrm>
                    <a:prstGeom prst="rect">
                      <a:avLst/>
                    </a:prstGeom>
                  </pic:spPr>
                </pic:pic>
              </a:graphicData>
            </a:graphic>
          </wp:inline>
        </w:drawing>
      </w:r>
      <w:r>
        <w:rPr>
          <w:sz w:val="20"/>
        </w:rPr>
      </w:r>
    </w:p>
    <w:sectPr>
      <w:footerReference w:type="default" r:id="rId41"/>
      <w:pgSz w:w="11910" w:h="16840"/>
      <w:pgMar w:footer="690" w:header="0" w:top="1040" w:bottom="880" w:left="620" w:right="4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Calibri">
    <w:altName w:val="Calibri"/>
    <w:charset w:val="0"/>
    <w:family w:val="swiss"/>
    <w:pitch w:val="variable"/>
  </w:font>
  <w:font w:name="Symbol">
    <w:altName w:val="Symbol"/>
    <w:charset w:val="2"/>
    <w:family w:val="roman"/>
    <w:pitch w:val="variable"/>
  </w:font>
  <w:font w:name="Arial Narrow">
    <w:altName w:val="Arial Narrow"/>
    <w:charset w:val="0"/>
    <w:family w:val="swiss"/>
    <w:pitch w:val="variable"/>
  </w:font>
  <w:font w:name="MS Gothic">
    <w:altName w:val="MS Gothic"/>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55pt;margin-top:797.279968pt;width:4.320007pt;height:9.23996pt;mso-position-horizontal-relative:page;mso-position-vertical-relative:page;z-index:-38070272" id="docshape2" filled="true" fillcolor="#e6e6e6" stroked="false">
          <v:fill type="solid"/>
          <w10:wrap type="none"/>
        </v:rect>
      </w:pict>
    </w:r>
    <w:r>
      <w:rPr/>
      <w:pict>
        <v:shapetype id="_x0000_t202" o:spt="202" coordsize="21600,21600" path="m,l,21600r21600,l21600,xe">
          <v:stroke joinstyle="miter"/>
          <v:path gradientshapeok="t" o:connecttype="rect"/>
        </v:shapetype>
        <v:shape style="position:absolute;margin-left:353.119995pt;margin-top:796.561279pt;width:210.4pt;height:11pt;mso-position-horizontal-relative:page;mso-position-vertical-relative:page;z-index:-38069760" type="#_x0000_t202" id="docshape3"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10"/>
                    <w:sz w:val="16"/>
                  </w:rPr>
                  <w:fldChar w:fldCharType="begin"/>
                </w:r>
                <w:r>
                  <w:rPr>
                    <w:b/>
                    <w:color w:val="2A569A"/>
                    <w:spacing w:val="-10"/>
                    <w:sz w:val="16"/>
                  </w:rPr>
                  <w:instrText> PAGE </w:instrText>
                </w:r>
                <w:r>
                  <w:rPr>
                    <w:b/>
                    <w:color w:val="2A569A"/>
                    <w:spacing w:val="-10"/>
                    <w:sz w:val="16"/>
                  </w:rPr>
                  <w:fldChar w:fldCharType="separate"/>
                </w:r>
                <w:r>
                  <w:rPr>
                    <w:b/>
                    <w:color w:val="2A569A"/>
                    <w:spacing w:val="-10"/>
                    <w:sz w:val="16"/>
                  </w:rPr>
                  <w:t>2</w:t>
                </w:r>
                <w:r>
                  <w:rPr>
                    <w:b/>
                    <w:color w:val="2A569A"/>
                    <w:spacing w:val="-10"/>
                    <w:sz w:val="16"/>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3.519989pt;margin-top:796.561279pt;width:221pt;height:11pt;mso-position-horizontal-relative:page;mso-position-vertical-relative:page;z-index:-38065664" type="#_x0000_t202" id="docshape955"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4"/>
                    <w:sz w:val="16"/>
                  </w:rPr>
                  <w:t> </w:t>
                </w:r>
                <w:r>
                  <w:rPr>
                    <w:sz w:val="16"/>
                  </w:rPr>
                  <w:t>2024/2025</w:t>
                </w:r>
                <w:r>
                  <w:rPr>
                    <w:spacing w:val="-2"/>
                    <w:sz w:val="16"/>
                  </w:rPr>
                  <w:t> </w:t>
                </w:r>
                <w:r>
                  <w:rPr>
                    <w:sz w:val="16"/>
                  </w:rPr>
                  <w:t>|</w:t>
                </w:r>
                <w:r>
                  <w:rPr>
                    <w:spacing w:val="40"/>
                    <w:sz w:val="16"/>
                  </w:rPr>
                  <w:t> </w:t>
                </w:r>
                <w:r>
                  <w:rPr>
                    <w:b/>
                    <w:color w:val="2A569A"/>
                    <w:spacing w:val="-5"/>
                    <w:sz w:val="16"/>
                    <w:shd w:fill="E6E6E6" w:color="auto" w:val="clear"/>
                  </w:rPr>
                  <w:fldChar w:fldCharType="begin"/>
                </w:r>
                <w:r>
                  <w:rPr>
                    <w:b/>
                    <w:color w:val="2A569A"/>
                    <w:spacing w:val="-5"/>
                    <w:sz w:val="16"/>
                    <w:shd w:fill="E6E6E6" w:color="auto" w:val="clear"/>
                  </w:rPr>
                  <w:instrText> PAGE </w:instrText>
                </w:r>
                <w:r>
                  <w:rPr>
                    <w:b/>
                    <w:color w:val="2A569A"/>
                    <w:spacing w:val="-5"/>
                    <w:sz w:val="16"/>
                    <w:shd w:fill="E6E6E6" w:color="auto" w:val="clear"/>
                  </w:rPr>
                  <w:fldChar w:fldCharType="separate"/>
                </w:r>
                <w:r>
                  <w:rPr>
                    <w:b/>
                    <w:color w:val="2A569A"/>
                    <w:spacing w:val="-5"/>
                    <w:sz w:val="16"/>
                    <w:shd w:fill="E6E6E6" w:color="auto" w:val="clear"/>
                  </w:rPr>
                  <w:t>100</w:t>
                </w:r>
                <w:r>
                  <w:rPr>
                    <w:b/>
                    <w:color w:val="2A569A"/>
                    <w:spacing w:val="-5"/>
                    <w:sz w:val="16"/>
                    <w:shd w:fill="E6E6E6" w:color="auto" w:val="clea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3.440002pt;margin-top:796.441223pt;width:214.05pt;height:11pt;mso-position-horizontal-relative:page;mso-position-vertical-relative:page;z-index:-38065152" type="#_x0000_t202" id="docshape956" filled="false" stroked="false">
          <v:textbox inset="0,0,0,0">
            <w:txbxContent>
              <w:p>
                <w:pPr>
                  <w:spacing w:before="15"/>
                  <w:ind w:left="20" w:right="0" w:firstLine="0"/>
                  <w:jc w:val="left"/>
                  <w:rPr>
                    <w:b/>
                    <w:sz w:val="16"/>
                  </w:rPr>
                </w:pPr>
                <w:r>
                  <w:rPr>
                    <w:sz w:val="16"/>
                  </w:rPr>
                  <w:t>MAROONDAH</w:t>
                </w:r>
                <w:r>
                  <w:rPr>
                    <w:spacing w:val="-7"/>
                    <w:sz w:val="16"/>
                  </w:rPr>
                  <w:t> </w:t>
                </w:r>
                <w:r>
                  <w:rPr>
                    <w:sz w:val="16"/>
                  </w:rPr>
                  <w:t>CITY COUNCIL</w:t>
                </w:r>
                <w:r>
                  <w:rPr>
                    <w:spacing w:val="-5"/>
                    <w:sz w:val="16"/>
                  </w:rPr>
                  <w:t> </w:t>
                </w:r>
                <w:r>
                  <w:rPr>
                    <w:sz w:val="16"/>
                  </w:rPr>
                  <w:t>-</w:t>
                </w:r>
                <w:r>
                  <w:rPr>
                    <w:spacing w:val="-5"/>
                    <w:sz w:val="16"/>
                  </w:rPr>
                  <w:t> </w:t>
                </w:r>
                <w:r>
                  <w:rPr>
                    <w:sz w:val="16"/>
                  </w:rPr>
                  <w:t>BUDGET</w:t>
                </w:r>
                <w:r>
                  <w:rPr>
                    <w:spacing w:val="-2"/>
                    <w:sz w:val="16"/>
                  </w:rPr>
                  <w:t> </w:t>
                </w:r>
                <w:r>
                  <w:rPr>
                    <w:sz w:val="16"/>
                  </w:rPr>
                  <w:t>2024/2025|</w:t>
                </w:r>
                <w:r>
                  <w:rPr>
                    <w:spacing w:val="41"/>
                    <w:sz w:val="16"/>
                  </w:rPr>
                  <w:t> </w:t>
                </w:r>
                <w:r>
                  <w:rPr>
                    <w:b/>
                    <w:color w:val="2A569A"/>
                    <w:spacing w:val="-5"/>
                    <w:sz w:val="16"/>
                    <w:shd w:fill="E6E6E6" w:color="auto" w:val="clear"/>
                  </w:rPr>
                  <w:t>108</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55pt;margin-top:797.279968pt;width:4.320007pt;height:9.23996pt;mso-position-horizontal-relative:page;mso-position-vertical-relative:page;z-index:-38069248" id="docshape4" filled="true" fillcolor="#e6e6e6" stroked="false">
          <v:fill type="solid"/>
          <w10:wrap type="none"/>
        </v:rect>
      </w:pict>
    </w:r>
    <w:r>
      <w:rPr/>
      <w:pict>
        <v:shape style="position:absolute;margin-left:353.119995pt;margin-top:796.561279pt;width:210.4pt;height:11pt;mso-position-horizontal-relative:page;mso-position-vertical-relative:page;z-index:-38068736" type="#_x0000_t202" id="docshape5"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10"/>
                    <w:sz w:val="16"/>
                  </w:rPr>
                  <w:fldChar w:fldCharType="begin"/>
                </w:r>
                <w:r>
                  <w:rPr>
                    <w:b/>
                    <w:color w:val="2A569A"/>
                    <w:spacing w:val="-10"/>
                    <w:sz w:val="16"/>
                  </w:rPr>
                  <w:instrText> PAGE </w:instrText>
                </w:r>
                <w:r>
                  <w:rPr>
                    <w:b/>
                    <w:color w:val="2A569A"/>
                    <w:spacing w:val="-10"/>
                    <w:sz w:val="16"/>
                  </w:rPr>
                  <w:fldChar w:fldCharType="separate"/>
                </w:r>
                <w:r>
                  <w:rPr>
                    <w:b/>
                    <w:color w:val="2A569A"/>
                    <w:spacing w:val="-10"/>
                    <w:sz w:val="16"/>
                  </w:rPr>
                  <w:t>5</w:t>
                </w:r>
                <w:r>
                  <w:rPr>
                    <w:b/>
                    <w:color w:val="2A569A"/>
                    <w:spacing w:val="-10"/>
                    <w:sz w:val="16"/>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8.559998pt;margin-top:796.561279pt;width:214.8pt;height:11pt;mso-position-horizontal-relative:page;mso-position-vertical-relative:page;z-index:-38068224" type="#_x0000_t202" id="docshape6"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5"/>
                    <w:sz w:val="16"/>
                    <w:shd w:fill="E6E6E6" w:color="auto" w:val="clear"/>
                  </w:rPr>
                  <w:fldChar w:fldCharType="begin"/>
                </w:r>
                <w:r>
                  <w:rPr>
                    <w:b/>
                    <w:color w:val="2A569A"/>
                    <w:spacing w:val="-5"/>
                    <w:sz w:val="16"/>
                    <w:shd w:fill="E6E6E6" w:color="auto" w:val="clear"/>
                  </w:rPr>
                  <w:instrText> PAGE </w:instrText>
                </w:r>
                <w:r>
                  <w:rPr>
                    <w:b/>
                    <w:color w:val="2A569A"/>
                    <w:spacing w:val="-5"/>
                    <w:sz w:val="16"/>
                    <w:shd w:fill="E6E6E6" w:color="auto" w:val="clear"/>
                  </w:rPr>
                  <w:fldChar w:fldCharType="separate"/>
                </w:r>
                <w:r>
                  <w:rPr>
                    <w:b/>
                    <w:color w:val="2A569A"/>
                    <w:spacing w:val="-5"/>
                    <w:sz w:val="16"/>
                    <w:shd w:fill="E6E6E6" w:color="auto" w:val="clear"/>
                  </w:rPr>
                  <w:t>10</w:t>
                </w:r>
                <w:r>
                  <w:rPr>
                    <w:b/>
                    <w:color w:val="2A569A"/>
                    <w:spacing w:val="-5"/>
                    <w:sz w:val="16"/>
                    <w:shd w:fill="E6E6E6" w:color="auto" w:val="clea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6.23999pt;margin-top:809.641296pt;width:214.8pt;height:11pt;mso-position-horizontal-relative:page;mso-position-vertical-relative:page;z-index:-38067712" type="#_x0000_t202" id="docshape8"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5"/>
                    <w:sz w:val="16"/>
                    <w:shd w:fill="E6E6E6" w:color="auto" w:val="clear"/>
                  </w:rPr>
                  <w:fldChar w:fldCharType="begin"/>
                </w:r>
                <w:r>
                  <w:rPr>
                    <w:b/>
                    <w:color w:val="2A569A"/>
                    <w:spacing w:val="-5"/>
                    <w:sz w:val="16"/>
                    <w:shd w:fill="E6E6E6" w:color="auto" w:val="clear"/>
                  </w:rPr>
                  <w:instrText> PAGE </w:instrText>
                </w:r>
                <w:r>
                  <w:rPr>
                    <w:b/>
                    <w:color w:val="2A569A"/>
                    <w:spacing w:val="-5"/>
                    <w:sz w:val="16"/>
                    <w:shd w:fill="E6E6E6" w:color="auto" w:val="clear"/>
                  </w:rPr>
                  <w:fldChar w:fldCharType="separate"/>
                </w:r>
                <w:r>
                  <w:rPr>
                    <w:b/>
                    <w:color w:val="2A569A"/>
                    <w:spacing w:val="-5"/>
                    <w:sz w:val="16"/>
                    <w:shd w:fill="E6E6E6" w:color="auto" w:val="clear"/>
                  </w:rPr>
                  <w:t>15</w:t>
                </w:r>
                <w:r>
                  <w:rPr>
                    <w:b/>
                    <w:color w:val="2A569A"/>
                    <w:spacing w:val="-5"/>
                    <w:sz w:val="16"/>
                    <w:shd w:fill="E6E6E6" w:color="auto" w:val="clea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95.279968pt;margin-top:557.04187pt;width:214.8pt;height:11pt;mso-position-horizontal-relative:page;mso-position-vertical-relative:page;z-index:-38067200" type="#_x0000_t202" id="docshape60"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2"/>
                    <w:sz w:val="16"/>
                  </w:rPr>
                  <w:t> </w:t>
                </w:r>
                <w:r>
                  <w:rPr>
                    <w:sz w:val="16"/>
                  </w:rPr>
                  <w:t>2024/2025</w:t>
                </w:r>
                <w:r>
                  <w:rPr>
                    <w:spacing w:val="-1"/>
                    <w:sz w:val="16"/>
                  </w:rPr>
                  <w:t> </w:t>
                </w:r>
                <w:r>
                  <w:rPr>
                    <w:sz w:val="16"/>
                  </w:rPr>
                  <w:t>|</w:t>
                </w:r>
                <w:r>
                  <w:rPr>
                    <w:spacing w:val="39"/>
                    <w:sz w:val="16"/>
                  </w:rPr>
                  <w:t> </w:t>
                </w:r>
                <w:r>
                  <w:rPr>
                    <w:b/>
                    <w:color w:val="2A569A"/>
                    <w:spacing w:val="-5"/>
                    <w:sz w:val="16"/>
                    <w:shd w:fill="E6E6E6" w:color="auto" w:val="clear"/>
                  </w:rPr>
                  <w:fldChar w:fldCharType="begin"/>
                </w:r>
                <w:r>
                  <w:rPr>
                    <w:b/>
                    <w:color w:val="2A569A"/>
                    <w:spacing w:val="-5"/>
                    <w:sz w:val="16"/>
                    <w:shd w:fill="E6E6E6" w:color="auto" w:val="clear"/>
                  </w:rPr>
                  <w:instrText> PAGE </w:instrText>
                </w:r>
                <w:r>
                  <w:rPr>
                    <w:b/>
                    <w:color w:val="2A569A"/>
                    <w:spacing w:val="-5"/>
                    <w:sz w:val="16"/>
                    <w:shd w:fill="E6E6E6" w:color="auto" w:val="clear"/>
                  </w:rPr>
                  <w:fldChar w:fldCharType="separate"/>
                </w:r>
                <w:r>
                  <w:rPr>
                    <w:b/>
                    <w:color w:val="2A569A"/>
                    <w:spacing w:val="-5"/>
                    <w:sz w:val="16"/>
                    <w:shd w:fill="E6E6E6" w:color="auto" w:val="clear"/>
                  </w:rPr>
                  <w:t>72</w:t>
                </w:r>
                <w:r>
                  <w:rPr>
                    <w:b/>
                    <w:color w:val="2A569A"/>
                    <w:spacing w:val="-5"/>
                    <w:sz w:val="16"/>
                    <w:shd w:fill="E6E6E6" w:color="auto" w:val="clea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94.679993pt;margin-top:557.04187pt;width:216.6pt;height:11pt;mso-position-horizontal-relative:page;mso-position-vertical-relative:page;z-index:-38066688" type="#_x0000_t202" id="docshape950" filled="false" stroked="false">
          <v:textbox inset="0,0,0,0">
            <w:txbxContent>
              <w:p>
                <w:pPr>
                  <w:spacing w:before="15"/>
                  <w:ind w:left="20" w:right="0" w:firstLine="0"/>
                  <w:jc w:val="left"/>
                  <w:rPr>
                    <w:b/>
                    <w:sz w:val="16"/>
                  </w:rPr>
                </w:pPr>
                <w:r>
                  <w:rPr>
                    <w:sz w:val="16"/>
                  </w:rPr>
                  <w:t>MAROONDAH</w:t>
                </w:r>
                <w:r>
                  <w:rPr>
                    <w:spacing w:val="-4"/>
                    <w:sz w:val="16"/>
                  </w:rPr>
                  <w:t> </w:t>
                </w:r>
                <w:r>
                  <w:rPr>
                    <w:sz w:val="16"/>
                  </w:rPr>
                  <w:t>CITY COUNCIL</w:t>
                </w:r>
                <w:r>
                  <w:rPr>
                    <w:spacing w:val="-5"/>
                    <w:sz w:val="16"/>
                  </w:rPr>
                  <w:t> </w:t>
                </w:r>
                <w:r>
                  <w:rPr>
                    <w:sz w:val="16"/>
                  </w:rPr>
                  <w:t>–</w:t>
                </w:r>
                <w:r>
                  <w:rPr>
                    <w:spacing w:val="-4"/>
                    <w:sz w:val="16"/>
                  </w:rPr>
                  <w:t> </w:t>
                </w:r>
                <w:r>
                  <w:rPr>
                    <w:sz w:val="16"/>
                  </w:rPr>
                  <w:t>BUDGET</w:t>
                </w:r>
                <w:r>
                  <w:rPr>
                    <w:spacing w:val="-4"/>
                    <w:sz w:val="16"/>
                  </w:rPr>
                  <w:t> </w:t>
                </w:r>
                <w:r>
                  <w:rPr>
                    <w:sz w:val="16"/>
                  </w:rPr>
                  <w:t>2024/2025</w:t>
                </w:r>
                <w:r>
                  <w:rPr>
                    <w:spacing w:val="-2"/>
                    <w:sz w:val="16"/>
                  </w:rPr>
                  <w:t> </w:t>
                </w:r>
                <w:r>
                  <w:rPr>
                    <w:sz w:val="16"/>
                  </w:rPr>
                  <w:t>|</w:t>
                </w:r>
                <w:r>
                  <w:rPr>
                    <w:spacing w:val="40"/>
                    <w:sz w:val="16"/>
                  </w:rPr>
                  <w:t> </w:t>
                </w:r>
                <w:r>
                  <w:rPr>
                    <w:b/>
                    <w:color w:val="2A569A"/>
                    <w:spacing w:val="-5"/>
                    <w:sz w:val="16"/>
                    <w:shd w:fill="E6E6E6" w:color="auto" w:val="clear"/>
                  </w:rPr>
                  <w:fldChar w:fldCharType="begin"/>
                </w:r>
                <w:r>
                  <w:rPr>
                    <w:b/>
                    <w:color w:val="2A569A"/>
                    <w:spacing w:val="-5"/>
                    <w:sz w:val="16"/>
                    <w:shd w:fill="E6E6E6" w:color="auto" w:val="clear"/>
                  </w:rPr>
                  <w:instrText> PAGE </w:instrText>
                </w:r>
                <w:r>
                  <w:rPr>
                    <w:b/>
                    <w:color w:val="2A569A"/>
                    <w:spacing w:val="-5"/>
                    <w:sz w:val="16"/>
                    <w:shd w:fill="E6E6E6" w:color="auto" w:val="clear"/>
                  </w:rPr>
                  <w:fldChar w:fldCharType="separate"/>
                </w:r>
                <w:r>
                  <w:rPr>
                    <w:b/>
                    <w:color w:val="2A569A"/>
                    <w:spacing w:val="-5"/>
                    <w:sz w:val="16"/>
                    <w:shd w:fill="E6E6E6" w:color="auto" w:val="clear"/>
                  </w:rPr>
                  <w:t>83</w:t>
                </w:r>
                <w:r>
                  <w:rPr>
                    <w:b/>
                    <w:color w:val="2A569A"/>
                    <w:spacing w:val="-5"/>
                    <w:sz w:val="16"/>
                    <w:shd w:fill="E6E6E6" w:color="auto" w:val="clea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7.880005pt;margin-top:796.561279pt;width:209.65pt;height:11pt;mso-position-horizontal-relative:page;mso-position-vertical-relative:page;z-index:-38066176" type="#_x0000_t202" id="docshape954" filled="false" stroked="false">
          <v:textbox inset="0,0,0,0">
            <w:txbxContent>
              <w:p>
                <w:pPr>
                  <w:spacing w:before="15"/>
                  <w:ind w:left="20" w:right="0" w:firstLine="0"/>
                  <w:jc w:val="left"/>
                  <w:rPr>
                    <w:b/>
                    <w:sz w:val="16"/>
                  </w:rPr>
                </w:pPr>
                <w:r>
                  <w:rPr>
                    <w:sz w:val="16"/>
                  </w:rPr>
                  <w:t>MAROONDAH</w:t>
                </w:r>
                <w:r>
                  <w:rPr>
                    <w:spacing w:val="-7"/>
                    <w:sz w:val="16"/>
                  </w:rPr>
                  <w:t> </w:t>
                </w:r>
                <w:r>
                  <w:rPr>
                    <w:sz w:val="16"/>
                  </w:rPr>
                  <w:t>CITY COUNCIL</w:t>
                </w:r>
                <w:r>
                  <w:rPr>
                    <w:spacing w:val="-5"/>
                    <w:sz w:val="16"/>
                  </w:rPr>
                  <w:t> </w:t>
                </w:r>
                <w:r>
                  <w:rPr>
                    <w:sz w:val="16"/>
                  </w:rPr>
                  <w:t>-</w:t>
                </w:r>
                <w:r>
                  <w:rPr>
                    <w:spacing w:val="-5"/>
                    <w:sz w:val="16"/>
                  </w:rPr>
                  <w:t> </w:t>
                </w:r>
                <w:r>
                  <w:rPr>
                    <w:sz w:val="16"/>
                  </w:rPr>
                  <w:t>BUDGET</w:t>
                </w:r>
                <w:r>
                  <w:rPr>
                    <w:spacing w:val="-2"/>
                    <w:sz w:val="16"/>
                  </w:rPr>
                  <w:t> </w:t>
                </w:r>
                <w:r>
                  <w:rPr>
                    <w:sz w:val="16"/>
                  </w:rPr>
                  <w:t>2024/2025|</w:t>
                </w:r>
                <w:r>
                  <w:rPr>
                    <w:spacing w:val="41"/>
                    <w:sz w:val="16"/>
                  </w:rPr>
                  <w:t> </w:t>
                </w:r>
                <w:r>
                  <w:rPr>
                    <w:b/>
                    <w:color w:val="2A569A"/>
                    <w:spacing w:val="-5"/>
                    <w:sz w:val="16"/>
                    <w:shd w:fill="E6E6E6" w:color="auto" w:val="clear"/>
                  </w:rPr>
                  <w:t>88</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1">
    <w:multiLevelType w:val="hybridMultilevel"/>
    <w:lvl w:ilvl="0">
      <w:start w:val="1"/>
      <w:numFmt w:val="decimal"/>
      <w:lvlText w:val="%1"/>
      <w:lvlJc w:val="left"/>
      <w:pPr>
        <w:ind w:left="686" w:hanging="567"/>
        <w:jc w:val="left"/>
      </w:pPr>
      <w:rPr>
        <w:rFonts w:hint="default" w:ascii="Arial" w:hAnsi="Arial" w:eastAsia="Arial" w:cs="Arial"/>
        <w:b/>
        <w:bCs/>
        <w:i/>
        <w:iCs/>
        <w:w w:val="100"/>
        <w:sz w:val="22"/>
        <w:szCs w:val="22"/>
        <w:lang w:val="en-US" w:eastAsia="en-US" w:bidi="ar-SA"/>
      </w:rPr>
    </w:lvl>
    <w:lvl w:ilvl="1">
      <w:start w:val="0"/>
      <w:numFmt w:val="bullet"/>
      <w:lvlText w:val="•"/>
      <w:lvlJc w:val="left"/>
      <w:pPr>
        <w:ind w:left="2223" w:hanging="567"/>
      </w:pPr>
      <w:rPr>
        <w:rFonts w:hint="default"/>
        <w:lang w:val="en-US" w:eastAsia="en-US" w:bidi="ar-SA"/>
      </w:rPr>
    </w:lvl>
    <w:lvl w:ilvl="2">
      <w:start w:val="0"/>
      <w:numFmt w:val="bullet"/>
      <w:lvlText w:val="•"/>
      <w:lvlJc w:val="left"/>
      <w:pPr>
        <w:ind w:left="3767" w:hanging="567"/>
      </w:pPr>
      <w:rPr>
        <w:rFonts w:hint="default"/>
        <w:lang w:val="en-US" w:eastAsia="en-US" w:bidi="ar-SA"/>
      </w:rPr>
    </w:lvl>
    <w:lvl w:ilvl="3">
      <w:start w:val="0"/>
      <w:numFmt w:val="bullet"/>
      <w:lvlText w:val="•"/>
      <w:lvlJc w:val="left"/>
      <w:pPr>
        <w:ind w:left="5311" w:hanging="567"/>
      </w:pPr>
      <w:rPr>
        <w:rFonts w:hint="default"/>
        <w:lang w:val="en-US" w:eastAsia="en-US" w:bidi="ar-SA"/>
      </w:rPr>
    </w:lvl>
    <w:lvl w:ilvl="4">
      <w:start w:val="0"/>
      <w:numFmt w:val="bullet"/>
      <w:lvlText w:val="•"/>
      <w:lvlJc w:val="left"/>
      <w:pPr>
        <w:ind w:left="6855" w:hanging="567"/>
      </w:pPr>
      <w:rPr>
        <w:rFonts w:hint="default"/>
        <w:lang w:val="en-US" w:eastAsia="en-US" w:bidi="ar-SA"/>
      </w:rPr>
    </w:lvl>
    <w:lvl w:ilvl="5">
      <w:start w:val="0"/>
      <w:numFmt w:val="bullet"/>
      <w:lvlText w:val="•"/>
      <w:lvlJc w:val="left"/>
      <w:pPr>
        <w:ind w:left="8399" w:hanging="567"/>
      </w:pPr>
      <w:rPr>
        <w:rFonts w:hint="default"/>
        <w:lang w:val="en-US" w:eastAsia="en-US" w:bidi="ar-SA"/>
      </w:rPr>
    </w:lvl>
    <w:lvl w:ilvl="6">
      <w:start w:val="0"/>
      <w:numFmt w:val="bullet"/>
      <w:lvlText w:val="•"/>
      <w:lvlJc w:val="left"/>
      <w:pPr>
        <w:ind w:left="9943" w:hanging="567"/>
      </w:pPr>
      <w:rPr>
        <w:rFonts w:hint="default"/>
        <w:lang w:val="en-US" w:eastAsia="en-US" w:bidi="ar-SA"/>
      </w:rPr>
    </w:lvl>
    <w:lvl w:ilvl="7">
      <w:start w:val="0"/>
      <w:numFmt w:val="bullet"/>
      <w:lvlText w:val="•"/>
      <w:lvlJc w:val="left"/>
      <w:pPr>
        <w:ind w:left="11486" w:hanging="567"/>
      </w:pPr>
      <w:rPr>
        <w:rFonts w:hint="default"/>
        <w:lang w:val="en-US" w:eastAsia="en-US" w:bidi="ar-SA"/>
      </w:rPr>
    </w:lvl>
    <w:lvl w:ilvl="8">
      <w:start w:val="0"/>
      <w:numFmt w:val="bullet"/>
      <w:lvlText w:val="•"/>
      <w:lvlJc w:val="left"/>
      <w:pPr>
        <w:ind w:left="13030" w:hanging="567"/>
      </w:pPr>
      <w:rPr>
        <w:rFonts w:hint="default"/>
        <w:lang w:val="en-US" w:eastAsia="en-US" w:bidi="ar-SA"/>
      </w:rPr>
    </w:lvl>
  </w:abstractNum>
  <w:abstractNum w:abstractNumId="20">
    <w:multiLevelType w:val="hybridMultilevel"/>
    <w:lvl w:ilvl="0">
      <w:start w:val="4"/>
      <w:numFmt w:val="decimal"/>
      <w:lvlText w:val="%1"/>
      <w:lvlJc w:val="left"/>
      <w:pPr>
        <w:ind w:left="728" w:hanging="469"/>
        <w:jc w:val="left"/>
      </w:pPr>
      <w:rPr>
        <w:rFonts w:hint="default"/>
        <w:lang w:val="en-US" w:eastAsia="en-US" w:bidi="ar-SA"/>
      </w:rPr>
    </w:lvl>
    <w:lvl w:ilvl="1">
      <w:start w:val="2"/>
      <w:numFmt w:val="decimal"/>
      <w:lvlText w:val="%1.%2"/>
      <w:lvlJc w:val="left"/>
      <w:pPr>
        <w:ind w:left="728" w:hanging="469"/>
        <w:jc w:val="right"/>
      </w:pPr>
      <w:rPr>
        <w:rFonts w:hint="default" w:ascii="Arial" w:hAnsi="Arial" w:eastAsia="Arial" w:cs="Arial"/>
        <w:b/>
        <w:bCs/>
        <w:i w:val="0"/>
        <w:iCs w:val="0"/>
        <w:color w:val="4966AC"/>
        <w:w w:val="100"/>
        <w:sz w:val="28"/>
        <w:szCs w:val="28"/>
        <w:lang w:val="en-US" w:eastAsia="en-US" w:bidi="ar-SA"/>
      </w:rPr>
    </w:lvl>
    <w:lvl w:ilvl="2">
      <w:start w:val="1"/>
      <w:numFmt w:val="decimal"/>
      <w:lvlText w:val="%1.%2.%3"/>
      <w:lvlJc w:val="left"/>
      <w:pPr>
        <w:ind w:left="861" w:hanging="602"/>
        <w:jc w:val="left"/>
      </w:pPr>
      <w:rPr>
        <w:rFonts w:hint="default" w:ascii="Arial" w:hAnsi="Arial" w:eastAsia="Arial" w:cs="Arial"/>
        <w:b/>
        <w:bCs/>
        <w:i w:val="0"/>
        <w:iCs w:val="0"/>
        <w:color w:val="4966AC"/>
        <w:spacing w:val="-2"/>
        <w:w w:val="100"/>
        <w:sz w:val="24"/>
        <w:szCs w:val="24"/>
        <w:lang w:val="en-US" w:eastAsia="en-US" w:bidi="ar-SA"/>
      </w:rPr>
    </w:lvl>
    <w:lvl w:ilvl="3">
      <w:start w:val="0"/>
      <w:numFmt w:val="bullet"/>
      <w:lvlText w:val="•"/>
      <w:lvlJc w:val="left"/>
      <w:pPr>
        <w:ind w:left="3145" w:hanging="602"/>
      </w:pPr>
      <w:rPr>
        <w:rFonts w:hint="default"/>
        <w:lang w:val="en-US" w:eastAsia="en-US" w:bidi="ar-SA"/>
      </w:rPr>
    </w:lvl>
    <w:lvl w:ilvl="4">
      <w:start w:val="0"/>
      <w:numFmt w:val="bullet"/>
      <w:lvlText w:val="•"/>
      <w:lvlJc w:val="left"/>
      <w:pPr>
        <w:ind w:left="4288" w:hanging="602"/>
      </w:pPr>
      <w:rPr>
        <w:rFonts w:hint="default"/>
        <w:lang w:val="en-US" w:eastAsia="en-US" w:bidi="ar-SA"/>
      </w:rPr>
    </w:lvl>
    <w:lvl w:ilvl="5">
      <w:start w:val="0"/>
      <w:numFmt w:val="bullet"/>
      <w:lvlText w:val="•"/>
      <w:lvlJc w:val="left"/>
      <w:pPr>
        <w:ind w:left="5431" w:hanging="602"/>
      </w:pPr>
      <w:rPr>
        <w:rFonts w:hint="default"/>
        <w:lang w:val="en-US" w:eastAsia="en-US" w:bidi="ar-SA"/>
      </w:rPr>
    </w:lvl>
    <w:lvl w:ilvl="6">
      <w:start w:val="0"/>
      <w:numFmt w:val="bullet"/>
      <w:lvlText w:val="•"/>
      <w:lvlJc w:val="left"/>
      <w:pPr>
        <w:ind w:left="6574" w:hanging="602"/>
      </w:pPr>
      <w:rPr>
        <w:rFonts w:hint="default"/>
        <w:lang w:val="en-US" w:eastAsia="en-US" w:bidi="ar-SA"/>
      </w:rPr>
    </w:lvl>
    <w:lvl w:ilvl="7">
      <w:start w:val="0"/>
      <w:numFmt w:val="bullet"/>
      <w:lvlText w:val="•"/>
      <w:lvlJc w:val="left"/>
      <w:pPr>
        <w:ind w:left="7717" w:hanging="602"/>
      </w:pPr>
      <w:rPr>
        <w:rFonts w:hint="default"/>
        <w:lang w:val="en-US" w:eastAsia="en-US" w:bidi="ar-SA"/>
      </w:rPr>
    </w:lvl>
    <w:lvl w:ilvl="8">
      <w:start w:val="0"/>
      <w:numFmt w:val="bullet"/>
      <w:lvlText w:val="•"/>
      <w:lvlJc w:val="left"/>
      <w:pPr>
        <w:ind w:left="8860" w:hanging="602"/>
      </w:pPr>
      <w:rPr>
        <w:rFonts w:hint="default"/>
        <w:lang w:val="en-US" w:eastAsia="en-US" w:bidi="ar-SA"/>
      </w:rPr>
    </w:lvl>
  </w:abstractNum>
  <w:abstractNum w:abstractNumId="19">
    <w:multiLevelType w:val="hybridMultilevel"/>
    <w:lvl w:ilvl="0">
      <w:start w:val="1"/>
      <w:numFmt w:val="decimal"/>
      <w:lvlText w:val="%1."/>
      <w:lvlJc w:val="left"/>
      <w:pPr>
        <w:ind w:left="827" w:hanging="567"/>
        <w:jc w:val="right"/>
      </w:pPr>
      <w:rPr>
        <w:rFonts w:hint="default"/>
        <w:spacing w:val="-2"/>
        <w:w w:val="100"/>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8">
    <w:multiLevelType w:val="hybridMultilevel"/>
    <w:lvl w:ilvl="0">
      <w:start w:val="1"/>
      <w:numFmt w:val="decimal"/>
      <w:lvlText w:val="%1."/>
      <w:lvlJc w:val="left"/>
      <w:pPr>
        <w:ind w:left="827" w:hanging="567"/>
        <w:jc w:val="left"/>
      </w:pPr>
      <w:rPr>
        <w:rFonts w:hint="default" w:ascii="Arial" w:hAnsi="Arial" w:eastAsia="Arial" w:cs="Arial"/>
        <w:b/>
        <w:bCs/>
        <w:i w:val="0"/>
        <w:iCs w:val="0"/>
        <w:spacing w:val="-2"/>
        <w:w w:val="100"/>
        <w:sz w:val="22"/>
        <w:szCs w:val="22"/>
        <w:lang w:val="en-US" w:eastAsia="en-US" w:bidi="ar-SA"/>
      </w:rPr>
    </w:lvl>
    <w:lvl w:ilvl="1">
      <w:start w:val="1"/>
      <w:numFmt w:val="decimal"/>
      <w:lvlText w:val="%1.%2"/>
      <w:lvlJc w:val="left"/>
      <w:pPr>
        <w:ind w:left="826" w:hanging="568"/>
        <w:jc w:val="left"/>
      </w:pPr>
      <w:rPr>
        <w:rFonts w:hint="default" w:ascii="Arial" w:hAnsi="Arial" w:eastAsia="Arial" w:cs="Arial"/>
        <w:b w:val="0"/>
        <w:bCs w:val="0"/>
        <w:i w:val="0"/>
        <w:iCs w:val="0"/>
        <w:spacing w:val="-2"/>
        <w:w w:val="100"/>
        <w:sz w:val="22"/>
        <w:szCs w:val="22"/>
        <w:lang w:val="en-US" w:eastAsia="en-US" w:bidi="ar-SA"/>
      </w:rPr>
    </w:lvl>
    <w:lvl w:ilvl="2">
      <w:start w:val="1"/>
      <w:numFmt w:val="lowerLetter"/>
      <w:lvlText w:val="(%3)"/>
      <w:lvlJc w:val="left"/>
      <w:pPr>
        <w:ind w:left="1392" w:hanging="566"/>
        <w:jc w:val="left"/>
      </w:pPr>
      <w:rPr>
        <w:rFonts w:hint="default" w:ascii="Arial" w:hAnsi="Arial" w:eastAsia="Arial" w:cs="Arial"/>
        <w:b w:val="0"/>
        <w:bCs w:val="0"/>
        <w:i w:val="0"/>
        <w:iCs w:val="0"/>
        <w:spacing w:val="-2"/>
        <w:w w:val="100"/>
        <w:sz w:val="22"/>
        <w:szCs w:val="22"/>
        <w:lang w:val="en-US" w:eastAsia="en-US" w:bidi="ar-SA"/>
      </w:rPr>
    </w:lvl>
    <w:lvl w:ilvl="3">
      <w:start w:val="1"/>
      <w:numFmt w:val="lowerRoman"/>
      <w:lvlText w:val="(%4)"/>
      <w:lvlJc w:val="left"/>
      <w:pPr>
        <w:ind w:left="1960" w:hanging="569"/>
        <w:jc w:val="left"/>
      </w:pPr>
      <w:rPr>
        <w:rFonts w:hint="default" w:ascii="Arial" w:hAnsi="Arial" w:eastAsia="Arial" w:cs="Arial"/>
        <w:b w:val="0"/>
        <w:bCs w:val="0"/>
        <w:i w:val="0"/>
        <w:iCs w:val="0"/>
        <w:spacing w:val="-3"/>
        <w:w w:val="100"/>
        <w:sz w:val="22"/>
        <w:szCs w:val="22"/>
        <w:lang w:val="en-US" w:eastAsia="en-US" w:bidi="ar-SA"/>
      </w:rPr>
    </w:lvl>
    <w:lvl w:ilvl="4">
      <w:start w:val="0"/>
      <w:numFmt w:val="bullet"/>
      <w:lvlText w:val="•"/>
      <w:lvlJc w:val="left"/>
      <w:pPr>
        <w:ind w:left="4291" w:hanging="569"/>
      </w:pPr>
      <w:rPr>
        <w:rFonts w:hint="default"/>
        <w:lang w:val="en-US" w:eastAsia="en-US" w:bidi="ar-SA"/>
      </w:rPr>
    </w:lvl>
    <w:lvl w:ilvl="5">
      <w:start w:val="0"/>
      <w:numFmt w:val="bullet"/>
      <w:lvlText w:val="•"/>
      <w:lvlJc w:val="left"/>
      <w:pPr>
        <w:ind w:left="5457" w:hanging="569"/>
      </w:pPr>
      <w:rPr>
        <w:rFonts w:hint="default"/>
        <w:lang w:val="en-US" w:eastAsia="en-US" w:bidi="ar-SA"/>
      </w:rPr>
    </w:lvl>
    <w:lvl w:ilvl="6">
      <w:start w:val="0"/>
      <w:numFmt w:val="bullet"/>
      <w:lvlText w:val="•"/>
      <w:lvlJc w:val="left"/>
      <w:pPr>
        <w:ind w:left="6623" w:hanging="569"/>
      </w:pPr>
      <w:rPr>
        <w:rFonts w:hint="default"/>
        <w:lang w:val="en-US" w:eastAsia="en-US" w:bidi="ar-SA"/>
      </w:rPr>
    </w:lvl>
    <w:lvl w:ilvl="7">
      <w:start w:val="0"/>
      <w:numFmt w:val="bullet"/>
      <w:lvlText w:val="•"/>
      <w:lvlJc w:val="left"/>
      <w:pPr>
        <w:ind w:left="7789" w:hanging="569"/>
      </w:pPr>
      <w:rPr>
        <w:rFonts w:hint="default"/>
        <w:lang w:val="en-US" w:eastAsia="en-US" w:bidi="ar-SA"/>
      </w:rPr>
    </w:lvl>
    <w:lvl w:ilvl="8">
      <w:start w:val="0"/>
      <w:numFmt w:val="bullet"/>
      <w:lvlText w:val="•"/>
      <w:lvlJc w:val="left"/>
      <w:pPr>
        <w:ind w:left="8954" w:hanging="569"/>
      </w:pPr>
      <w:rPr>
        <w:rFonts w:hint="default"/>
        <w:lang w:val="en-US" w:eastAsia="en-US" w:bidi="ar-SA"/>
      </w:rPr>
    </w:lvl>
  </w:abstractNum>
  <w:abstractNum w:abstractNumId="17">
    <w:multiLevelType w:val="hybridMultilevel"/>
    <w:lvl w:ilvl="0">
      <w:start w:val="1"/>
      <w:numFmt w:val="decimal"/>
      <w:lvlText w:val="%1."/>
      <w:lvlJc w:val="left"/>
      <w:pPr>
        <w:ind w:left="827" w:hanging="567"/>
        <w:jc w:val="left"/>
      </w:pPr>
      <w:rPr>
        <w:rFonts w:hint="default" w:ascii="Arial" w:hAnsi="Arial" w:eastAsia="Arial" w:cs="Arial"/>
        <w:b w:val="0"/>
        <w:bCs w:val="0"/>
        <w:i w:val="0"/>
        <w:iCs w:val="0"/>
        <w:spacing w:val="-2"/>
        <w:w w:val="100"/>
        <w:sz w:val="22"/>
        <w:szCs w:val="22"/>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6">
    <w:multiLevelType w:val="hybridMultilevel"/>
    <w:lvl w:ilvl="0">
      <w:start w:val="1"/>
      <w:numFmt w:val="decimal"/>
      <w:lvlText w:val="%1."/>
      <w:lvlJc w:val="left"/>
      <w:pPr>
        <w:ind w:left="827" w:hanging="567"/>
        <w:jc w:val="left"/>
      </w:pPr>
      <w:rPr>
        <w:rFonts w:hint="default" w:ascii="Arial" w:hAnsi="Arial" w:eastAsia="Arial" w:cs="Arial"/>
        <w:b w:val="0"/>
        <w:bCs w:val="0"/>
        <w:i w:val="0"/>
        <w:iCs w:val="0"/>
        <w:spacing w:val="-2"/>
        <w:w w:val="100"/>
        <w:sz w:val="22"/>
        <w:szCs w:val="22"/>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5">
    <w:multiLevelType w:val="hybridMultilevel"/>
    <w:lvl w:ilvl="0">
      <w:start w:val="1"/>
      <w:numFmt w:val="decimal"/>
      <w:lvlText w:val="%1."/>
      <w:lvlJc w:val="left"/>
      <w:pPr>
        <w:ind w:left="827" w:hanging="567"/>
        <w:jc w:val="left"/>
      </w:pPr>
      <w:rPr>
        <w:rFonts w:hint="default" w:ascii="Arial" w:hAnsi="Arial" w:eastAsia="Arial" w:cs="Arial"/>
        <w:b w:val="0"/>
        <w:bCs w:val="0"/>
        <w:i w:val="0"/>
        <w:iCs w:val="0"/>
        <w:spacing w:val="-2"/>
        <w:w w:val="100"/>
        <w:sz w:val="22"/>
        <w:szCs w:val="22"/>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4">
    <w:multiLevelType w:val="hybridMultilevel"/>
    <w:lvl w:ilvl="0">
      <w:start w:val="1"/>
      <w:numFmt w:val="decimal"/>
      <w:lvlText w:val="%1."/>
      <w:lvlJc w:val="left"/>
      <w:pPr>
        <w:ind w:left="827" w:hanging="567"/>
        <w:jc w:val="left"/>
      </w:pPr>
      <w:rPr>
        <w:rFonts w:hint="default" w:ascii="Arial" w:hAnsi="Arial" w:eastAsia="Arial" w:cs="Arial"/>
        <w:b w:val="0"/>
        <w:bCs w:val="0"/>
        <w:i w:val="0"/>
        <w:iCs w:val="0"/>
        <w:spacing w:val="-2"/>
        <w:w w:val="100"/>
        <w:sz w:val="22"/>
        <w:szCs w:val="22"/>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3">
    <w:multiLevelType w:val="hybridMultilevel"/>
    <w:lvl w:ilvl="0">
      <w:start w:val="0"/>
      <w:numFmt w:val="bullet"/>
      <w:lvlText w:val=""/>
      <w:lvlJc w:val="left"/>
      <w:pPr>
        <w:ind w:left="826" w:hanging="567"/>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866" w:hanging="567"/>
      </w:pPr>
      <w:rPr>
        <w:rFonts w:hint="default"/>
        <w:lang w:val="en-US" w:eastAsia="en-US" w:bidi="ar-SA"/>
      </w:rPr>
    </w:lvl>
    <w:lvl w:ilvl="2">
      <w:start w:val="0"/>
      <w:numFmt w:val="bullet"/>
      <w:lvlText w:val="•"/>
      <w:lvlJc w:val="left"/>
      <w:pPr>
        <w:ind w:left="2913" w:hanging="567"/>
      </w:pPr>
      <w:rPr>
        <w:rFonts w:hint="default"/>
        <w:lang w:val="en-US" w:eastAsia="en-US" w:bidi="ar-SA"/>
      </w:rPr>
    </w:lvl>
    <w:lvl w:ilvl="3">
      <w:start w:val="0"/>
      <w:numFmt w:val="bullet"/>
      <w:lvlText w:val="•"/>
      <w:lvlJc w:val="left"/>
      <w:pPr>
        <w:ind w:left="3959" w:hanging="567"/>
      </w:pPr>
      <w:rPr>
        <w:rFonts w:hint="default"/>
        <w:lang w:val="en-US" w:eastAsia="en-US" w:bidi="ar-SA"/>
      </w:rPr>
    </w:lvl>
    <w:lvl w:ilvl="4">
      <w:start w:val="0"/>
      <w:numFmt w:val="bullet"/>
      <w:lvlText w:val="•"/>
      <w:lvlJc w:val="left"/>
      <w:pPr>
        <w:ind w:left="5006" w:hanging="567"/>
      </w:pPr>
      <w:rPr>
        <w:rFonts w:hint="default"/>
        <w:lang w:val="en-US" w:eastAsia="en-US" w:bidi="ar-SA"/>
      </w:rPr>
    </w:lvl>
    <w:lvl w:ilvl="5">
      <w:start w:val="0"/>
      <w:numFmt w:val="bullet"/>
      <w:lvlText w:val="•"/>
      <w:lvlJc w:val="left"/>
      <w:pPr>
        <w:ind w:left="6053" w:hanging="567"/>
      </w:pPr>
      <w:rPr>
        <w:rFonts w:hint="default"/>
        <w:lang w:val="en-US" w:eastAsia="en-US" w:bidi="ar-SA"/>
      </w:rPr>
    </w:lvl>
    <w:lvl w:ilvl="6">
      <w:start w:val="0"/>
      <w:numFmt w:val="bullet"/>
      <w:lvlText w:val="•"/>
      <w:lvlJc w:val="left"/>
      <w:pPr>
        <w:ind w:left="7099" w:hanging="567"/>
      </w:pPr>
      <w:rPr>
        <w:rFonts w:hint="default"/>
        <w:lang w:val="en-US" w:eastAsia="en-US" w:bidi="ar-SA"/>
      </w:rPr>
    </w:lvl>
    <w:lvl w:ilvl="7">
      <w:start w:val="0"/>
      <w:numFmt w:val="bullet"/>
      <w:lvlText w:val="•"/>
      <w:lvlJc w:val="left"/>
      <w:pPr>
        <w:ind w:left="8146" w:hanging="567"/>
      </w:pPr>
      <w:rPr>
        <w:rFonts w:hint="default"/>
        <w:lang w:val="en-US" w:eastAsia="en-US" w:bidi="ar-SA"/>
      </w:rPr>
    </w:lvl>
    <w:lvl w:ilvl="8">
      <w:start w:val="0"/>
      <w:numFmt w:val="bullet"/>
      <w:lvlText w:val="•"/>
      <w:lvlJc w:val="left"/>
      <w:pPr>
        <w:ind w:left="9193" w:hanging="567"/>
      </w:pPr>
      <w:rPr>
        <w:rFonts w:hint="default"/>
        <w:lang w:val="en-US" w:eastAsia="en-US" w:bidi="ar-SA"/>
      </w:rPr>
    </w:lvl>
  </w:abstractNum>
  <w:abstractNum w:abstractNumId="12">
    <w:multiLevelType w:val="hybridMultilevel"/>
    <w:lvl w:ilvl="0">
      <w:start w:val="1"/>
      <w:numFmt w:val="decimal"/>
      <w:lvlText w:val="%1)"/>
      <w:lvlJc w:val="left"/>
      <w:pPr>
        <w:ind w:left="958" w:hanging="568"/>
        <w:jc w:val="left"/>
      </w:pPr>
      <w:rPr>
        <w:rFonts w:hint="default" w:ascii="Arial" w:hAnsi="Arial" w:eastAsia="Arial" w:cs="Arial"/>
        <w:b w:val="0"/>
        <w:bCs w:val="0"/>
        <w:i w:val="0"/>
        <w:iCs w:val="0"/>
        <w:spacing w:val="-2"/>
        <w:w w:val="100"/>
        <w:sz w:val="22"/>
        <w:szCs w:val="22"/>
        <w:lang w:val="en-US" w:eastAsia="en-US" w:bidi="ar-SA"/>
      </w:rPr>
    </w:lvl>
    <w:lvl w:ilvl="1">
      <w:start w:val="0"/>
      <w:numFmt w:val="bullet"/>
      <w:lvlText w:val="•"/>
      <w:lvlJc w:val="left"/>
      <w:pPr>
        <w:ind w:left="1992" w:hanging="568"/>
      </w:pPr>
      <w:rPr>
        <w:rFonts w:hint="default"/>
        <w:lang w:val="en-US" w:eastAsia="en-US" w:bidi="ar-SA"/>
      </w:rPr>
    </w:lvl>
    <w:lvl w:ilvl="2">
      <w:start w:val="0"/>
      <w:numFmt w:val="bullet"/>
      <w:lvlText w:val="•"/>
      <w:lvlJc w:val="left"/>
      <w:pPr>
        <w:ind w:left="3025" w:hanging="568"/>
      </w:pPr>
      <w:rPr>
        <w:rFonts w:hint="default"/>
        <w:lang w:val="en-US" w:eastAsia="en-US" w:bidi="ar-SA"/>
      </w:rPr>
    </w:lvl>
    <w:lvl w:ilvl="3">
      <w:start w:val="0"/>
      <w:numFmt w:val="bullet"/>
      <w:lvlText w:val="•"/>
      <w:lvlJc w:val="left"/>
      <w:pPr>
        <w:ind w:left="4057" w:hanging="568"/>
      </w:pPr>
      <w:rPr>
        <w:rFonts w:hint="default"/>
        <w:lang w:val="en-US" w:eastAsia="en-US" w:bidi="ar-SA"/>
      </w:rPr>
    </w:lvl>
    <w:lvl w:ilvl="4">
      <w:start w:val="0"/>
      <w:numFmt w:val="bullet"/>
      <w:lvlText w:val="•"/>
      <w:lvlJc w:val="left"/>
      <w:pPr>
        <w:ind w:left="5090" w:hanging="568"/>
      </w:pPr>
      <w:rPr>
        <w:rFonts w:hint="default"/>
        <w:lang w:val="en-US" w:eastAsia="en-US" w:bidi="ar-SA"/>
      </w:rPr>
    </w:lvl>
    <w:lvl w:ilvl="5">
      <w:start w:val="0"/>
      <w:numFmt w:val="bullet"/>
      <w:lvlText w:val="•"/>
      <w:lvlJc w:val="left"/>
      <w:pPr>
        <w:ind w:left="6123" w:hanging="568"/>
      </w:pPr>
      <w:rPr>
        <w:rFonts w:hint="default"/>
        <w:lang w:val="en-US" w:eastAsia="en-US" w:bidi="ar-SA"/>
      </w:rPr>
    </w:lvl>
    <w:lvl w:ilvl="6">
      <w:start w:val="0"/>
      <w:numFmt w:val="bullet"/>
      <w:lvlText w:val="•"/>
      <w:lvlJc w:val="left"/>
      <w:pPr>
        <w:ind w:left="7155" w:hanging="568"/>
      </w:pPr>
      <w:rPr>
        <w:rFonts w:hint="default"/>
        <w:lang w:val="en-US" w:eastAsia="en-US" w:bidi="ar-SA"/>
      </w:rPr>
    </w:lvl>
    <w:lvl w:ilvl="7">
      <w:start w:val="0"/>
      <w:numFmt w:val="bullet"/>
      <w:lvlText w:val="•"/>
      <w:lvlJc w:val="left"/>
      <w:pPr>
        <w:ind w:left="8188" w:hanging="568"/>
      </w:pPr>
      <w:rPr>
        <w:rFonts w:hint="default"/>
        <w:lang w:val="en-US" w:eastAsia="en-US" w:bidi="ar-SA"/>
      </w:rPr>
    </w:lvl>
    <w:lvl w:ilvl="8">
      <w:start w:val="0"/>
      <w:numFmt w:val="bullet"/>
      <w:lvlText w:val="•"/>
      <w:lvlJc w:val="left"/>
      <w:pPr>
        <w:ind w:left="9221" w:hanging="568"/>
      </w:pPr>
      <w:rPr>
        <w:rFonts w:hint="default"/>
        <w:lang w:val="en-US" w:eastAsia="en-US" w:bidi="ar-SA"/>
      </w:rPr>
    </w:lvl>
  </w:abstractNum>
  <w:abstractNum w:abstractNumId="11">
    <w:multiLevelType w:val="hybridMultilevel"/>
    <w:lvl w:ilvl="0">
      <w:start w:val="0"/>
      <w:numFmt w:val="bullet"/>
      <w:lvlText w:val=""/>
      <w:lvlJc w:val="left"/>
      <w:pPr>
        <w:ind w:left="958" w:hanging="567"/>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992" w:hanging="567"/>
      </w:pPr>
      <w:rPr>
        <w:rFonts w:hint="default"/>
        <w:lang w:val="en-US" w:eastAsia="en-US" w:bidi="ar-SA"/>
      </w:rPr>
    </w:lvl>
    <w:lvl w:ilvl="2">
      <w:start w:val="0"/>
      <w:numFmt w:val="bullet"/>
      <w:lvlText w:val="•"/>
      <w:lvlJc w:val="left"/>
      <w:pPr>
        <w:ind w:left="3025" w:hanging="567"/>
      </w:pPr>
      <w:rPr>
        <w:rFonts w:hint="default"/>
        <w:lang w:val="en-US" w:eastAsia="en-US" w:bidi="ar-SA"/>
      </w:rPr>
    </w:lvl>
    <w:lvl w:ilvl="3">
      <w:start w:val="0"/>
      <w:numFmt w:val="bullet"/>
      <w:lvlText w:val="•"/>
      <w:lvlJc w:val="left"/>
      <w:pPr>
        <w:ind w:left="4057" w:hanging="567"/>
      </w:pPr>
      <w:rPr>
        <w:rFonts w:hint="default"/>
        <w:lang w:val="en-US" w:eastAsia="en-US" w:bidi="ar-SA"/>
      </w:rPr>
    </w:lvl>
    <w:lvl w:ilvl="4">
      <w:start w:val="0"/>
      <w:numFmt w:val="bullet"/>
      <w:lvlText w:val="•"/>
      <w:lvlJc w:val="left"/>
      <w:pPr>
        <w:ind w:left="5090" w:hanging="567"/>
      </w:pPr>
      <w:rPr>
        <w:rFonts w:hint="default"/>
        <w:lang w:val="en-US" w:eastAsia="en-US" w:bidi="ar-SA"/>
      </w:rPr>
    </w:lvl>
    <w:lvl w:ilvl="5">
      <w:start w:val="0"/>
      <w:numFmt w:val="bullet"/>
      <w:lvlText w:val="•"/>
      <w:lvlJc w:val="left"/>
      <w:pPr>
        <w:ind w:left="6123" w:hanging="567"/>
      </w:pPr>
      <w:rPr>
        <w:rFonts w:hint="default"/>
        <w:lang w:val="en-US" w:eastAsia="en-US" w:bidi="ar-SA"/>
      </w:rPr>
    </w:lvl>
    <w:lvl w:ilvl="6">
      <w:start w:val="0"/>
      <w:numFmt w:val="bullet"/>
      <w:lvlText w:val="•"/>
      <w:lvlJc w:val="left"/>
      <w:pPr>
        <w:ind w:left="7155" w:hanging="567"/>
      </w:pPr>
      <w:rPr>
        <w:rFonts w:hint="default"/>
        <w:lang w:val="en-US" w:eastAsia="en-US" w:bidi="ar-SA"/>
      </w:rPr>
    </w:lvl>
    <w:lvl w:ilvl="7">
      <w:start w:val="0"/>
      <w:numFmt w:val="bullet"/>
      <w:lvlText w:val="•"/>
      <w:lvlJc w:val="left"/>
      <w:pPr>
        <w:ind w:left="8188" w:hanging="567"/>
      </w:pPr>
      <w:rPr>
        <w:rFonts w:hint="default"/>
        <w:lang w:val="en-US" w:eastAsia="en-US" w:bidi="ar-SA"/>
      </w:rPr>
    </w:lvl>
    <w:lvl w:ilvl="8">
      <w:start w:val="0"/>
      <w:numFmt w:val="bullet"/>
      <w:lvlText w:val="•"/>
      <w:lvlJc w:val="left"/>
      <w:pPr>
        <w:ind w:left="9221" w:hanging="567"/>
      </w:pPr>
      <w:rPr>
        <w:rFonts w:hint="default"/>
        <w:lang w:val="en-US" w:eastAsia="en-US" w:bidi="ar-SA"/>
      </w:rPr>
    </w:lvl>
  </w:abstractNum>
  <w:abstractNum w:abstractNumId="10">
    <w:multiLevelType w:val="hybridMultilevel"/>
    <w:lvl w:ilvl="0">
      <w:start w:val="1"/>
      <w:numFmt w:val="decimal"/>
      <w:lvlText w:val="%1."/>
      <w:lvlJc w:val="left"/>
      <w:pPr>
        <w:ind w:left="1035" w:hanging="643"/>
        <w:jc w:val="right"/>
      </w:pPr>
      <w:rPr>
        <w:rFonts w:hint="default" w:ascii="Arial" w:hAnsi="Arial" w:eastAsia="Arial" w:cs="Arial"/>
        <w:b/>
        <w:bCs/>
        <w:i w:val="0"/>
        <w:iCs w:val="0"/>
        <w:color w:val="4966AC"/>
        <w:w w:val="99"/>
        <w:sz w:val="32"/>
        <w:szCs w:val="32"/>
        <w:lang w:val="en-US" w:eastAsia="en-US" w:bidi="ar-SA"/>
      </w:rPr>
    </w:lvl>
    <w:lvl w:ilvl="1">
      <w:start w:val="1"/>
      <w:numFmt w:val="decimal"/>
      <w:lvlText w:val="%1.%2"/>
      <w:lvlJc w:val="left"/>
      <w:pPr>
        <w:ind w:left="860" w:hanging="469"/>
        <w:jc w:val="left"/>
      </w:pPr>
      <w:rPr>
        <w:rFonts w:hint="default" w:ascii="Arial" w:hAnsi="Arial" w:eastAsia="Arial" w:cs="Arial"/>
        <w:b/>
        <w:bCs/>
        <w:i w:val="0"/>
        <w:iCs w:val="0"/>
        <w:color w:val="4966AC"/>
        <w:w w:val="100"/>
        <w:sz w:val="28"/>
        <w:szCs w:val="28"/>
        <w:lang w:val="en-US" w:eastAsia="en-US" w:bidi="ar-SA"/>
      </w:rPr>
    </w:lvl>
    <w:lvl w:ilvl="2">
      <w:start w:val="1"/>
      <w:numFmt w:val="decimal"/>
      <w:lvlText w:val="%1.%2.%3"/>
      <w:lvlJc w:val="left"/>
      <w:pPr>
        <w:ind w:left="861" w:hanging="602"/>
        <w:jc w:val="left"/>
      </w:pPr>
      <w:rPr>
        <w:rFonts w:hint="default"/>
        <w:spacing w:val="-2"/>
        <w:w w:val="100"/>
        <w:lang w:val="en-US" w:eastAsia="en-US" w:bidi="ar-SA"/>
      </w:rPr>
    </w:lvl>
    <w:lvl w:ilvl="3">
      <w:start w:val="1"/>
      <w:numFmt w:val="decimal"/>
      <w:lvlText w:val="%1.%2.%3.%4"/>
      <w:lvlJc w:val="left"/>
      <w:pPr>
        <w:ind w:left="993" w:hanging="734"/>
        <w:jc w:val="left"/>
      </w:pPr>
      <w:rPr>
        <w:rFonts w:hint="default" w:ascii="Arial" w:hAnsi="Arial" w:eastAsia="Arial" w:cs="Arial"/>
        <w:b/>
        <w:bCs/>
        <w:i/>
        <w:iCs/>
        <w:color w:val="4966AC"/>
        <w:spacing w:val="-2"/>
        <w:w w:val="100"/>
        <w:sz w:val="22"/>
        <w:szCs w:val="22"/>
        <w:lang w:val="en-US" w:eastAsia="en-US" w:bidi="ar-SA"/>
      </w:rPr>
    </w:lvl>
    <w:lvl w:ilvl="4">
      <w:start w:val="0"/>
      <w:numFmt w:val="bullet"/>
      <w:lvlText w:val="•"/>
      <w:lvlJc w:val="left"/>
      <w:pPr>
        <w:ind w:left="1100" w:hanging="734"/>
      </w:pPr>
      <w:rPr>
        <w:rFonts w:hint="default"/>
        <w:lang w:val="en-US" w:eastAsia="en-US" w:bidi="ar-SA"/>
      </w:rPr>
    </w:lvl>
    <w:lvl w:ilvl="5">
      <w:start w:val="0"/>
      <w:numFmt w:val="bullet"/>
      <w:lvlText w:val="•"/>
      <w:lvlJc w:val="left"/>
      <w:pPr>
        <w:ind w:left="2797" w:hanging="734"/>
      </w:pPr>
      <w:rPr>
        <w:rFonts w:hint="default"/>
        <w:lang w:val="en-US" w:eastAsia="en-US" w:bidi="ar-SA"/>
      </w:rPr>
    </w:lvl>
    <w:lvl w:ilvl="6">
      <w:start w:val="0"/>
      <w:numFmt w:val="bullet"/>
      <w:lvlText w:val="•"/>
      <w:lvlJc w:val="left"/>
      <w:pPr>
        <w:ind w:left="4495" w:hanging="734"/>
      </w:pPr>
      <w:rPr>
        <w:rFonts w:hint="default"/>
        <w:lang w:val="en-US" w:eastAsia="en-US" w:bidi="ar-SA"/>
      </w:rPr>
    </w:lvl>
    <w:lvl w:ilvl="7">
      <w:start w:val="0"/>
      <w:numFmt w:val="bullet"/>
      <w:lvlText w:val="•"/>
      <w:lvlJc w:val="left"/>
      <w:pPr>
        <w:ind w:left="6193" w:hanging="734"/>
      </w:pPr>
      <w:rPr>
        <w:rFonts w:hint="default"/>
        <w:lang w:val="en-US" w:eastAsia="en-US" w:bidi="ar-SA"/>
      </w:rPr>
    </w:lvl>
    <w:lvl w:ilvl="8">
      <w:start w:val="0"/>
      <w:numFmt w:val="bullet"/>
      <w:lvlText w:val="•"/>
      <w:lvlJc w:val="left"/>
      <w:pPr>
        <w:ind w:left="7890" w:hanging="734"/>
      </w:pPr>
      <w:rPr>
        <w:rFonts w:hint="default"/>
        <w:lang w:val="en-US" w:eastAsia="en-US" w:bidi="ar-SA"/>
      </w:rPr>
    </w:lvl>
  </w:abstractNum>
  <w:abstractNum w:abstractNumId="9">
    <w:multiLevelType w:val="hybridMultilevel"/>
    <w:lvl w:ilvl="0">
      <w:start w:val="1"/>
      <w:numFmt w:val="decimal"/>
      <w:lvlText w:val="%1)"/>
      <w:lvlJc w:val="left"/>
      <w:pPr>
        <w:ind w:left="840" w:hanging="360"/>
        <w:jc w:val="left"/>
      </w:pPr>
      <w:rPr>
        <w:rFonts w:hint="default" w:ascii="Arial" w:hAnsi="Arial" w:eastAsia="Arial" w:cs="Arial"/>
        <w:b w:val="0"/>
        <w:bCs w:val="0"/>
        <w:i w:val="0"/>
        <w:iCs w:val="0"/>
        <w:spacing w:val="-2"/>
        <w:w w:val="100"/>
        <w:sz w:val="22"/>
        <w:szCs w:val="22"/>
        <w:lang w:val="en-US" w:eastAsia="en-US" w:bidi="ar-SA"/>
      </w:rPr>
    </w:lvl>
    <w:lvl w:ilvl="1">
      <w:start w:val="1"/>
      <w:numFmt w:val="lowerLetter"/>
      <w:lvlText w:val="%2)"/>
      <w:lvlJc w:val="left"/>
      <w:pPr>
        <w:ind w:left="1199" w:hanging="360"/>
        <w:jc w:val="left"/>
      </w:pPr>
      <w:rPr>
        <w:rFonts w:hint="default" w:ascii="Arial" w:hAnsi="Arial" w:eastAsia="Arial" w:cs="Arial"/>
        <w:b w:val="0"/>
        <w:bCs w:val="0"/>
        <w:i w:val="0"/>
        <w:iCs w:val="0"/>
        <w:spacing w:val="-2"/>
        <w:w w:val="100"/>
        <w:sz w:val="22"/>
        <w:szCs w:val="22"/>
        <w:lang w:val="en-US" w:eastAsia="en-US" w:bidi="ar-SA"/>
      </w:rPr>
    </w:lvl>
    <w:lvl w:ilvl="2">
      <w:start w:val="0"/>
      <w:numFmt w:val="bullet"/>
      <w:lvlText w:val="•"/>
      <w:lvlJc w:val="left"/>
      <w:pPr>
        <w:ind w:left="2258" w:hanging="360"/>
      </w:pPr>
      <w:rPr>
        <w:rFonts w:hint="default"/>
        <w:lang w:val="en-US" w:eastAsia="en-US" w:bidi="ar-SA"/>
      </w:rPr>
    </w:lvl>
    <w:lvl w:ilvl="3">
      <w:start w:val="0"/>
      <w:numFmt w:val="bullet"/>
      <w:lvlText w:val="•"/>
      <w:lvlJc w:val="left"/>
      <w:pPr>
        <w:ind w:left="3316" w:hanging="360"/>
      </w:pPr>
      <w:rPr>
        <w:rFonts w:hint="default"/>
        <w:lang w:val="en-US" w:eastAsia="en-US" w:bidi="ar-SA"/>
      </w:rPr>
    </w:lvl>
    <w:lvl w:ilvl="4">
      <w:start w:val="0"/>
      <w:numFmt w:val="bullet"/>
      <w:lvlText w:val="•"/>
      <w:lvlJc w:val="left"/>
      <w:pPr>
        <w:ind w:left="4375" w:hanging="360"/>
      </w:pPr>
      <w:rPr>
        <w:rFonts w:hint="default"/>
        <w:lang w:val="en-US" w:eastAsia="en-US" w:bidi="ar-SA"/>
      </w:rPr>
    </w:lvl>
    <w:lvl w:ilvl="5">
      <w:start w:val="0"/>
      <w:numFmt w:val="bullet"/>
      <w:lvlText w:val="•"/>
      <w:lvlJc w:val="left"/>
      <w:pPr>
        <w:ind w:left="5433" w:hanging="360"/>
      </w:pPr>
      <w:rPr>
        <w:rFonts w:hint="default"/>
        <w:lang w:val="en-US" w:eastAsia="en-US" w:bidi="ar-SA"/>
      </w:rPr>
    </w:lvl>
    <w:lvl w:ilvl="6">
      <w:start w:val="0"/>
      <w:numFmt w:val="bullet"/>
      <w:lvlText w:val="•"/>
      <w:lvlJc w:val="left"/>
      <w:pPr>
        <w:ind w:left="6492" w:hanging="360"/>
      </w:pPr>
      <w:rPr>
        <w:rFonts w:hint="default"/>
        <w:lang w:val="en-US" w:eastAsia="en-US" w:bidi="ar-SA"/>
      </w:rPr>
    </w:lvl>
    <w:lvl w:ilvl="7">
      <w:start w:val="0"/>
      <w:numFmt w:val="bullet"/>
      <w:lvlText w:val="•"/>
      <w:lvlJc w:val="left"/>
      <w:pPr>
        <w:ind w:left="7550" w:hanging="360"/>
      </w:pPr>
      <w:rPr>
        <w:rFonts w:hint="default"/>
        <w:lang w:val="en-US" w:eastAsia="en-US" w:bidi="ar-SA"/>
      </w:rPr>
    </w:lvl>
    <w:lvl w:ilvl="8">
      <w:start w:val="0"/>
      <w:numFmt w:val="bullet"/>
      <w:lvlText w:val="•"/>
      <w:lvlJc w:val="left"/>
      <w:pPr>
        <w:ind w:left="8609" w:hanging="360"/>
      </w:pPr>
      <w:rPr>
        <w:rFonts w:hint="default"/>
        <w:lang w:val="en-US" w:eastAsia="en-US" w:bidi="ar-SA"/>
      </w:rPr>
    </w:lvl>
  </w:abstractNum>
  <w:abstractNum w:abstractNumId="8">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7">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6">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5">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4">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3">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2">
    <w:multiLevelType w:val="hybridMultilevel"/>
    <w:lvl w:ilvl="0">
      <w:start w:val="0"/>
      <w:numFmt w:val="bullet"/>
      <w:lvlText w:val=""/>
      <w:lvlJc w:val="left"/>
      <w:pPr>
        <w:ind w:left="851" w:hanging="713"/>
      </w:pPr>
      <w:rPr>
        <w:rFonts w:hint="default" w:ascii="Symbol" w:hAnsi="Symbol" w:eastAsia="Symbol" w:cs="Symbol"/>
        <w:b w:val="0"/>
        <w:bCs w:val="0"/>
        <w:i w:val="0"/>
        <w:iCs w:val="0"/>
        <w:w w:val="100"/>
        <w:sz w:val="22"/>
        <w:szCs w:val="22"/>
        <w:lang w:val="en-US" w:eastAsia="en-US" w:bidi="ar-SA"/>
      </w:rPr>
    </w:lvl>
    <w:lvl w:ilvl="1">
      <w:start w:val="0"/>
      <w:numFmt w:val="bullet"/>
      <w:lvlText w:val="•"/>
      <w:lvlJc w:val="left"/>
      <w:pPr>
        <w:ind w:left="1429" w:hanging="713"/>
      </w:pPr>
      <w:rPr>
        <w:rFonts w:hint="default"/>
        <w:lang w:val="en-US" w:eastAsia="en-US" w:bidi="ar-SA"/>
      </w:rPr>
    </w:lvl>
    <w:lvl w:ilvl="2">
      <w:start w:val="0"/>
      <w:numFmt w:val="bullet"/>
      <w:lvlText w:val="•"/>
      <w:lvlJc w:val="left"/>
      <w:pPr>
        <w:ind w:left="1999" w:hanging="713"/>
      </w:pPr>
      <w:rPr>
        <w:rFonts w:hint="default"/>
        <w:lang w:val="en-US" w:eastAsia="en-US" w:bidi="ar-SA"/>
      </w:rPr>
    </w:lvl>
    <w:lvl w:ilvl="3">
      <w:start w:val="0"/>
      <w:numFmt w:val="bullet"/>
      <w:lvlText w:val="•"/>
      <w:lvlJc w:val="left"/>
      <w:pPr>
        <w:ind w:left="2569" w:hanging="713"/>
      </w:pPr>
      <w:rPr>
        <w:rFonts w:hint="default"/>
        <w:lang w:val="en-US" w:eastAsia="en-US" w:bidi="ar-SA"/>
      </w:rPr>
    </w:lvl>
    <w:lvl w:ilvl="4">
      <w:start w:val="0"/>
      <w:numFmt w:val="bullet"/>
      <w:lvlText w:val="•"/>
      <w:lvlJc w:val="left"/>
      <w:pPr>
        <w:ind w:left="3138" w:hanging="713"/>
      </w:pPr>
      <w:rPr>
        <w:rFonts w:hint="default"/>
        <w:lang w:val="en-US" w:eastAsia="en-US" w:bidi="ar-SA"/>
      </w:rPr>
    </w:lvl>
    <w:lvl w:ilvl="5">
      <w:start w:val="0"/>
      <w:numFmt w:val="bullet"/>
      <w:lvlText w:val="•"/>
      <w:lvlJc w:val="left"/>
      <w:pPr>
        <w:ind w:left="3708" w:hanging="713"/>
      </w:pPr>
      <w:rPr>
        <w:rFonts w:hint="default"/>
        <w:lang w:val="en-US" w:eastAsia="en-US" w:bidi="ar-SA"/>
      </w:rPr>
    </w:lvl>
    <w:lvl w:ilvl="6">
      <w:start w:val="0"/>
      <w:numFmt w:val="bullet"/>
      <w:lvlText w:val="•"/>
      <w:lvlJc w:val="left"/>
      <w:pPr>
        <w:ind w:left="4278" w:hanging="713"/>
      </w:pPr>
      <w:rPr>
        <w:rFonts w:hint="default"/>
        <w:lang w:val="en-US" w:eastAsia="en-US" w:bidi="ar-SA"/>
      </w:rPr>
    </w:lvl>
    <w:lvl w:ilvl="7">
      <w:start w:val="0"/>
      <w:numFmt w:val="bullet"/>
      <w:lvlText w:val="•"/>
      <w:lvlJc w:val="left"/>
      <w:pPr>
        <w:ind w:left="4847" w:hanging="713"/>
      </w:pPr>
      <w:rPr>
        <w:rFonts w:hint="default"/>
        <w:lang w:val="en-US" w:eastAsia="en-US" w:bidi="ar-SA"/>
      </w:rPr>
    </w:lvl>
    <w:lvl w:ilvl="8">
      <w:start w:val="0"/>
      <w:numFmt w:val="bullet"/>
      <w:lvlText w:val="•"/>
      <w:lvlJc w:val="left"/>
      <w:pPr>
        <w:ind w:left="5417" w:hanging="713"/>
      </w:pPr>
      <w:rPr>
        <w:rFonts w:hint="default"/>
        <w:lang w:val="en-US" w:eastAsia="en-US" w:bidi="ar-SA"/>
      </w:rPr>
    </w:lvl>
  </w:abstractNum>
  <w:abstractNum w:abstractNumId="1">
    <w:multiLevelType w:val="hybridMultilevel"/>
    <w:lvl w:ilvl="0">
      <w:start w:val="0"/>
      <w:numFmt w:val="bullet"/>
      <w:lvlText w:val=""/>
      <w:lvlJc w:val="left"/>
      <w:pPr>
        <w:ind w:left="686" w:hanging="567"/>
      </w:pPr>
      <w:rPr>
        <w:rFonts w:hint="default" w:ascii="Symbol" w:hAnsi="Symbol" w:eastAsia="Symbol" w:cs="Symbol"/>
        <w:w w:val="100"/>
        <w:lang w:val="en-US" w:eastAsia="en-US" w:bidi="ar-SA"/>
      </w:rPr>
    </w:lvl>
    <w:lvl w:ilvl="1">
      <w:start w:val="0"/>
      <w:numFmt w:val="bullet"/>
      <w:lvlText w:val="•"/>
      <w:lvlJc w:val="left"/>
      <w:pPr>
        <w:ind w:left="1684" w:hanging="567"/>
      </w:pPr>
      <w:rPr>
        <w:rFonts w:hint="default"/>
        <w:lang w:val="en-US" w:eastAsia="en-US" w:bidi="ar-SA"/>
      </w:rPr>
    </w:lvl>
    <w:lvl w:ilvl="2">
      <w:start w:val="0"/>
      <w:numFmt w:val="bullet"/>
      <w:lvlText w:val="•"/>
      <w:lvlJc w:val="left"/>
      <w:pPr>
        <w:ind w:left="2689" w:hanging="567"/>
      </w:pPr>
      <w:rPr>
        <w:rFonts w:hint="default"/>
        <w:lang w:val="en-US" w:eastAsia="en-US" w:bidi="ar-SA"/>
      </w:rPr>
    </w:lvl>
    <w:lvl w:ilvl="3">
      <w:start w:val="0"/>
      <w:numFmt w:val="bullet"/>
      <w:lvlText w:val="•"/>
      <w:lvlJc w:val="left"/>
      <w:pPr>
        <w:ind w:left="3693" w:hanging="567"/>
      </w:pPr>
      <w:rPr>
        <w:rFonts w:hint="default"/>
        <w:lang w:val="en-US" w:eastAsia="en-US" w:bidi="ar-SA"/>
      </w:rPr>
    </w:lvl>
    <w:lvl w:ilvl="4">
      <w:start w:val="0"/>
      <w:numFmt w:val="bullet"/>
      <w:lvlText w:val="•"/>
      <w:lvlJc w:val="left"/>
      <w:pPr>
        <w:ind w:left="4698" w:hanging="567"/>
      </w:pPr>
      <w:rPr>
        <w:rFonts w:hint="default"/>
        <w:lang w:val="en-US" w:eastAsia="en-US" w:bidi="ar-SA"/>
      </w:rPr>
    </w:lvl>
    <w:lvl w:ilvl="5">
      <w:start w:val="0"/>
      <w:numFmt w:val="bullet"/>
      <w:lvlText w:val="•"/>
      <w:lvlJc w:val="left"/>
      <w:pPr>
        <w:ind w:left="5703" w:hanging="567"/>
      </w:pPr>
      <w:rPr>
        <w:rFonts w:hint="default"/>
        <w:lang w:val="en-US" w:eastAsia="en-US" w:bidi="ar-SA"/>
      </w:rPr>
    </w:lvl>
    <w:lvl w:ilvl="6">
      <w:start w:val="0"/>
      <w:numFmt w:val="bullet"/>
      <w:lvlText w:val="•"/>
      <w:lvlJc w:val="left"/>
      <w:pPr>
        <w:ind w:left="6707" w:hanging="567"/>
      </w:pPr>
      <w:rPr>
        <w:rFonts w:hint="default"/>
        <w:lang w:val="en-US" w:eastAsia="en-US" w:bidi="ar-SA"/>
      </w:rPr>
    </w:lvl>
    <w:lvl w:ilvl="7">
      <w:start w:val="0"/>
      <w:numFmt w:val="bullet"/>
      <w:lvlText w:val="•"/>
      <w:lvlJc w:val="left"/>
      <w:pPr>
        <w:ind w:left="7712" w:hanging="567"/>
      </w:pPr>
      <w:rPr>
        <w:rFonts w:hint="default"/>
        <w:lang w:val="en-US" w:eastAsia="en-US" w:bidi="ar-SA"/>
      </w:rPr>
    </w:lvl>
    <w:lvl w:ilvl="8">
      <w:start w:val="0"/>
      <w:numFmt w:val="bullet"/>
      <w:lvlText w:val="•"/>
      <w:lvlJc w:val="left"/>
      <w:pPr>
        <w:ind w:left="8717" w:hanging="567"/>
      </w:pPr>
      <w:rPr>
        <w:rFonts w:hint="default"/>
        <w:lang w:val="en-US" w:eastAsia="en-US" w:bidi="ar-SA"/>
      </w:rPr>
    </w:lvl>
  </w:abstractNum>
  <w:abstractNum w:abstractNumId="0">
    <w:multiLevelType w:val="hybridMultilevel"/>
    <w:lvl w:ilvl="0">
      <w:start w:val="1"/>
      <w:numFmt w:val="decimal"/>
      <w:lvlText w:val="%1."/>
      <w:lvlJc w:val="left"/>
      <w:pPr>
        <w:ind w:left="780" w:hanging="440"/>
        <w:jc w:val="left"/>
      </w:pPr>
      <w:rPr>
        <w:rFonts w:hint="default" w:ascii="Arial" w:hAnsi="Arial" w:eastAsia="Arial" w:cs="Arial"/>
        <w:b w:val="0"/>
        <w:bCs w:val="0"/>
        <w:i w:val="0"/>
        <w:iCs w:val="0"/>
        <w:spacing w:val="-2"/>
        <w:w w:val="100"/>
        <w:sz w:val="22"/>
        <w:szCs w:val="22"/>
        <w:lang w:val="en-US" w:eastAsia="en-US" w:bidi="ar-SA"/>
      </w:rPr>
    </w:lvl>
    <w:lvl w:ilvl="1">
      <w:start w:val="1"/>
      <w:numFmt w:val="decimal"/>
      <w:lvlText w:val="%2)"/>
      <w:lvlJc w:val="left"/>
      <w:pPr>
        <w:ind w:left="840" w:hanging="360"/>
        <w:jc w:val="left"/>
      </w:pPr>
      <w:rPr>
        <w:rFonts w:hint="default" w:ascii="Arial" w:hAnsi="Arial" w:eastAsia="Arial" w:cs="Arial"/>
        <w:b w:val="0"/>
        <w:bCs w:val="0"/>
        <w:i w:val="0"/>
        <w:iCs w:val="0"/>
        <w:spacing w:val="-2"/>
        <w:w w:val="100"/>
        <w:sz w:val="22"/>
        <w:szCs w:val="22"/>
        <w:lang w:val="en-US" w:eastAsia="en-US" w:bidi="ar-SA"/>
      </w:rPr>
    </w:lvl>
    <w:lvl w:ilvl="2">
      <w:start w:val="1"/>
      <w:numFmt w:val="lowerLetter"/>
      <w:lvlText w:val="%3)"/>
      <w:lvlJc w:val="left"/>
      <w:pPr>
        <w:ind w:left="1199" w:hanging="360"/>
        <w:jc w:val="left"/>
      </w:pPr>
      <w:rPr>
        <w:rFonts w:hint="default" w:ascii="Arial" w:hAnsi="Arial" w:eastAsia="Arial" w:cs="Arial"/>
        <w:b w:val="0"/>
        <w:bCs w:val="0"/>
        <w:i w:val="0"/>
        <w:iCs w:val="0"/>
        <w:spacing w:val="-2"/>
        <w:w w:val="100"/>
        <w:sz w:val="22"/>
        <w:szCs w:val="22"/>
        <w:lang w:val="en-US" w:eastAsia="en-US" w:bidi="ar-SA"/>
      </w:rPr>
    </w:lvl>
    <w:lvl w:ilvl="3">
      <w:start w:val="0"/>
      <w:numFmt w:val="bullet"/>
      <w:lvlText w:val="•"/>
      <w:lvlJc w:val="left"/>
      <w:pPr>
        <w:ind w:left="2390" w:hanging="360"/>
      </w:pPr>
      <w:rPr>
        <w:rFonts w:hint="default"/>
        <w:lang w:val="en-US" w:eastAsia="en-US" w:bidi="ar-SA"/>
      </w:rPr>
    </w:lvl>
    <w:lvl w:ilvl="4">
      <w:start w:val="0"/>
      <w:numFmt w:val="bullet"/>
      <w:lvlText w:val="•"/>
      <w:lvlJc w:val="left"/>
      <w:pPr>
        <w:ind w:left="3581" w:hanging="360"/>
      </w:pPr>
      <w:rPr>
        <w:rFonts w:hint="default"/>
        <w:lang w:val="en-US" w:eastAsia="en-US" w:bidi="ar-SA"/>
      </w:rPr>
    </w:lvl>
    <w:lvl w:ilvl="5">
      <w:start w:val="0"/>
      <w:numFmt w:val="bullet"/>
      <w:lvlText w:val="•"/>
      <w:lvlJc w:val="left"/>
      <w:pPr>
        <w:ind w:left="4772" w:hanging="360"/>
      </w:pPr>
      <w:rPr>
        <w:rFonts w:hint="default"/>
        <w:lang w:val="en-US" w:eastAsia="en-US" w:bidi="ar-SA"/>
      </w:rPr>
    </w:lvl>
    <w:lvl w:ilvl="6">
      <w:start w:val="0"/>
      <w:numFmt w:val="bullet"/>
      <w:lvlText w:val="•"/>
      <w:lvlJc w:val="left"/>
      <w:pPr>
        <w:ind w:left="5963" w:hanging="360"/>
      </w:pPr>
      <w:rPr>
        <w:rFonts w:hint="default"/>
        <w:lang w:val="en-US" w:eastAsia="en-US" w:bidi="ar-SA"/>
      </w:rPr>
    </w:lvl>
    <w:lvl w:ilvl="7">
      <w:start w:val="0"/>
      <w:numFmt w:val="bullet"/>
      <w:lvlText w:val="•"/>
      <w:lvlJc w:val="left"/>
      <w:pPr>
        <w:ind w:left="7154" w:hanging="360"/>
      </w:pPr>
      <w:rPr>
        <w:rFonts w:hint="default"/>
        <w:lang w:val="en-US" w:eastAsia="en-US" w:bidi="ar-SA"/>
      </w:rPr>
    </w:lvl>
    <w:lvl w:ilvl="8">
      <w:start w:val="0"/>
      <w:numFmt w:val="bullet"/>
      <w:lvlText w:val="•"/>
      <w:lvlJc w:val="left"/>
      <w:pPr>
        <w:ind w:left="8344" w:hanging="360"/>
      </w:pPr>
      <w:rPr>
        <w:rFonts w:hint="default"/>
        <w:lang w:val="en-US" w:eastAsia="en-US" w:bidi="ar-SA"/>
      </w:rPr>
    </w:lvl>
  </w:abstract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TOC1" w:type="paragraph">
    <w:name w:val="TOC 1"/>
    <w:basedOn w:val="Normal"/>
    <w:uiPriority w:val="1"/>
    <w:qFormat/>
    <w:pPr>
      <w:spacing w:before="30"/>
      <w:ind w:left="120"/>
    </w:pPr>
    <w:rPr>
      <w:rFonts w:ascii="Arial" w:hAnsi="Arial" w:eastAsia="Arial" w:cs="Arial"/>
      <w:sz w:val="22"/>
      <w:szCs w:val="22"/>
      <w:lang w:val="en-US" w:eastAsia="en-US" w:bidi="ar-SA"/>
    </w:rPr>
  </w:style>
  <w:style w:styleId="TOC2" w:type="paragraph">
    <w:name w:val="TOC 2"/>
    <w:basedOn w:val="Normal"/>
    <w:uiPriority w:val="1"/>
    <w:qFormat/>
    <w:pPr>
      <w:spacing w:before="100"/>
      <w:ind w:left="340" w:hanging="440"/>
    </w:pPr>
    <w:rPr>
      <w:rFonts w:ascii="Arial" w:hAnsi="Arial" w:eastAsia="Arial" w:cs="Arial"/>
      <w:sz w:val="22"/>
      <w:szCs w:val="22"/>
      <w:lang w:val="en-US" w:eastAsia="en-US" w:bidi="ar-SA"/>
    </w:rPr>
  </w:style>
  <w:style w:styleId="BodyText" w:type="paragraph">
    <w:name w:val="Body Text"/>
    <w:basedOn w:val="Normal"/>
    <w:uiPriority w:val="1"/>
    <w:qFormat/>
    <w:pPr/>
    <w:rPr>
      <w:rFonts w:ascii="Arial" w:hAnsi="Arial" w:eastAsia="Arial" w:cs="Arial"/>
      <w:sz w:val="22"/>
      <w:szCs w:val="22"/>
      <w:lang w:val="en-US" w:eastAsia="en-US" w:bidi="ar-SA"/>
    </w:rPr>
  </w:style>
  <w:style w:styleId="Heading1" w:type="paragraph">
    <w:name w:val="Heading 1"/>
    <w:basedOn w:val="Normal"/>
    <w:uiPriority w:val="1"/>
    <w:qFormat/>
    <w:pPr>
      <w:spacing w:before="61"/>
      <w:ind w:left="120" w:hanging="644"/>
      <w:outlineLvl w:val="1"/>
    </w:pPr>
    <w:rPr>
      <w:rFonts w:ascii="Arial" w:hAnsi="Arial" w:eastAsia="Arial" w:cs="Arial"/>
      <w:b/>
      <w:bCs/>
      <w:sz w:val="32"/>
      <w:szCs w:val="32"/>
      <w:lang w:val="en-US" w:eastAsia="en-US" w:bidi="ar-SA"/>
    </w:rPr>
  </w:style>
  <w:style w:styleId="Heading2" w:type="paragraph">
    <w:name w:val="Heading 2"/>
    <w:basedOn w:val="Normal"/>
    <w:uiPriority w:val="1"/>
    <w:qFormat/>
    <w:pPr>
      <w:spacing w:before="70"/>
      <w:ind w:left="391"/>
      <w:outlineLvl w:val="2"/>
    </w:pPr>
    <w:rPr>
      <w:rFonts w:ascii="Arial" w:hAnsi="Arial" w:eastAsia="Arial" w:cs="Arial"/>
      <w:b/>
      <w:bCs/>
      <w:sz w:val="28"/>
      <w:szCs w:val="28"/>
      <w:lang w:val="en-US" w:eastAsia="en-US" w:bidi="ar-SA"/>
    </w:rPr>
  </w:style>
  <w:style w:styleId="Heading3" w:type="paragraph">
    <w:name w:val="Heading 3"/>
    <w:basedOn w:val="Normal"/>
    <w:uiPriority w:val="1"/>
    <w:qFormat/>
    <w:pPr>
      <w:ind w:left="391"/>
      <w:outlineLvl w:val="3"/>
    </w:pPr>
    <w:rPr>
      <w:rFonts w:ascii="Arial" w:hAnsi="Arial" w:eastAsia="Arial" w:cs="Arial"/>
      <w:i/>
      <w:iCs/>
      <w:sz w:val="28"/>
      <w:szCs w:val="28"/>
      <w:lang w:val="en-US" w:eastAsia="en-US" w:bidi="ar-SA"/>
    </w:rPr>
  </w:style>
  <w:style w:styleId="Heading4" w:type="paragraph">
    <w:name w:val="Heading 4"/>
    <w:basedOn w:val="Normal"/>
    <w:uiPriority w:val="1"/>
    <w:qFormat/>
    <w:pPr>
      <w:ind w:left="861" w:hanging="602"/>
      <w:outlineLvl w:val="4"/>
    </w:pPr>
    <w:rPr>
      <w:rFonts w:ascii="Arial" w:hAnsi="Arial" w:eastAsia="Arial" w:cs="Arial"/>
      <w:b/>
      <w:bCs/>
      <w:sz w:val="24"/>
      <w:szCs w:val="24"/>
      <w:lang w:val="en-US" w:eastAsia="en-US" w:bidi="ar-SA"/>
    </w:rPr>
  </w:style>
  <w:style w:styleId="Heading5" w:type="paragraph">
    <w:name w:val="Heading 5"/>
    <w:basedOn w:val="Normal"/>
    <w:uiPriority w:val="1"/>
    <w:qFormat/>
    <w:pPr>
      <w:ind w:left="260"/>
      <w:outlineLvl w:val="5"/>
    </w:pPr>
    <w:rPr>
      <w:rFonts w:ascii="Arial" w:hAnsi="Arial" w:eastAsia="Arial" w:cs="Arial"/>
      <w:b/>
      <w:bCs/>
      <w:sz w:val="22"/>
      <w:szCs w:val="22"/>
      <w:lang w:val="en-US" w:eastAsia="en-US" w:bidi="ar-SA"/>
    </w:rPr>
  </w:style>
  <w:style w:styleId="Heading6" w:type="paragraph">
    <w:name w:val="Heading 6"/>
    <w:basedOn w:val="Normal"/>
    <w:uiPriority w:val="1"/>
    <w:qFormat/>
    <w:pPr>
      <w:ind w:left="993" w:hanging="734"/>
      <w:outlineLvl w:val="6"/>
    </w:pPr>
    <w:rPr>
      <w:rFonts w:ascii="Arial" w:hAnsi="Arial" w:eastAsia="Arial" w:cs="Arial"/>
      <w:b/>
      <w:bCs/>
      <w:i/>
      <w:iCs/>
      <w:sz w:val="22"/>
      <w:szCs w:val="22"/>
      <w:lang w:val="en-US" w:eastAsia="en-US" w:bidi="ar-SA"/>
    </w:rPr>
  </w:style>
  <w:style w:styleId="ListParagraph" w:type="paragraph">
    <w:name w:val="List Paragraph"/>
    <w:basedOn w:val="Normal"/>
    <w:uiPriority w:val="1"/>
    <w:qFormat/>
    <w:pPr>
      <w:ind w:left="686" w:hanging="567"/>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footer" Target="footer2.xml"/><Relationship Id="rId9" Type="http://schemas.openxmlformats.org/officeDocument/2006/relationships/footer" Target="footer3.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footer" Target="footer4.xml"/><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footer" Target="footer5.xml"/><Relationship Id="rId21" Type="http://schemas.openxmlformats.org/officeDocument/2006/relationships/footer" Target="footer6.xml"/><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footer" Target="footer7.xml"/><Relationship Id="rId38" Type="http://schemas.openxmlformats.org/officeDocument/2006/relationships/footer" Target="footer8.xml"/><Relationship Id="rId39" Type="http://schemas.openxmlformats.org/officeDocument/2006/relationships/footer" Target="footer9.xml"/><Relationship Id="rId40" Type="http://schemas.openxmlformats.org/officeDocument/2006/relationships/footer" Target="footer10.xml"/><Relationship Id="rId41" Type="http://schemas.openxmlformats.org/officeDocument/2006/relationships/footer" Target="footer11.xml"/><Relationship Id="rId42" Type="http://schemas.openxmlformats.org/officeDocument/2006/relationships/image" Target="media/image27.png"/><Relationship Id="rId4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Annie Burton</dc:creator>
  <dc:title>Microsoft Word - MCC Adopted Budget Document 2024-2025.docx</dc:title>
  <dcterms:created xsi:type="dcterms:W3CDTF">2024-06-24T02:58:28Z</dcterms:created>
  <dcterms:modified xsi:type="dcterms:W3CDTF">2024-06-24T02:58:28Z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2024-06-24T00:00:00Z</vt:filetime>
  </property>
  <property fmtid="{D5CDD505-2E9C-101B-9397-08002B2CF9AE}" pid="3" name="LastSaved">
    <vt:filetime>2024-06-24T00:00:00Z</vt:filetime>
  </property>
</Properties>
</file>